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FE56" w14:textId="7DF9BAE1" w:rsidR="005D2352" w:rsidRDefault="005D2352" w:rsidP="00810A7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F829C1" wp14:editId="0EDAD14D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903095" cy="777875"/>
            <wp:effectExtent l="0" t="0" r="1905" b="3175"/>
            <wp:wrapSquare wrapText="bothSides"/>
            <wp:docPr id="2" name="Picture 1" descr="Papua New Guinea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pua New Guinea Fla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596" cy="79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566">
        <w:rPr>
          <w:noProof/>
        </w:rPr>
        <mc:AlternateContent>
          <mc:Choice Requires="wps">
            <w:drawing>
              <wp:inline distT="0" distB="0" distL="0" distR="0" wp14:anchorId="68FCC574" wp14:editId="442FD6B8">
                <wp:extent cx="306070" cy="306070"/>
                <wp:effectExtent l="0" t="0" r="0" b="0"/>
                <wp:docPr id="2121771362" name="AutoShape 5" descr="Region takes on disaster preparedness - Post Couri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F71CD5" id="AutoShape 5" o:spid="_x0000_s1026" alt="Region takes on disaster preparedness - Post Courier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752566">
        <w:rPr>
          <w:noProof/>
        </w:rPr>
        <w:drawing>
          <wp:inline distT="0" distB="0" distL="0" distR="0" wp14:anchorId="46BB4022" wp14:editId="46D7A155">
            <wp:extent cx="1711325" cy="776576"/>
            <wp:effectExtent l="0" t="0" r="3175" b="5080"/>
            <wp:docPr id="1017303783" name="Picture 2" descr="Region takes on disaster preparednes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gion takes on disaster preparednes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651" cy="79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2566" w:rsidRPr="00752566">
        <w:rPr>
          <w:noProof/>
        </w:rPr>
        <mc:AlternateContent>
          <mc:Choice Requires="wps">
            <w:drawing>
              <wp:inline distT="0" distB="0" distL="0" distR="0" wp14:anchorId="5B67F008" wp14:editId="6B5EBB8B">
                <wp:extent cx="306070" cy="306070"/>
                <wp:effectExtent l="0" t="0" r="0" b="0"/>
                <wp:docPr id="36484883" name="Rectangle 1" descr="Region takes on disaster preparedness - Post Couri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86EA5D" id="Rectangle 1" o:spid="_x0000_s1026" alt="Region takes on disaster preparedness - Post Courier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FD09A48" wp14:editId="417C46BC">
            <wp:extent cx="1470488" cy="577982"/>
            <wp:effectExtent l="0" t="0" r="0" b="0"/>
            <wp:docPr id="7" name="Picture 5" descr="Managing Geological Hazards i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naging Geological Hazards in 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205" cy="62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1C7A9" w14:textId="3F9A67FD" w:rsidR="00194A40" w:rsidRDefault="00810A71" w:rsidP="00194A4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t xml:space="preserve">PNG </w:t>
      </w:r>
      <w:r w:rsidR="00194A40" w:rsidRPr="00810A71"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t>TSUNAMI EVACUATION PLANNING</w:t>
      </w:r>
      <w:r w:rsidRPr="00810A71"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t xml:space="preserve"> STATUES, CHALLENGES</w:t>
      </w:r>
      <w:r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t>,</w:t>
      </w:r>
      <w:r w:rsidRPr="00810A71"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t xml:space="preserve"> SUCCESS</w:t>
      </w:r>
      <w:r w:rsidR="00194A40" w:rsidRPr="00810A71"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r w:rsidR="009A4BE2" w:rsidRPr="00810A71"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t xml:space="preserve">AND </w:t>
      </w:r>
      <w:r w:rsidR="005A7287" w:rsidRPr="00810A71"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t>CA</w:t>
      </w:r>
      <w:r w:rsidR="00E3766C" w:rsidRPr="00810A71">
        <w:rPr>
          <w:rFonts w:eastAsia="Times New Roman" w:cs="Times New Roman"/>
          <w:b/>
          <w:bCs/>
          <w:kern w:val="36"/>
          <w:sz w:val="48"/>
          <w:szCs w:val="48"/>
          <w14:ligatures w14:val="none"/>
        </w:rPr>
        <w:t>SE STUDIES</w:t>
      </w:r>
    </w:p>
    <w:p w14:paraId="1D1D24CF" w14:textId="4ECA943E" w:rsidR="00A6616C" w:rsidRPr="00A6616C" w:rsidRDefault="00A6616C" w:rsidP="00194A40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</w:pPr>
      <w:r w:rsidRPr="00A6616C"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  <w:t>13</w:t>
      </w:r>
      <w:r w:rsidRPr="00A6616C">
        <w:rPr>
          <w:rFonts w:eastAsia="Times New Roman" w:cs="Times New Roman"/>
          <w:b/>
          <w:bCs/>
          <w:kern w:val="36"/>
          <w:sz w:val="36"/>
          <w:szCs w:val="36"/>
          <w:vertAlign w:val="superscript"/>
          <w14:ligatures w14:val="none"/>
        </w:rPr>
        <w:t>th</w:t>
      </w:r>
      <w:r w:rsidRPr="00A6616C"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  <w:t xml:space="preserve"> -17</w:t>
      </w:r>
      <w:r w:rsidRPr="00A6616C">
        <w:rPr>
          <w:rFonts w:eastAsia="Times New Roman" w:cs="Times New Roman"/>
          <w:b/>
          <w:bCs/>
          <w:kern w:val="36"/>
          <w:sz w:val="36"/>
          <w:szCs w:val="36"/>
          <w:vertAlign w:val="superscript"/>
          <w14:ligatures w14:val="none"/>
        </w:rPr>
        <w:t>th</w:t>
      </w:r>
      <w:r w:rsidRPr="00A6616C">
        <w:rPr>
          <w:rFonts w:eastAsia="Times New Roman" w:cs="Times New Roman"/>
          <w:b/>
          <w:bCs/>
          <w:kern w:val="36"/>
          <w:sz w:val="36"/>
          <w:szCs w:val="36"/>
          <w14:ligatures w14:val="none"/>
        </w:rPr>
        <w:t xml:space="preserve"> April 2026, Tanoa International Hotel, Nadi, Fiji</w:t>
      </w:r>
    </w:p>
    <w:p w14:paraId="43556175" w14:textId="77777777" w:rsidR="00194A40" w:rsidRPr="00A6616C" w:rsidRDefault="00000000" w:rsidP="00194A40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A6616C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pict w14:anchorId="6E9992F0">
          <v:rect id="_x0000_i1025" style="width:0;height:1.5pt" o:hralign="center" o:hrstd="t" o:hr="t" fillcolor="#a0a0a0" stroked="f"/>
        </w:pict>
      </w:r>
    </w:p>
    <w:p w14:paraId="3D888EC9" w14:textId="1635DA7E" w:rsidR="00194A40" w:rsidRPr="00DB0412" w:rsidRDefault="00194A40" w:rsidP="00DB0412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B041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Introduction</w:t>
      </w:r>
    </w:p>
    <w:p w14:paraId="0031EBF6" w14:textId="55F43F97" w:rsidR="00DB0412" w:rsidRPr="00DB0412" w:rsidRDefault="00DB0412" w:rsidP="00DB0412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14:ligatures w14:val="none"/>
        </w:rPr>
        <w:drawing>
          <wp:anchor distT="0" distB="0" distL="114300" distR="114300" simplePos="0" relativeHeight="251658240" behindDoc="0" locked="0" layoutInCell="1" allowOverlap="1" wp14:anchorId="67331460" wp14:editId="667B9FAD">
            <wp:simplePos x="0" y="0"/>
            <wp:positionH relativeFrom="column">
              <wp:posOffset>227527</wp:posOffset>
            </wp:positionH>
            <wp:positionV relativeFrom="paragraph">
              <wp:posOffset>1664</wp:posOffset>
            </wp:positionV>
            <wp:extent cx="2976835" cy="1800055"/>
            <wp:effectExtent l="0" t="0" r="0" b="0"/>
            <wp:wrapSquare wrapText="bothSides"/>
            <wp:docPr id="19786778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35" cy="180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DA8139" w14:textId="13416622" w:rsidR="00194A40" w:rsidRPr="00194A40" w:rsidRDefault="00194A40" w:rsidP="00194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>Papua New Guinea (PNG) is located along the Pacific “Ring of Fire,” making it highly vulnerable to earthquakes and tsunami hazards. Coastal communities—especially along the northern coastline—face</w:t>
      </w:r>
      <w:r w:rsidR="00DB0412" w:rsidRPr="00194A40">
        <w:rPr>
          <w:rFonts w:ascii="Times New Roman" w:eastAsia="Times New Roman" w:hAnsi="Times New Roman" w:cs="Times New Roman"/>
          <w:kern w:val="0"/>
          <w14:ligatures w14:val="none"/>
        </w:rPr>
        <w:t>, are significant</w:t>
      </w: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 risk due to proximity to active tectonic zones.</w:t>
      </w:r>
    </w:p>
    <w:p w14:paraId="10A62EA7" w14:textId="6EBFAE12" w:rsidR="00194A40" w:rsidRPr="00194A40" w:rsidRDefault="00194A40" w:rsidP="00194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Tsunamis in PNG are often </w:t>
      </w:r>
      <w:r w:rsidRPr="00194A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locally generated</w:t>
      </w:r>
      <w:r w:rsidRPr="00194A40">
        <w:rPr>
          <w:rFonts w:ascii="Times New Roman" w:eastAsia="Times New Roman" w:hAnsi="Times New Roman" w:cs="Times New Roman"/>
          <w:kern w:val="0"/>
          <w14:ligatures w14:val="none"/>
        </w:rPr>
        <w:t>, meaning they can strike within minutes, leaving very little time for warning and evacuation.</w:t>
      </w:r>
    </w:p>
    <w:p w14:paraId="62FBDB81" w14:textId="77777777" w:rsidR="00194A40" w:rsidRPr="00194A40" w:rsidRDefault="00000000" w:rsidP="00194A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4A6E60B">
          <v:rect id="_x0000_i1026" style="width:0;height:1.5pt" o:hralign="center" o:hrstd="t" o:hr="t" fillcolor="#a0a0a0" stroked="f"/>
        </w:pict>
      </w:r>
    </w:p>
    <w:p w14:paraId="406D06D8" w14:textId="275C4C16" w:rsidR="00DB0412" w:rsidRPr="00194A40" w:rsidRDefault="00194A40" w:rsidP="00DB04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Purpose of the Presentation</w:t>
      </w:r>
    </w:p>
    <w:p w14:paraId="4F673705" w14:textId="3B9154E7" w:rsidR="00194A40" w:rsidRPr="00194A40" w:rsidRDefault="00ED0E67" w:rsidP="00194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Status of the</w:t>
      </w:r>
      <w:r w:rsidR="00194A40"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 tsunami evacuation planning in PNG </w:t>
      </w:r>
    </w:p>
    <w:p w14:paraId="45B69FBF" w14:textId="77777777" w:rsidR="00194A40" w:rsidRPr="00194A40" w:rsidRDefault="00194A40" w:rsidP="00194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To assess past tsunami events and lessons learned </w:t>
      </w:r>
    </w:p>
    <w:p w14:paraId="0A1B2F91" w14:textId="77777777" w:rsidR="00194A40" w:rsidRPr="00194A40" w:rsidRDefault="00194A40" w:rsidP="00194A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To identify challenges and gaps </w:t>
      </w:r>
    </w:p>
    <w:p w14:paraId="2577C0E5" w14:textId="30179788" w:rsidR="00194A40" w:rsidRPr="00904BE6" w:rsidRDefault="00194A40" w:rsidP="00904B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To propose future strategies and way forward </w:t>
      </w:r>
    </w:p>
    <w:p w14:paraId="7E2FC676" w14:textId="00B13FD4" w:rsidR="00194A40" w:rsidRPr="00904BE6" w:rsidRDefault="00904BE6" w:rsidP="00904B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</w:t>
      </w:r>
      <w:r w:rsidR="00194A40" w:rsidRPr="00904BE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Overview of Tsunami Risk in PNG</w:t>
      </w:r>
    </w:p>
    <w:p w14:paraId="138C4C08" w14:textId="624F96FE" w:rsidR="00DE7CF5" w:rsidRPr="00DE7CF5" w:rsidRDefault="00DE7CF5" w:rsidP="00DE7C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noProof/>
        </w:rPr>
        <w:lastRenderedPageBreak/>
        <w:drawing>
          <wp:inline distT="0" distB="0" distL="0" distR="0" wp14:anchorId="22607DFE" wp14:editId="5C768AAF">
            <wp:extent cx="5086985" cy="3043160"/>
            <wp:effectExtent l="0" t="0" r="0" b="5080"/>
            <wp:docPr id="3" name="Picture 2" descr="Tectonic setting of the Papua New Guinea region. Topography and... | 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ctonic setting of the Papua New Guinea region. Topography and... | 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13" cy="305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DA2B1" w14:textId="77777777" w:rsidR="00194A40" w:rsidRPr="00194A40" w:rsidRDefault="00194A40" w:rsidP="00194A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PNG lies near active plate boundaries (Australian &amp; Pacific Plates) </w:t>
      </w:r>
    </w:p>
    <w:p w14:paraId="16B723AA" w14:textId="77777777" w:rsidR="00194A40" w:rsidRPr="00194A40" w:rsidRDefault="00194A40" w:rsidP="00194A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Frequent seismic activity in: </w:t>
      </w:r>
    </w:p>
    <w:p w14:paraId="0ADFEF8D" w14:textId="77777777" w:rsidR="00194A40" w:rsidRPr="00194A40" w:rsidRDefault="00194A40" w:rsidP="00194A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Bismarck Sea </w:t>
      </w:r>
    </w:p>
    <w:p w14:paraId="4BF5AFF1" w14:textId="77777777" w:rsidR="00194A40" w:rsidRPr="00194A40" w:rsidRDefault="00194A40" w:rsidP="00194A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New Guinea Trench </w:t>
      </w:r>
    </w:p>
    <w:p w14:paraId="2B6B817A" w14:textId="77777777" w:rsidR="00194A40" w:rsidRPr="00194A40" w:rsidRDefault="00194A40" w:rsidP="00194A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Solomon Sea </w:t>
      </w:r>
    </w:p>
    <w:p w14:paraId="5652DF64" w14:textId="77777777" w:rsidR="00194A40" w:rsidRPr="00194A40" w:rsidRDefault="00194A40" w:rsidP="00194A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Coastal communities are: </w:t>
      </w:r>
    </w:p>
    <w:p w14:paraId="4450D067" w14:textId="77777777" w:rsidR="00194A40" w:rsidRPr="00194A40" w:rsidRDefault="00194A40" w:rsidP="00194A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Low-lying </w:t>
      </w:r>
    </w:p>
    <w:p w14:paraId="6B57C76C" w14:textId="77777777" w:rsidR="00194A40" w:rsidRPr="00194A40" w:rsidRDefault="00194A40" w:rsidP="00194A4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Densely populated </w:t>
      </w:r>
    </w:p>
    <w:p w14:paraId="55FB69B7" w14:textId="2B68F3EF" w:rsidR="00194A40" w:rsidRPr="00904BE6" w:rsidRDefault="00194A40" w:rsidP="00904BE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Dependent on marine resources </w:t>
      </w:r>
    </w:p>
    <w:p w14:paraId="291379A2" w14:textId="77777777" w:rsidR="00194A40" w:rsidRPr="00194A40" w:rsidRDefault="00194A40" w:rsidP="00194A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Concept of Tsunami Evacuation Planning</w:t>
      </w:r>
    </w:p>
    <w:p w14:paraId="6B2E01C2" w14:textId="08C0B843" w:rsidR="00194A40" w:rsidRPr="00194A40" w:rsidRDefault="00194A40" w:rsidP="00194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>Tsunami evacuation planning involves:</w:t>
      </w:r>
    </w:p>
    <w:p w14:paraId="5F065B5F" w14:textId="77777777" w:rsidR="00194A40" w:rsidRPr="00194A40" w:rsidRDefault="00194A40" w:rsidP="00194A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Early warning systems </w:t>
      </w:r>
    </w:p>
    <w:p w14:paraId="11EC3AEF" w14:textId="77777777" w:rsidR="00194A40" w:rsidRPr="00194A40" w:rsidRDefault="00194A40" w:rsidP="00194A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Community awareness and preparedness </w:t>
      </w:r>
    </w:p>
    <w:p w14:paraId="2E9D9A1F" w14:textId="77777777" w:rsidR="00194A40" w:rsidRPr="00194A40" w:rsidRDefault="00194A40" w:rsidP="00194A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Identification of safe evacuation routes </w:t>
      </w:r>
    </w:p>
    <w:p w14:paraId="6F2E730C" w14:textId="77777777" w:rsidR="00194A40" w:rsidRPr="00194A40" w:rsidRDefault="00194A40" w:rsidP="00194A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Designation of evacuation centers </w:t>
      </w:r>
    </w:p>
    <w:p w14:paraId="640080C1" w14:textId="77777777" w:rsidR="00194A40" w:rsidRDefault="00194A40" w:rsidP="00194A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Coordination among agencies </w:t>
      </w:r>
    </w:p>
    <w:p w14:paraId="02584D73" w14:textId="49B73482" w:rsidR="00194A40" w:rsidRPr="00CA2735" w:rsidRDefault="00ED0E67" w:rsidP="00194A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Mounting of tsunami signage along the tsunami prone areas</w:t>
      </w:r>
    </w:p>
    <w:p w14:paraId="6155FA85" w14:textId="512890EE" w:rsidR="00194A40" w:rsidRPr="00904BE6" w:rsidRDefault="00000000" w:rsidP="00904BE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4B0DC53">
          <v:rect id="_x0000_i1027" style="width:0;height:1.5pt" o:hralign="center" o:hrstd="t" o:hr="t" fillcolor="#a0a0a0" stroked="f"/>
        </w:pict>
      </w:r>
      <w:r w:rsidR="00194A40" w:rsidRPr="00194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431C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</w:t>
      </w:r>
      <w:r w:rsidR="00194A40" w:rsidRPr="00194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Case Study 1: 17 July 1998 – Aitape Tsunami (Sandaun Province)</w:t>
      </w:r>
    </w:p>
    <w:p w14:paraId="3A78A4A5" w14:textId="77777777" w:rsidR="00194A40" w:rsidRPr="00194A40" w:rsidRDefault="00194A40" w:rsidP="00194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Event Summary</w:t>
      </w:r>
    </w:p>
    <w:p w14:paraId="41513019" w14:textId="77777777" w:rsidR="00194A40" w:rsidRPr="00194A40" w:rsidRDefault="00194A40" w:rsidP="00194A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Magnitude 7.0 earthquake triggered tsunami </w:t>
      </w:r>
    </w:p>
    <w:p w14:paraId="62AF06F9" w14:textId="77777777" w:rsidR="00194A40" w:rsidRPr="00194A40" w:rsidRDefault="00194A40" w:rsidP="00194A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Waves reached </w:t>
      </w:r>
      <w:r w:rsidRPr="00194A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10–15 meters high</w:t>
      </w: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FAB5AC4" w14:textId="77777777" w:rsidR="00194A40" w:rsidRPr="00194A40" w:rsidRDefault="00194A40" w:rsidP="00194A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Over </w:t>
      </w:r>
      <w:r w:rsidRPr="00194A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1,600–2,000 deaths</w:t>
      </w: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BC60904" w14:textId="5B05059E" w:rsidR="00194A40" w:rsidRPr="00194A40" w:rsidRDefault="00194A40" w:rsidP="00194A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Entire villages destroyed along Sissano Lagoon </w:t>
      </w:r>
      <w:r w:rsidR="00A03D35">
        <w:rPr>
          <w:rFonts w:ascii="Times New Roman" w:eastAsia="Times New Roman" w:hAnsi="Times New Roman" w:cs="Times New Roman"/>
          <w:kern w:val="0"/>
          <w14:ligatures w14:val="none"/>
        </w:rPr>
        <w:t>in sanduan province</w:t>
      </w:r>
    </w:p>
    <w:p w14:paraId="1754A304" w14:textId="77777777" w:rsidR="00194A40" w:rsidRPr="00194A40" w:rsidRDefault="00194A40" w:rsidP="00194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Observations</w:t>
      </w:r>
    </w:p>
    <w:p w14:paraId="15B66FED" w14:textId="61BA2A47" w:rsidR="00ED0E67" w:rsidRDefault="00ED0E67" w:rsidP="00194A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It’s </w:t>
      </w:r>
      <w:r w:rsidR="004B6511">
        <w:rPr>
          <w:rFonts w:ascii="Times New Roman" w:eastAsia="Times New Roman" w:hAnsi="Times New Roman" w:cs="Times New Roman"/>
          <w:kern w:val="0"/>
          <w14:ligatures w14:val="none"/>
        </w:rPr>
        <w:t>was an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local source tsunami event</w:t>
      </w:r>
    </w:p>
    <w:p w14:paraId="24FE8BA6" w14:textId="37E9A00B" w:rsidR="00194A40" w:rsidRPr="00194A40" w:rsidRDefault="00194A40" w:rsidP="00194A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Tsunami arrived within </w:t>
      </w:r>
      <w:r w:rsidRPr="00194A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10–20 minutes</w:t>
      </w: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C408E">
        <w:rPr>
          <w:rFonts w:ascii="Times New Roman" w:eastAsia="Times New Roman" w:hAnsi="Times New Roman" w:cs="Times New Roman"/>
          <w:kern w:val="0"/>
          <w14:ligatures w14:val="none"/>
        </w:rPr>
        <w:t>time</w:t>
      </w:r>
    </w:p>
    <w:p w14:paraId="544025D0" w14:textId="77777777" w:rsidR="00194A40" w:rsidRPr="00194A40" w:rsidRDefault="00194A40" w:rsidP="00194A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No warning system in place </w:t>
      </w:r>
    </w:p>
    <w:p w14:paraId="3BF7737B" w14:textId="14FBB1C5" w:rsidR="00194A40" w:rsidRPr="00194A40" w:rsidRDefault="00194A40" w:rsidP="00194A4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Communities unaware </w:t>
      </w:r>
      <w:r w:rsidR="00ED0E67">
        <w:rPr>
          <w:rFonts w:ascii="Times New Roman" w:eastAsia="Times New Roman" w:hAnsi="Times New Roman" w:cs="Times New Roman"/>
          <w:kern w:val="0"/>
          <w14:ligatures w14:val="none"/>
        </w:rPr>
        <w:t xml:space="preserve">and tsunami awareness were limited </w:t>
      </w:r>
    </w:p>
    <w:p w14:paraId="1F160423" w14:textId="77777777" w:rsidR="00194A40" w:rsidRPr="00194A40" w:rsidRDefault="00194A40" w:rsidP="00194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Evacuation Status</w:t>
      </w:r>
    </w:p>
    <w:p w14:paraId="2AA96D03" w14:textId="30722464" w:rsidR="00194A40" w:rsidRPr="00194A40" w:rsidRDefault="00194A40" w:rsidP="00194A4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No structured evacuation planning </w:t>
      </w:r>
      <w:r w:rsidR="00ED0E67">
        <w:rPr>
          <w:rFonts w:ascii="Times New Roman" w:eastAsia="Times New Roman" w:hAnsi="Times New Roman" w:cs="Times New Roman"/>
          <w:kern w:val="0"/>
          <w14:ligatures w14:val="none"/>
        </w:rPr>
        <w:t>in place</w:t>
      </w:r>
    </w:p>
    <w:p w14:paraId="3C0474E3" w14:textId="03ADF3F9" w:rsidR="00ED0E67" w:rsidRPr="00ED0E67" w:rsidRDefault="00194A40" w:rsidP="00ED0E6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People moved randomly </w:t>
      </w:r>
      <w:r w:rsidR="008120E5">
        <w:rPr>
          <w:rFonts w:ascii="Times New Roman" w:eastAsia="Times New Roman" w:hAnsi="Times New Roman" w:cs="Times New Roman"/>
          <w:kern w:val="0"/>
          <w14:ligatures w14:val="none"/>
        </w:rPr>
        <w:t xml:space="preserve">causing many deaths and </w:t>
      </w:r>
      <w:r w:rsidR="00B819C9">
        <w:rPr>
          <w:rFonts w:ascii="Times New Roman" w:eastAsia="Times New Roman" w:hAnsi="Times New Roman" w:cs="Times New Roman"/>
          <w:kern w:val="0"/>
          <w14:ligatures w14:val="none"/>
        </w:rPr>
        <w:t>destroyed properties</w:t>
      </w:r>
    </w:p>
    <w:p w14:paraId="4BDE9A65" w14:textId="77777777" w:rsidR="00194A40" w:rsidRPr="00194A40" w:rsidRDefault="00194A40" w:rsidP="00194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Lessons Learned</w:t>
      </w:r>
    </w:p>
    <w:p w14:paraId="35D60503" w14:textId="77777777" w:rsidR="00194A40" w:rsidRPr="00194A40" w:rsidRDefault="00194A40" w:rsidP="00194A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Need for </w:t>
      </w:r>
      <w:r w:rsidRPr="00194A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awareness</w:t>
      </w: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E8B0247" w14:textId="77777777" w:rsidR="00194A40" w:rsidRPr="00194A40" w:rsidRDefault="00194A40" w:rsidP="00194A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Importance of </w:t>
      </w:r>
      <w:r w:rsidRPr="00194A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natural warning signs</w:t>
      </w: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 (earthquake + sea withdrawal) </w:t>
      </w:r>
    </w:p>
    <w:p w14:paraId="65E354DA" w14:textId="77777777" w:rsidR="00194A40" w:rsidRDefault="00194A40" w:rsidP="00194A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Critical need for </w:t>
      </w:r>
      <w:r w:rsidRPr="00194A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early warning systems</w:t>
      </w: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1423990" w14:textId="4AA91B72" w:rsidR="00ED0E67" w:rsidRPr="00194A40" w:rsidRDefault="00715F5D" w:rsidP="00194A4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Need for continuous awareness on regular basis </w:t>
      </w:r>
    </w:p>
    <w:p w14:paraId="5D3B2129" w14:textId="77777777" w:rsidR="00194A40" w:rsidRPr="00194A40" w:rsidRDefault="00000000" w:rsidP="00194A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0013C11">
          <v:rect id="_x0000_i1028" style="width:0;height:1.5pt" o:hralign="center" o:hrstd="t" o:hr="t" fillcolor="#a0a0a0" stroked="f"/>
        </w:pict>
      </w:r>
    </w:p>
    <w:p w14:paraId="4074064C" w14:textId="77777777" w:rsidR="00194A40" w:rsidRPr="00194A40" w:rsidRDefault="00194A40" w:rsidP="00194A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Case Study 2: 16 November 2000 – Bismarck Sea (New Ireland Province)</w:t>
      </w:r>
    </w:p>
    <w:p w14:paraId="3E227ABC" w14:textId="77777777" w:rsidR="00194A40" w:rsidRPr="00194A40" w:rsidRDefault="00194A40" w:rsidP="00194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Event Summary</w:t>
      </w:r>
    </w:p>
    <w:p w14:paraId="4BCB5211" w14:textId="77777777" w:rsidR="00194A40" w:rsidRDefault="00194A40" w:rsidP="00194A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Offshore earthquake generated tsunami </w:t>
      </w:r>
    </w:p>
    <w:p w14:paraId="17A5B05E" w14:textId="2F5A9EEA" w:rsidR="00715F5D" w:rsidRPr="00194A40" w:rsidRDefault="00715F5D" w:rsidP="00194A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It happened during the day </w:t>
      </w:r>
    </w:p>
    <w:p w14:paraId="521832DC" w14:textId="77777777" w:rsidR="00194A40" w:rsidRDefault="00194A40" w:rsidP="00194A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Less destructive compared to 1998 </w:t>
      </w:r>
    </w:p>
    <w:p w14:paraId="018A87C8" w14:textId="5886F124" w:rsidR="00715F5D" w:rsidRPr="00194A40" w:rsidRDefault="00B819C9" w:rsidP="00194A4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Parcel</w:t>
      </w:r>
      <w:r w:rsidR="00715F5D">
        <w:rPr>
          <w:rFonts w:ascii="Times New Roman" w:eastAsia="Times New Roman" w:hAnsi="Times New Roman" w:cs="Times New Roman"/>
          <w:kern w:val="0"/>
          <w14:ligatures w14:val="none"/>
        </w:rPr>
        <w:t xml:space="preserve"> Tsunami warning was issued from Po</w:t>
      </w:r>
      <w:r>
        <w:rPr>
          <w:rFonts w:ascii="Times New Roman" w:eastAsia="Times New Roman" w:hAnsi="Times New Roman" w:cs="Times New Roman"/>
          <w:kern w:val="0"/>
          <w14:ligatures w14:val="none"/>
        </w:rPr>
        <w:t>rt Moresby</w:t>
      </w:r>
      <w:r w:rsidR="00715F5D">
        <w:rPr>
          <w:rFonts w:ascii="Times New Roman" w:eastAsia="Times New Roman" w:hAnsi="Times New Roman" w:cs="Times New Roman"/>
          <w:kern w:val="0"/>
          <w14:ligatures w14:val="none"/>
        </w:rPr>
        <w:t xml:space="preserve"> Geophysical Observatory </w:t>
      </w:r>
    </w:p>
    <w:p w14:paraId="05641637" w14:textId="77777777" w:rsidR="00194A40" w:rsidRPr="00194A40" w:rsidRDefault="00194A40" w:rsidP="00194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Observations</w:t>
      </w:r>
    </w:p>
    <w:p w14:paraId="2016A290" w14:textId="3F43CF8C" w:rsidR="00715F5D" w:rsidRDefault="00715F5D" w:rsidP="00715F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Some coastal communities within the epicentral area experienced tsunami</w:t>
      </w:r>
    </w:p>
    <w:p w14:paraId="264E0E7B" w14:textId="731F49D6" w:rsidR="00715F5D" w:rsidRDefault="00715F5D" w:rsidP="00715F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Many were able to evacuate to the higher grounds</w:t>
      </w:r>
    </w:p>
    <w:p w14:paraId="1211FB3C" w14:textId="0F8B10B8" w:rsidR="00715F5D" w:rsidRPr="00715F5D" w:rsidRDefault="00715F5D" w:rsidP="00715F5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Some areas were evacuated, Misima island and woodlark Islands</w:t>
      </w:r>
    </w:p>
    <w:p w14:paraId="5DA9A537" w14:textId="29CA334B" w:rsidR="00194A40" w:rsidRPr="00194A40" w:rsidRDefault="00194A40" w:rsidP="00194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Lesson</w:t>
      </w:r>
      <w:r w:rsidR="009D79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learned </w:t>
      </w:r>
    </w:p>
    <w:p w14:paraId="244B7F05" w14:textId="41B63DE8" w:rsidR="00194A40" w:rsidRPr="007C1536" w:rsidRDefault="00290BBA" w:rsidP="007C15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People</w:t>
      </w:r>
      <w:r w:rsidR="009D798D">
        <w:rPr>
          <w:rFonts w:ascii="Times New Roman" w:eastAsia="Times New Roman" w:hAnsi="Times New Roman" w:cs="Times New Roman"/>
          <w:kern w:val="0"/>
          <w14:ligatures w14:val="none"/>
        </w:rPr>
        <w:t xml:space="preserve"> were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aware of the tsunami signs and </w:t>
      </w:r>
      <w:r w:rsidR="0079748B">
        <w:rPr>
          <w:rFonts w:ascii="Times New Roman" w:eastAsia="Times New Roman" w:hAnsi="Times New Roman" w:cs="Times New Roman"/>
          <w:kern w:val="0"/>
          <w14:ligatures w14:val="none"/>
        </w:rPr>
        <w:t>evacuated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higher grounds</w:t>
      </w:r>
      <w:r w:rsidR="00194A40" w:rsidRPr="009D79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3E05C16" w14:textId="799007FF" w:rsidR="00194A40" w:rsidRPr="00194A40" w:rsidRDefault="00507D73" w:rsidP="00194A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</w:t>
      </w:r>
      <w:r w:rsidR="00194A40" w:rsidRPr="00194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. Case Study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</w:t>
      </w:r>
      <w:r w:rsidR="00194A40" w:rsidRPr="00194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: </w:t>
      </w:r>
      <w:r w:rsidR="00BE19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Japan, </w:t>
      </w:r>
      <w:r w:rsidR="007974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11</w:t>
      </w:r>
      <w:r w:rsidR="0079748B" w:rsidRPr="007974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vertAlign w:val="superscript"/>
          <w14:ligatures w14:val="none"/>
        </w:rPr>
        <w:t>th</w:t>
      </w:r>
      <w:r w:rsidR="007974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="00BE19C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March</w:t>
      </w:r>
      <w:r w:rsidR="00194A40" w:rsidRPr="00194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2011 – East Sepik Province</w:t>
      </w:r>
    </w:p>
    <w:p w14:paraId="1139A0E5" w14:textId="77777777" w:rsidR="00194A40" w:rsidRPr="00194A40" w:rsidRDefault="00194A40" w:rsidP="00194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Event Summary</w:t>
      </w:r>
    </w:p>
    <w:p w14:paraId="2FC848C2" w14:textId="16C3DFD4" w:rsidR="00290BBA" w:rsidRDefault="00290BBA" w:rsidP="00194A4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Tsunami from a distant source, Tohoku Japan, Magnitude 9.1 </w:t>
      </w:r>
    </w:p>
    <w:p w14:paraId="6ADE300E" w14:textId="44B27AC2" w:rsidR="00194A40" w:rsidRDefault="00290BBA" w:rsidP="00290BB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It’s </w:t>
      </w:r>
      <w:r w:rsidR="0079748B">
        <w:rPr>
          <w:rFonts w:ascii="Times New Roman" w:eastAsia="Times New Roman" w:hAnsi="Times New Roman" w:cs="Times New Roman"/>
          <w:kern w:val="0"/>
          <w14:ligatures w14:val="none"/>
        </w:rPr>
        <w:t>was an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distant source tsunami </w:t>
      </w:r>
    </w:p>
    <w:p w14:paraId="68E67222" w14:textId="2FC8BA1F" w:rsidR="00194A40" w:rsidRPr="00290BBA" w:rsidRDefault="00507D73" w:rsidP="00290BB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290BBA">
        <w:rPr>
          <w:rFonts w:ascii="Times New Roman" w:eastAsia="Times New Roman" w:hAnsi="Times New Roman" w:cs="Times New Roman"/>
          <w:kern w:val="0"/>
          <w14:ligatures w14:val="none"/>
        </w:rPr>
        <w:t>sunami damage observed in North Coast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290BBA">
        <w:rPr>
          <w:rFonts w:ascii="Times New Roman" w:eastAsia="Times New Roman" w:hAnsi="Times New Roman" w:cs="Times New Roman"/>
          <w:kern w:val="0"/>
          <w14:ligatures w14:val="none"/>
        </w:rPr>
        <w:t xml:space="preserve"> Mainland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of </w:t>
      </w:r>
      <w:r w:rsidR="00290BBA">
        <w:rPr>
          <w:rFonts w:ascii="Times New Roman" w:eastAsia="Times New Roman" w:hAnsi="Times New Roman" w:cs="Times New Roman"/>
          <w:kern w:val="0"/>
          <w14:ligatures w14:val="none"/>
        </w:rPr>
        <w:t>PNG, Wewak</w:t>
      </w:r>
    </w:p>
    <w:p w14:paraId="6BB575AA" w14:textId="77777777" w:rsidR="00194A40" w:rsidRPr="00194A40" w:rsidRDefault="00194A40" w:rsidP="00194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Observations</w:t>
      </w:r>
    </w:p>
    <w:p w14:paraId="4D02C063" w14:textId="2CAB6DE0" w:rsidR="00290BBA" w:rsidRPr="00BE19C6" w:rsidRDefault="00290BBA" w:rsidP="00BE19C6">
      <w:pPr>
        <w:numPr>
          <w:ilvl w:val="0"/>
          <w:numId w:val="17"/>
        </w:numPr>
        <w:spacing w:before="100" w:beforeAutospacing="1" w:after="100" w:afterAutospacing="1" w:line="240" w:lineRule="auto"/>
        <w:ind w:left="1440" w:hanging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Timely tsunami information received from </w:t>
      </w:r>
      <w:r w:rsidR="00BE19C6">
        <w:rPr>
          <w:rFonts w:ascii="Times New Roman" w:eastAsia="Times New Roman" w:hAnsi="Times New Roman" w:cs="Times New Roman"/>
          <w:kern w:val="0"/>
          <w14:ligatures w14:val="none"/>
        </w:rPr>
        <w:t>Pacific Tsunami Warning Centre (</w:t>
      </w:r>
      <w:r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507D73">
        <w:rPr>
          <w:rFonts w:ascii="Times New Roman" w:eastAsia="Times New Roman" w:hAnsi="Times New Roman" w:cs="Times New Roman"/>
          <w:kern w:val="0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14:ligatures w14:val="none"/>
        </w:rPr>
        <w:t>WC</w:t>
      </w:r>
      <w:r w:rsidR="00BE19C6">
        <w:rPr>
          <w:rFonts w:ascii="Times New Roman" w:eastAsia="Times New Roman" w:hAnsi="Times New Roman" w:cs="Times New Roman"/>
          <w:kern w:val="0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E19C6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="00BE19C6" w:rsidRPr="00BE19C6">
        <w:rPr>
          <w:rFonts w:ascii="Times New Roman" w:eastAsia="Times New Roman" w:hAnsi="Times New Roman" w:cs="Times New Roman"/>
          <w:kern w:val="0"/>
          <w14:ligatures w14:val="none"/>
        </w:rPr>
        <w:t xml:space="preserve"> North West Pacific Tsunami Advisory Centre (</w:t>
      </w:r>
      <w:r w:rsidRPr="00BE19C6">
        <w:rPr>
          <w:rFonts w:ascii="Times New Roman" w:eastAsia="Times New Roman" w:hAnsi="Times New Roman" w:cs="Times New Roman"/>
          <w:kern w:val="0"/>
          <w14:ligatures w14:val="none"/>
        </w:rPr>
        <w:t>NWPTAC</w:t>
      </w:r>
      <w:r w:rsidR="00BE19C6" w:rsidRPr="00BE19C6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54A7D848" w14:textId="14BFBBCD" w:rsidR="00290BBA" w:rsidRDefault="00290BBA" w:rsidP="00194A4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Major damages </w:t>
      </w:r>
      <w:r w:rsidR="00BE19C6">
        <w:rPr>
          <w:rFonts w:ascii="Times New Roman" w:eastAsia="Times New Roman" w:hAnsi="Times New Roman" w:cs="Times New Roman"/>
          <w:kern w:val="0"/>
          <w14:ligatures w14:val="none"/>
        </w:rPr>
        <w:t>were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observed (</w:t>
      </w:r>
      <w:r w:rsidR="00C46F54">
        <w:rPr>
          <w:rFonts w:ascii="Times New Roman" w:eastAsia="Times New Roman" w:hAnsi="Times New Roman" w:cs="Times New Roman"/>
          <w:kern w:val="0"/>
          <w14:ligatures w14:val="none"/>
        </w:rPr>
        <w:t>Cons</w:t>
      </w:r>
      <w:r w:rsidR="00BE19C6">
        <w:rPr>
          <w:rFonts w:ascii="Times New Roman" w:eastAsia="Times New Roman" w:hAnsi="Times New Roman" w:cs="Times New Roman"/>
          <w:kern w:val="0"/>
          <w14:ligatures w14:val="none"/>
        </w:rPr>
        <w:t>iderable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damage </w:t>
      </w:r>
      <w:r w:rsidR="00C46F54">
        <w:rPr>
          <w:rFonts w:ascii="Times New Roman" w:eastAsia="Times New Roman" w:hAnsi="Times New Roman" w:cs="Times New Roman"/>
          <w:kern w:val="0"/>
          <w14:ligatures w14:val="none"/>
        </w:rPr>
        <w:t xml:space="preserve">to hospital facility in </w:t>
      </w:r>
      <w:r w:rsidR="003D0720">
        <w:rPr>
          <w:rFonts w:ascii="Times New Roman" w:eastAsia="Times New Roman" w:hAnsi="Times New Roman" w:cs="Times New Roman"/>
          <w:kern w:val="0"/>
          <w14:ligatures w14:val="none"/>
        </w:rPr>
        <w:t>Wewak</w:t>
      </w:r>
      <w:r w:rsidR="00C46F54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F5DBF51" w14:textId="6B4B84FB" w:rsidR="00194A40" w:rsidRPr="00194A40" w:rsidRDefault="00C46F54" w:rsidP="00194A4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Timely information was </w:t>
      </w:r>
      <w:r w:rsidR="00BE19C6">
        <w:rPr>
          <w:rFonts w:ascii="Times New Roman" w:eastAsia="Times New Roman" w:hAnsi="Times New Roman" w:cs="Times New Roman"/>
          <w:kern w:val="0"/>
          <w14:ligatures w14:val="none"/>
        </w:rPr>
        <w:t xml:space="preserve">discriminated, </w:t>
      </w:r>
      <w:r>
        <w:rPr>
          <w:rFonts w:ascii="Times New Roman" w:eastAsia="Times New Roman" w:hAnsi="Times New Roman" w:cs="Times New Roman"/>
          <w:kern w:val="0"/>
          <w14:ligatures w14:val="none"/>
        </w:rPr>
        <w:t>from NDC and Pom Geophysical Observatory</w:t>
      </w:r>
    </w:p>
    <w:p w14:paraId="5E439010" w14:textId="5B12D75C" w:rsidR="00194A40" w:rsidRPr="00194A40" w:rsidRDefault="00194A40" w:rsidP="00194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Lesson</w:t>
      </w:r>
      <w:r w:rsidR="00C46F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learned </w:t>
      </w:r>
    </w:p>
    <w:p w14:paraId="3D33AE3A" w14:textId="695789E7" w:rsidR="00C46F54" w:rsidRDefault="00C46F54" w:rsidP="00194A40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Effective tsunami early warning information was issued</w:t>
      </w:r>
    </w:p>
    <w:p w14:paraId="0BB8798E" w14:textId="73584B5B" w:rsidR="00194A40" w:rsidRDefault="00C46F54" w:rsidP="00C46F5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Orderly evacuation was carried out</w:t>
      </w:r>
    </w:p>
    <w:p w14:paraId="3F1BE1E7" w14:textId="684742C2" w:rsidR="00194A40" w:rsidRPr="007C1536" w:rsidRDefault="00C46F54" w:rsidP="007C153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No life lost </w:t>
      </w:r>
    </w:p>
    <w:p w14:paraId="2BB61FEE" w14:textId="16A58D28" w:rsidR="00194A40" w:rsidRPr="00194A40" w:rsidRDefault="00042914" w:rsidP="00194A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</w:t>
      </w:r>
      <w:r w:rsidR="00194A40" w:rsidRPr="00194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Current Status of Tsunami Evacuation Planning in PNG</w:t>
      </w:r>
    </w:p>
    <w:p w14:paraId="04F3AC1B" w14:textId="32B0F313" w:rsidR="00194A40" w:rsidRPr="00194A40" w:rsidRDefault="00BC706F" w:rsidP="00194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Remarks </w:t>
      </w:r>
    </w:p>
    <w:p w14:paraId="6CEE6481" w14:textId="2133BFDE" w:rsidR="00C46F54" w:rsidRDefault="00C46F54" w:rsidP="00194A4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From </w:t>
      </w:r>
      <w:r w:rsidR="00BE19C6">
        <w:rPr>
          <w:rFonts w:ascii="Times New Roman" w:eastAsia="Times New Roman" w:hAnsi="Times New Roman" w:cs="Times New Roman"/>
          <w:kern w:val="0"/>
          <w14:ligatures w14:val="none"/>
        </w:rPr>
        <w:t>past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case studies, we have been working on a head</w:t>
      </w:r>
      <w:r w:rsidR="00BE19C6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="00042914">
        <w:rPr>
          <w:rFonts w:ascii="Times New Roman" w:eastAsia="Times New Roman" w:hAnsi="Times New Roman" w:cs="Times New Roman"/>
          <w:kern w:val="0"/>
          <w14:ligatures w14:val="none"/>
        </w:rPr>
        <w:t>off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basis</w:t>
      </w:r>
    </w:p>
    <w:p w14:paraId="60EC16DB" w14:textId="65E549C1" w:rsidR="00C46F54" w:rsidRDefault="00C46F54" w:rsidP="00194A40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No effective evacuation planning for the tsunami prone areas </w:t>
      </w:r>
    </w:p>
    <w:p w14:paraId="08B616A4" w14:textId="2A4C193E" w:rsidR="00194A40" w:rsidRPr="007C1536" w:rsidRDefault="00BC706F" w:rsidP="007C153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There are some draft </w:t>
      </w:r>
      <w:r w:rsidR="00042914">
        <w:rPr>
          <w:rFonts w:ascii="Times New Roman" w:eastAsia="Times New Roman" w:hAnsi="Times New Roman" w:cs="Times New Roman"/>
          <w:kern w:val="0"/>
          <w14:ligatures w14:val="none"/>
        </w:rPr>
        <w:t>documents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 tsunami response planning buts needs review and expand on it</w:t>
      </w:r>
    </w:p>
    <w:p w14:paraId="4C8F3B3D" w14:textId="69E44916" w:rsidR="00194A40" w:rsidRPr="00194A40" w:rsidRDefault="00042914" w:rsidP="00194A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</w:t>
      </w:r>
      <w:r w:rsidR="00194A40" w:rsidRPr="00194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Key Challenges</w:t>
      </w:r>
    </w:p>
    <w:p w14:paraId="2DE06CB3" w14:textId="77777777" w:rsidR="00194A40" w:rsidRPr="00194A40" w:rsidRDefault="00194A40" w:rsidP="00194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Limited Early Warning Coverage</w:t>
      </w:r>
    </w:p>
    <w:p w14:paraId="15B6EB31" w14:textId="77777777" w:rsidR="00194A40" w:rsidRPr="00194A40" w:rsidRDefault="00194A40" w:rsidP="00194A4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Remote coastal communities lack communication systems </w:t>
      </w:r>
    </w:p>
    <w:p w14:paraId="25697A50" w14:textId="687CB0F2" w:rsidR="00194A40" w:rsidRPr="00194A40" w:rsidRDefault="00BC706F" w:rsidP="00194A4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For local tsunami, challenge for effective response </w:t>
      </w:r>
      <w:r w:rsidR="00194A40"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A861BCA" w14:textId="77777777" w:rsidR="00194A40" w:rsidRPr="00194A40" w:rsidRDefault="00194A40" w:rsidP="00194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Geographic Constraints</w:t>
      </w:r>
    </w:p>
    <w:p w14:paraId="65E4EE38" w14:textId="77777777" w:rsidR="00194A40" w:rsidRPr="00194A40" w:rsidRDefault="00194A40" w:rsidP="00194A4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Mountainous terrain limits evacuation routes </w:t>
      </w:r>
    </w:p>
    <w:p w14:paraId="1A93D262" w14:textId="77777777" w:rsidR="00194A40" w:rsidRPr="00194A40" w:rsidRDefault="00194A40" w:rsidP="00194A4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Isolated islands and villages </w:t>
      </w:r>
    </w:p>
    <w:p w14:paraId="33FAACA1" w14:textId="77777777" w:rsidR="00194A40" w:rsidRPr="00194A40" w:rsidRDefault="00194A40" w:rsidP="00194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Low Community Awareness</w:t>
      </w:r>
    </w:p>
    <w:p w14:paraId="32BD6AB7" w14:textId="77777777" w:rsidR="00194A40" w:rsidRPr="00194A40" w:rsidRDefault="00194A40" w:rsidP="00194A4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Many communities unaware of tsunami signs </w:t>
      </w:r>
    </w:p>
    <w:p w14:paraId="27B3BA3C" w14:textId="77777777" w:rsidR="00194A40" w:rsidRPr="00194A40" w:rsidRDefault="00194A40" w:rsidP="00194A4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Traditional beliefs may influence response </w:t>
      </w:r>
    </w:p>
    <w:p w14:paraId="34FC5BC6" w14:textId="77777777" w:rsidR="00194A40" w:rsidRPr="00194A40" w:rsidRDefault="00194A40" w:rsidP="00194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Infrastructure Limitations</w:t>
      </w:r>
    </w:p>
    <w:p w14:paraId="50599BD0" w14:textId="77777777" w:rsidR="00194A40" w:rsidRPr="00194A40" w:rsidRDefault="00194A40" w:rsidP="00194A40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Lack of: </w:t>
      </w:r>
    </w:p>
    <w:p w14:paraId="18BB4F16" w14:textId="77777777" w:rsidR="00194A40" w:rsidRPr="00194A40" w:rsidRDefault="00194A40" w:rsidP="00194A4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Evacuation shelters </w:t>
      </w:r>
    </w:p>
    <w:p w14:paraId="64D5AE45" w14:textId="77777777" w:rsidR="00194A40" w:rsidRPr="00194A40" w:rsidRDefault="00194A40" w:rsidP="00194A4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Signage </w:t>
      </w:r>
    </w:p>
    <w:p w14:paraId="748B7E81" w14:textId="77777777" w:rsidR="00194A40" w:rsidRPr="00194A40" w:rsidRDefault="00194A40" w:rsidP="00194A40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Safe routes </w:t>
      </w:r>
    </w:p>
    <w:p w14:paraId="26811B38" w14:textId="77777777" w:rsidR="00194A40" w:rsidRPr="00194A40" w:rsidRDefault="00194A40" w:rsidP="00194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Coordination Issues</w:t>
      </w:r>
    </w:p>
    <w:p w14:paraId="41FDECAA" w14:textId="71E599B0" w:rsidR="00194A40" w:rsidRPr="00194A40" w:rsidRDefault="006B58AF" w:rsidP="00194A4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Lack</w:t>
      </w:r>
      <w:r w:rsidR="00194A40"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 integration between agencies </w:t>
      </w:r>
    </w:p>
    <w:p w14:paraId="03BA153B" w14:textId="7E61C459" w:rsidR="00194A40" w:rsidRPr="007C1536" w:rsidRDefault="00194A40" w:rsidP="007C153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Limited provincial capacity </w:t>
      </w:r>
    </w:p>
    <w:p w14:paraId="14CD3D85" w14:textId="5D90D602" w:rsidR="00194A40" w:rsidRPr="00194A40" w:rsidRDefault="00194A40" w:rsidP="00194A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="004879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0</w:t>
      </w:r>
      <w:r w:rsidRPr="00194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. </w:t>
      </w:r>
      <w:r w:rsidR="004879F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Some </w:t>
      </w:r>
      <w:r w:rsidRPr="00194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Successes and Improvements</w:t>
      </w:r>
    </w:p>
    <w:p w14:paraId="20BDDCED" w14:textId="4CF18F20" w:rsidR="00194A40" w:rsidRPr="00194A40" w:rsidRDefault="00194A40" w:rsidP="00194A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Increased awareness after 1998 </w:t>
      </w:r>
      <w:r w:rsidR="00BC706F">
        <w:rPr>
          <w:rFonts w:ascii="Times New Roman" w:eastAsia="Times New Roman" w:hAnsi="Times New Roman" w:cs="Times New Roman"/>
          <w:kern w:val="0"/>
          <w14:ligatures w14:val="none"/>
        </w:rPr>
        <w:t>tsunami</w:t>
      </w: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ED1401F" w14:textId="77777777" w:rsidR="00194A40" w:rsidRPr="00194A40" w:rsidRDefault="00194A40" w:rsidP="00194A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Integration with regional tsunami warning systems </w:t>
      </w:r>
    </w:p>
    <w:p w14:paraId="2C95BECD" w14:textId="77777777" w:rsidR="00194A40" w:rsidRPr="00194A40" w:rsidRDefault="00194A40" w:rsidP="00194A40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Growing involvement of: </w:t>
      </w:r>
    </w:p>
    <w:p w14:paraId="07C59AA3" w14:textId="5849F2ED" w:rsidR="00194A40" w:rsidRPr="00194A40" w:rsidRDefault="00194A40" w:rsidP="00194A40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Provincial Disaster Offices </w:t>
      </w:r>
      <w:r w:rsidR="00BC706F">
        <w:rPr>
          <w:rFonts w:ascii="Times New Roman" w:eastAsia="Times New Roman" w:hAnsi="Times New Roman" w:cs="Times New Roman"/>
          <w:kern w:val="0"/>
          <w14:ligatures w14:val="none"/>
        </w:rPr>
        <w:t xml:space="preserve">and line agencies </w:t>
      </w:r>
    </w:p>
    <w:p w14:paraId="42CA22BA" w14:textId="77777777" w:rsidR="00194A40" w:rsidRPr="00194A40" w:rsidRDefault="00194A40" w:rsidP="00194A40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NGOs and partners </w:t>
      </w:r>
    </w:p>
    <w:p w14:paraId="0C356B74" w14:textId="7088BA9A" w:rsidR="00194A40" w:rsidRPr="007C1536" w:rsidRDefault="00194A40" w:rsidP="007C153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>Some community-based disaster risk reduction programs</w:t>
      </w:r>
      <w:r w:rsidR="00151380">
        <w:rPr>
          <w:rFonts w:ascii="Times New Roman" w:eastAsia="Times New Roman" w:hAnsi="Times New Roman" w:cs="Times New Roman"/>
          <w:kern w:val="0"/>
          <w14:ligatures w14:val="none"/>
        </w:rPr>
        <w:t xml:space="preserve"> (CBRDM)</w:t>
      </w:r>
      <w:r w:rsidR="00BC706F">
        <w:rPr>
          <w:rFonts w:ascii="Times New Roman" w:eastAsia="Times New Roman" w:hAnsi="Times New Roman" w:cs="Times New Roman"/>
          <w:kern w:val="0"/>
          <w14:ligatures w14:val="none"/>
        </w:rPr>
        <w:t>, for example, IOM</w:t>
      </w:r>
    </w:p>
    <w:p w14:paraId="019B5236" w14:textId="33BEB290" w:rsidR="00194A40" w:rsidRPr="00194A40" w:rsidRDefault="00194A40" w:rsidP="00194A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="00E019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Pr="00194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Future Tsunami Evacuation Planning (Way Forward)</w:t>
      </w:r>
    </w:p>
    <w:p w14:paraId="3EADA2A8" w14:textId="77777777" w:rsidR="00194A40" w:rsidRPr="00194A40" w:rsidRDefault="00194A40" w:rsidP="00194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Strengthen Early Warning Systems</w:t>
      </w:r>
    </w:p>
    <w:p w14:paraId="2645D3FC" w14:textId="4A8A2935" w:rsidR="00194A40" w:rsidRPr="00194A40" w:rsidRDefault="00194A40" w:rsidP="00194A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Expand communication networks </w:t>
      </w:r>
      <w:r w:rsidR="0076304C">
        <w:rPr>
          <w:rFonts w:ascii="Times New Roman" w:eastAsia="Times New Roman" w:hAnsi="Times New Roman" w:cs="Times New Roman"/>
          <w:kern w:val="0"/>
          <w14:ligatures w14:val="none"/>
        </w:rPr>
        <w:t xml:space="preserve">and evacuation route modeling to coastal communities </w:t>
      </w:r>
      <w:r w:rsidRPr="00194A40">
        <w:rPr>
          <w:rFonts w:ascii="Times New Roman" w:eastAsia="Times New Roman" w:hAnsi="Times New Roman" w:cs="Times New Roman"/>
          <w:kern w:val="0"/>
          <w14:ligatures w14:val="none"/>
        </w:rPr>
        <w:t>(radio, SMS alerts</w:t>
      </w:r>
      <w:r w:rsidR="00B87BE6">
        <w:rPr>
          <w:rFonts w:ascii="Times New Roman" w:eastAsia="Times New Roman" w:hAnsi="Times New Roman" w:cs="Times New Roman"/>
          <w:kern w:val="0"/>
          <w14:ligatures w14:val="none"/>
        </w:rPr>
        <w:t>, wattsup messages, emails</w:t>
      </w: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FE23E64" w14:textId="77777777" w:rsidR="00194A40" w:rsidRPr="00194A40" w:rsidRDefault="00194A40" w:rsidP="00194A40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Improve last-mile connectivity </w:t>
      </w:r>
    </w:p>
    <w:p w14:paraId="058065FD" w14:textId="77777777" w:rsidR="00194A40" w:rsidRPr="00194A40" w:rsidRDefault="00194A40" w:rsidP="00194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Community-Based Evacuation Planning</w:t>
      </w:r>
    </w:p>
    <w:p w14:paraId="29D53E5A" w14:textId="6820AE92" w:rsidR="00194A40" w:rsidRPr="00194A40" w:rsidRDefault="00194A40" w:rsidP="00194A4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Develop </w:t>
      </w:r>
      <w:r w:rsidR="003A3E4B">
        <w:rPr>
          <w:rFonts w:ascii="Times New Roman" w:eastAsia="Times New Roman" w:hAnsi="Times New Roman" w:cs="Times New Roman"/>
          <w:kern w:val="0"/>
          <w14:ligatures w14:val="none"/>
        </w:rPr>
        <w:t>Community</w:t>
      </w: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-level evacuation maps </w:t>
      </w:r>
      <w:r w:rsidR="003A3E4B">
        <w:rPr>
          <w:rFonts w:ascii="Times New Roman" w:eastAsia="Times New Roman" w:hAnsi="Times New Roman" w:cs="Times New Roman"/>
          <w:kern w:val="0"/>
          <w14:ligatures w14:val="none"/>
        </w:rPr>
        <w:t>plans</w:t>
      </w:r>
    </w:p>
    <w:p w14:paraId="74C5D94F" w14:textId="77777777" w:rsidR="00194A40" w:rsidRPr="00194A40" w:rsidRDefault="00194A40" w:rsidP="00194A4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Identify safe high-ground areas </w:t>
      </w:r>
    </w:p>
    <w:p w14:paraId="652EAB00" w14:textId="2BA92936" w:rsidR="00194A40" w:rsidRPr="00194A40" w:rsidRDefault="00194A40" w:rsidP="00194A40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>Conduct regular</w:t>
      </w:r>
      <w:r w:rsidR="003A3E4B">
        <w:rPr>
          <w:rFonts w:ascii="Times New Roman" w:eastAsia="Times New Roman" w:hAnsi="Times New Roman" w:cs="Times New Roman"/>
          <w:kern w:val="0"/>
          <w14:ligatures w14:val="none"/>
        </w:rPr>
        <w:t xml:space="preserve"> tsunami</w:t>
      </w: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 drills </w:t>
      </w:r>
    </w:p>
    <w:p w14:paraId="4EBACF10" w14:textId="2D8326D6" w:rsidR="00194A40" w:rsidRPr="00194A40" w:rsidRDefault="00F37534" w:rsidP="00194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</w:t>
      </w:r>
      <w:r w:rsidR="00194A40" w:rsidRPr="00194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. Capacity Building</w:t>
      </w:r>
    </w:p>
    <w:p w14:paraId="6FA67259" w14:textId="2BA7F48F" w:rsidR="00194A40" w:rsidRDefault="00194A40" w:rsidP="00194A4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Train Provincial Disaster Coordinators </w:t>
      </w:r>
      <w:r w:rsidR="0055567E">
        <w:rPr>
          <w:rFonts w:ascii="Times New Roman" w:eastAsia="Times New Roman" w:hAnsi="Times New Roman" w:cs="Times New Roman"/>
          <w:kern w:val="0"/>
          <w14:ligatures w14:val="none"/>
        </w:rPr>
        <w:t>and Managers</w:t>
      </w:r>
    </w:p>
    <w:p w14:paraId="5397D896" w14:textId="5B44530C" w:rsidR="003A3E4B" w:rsidRDefault="003A3E4B" w:rsidP="00194A4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Increase </w:t>
      </w:r>
      <w:r w:rsidR="00E019A2">
        <w:rPr>
          <w:rFonts w:ascii="Times New Roman" w:eastAsia="Times New Roman" w:hAnsi="Times New Roman" w:cs="Times New Roman"/>
          <w:kern w:val="0"/>
          <w14:ligatures w14:val="none"/>
        </w:rPr>
        <w:t>manpower</w:t>
      </w:r>
      <w:r w:rsidR="002C42E7">
        <w:rPr>
          <w:rFonts w:ascii="Times New Roman" w:eastAsia="Times New Roman" w:hAnsi="Times New Roman" w:cs="Times New Roman"/>
          <w:kern w:val="0"/>
          <w14:ligatures w14:val="none"/>
        </w:rPr>
        <w:t xml:space="preserve"> capacity </w:t>
      </w:r>
    </w:p>
    <w:p w14:paraId="4C2105E1" w14:textId="12709613" w:rsidR="003A3E4B" w:rsidRPr="00194A40" w:rsidRDefault="003A3E4B" w:rsidP="00194A40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Capacity building training, eg. Similar training like this</w:t>
      </w:r>
      <w:r w:rsidR="00E019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C5A73">
        <w:rPr>
          <w:rFonts w:ascii="Times New Roman" w:eastAsia="Times New Roman" w:hAnsi="Times New Roman" w:cs="Times New Roman"/>
          <w:kern w:val="0"/>
          <w14:ligatures w14:val="none"/>
        </w:rPr>
        <w:t>is needed</w:t>
      </w:r>
      <w:r w:rsidR="00E019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D9F90A1" w14:textId="7E0DF786" w:rsidR="00194A40" w:rsidRPr="003A3E4B" w:rsidRDefault="00194A40" w:rsidP="003A3E4B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Strengthen inter-agency collaboration </w:t>
      </w:r>
      <w:r w:rsidRPr="003A3E4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73D1482" w14:textId="6D130A29" w:rsidR="00194A40" w:rsidRPr="00194A40" w:rsidRDefault="00000000" w:rsidP="00194A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2F518A3">
          <v:rect id="_x0000_i1029" style="width:0;height:1.5pt" o:hralign="center" o:hrstd="t" o:hr="t" fillcolor="#a0a0a0" stroked="f"/>
        </w:pict>
      </w:r>
    </w:p>
    <w:p w14:paraId="0D488E6E" w14:textId="0BC78FF9" w:rsidR="00194A40" w:rsidRPr="00194A40" w:rsidRDefault="00194A40" w:rsidP="00194A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94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</w:t>
      </w:r>
      <w:r w:rsidR="00F3753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</w:t>
      </w:r>
      <w:r w:rsidRPr="00194A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Conclusion</w:t>
      </w:r>
    </w:p>
    <w:p w14:paraId="338CC537" w14:textId="23329BE9" w:rsidR="00194A40" w:rsidRPr="00194A40" w:rsidRDefault="00194A40" w:rsidP="00194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Papua New Guinea has experienced devastating tsunami events, particularly the 1998 Aitape </w:t>
      </w:r>
      <w:r w:rsidR="00F37534">
        <w:rPr>
          <w:rFonts w:ascii="Times New Roman" w:eastAsia="Times New Roman" w:hAnsi="Times New Roman" w:cs="Times New Roman"/>
          <w:kern w:val="0"/>
          <w14:ligatures w14:val="none"/>
        </w:rPr>
        <w:t>tsunami</w:t>
      </w:r>
      <w:r w:rsidRPr="00194A40">
        <w:rPr>
          <w:rFonts w:ascii="Times New Roman" w:eastAsia="Times New Roman" w:hAnsi="Times New Roman" w:cs="Times New Roman"/>
          <w:kern w:val="0"/>
          <w14:ligatures w14:val="none"/>
        </w:rPr>
        <w:t>, which highlighted the nation’s vulnerability.</w:t>
      </w:r>
    </w:p>
    <w:p w14:paraId="3A768BBF" w14:textId="77777777" w:rsidR="00194A40" w:rsidRPr="00194A40" w:rsidRDefault="00194A40" w:rsidP="00194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 xml:space="preserve">While progress has been made, </w:t>
      </w:r>
      <w:r w:rsidRPr="00194A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significant gaps remain in evacuation planning, awareness, and infrastructure</w:t>
      </w:r>
      <w:r w:rsidRPr="00194A4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544E88" w14:textId="26DFB41A" w:rsidR="003A3E4B" w:rsidRDefault="007273C4" w:rsidP="00194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Therefore, </w:t>
      </w:r>
      <w:r w:rsidR="003A3E4B">
        <w:rPr>
          <w:rFonts w:ascii="Times New Roman" w:eastAsia="Times New Roman" w:hAnsi="Times New Roman" w:cs="Times New Roman"/>
          <w:kern w:val="0"/>
          <w14:ligatures w14:val="none"/>
        </w:rPr>
        <w:t xml:space="preserve">Local </w:t>
      </w:r>
      <w:r>
        <w:rPr>
          <w:rFonts w:ascii="Times New Roman" w:eastAsia="Times New Roman" w:hAnsi="Times New Roman" w:cs="Times New Roman"/>
          <w:kern w:val="0"/>
          <w14:ligatures w14:val="none"/>
        </w:rPr>
        <w:t>generated tsunami events are</w:t>
      </w:r>
      <w:r w:rsidR="003A3E4B">
        <w:rPr>
          <w:rFonts w:ascii="Times New Roman" w:eastAsia="Times New Roman" w:hAnsi="Times New Roman" w:cs="Times New Roman"/>
          <w:kern w:val="0"/>
          <w14:ligatures w14:val="none"/>
        </w:rPr>
        <w:t xml:space="preserve"> always a challenge for effective response, while for regional event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3A3E4B">
        <w:rPr>
          <w:rFonts w:ascii="Times New Roman" w:eastAsia="Times New Roman" w:hAnsi="Times New Roman" w:cs="Times New Roman"/>
          <w:kern w:val="0"/>
          <w14:ligatures w14:val="none"/>
        </w:rPr>
        <w:t xml:space="preserve"> there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is </w:t>
      </w:r>
      <w:r w:rsidR="003A3E4B">
        <w:rPr>
          <w:rFonts w:ascii="Times New Roman" w:eastAsia="Times New Roman" w:hAnsi="Times New Roman" w:cs="Times New Roman"/>
          <w:kern w:val="0"/>
          <w14:ligatures w14:val="none"/>
        </w:rPr>
        <w:t>enough time for appropriate response.</w:t>
      </w:r>
    </w:p>
    <w:p w14:paraId="70DC0423" w14:textId="2672268B" w:rsidR="00194A40" w:rsidRDefault="00194A40" w:rsidP="00194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4A40">
        <w:rPr>
          <w:rFonts w:ascii="Times New Roman" w:eastAsia="Times New Roman" w:hAnsi="Times New Roman" w:cs="Times New Roman"/>
          <w:kern w:val="0"/>
          <w14:ligatures w14:val="none"/>
        </w:rPr>
        <w:t>A coordinated, community-focused, and science-based approach is essential to strengthen tsunami resilience and protect lives</w:t>
      </w:r>
      <w:r w:rsidR="009731D0">
        <w:rPr>
          <w:rFonts w:ascii="Times New Roman" w:eastAsia="Times New Roman" w:hAnsi="Times New Roman" w:cs="Times New Roman"/>
          <w:kern w:val="0"/>
          <w14:ligatures w14:val="none"/>
        </w:rPr>
        <w:t xml:space="preserve"> in coastal islands and communities of PNG. </w:t>
      </w:r>
    </w:p>
    <w:p w14:paraId="442A4713" w14:textId="77777777" w:rsidR="00A213F5" w:rsidRDefault="00A213F5" w:rsidP="00194A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61229F" w14:textId="40D1BF81" w:rsidR="00A213F5" w:rsidRPr="00777352" w:rsidRDefault="00A213F5" w:rsidP="00A213F5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773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Thank you Tumas</w:t>
      </w:r>
    </w:p>
    <w:p w14:paraId="2043A654" w14:textId="6FDAE735" w:rsidR="001907C6" w:rsidRPr="003A3E4B" w:rsidRDefault="001907C6" w:rsidP="003A3E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1907C6" w:rsidRPr="003A3E4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5B62F" w14:textId="77777777" w:rsidR="00F45653" w:rsidRDefault="00F45653" w:rsidP="005D2352">
      <w:pPr>
        <w:spacing w:after="0" w:line="240" w:lineRule="auto"/>
      </w:pPr>
      <w:r>
        <w:separator/>
      </w:r>
    </w:p>
  </w:endnote>
  <w:endnote w:type="continuationSeparator" w:id="0">
    <w:p w14:paraId="5BAB3701" w14:textId="77777777" w:rsidR="00F45653" w:rsidRDefault="00F45653" w:rsidP="005D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2E6F" w14:textId="1211D232" w:rsidR="005D2352" w:rsidRDefault="005D2352">
    <w:pPr>
      <w:pStyle w:val="Footer"/>
    </w:pPr>
    <w: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6FAF" w14:textId="77777777" w:rsidR="00F45653" w:rsidRDefault="00F45653" w:rsidP="005D2352">
      <w:pPr>
        <w:spacing w:after="0" w:line="240" w:lineRule="auto"/>
      </w:pPr>
      <w:r>
        <w:separator/>
      </w:r>
    </w:p>
  </w:footnote>
  <w:footnote w:type="continuationSeparator" w:id="0">
    <w:p w14:paraId="4EDBC9A1" w14:textId="77777777" w:rsidR="00F45653" w:rsidRDefault="00F45653" w:rsidP="005D2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4DF"/>
    <w:multiLevelType w:val="multilevel"/>
    <w:tmpl w:val="3432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D739B"/>
    <w:multiLevelType w:val="multilevel"/>
    <w:tmpl w:val="C81A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6688C"/>
    <w:multiLevelType w:val="multilevel"/>
    <w:tmpl w:val="315C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2157B"/>
    <w:multiLevelType w:val="multilevel"/>
    <w:tmpl w:val="94D8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55DD0"/>
    <w:multiLevelType w:val="multilevel"/>
    <w:tmpl w:val="8596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10BF2"/>
    <w:multiLevelType w:val="multilevel"/>
    <w:tmpl w:val="D9CE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09475A"/>
    <w:multiLevelType w:val="multilevel"/>
    <w:tmpl w:val="176A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5357F"/>
    <w:multiLevelType w:val="multilevel"/>
    <w:tmpl w:val="ECE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444A63"/>
    <w:multiLevelType w:val="multilevel"/>
    <w:tmpl w:val="E55C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F5D2A"/>
    <w:multiLevelType w:val="multilevel"/>
    <w:tmpl w:val="A122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3B0C9F"/>
    <w:multiLevelType w:val="multilevel"/>
    <w:tmpl w:val="AC70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8E653C"/>
    <w:multiLevelType w:val="multilevel"/>
    <w:tmpl w:val="D1AC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9D6F1F"/>
    <w:multiLevelType w:val="multilevel"/>
    <w:tmpl w:val="B190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B9752A"/>
    <w:multiLevelType w:val="multilevel"/>
    <w:tmpl w:val="6072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E7C3E"/>
    <w:multiLevelType w:val="hybridMultilevel"/>
    <w:tmpl w:val="7674D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B3C3C"/>
    <w:multiLevelType w:val="multilevel"/>
    <w:tmpl w:val="3506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C80A8F"/>
    <w:multiLevelType w:val="multilevel"/>
    <w:tmpl w:val="6496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63983"/>
    <w:multiLevelType w:val="multilevel"/>
    <w:tmpl w:val="4818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B2416F"/>
    <w:multiLevelType w:val="multilevel"/>
    <w:tmpl w:val="0A5A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175C70"/>
    <w:multiLevelType w:val="multilevel"/>
    <w:tmpl w:val="F834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A15EAE"/>
    <w:multiLevelType w:val="multilevel"/>
    <w:tmpl w:val="EC66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135BAF"/>
    <w:multiLevelType w:val="multilevel"/>
    <w:tmpl w:val="1E02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615E21"/>
    <w:multiLevelType w:val="multilevel"/>
    <w:tmpl w:val="B8A6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53207D"/>
    <w:multiLevelType w:val="multilevel"/>
    <w:tmpl w:val="25A4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E545E9"/>
    <w:multiLevelType w:val="multilevel"/>
    <w:tmpl w:val="8D76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9B0856"/>
    <w:multiLevelType w:val="multilevel"/>
    <w:tmpl w:val="FB4C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F353AD"/>
    <w:multiLevelType w:val="multilevel"/>
    <w:tmpl w:val="C710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575D89"/>
    <w:multiLevelType w:val="multilevel"/>
    <w:tmpl w:val="3A68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134007"/>
    <w:multiLevelType w:val="multilevel"/>
    <w:tmpl w:val="3956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1C2D9B"/>
    <w:multiLevelType w:val="multilevel"/>
    <w:tmpl w:val="A6AE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7C14BC"/>
    <w:multiLevelType w:val="multilevel"/>
    <w:tmpl w:val="2926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D6057B"/>
    <w:multiLevelType w:val="multilevel"/>
    <w:tmpl w:val="CA64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ED1565"/>
    <w:multiLevelType w:val="multilevel"/>
    <w:tmpl w:val="ED84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254B5D"/>
    <w:multiLevelType w:val="multilevel"/>
    <w:tmpl w:val="F0C0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F758AF"/>
    <w:multiLevelType w:val="multilevel"/>
    <w:tmpl w:val="F944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6A12AE"/>
    <w:multiLevelType w:val="multilevel"/>
    <w:tmpl w:val="8640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8388776">
    <w:abstractNumId w:val="0"/>
  </w:num>
  <w:num w:numId="2" w16cid:durableId="2042242546">
    <w:abstractNumId w:val="20"/>
  </w:num>
  <w:num w:numId="3" w16cid:durableId="94911385">
    <w:abstractNumId w:val="30"/>
  </w:num>
  <w:num w:numId="4" w16cid:durableId="187564646">
    <w:abstractNumId w:val="7"/>
  </w:num>
  <w:num w:numId="5" w16cid:durableId="767385770">
    <w:abstractNumId w:val="12"/>
  </w:num>
  <w:num w:numId="6" w16cid:durableId="882716341">
    <w:abstractNumId w:val="5"/>
  </w:num>
  <w:num w:numId="7" w16cid:durableId="1043091956">
    <w:abstractNumId w:val="9"/>
  </w:num>
  <w:num w:numId="8" w16cid:durableId="829638737">
    <w:abstractNumId w:val="15"/>
  </w:num>
  <w:num w:numId="9" w16cid:durableId="1412921679">
    <w:abstractNumId w:val="1"/>
  </w:num>
  <w:num w:numId="10" w16cid:durableId="1093746874">
    <w:abstractNumId w:val="8"/>
  </w:num>
  <w:num w:numId="11" w16cid:durableId="607275612">
    <w:abstractNumId w:val="18"/>
  </w:num>
  <w:num w:numId="12" w16cid:durableId="1276521208">
    <w:abstractNumId w:val="35"/>
  </w:num>
  <w:num w:numId="13" w16cid:durableId="771124660">
    <w:abstractNumId w:val="6"/>
  </w:num>
  <w:num w:numId="14" w16cid:durableId="457531827">
    <w:abstractNumId w:val="28"/>
  </w:num>
  <w:num w:numId="15" w16cid:durableId="1471442946">
    <w:abstractNumId w:val="25"/>
  </w:num>
  <w:num w:numId="16" w16cid:durableId="2117091020">
    <w:abstractNumId w:val="26"/>
  </w:num>
  <w:num w:numId="17" w16cid:durableId="473109575">
    <w:abstractNumId w:val="22"/>
  </w:num>
  <w:num w:numId="18" w16cid:durableId="2024699453">
    <w:abstractNumId w:val="2"/>
  </w:num>
  <w:num w:numId="19" w16cid:durableId="1829053153">
    <w:abstractNumId w:val="21"/>
  </w:num>
  <w:num w:numId="20" w16cid:durableId="1667513227">
    <w:abstractNumId w:val="17"/>
  </w:num>
  <w:num w:numId="21" w16cid:durableId="1188563111">
    <w:abstractNumId w:val="34"/>
  </w:num>
  <w:num w:numId="22" w16cid:durableId="2115247387">
    <w:abstractNumId w:val="10"/>
  </w:num>
  <w:num w:numId="23" w16cid:durableId="1104419095">
    <w:abstractNumId w:val="23"/>
  </w:num>
  <w:num w:numId="24" w16cid:durableId="547953354">
    <w:abstractNumId w:val="13"/>
  </w:num>
  <w:num w:numId="25" w16cid:durableId="1531214139">
    <w:abstractNumId w:val="32"/>
  </w:num>
  <w:num w:numId="26" w16cid:durableId="552692465">
    <w:abstractNumId w:val="11"/>
  </w:num>
  <w:num w:numId="27" w16cid:durableId="1302659717">
    <w:abstractNumId w:val="27"/>
  </w:num>
  <w:num w:numId="28" w16cid:durableId="968821475">
    <w:abstractNumId w:val="33"/>
  </w:num>
  <w:num w:numId="29" w16cid:durableId="1816606206">
    <w:abstractNumId w:val="31"/>
  </w:num>
  <w:num w:numId="30" w16cid:durableId="483550387">
    <w:abstractNumId w:val="4"/>
  </w:num>
  <w:num w:numId="31" w16cid:durableId="881593586">
    <w:abstractNumId w:val="29"/>
  </w:num>
  <w:num w:numId="32" w16cid:durableId="660811081">
    <w:abstractNumId w:val="16"/>
  </w:num>
  <w:num w:numId="33" w16cid:durableId="1460293842">
    <w:abstractNumId w:val="3"/>
  </w:num>
  <w:num w:numId="34" w16cid:durableId="722296369">
    <w:abstractNumId w:val="24"/>
  </w:num>
  <w:num w:numId="35" w16cid:durableId="1943223461">
    <w:abstractNumId w:val="19"/>
  </w:num>
  <w:num w:numId="36" w16cid:durableId="8441259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40"/>
    <w:rsid w:val="000215E9"/>
    <w:rsid w:val="00042914"/>
    <w:rsid w:val="00151380"/>
    <w:rsid w:val="001907C6"/>
    <w:rsid w:val="001910E5"/>
    <w:rsid w:val="00194A40"/>
    <w:rsid w:val="00202F86"/>
    <w:rsid w:val="00290BBA"/>
    <w:rsid w:val="002C42E7"/>
    <w:rsid w:val="00346F82"/>
    <w:rsid w:val="00372BAB"/>
    <w:rsid w:val="003A06EE"/>
    <w:rsid w:val="003A3E4B"/>
    <w:rsid w:val="003D0720"/>
    <w:rsid w:val="00431C89"/>
    <w:rsid w:val="004441F5"/>
    <w:rsid w:val="00462FA6"/>
    <w:rsid w:val="004879FB"/>
    <w:rsid w:val="004B6511"/>
    <w:rsid w:val="004D2A8D"/>
    <w:rsid w:val="00507D73"/>
    <w:rsid w:val="0051047D"/>
    <w:rsid w:val="0055567E"/>
    <w:rsid w:val="00560247"/>
    <w:rsid w:val="005A7287"/>
    <w:rsid w:val="005D2352"/>
    <w:rsid w:val="006B58AF"/>
    <w:rsid w:val="00715F5D"/>
    <w:rsid w:val="007273C4"/>
    <w:rsid w:val="00752566"/>
    <w:rsid w:val="0076304C"/>
    <w:rsid w:val="00777352"/>
    <w:rsid w:val="00793A9F"/>
    <w:rsid w:val="0079748B"/>
    <w:rsid w:val="007C1536"/>
    <w:rsid w:val="007E5A10"/>
    <w:rsid w:val="00810A71"/>
    <w:rsid w:val="008120E5"/>
    <w:rsid w:val="00841875"/>
    <w:rsid w:val="008F0B42"/>
    <w:rsid w:val="00904BE6"/>
    <w:rsid w:val="009731D0"/>
    <w:rsid w:val="009A4BE2"/>
    <w:rsid w:val="009D798D"/>
    <w:rsid w:val="00A03D35"/>
    <w:rsid w:val="00A213F5"/>
    <w:rsid w:val="00A6616C"/>
    <w:rsid w:val="00AC0B06"/>
    <w:rsid w:val="00AD5D68"/>
    <w:rsid w:val="00B67717"/>
    <w:rsid w:val="00B819C9"/>
    <w:rsid w:val="00B87BE6"/>
    <w:rsid w:val="00BC706F"/>
    <w:rsid w:val="00BE19C6"/>
    <w:rsid w:val="00C220B8"/>
    <w:rsid w:val="00C46F54"/>
    <w:rsid w:val="00C62041"/>
    <w:rsid w:val="00CA2735"/>
    <w:rsid w:val="00CC408E"/>
    <w:rsid w:val="00D131DC"/>
    <w:rsid w:val="00DB0412"/>
    <w:rsid w:val="00DC5A73"/>
    <w:rsid w:val="00DE7CF5"/>
    <w:rsid w:val="00E019A2"/>
    <w:rsid w:val="00E3766C"/>
    <w:rsid w:val="00ED0E67"/>
    <w:rsid w:val="00F37534"/>
    <w:rsid w:val="00F4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2A20D"/>
  <w15:chartTrackingRefBased/>
  <w15:docId w15:val="{FF9A4F44-9850-4F06-825D-48E94BD0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A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2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352"/>
  </w:style>
  <w:style w:type="paragraph" w:styleId="Footer">
    <w:name w:val="footer"/>
    <w:basedOn w:val="Normal"/>
    <w:link w:val="FooterChar"/>
    <w:uiPriority w:val="99"/>
    <w:unhideWhenUsed/>
    <w:rsid w:val="005D2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6</Pages>
  <Words>792</Words>
  <Characters>4898</Characters>
  <Application>Microsoft Office Word</Application>
  <DocSecurity>0</DocSecurity>
  <Lines>148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35</vt:i4>
      </vt:variant>
    </vt:vector>
  </HeadingPairs>
  <TitlesOfParts>
    <vt:vector size="36" baseType="lpstr">
      <vt:lpstr/>
      <vt:lpstr>/////</vt:lpstr>
      <vt:lpstr/>
      <vt:lpstr>TSUNAMI EVACUATION PLANNING IN PAPUA NEW GUINEA AND CASE STUDIES</vt:lpstr>
      <vt:lpstr>    Introduction</vt:lpstr>
      <vt:lpstr>    /</vt:lpstr>
      <vt:lpstr>    2. Purpose of the Presentation</vt:lpstr>
      <vt:lpstr>    3.Overview of Tsunami Risk in PNG</vt:lpstr>
      <vt:lpstr>    /</vt:lpstr>
      <vt:lpstr>    4. Concept of Tsunami Evacuation Planning</vt:lpstr>
      <vt:lpstr>        Event Summary</vt:lpstr>
      <vt:lpstr>        Key Observations</vt:lpstr>
      <vt:lpstr>        Evacuation Status</vt:lpstr>
      <vt:lpstr>        Lessons Learned</vt:lpstr>
      <vt:lpstr>    6. Case Study 2: 16 November 2000 – Bismarck Sea (New Ireland Province)</vt:lpstr>
      <vt:lpstr>        Event Summary</vt:lpstr>
      <vt:lpstr>        Observations</vt:lpstr>
      <vt:lpstr>        Lesson learned </vt:lpstr>
      <vt:lpstr>    7. Case Study 3: Japan, March 11 September 2011 – East Sepik Province</vt:lpstr>
      <vt:lpstr>        Event Summary</vt:lpstr>
      <vt:lpstr>        Observations</vt:lpstr>
      <vt:lpstr>        Lesson learned </vt:lpstr>
      <vt:lpstr>    8. Current Status of Tsunami Evacuation Planning in PNG</vt:lpstr>
      <vt:lpstr>        Remarks </vt:lpstr>
      <vt:lpstr>    9. Key Challenges</vt:lpstr>
      <vt:lpstr>        1. Limited Early Warning Coverage</vt:lpstr>
      <vt:lpstr>        2. Geographic Constraints</vt:lpstr>
      <vt:lpstr>        3. Low Community Awareness</vt:lpstr>
      <vt:lpstr>        4. Infrastructure Limitations</vt:lpstr>
      <vt:lpstr>        5. Coordination Issues</vt:lpstr>
      <vt:lpstr>    10. Some Successes and Improvements</vt:lpstr>
      <vt:lpstr>    11. Future Tsunami Evacuation Planning (Way Forward)</vt:lpstr>
      <vt:lpstr>        1. Strengthen Early Warning Systems</vt:lpstr>
      <vt:lpstr>        2. Community-Based Evacuation Planning</vt:lpstr>
      <vt:lpstr>        3. Capacity Building</vt:lpstr>
      <vt:lpstr>    12. Conclusion</vt:lpstr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Max</dc:creator>
  <cp:keywords/>
  <dc:description/>
  <cp:lastModifiedBy>Andrew Max</cp:lastModifiedBy>
  <cp:revision>45</cp:revision>
  <dcterms:created xsi:type="dcterms:W3CDTF">2026-04-10T03:36:00Z</dcterms:created>
  <dcterms:modified xsi:type="dcterms:W3CDTF">2026-04-15T03:03:00Z</dcterms:modified>
</cp:coreProperties>
</file>