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EDEE" w14:textId="081BEBEE" w:rsidR="006F33F8" w:rsidRDefault="006F33F8" w:rsidP="007E7F3D">
      <w:pPr>
        <w:jc w:val="center"/>
        <w:rPr>
          <w:b/>
          <w:bCs/>
        </w:rPr>
      </w:pPr>
      <w:r>
        <w:rPr>
          <w:b/>
          <w:bCs/>
        </w:rPr>
        <w:t>Annex XYZ</w:t>
      </w:r>
    </w:p>
    <w:p w14:paraId="3BA55FF9" w14:textId="641E9195" w:rsidR="007E7F3D" w:rsidRPr="007E7F3D" w:rsidRDefault="007E7F3D" w:rsidP="007E7F3D">
      <w:pPr>
        <w:jc w:val="center"/>
        <w:rPr>
          <w:b/>
          <w:bCs/>
        </w:rPr>
      </w:pPr>
      <w:r w:rsidRPr="007E7F3D">
        <w:rPr>
          <w:b/>
          <w:bCs/>
        </w:rPr>
        <w:t xml:space="preserve"> Definition of a Tsunami Ready Community</w:t>
      </w:r>
    </w:p>
    <w:p w14:paraId="525FA55A" w14:textId="4F118578" w:rsidR="007E7F3D" w:rsidRDefault="0946F0AD" w:rsidP="007E7F3D">
      <w:r>
        <w:t xml:space="preserve">A Tsunami Ready Community refers to a geographically defined area that is formally recognized by national or local authorities and has the organizational capacity and commitment to implement tsunami preparedness measures in line with the Tsunami Ready </w:t>
      </w:r>
      <w:r w:rsidR="00112221">
        <w:t xml:space="preserve">Recognition </w:t>
      </w:r>
      <w:r>
        <w:t>Programme. This area should be of a manageable size, large enough to encompass all at-risk populations, but not so large that timely alert dissemination and community-wide preparedness become impractical.</w:t>
      </w:r>
    </w:p>
    <w:p w14:paraId="4470E123" w14:textId="77777777" w:rsidR="007E7F3D" w:rsidRDefault="007E7F3D" w:rsidP="007E7F3D">
      <w:r>
        <w:t>The community must be within an existing administrative jurisdiction (such as a village, municipality, district, or emergency management area) and should have a recognized local authority, such as a mayor, chief, or council representative, who can serve as a point of accountability. This ensures alignment with national systems and simplifies coordination and recognition processes.</w:t>
      </w:r>
    </w:p>
    <w:p w14:paraId="101130A2" w14:textId="77777777" w:rsidR="007E7F3D" w:rsidRDefault="007E7F3D" w:rsidP="007E7F3D">
      <w:r>
        <w:t>To function effectively as a Tsunami Ready Community, the area must have an established management structure, such as a local disaster management office or emergency committee, which can lead and sustain key activities like hazard mapping, response planning, population data management, and public signage placement. Additionally, there must be a 24/7 operational focal point, such as a police station or clinic, that can reliably receive and disseminate tsunami warnings.</w:t>
      </w:r>
    </w:p>
    <w:p w14:paraId="15DD244C" w14:textId="77777777" w:rsidR="007E7F3D" w:rsidRDefault="007E7F3D" w:rsidP="007E7F3D">
      <w:r>
        <w:t>Selection of target communities should consider multiple factors, including:</w:t>
      </w:r>
    </w:p>
    <w:p w14:paraId="53669A85" w14:textId="77777777" w:rsidR="007E7F3D" w:rsidRDefault="007E7F3D" w:rsidP="007E7F3D">
      <w:pPr>
        <w:pStyle w:val="ListParagraph"/>
        <w:numPr>
          <w:ilvl w:val="0"/>
          <w:numId w:val="1"/>
        </w:numPr>
      </w:pPr>
      <w:r>
        <w:t>Level of tsunami threat and exposure, prioritizing high-risk coastal areas.</w:t>
      </w:r>
    </w:p>
    <w:p w14:paraId="7889F88F" w14:textId="77777777" w:rsidR="007E7F3D" w:rsidRDefault="007E7F3D" w:rsidP="007E7F3D">
      <w:pPr>
        <w:pStyle w:val="ListParagraph"/>
        <w:numPr>
          <w:ilvl w:val="0"/>
          <w:numId w:val="1"/>
        </w:numPr>
      </w:pPr>
      <w:r>
        <w:t>Social and economic vulnerability, focusing on communities that may lack resources but have high resilience needs.</w:t>
      </w:r>
    </w:p>
    <w:p w14:paraId="17DEFFC0" w14:textId="77777777" w:rsidR="007E7F3D" w:rsidRDefault="007E7F3D" w:rsidP="007E7F3D">
      <w:pPr>
        <w:pStyle w:val="ListParagraph"/>
        <w:numPr>
          <w:ilvl w:val="0"/>
          <w:numId w:val="1"/>
        </w:numPr>
      </w:pPr>
      <w:r>
        <w:t>Interest and readiness from local authorities and stakeholders, since the Programme is voluntary and requires long-term commitment.</w:t>
      </w:r>
    </w:p>
    <w:p w14:paraId="43EE3DCD" w14:textId="77777777" w:rsidR="007E7F3D" w:rsidRDefault="007E7F3D" w:rsidP="007E7F3D">
      <w:pPr>
        <w:pStyle w:val="ListParagraph"/>
        <w:numPr>
          <w:ilvl w:val="0"/>
          <w:numId w:val="1"/>
        </w:numPr>
      </w:pPr>
      <w:r>
        <w:t>Existing preparedness efforts or partnerships with NGOs and volunteer groups, which can serve as a foundation for implementation.</w:t>
      </w:r>
    </w:p>
    <w:p w14:paraId="2D34234C" w14:textId="77777777" w:rsidR="007E7F3D" w:rsidRDefault="007E7F3D" w:rsidP="007E7F3D">
      <w:pPr>
        <w:pStyle w:val="ListParagraph"/>
        <w:numPr>
          <w:ilvl w:val="0"/>
          <w:numId w:val="1"/>
        </w:numPr>
      </w:pPr>
      <w:r>
        <w:t>Visibility and impact potential, especially for the first recognized community in a country, which can inspire national scaling.</w:t>
      </w:r>
    </w:p>
    <w:p w14:paraId="227EEB72" w14:textId="227BEF31" w:rsidR="007E7F3D" w:rsidRDefault="007E7F3D" w:rsidP="007E7F3D">
      <w:r>
        <w:t>The area should have clear boundaries, defined either administratively (e.g., sub-district or village level) or physically (e.g., rivers, coastlines, roads), and a known population size and composition, which helps determine the scale and design of preparedness activities. Finally, consideration should be given to land use (urban, rural, agricultural, industrial, or touristic) and geographical features (flat, hilly, peninsula), as this influence evacuation planning and risk communication strategies.</w:t>
      </w:r>
    </w:p>
    <w:p w14:paraId="6F9B440A" w14:textId="022BE118" w:rsidR="00A642CD" w:rsidRDefault="007E7F3D" w:rsidP="007E7F3D">
      <w:r>
        <w:lastRenderedPageBreak/>
        <w:t>By meeting these criteria, a community can be effectively supported and recognized under the Tsunami Ready Programme, enhancing local preparedness and saving lives in the face of future tsunami events.</w:t>
      </w:r>
    </w:p>
    <w:sectPr w:rsidR="00A642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DA4E" w14:textId="77777777" w:rsidR="006F33F8" w:rsidRDefault="006F33F8" w:rsidP="006F33F8">
      <w:pPr>
        <w:spacing w:after="0" w:line="240" w:lineRule="auto"/>
      </w:pPr>
      <w:r>
        <w:separator/>
      </w:r>
    </w:p>
  </w:endnote>
  <w:endnote w:type="continuationSeparator" w:id="0">
    <w:p w14:paraId="34CFCB7A" w14:textId="77777777" w:rsidR="006F33F8" w:rsidRDefault="006F33F8" w:rsidP="006F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2E34" w14:textId="77777777" w:rsidR="006F33F8" w:rsidRDefault="006F33F8" w:rsidP="006F33F8">
      <w:pPr>
        <w:spacing w:after="0" w:line="240" w:lineRule="auto"/>
      </w:pPr>
      <w:r>
        <w:separator/>
      </w:r>
    </w:p>
  </w:footnote>
  <w:footnote w:type="continuationSeparator" w:id="0">
    <w:p w14:paraId="0E9E0DF0" w14:textId="77777777" w:rsidR="006F33F8" w:rsidRDefault="006F33F8" w:rsidP="006F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C248B"/>
    <w:multiLevelType w:val="hybridMultilevel"/>
    <w:tmpl w:val="25D2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8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3D"/>
    <w:rsid w:val="000F44BF"/>
    <w:rsid w:val="00112221"/>
    <w:rsid w:val="00130D4F"/>
    <w:rsid w:val="00157239"/>
    <w:rsid w:val="00314A3A"/>
    <w:rsid w:val="00373119"/>
    <w:rsid w:val="00380CA5"/>
    <w:rsid w:val="003939D8"/>
    <w:rsid w:val="003A3FF9"/>
    <w:rsid w:val="00400B33"/>
    <w:rsid w:val="004E636D"/>
    <w:rsid w:val="006A108F"/>
    <w:rsid w:val="006E6166"/>
    <w:rsid w:val="006F33F8"/>
    <w:rsid w:val="007E7F3D"/>
    <w:rsid w:val="00923409"/>
    <w:rsid w:val="00A642CD"/>
    <w:rsid w:val="00C070D9"/>
    <w:rsid w:val="00C62360"/>
    <w:rsid w:val="00C9566F"/>
    <w:rsid w:val="00E31E77"/>
    <w:rsid w:val="00ED28BB"/>
    <w:rsid w:val="0946F0AD"/>
    <w:rsid w:val="599C99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DC534"/>
  <w15:chartTrackingRefBased/>
  <w15:docId w15:val="{6DA85A44-2E6E-42FA-8D3C-4D4D5872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F3D"/>
    <w:rPr>
      <w:rFonts w:eastAsiaTheme="majorEastAsia" w:cstheme="majorBidi"/>
      <w:color w:val="272727" w:themeColor="text1" w:themeTint="D8"/>
    </w:rPr>
  </w:style>
  <w:style w:type="paragraph" w:styleId="Title">
    <w:name w:val="Title"/>
    <w:basedOn w:val="Normal"/>
    <w:next w:val="Normal"/>
    <w:link w:val="TitleChar"/>
    <w:uiPriority w:val="10"/>
    <w:qFormat/>
    <w:rsid w:val="007E7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F3D"/>
    <w:pPr>
      <w:spacing w:before="160"/>
      <w:jc w:val="center"/>
    </w:pPr>
    <w:rPr>
      <w:i/>
      <w:iCs/>
      <w:color w:val="404040" w:themeColor="text1" w:themeTint="BF"/>
    </w:rPr>
  </w:style>
  <w:style w:type="character" w:customStyle="1" w:styleId="QuoteChar">
    <w:name w:val="Quote Char"/>
    <w:basedOn w:val="DefaultParagraphFont"/>
    <w:link w:val="Quote"/>
    <w:uiPriority w:val="29"/>
    <w:rsid w:val="007E7F3D"/>
    <w:rPr>
      <w:i/>
      <w:iCs/>
      <w:color w:val="404040" w:themeColor="text1" w:themeTint="BF"/>
    </w:rPr>
  </w:style>
  <w:style w:type="paragraph" w:styleId="ListParagraph">
    <w:name w:val="List Paragraph"/>
    <w:basedOn w:val="Normal"/>
    <w:uiPriority w:val="34"/>
    <w:qFormat/>
    <w:rsid w:val="007E7F3D"/>
    <w:pPr>
      <w:ind w:left="720"/>
      <w:contextualSpacing/>
    </w:pPr>
  </w:style>
  <w:style w:type="character" w:styleId="IntenseEmphasis">
    <w:name w:val="Intense Emphasis"/>
    <w:basedOn w:val="DefaultParagraphFont"/>
    <w:uiPriority w:val="21"/>
    <w:qFormat/>
    <w:rsid w:val="007E7F3D"/>
    <w:rPr>
      <w:i/>
      <w:iCs/>
      <w:color w:val="0F4761" w:themeColor="accent1" w:themeShade="BF"/>
    </w:rPr>
  </w:style>
  <w:style w:type="paragraph" w:styleId="IntenseQuote">
    <w:name w:val="Intense Quote"/>
    <w:basedOn w:val="Normal"/>
    <w:next w:val="Normal"/>
    <w:link w:val="IntenseQuoteChar"/>
    <w:uiPriority w:val="30"/>
    <w:qFormat/>
    <w:rsid w:val="007E7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F3D"/>
    <w:rPr>
      <w:i/>
      <w:iCs/>
      <w:color w:val="0F4761" w:themeColor="accent1" w:themeShade="BF"/>
    </w:rPr>
  </w:style>
  <w:style w:type="character" w:styleId="IntenseReference">
    <w:name w:val="Intense Reference"/>
    <w:basedOn w:val="DefaultParagraphFont"/>
    <w:uiPriority w:val="32"/>
    <w:qFormat/>
    <w:rsid w:val="007E7F3D"/>
    <w:rPr>
      <w:b/>
      <w:bCs/>
      <w:smallCaps/>
      <w:color w:val="0F4761" w:themeColor="accent1" w:themeShade="BF"/>
      <w:spacing w:val="5"/>
    </w:rPr>
  </w:style>
  <w:style w:type="paragraph" w:styleId="Header">
    <w:name w:val="header"/>
    <w:basedOn w:val="Normal"/>
    <w:link w:val="HeaderChar"/>
    <w:uiPriority w:val="99"/>
    <w:unhideWhenUsed/>
    <w:rsid w:val="006F3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3F8"/>
  </w:style>
  <w:style w:type="paragraph" w:styleId="Footer">
    <w:name w:val="footer"/>
    <w:basedOn w:val="Normal"/>
    <w:link w:val="FooterChar"/>
    <w:uiPriority w:val="99"/>
    <w:unhideWhenUsed/>
    <w:rsid w:val="006F3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4" ma:contentTypeDescription="Create a new document." ma:contentTypeScope="" ma:versionID="368161bd781894077b9d58f842d8b58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74ad617889c68f67f9e53a3a10c82060"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47577-A5D1-4A2A-B37C-57342774C815}">
  <ds:schemaRefs>
    <ds:schemaRef ds:uri="http://schemas.microsoft.com/office/2006/documentManagement/types"/>
    <ds:schemaRef ds:uri="f8ef70f3-4e3d-42be-bd40-fbc1cacc1519"/>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b799ec2-212c-48b5-b7ff-d14ec6cbce2b"/>
    <ds:schemaRef ds:uri="http://www.w3.org/XML/1998/namespace"/>
    <ds:schemaRef ds:uri="http://purl.org/dc/dcmitype/"/>
  </ds:schemaRefs>
</ds:datastoreItem>
</file>

<file path=customXml/itemProps2.xml><?xml version="1.0" encoding="utf-8"?>
<ds:datastoreItem xmlns:ds="http://schemas.openxmlformats.org/officeDocument/2006/customXml" ds:itemID="{93A5C253-FBE3-4CE0-AEBA-A2A86DEBB335}">
  <ds:schemaRefs>
    <ds:schemaRef ds:uri="http://schemas.microsoft.com/sharepoint/v3/contenttype/forms"/>
  </ds:schemaRefs>
</ds:datastoreItem>
</file>

<file path=customXml/itemProps3.xml><?xml version="1.0" encoding="utf-8"?>
<ds:datastoreItem xmlns:ds="http://schemas.openxmlformats.org/officeDocument/2006/customXml" ds:itemID="{3AF1EEE7-17B5-4403-8E56-87394E0FE618}"/>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Kodijat, Ardito</dc:creator>
  <cp:keywords/>
  <dc:description/>
  <cp:lastModifiedBy>Danilova, Anzhela</cp:lastModifiedBy>
  <cp:revision>4</cp:revision>
  <dcterms:created xsi:type="dcterms:W3CDTF">2025-09-30T00:50:00Z</dcterms:created>
  <dcterms:modified xsi:type="dcterms:W3CDTF">2026-01-19T09:23:00Z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