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0761" w14:textId="3A7D3BF6" w:rsidR="001B6A30" w:rsidRPr="00D21F15" w:rsidRDefault="001B6A30">
      <w:pPr>
        <w:rPr>
          <w:color w:val="000000"/>
        </w:rPr>
      </w:pPr>
    </w:p>
    <w:p w14:paraId="6DD0CF51" w14:textId="77777777" w:rsidR="000B6D4B" w:rsidRPr="00D21F15" w:rsidRDefault="000B6D4B">
      <w:pPr>
        <w:rPr>
          <w:color w:val="000000"/>
        </w:rPr>
      </w:pPr>
    </w:p>
    <w:p w14:paraId="7FEB9259" w14:textId="77777777" w:rsidR="007D6DDD" w:rsidRPr="00D21F15" w:rsidRDefault="00793E4C">
      <w:pPr>
        <w:rPr>
          <w:color w:val="000000"/>
        </w:rPr>
      </w:pPr>
      <w:r>
        <w:rPr>
          <w:color w:val="000000"/>
          <w:lang w:val="es"/>
        </w:rPr>
        <w:t xml:space="preserve"> </w:t>
      </w:r>
    </w:p>
    <w:p w14:paraId="0B5A6A0E" w14:textId="77777777" w:rsidR="007D6DDD" w:rsidRPr="00D21F15" w:rsidRDefault="007D6DDD">
      <w:pPr>
        <w:rPr>
          <w:color w:val="000000"/>
        </w:rPr>
      </w:pPr>
    </w:p>
    <w:p w14:paraId="26A3492B" w14:textId="77777777" w:rsidR="007D6DDD" w:rsidRPr="00D21F15" w:rsidRDefault="007D6DDD">
      <w:pPr>
        <w:rPr>
          <w:color w:val="000000"/>
        </w:rPr>
      </w:pPr>
    </w:p>
    <w:p w14:paraId="613AC54B" w14:textId="77777777" w:rsidR="007D6DDD" w:rsidRPr="00D21F15" w:rsidRDefault="007D6DDD">
      <w:pPr>
        <w:rPr>
          <w:color w:val="000000"/>
        </w:rPr>
      </w:pPr>
    </w:p>
    <w:p w14:paraId="26AFC3CF" w14:textId="77777777" w:rsidR="007D6DDD" w:rsidRPr="00D21F15" w:rsidRDefault="007D6DDD">
      <w:pPr>
        <w:rPr>
          <w:color w:val="000000"/>
        </w:rPr>
      </w:pPr>
    </w:p>
    <w:p w14:paraId="3FF7B5D0" w14:textId="77777777" w:rsidR="007D6DDD" w:rsidRPr="00D21F15" w:rsidRDefault="007D6DDD">
      <w:pPr>
        <w:rPr>
          <w:color w:val="000000"/>
        </w:rPr>
      </w:pPr>
    </w:p>
    <w:p w14:paraId="1D06CFB2" w14:textId="77777777" w:rsidR="00BB7937" w:rsidRPr="00D21F15" w:rsidRDefault="00BB7937">
      <w:pPr>
        <w:jc w:val="center"/>
        <w:rPr>
          <w:rFonts w:ascii="Arial" w:hAnsi="Arial" w:cs="Arial"/>
          <w:b/>
          <w:color w:val="000000"/>
          <w:kern w:val="28"/>
          <w:sz w:val="22"/>
          <w:szCs w:val="22"/>
        </w:rPr>
        <w:sectPr w:rsidR="00BB7937" w:rsidRPr="00D21F15" w:rsidSect="00074AD2">
          <w:headerReference w:type="even" r:id="rId12"/>
          <w:headerReference w:type="default" r:id="rId13"/>
          <w:pgSz w:w="11907" w:h="16840" w:code="9"/>
          <w:pgMar w:top="1304" w:right="1282" w:bottom="1134" w:left="1274" w:header="851" w:footer="737" w:gutter="0"/>
          <w:pgNumType w:start="1"/>
          <w:cols w:space="708"/>
          <w:docGrid w:linePitch="360"/>
        </w:sectPr>
      </w:pPr>
    </w:p>
    <w:p w14:paraId="295A9F0E" w14:textId="77777777" w:rsidR="00AE29AC" w:rsidRPr="00AE71B5" w:rsidRDefault="02493A59">
      <w:pPr>
        <w:jc w:val="center"/>
        <w:rPr>
          <w:rFonts w:ascii="Arial" w:hAnsi="Arial" w:cs="Arial"/>
          <w:color w:val="000000"/>
          <w:sz w:val="22"/>
          <w:szCs w:val="22"/>
        </w:rPr>
      </w:pPr>
      <w:r>
        <w:rPr>
          <w:rFonts w:ascii="Arial" w:hAnsi="Arial" w:cs="Arial"/>
          <w:b/>
          <w:bCs/>
          <w:color w:val="000000"/>
          <w:kern w:val="28"/>
          <w:sz w:val="22"/>
          <w:szCs w:val="22"/>
          <w:lang w:val="es"/>
        </w:rPr>
        <w:lastRenderedPageBreak/>
        <w:t>ÍNDICE</w:t>
      </w:r>
    </w:p>
    <w:p w14:paraId="1494A931" w14:textId="77777777" w:rsidR="00B52857" w:rsidRPr="00AE71B5" w:rsidRDefault="00B52857" w:rsidP="00AE29AC">
      <w:pPr>
        <w:pStyle w:val="Marge"/>
        <w:tabs>
          <w:tab w:val="right" w:pos="9000"/>
        </w:tabs>
        <w:spacing w:after="0"/>
        <w:jc w:val="right"/>
        <w:rPr>
          <w:rFonts w:ascii="Arial" w:hAnsi="Arial" w:cs="Arial"/>
          <w:color w:val="000000"/>
          <w:sz w:val="22"/>
          <w:szCs w:val="22"/>
        </w:rPr>
      </w:pPr>
    </w:p>
    <w:p w14:paraId="262B6CC2" w14:textId="77777777" w:rsidR="00085C6E" w:rsidRPr="00AE71B5" w:rsidRDefault="00AE29AC" w:rsidP="00FD38DA">
      <w:pPr>
        <w:pStyle w:val="Marge"/>
        <w:tabs>
          <w:tab w:val="right" w:pos="9000"/>
        </w:tabs>
        <w:jc w:val="right"/>
        <w:rPr>
          <w:rFonts w:ascii="Arial" w:hAnsi="Arial" w:cs="Arial"/>
          <w:color w:val="000000"/>
          <w:sz w:val="20"/>
          <w:szCs w:val="20"/>
        </w:rPr>
      </w:pPr>
      <w:r>
        <w:rPr>
          <w:rFonts w:ascii="Arial" w:hAnsi="Arial" w:cs="Arial"/>
          <w:color w:val="000000"/>
          <w:sz w:val="20"/>
          <w:szCs w:val="20"/>
          <w:lang w:val="es"/>
        </w:rPr>
        <w:t>página</w:t>
      </w:r>
      <w:bookmarkStart w:id="0" w:name="_Toc164651221"/>
      <w:bookmarkStart w:id="1" w:name="_Toc162671327"/>
      <w:bookmarkStart w:id="2" w:name="_Toc135143700"/>
      <w:bookmarkStart w:id="3" w:name="_Toc135143448"/>
      <w:bookmarkStart w:id="4" w:name="_Toc100506249"/>
      <w:bookmarkStart w:id="5" w:name="_Toc38080237"/>
    </w:p>
    <w:p w14:paraId="52B3B6B9" w14:textId="3FC89F20" w:rsidR="00986C76" w:rsidRDefault="00FD38DA">
      <w:pPr>
        <w:pStyle w:val="TOC1"/>
        <w:rPr>
          <w:rFonts w:asciiTheme="minorHAnsi" w:eastAsiaTheme="minorEastAsia" w:hAnsiTheme="minorHAnsi" w:cstheme="minorBidi"/>
          <w:b w:val="0"/>
          <w:snapToGrid/>
          <w:color w:val="auto"/>
          <w:kern w:val="2"/>
          <w:sz w:val="24"/>
          <w:szCs w:val="24"/>
          <w:lang w:val="fr-FR" w:eastAsia="fr-FR"/>
          <w14:ligatures w14:val="standardContextual"/>
        </w:rPr>
      </w:pPr>
      <w:r>
        <w:rPr>
          <w:bCs/>
          <w:lang w:val="es"/>
        </w:rPr>
        <w:fldChar w:fldCharType="begin"/>
      </w:r>
      <w:r>
        <w:instrText xml:space="preserve"> TOC \o "1-6" \h \z \u </w:instrText>
      </w:r>
      <w:r>
        <w:fldChar w:fldCharType="separate"/>
      </w:r>
      <w:hyperlink w:anchor="_Toc212133497" w:history="1">
        <w:r w:rsidR="00986C76" w:rsidRPr="00CB791B">
          <w:rPr>
            <w:rStyle w:val="Hyperlink"/>
          </w:rPr>
          <w:t>1.</w:t>
        </w:r>
        <w:r w:rsidR="00986C76">
          <w:rPr>
            <w:rFonts w:asciiTheme="minorHAnsi" w:eastAsiaTheme="minorEastAsia" w:hAnsiTheme="minorHAnsi" w:cstheme="minorBidi"/>
            <w:b w:val="0"/>
            <w:snapToGrid/>
            <w:color w:val="auto"/>
            <w:kern w:val="2"/>
            <w:sz w:val="24"/>
            <w:szCs w:val="24"/>
            <w:lang w:val="fr-FR" w:eastAsia="fr-FR"/>
            <w14:ligatures w14:val="standardContextual"/>
          </w:rPr>
          <w:tab/>
        </w:r>
        <w:r w:rsidR="00986C76" w:rsidRPr="00CB791B">
          <w:rPr>
            <w:rStyle w:val="Hyperlink"/>
            <w:lang w:val="es"/>
          </w:rPr>
          <w:t>APERTURA</w:t>
        </w:r>
        <w:r w:rsidR="00986C76">
          <w:rPr>
            <w:webHidden/>
          </w:rPr>
          <w:tab/>
        </w:r>
        <w:r w:rsidR="00986C76">
          <w:rPr>
            <w:webHidden/>
          </w:rPr>
          <w:fldChar w:fldCharType="begin"/>
        </w:r>
        <w:r w:rsidR="00986C76">
          <w:rPr>
            <w:webHidden/>
          </w:rPr>
          <w:instrText xml:space="preserve"> PAGEREF _Toc212133497 \h </w:instrText>
        </w:r>
        <w:r w:rsidR="00986C76">
          <w:rPr>
            <w:webHidden/>
          </w:rPr>
        </w:r>
        <w:r w:rsidR="00986C76">
          <w:rPr>
            <w:webHidden/>
          </w:rPr>
          <w:fldChar w:fldCharType="separate"/>
        </w:r>
        <w:r w:rsidR="001C54D9">
          <w:rPr>
            <w:webHidden/>
          </w:rPr>
          <w:t>1</w:t>
        </w:r>
        <w:r w:rsidR="00986C76">
          <w:rPr>
            <w:webHidden/>
          </w:rPr>
          <w:fldChar w:fldCharType="end"/>
        </w:r>
      </w:hyperlink>
    </w:p>
    <w:p w14:paraId="5375B5C4" w14:textId="04606E53" w:rsidR="00986C76" w:rsidRDefault="00986C76">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498" w:history="1">
        <w:r w:rsidRPr="00CB791B">
          <w:rPr>
            <w:rStyle w:val="Hyperlink"/>
          </w:rPr>
          <w:t>2.</w:t>
        </w:r>
        <w:r>
          <w:rPr>
            <w:rFonts w:asciiTheme="minorHAnsi" w:eastAsiaTheme="minorEastAsia" w:hAnsiTheme="minorHAnsi" w:cstheme="minorBidi"/>
            <w:b w:val="0"/>
            <w:snapToGrid/>
            <w:color w:val="auto"/>
            <w:kern w:val="2"/>
            <w:sz w:val="24"/>
            <w:szCs w:val="24"/>
            <w:lang w:val="fr-FR" w:eastAsia="fr-FR"/>
            <w14:ligatures w14:val="standardContextual"/>
          </w:rPr>
          <w:tab/>
        </w:r>
        <w:r w:rsidRPr="00CB791B">
          <w:rPr>
            <w:rStyle w:val="Hyperlink"/>
            <w:lang w:val="es"/>
          </w:rPr>
          <w:t>ORGANIZACIÓN DE LA REUNIÓN</w:t>
        </w:r>
        <w:r>
          <w:rPr>
            <w:webHidden/>
          </w:rPr>
          <w:tab/>
        </w:r>
        <w:r>
          <w:rPr>
            <w:webHidden/>
          </w:rPr>
          <w:fldChar w:fldCharType="begin"/>
        </w:r>
        <w:r>
          <w:rPr>
            <w:webHidden/>
          </w:rPr>
          <w:instrText xml:space="preserve"> PAGEREF _Toc212133498 \h </w:instrText>
        </w:r>
        <w:r>
          <w:rPr>
            <w:webHidden/>
          </w:rPr>
        </w:r>
        <w:r>
          <w:rPr>
            <w:webHidden/>
          </w:rPr>
          <w:fldChar w:fldCharType="separate"/>
        </w:r>
        <w:r w:rsidR="001C54D9">
          <w:rPr>
            <w:webHidden/>
          </w:rPr>
          <w:t>1</w:t>
        </w:r>
        <w:r>
          <w:rPr>
            <w:webHidden/>
          </w:rPr>
          <w:fldChar w:fldCharType="end"/>
        </w:r>
      </w:hyperlink>
    </w:p>
    <w:p w14:paraId="65CB02E2" w14:textId="5FDE18BF"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99" w:history="1">
        <w:r w:rsidRPr="00CB791B">
          <w:rPr>
            <w:rStyle w:val="Hyperlink"/>
          </w:rPr>
          <w:t>2.1.</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APROBACIÓN DEL ORDEN DEL DÍA</w:t>
        </w:r>
        <w:r>
          <w:rPr>
            <w:webHidden/>
          </w:rPr>
          <w:tab/>
        </w:r>
        <w:r>
          <w:rPr>
            <w:webHidden/>
          </w:rPr>
          <w:fldChar w:fldCharType="begin"/>
        </w:r>
        <w:r>
          <w:rPr>
            <w:webHidden/>
          </w:rPr>
          <w:instrText xml:space="preserve"> PAGEREF _Toc212133499 \h </w:instrText>
        </w:r>
        <w:r>
          <w:rPr>
            <w:webHidden/>
          </w:rPr>
        </w:r>
        <w:r>
          <w:rPr>
            <w:webHidden/>
          </w:rPr>
          <w:fldChar w:fldCharType="separate"/>
        </w:r>
        <w:r w:rsidR="001C54D9">
          <w:rPr>
            <w:webHidden/>
          </w:rPr>
          <w:t>1</w:t>
        </w:r>
        <w:r>
          <w:rPr>
            <w:webHidden/>
          </w:rPr>
          <w:fldChar w:fldCharType="end"/>
        </w:r>
      </w:hyperlink>
    </w:p>
    <w:p w14:paraId="383A7A69" w14:textId="49A4FF2C"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00" w:history="1">
        <w:r w:rsidRPr="00CB791B">
          <w:rPr>
            <w:rStyle w:val="Hyperlink"/>
          </w:rPr>
          <w:t>2.2.</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DESIGNACIÓN DEL RELATOR</w:t>
        </w:r>
        <w:r>
          <w:rPr>
            <w:webHidden/>
          </w:rPr>
          <w:tab/>
        </w:r>
        <w:r>
          <w:rPr>
            <w:webHidden/>
          </w:rPr>
          <w:fldChar w:fldCharType="begin"/>
        </w:r>
        <w:r>
          <w:rPr>
            <w:webHidden/>
          </w:rPr>
          <w:instrText xml:space="preserve"> PAGEREF _Toc212133500 \h </w:instrText>
        </w:r>
        <w:r>
          <w:rPr>
            <w:webHidden/>
          </w:rPr>
        </w:r>
        <w:r>
          <w:rPr>
            <w:webHidden/>
          </w:rPr>
          <w:fldChar w:fldCharType="separate"/>
        </w:r>
        <w:r w:rsidR="001C54D9">
          <w:rPr>
            <w:webHidden/>
          </w:rPr>
          <w:t>1</w:t>
        </w:r>
        <w:r>
          <w:rPr>
            <w:webHidden/>
          </w:rPr>
          <w:fldChar w:fldCharType="end"/>
        </w:r>
      </w:hyperlink>
    </w:p>
    <w:p w14:paraId="3676CD9C" w14:textId="37225C37"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01" w:history="1">
        <w:r w:rsidRPr="00CB791B">
          <w:rPr>
            <w:rStyle w:val="Hyperlink"/>
          </w:rPr>
          <w:t>2.3.</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ESTABLECIMIENTO DE LOS COMITÉS Y GRUPOS </w:t>
        </w:r>
        <w:r w:rsidR="006C41C4">
          <w:rPr>
            <w:rStyle w:val="Hyperlink"/>
            <w:lang w:val="es"/>
          </w:rPr>
          <w:br/>
        </w:r>
        <w:r w:rsidRPr="00CB791B">
          <w:rPr>
            <w:rStyle w:val="Hyperlink"/>
            <w:lang w:val="es"/>
          </w:rPr>
          <w:t>DE TRABAJO DE LA REUNIÓN</w:t>
        </w:r>
        <w:r>
          <w:rPr>
            <w:webHidden/>
          </w:rPr>
          <w:tab/>
        </w:r>
        <w:r>
          <w:rPr>
            <w:webHidden/>
          </w:rPr>
          <w:fldChar w:fldCharType="begin"/>
        </w:r>
        <w:r>
          <w:rPr>
            <w:webHidden/>
          </w:rPr>
          <w:instrText xml:space="preserve"> PAGEREF _Toc212133501 \h </w:instrText>
        </w:r>
        <w:r>
          <w:rPr>
            <w:webHidden/>
          </w:rPr>
        </w:r>
        <w:r>
          <w:rPr>
            <w:webHidden/>
          </w:rPr>
          <w:fldChar w:fldCharType="separate"/>
        </w:r>
        <w:r w:rsidR="001C54D9">
          <w:rPr>
            <w:webHidden/>
          </w:rPr>
          <w:t>1</w:t>
        </w:r>
        <w:r>
          <w:rPr>
            <w:webHidden/>
          </w:rPr>
          <w:fldChar w:fldCharType="end"/>
        </w:r>
      </w:hyperlink>
    </w:p>
    <w:p w14:paraId="06BAADBF" w14:textId="5C825F5A"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02" w:history="1">
        <w:r w:rsidRPr="00CB791B">
          <w:rPr>
            <w:rStyle w:val="Hyperlink"/>
          </w:rPr>
          <w:t>2.4.</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INTRODUCCIÓN AL CALENDARIO, DOCUMENTACIÓN  </w:t>
        </w:r>
        <w:r w:rsidR="006C41C4">
          <w:rPr>
            <w:rStyle w:val="Hyperlink"/>
            <w:lang w:val="es"/>
          </w:rPr>
          <w:br/>
        </w:r>
        <w:r w:rsidRPr="00CB791B">
          <w:rPr>
            <w:rStyle w:val="Hyperlink"/>
            <w:lang w:val="es"/>
          </w:rPr>
          <w:t>Y CONFERENCIAS CONMEMORATIVAS DE LA COI</w:t>
        </w:r>
        <w:r>
          <w:rPr>
            <w:webHidden/>
          </w:rPr>
          <w:tab/>
        </w:r>
        <w:r>
          <w:rPr>
            <w:webHidden/>
          </w:rPr>
          <w:fldChar w:fldCharType="begin"/>
        </w:r>
        <w:r>
          <w:rPr>
            <w:webHidden/>
          </w:rPr>
          <w:instrText xml:space="preserve"> PAGEREF _Toc212133502 \h </w:instrText>
        </w:r>
        <w:r>
          <w:rPr>
            <w:webHidden/>
          </w:rPr>
        </w:r>
        <w:r>
          <w:rPr>
            <w:webHidden/>
          </w:rPr>
          <w:fldChar w:fldCharType="separate"/>
        </w:r>
        <w:r w:rsidR="001C54D9">
          <w:rPr>
            <w:webHidden/>
          </w:rPr>
          <w:t>1</w:t>
        </w:r>
        <w:r>
          <w:rPr>
            <w:webHidden/>
          </w:rPr>
          <w:fldChar w:fldCharType="end"/>
        </w:r>
      </w:hyperlink>
    </w:p>
    <w:p w14:paraId="42A82438" w14:textId="214C3F0E" w:rsidR="00986C76" w:rsidRDefault="00986C76">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503" w:history="1">
        <w:r w:rsidRPr="00CB791B">
          <w:rPr>
            <w:rStyle w:val="Hyperlink"/>
          </w:rPr>
          <w:t>3.</w:t>
        </w:r>
        <w:r>
          <w:rPr>
            <w:rFonts w:asciiTheme="minorHAnsi" w:eastAsiaTheme="minorEastAsia" w:hAnsiTheme="minorHAnsi" w:cstheme="minorBidi"/>
            <w:b w:val="0"/>
            <w:snapToGrid/>
            <w:color w:val="auto"/>
            <w:kern w:val="2"/>
            <w:sz w:val="24"/>
            <w:szCs w:val="24"/>
            <w:lang w:val="fr-FR" w:eastAsia="fr-FR"/>
            <w14:ligatures w14:val="standardContextual"/>
          </w:rPr>
          <w:tab/>
        </w:r>
        <w:r w:rsidRPr="00CB791B">
          <w:rPr>
            <w:rStyle w:val="Hyperlink"/>
            <w:lang w:val="es"/>
          </w:rPr>
          <w:t>ASUNTOS E INFORMES DE LA COI</w:t>
        </w:r>
        <w:r>
          <w:rPr>
            <w:webHidden/>
          </w:rPr>
          <w:tab/>
        </w:r>
        <w:r>
          <w:rPr>
            <w:webHidden/>
          </w:rPr>
          <w:fldChar w:fldCharType="begin"/>
        </w:r>
        <w:r>
          <w:rPr>
            <w:webHidden/>
          </w:rPr>
          <w:instrText xml:space="preserve"> PAGEREF _Toc212133503 \h </w:instrText>
        </w:r>
        <w:r>
          <w:rPr>
            <w:webHidden/>
          </w:rPr>
        </w:r>
        <w:r>
          <w:rPr>
            <w:webHidden/>
          </w:rPr>
          <w:fldChar w:fldCharType="separate"/>
        </w:r>
        <w:r w:rsidR="001C54D9">
          <w:rPr>
            <w:webHidden/>
          </w:rPr>
          <w:t>3</w:t>
        </w:r>
        <w:r>
          <w:rPr>
            <w:webHidden/>
          </w:rPr>
          <w:fldChar w:fldCharType="end"/>
        </w:r>
      </w:hyperlink>
    </w:p>
    <w:p w14:paraId="47825C26" w14:textId="1358CB68"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04" w:history="1">
        <w:r w:rsidRPr="00CB791B">
          <w:rPr>
            <w:rStyle w:val="Hyperlink"/>
          </w:rPr>
          <w:t>3.1.</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DECLARACIÓN DEL PRESIDENTE</w:t>
        </w:r>
        <w:r>
          <w:rPr>
            <w:webHidden/>
          </w:rPr>
          <w:tab/>
        </w:r>
        <w:r>
          <w:rPr>
            <w:webHidden/>
          </w:rPr>
          <w:fldChar w:fldCharType="begin"/>
        </w:r>
        <w:r>
          <w:rPr>
            <w:webHidden/>
          </w:rPr>
          <w:instrText xml:space="preserve"> PAGEREF _Toc212133504 \h </w:instrText>
        </w:r>
        <w:r>
          <w:rPr>
            <w:webHidden/>
          </w:rPr>
        </w:r>
        <w:r>
          <w:rPr>
            <w:webHidden/>
          </w:rPr>
          <w:fldChar w:fldCharType="separate"/>
        </w:r>
        <w:r w:rsidR="001C54D9">
          <w:rPr>
            <w:webHidden/>
          </w:rPr>
          <w:t>3</w:t>
        </w:r>
        <w:r>
          <w:rPr>
            <w:webHidden/>
          </w:rPr>
          <w:fldChar w:fldCharType="end"/>
        </w:r>
      </w:hyperlink>
    </w:p>
    <w:p w14:paraId="6F15F58B" w14:textId="5EDD0EB4"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05" w:history="1">
        <w:r w:rsidRPr="00CB791B">
          <w:rPr>
            <w:rStyle w:val="Hyperlink"/>
          </w:rPr>
          <w:t>3.2.</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INFORME DEL SECRETARIO EJECUTIVO SOBRE EL TRABAJO REALIZADO DESDE LA TRIGÉSIMA SEGUNDA REUNIÓN DE LA ASAMBLEA</w:t>
        </w:r>
        <w:r>
          <w:rPr>
            <w:webHidden/>
          </w:rPr>
          <w:tab/>
        </w:r>
        <w:r>
          <w:rPr>
            <w:webHidden/>
          </w:rPr>
          <w:fldChar w:fldCharType="begin"/>
        </w:r>
        <w:r>
          <w:rPr>
            <w:webHidden/>
          </w:rPr>
          <w:instrText xml:space="preserve"> PAGEREF _Toc212133505 \h </w:instrText>
        </w:r>
        <w:r>
          <w:rPr>
            <w:webHidden/>
          </w:rPr>
        </w:r>
        <w:r>
          <w:rPr>
            <w:webHidden/>
          </w:rPr>
          <w:fldChar w:fldCharType="separate"/>
        </w:r>
        <w:r w:rsidR="001C54D9">
          <w:rPr>
            <w:webHidden/>
          </w:rPr>
          <w:t>3</w:t>
        </w:r>
        <w:r>
          <w:rPr>
            <w:webHidden/>
          </w:rPr>
          <w:fldChar w:fldCharType="end"/>
        </w:r>
      </w:hyperlink>
    </w:p>
    <w:p w14:paraId="3879CA3C" w14:textId="02BCAE7F"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06" w:history="1">
        <w:r w:rsidRPr="00CB791B">
          <w:rPr>
            <w:rStyle w:val="Hyperlink"/>
          </w:rPr>
          <w:t>3.3.</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INFORMES DE LAS SUBCOMISIONES Y </w:t>
        </w:r>
        <w:r w:rsidR="006C41C4">
          <w:rPr>
            <w:rStyle w:val="Hyperlink"/>
            <w:lang w:val="es"/>
          </w:rPr>
          <w:br/>
        </w:r>
        <w:r w:rsidRPr="00CB791B">
          <w:rPr>
            <w:rStyle w:val="Hyperlink"/>
            <w:lang w:val="es"/>
          </w:rPr>
          <w:t>LOS COMITÉS REGIONALES DE LA COI</w:t>
        </w:r>
        <w:r>
          <w:rPr>
            <w:webHidden/>
          </w:rPr>
          <w:tab/>
        </w:r>
        <w:r>
          <w:rPr>
            <w:webHidden/>
          </w:rPr>
          <w:fldChar w:fldCharType="begin"/>
        </w:r>
        <w:r>
          <w:rPr>
            <w:webHidden/>
          </w:rPr>
          <w:instrText xml:space="preserve"> PAGEREF _Toc212133506 \h </w:instrText>
        </w:r>
        <w:r>
          <w:rPr>
            <w:webHidden/>
          </w:rPr>
        </w:r>
        <w:r>
          <w:rPr>
            <w:webHidden/>
          </w:rPr>
          <w:fldChar w:fldCharType="separate"/>
        </w:r>
        <w:r w:rsidR="001C54D9">
          <w:rPr>
            <w:webHidden/>
          </w:rPr>
          <w:t>6</w:t>
        </w:r>
        <w:r>
          <w:rPr>
            <w:webHidden/>
          </w:rPr>
          <w:fldChar w:fldCharType="end"/>
        </w:r>
      </w:hyperlink>
    </w:p>
    <w:p w14:paraId="335039A3" w14:textId="71D0F125"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07" w:history="1">
        <w:r w:rsidRPr="00CB791B">
          <w:rPr>
            <w:rStyle w:val="Hyperlink"/>
          </w:rPr>
          <w:t>1.3.1</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Subcomisión de la COI para África y los Estados Insulares Adyacentes:  8ª reunión de IOCAFRICA, Mombasa, Kenia, 7-9 de mayo de 2025</w:t>
        </w:r>
        <w:r>
          <w:rPr>
            <w:webHidden/>
          </w:rPr>
          <w:tab/>
        </w:r>
        <w:r>
          <w:rPr>
            <w:webHidden/>
          </w:rPr>
          <w:fldChar w:fldCharType="begin"/>
        </w:r>
        <w:r>
          <w:rPr>
            <w:webHidden/>
          </w:rPr>
          <w:instrText xml:space="preserve"> PAGEREF _Toc212133507 \h </w:instrText>
        </w:r>
        <w:r>
          <w:rPr>
            <w:webHidden/>
          </w:rPr>
        </w:r>
        <w:r>
          <w:rPr>
            <w:webHidden/>
          </w:rPr>
          <w:fldChar w:fldCharType="separate"/>
        </w:r>
        <w:r w:rsidR="001C54D9">
          <w:rPr>
            <w:webHidden/>
          </w:rPr>
          <w:t>6</w:t>
        </w:r>
        <w:r>
          <w:rPr>
            <w:webHidden/>
          </w:rPr>
          <w:fldChar w:fldCharType="end"/>
        </w:r>
      </w:hyperlink>
    </w:p>
    <w:p w14:paraId="27BFF3E3" w14:textId="1CA9E448"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08" w:history="1">
        <w:r w:rsidRPr="00CB791B">
          <w:rPr>
            <w:rStyle w:val="Hyperlink"/>
          </w:rPr>
          <w:t>1.3.2</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Subcomisión de la COI para el Pacífico Occidental: 15ª</w:t>
        </w:r>
        <w:r w:rsidRPr="00CB791B">
          <w:rPr>
            <w:rStyle w:val="Hyperlink"/>
            <w:vertAlign w:val="superscript"/>
            <w:lang w:val="es"/>
          </w:rPr>
          <w:t xml:space="preserve"> </w:t>
        </w:r>
        <w:r w:rsidRPr="00CB791B">
          <w:rPr>
            <w:rStyle w:val="Hyperlink"/>
            <w:lang w:val="es"/>
          </w:rPr>
          <w:t xml:space="preserve">reunión </w:t>
        </w:r>
        <w:r w:rsidR="006C41C4">
          <w:rPr>
            <w:rStyle w:val="Hyperlink"/>
            <w:lang w:val="es"/>
          </w:rPr>
          <w:br/>
        </w:r>
        <w:r w:rsidRPr="00CB791B">
          <w:rPr>
            <w:rStyle w:val="Hyperlink"/>
            <w:lang w:val="es"/>
          </w:rPr>
          <w:t>de la WESTPAC,  Tokio, Japón, 11-13 de marzo de 2025</w:t>
        </w:r>
        <w:r>
          <w:rPr>
            <w:webHidden/>
          </w:rPr>
          <w:tab/>
        </w:r>
        <w:r>
          <w:rPr>
            <w:webHidden/>
          </w:rPr>
          <w:fldChar w:fldCharType="begin"/>
        </w:r>
        <w:r>
          <w:rPr>
            <w:webHidden/>
          </w:rPr>
          <w:instrText xml:space="preserve"> PAGEREF _Toc212133508 \h </w:instrText>
        </w:r>
        <w:r>
          <w:rPr>
            <w:webHidden/>
          </w:rPr>
        </w:r>
        <w:r>
          <w:rPr>
            <w:webHidden/>
          </w:rPr>
          <w:fldChar w:fldCharType="separate"/>
        </w:r>
        <w:r w:rsidR="001C54D9">
          <w:rPr>
            <w:webHidden/>
          </w:rPr>
          <w:t>8</w:t>
        </w:r>
        <w:r>
          <w:rPr>
            <w:webHidden/>
          </w:rPr>
          <w:fldChar w:fldCharType="end"/>
        </w:r>
      </w:hyperlink>
    </w:p>
    <w:p w14:paraId="09FC24DC" w14:textId="7B57F57C"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09" w:history="1">
        <w:r w:rsidRPr="00CB791B">
          <w:rPr>
            <w:rStyle w:val="Hyperlink"/>
          </w:rPr>
          <w:t>1.3.3</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 xml:space="preserve">Subcomisión de la COI para el Caribe y Regiones Adyacentes:   </w:t>
        </w:r>
        <w:r w:rsidR="006C41C4">
          <w:rPr>
            <w:rStyle w:val="Hyperlink"/>
            <w:lang w:val="es"/>
          </w:rPr>
          <w:br/>
        </w:r>
        <w:r w:rsidRPr="00CB791B">
          <w:rPr>
            <w:rStyle w:val="Hyperlink"/>
            <w:lang w:val="es"/>
          </w:rPr>
          <w:t>18ª reunión de IOCARIBE, Brasilia, Brasil, 23-25 de abril de 2025</w:t>
        </w:r>
        <w:r>
          <w:rPr>
            <w:webHidden/>
          </w:rPr>
          <w:tab/>
        </w:r>
        <w:r>
          <w:rPr>
            <w:webHidden/>
          </w:rPr>
          <w:fldChar w:fldCharType="begin"/>
        </w:r>
        <w:r>
          <w:rPr>
            <w:webHidden/>
          </w:rPr>
          <w:instrText xml:space="preserve"> PAGEREF _Toc212133509 \h </w:instrText>
        </w:r>
        <w:r>
          <w:rPr>
            <w:webHidden/>
          </w:rPr>
        </w:r>
        <w:r>
          <w:rPr>
            <w:webHidden/>
          </w:rPr>
          <w:fldChar w:fldCharType="separate"/>
        </w:r>
        <w:r w:rsidR="001C54D9">
          <w:rPr>
            <w:webHidden/>
          </w:rPr>
          <w:t>11</w:t>
        </w:r>
        <w:r>
          <w:rPr>
            <w:webHidden/>
          </w:rPr>
          <w:fldChar w:fldCharType="end"/>
        </w:r>
      </w:hyperlink>
    </w:p>
    <w:p w14:paraId="291EB3C9" w14:textId="36B53CFC"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10" w:history="1">
        <w:r w:rsidRPr="00CB791B">
          <w:rPr>
            <w:rStyle w:val="Hyperlink"/>
          </w:rPr>
          <w:t>1.3.4</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 xml:space="preserve">Subcomisión de la COI para el Océano Índico Central:  </w:t>
        </w:r>
        <w:r w:rsidR="006C41C4">
          <w:rPr>
            <w:rStyle w:val="Hyperlink"/>
            <w:lang w:val="es"/>
          </w:rPr>
          <w:br/>
        </w:r>
        <w:r w:rsidRPr="00CB791B">
          <w:rPr>
            <w:rStyle w:val="Hyperlink"/>
            <w:lang w:val="es"/>
          </w:rPr>
          <w:t>1ª reunión de IOCINDIO, Ras Al Khaimah, Emiratos Árabes Unidos</w:t>
        </w:r>
        <w:r w:rsidRPr="00CB791B">
          <w:rPr>
            <w:rStyle w:val="Hyperlink"/>
            <w:i/>
            <w:iCs/>
            <w:lang w:val="es"/>
          </w:rPr>
          <w:t xml:space="preserve">, </w:t>
        </w:r>
        <w:r w:rsidRPr="00CB791B">
          <w:rPr>
            <w:rStyle w:val="Hyperlink"/>
            <w:lang w:val="es"/>
          </w:rPr>
          <w:t xml:space="preserve"> </w:t>
        </w:r>
        <w:r w:rsidR="006C41C4">
          <w:rPr>
            <w:rStyle w:val="Hyperlink"/>
            <w:lang w:val="es"/>
          </w:rPr>
          <w:br/>
        </w:r>
        <w:r w:rsidRPr="00CB791B">
          <w:rPr>
            <w:rStyle w:val="Hyperlink"/>
            <w:lang w:val="es"/>
          </w:rPr>
          <w:t>21-23</w:t>
        </w:r>
        <w:r w:rsidRPr="00CB791B">
          <w:rPr>
            <w:rStyle w:val="Hyperlink"/>
            <w:i/>
            <w:iCs/>
            <w:lang w:val="es"/>
          </w:rPr>
          <w:t xml:space="preserve"> </w:t>
        </w:r>
        <w:r w:rsidRPr="00CB791B">
          <w:rPr>
            <w:rStyle w:val="Hyperlink"/>
            <w:lang w:val="es"/>
          </w:rPr>
          <w:t>de</w:t>
        </w:r>
        <w:r w:rsidRPr="00CB791B">
          <w:rPr>
            <w:rStyle w:val="Hyperlink"/>
            <w:i/>
            <w:iCs/>
            <w:lang w:val="es"/>
          </w:rPr>
          <w:t xml:space="preserve"> </w:t>
        </w:r>
        <w:r w:rsidRPr="00CB791B">
          <w:rPr>
            <w:rStyle w:val="Hyperlink"/>
            <w:lang w:val="es"/>
          </w:rPr>
          <w:t>Mayo de 2025</w:t>
        </w:r>
        <w:r>
          <w:rPr>
            <w:webHidden/>
          </w:rPr>
          <w:tab/>
        </w:r>
        <w:r>
          <w:rPr>
            <w:webHidden/>
          </w:rPr>
          <w:fldChar w:fldCharType="begin"/>
        </w:r>
        <w:r>
          <w:rPr>
            <w:webHidden/>
          </w:rPr>
          <w:instrText xml:space="preserve"> PAGEREF _Toc212133510 \h </w:instrText>
        </w:r>
        <w:r>
          <w:rPr>
            <w:webHidden/>
          </w:rPr>
        </w:r>
        <w:r>
          <w:rPr>
            <w:webHidden/>
          </w:rPr>
          <w:fldChar w:fldCharType="separate"/>
        </w:r>
        <w:r w:rsidR="001C54D9">
          <w:rPr>
            <w:webHidden/>
          </w:rPr>
          <w:t>13</w:t>
        </w:r>
        <w:r>
          <w:rPr>
            <w:webHidden/>
          </w:rPr>
          <w:fldChar w:fldCharType="end"/>
        </w:r>
      </w:hyperlink>
    </w:p>
    <w:p w14:paraId="19E3F1C6" w14:textId="02233225"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11" w:history="1">
        <w:r w:rsidRPr="00CB791B">
          <w:rPr>
            <w:rStyle w:val="Hyperlink"/>
            <w:lang w:val="es"/>
          </w:rPr>
          <w:t>3.4</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INFORMES DE OTROS ÓRGANOS SUBSIDIARIOS DE LA COI</w:t>
        </w:r>
        <w:r>
          <w:rPr>
            <w:webHidden/>
          </w:rPr>
          <w:tab/>
        </w:r>
        <w:r>
          <w:rPr>
            <w:webHidden/>
          </w:rPr>
          <w:fldChar w:fldCharType="begin"/>
        </w:r>
        <w:r>
          <w:rPr>
            <w:webHidden/>
          </w:rPr>
          <w:instrText xml:space="preserve"> PAGEREF _Toc212133511 \h </w:instrText>
        </w:r>
        <w:r>
          <w:rPr>
            <w:webHidden/>
          </w:rPr>
        </w:r>
        <w:r>
          <w:rPr>
            <w:webHidden/>
          </w:rPr>
          <w:fldChar w:fldCharType="separate"/>
        </w:r>
        <w:r w:rsidR="001C54D9">
          <w:rPr>
            <w:webHidden/>
          </w:rPr>
          <w:t>14</w:t>
        </w:r>
        <w:r>
          <w:rPr>
            <w:webHidden/>
          </w:rPr>
          <w:fldChar w:fldCharType="end"/>
        </w:r>
      </w:hyperlink>
    </w:p>
    <w:p w14:paraId="58BF04E8" w14:textId="1E5FC7BC"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12" w:history="1">
        <w:r w:rsidRPr="00CB791B">
          <w:rPr>
            <w:rStyle w:val="Hyperlink"/>
          </w:rPr>
          <w:t>3.4.1</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Sistemas de alerta y atenuación de los riesgos oceánicos</w:t>
        </w:r>
        <w:r>
          <w:rPr>
            <w:webHidden/>
          </w:rPr>
          <w:tab/>
        </w:r>
        <w:r>
          <w:rPr>
            <w:webHidden/>
          </w:rPr>
          <w:fldChar w:fldCharType="begin"/>
        </w:r>
        <w:r>
          <w:rPr>
            <w:webHidden/>
          </w:rPr>
          <w:instrText xml:space="preserve"> PAGEREF _Toc212133512 \h </w:instrText>
        </w:r>
        <w:r>
          <w:rPr>
            <w:webHidden/>
          </w:rPr>
        </w:r>
        <w:r>
          <w:rPr>
            <w:webHidden/>
          </w:rPr>
          <w:fldChar w:fldCharType="separate"/>
        </w:r>
        <w:r w:rsidR="001C54D9">
          <w:rPr>
            <w:webHidden/>
          </w:rPr>
          <w:t>14</w:t>
        </w:r>
        <w:r>
          <w:rPr>
            <w:webHidden/>
          </w:rPr>
          <w:fldChar w:fldCharType="end"/>
        </w:r>
      </w:hyperlink>
    </w:p>
    <w:p w14:paraId="332C192A" w14:textId="1723E717" w:rsidR="00986C76" w:rsidRDefault="00986C76">
      <w:pPr>
        <w:pStyle w:val="TOC5"/>
        <w:rPr>
          <w:rFonts w:asciiTheme="minorHAnsi" w:eastAsiaTheme="minorEastAsia" w:hAnsiTheme="minorHAnsi" w:cstheme="minorBidi"/>
          <w:i w:val="0"/>
          <w:snapToGrid/>
          <w:kern w:val="2"/>
          <w:sz w:val="24"/>
          <w:szCs w:val="24"/>
          <w:lang w:val="fr-FR" w:eastAsia="fr-FR"/>
          <w14:ligatures w14:val="standardContextual"/>
        </w:rPr>
      </w:pPr>
      <w:hyperlink w:anchor="_Toc212133513" w:history="1">
        <w:r w:rsidRPr="00CB791B">
          <w:rPr>
            <w:rStyle w:val="Hyperlink"/>
            <w:iCs/>
            <w:lang w:val="es"/>
          </w:rPr>
          <w:t>3.4.1.1</w:t>
        </w:r>
        <w:r>
          <w:rPr>
            <w:rFonts w:asciiTheme="minorHAnsi" w:eastAsiaTheme="minorEastAsia" w:hAnsiTheme="minorHAnsi" w:cstheme="minorBidi"/>
            <w:i w:val="0"/>
            <w:snapToGrid/>
            <w:kern w:val="2"/>
            <w:sz w:val="24"/>
            <w:szCs w:val="24"/>
            <w:lang w:val="fr-FR" w:eastAsia="fr-FR"/>
            <w14:ligatures w14:val="standardContextual"/>
          </w:rPr>
          <w:tab/>
        </w:r>
        <w:r w:rsidRPr="00CB791B">
          <w:rPr>
            <w:rStyle w:val="Hyperlink"/>
            <w:iCs/>
            <w:lang w:val="es"/>
          </w:rPr>
          <w:t>Servicios regionales de alerta temprana</w:t>
        </w:r>
        <w:r>
          <w:rPr>
            <w:webHidden/>
          </w:rPr>
          <w:tab/>
        </w:r>
        <w:r>
          <w:rPr>
            <w:webHidden/>
          </w:rPr>
          <w:fldChar w:fldCharType="begin"/>
        </w:r>
        <w:r>
          <w:rPr>
            <w:webHidden/>
          </w:rPr>
          <w:instrText xml:space="preserve"> PAGEREF _Toc212133513 \h </w:instrText>
        </w:r>
        <w:r>
          <w:rPr>
            <w:webHidden/>
          </w:rPr>
        </w:r>
        <w:r>
          <w:rPr>
            <w:webHidden/>
          </w:rPr>
          <w:fldChar w:fldCharType="separate"/>
        </w:r>
        <w:r w:rsidR="001C54D9">
          <w:rPr>
            <w:webHidden/>
          </w:rPr>
          <w:t>14</w:t>
        </w:r>
        <w:r>
          <w:rPr>
            <w:webHidden/>
          </w:rPr>
          <w:fldChar w:fldCharType="end"/>
        </w:r>
      </w:hyperlink>
    </w:p>
    <w:p w14:paraId="3DCE34C7" w14:textId="5B85AA13" w:rsidR="00986C76" w:rsidRDefault="00986C76">
      <w:pPr>
        <w:pStyle w:val="TOC5"/>
        <w:rPr>
          <w:rFonts w:asciiTheme="minorHAnsi" w:eastAsiaTheme="minorEastAsia" w:hAnsiTheme="minorHAnsi" w:cstheme="minorBidi"/>
          <w:i w:val="0"/>
          <w:snapToGrid/>
          <w:kern w:val="2"/>
          <w:sz w:val="24"/>
          <w:szCs w:val="24"/>
          <w:lang w:val="fr-FR" w:eastAsia="fr-FR"/>
          <w14:ligatures w14:val="standardContextual"/>
        </w:rPr>
      </w:pPr>
      <w:hyperlink w:anchor="_Toc212133514" w:history="1">
        <w:r w:rsidRPr="00CB791B">
          <w:rPr>
            <w:rStyle w:val="Hyperlink"/>
            <w:iCs/>
            <w:lang w:val="es"/>
          </w:rPr>
          <w:t>3.4.1.2</w:t>
        </w:r>
        <w:r>
          <w:rPr>
            <w:rFonts w:asciiTheme="minorHAnsi" w:eastAsiaTheme="minorEastAsia" w:hAnsiTheme="minorHAnsi" w:cstheme="minorBidi"/>
            <w:i w:val="0"/>
            <w:snapToGrid/>
            <w:kern w:val="2"/>
            <w:sz w:val="24"/>
            <w:szCs w:val="24"/>
            <w:lang w:val="fr-FR" w:eastAsia="fr-FR"/>
            <w14:ligatures w14:val="standardContextual"/>
          </w:rPr>
          <w:tab/>
        </w:r>
        <w:r w:rsidRPr="00CB791B">
          <w:rPr>
            <w:rStyle w:val="Hyperlink"/>
            <w:iCs/>
            <w:lang w:val="es"/>
          </w:rPr>
          <w:t xml:space="preserve">Coordinación mundial de los sistemas de alerta y mitigación </w:t>
        </w:r>
        <w:r w:rsidRPr="00CB791B">
          <w:rPr>
            <w:rStyle w:val="Hyperlink"/>
            <w:lang w:val="es"/>
          </w:rPr>
          <w:t xml:space="preserve"> </w:t>
        </w:r>
        <w:r w:rsidR="006C41C4">
          <w:rPr>
            <w:rStyle w:val="Hyperlink"/>
            <w:lang w:val="es"/>
          </w:rPr>
          <w:br/>
        </w:r>
        <w:r w:rsidRPr="00CB791B">
          <w:rPr>
            <w:rStyle w:val="Hyperlink"/>
            <w:iCs/>
            <w:lang w:val="es"/>
          </w:rPr>
          <w:t>para peligros oceánicos</w:t>
        </w:r>
        <w:r>
          <w:rPr>
            <w:webHidden/>
          </w:rPr>
          <w:tab/>
        </w:r>
        <w:r>
          <w:rPr>
            <w:webHidden/>
          </w:rPr>
          <w:fldChar w:fldCharType="begin"/>
        </w:r>
        <w:r>
          <w:rPr>
            <w:webHidden/>
          </w:rPr>
          <w:instrText xml:space="preserve"> PAGEREF _Toc212133514 \h </w:instrText>
        </w:r>
        <w:r>
          <w:rPr>
            <w:webHidden/>
          </w:rPr>
        </w:r>
        <w:r>
          <w:rPr>
            <w:webHidden/>
          </w:rPr>
          <w:fldChar w:fldCharType="separate"/>
        </w:r>
        <w:r w:rsidR="001C54D9">
          <w:rPr>
            <w:webHidden/>
          </w:rPr>
          <w:t>19</w:t>
        </w:r>
        <w:r>
          <w:rPr>
            <w:webHidden/>
          </w:rPr>
          <w:fldChar w:fldCharType="end"/>
        </w:r>
      </w:hyperlink>
    </w:p>
    <w:p w14:paraId="2ACB8BF0" w14:textId="27B72C6D"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15" w:history="1">
        <w:r w:rsidRPr="00CB791B">
          <w:rPr>
            <w:rStyle w:val="Hyperlink"/>
          </w:rPr>
          <w:t>3.4.2</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 xml:space="preserve">Intercambio Internacional de Datos e Información Oceanográficos:  </w:t>
        </w:r>
        <w:r w:rsidR="006C41C4">
          <w:rPr>
            <w:rStyle w:val="Hyperlink"/>
            <w:lang w:val="es"/>
          </w:rPr>
          <w:br/>
        </w:r>
        <w:r w:rsidRPr="00CB791B">
          <w:rPr>
            <w:rStyle w:val="Hyperlink"/>
            <w:lang w:val="es"/>
          </w:rPr>
          <w:t>28ª reunión del IODE, Santa Marta, Colombia, 12-14 de marzo de 2025</w:t>
        </w:r>
        <w:r>
          <w:rPr>
            <w:webHidden/>
          </w:rPr>
          <w:tab/>
        </w:r>
        <w:r>
          <w:rPr>
            <w:webHidden/>
          </w:rPr>
          <w:fldChar w:fldCharType="begin"/>
        </w:r>
        <w:r>
          <w:rPr>
            <w:webHidden/>
          </w:rPr>
          <w:instrText xml:space="preserve"> PAGEREF _Toc212133515 \h </w:instrText>
        </w:r>
        <w:r>
          <w:rPr>
            <w:webHidden/>
          </w:rPr>
        </w:r>
        <w:r>
          <w:rPr>
            <w:webHidden/>
          </w:rPr>
          <w:fldChar w:fldCharType="separate"/>
        </w:r>
        <w:r w:rsidR="001C54D9">
          <w:rPr>
            <w:webHidden/>
          </w:rPr>
          <w:t>20</w:t>
        </w:r>
        <w:r>
          <w:rPr>
            <w:webHidden/>
          </w:rPr>
          <w:fldChar w:fldCharType="end"/>
        </w:r>
      </w:hyperlink>
    </w:p>
    <w:p w14:paraId="5DC44144" w14:textId="053EF90C"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16" w:history="1">
        <w:r w:rsidRPr="00CB791B">
          <w:rPr>
            <w:rStyle w:val="Hyperlink"/>
          </w:rPr>
          <w:t>3.4.3</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Arquitectura de datos de la COI</w:t>
        </w:r>
        <w:r>
          <w:rPr>
            <w:webHidden/>
          </w:rPr>
          <w:tab/>
        </w:r>
        <w:r>
          <w:rPr>
            <w:webHidden/>
          </w:rPr>
          <w:fldChar w:fldCharType="begin"/>
        </w:r>
        <w:r>
          <w:rPr>
            <w:webHidden/>
          </w:rPr>
          <w:instrText xml:space="preserve"> PAGEREF _Toc212133516 \h </w:instrText>
        </w:r>
        <w:r>
          <w:rPr>
            <w:webHidden/>
          </w:rPr>
        </w:r>
        <w:r>
          <w:rPr>
            <w:webHidden/>
          </w:rPr>
          <w:fldChar w:fldCharType="separate"/>
        </w:r>
        <w:r w:rsidR="001C54D9">
          <w:rPr>
            <w:webHidden/>
          </w:rPr>
          <w:t>25</w:t>
        </w:r>
        <w:r>
          <w:rPr>
            <w:webHidden/>
          </w:rPr>
          <w:fldChar w:fldCharType="end"/>
        </w:r>
      </w:hyperlink>
    </w:p>
    <w:p w14:paraId="4D08A7B1" w14:textId="7B54D31B"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17" w:history="1">
        <w:r w:rsidRPr="00CB791B">
          <w:rPr>
            <w:rStyle w:val="Hyperlink"/>
            <w:lang w:val="es"/>
          </w:rPr>
          <w:t>3.4.4</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Un Sistema de Mejores Prácticas Oceánicas (OBPS) de la COI</w:t>
        </w:r>
        <w:r>
          <w:rPr>
            <w:webHidden/>
          </w:rPr>
          <w:tab/>
        </w:r>
        <w:r>
          <w:rPr>
            <w:webHidden/>
          </w:rPr>
          <w:fldChar w:fldCharType="begin"/>
        </w:r>
        <w:r>
          <w:rPr>
            <w:webHidden/>
          </w:rPr>
          <w:instrText xml:space="preserve"> PAGEREF _Toc212133517 \h </w:instrText>
        </w:r>
        <w:r>
          <w:rPr>
            <w:webHidden/>
          </w:rPr>
        </w:r>
        <w:r>
          <w:rPr>
            <w:webHidden/>
          </w:rPr>
          <w:fldChar w:fldCharType="separate"/>
        </w:r>
        <w:r w:rsidR="001C54D9">
          <w:rPr>
            <w:webHidden/>
          </w:rPr>
          <w:t>27</w:t>
        </w:r>
        <w:r>
          <w:rPr>
            <w:webHidden/>
          </w:rPr>
          <w:fldChar w:fldCharType="end"/>
        </w:r>
      </w:hyperlink>
    </w:p>
    <w:p w14:paraId="601610E8" w14:textId="5B1C63C3"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18" w:history="1">
        <w:r w:rsidRPr="00CB791B">
          <w:rPr>
            <w:rStyle w:val="Hyperlink"/>
          </w:rPr>
          <w:t>3.4.5</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Panel Intergubernamental COI-FAO sobre Floraciones de Algas Nocivas:  17ª reunión del IPHAB, FAO, UNESCO, 18-20 de marzo de 2025</w:t>
        </w:r>
        <w:r>
          <w:rPr>
            <w:webHidden/>
          </w:rPr>
          <w:tab/>
        </w:r>
        <w:r>
          <w:rPr>
            <w:webHidden/>
          </w:rPr>
          <w:fldChar w:fldCharType="begin"/>
        </w:r>
        <w:r>
          <w:rPr>
            <w:webHidden/>
          </w:rPr>
          <w:instrText xml:space="preserve"> PAGEREF _Toc212133518 \h </w:instrText>
        </w:r>
        <w:r>
          <w:rPr>
            <w:webHidden/>
          </w:rPr>
        </w:r>
        <w:r>
          <w:rPr>
            <w:webHidden/>
          </w:rPr>
          <w:fldChar w:fldCharType="separate"/>
        </w:r>
        <w:r w:rsidR="001C54D9">
          <w:rPr>
            <w:webHidden/>
          </w:rPr>
          <w:t>28</w:t>
        </w:r>
        <w:r>
          <w:rPr>
            <w:webHidden/>
          </w:rPr>
          <w:fldChar w:fldCharType="end"/>
        </w:r>
      </w:hyperlink>
    </w:p>
    <w:p w14:paraId="49938BCB" w14:textId="16D7B19A"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19" w:history="1">
        <w:r w:rsidRPr="00CB791B">
          <w:rPr>
            <w:rStyle w:val="Hyperlink"/>
            <w:lang w:val="es"/>
          </w:rPr>
          <w:t>3.5</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INFORME DE LA COI A LA 43ª CONFERENCIA GENERAL DE LA UNESCO</w:t>
        </w:r>
        <w:r>
          <w:rPr>
            <w:webHidden/>
          </w:rPr>
          <w:tab/>
        </w:r>
        <w:r>
          <w:rPr>
            <w:webHidden/>
          </w:rPr>
          <w:fldChar w:fldCharType="begin"/>
        </w:r>
        <w:r>
          <w:rPr>
            <w:webHidden/>
          </w:rPr>
          <w:instrText xml:space="preserve"> PAGEREF _Toc212133519 \h </w:instrText>
        </w:r>
        <w:r>
          <w:rPr>
            <w:webHidden/>
          </w:rPr>
        </w:r>
        <w:r>
          <w:rPr>
            <w:webHidden/>
          </w:rPr>
          <w:fldChar w:fldCharType="separate"/>
        </w:r>
        <w:r w:rsidR="001C54D9">
          <w:rPr>
            <w:webHidden/>
          </w:rPr>
          <w:t>30</w:t>
        </w:r>
        <w:r>
          <w:rPr>
            <w:webHidden/>
          </w:rPr>
          <w:fldChar w:fldCharType="end"/>
        </w:r>
      </w:hyperlink>
    </w:p>
    <w:p w14:paraId="3C66B9B9" w14:textId="06F75382" w:rsidR="00986C76" w:rsidRDefault="00986C76">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520" w:history="1">
        <w:r w:rsidRPr="00CB791B">
          <w:rPr>
            <w:rStyle w:val="Hyperlink"/>
          </w:rPr>
          <w:t>2.</w:t>
        </w:r>
        <w:r>
          <w:rPr>
            <w:rFonts w:asciiTheme="minorHAnsi" w:eastAsiaTheme="minorEastAsia" w:hAnsiTheme="minorHAnsi" w:cstheme="minorBidi"/>
            <w:b w:val="0"/>
            <w:snapToGrid/>
            <w:color w:val="auto"/>
            <w:kern w:val="2"/>
            <w:sz w:val="24"/>
            <w:szCs w:val="24"/>
            <w:lang w:val="fr-FR" w:eastAsia="fr-FR"/>
            <w14:ligatures w14:val="standardContextual"/>
          </w:rPr>
          <w:tab/>
        </w:r>
        <w:r w:rsidRPr="00CB791B">
          <w:rPr>
            <w:rStyle w:val="Hyperlink"/>
            <w:lang w:val="es"/>
          </w:rPr>
          <w:t>AVANCES PROGRAMÁTICOS</w:t>
        </w:r>
        <w:r>
          <w:rPr>
            <w:webHidden/>
          </w:rPr>
          <w:tab/>
        </w:r>
        <w:r>
          <w:rPr>
            <w:webHidden/>
          </w:rPr>
          <w:fldChar w:fldCharType="begin"/>
        </w:r>
        <w:r>
          <w:rPr>
            <w:webHidden/>
          </w:rPr>
          <w:instrText xml:space="preserve"> PAGEREF _Toc212133520 \h </w:instrText>
        </w:r>
        <w:r>
          <w:rPr>
            <w:webHidden/>
          </w:rPr>
        </w:r>
        <w:r>
          <w:rPr>
            <w:webHidden/>
          </w:rPr>
          <w:fldChar w:fldCharType="separate"/>
        </w:r>
        <w:r w:rsidR="001C54D9">
          <w:rPr>
            <w:webHidden/>
          </w:rPr>
          <w:t>30</w:t>
        </w:r>
        <w:r>
          <w:rPr>
            <w:webHidden/>
          </w:rPr>
          <w:fldChar w:fldCharType="end"/>
        </w:r>
      </w:hyperlink>
    </w:p>
    <w:p w14:paraId="4BEFB2EA" w14:textId="39DEAF2B"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21" w:history="1">
        <w:r w:rsidRPr="00CB791B">
          <w:rPr>
            <w:rStyle w:val="Hyperlink"/>
            <w:lang w:val="es"/>
          </w:rPr>
          <w:t>4.1</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PROYECTO DE ESTRATEGIA DE LA COI PARA LA  </w:t>
        </w:r>
        <w:r w:rsidR="006C41C4">
          <w:rPr>
            <w:rStyle w:val="Hyperlink"/>
            <w:lang w:val="es"/>
          </w:rPr>
          <w:br/>
        </w:r>
        <w:r w:rsidRPr="00CB791B">
          <w:rPr>
            <w:rStyle w:val="Hyperlink"/>
            <w:lang w:val="es"/>
          </w:rPr>
          <w:t>PLANIFICACIÓN Y GESTIÓN SOSTENIBLES DE LOS OCÉANOS</w:t>
        </w:r>
        <w:r>
          <w:rPr>
            <w:webHidden/>
          </w:rPr>
          <w:tab/>
        </w:r>
        <w:r>
          <w:rPr>
            <w:webHidden/>
          </w:rPr>
          <w:fldChar w:fldCharType="begin"/>
        </w:r>
        <w:r>
          <w:rPr>
            <w:webHidden/>
          </w:rPr>
          <w:instrText xml:space="preserve"> PAGEREF _Toc212133521 \h </w:instrText>
        </w:r>
        <w:r>
          <w:rPr>
            <w:webHidden/>
          </w:rPr>
        </w:r>
        <w:r>
          <w:rPr>
            <w:webHidden/>
          </w:rPr>
          <w:fldChar w:fldCharType="separate"/>
        </w:r>
        <w:r w:rsidR="001C54D9">
          <w:rPr>
            <w:webHidden/>
          </w:rPr>
          <w:t>30</w:t>
        </w:r>
        <w:r>
          <w:rPr>
            <w:webHidden/>
          </w:rPr>
          <w:fldChar w:fldCharType="end"/>
        </w:r>
      </w:hyperlink>
    </w:p>
    <w:p w14:paraId="45AFAA80" w14:textId="33CF0340"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22" w:history="1">
        <w:r w:rsidRPr="00CB791B">
          <w:rPr>
            <w:rStyle w:val="Hyperlink"/>
            <w:lang w:val="es"/>
          </w:rPr>
          <w:t>4.2</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PROYECTO DE PLAN DE EJECUCIÓN PARA LA  ESTRATEGIA </w:t>
        </w:r>
        <w:r w:rsidR="006C41C4">
          <w:rPr>
            <w:rStyle w:val="Hyperlink"/>
            <w:lang w:val="es"/>
          </w:rPr>
          <w:br/>
        </w:r>
        <w:r w:rsidRPr="00CB791B">
          <w:rPr>
            <w:rStyle w:val="Hyperlink"/>
            <w:lang w:val="es"/>
          </w:rPr>
          <w:t>DE DESARROLLO DE CAPACIDADES DE LA COI 2023-2030</w:t>
        </w:r>
        <w:r>
          <w:rPr>
            <w:webHidden/>
          </w:rPr>
          <w:tab/>
        </w:r>
        <w:r>
          <w:rPr>
            <w:webHidden/>
          </w:rPr>
          <w:fldChar w:fldCharType="begin"/>
        </w:r>
        <w:r>
          <w:rPr>
            <w:webHidden/>
          </w:rPr>
          <w:instrText xml:space="preserve"> PAGEREF _Toc212133522 \h </w:instrText>
        </w:r>
        <w:r>
          <w:rPr>
            <w:webHidden/>
          </w:rPr>
        </w:r>
        <w:r>
          <w:rPr>
            <w:webHidden/>
          </w:rPr>
          <w:fldChar w:fldCharType="separate"/>
        </w:r>
        <w:r w:rsidR="001C54D9">
          <w:rPr>
            <w:webHidden/>
          </w:rPr>
          <w:t>32</w:t>
        </w:r>
        <w:r>
          <w:rPr>
            <w:webHidden/>
          </w:rPr>
          <w:fldChar w:fldCharType="end"/>
        </w:r>
      </w:hyperlink>
    </w:p>
    <w:p w14:paraId="7F2CD520" w14:textId="05CC36E5"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23" w:history="1">
        <w:r w:rsidRPr="00CB791B">
          <w:rPr>
            <w:rStyle w:val="Hyperlink"/>
            <w:lang w:val="es"/>
          </w:rPr>
          <w:t>4.3</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CARTA BATIMÉTRICA GENERAL DE LOS OCÉANOS (GEBCO)  - </w:t>
        </w:r>
        <w:r w:rsidR="006C41C4">
          <w:rPr>
            <w:rStyle w:val="Hyperlink"/>
            <w:lang w:val="es"/>
          </w:rPr>
          <w:br/>
        </w:r>
        <w:r w:rsidRPr="00CB791B">
          <w:rPr>
            <w:rStyle w:val="Hyperlink"/>
            <w:lang w:val="es"/>
          </w:rPr>
          <w:t>INFORME Y SEGUIMIENTO DE LA REVISIÓN DE LA GOBERNANZA</w:t>
        </w:r>
        <w:r>
          <w:rPr>
            <w:webHidden/>
          </w:rPr>
          <w:tab/>
        </w:r>
        <w:r>
          <w:rPr>
            <w:webHidden/>
          </w:rPr>
          <w:fldChar w:fldCharType="begin"/>
        </w:r>
        <w:r>
          <w:rPr>
            <w:webHidden/>
          </w:rPr>
          <w:instrText xml:space="preserve"> PAGEREF _Toc212133523 \h </w:instrText>
        </w:r>
        <w:r>
          <w:rPr>
            <w:webHidden/>
          </w:rPr>
        </w:r>
        <w:r>
          <w:rPr>
            <w:webHidden/>
          </w:rPr>
          <w:fldChar w:fldCharType="separate"/>
        </w:r>
        <w:r w:rsidR="001C54D9">
          <w:rPr>
            <w:webHidden/>
          </w:rPr>
          <w:t>34</w:t>
        </w:r>
        <w:r>
          <w:rPr>
            <w:webHidden/>
          </w:rPr>
          <w:fldChar w:fldCharType="end"/>
        </w:r>
      </w:hyperlink>
    </w:p>
    <w:p w14:paraId="75F92AA7" w14:textId="11188B05"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24" w:history="1">
        <w:r w:rsidRPr="00CB791B">
          <w:rPr>
            <w:rStyle w:val="Hyperlink"/>
            <w:lang w:val="es"/>
          </w:rPr>
          <w:t>4.4</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PLAN DE ACCIÓN Y ESTRATEGIA PARA LA ALFABETIZACIÓN </w:t>
        </w:r>
        <w:r w:rsidR="006C41C4">
          <w:rPr>
            <w:rStyle w:val="Hyperlink"/>
            <w:lang w:val="es"/>
          </w:rPr>
          <w:br/>
        </w:r>
        <w:r w:rsidRPr="00CB791B">
          <w:rPr>
            <w:rStyle w:val="Hyperlink"/>
            <w:lang w:val="es"/>
          </w:rPr>
          <w:t>OCEÁNICA DE LA COI</w:t>
        </w:r>
        <w:r>
          <w:rPr>
            <w:webHidden/>
          </w:rPr>
          <w:tab/>
        </w:r>
        <w:r>
          <w:rPr>
            <w:webHidden/>
          </w:rPr>
          <w:fldChar w:fldCharType="begin"/>
        </w:r>
        <w:r>
          <w:rPr>
            <w:webHidden/>
          </w:rPr>
          <w:instrText xml:space="preserve"> PAGEREF _Toc212133524 \h </w:instrText>
        </w:r>
        <w:r>
          <w:rPr>
            <w:webHidden/>
          </w:rPr>
        </w:r>
        <w:r>
          <w:rPr>
            <w:webHidden/>
          </w:rPr>
          <w:fldChar w:fldCharType="separate"/>
        </w:r>
        <w:r w:rsidR="001C54D9">
          <w:rPr>
            <w:webHidden/>
          </w:rPr>
          <w:t>35</w:t>
        </w:r>
        <w:r>
          <w:rPr>
            <w:webHidden/>
          </w:rPr>
          <w:fldChar w:fldCharType="end"/>
        </w:r>
      </w:hyperlink>
    </w:p>
    <w:p w14:paraId="72E63696" w14:textId="2FEAE228"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25" w:history="1">
        <w:r w:rsidRPr="00CB791B">
          <w:rPr>
            <w:rStyle w:val="Hyperlink"/>
          </w:rPr>
          <w:t>4.5</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SISTEMA MUNDIAL DE OBSERVACIÓN DE LOS OCÉANOS</w:t>
        </w:r>
        <w:r>
          <w:rPr>
            <w:webHidden/>
          </w:rPr>
          <w:tab/>
        </w:r>
        <w:r>
          <w:rPr>
            <w:webHidden/>
          </w:rPr>
          <w:fldChar w:fldCharType="begin"/>
        </w:r>
        <w:r>
          <w:rPr>
            <w:webHidden/>
          </w:rPr>
          <w:instrText xml:space="preserve"> PAGEREF _Toc212133525 \h </w:instrText>
        </w:r>
        <w:r>
          <w:rPr>
            <w:webHidden/>
          </w:rPr>
        </w:r>
        <w:r>
          <w:rPr>
            <w:webHidden/>
          </w:rPr>
          <w:fldChar w:fldCharType="separate"/>
        </w:r>
        <w:r w:rsidR="001C54D9">
          <w:rPr>
            <w:webHidden/>
          </w:rPr>
          <w:t>36</w:t>
        </w:r>
        <w:r>
          <w:rPr>
            <w:webHidden/>
          </w:rPr>
          <w:fldChar w:fldCharType="end"/>
        </w:r>
      </w:hyperlink>
    </w:p>
    <w:p w14:paraId="04C90451" w14:textId="63C7727E"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26" w:history="1">
        <w:r w:rsidRPr="00CB791B">
          <w:rPr>
            <w:rStyle w:val="Hyperlink"/>
            <w:lang w:val="es"/>
          </w:rPr>
          <w:t>4.5.1</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Gobernanza del GOOS</w:t>
        </w:r>
        <w:r>
          <w:rPr>
            <w:webHidden/>
          </w:rPr>
          <w:tab/>
        </w:r>
        <w:r>
          <w:rPr>
            <w:webHidden/>
          </w:rPr>
          <w:fldChar w:fldCharType="begin"/>
        </w:r>
        <w:r>
          <w:rPr>
            <w:webHidden/>
          </w:rPr>
          <w:instrText xml:space="preserve"> PAGEREF _Toc212133526 \h </w:instrText>
        </w:r>
        <w:r>
          <w:rPr>
            <w:webHidden/>
          </w:rPr>
        </w:r>
        <w:r>
          <w:rPr>
            <w:webHidden/>
          </w:rPr>
          <w:fldChar w:fldCharType="separate"/>
        </w:r>
        <w:r w:rsidR="001C54D9">
          <w:rPr>
            <w:webHidden/>
          </w:rPr>
          <w:t>36</w:t>
        </w:r>
        <w:r>
          <w:rPr>
            <w:webHidden/>
          </w:rPr>
          <w:fldChar w:fldCharType="end"/>
        </w:r>
      </w:hyperlink>
    </w:p>
    <w:p w14:paraId="2EB75997" w14:textId="51B0F860"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27" w:history="1">
        <w:r w:rsidRPr="00CB791B">
          <w:rPr>
            <w:rStyle w:val="Hyperlink"/>
          </w:rPr>
          <w:t>4.5.2</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Plan de trabajo del Comité de Dirección del GOOS</w:t>
        </w:r>
        <w:r>
          <w:rPr>
            <w:webHidden/>
          </w:rPr>
          <w:tab/>
        </w:r>
        <w:r>
          <w:rPr>
            <w:webHidden/>
          </w:rPr>
          <w:fldChar w:fldCharType="begin"/>
        </w:r>
        <w:r>
          <w:rPr>
            <w:webHidden/>
          </w:rPr>
          <w:instrText xml:space="preserve"> PAGEREF _Toc212133527 \h </w:instrText>
        </w:r>
        <w:r>
          <w:rPr>
            <w:webHidden/>
          </w:rPr>
        </w:r>
        <w:r>
          <w:rPr>
            <w:webHidden/>
          </w:rPr>
          <w:fldChar w:fldCharType="separate"/>
        </w:r>
        <w:r w:rsidR="001C54D9">
          <w:rPr>
            <w:webHidden/>
          </w:rPr>
          <w:t>37</w:t>
        </w:r>
        <w:r>
          <w:rPr>
            <w:webHidden/>
          </w:rPr>
          <w:fldChar w:fldCharType="end"/>
        </w:r>
      </w:hyperlink>
    </w:p>
    <w:p w14:paraId="4AF4B83E" w14:textId="55699AD6"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28" w:history="1">
        <w:r w:rsidRPr="00CB791B">
          <w:rPr>
            <w:rStyle w:val="Hyperlink"/>
          </w:rPr>
          <w:t>4.5.3</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 xml:space="preserve">Informe del grupo de trabajo entre reuniones sobre </w:t>
        </w:r>
        <w:r w:rsidR="006C41C4">
          <w:rPr>
            <w:rStyle w:val="Hyperlink"/>
            <w:lang w:val="es"/>
          </w:rPr>
          <w:br/>
        </w:r>
        <w:r w:rsidRPr="00CB791B">
          <w:rPr>
            <w:rStyle w:val="Hyperlink"/>
            <w:lang w:val="es"/>
          </w:rPr>
          <w:t>observaciones  oceánicas en zonas bajo jurisdicción nacional</w:t>
        </w:r>
        <w:r>
          <w:rPr>
            <w:webHidden/>
          </w:rPr>
          <w:tab/>
        </w:r>
        <w:r>
          <w:rPr>
            <w:webHidden/>
          </w:rPr>
          <w:fldChar w:fldCharType="begin"/>
        </w:r>
        <w:r>
          <w:rPr>
            <w:webHidden/>
          </w:rPr>
          <w:instrText xml:space="preserve"> PAGEREF _Toc212133528 \h </w:instrText>
        </w:r>
        <w:r>
          <w:rPr>
            <w:webHidden/>
          </w:rPr>
        </w:r>
        <w:r>
          <w:rPr>
            <w:webHidden/>
          </w:rPr>
          <w:fldChar w:fldCharType="separate"/>
        </w:r>
        <w:r w:rsidR="001C54D9">
          <w:rPr>
            <w:webHidden/>
          </w:rPr>
          <w:t>39</w:t>
        </w:r>
        <w:r>
          <w:rPr>
            <w:webHidden/>
          </w:rPr>
          <w:fldChar w:fldCharType="end"/>
        </w:r>
      </w:hyperlink>
    </w:p>
    <w:p w14:paraId="294CF9D1" w14:textId="13DB18D2"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29" w:history="1">
        <w:r w:rsidRPr="00CB791B">
          <w:rPr>
            <w:rStyle w:val="Hyperlink"/>
            <w:lang w:val="es"/>
          </w:rPr>
          <w:t>4.6</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ASESORAMIENTO ESTRATÉGICO DEL CONSEJO DE COLABORACIÓN </w:t>
        </w:r>
        <w:r w:rsidR="006C41C4">
          <w:rPr>
            <w:rStyle w:val="Hyperlink"/>
            <w:lang w:val="es"/>
          </w:rPr>
          <w:br/>
        </w:r>
        <w:r w:rsidRPr="00CB791B">
          <w:rPr>
            <w:rStyle w:val="Hyperlink"/>
            <w:lang w:val="es"/>
          </w:rPr>
          <w:t xml:space="preserve">MIXTO OMM-IOC (CCM)  SOBRE EL TRABAJO CONJUNTO PARA </w:t>
        </w:r>
        <w:r w:rsidR="006C41C4">
          <w:rPr>
            <w:rStyle w:val="Hyperlink"/>
            <w:lang w:val="es"/>
          </w:rPr>
          <w:br/>
        </w:r>
        <w:r w:rsidRPr="00CB791B">
          <w:rPr>
            <w:rStyle w:val="Hyperlink"/>
            <w:lang w:val="es"/>
          </w:rPr>
          <w:t>ALCANZAR OBJETIVOS COMUNES</w:t>
        </w:r>
        <w:r>
          <w:rPr>
            <w:webHidden/>
          </w:rPr>
          <w:tab/>
        </w:r>
        <w:r>
          <w:rPr>
            <w:webHidden/>
          </w:rPr>
          <w:fldChar w:fldCharType="begin"/>
        </w:r>
        <w:r>
          <w:rPr>
            <w:webHidden/>
          </w:rPr>
          <w:instrText xml:space="preserve"> PAGEREF _Toc212133529 \h </w:instrText>
        </w:r>
        <w:r>
          <w:rPr>
            <w:webHidden/>
          </w:rPr>
        </w:r>
        <w:r>
          <w:rPr>
            <w:webHidden/>
          </w:rPr>
          <w:fldChar w:fldCharType="separate"/>
        </w:r>
        <w:r w:rsidR="001C54D9">
          <w:rPr>
            <w:webHidden/>
          </w:rPr>
          <w:t>40</w:t>
        </w:r>
        <w:r>
          <w:rPr>
            <w:webHidden/>
          </w:rPr>
          <w:fldChar w:fldCharType="end"/>
        </w:r>
      </w:hyperlink>
    </w:p>
    <w:p w14:paraId="091891DC" w14:textId="46C339FB"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30" w:history="1">
        <w:r w:rsidRPr="00CB791B">
          <w:rPr>
            <w:rStyle w:val="Hyperlink"/>
            <w:lang w:val="es"/>
          </w:rPr>
          <w:t>4.7</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CONTRIBUCIONES DE LA COI A LOS PROCESOS </w:t>
        </w:r>
        <w:r w:rsidR="006C41C4">
          <w:rPr>
            <w:rStyle w:val="Hyperlink"/>
            <w:lang w:val="es"/>
          </w:rPr>
          <w:br/>
        </w:r>
        <w:r w:rsidRPr="00CB791B">
          <w:rPr>
            <w:rStyle w:val="Hyperlink"/>
            <w:lang w:val="es"/>
          </w:rPr>
          <w:t>DE GOBERNANZA DE LA ONU</w:t>
        </w:r>
        <w:r>
          <w:rPr>
            <w:webHidden/>
          </w:rPr>
          <w:tab/>
        </w:r>
        <w:r>
          <w:rPr>
            <w:webHidden/>
          </w:rPr>
          <w:fldChar w:fldCharType="begin"/>
        </w:r>
        <w:r>
          <w:rPr>
            <w:webHidden/>
          </w:rPr>
          <w:instrText xml:space="preserve"> PAGEREF _Toc212133530 \h </w:instrText>
        </w:r>
        <w:r>
          <w:rPr>
            <w:webHidden/>
          </w:rPr>
        </w:r>
        <w:r>
          <w:rPr>
            <w:webHidden/>
          </w:rPr>
          <w:fldChar w:fldCharType="separate"/>
        </w:r>
        <w:r w:rsidR="001C54D9">
          <w:rPr>
            <w:webHidden/>
          </w:rPr>
          <w:t>41</w:t>
        </w:r>
        <w:r>
          <w:rPr>
            <w:webHidden/>
          </w:rPr>
          <w:fldChar w:fldCharType="end"/>
        </w:r>
      </w:hyperlink>
    </w:p>
    <w:p w14:paraId="0EA04A9D" w14:textId="3191F20B"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31" w:history="1">
        <w:r w:rsidRPr="00CB791B">
          <w:rPr>
            <w:rStyle w:val="Hyperlink"/>
            <w:lang w:val="es"/>
          </w:rPr>
          <w:t>4.8</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INFORME SOBRE EL PLAN DE EJECUCIÓN DEL DECENIO </w:t>
        </w:r>
        <w:r w:rsidR="006C41C4">
          <w:rPr>
            <w:rStyle w:val="Hyperlink"/>
            <w:lang w:val="es"/>
          </w:rPr>
          <w:br/>
        </w:r>
        <w:r w:rsidRPr="00CB791B">
          <w:rPr>
            <w:rStyle w:val="Hyperlink"/>
            <w:lang w:val="es"/>
          </w:rPr>
          <w:t xml:space="preserve">DEL OCÉANO DE LAS NACIONES UNIDAS 2021-2030 Y </w:t>
        </w:r>
        <w:r w:rsidR="006C41C4">
          <w:rPr>
            <w:rStyle w:val="Hyperlink"/>
            <w:lang w:val="es"/>
          </w:rPr>
          <w:br/>
        </w:r>
        <w:r w:rsidRPr="00CB791B">
          <w:rPr>
            <w:rStyle w:val="Hyperlink"/>
            <w:lang w:val="es"/>
          </w:rPr>
          <w:t>RESULTADOS DE LA EVALUACIÓN INTERMEDIA</w:t>
        </w:r>
        <w:r>
          <w:rPr>
            <w:webHidden/>
          </w:rPr>
          <w:tab/>
        </w:r>
        <w:r>
          <w:rPr>
            <w:webHidden/>
          </w:rPr>
          <w:fldChar w:fldCharType="begin"/>
        </w:r>
        <w:r>
          <w:rPr>
            <w:webHidden/>
          </w:rPr>
          <w:instrText xml:space="preserve"> PAGEREF _Toc212133531 \h </w:instrText>
        </w:r>
        <w:r>
          <w:rPr>
            <w:webHidden/>
          </w:rPr>
        </w:r>
        <w:r>
          <w:rPr>
            <w:webHidden/>
          </w:rPr>
          <w:fldChar w:fldCharType="separate"/>
        </w:r>
        <w:r w:rsidR="001C54D9">
          <w:rPr>
            <w:webHidden/>
          </w:rPr>
          <w:t>43</w:t>
        </w:r>
        <w:r>
          <w:rPr>
            <w:webHidden/>
          </w:rPr>
          <w:fldChar w:fldCharType="end"/>
        </w:r>
      </w:hyperlink>
    </w:p>
    <w:p w14:paraId="365B2A86" w14:textId="4C952A8E" w:rsidR="00986C76" w:rsidRDefault="00986C76">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532" w:history="1">
        <w:r w:rsidRPr="00CB791B">
          <w:rPr>
            <w:rStyle w:val="Hyperlink"/>
          </w:rPr>
          <w:t>5.</w:t>
        </w:r>
        <w:r>
          <w:rPr>
            <w:rFonts w:asciiTheme="minorHAnsi" w:eastAsiaTheme="minorEastAsia" w:hAnsiTheme="minorHAnsi" w:cstheme="minorBidi"/>
            <w:b w:val="0"/>
            <w:snapToGrid/>
            <w:color w:val="auto"/>
            <w:kern w:val="2"/>
            <w:sz w:val="24"/>
            <w:szCs w:val="24"/>
            <w:lang w:val="fr-FR" w:eastAsia="fr-FR"/>
            <w14:ligatures w14:val="standardContextual"/>
          </w:rPr>
          <w:tab/>
        </w:r>
        <w:r w:rsidRPr="00CB791B">
          <w:rPr>
            <w:rStyle w:val="Hyperlink"/>
            <w:lang w:val="es"/>
          </w:rPr>
          <w:t>GOBERNANZA, PROGRAMACIÓN Y PRESUPUESTACIÓN</w:t>
        </w:r>
        <w:r>
          <w:rPr>
            <w:webHidden/>
          </w:rPr>
          <w:tab/>
        </w:r>
        <w:r>
          <w:rPr>
            <w:webHidden/>
          </w:rPr>
          <w:fldChar w:fldCharType="begin"/>
        </w:r>
        <w:r>
          <w:rPr>
            <w:webHidden/>
          </w:rPr>
          <w:instrText xml:space="preserve"> PAGEREF _Toc212133532 \h </w:instrText>
        </w:r>
        <w:r>
          <w:rPr>
            <w:webHidden/>
          </w:rPr>
        </w:r>
        <w:r>
          <w:rPr>
            <w:webHidden/>
          </w:rPr>
          <w:fldChar w:fldCharType="separate"/>
        </w:r>
        <w:r w:rsidR="001C54D9">
          <w:rPr>
            <w:webHidden/>
          </w:rPr>
          <w:t>46</w:t>
        </w:r>
        <w:r>
          <w:rPr>
            <w:webHidden/>
          </w:rPr>
          <w:fldChar w:fldCharType="end"/>
        </w:r>
      </w:hyperlink>
    </w:p>
    <w:p w14:paraId="627B2713" w14:textId="2088C740"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33" w:history="1">
        <w:r w:rsidRPr="00CB791B">
          <w:rPr>
            <w:rStyle w:val="Hyperlink"/>
          </w:rPr>
          <w:t>5.1</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PROYECTO DE PROGRAMA Y PRESUPUESTO PARA 2026-2029  </w:t>
        </w:r>
        <w:r w:rsidR="006C41C4">
          <w:rPr>
            <w:rStyle w:val="Hyperlink"/>
            <w:lang w:val="es"/>
          </w:rPr>
          <w:br/>
        </w:r>
        <w:r w:rsidRPr="00CB791B">
          <w:rPr>
            <w:rStyle w:val="Hyperlink"/>
            <w:lang w:val="es"/>
          </w:rPr>
          <w:t>(PROYECTO 43 C/5, PRIMER BIENIO DEL CUATRIENIO 2026-2029)</w:t>
        </w:r>
        <w:r>
          <w:rPr>
            <w:webHidden/>
          </w:rPr>
          <w:tab/>
        </w:r>
        <w:r>
          <w:rPr>
            <w:webHidden/>
          </w:rPr>
          <w:fldChar w:fldCharType="begin"/>
        </w:r>
        <w:r>
          <w:rPr>
            <w:webHidden/>
          </w:rPr>
          <w:instrText xml:space="preserve"> PAGEREF _Toc212133533 \h </w:instrText>
        </w:r>
        <w:r>
          <w:rPr>
            <w:webHidden/>
          </w:rPr>
        </w:r>
        <w:r>
          <w:rPr>
            <w:webHidden/>
          </w:rPr>
          <w:fldChar w:fldCharType="separate"/>
        </w:r>
        <w:r w:rsidR="001C54D9">
          <w:rPr>
            <w:webHidden/>
          </w:rPr>
          <w:t>46</w:t>
        </w:r>
        <w:r>
          <w:rPr>
            <w:webHidden/>
          </w:rPr>
          <w:fldChar w:fldCharType="end"/>
        </w:r>
      </w:hyperlink>
    </w:p>
    <w:p w14:paraId="29970049" w14:textId="458918D2"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34" w:history="1">
        <w:r w:rsidRPr="00CB791B">
          <w:rPr>
            <w:rStyle w:val="Hyperlink"/>
          </w:rPr>
          <w:t>5.2</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EVALUACIÓN DE LOS PROCESOS DE GOBERNANZA  </w:t>
        </w:r>
        <w:r w:rsidR="006C41C4">
          <w:rPr>
            <w:rStyle w:val="Hyperlink"/>
            <w:lang w:val="es"/>
          </w:rPr>
          <w:br/>
        </w:r>
        <w:r w:rsidRPr="00CB791B">
          <w:rPr>
            <w:rStyle w:val="Hyperlink"/>
            <w:lang w:val="es"/>
          </w:rPr>
          <w:t>Y GESTIÓN DE LA COI</w:t>
        </w:r>
        <w:r>
          <w:rPr>
            <w:webHidden/>
          </w:rPr>
          <w:tab/>
        </w:r>
        <w:r>
          <w:rPr>
            <w:webHidden/>
          </w:rPr>
          <w:fldChar w:fldCharType="begin"/>
        </w:r>
        <w:r>
          <w:rPr>
            <w:webHidden/>
          </w:rPr>
          <w:instrText xml:space="preserve"> PAGEREF _Toc212133534 \h </w:instrText>
        </w:r>
        <w:r>
          <w:rPr>
            <w:webHidden/>
          </w:rPr>
        </w:r>
        <w:r>
          <w:rPr>
            <w:webHidden/>
          </w:rPr>
          <w:fldChar w:fldCharType="separate"/>
        </w:r>
        <w:r w:rsidR="001C54D9">
          <w:rPr>
            <w:webHidden/>
          </w:rPr>
          <w:t>49</w:t>
        </w:r>
        <w:r>
          <w:rPr>
            <w:webHidden/>
          </w:rPr>
          <w:fldChar w:fldCharType="end"/>
        </w:r>
      </w:hyperlink>
    </w:p>
    <w:p w14:paraId="20F2B814" w14:textId="47629243"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35" w:history="1">
        <w:r w:rsidRPr="00CB791B">
          <w:rPr>
            <w:rStyle w:val="Hyperlink"/>
          </w:rPr>
          <w:t>5.3</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LA COI Y EL FUTURO DEL PROCESO </w:t>
        </w:r>
        <w:r w:rsidR="006C41C4">
          <w:rPr>
            <w:rStyle w:val="Hyperlink"/>
            <w:lang w:val="es"/>
          </w:rPr>
          <w:br/>
        </w:r>
        <w:r w:rsidRPr="00CB791B">
          <w:rPr>
            <w:rStyle w:val="Hyperlink"/>
            <w:lang w:val="es"/>
          </w:rPr>
          <w:t>DE CONSULTA SOBRE LOS OCÉANOS</w:t>
        </w:r>
        <w:r>
          <w:rPr>
            <w:webHidden/>
          </w:rPr>
          <w:tab/>
        </w:r>
        <w:r>
          <w:rPr>
            <w:webHidden/>
          </w:rPr>
          <w:fldChar w:fldCharType="begin"/>
        </w:r>
        <w:r>
          <w:rPr>
            <w:webHidden/>
          </w:rPr>
          <w:instrText xml:space="preserve"> PAGEREF _Toc212133535 \h </w:instrText>
        </w:r>
        <w:r>
          <w:rPr>
            <w:webHidden/>
          </w:rPr>
        </w:r>
        <w:r>
          <w:rPr>
            <w:webHidden/>
          </w:rPr>
          <w:fldChar w:fldCharType="separate"/>
        </w:r>
        <w:r w:rsidR="001C54D9">
          <w:rPr>
            <w:webHidden/>
          </w:rPr>
          <w:t>49</w:t>
        </w:r>
        <w:r>
          <w:rPr>
            <w:webHidden/>
          </w:rPr>
          <w:fldChar w:fldCharType="end"/>
        </w:r>
      </w:hyperlink>
    </w:p>
    <w:p w14:paraId="1A8C9CA7" w14:textId="17B334AA"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36" w:history="1">
        <w:r w:rsidRPr="00CB791B">
          <w:rPr>
            <w:rStyle w:val="Hyperlink"/>
          </w:rPr>
          <w:t>5.4</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INFORME DEL PRESIDENTE DE LA COMISIÓN FINANCIERA</w:t>
        </w:r>
        <w:r>
          <w:rPr>
            <w:webHidden/>
          </w:rPr>
          <w:tab/>
        </w:r>
        <w:r>
          <w:rPr>
            <w:webHidden/>
          </w:rPr>
          <w:fldChar w:fldCharType="begin"/>
        </w:r>
        <w:r>
          <w:rPr>
            <w:webHidden/>
          </w:rPr>
          <w:instrText xml:space="preserve"> PAGEREF _Toc212133536 \h </w:instrText>
        </w:r>
        <w:r>
          <w:rPr>
            <w:webHidden/>
          </w:rPr>
        </w:r>
        <w:r>
          <w:rPr>
            <w:webHidden/>
          </w:rPr>
          <w:fldChar w:fldCharType="separate"/>
        </w:r>
        <w:r w:rsidR="001C54D9">
          <w:rPr>
            <w:webHidden/>
          </w:rPr>
          <w:t>50</w:t>
        </w:r>
        <w:r>
          <w:rPr>
            <w:webHidden/>
          </w:rPr>
          <w:fldChar w:fldCharType="end"/>
        </w:r>
      </w:hyperlink>
    </w:p>
    <w:p w14:paraId="1F626DCA" w14:textId="56F0C585"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37" w:history="1">
        <w:r w:rsidRPr="00CB791B">
          <w:rPr>
            <w:rStyle w:val="Hyperlink"/>
          </w:rPr>
          <w:t>5.5</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ELECCIÓN DE LOS MIEMBROS DE LA COMISIÓN  </w:t>
        </w:r>
        <w:r w:rsidR="006C41C4">
          <w:rPr>
            <w:rStyle w:val="Hyperlink"/>
            <w:lang w:val="es"/>
          </w:rPr>
          <w:br/>
        </w:r>
        <w:r w:rsidRPr="00CB791B">
          <w:rPr>
            <w:rStyle w:val="Hyperlink"/>
            <w:lang w:val="es"/>
          </w:rPr>
          <w:t>Y MIEMBROS DEL CONSEJO EJECUTIVO</w:t>
        </w:r>
        <w:r>
          <w:rPr>
            <w:webHidden/>
          </w:rPr>
          <w:tab/>
        </w:r>
        <w:r>
          <w:rPr>
            <w:webHidden/>
          </w:rPr>
          <w:fldChar w:fldCharType="begin"/>
        </w:r>
        <w:r>
          <w:rPr>
            <w:webHidden/>
          </w:rPr>
          <w:instrText xml:space="preserve"> PAGEREF _Toc212133537 \h </w:instrText>
        </w:r>
        <w:r>
          <w:rPr>
            <w:webHidden/>
          </w:rPr>
        </w:r>
        <w:r>
          <w:rPr>
            <w:webHidden/>
          </w:rPr>
          <w:fldChar w:fldCharType="separate"/>
        </w:r>
        <w:r w:rsidR="001C54D9">
          <w:rPr>
            <w:webHidden/>
          </w:rPr>
          <w:t>51</w:t>
        </w:r>
        <w:r>
          <w:rPr>
            <w:webHidden/>
          </w:rPr>
          <w:fldChar w:fldCharType="end"/>
        </w:r>
      </w:hyperlink>
    </w:p>
    <w:p w14:paraId="1E1A9DED" w14:textId="56128394"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38" w:history="1">
        <w:r w:rsidRPr="00CB791B">
          <w:rPr>
            <w:rStyle w:val="Hyperlink"/>
          </w:rPr>
          <w:t>5.5.1</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Elección del Presidente de la Comisión</w:t>
        </w:r>
        <w:r>
          <w:rPr>
            <w:webHidden/>
          </w:rPr>
          <w:tab/>
        </w:r>
        <w:r>
          <w:rPr>
            <w:webHidden/>
          </w:rPr>
          <w:fldChar w:fldCharType="begin"/>
        </w:r>
        <w:r>
          <w:rPr>
            <w:webHidden/>
          </w:rPr>
          <w:instrText xml:space="preserve"> PAGEREF _Toc212133538 \h </w:instrText>
        </w:r>
        <w:r>
          <w:rPr>
            <w:webHidden/>
          </w:rPr>
        </w:r>
        <w:r>
          <w:rPr>
            <w:webHidden/>
          </w:rPr>
          <w:fldChar w:fldCharType="separate"/>
        </w:r>
        <w:r w:rsidR="001C54D9">
          <w:rPr>
            <w:webHidden/>
          </w:rPr>
          <w:t>51</w:t>
        </w:r>
        <w:r>
          <w:rPr>
            <w:webHidden/>
          </w:rPr>
          <w:fldChar w:fldCharType="end"/>
        </w:r>
      </w:hyperlink>
    </w:p>
    <w:p w14:paraId="7E2941C5" w14:textId="26836DD8"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39" w:history="1">
        <w:r w:rsidRPr="00CB791B">
          <w:rPr>
            <w:rStyle w:val="Hyperlink"/>
          </w:rPr>
          <w:t>5.5.2</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Elección de los Vicepresidentes de la Comisión</w:t>
        </w:r>
        <w:r>
          <w:rPr>
            <w:webHidden/>
          </w:rPr>
          <w:tab/>
        </w:r>
        <w:r>
          <w:rPr>
            <w:webHidden/>
          </w:rPr>
          <w:fldChar w:fldCharType="begin"/>
        </w:r>
        <w:r>
          <w:rPr>
            <w:webHidden/>
          </w:rPr>
          <w:instrText xml:space="preserve"> PAGEREF _Toc212133539 \h </w:instrText>
        </w:r>
        <w:r>
          <w:rPr>
            <w:webHidden/>
          </w:rPr>
        </w:r>
        <w:r>
          <w:rPr>
            <w:webHidden/>
          </w:rPr>
          <w:fldChar w:fldCharType="separate"/>
        </w:r>
        <w:r w:rsidR="001C54D9">
          <w:rPr>
            <w:webHidden/>
          </w:rPr>
          <w:t>51</w:t>
        </w:r>
        <w:r>
          <w:rPr>
            <w:webHidden/>
          </w:rPr>
          <w:fldChar w:fldCharType="end"/>
        </w:r>
      </w:hyperlink>
    </w:p>
    <w:p w14:paraId="0FCD1702" w14:textId="45EA731E" w:rsidR="00986C76" w:rsidRDefault="00986C76">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540" w:history="1">
        <w:r w:rsidRPr="00CB791B">
          <w:rPr>
            <w:rStyle w:val="Hyperlink"/>
          </w:rPr>
          <w:t>5.5.3</w:t>
        </w:r>
        <w:r>
          <w:rPr>
            <w:rFonts w:asciiTheme="minorHAnsi" w:eastAsiaTheme="minorEastAsia" w:hAnsiTheme="minorHAnsi" w:cstheme="minorBidi"/>
            <w:b w:val="0"/>
            <w:bCs w:val="0"/>
            <w:color w:val="auto"/>
            <w:kern w:val="2"/>
            <w:sz w:val="24"/>
            <w:szCs w:val="24"/>
            <w:lang w:val="fr-FR" w:eastAsia="fr-FR"/>
            <w14:ligatures w14:val="standardContextual"/>
          </w:rPr>
          <w:tab/>
        </w:r>
        <w:r w:rsidRPr="00CB791B">
          <w:rPr>
            <w:rStyle w:val="Hyperlink"/>
            <w:lang w:val="es"/>
          </w:rPr>
          <w:t>Elección de los miembros del Consejo Ejecutivo</w:t>
        </w:r>
        <w:r>
          <w:rPr>
            <w:webHidden/>
          </w:rPr>
          <w:tab/>
        </w:r>
        <w:r>
          <w:rPr>
            <w:webHidden/>
          </w:rPr>
          <w:fldChar w:fldCharType="begin"/>
        </w:r>
        <w:r>
          <w:rPr>
            <w:webHidden/>
          </w:rPr>
          <w:instrText xml:space="preserve"> PAGEREF _Toc212133540 \h </w:instrText>
        </w:r>
        <w:r>
          <w:rPr>
            <w:webHidden/>
          </w:rPr>
        </w:r>
        <w:r>
          <w:rPr>
            <w:webHidden/>
          </w:rPr>
          <w:fldChar w:fldCharType="separate"/>
        </w:r>
        <w:r w:rsidR="001C54D9">
          <w:rPr>
            <w:webHidden/>
          </w:rPr>
          <w:t>51</w:t>
        </w:r>
        <w:r>
          <w:rPr>
            <w:webHidden/>
          </w:rPr>
          <w:fldChar w:fldCharType="end"/>
        </w:r>
      </w:hyperlink>
    </w:p>
    <w:p w14:paraId="49F865B1" w14:textId="4AC0FB82" w:rsidR="00986C76" w:rsidRDefault="00986C76">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541" w:history="1">
        <w:r w:rsidRPr="00CB791B">
          <w:rPr>
            <w:rStyle w:val="Hyperlink"/>
          </w:rPr>
          <w:t>5.6</w:t>
        </w:r>
        <w:r>
          <w:rPr>
            <w:rFonts w:asciiTheme="minorHAnsi" w:eastAsiaTheme="minorEastAsia" w:hAnsiTheme="minorHAnsi" w:cstheme="minorBidi"/>
            <w:bCs w:val="0"/>
            <w:snapToGrid/>
            <w:kern w:val="2"/>
            <w:sz w:val="24"/>
            <w:szCs w:val="24"/>
            <w:lang w:val="fr-FR" w:eastAsia="fr-FR"/>
            <w14:ligatures w14:val="standardContextual"/>
          </w:rPr>
          <w:tab/>
        </w:r>
        <w:r w:rsidRPr="00CB791B">
          <w:rPr>
            <w:rStyle w:val="Hyperlink"/>
            <w:lang w:val="es"/>
          </w:rPr>
          <w:t xml:space="preserve">34ª REUNIÓN DE LA ASAMBLEA  </w:t>
        </w:r>
        <w:r w:rsidR="006C41C4">
          <w:rPr>
            <w:rStyle w:val="Hyperlink"/>
            <w:lang w:val="es"/>
          </w:rPr>
          <w:br/>
        </w:r>
        <w:r w:rsidRPr="00CB791B">
          <w:rPr>
            <w:rStyle w:val="Hyperlink"/>
            <w:lang w:val="es"/>
          </w:rPr>
          <w:t>Y 59ª REUNIÓN DEL CONSEJO EJECUTIVO</w:t>
        </w:r>
        <w:r>
          <w:rPr>
            <w:webHidden/>
          </w:rPr>
          <w:tab/>
        </w:r>
        <w:r>
          <w:rPr>
            <w:webHidden/>
          </w:rPr>
          <w:fldChar w:fldCharType="begin"/>
        </w:r>
        <w:r>
          <w:rPr>
            <w:webHidden/>
          </w:rPr>
          <w:instrText xml:space="preserve"> PAGEREF _Toc212133541 \h </w:instrText>
        </w:r>
        <w:r>
          <w:rPr>
            <w:webHidden/>
          </w:rPr>
        </w:r>
        <w:r>
          <w:rPr>
            <w:webHidden/>
          </w:rPr>
          <w:fldChar w:fldCharType="separate"/>
        </w:r>
        <w:r w:rsidR="001C54D9">
          <w:rPr>
            <w:webHidden/>
          </w:rPr>
          <w:t>52</w:t>
        </w:r>
        <w:r>
          <w:rPr>
            <w:webHidden/>
          </w:rPr>
          <w:fldChar w:fldCharType="end"/>
        </w:r>
      </w:hyperlink>
    </w:p>
    <w:p w14:paraId="59621975" w14:textId="30CAA2A9" w:rsidR="00986C76" w:rsidRDefault="00986C76">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542" w:history="1">
        <w:r w:rsidRPr="00CB791B">
          <w:rPr>
            <w:rStyle w:val="Hyperlink"/>
          </w:rPr>
          <w:t>6.</w:t>
        </w:r>
        <w:r>
          <w:rPr>
            <w:rFonts w:asciiTheme="minorHAnsi" w:eastAsiaTheme="minorEastAsia" w:hAnsiTheme="minorHAnsi" w:cstheme="minorBidi"/>
            <w:b w:val="0"/>
            <w:snapToGrid/>
            <w:color w:val="auto"/>
            <w:kern w:val="2"/>
            <w:sz w:val="24"/>
            <w:szCs w:val="24"/>
            <w:lang w:val="fr-FR" w:eastAsia="fr-FR"/>
            <w14:ligatures w14:val="standardContextual"/>
          </w:rPr>
          <w:tab/>
        </w:r>
        <w:r w:rsidRPr="00CB791B">
          <w:rPr>
            <w:rStyle w:val="Hyperlink"/>
            <w:lang w:val="es"/>
          </w:rPr>
          <w:t xml:space="preserve">ADOPCIÓN DE RESOLUCIONES Y MODALIDADES  </w:t>
        </w:r>
        <w:r w:rsidR="006C41C4">
          <w:rPr>
            <w:rStyle w:val="Hyperlink"/>
            <w:lang w:val="es"/>
          </w:rPr>
          <w:br/>
        </w:r>
        <w:r w:rsidRPr="00CB791B">
          <w:rPr>
            <w:rStyle w:val="Hyperlink"/>
            <w:lang w:val="es"/>
          </w:rPr>
          <w:t>PARA LA FINALIZACIÓN DEL INFORME</w:t>
        </w:r>
        <w:r>
          <w:rPr>
            <w:webHidden/>
          </w:rPr>
          <w:tab/>
        </w:r>
        <w:r>
          <w:rPr>
            <w:webHidden/>
          </w:rPr>
          <w:fldChar w:fldCharType="begin"/>
        </w:r>
        <w:r>
          <w:rPr>
            <w:webHidden/>
          </w:rPr>
          <w:instrText xml:space="preserve"> PAGEREF _Toc212133542 \h </w:instrText>
        </w:r>
        <w:r>
          <w:rPr>
            <w:webHidden/>
          </w:rPr>
        </w:r>
        <w:r>
          <w:rPr>
            <w:webHidden/>
          </w:rPr>
          <w:fldChar w:fldCharType="separate"/>
        </w:r>
        <w:r w:rsidR="001C54D9">
          <w:rPr>
            <w:webHidden/>
          </w:rPr>
          <w:t>52</w:t>
        </w:r>
        <w:r>
          <w:rPr>
            <w:webHidden/>
          </w:rPr>
          <w:fldChar w:fldCharType="end"/>
        </w:r>
      </w:hyperlink>
    </w:p>
    <w:p w14:paraId="23777566" w14:textId="69105D92" w:rsidR="00986C76" w:rsidRDefault="00986C76">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543" w:history="1">
        <w:r w:rsidRPr="00CB791B">
          <w:rPr>
            <w:rStyle w:val="Hyperlink"/>
          </w:rPr>
          <w:t>7.</w:t>
        </w:r>
        <w:r>
          <w:rPr>
            <w:rFonts w:asciiTheme="minorHAnsi" w:eastAsiaTheme="minorEastAsia" w:hAnsiTheme="minorHAnsi" w:cstheme="minorBidi"/>
            <w:b w:val="0"/>
            <w:snapToGrid/>
            <w:color w:val="auto"/>
            <w:kern w:val="2"/>
            <w:sz w:val="24"/>
            <w:szCs w:val="24"/>
            <w:lang w:val="fr-FR" w:eastAsia="fr-FR"/>
            <w14:ligatures w14:val="standardContextual"/>
          </w:rPr>
          <w:tab/>
        </w:r>
        <w:r w:rsidRPr="00CB791B">
          <w:rPr>
            <w:rStyle w:val="Hyperlink"/>
            <w:lang w:val="es"/>
          </w:rPr>
          <w:t>CIER</w:t>
        </w:r>
        <w:r w:rsidRPr="00CB791B">
          <w:rPr>
            <w:rStyle w:val="Hyperlink"/>
            <w:lang w:val="es"/>
          </w:rPr>
          <w:t>R</w:t>
        </w:r>
        <w:r w:rsidRPr="00CB791B">
          <w:rPr>
            <w:rStyle w:val="Hyperlink"/>
            <w:lang w:val="es"/>
          </w:rPr>
          <w:t>E</w:t>
        </w:r>
        <w:r>
          <w:rPr>
            <w:webHidden/>
          </w:rPr>
          <w:tab/>
        </w:r>
        <w:r>
          <w:rPr>
            <w:webHidden/>
          </w:rPr>
          <w:fldChar w:fldCharType="begin"/>
        </w:r>
        <w:r>
          <w:rPr>
            <w:webHidden/>
          </w:rPr>
          <w:instrText xml:space="preserve"> PAGEREF _Toc212133543 \h </w:instrText>
        </w:r>
        <w:r>
          <w:rPr>
            <w:webHidden/>
          </w:rPr>
        </w:r>
        <w:r>
          <w:rPr>
            <w:webHidden/>
          </w:rPr>
          <w:fldChar w:fldCharType="separate"/>
        </w:r>
        <w:r w:rsidR="001C54D9">
          <w:rPr>
            <w:webHidden/>
          </w:rPr>
          <w:t>53</w:t>
        </w:r>
        <w:r>
          <w:rPr>
            <w:webHidden/>
          </w:rPr>
          <w:fldChar w:fldCharType="end"/>
        </w:r>
      </w:hyperlink>
    </w:p>
    <w:p w14:paraId="6207F499" w14:textId="5BF788B0" w:rsidR="001265BA" w:rsidRPr="006C41C4" w:rsidRDefault="00FD38DA" w:rsidP="006C41C4">
      <w:pPr>
        <w:pBdr>
          <w:bottom w:val="single" w:sz="4" w:space="1" w:color="auto"/>
        </w:pBdr>
        <w:rPr>
          <w:rFonts w:ascii="Arial" w:hAnsi="Arial" w:cs="Arial"/>
          <w:sz w:val="22"/>
          <w:szCs w:val="22"/>
          <w:lang w:val="es-ES"/>
        </w:rPr>
      </w:pPr>
      <w:r>
        <w:rPr>
          <w:rFonts w:ascii="Arial" w:hAnsi="Arial" w:cs="Arial"/>
          <w:sz w:val="22"/>
          <w:szCs w:val="22"/>
        </w:rPr>
        <w:fldChar w:fldCharType="end"/>
      </w:r>
      <w:r w:rsidR="001265BA">
        <w:rPr>
          <w:rFonts w:ascii="Arial" w:hAnsi="Arial" w:cs="Arial"/>
          <w:sz w:val="22"/>
          <w:szCs w:val="22"/>
          <w:lang w:val="es"/>
        </w:rPr>
        <w:t>ANEXOS</w:t>
      </w:r>
    </w:p>
    <w:p w14:paraId="7AB25AFD" w14:textId="77777777" w:rsidR="001265BA" w:rsidRPr="006C41C4" w:rsidRDefault="001265BA">
      <w:pPr>
        <w:rPr>
          <w:rFonts w:ascii="Arial" w:hAnsi="Arial" w:cs="Arial"/>
          <w:sz w:val="22"/>
          <w:szCs w:val="22"/>
          <w:lang w:val="es-ES"/>
        </w:rPr>
      </w:pPr>
    </w:p>
    <w:p w14:paraId="2DCBB156" w14:textId="77777777" w:rsidR="001265BA" w:rsidRPr="006C41C4" w:rsidRDefault="001265BA" w:rsidP="00536497">
      <w:pPr>
        <w:spacing w:after="240"/>
        <w:rPr>
          <w:rFonts w:ascii="Arial" w:hAnsi="Arial" w:cs="Arial"/>
          <w:sz w:val="22"/>
          <w:szCs w:val="22"/>
          <w:lang w:val="es-ES"/>
        </w:rPr>
      </w:pPr>
      <w:hyperlink r:id="rId14" w:history="1">
        <w:r>
          <w:rPr>
            <w:rStyle w:val="Hyperlink"/>
            <w:rFonts w:ascii="Arial" w:hAnsi="Arial" w:cs="Arial"/>
            <w:b/>
            <w:bCs/>
            <w:sz w:val="22"/>
            <w:szCs w:val="22"/>
            <w:lang w:val="es"/>
          </w:rPr>
          <w:t>Decisiones y recomendaciones adoptadas</w:t>
        </w:r>
      </w:hyperlink>
    </w:p>
    <w:p w14:paraId="16D9251A" w14:textId="3AB8ABC9" w:rsidR="001265BA" w:rsidRPr="006C41C4" w:rsidRDefault="001265BA" w:rsidP="00536497">
      <w:pPr>
        <w:spacing w:after="240"/>
        <w:rPr>
          <w:rFonts w:ascii="Arial" w:hAnsi="Arial"/>
          <w:sz w:val="22"/>
          <w:lang w:val="es-ES"/>
        </w:rPr>
      </w:pPr>
      <w:r>
        <w:rPr>
          <w:rFonts w:ascii="Arial" w:hAnsi="Arial" w:cs="Arial"/>
          <w:sz w:val="22"/>
          <w:szCs w:val="22"/>
          <w:lang w:val="es"/>
        </w:rPr>
        <w:t xml:space="preserve">El </w:t>
      </w:r>
      <w:hyperlink w:anchor="InfAnnex" w:history="1">
        <w:r>
          <w:rPr>
            <w:rStyle w:val="Hyperlink"/>
            <w:rFonts w:ascii="Arial" w:hAnsi="Arial" w:cs="Arial"/>
            <w:b/>
            <w:bCs/>
            <w:sz w:val="22"/>
            <w:szCs w:val="22"/>
            <w:lang w:val="es"/>
          </w:rPr>
          <w:t>an</w:t>
        </w:r>
        <w:r>
          <w:rPr>
            <w:rStyle w:val="Hyperlink"/>
            <w:rFonts w:ascii="Arial" w:hAnsi="Arial" w:cs="Arial"/>
            <w:b/>
            <w:bCs/>
            <w:sz w:val="22"/>
            <w:szCs w:val="22"/>
            <w:lang w:val="es"/>
          </w:rPr>
          <w:t>e</w:t>
        </w:r>
        <w:r>
          <w:rPr>
            <w:rStyle w:val="Hyperlink"/>
            <w:rFonts w:ascii="Arial" w:hAnsi="Arial" w:cs="Arial"/>
            <w:b/>
            <w:bCs/>
            <w:sz w:val="22"/>
            <w:szCs w:val="22"/>
            <w:lang w:val="es"/>
          </w:rPr>
          <w:t>x</w:t>
        </w:r>
        <w:r>
          <w:rPr>
            <w:rStyle w:val="Hyperlink"/>
            <w:rFonts w:ascii="Arial" w:hAnsi="Arial" w:cs="Arial"/>
            <w:b/>
            <w:bCs/>
            <w:sz w:val="22"/>
            <w:szCs w:val="22"/>
            <w:lang w:val="es"/>
          </w:rPr>
          <w:t>o</w:t>
        </w:r>
      </w:hyperlink>
      <w:r>
        <w:rPr>
          <w:rFonts w:ascii="Arial" w:hAnsi="Arial" w:cs="Arial"/>
          <w:sz w:val="22"/>
          <w:szCs w:val="22"/>
          <w:lang w:val="es"/>
        </w:rPr>
        <w:t xml:space="preserve"> contiene las versiones originales de las declaraciones </w:t>
      </w:r>
      <w:r w:rsidR="006C41C4">
        <w:rPr>
          <w:rFonts w:ascii="Arial" w:hAnsi="Arial" w:cs="Arial"/>
          <w:sz w:val="22"/>
          <w:szCs w:val="22"/>
          <w:lang w:val="es"/>
        </w:rPr>
        <w:br/>
      </w:r>
      <w:r>
        <w:rPr>
          <w:rFonts w:ascii="Arial" w:hAnsi="Arial" w:cs="Arial"/>
          <w:sz w:val="22"/>
          <w:szCs w:val="22"/>
          <w:lang w:val="es"/>
        </w:rPr>
        <w:t>de los Estados Miembros y los observadores.</w:t>
      </w:r>
    </w:p>
    <w:p w14:paraId="00429996" w14:textId="77777777" w:rsidR="00DB6568" w:rsidRPr="006C41C4" w:rsidRDefault="00DB6568" w:rsidP="003E53C2">
      <w:pPr>
        <w:pStyle w:val="Heading2"/>
        <w:rPr>
          <w:lang w:val="es-ES"/>
        </w:rPr>
        <w:sectPr w:rsidR="00DB6568" w:rsidRPr="006C41C4" w:rsidSect="00074AD2">
          <w:headerReference w:type="even" r:id="rId15"/>
          <w:headerReference w:type="default" r:id="rId16"/>
          <w:footerReference w:type="default" r:id="rId17"/>
          <w:headerReference w:type="first" r:id="rId18"/>
          <w:pgSz w:w="11907" w:h="16840" w:code="9"/>
          <w:pgMar w:top="1304" w:right="1282" w:bottom="1134" w:left="1418" w:header="851" w:footer="737" w:gutter="0"/>
          <w:pgNumType w:fmt="lowerRoman" w:start="1"/>
          <w:cols w:space="708"/>
          <w:docGrid w:linePitch="360"/>
        </w:sectPr>
      </w:pPr>
      <w:bookmarkStart w:id="6" w:name="_Toc358657257"/>
      <w:bookmarkStart w:id="7" w:name="_Toc357517544"/>
      <w:bookmarkStart w:id="8" w:name="_Toc289696419"/>
      <w:bookmarkStart w:id="9" w:name="_Toc227580615"/>
      <w:bookmarkStart w:id="10" w:name="_Toc225660251"/>
      <w:bookmarkStart w:id="11" w:name="_Toc225590790"/>
      <w:bookmarkStart w:id="12" w:name="_Toc199912183"/>
      <w:bookmarkStart w:id="13" w:name="_Toc196145691"/>
    </w:p>
    <w:p w14:paraId="160ACAFD" w14:textId="3EA6A178" w:rsidR="00AE29AC" w:rsidRPr="00AE71B5" w:rsidRDefault="007F77A0" w:rsidP="00547D9B">
      <w:pPr>
        <w:pStyle w:val="Heading1"/>
        <w:numPr>
          <w:ilvl w:val="0"/>
          <w:numId w:val="9"/>
        </w:numPr>
        <w:tabs>
          <w:tab w:val="clear" w:pos="567"/>
        </w:tabs>
        <w:ind w:left="851" w:hanging="851"/>
      </w:pPr>
      <w:bookmarkStart w:id="14" w:name="_Toc197955099"/>
      <w:bookmarkStart w:id="15" w:name="_Toc190766964"/>
      <w:bookmarkStart w:id="16" w:name="_Toc134002359"/>
      <w:bookmarkStart w:id="17" w:name="_Toc134002183"/>
      <w:bookmarkStart w:id="18" w:name="_Toc131777734"/>
      <w:bookmarkStart w:id="19" w:name="_Toc68180544"/>
      <w:bookmarkStart w:id="20" w:name="_Toc67920979"/>
      <w:bookmarkStart w:id="21" w:name="_Toc2766647"/>
      <w:bookmarkStart w:id="22" w:name="_Toc531253816"/>
      <w:bookmarkStart w:id="23" w:name="_Toc478397080"/>
      <w:bookmarkStart w:id="24" w:name="_Toc419707310"/>
      <w:bookmarkStart w:id="25" w:name="_Toc415051548"/>
      <w:bookmarkStart w:id="26" w:name="_Toc212133497"/>
      <w:r>
        <w:rPr>
          <w:lang w:val="es"/>
        </w:rPr>
        <w:lastRenderedPageBreak/>
        <w:t>APERTURA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71A07EE" w14:textId="17D75CD0" w:rsidR="00922D2E" w:rsidRPr="006C41C4" w:rsidRDefault="00013C1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Tras una introducción técnica preliminar por parte de la Secretaría, el </w:t>
      </w:r>
      <w:proofErr w:type="gramStart"/>
      <w:r>
        <w:rPr>
          <w:rFonts w:ascii="Arial" w:hAnsi="Arial" w:cs="Arial"/>
          <w:sz w:val="22"/>
          <w:szCs w:val="22"/>
          <w:lang w:val="es"/>
        </w:rPr>
        <w:t>Presidente</w:t>
      </w:r>
      <w:proofErr w:type="gramEnd"/>
      <w:r>
        <w:rPr>
          <w:rFonts w:ascii="Arial" w:hAnsi="Arial" w:cs="Arial"/>
          <w:sz w:val="22"/>
          <w:szCs w:val="22"/>
          <w:lang w:val="es"/>
        </w:rPr>
        <w:t xml:space="preserve">, </w:t>
      </w:r>
      <w:r>
        <w:rPr>
          <w:rFonts w:ascii="Arial" w:hAnsi="Arial" w:cs="Arial"/>
          <w:color w:val="000000"/>
          <w:sz w:val="22"/>
          <w:szCs w:val="22"/>
          <w:lang w:val="es"/>
        </w:rPr>
        <w:t>Prof. Yutaka Michida</w:t>
      </w:r>
      <w:r>
        <w:rPr>
          <w:rFonts w:ascii="Arial" w:hAnsi="Arial" w:cs="Arial"/>
          <w:sz w:val="22"/>
          <w:szCs w:val="22"/>
          <w:lang w:val="es"/>
        </w:rPr>
        <w:t xml:space="preserve">, inauguró la primera reunión de la Asamblea de su mandato a las 10 horas del miércoles 25 de junio de 2025 en la sala II de la Sede de la UNESCO, en París. </w:t>
      </w:r>
    </w:p>
    <w:p w14:paraId="056D6CEF" w14:textId="301BADC0" w:rsidR="00013C1E" w:rsidRPr="006C41C4" w:rsidRDefault="004B6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Por primera vez en una Asamblea,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de la COI, Vidar Helgesen, tomó brevemente la palabra para dar la bienvenida a las delegaciones. Recordó que, en su opinión, la </w:t>
      </w:r>
      <w:proofErr w:type="gramStart"/>
      <w:r>
        <w:rPr>
          <w:rFonts w:ascii="Arial" w:hAnsi="Arial" w:cs="Arial"/>
          <w:sz w:val="22"/>
          <w:szCs w:val="22"/>
          <w:lang w:val="es"/>
        </w:rPr>
        <w:t>participación activa</w:t>
      </w:r>
      <w:proofErr w:type="gramEnd"/>
      <w:r>
        <w:rPr>
          <w:rFonts w:ascii="Arial" w:hAnsi="Arial" w:cs="Arial"/>
          <w:sz w:val="22"/>
          <w:szCs w:val="22"/>
          <w:lang w:val="es"/>
        </w:rPr>
        <w:t xml:space="preserve"> de los Estados Miembros de la COI a nivel operativo para cumplir las prioridades del programa de la Comisión distingue a la COI en muchos aspectos.  </w:t>
      </w:r>
    </w:p>
    <w:p w14:paraId="7CAF0A42" w14:textId="1E97242C" w:rsidR="00D747A6" w:rsidRPr="006C41C4" w:rsidRDefault="6EF41E7F" w:rsidP="00B21807">
      <w:pPr>
        <w:pStyle w:val="ListParagraph1"/>
        <w:widowControl/>
        <w:numPr>
          <w:ilvl w:val="0"/>
          <w:numId w:val="8"/>
        </w:numPr>
        <w:tabs>
          <w:tab w:val="left" w:pos="851"/>
        </w:tabs>
        <w:snapToGrid w:val="0"/>
        <w:ind w:left="0" w:firstLine="0"/>
        <w:contextualSpacing w:val="0"/>
        <w:rPr>
          <w:rFonts w:ascii="Arial" w:hAnsi="Arial" w:cs="Arial"/>
          <w:sz w:val="22"/>
          <w:szCs w:val="22"/>
          <w:lang w:val="es"/>
        </w:rPr>
      </w:pPr>
      <w:r>
        <w:rPr>
          <w:rFonts w:ascii="Arial" w:hAnsi="Arial" w:cs="Arial"/>
          <w:sz w:val="22"/>
          <w:szCs w:val="22"/>
          <w:lang w:val="es"/>
        </w:rPr>
        <w:t xml:space="preserve">El Presidente pidió a los participantes que </w:t>
      </w:r>
      <w:bookmarkStart w:id="27" w:name="_Hlk200027283"/>
      <w:r>
        <w:rPr>
          <w:rFonts w:ascii="Arial" w:hAnsi="Arial" w:cs="Arial"/>
          <w:sz w:val="22"/>
          <w:szCs w:val="22"/>
          <w:lang w:val="es"/>
        </w:rPr>
        <w:t>guardaran un minuto de silencio en honor de las personas que han participado en los trabajos de la Comisión y que han fallecido durante este periodo entre reuniones</w:t>
      </w:r>
      <w:bookmarkEnd w:id="27"/>
      <w:r>
        <w:rPr>
          <w:rFonts w:ascii="Arial" w:hAnsi="Arial" w:cs="Arial"/>
          <w:sz w:val="22"/>
          <w:szCs w:val="22"/>
          <w:lang w:val="es"/>
        </w:rPr>
        <w:t xml:space="preserve">: As. Prof. </w:t>
      </w:r>
      <w:proofErr w:type="spellStart"/>
      <w:r>
        <w:rPr>
          <w:rFonts w:ascii="Arial" w:hAnsi="Arial" w:cs="Arial"/>
          <w:sz w:val="22"/>
          <w:szCs w:val="22"/>
          <w:lang w:val="es"/>
        </w:rPr>
        <w:t>Doğan</w:t>
      </w:r>
      <w:proofErr w:type="spellEnd"/>
      <w:r>
        <w:rPr>
          <w:rFonts w:ascii="Arial" w:hAnsi="Arial" w:cs="Arial"/>
          <w:sz w:val="22"/>
          <w:szCs w:val="22"/>
          <w:lang w:val="es"/>
        </w:rPr>
        <w:t xml:space="preserve"> </w:t>
      </w:r>
      <w:proofErr w:type="spellStart"/>
      <w:r>
        <w:rPr>
          <w:rFonts w:ascii="Arial" w:hAnsi="Arial" w:cs="Arial"/>
          <w:sz w:val="22"/>
          <w:szCs w:val="22"/>
          <w:lang w:val="es"/>
        </w:rPr>
        <w:t>Kalafat</w:t>
      </w:r>
      <w:proofErr w:type="spellEnd"/>
      <w:r>
        <w:rPr>
          <w:rFonts w:ascii="Arial" w:hAnsi="Arial" w:cs="Arial"/>
          <w:sz w:val="22"/>
          <w:szCs w:val="22"/>
          <w:lang w:val="es"/>
        </w:rPr>
        <w:t xml:space="preserve"> (1959-2024, Turquía); Dr. </w:t>
      </w:r>
      <w:proofErr w:type="spellStart"/>
      <w:r>
        <w:rPr>
          <w:rFonts w:ascii="Arial" w:hAnsi="Arial" w:cs="Arial"/>
          <w:sz w:val="22"/>
          <w:szCs w:val="22"/>
          <w:lang w:val="es"/>
        </w:rPr>
        <w:t>Haiqing</w:t>
      </w:r>
      <w:proofErr w:type="spellEnd"/>
      <w:r>
        <w:rPr>
          <w:rFonts w:ascii="Arial" w:hAnsi="Arial" w:cs="Arial"/>
          <w:sz w:val="22"/>
          <w:szCs w:val="22"/>
          <w:lang w:val="es"/>
        </w:rPr>
        <w:t xml:space="preserve"> Li (China, 1958-2025); Dr. </w:t>
      </w:r>
      <w:proofErr w:type="spellStart"/>
      <w:r>
        <w:rPr>
          <w:rFonts w:ascii="Arial" w:hAnsi="Arial" w:cs="Arial"/>
          <w:sz w:val="22"/>
          <w:szCs w:val="22"/>
          <w:lang w:val="es"/>
        </w:rPr>
        <w:t>Kazuhiro</w:t>
      </w:r>
      <w:proofErr w:type="spellEnd"/>
      <w:r>
        <w:rPr>
          <w:rFonts w:ascii="Arial" w:hAnsi="Arial" w:cs="Arial"/>
          <w:sz w:val="22"/>
          <w:szCs w:val="22"/>
          <w:lang w:val="es"/>
        </w:rPr>
        <w:t xml:space="preserve"> </w:t>
      </w:r>
      <w:proofErr w:type="spellStart"/>
      <w:r>
        <w:rPr>
          <w:rFonts w:ascii="Arial" w:hAnsi="Arial" w:cs="Arial"/>
          <w:sz w:val="22"/>
          <w:szCs w:val="22"/>
          <w:lang w:val="es"/>
        </w:rPr>
        <w:t>Kitazawa</w:t>
      </w:r>
      <w:proofErr w:type="spellEnd"/>
      <w:r>
        <w:rPr>
          <w:rFonts w:ascii="Arial" w:hAnsi="Arial" w:cs="Arial"/>
          <w:sz w:val="22"/>
          <w:szCs w:val="22"/>
          <w:lang w:val="es"/>
        </w:rPr>
        <w:t xml:space="preserve"> (Japón, 1938-2024); Prof. </w:t>
      </w:r>
      <w:proofErr w:type="spellStart"/>
      <w:r>
        <w:rPr>
          <w:rFonts w:ascii="Arial" w:hAnsi="Arial" w:cs="Arial"/>
          <w:sz w:val="22"/>
          <w:szCs w:val="22"/>
          <w:lang w:val="es"/>
        </w:rPr>
        <w:t>Zulfigar</w:t>
      </w:r>
      <w:proofErr w:type="spellEnd"/>
      <w:r>
        <w:rPr>
          <w:rFonts w:ascii="Arial" w:hAnsi="Arial" w:cs="Arial"/>
          <w:sz w:val="22"/>
          <w:szCs w:val="22"/>
          <w:lang w:val="es"/>
        </w:rPr>
        <w:t xml:space="preserve"> </w:t>
      </w:r>
      <w:proofErr w:type="spellStart"/>
      <w:r>
        <w:rPr>
          <w:rFonts w:ascii="Arial" w:hAnsi="Arial" w:cs="Arial"/>
          <w:sz w:val="22"/>
          <w:szCs w:val="22"/>
          <w:lang w:val="es"/>
        </w:rPr>
        <w:t>Yasin</w:t>
      </w:r>
      <w:proofErr w:type="spellEnd"/>
      <w:r>
        <w:rPr>
          <w:rFonts w:ascii="Arial" w:hAnsi="Arial" w:cs="Arial"/>
          <w:sz w:val="22"/>
          <w:szCs w:val="22"/>
          <w:lang w:val="es"/>
        </w:rPr>
        <w:t xml:space="preserve"> (Malasia, 1959-2025); Sr. Alexander V. </w:t>
      </w:r>
      <w:proofErr w:type="spellStart"/>
      <w:r>
        <w:rPr>
          <w:rFonts w:ascii="Arial" w:hAnsi="Arial" w:cs="Arial"/>
          <w:sz w:val="22"/>
          <w:szCs w:val="22"/>
          <w:lang w:val="es"/>
        </w:rPr>
        <w:t>Klepikov</w:t>
      </w:r>
      <w:proofErr w:type="spellEnd"/>
      <w:r>
        <w:rPr>
          <w:rFonts w:ascii="Arial" w:hAnsi="Arial" w:cs="Arial"/>
          <w:sz w:val="22"/>
          <w:szCs w:val="22"/>
          <w:lang w:val="es"/>
        </w:rPr>
        <w:t xml:space="preserve"> (Federación Rusa, 1956-2025); Prof. Arthur N. </w:t>
      </w:r>
      <w:proofErr w:type="spellStart"/>
      <w:r>
        <w:rPr>
          <w:rFonts w:ascii="Arial" w:hAnsi="Arial" w:cs="Arial"/>
          <w:sz w:val="22"/>
          <w:szCs w:val="22"/>
          <w:lang w:val="es"/>
        </w:rPr>
        <w:t>Chilingarov</w:t>
      </w:r>
      <w:proofErr w:type="spellEnd"/>
      <w:r>
        <w:rPr>
          <w:rFonts w:ascii="Arial" w:hAnsi="Arial" w:cs="Arial"/>
          <w:sz w:val="22"/>
          <w:szCs w:val="22"/>
          <w:lang w:val="es"/>
        </w:rPr>
        <w:t xml:space="preserve"> (Federación Rusa, 1939-2024); y Sra. Forest Collins (1970-2024, Estados Unidos de América).</w:t>
      </w:r>
    </w:p>
    <w:p w14:paraId="6D07D026" w14:textId="77777777" w:rsidR="00B20AEF" w:rsidRPr="00AE71B5" w:rsidRDefault="00AE29AC" w:rsidP="00547D9B">
      <w:pPr>
        <w:pStyle w:val="Heading1"/>
        <w:numPr>
          <w:ilvl w:val="0"/>
          <w:numId w:val="9"/>
        </w:numPr>
        <w:tabs>
          <w:tab w:val="clear" w:pos="567"/>
        </w:tabs>
        <w:spacing w:before="360"/>
        <w:ind w:left="851" w:hanging="851"/>
      </w:pPr>
      <w:bookmarkStart w:id="28" w:name="_Toc197955100"/>
      <w:bookmarkStart w:id="29" w:name="_Toc190766965"/>
      <w:bookmarkStart w:id="30" w:name="_Toc134002360"/>
      <w:bookmarkStart w:id="31" w:name="_Toc134002184"/>
      <w:bookmarkStart w:id="32" w:name="_Toc131777735"/>
      <w:bookmarkStart w:id="33" w:name="_Toc68180545"/>
      <w:bookmarkStart w:id="34" w:name="_Toc67920980"/>
      <w:bookmarkStart w:id="35" w:name="_Toc2766648"/>
      <w:bookmarkStart w:id="36" w:name="_Toc531253817"/>
      <w:bookmarkStart w:id="37" w:name="_Toc478397081"/>
      <w:bookmarkStart w:id="38" w:name="_Toc419707311"/>
      <w:bookmarkStart w:id="39" w:name="_Toc415051549"/>
      <w:bookmarkStart w:id="40" w:name="_Toc358657258"/>
      <w:bookmarkStart w:id="41" w:name="_Toc357517545"/>
      <w:bookmarkStart w:id="42" w:name="_Toc289696420"/>
      <w:bookmarkStart w:id="43" w:name="_Toc227580616"/>
      <w:bookmarkStart w:id="44" w:name="_Toc225660252"/>
      <w:bookmarkStart w:id="45" w:name="_Toc225590791"/>
      <w:bookmarkStart w:id="46" w:name="_Toc199912184"/>
      <w:bookmarkStart w:id="47" w:name="_Toc196145692"/>
      <w:bookmarkStart w:id="48" w:name="_Toc164651222"/>
      <w:bookmarkStart w:id="49" w:name="_Toc162671328"/>
      <w:bookmarkStart w:id="50" w:name="_Toc135143701"/>
      <w:bookmarkStart w:id="51" w:name="_Toc135143449"/>
      <w:bookmarkStart w:id="52" w:name="_Toc100506250"/>
      <w:bookmarkStart w:id="53" w:name="_Toc38080238"/>
      <w:bookmarkStart w:id="54" w:name="_Toc212133498"/>
      <w:r>
        <w:rPr>
          <w:lang w:val="es"/>
        </w:rPr>
        <w:t>ORGANIZACIÓN DE LA REUNIÓN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215B89C" w14:textId="79902DC1" w:rsidR="00434178" w:rsidRPr="00AE71B5" w:rsidRDefault="00434178" w:rsidP="00547D9B">
      <w:pPr>
        <w:pStyle w:val="Heading2"/>
        <w:numPr>
          <w:ilvl w:val="1"/>
          <w:numId w:val="9"/>
        </w:numPr>
        <w:tabs>
          <w:tab w:val="clear" w:pos="737"/>
        </w:tabs>
        <w:ind w:left="851" w:hanging="851"/>
      </w:pPr>
      <w:bookmarkStart w:id="55" w:name="_Toc212133499"/>
      <w:r>
        <w:rPr>
          <w:bCs w:val="0"/>
          <w:lang w:val="es"/>
        </w:rPr>
        <w:t>APROBACIÓN DEL ORDEN DEL DÍA</w:t>
      </w:r>
      <w:bookmarkEnd w:id="55"/>
    </w:p>
    <w:p w14:paraId="5DD22DAC" w14:textId="0674D7AD" w:rsidR="00421816" w:rsidRPr="006C41C4" w:rsidRDefault="007538B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Presidente</w:t>
      </w:r>
      <w:proofErr w:type="gramEnd"/>
      <w:r>
        <w:rPr>
          <w:rFonts w:ascii="Arial" w:hAnsi="Arial" w:cs="Arial"/>
          <w:sz w:val="22"/>
          <w:szCs w:val="22"/>
          <w:lang w:val="es"/>
        </w:rPr>
        <w:t xml:space="preserve"> recordó que el Consejo Ejecutivo, en calidad de Comité de Dirección de la presente reunión de la Asamblea, había examinado el orden del día provisional revisado de la reunión y </w:t>
      </w:r>
      <w:proofErr w:type="gramStart"/>
      <w:r>
        <w:rPr>
          <w:rFonts w:ascii="Arial" w:hAnsi="Arial" w:cs="Arial"/>
          <w:sz w:val="22"/>
          <w:szCs w:val="22"/>
          <w:lang w:val="es"/>
        </w:rPr>
        <w:t>tomado nota</w:t>
      </w:r>
      <w:proofErr w:type="gramEnd"/>
      <w:r>
        <w:rPr>
          <w:rFonts w:ascii="Arial" w:hAnsi="Arial" w:cs="Arial"/>
          <w:sz w:val="22"/>
          <w:szCs w:val="22"/>
          <w:lang w:val="es"/>
        </w:rPr>
        <w:t xml:space="preserve"> de que no se habían solicitado puntos adicionales (cf. </w:t>
      </w:r>
      <w:hyperlink r:id="rId19" w:history="1">
        <w:r>
          <w:rPr>
            <w:rStyle w:val="Hyperlink"/>
            <w:rFonts w:ascii="Arial" w:hAnsi="Arial" w:cs="Arial"/>
            <w:sz w:val="22"/>
            <w:szCs w:val="22"/>
            <w:lang w:val="es"/>
          </w:rPr>
          <w:t>IOC/EC-58/SR</w:t>
        </w:r>
      </w:hyperlink>
      <w:r>
        <w:rPr>
          <w:rFonts w:ascii="Arial" w:hAnsi="Arial" w:cs="Arial"/>
          <w:sz w:val="22"/>
          <w:szCs w:val="22"/>
          <w:lang w:val="es"/>
        </w:rPr>
        <w:t xml:space="preserve">).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informó de que la Secretaría había recibido dos proyectos de resolución antes de la fecha límite del 20 de junio de 2025: "Informe sobre el plan de ejecución del Decenio de las Naciones Unidas para los Océanos (2021-2030) y resultado de la evaluación intermedia" (punto 4.8 del orden del día) y "Fortalecimiento de la Secretaría de IOCAFRICA: un imperativo estratégico para hacer avanzar las ciencias oceánicas y la gobernanza en África" (punto 3.3.1 del orden del día). El proyecto de Resolución sobre "Cuestiones de gobernanza, programación y presupuestación" de la Comisión (punto 5.4 del orden del día) se preparó durante la reunión con arreglo al párrafo 16 del documento </w:t>
      </w:r>
      <w:hyperlink r:id="rId20" w:history="1">
        <w:r>
          <w:rPr>
            <w:rStyle w:val="Hyperlink"/>
            <w:rFonts w:ascii="Arial" w:hAnsi="Arial" w:cs="Arial"/>
            <w:sz w:val="22"/>
            <w:szCs w:val="22"/>
            <w:lang w:val="es"/>
          </w:rPr>
          <w:t>IOC/INF-1315</w:t>
        </w:r>
      </w:hyperlink>
      <w:r>
        <w:rPr>
          <w:rFonts w:ascii="Arial" w:hAnsi="Arial" w:cs="Arial"/>
          <w:sz w:val="22"/>
          <w:szCs w:val="22"/>
          <w:lang w:val="es"/>
        </w:rPr>
        <w:t xml:space="preserve">). </w:t>
      </w:r>
    </w:p>
    <w:p w14:paraId="4617AF63" w14:textId="7E7AE9E2" w:rsidR="00204AAE" w:rsidRPr="006C41C4" w:rsidRDefault="00204AAE"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A-33/2(I)</w:t>
      </w:r>
      <w:r>
        <w:rPr>
          <w:rFonts w:asciiTheme="minorBidi" w:hAnsiTheme="minorBidi" w:cstheme="minorBidi"/>
          <w:sz w:val="22"/>
          <w:szCs w:val="22"/>
          <w:lang w:val="es"/>
        </w:rPr>
        <w:t>.</w:t>
      </w:r>
    </w:p>
    <w:p w14:paraId="60509A87" w14:textId="1ACEAA8C" w:rsidR="00AF4C55" w:rsidRPr="00AE71B5" w:rsidRDefault="005A579A" w:rsidP="00547D9B">
      <w:pPr>
        <w:pStyle w:val="Heading2"/>
        <w:numPr>
          <w:ilvl w:val="1"/>
          <w:numId w:val="9"/>
        </w:numPr>
        <w:tabs>
          <w:tab w:val="clear" w:pos="737"/>
        </w:tabs>
        <w:ind w:left="851" w:hanging="851"/>
        <w:rPr>
          <w:rFonts w:cs="Arial"/>
          <w:sz w:val="20"/>
          <w:szCs w:val="20"/>
        </w:rPr>
      </w:pPr>
      <w:bookmarkStart w:id="56" w:name="_Toc2766650"/>
      <w:bookmarkStart w:id="57" w:name="_Toc67920982"/>
      <w:bookmarkStart w:id="58" w:name="_Toc68180547"/>
      <w:bookmarkStart w:id="59" w:name="_Toc131777737"/>
      <w:bookmarkStart w:id="60" w:name="_Toc134002186"/>
      <w:bookmarkStart w:id="61" w:name="_Toc134002362"/>
      <w:bookmarkStart w:id="62" w:name="_Toc190766967"/>
      <w:bookmarkStart w:id="63" w:name="_Toc197955102"/>
      <w:bookmarkStart w:id="64" w:name="_Toc212133500"/>
      <w:r>
        <w:rPr>
          <w:bCs w:val="0"/>
          <w:lang w:val="es"/>
        </w:rPr>
        <w:t>DESIGNACIÓN DEL RELATOR</w:t>
      </w:r>
      <w:bookmarkEnd w:id="56"/>
      <w:bookmarkEnd w:id="57"/>
      <w:bookmarkEnd w:id="58"/>
      <w:bookmarkEnd w:id="59"/>
      <w:bookmarkEnd w:id="60"/>
      <w:bookmarkEnd w:id="61"/>
      <w:bookmarkEnd w:id="62"/>
      <w:bookmarkEnd w:id="63"/>
      <w:bookmarkEnd w:id="64"/>
    </w:p>
    <w:p w14:paraId="4B75C97C" w14:textId="5DC9C9AA" w:rsidR="00146A69" w:rsidRPr="006C41C4" w:rsidRDefault="00204AAE"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w:t>
      </w:r>
      <w:r>
        <w:rPr>
          <w:rFonts w:asciiTheme="minorBidi" w:hAnsiTheme="minorBidi" w:cstheme="minorBidi"/>
          <w:sz w:val="22"/>
          <w:szCs w:val="22"/>
          <w:u w:val="single"/>
          <w:lang w:val="es"/>
        </w:rPr>
        <w:t>la Decisión A-32/2(II)</w:t>
      </w:r>
      <w:r>
        <w:rPr>
          <w:rFonts w:asciiTheme="minorBidi" w:hAnsiTheme="minorBidi" w:cstheme="minorBidi"/>
          <w:sz w:val="22"/>
          <w:szCs w:val="22"/>
          <w:lang w:val="es"/>
        </w:rPr>
        <w:t>.</w:t>
      </w:r>
    </w:p>
    <w:p w14:paraId="00BF8653" w14:textId="7E63DAF6" w:rsidR="005A579A" w:rsidRPr="006C41C4" w:rsidRDefault="005A579A" w:rsidP="00547D9B">
      <w:pPr>
        <w:pStyle w:val="Heading2"/>
        <w:numPr>
          <w:ilvl w:val="1"/>
          <w:numId w:val="9"/>
        </w:numPr>
        <w:tabs>
          <w:tab w:val="clear" w:pos="737"/>
        </w:tabs>
        <w:ind w:left="851" w:hanging="851"/>
        <w:rPr>
          <w:rFonts w:cs="Arial"/>
          <w:szCs w:val="22"/>
          <w:lang w:val="es-ES"/>
        </w:rPr>
      </w:pPr>
      <w:bookmarkStart w:id="65" w:name="_Toc212133501"/>
      <w:bookmarkStart w:id="66" w:name="_Toc2766651"/>
      <w:bookmarkStart w:id="67" w:name="_Toc67920983"/>
      <w:bookmarkStart w:id="68" w:name="_Toc68180548"/>
      <w:bookmarkStart w:id="69" w:name="_Toc131777738"/>
      <w:bookmarkStart w:id="70" w:name="_Toc134002187"/>
      <w:bookmarkStart w:id="71" w:name="_Toc134002363"/>
      <w:bookmarkStart w:id="72" w:name="_Toc190766968"/>
      <w:bookmarkStart w:id="73" w:name="_Toc197955103"/>
      <w:r>
        <w:rPr>
          <w:bCs w:val="0"/>
          <w:lang w:val="es"/>
        </w:rPr>
        <w:t>ESTABLECIMIENTO DE LOS COMITÉS Y GRUPOS DE TRABAJO DE LA REUNIÓN</w:t>
      </w:r>
      <w:bookmarkEnd w:id="65"/>
      <w:r>
        <w:rPr>
          <w:bCs w:val="0"/>
          <w:lang w:val="es"/>
        </w:rPr>
        <w:t xml:space="preserve"> </w:t>
      </w:r>
      <w:bookmarkEnd w:id="66"/>
      <w:bookmarkEnd w:id="67"/>
      <w:bookmarkEnd w:id="68"/>
      <w:bookmarkEnd w:id="69"/>
      <w:bookmarkEnd w:id="70"/>
      <w:bookmarkEnd w:id="71"/>
      <w:bookmarkEnd w:id="72"/>
      <w:bookmarkEnd w:id="73"/>
    </w:p>
    <w:p w14:paraId="62189E91" w14:textId="120ECE5F" w:rsidR="006B2248" w:rsidRPr="006C41C4" w:rsidRDefault="006B224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Refiriéndose a las recomendaciones formuladas por el Consejo Ejecutivo (EC-58/Dec.3.1) sobre este punto, en su calidad de comité de dirección de la presente reunión, el </w:t>
      </w:r>
      <w:proofErr w:type="gramStart"/>
      <w:r>
        <w:rPr>
          <w:rFonts w:ascii="Arial" w:hAnsi="Arial" w:cs="Arial"/>
          <w:sz w:val="22"/>
          <w:szCs w:val="22"/>
          <w:lang w:val="es"/>
        </w:rPr>
        <w:t>Presidente</w:t>
      </w:r>
      <w:proofErr w:type="gramEnd"/>
      <w:r>
        <w:rPr>
          <w:rFonts w:ascii="Arial" w:hAnsi="Arial" w:cs="Arial"/>
          <w:sz w:val="22"/>
          <w:szCs w:val="22"/>
          <w:lang w:val="es"/>
        </w:rPr>
        <w:t xml:space="preserve"> recordó el mandato de los tres comités estatutarios de la sesión, su composición abierta y las modalidades de trabajo previstas para sus reuniones.</w:t>
      </w:r>
    </w:p>
    <w:p w14:paraId="3248EA0A" w14:textId="75E24488" w:rsidR="00146A69" w:rsidRPr="006C41C4" w:rsidRDefault="00204AAE"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A-33/2(III)</w:t>
      </w:r>
      <w:r>
        <w:rPr>
          <w:rFonts w:asciiTheme="minorBidi" w:hAnsiTheme="minorBidi" w:cstheme="minorBidi"/>
          <w:sz w:val="22"/>
          <w:szCs w:val="22"/>
          <w:lang w:val="es"/>
        </w:rPr>
        <w:t>.</w:t>
      </w:r>
    </w:p>
    <w:p w14:paraId="3247581A" w14:textId="42000303" w:rsidR="005A579A" w:rsidRPr="006C41C4" w:rsidRDefault="005A579A" w:rsidP="00547D9B">
      <w:pPr>
        <w:pStyle w:val="Heading2"/>
        <w:numPr>
          <w:ilvl w:val="1"/>
          <w:numId w:val="9"/>
        </w:numPr>
        <w:tabs>
          <w:tab w:val="clear" w:pos="737"/>
        </w:tabs>
        <w:ind w:left="851" w:hanging="851"/>
        <w:rPr>
          <w:rFonts w:cs="Arial"/>
          <w:szCs w:val="22"/>
          <w:lang w:val="es-ES"/>
        </w:rPr>
      </w:pPr>
      <w:bookmarkStart w:id="74" w:name="_Toc2766652"/>
      <w:bookmarkStart w:id="75" w:name="_Toc67920984"/>
      <w:bookmarkStart w:id="76" w:name="_Toc68180549"/>
      <w:bookmarkStart w:id="77" w:name="_Toc131777739"/>
      <w:bookmarkStart w:id="78" w:name="_Toc134002188"/>
      <w:bookmarkStart w:id="79" w:name="_Toc134002364"/>
      <w:bookmarkStart w:id="80" w:name="_Toc190766969"/>
      <w:bookmarkStart w:id="81" w:name="_Toc197955104"/>
      <w:bookmarkStart w:id="82" w:name="_Toc212133502"/>
      <w:r>
        <w:rPr>
          <w:bCs w:val="0"/>
          <w:lang w:val="es"/>
        </w:rPr>
        <w:t xml:space="preserve">INTRODUCCIÓN AL CALENDARIO, DOCUMENTACIÓN </w:t>
      </w:r>
      <w:r>
        <w:rPr>
          <w:bCs w:val="0"/>
          <w:lang w:val="es"/>
        </w:rPr>
        <w:br/>
        <w:t>Y CONFERENCIAS CONMEMORATIVAS DE LA COI</w:t>
      </w:r>
      <w:bookmarkEnd w:id="74"/>
      <w:bookmarkEnd w:id="75"/>
      <w:bookmarkEnd w:id="76"/>
      <w:bookmarkEnd w:id="77"/>
      <w:bookmarkEnd w:id="78"/>
      <w:bookmarkEnd w:id="79"/>
      <w:bookmarkEnd w:id="80"/>
      <w:bookmarkEnd w:id="81"/>
      <w:bookmarkEnd w:id="82"/>
    </w:p>
    <w:p w14:paraId="2C4015E1" w14:textId="4A1F7DC8" w:rsidR="002C53D3" w:rsidRPr="006C41C4" w:rsidRDefault="002932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presentó este punto. Recordó a la Asamblea la fecha límite para la presentación de candidaturas a las elecciones: el 27 de junio a las 18:00 (hora de París). En cuanto a la organización de la reunión,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recordó a los delegados que el programa de reuniones paralelas a esta reunión estaba disponible en la página web de la reunión, independientemente del calendario oficial de la Asamblea. Agradeció de antemano a los Estados </w:t>
      </w:r>
      <w:r>
        <w:rPr>
          <w:rFonts w:ascii="Arial" w:hAnsi="Arial" w:cs="Arial"/>
          <w:sz w:val="22"/>
          <w:szCs w:val="22"/>
          <w:lang w:val="es"/>
        </w:rPr>
        <w:lastRenderedPageBreak/>
        <w:t xml:space="preserve">Miembros y a las organizaciones asociadas la organización de actos paralelos y el ofrecimiento de servicios de café/té durante esta reunión. </w:t>
      </w:r>
      <w:bookmarkStart w:id="83" w:name="_Hlk201131395"/>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informó a los Estados Miembros de que, lamentablemente, la Asamblea tendría que cambiar su sala de plenos los días 2 y 3 de julio para dar cabida a otros actos que se celebrarían al mismo tiempo que la Asamblea. </w:t>
      </w:r>
      <w:bookmarkEnd w:id="83"/>
      <w:r>
        <w:rPr>
          <w:rFonts w:ascii="Arial" w:hAnsi="Arial" w:cs="Arial"/>
          <w:sz w:val="22"/>
          <w:szCs w:val="22"/>
          <w:lang w:val="es"/>
        </w:rPr>
        <w:t xml:space="preserve">Señaló la dificultad cada vez mayor de organizar reuniones durante el mes de junio, especialmente una reunión de dos semanas como la Asamblea.  </w:t>
      </w:r>
    </w:p>
    <w:p w14:paraId="319425C4" w14:textId="552C9E54" w:rsidR="00D5102B" w:rsidRPr="006C41C4" w:rsidRDefault="00F3335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bookmarkStart w:id="84" w:name="_Hlk136523242"/>
      <w:r>
        <w:rPr>
          <w:rFonts w:ascii="Arial" w:hAnsi="Arial" w:cs="Arial"/>
          <w:sz w:val="22"/>
          <w:szCs w:val="22"/>
          <w:lang w:val="es"/>
        </w:rPr>
        <w:t xml:space="preserve">A continuación,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se refirió al programa del Día de las Ciencias Oceánicas (OSD) preparado por la Sección de Ciencias Oceánicas de la COI, que se celebraría el 30 de junio en la misma sala de reuniones. El tema de la jornada fue "Soluciones oceánicas para mitigar el cambio climático", dividido en dos grupos: 1. Profundizar en las soluciones oceánicas y 2. Riesgos, lagunas de gobernanza y prioridades científicas. </w:t>
      </w:r>
    </w:p>
    <w:p w14:paraId="1B799F8E" w14:textId="794FE785" w:rsidR="001B451A" w:rsidRPr="006C41C4" w:rsidRDefault="00C2132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bookmarkStart w:id="85" w:name="_Hlk136007854"/>
      <w:r>
        <w:rPr>
          <w:rFonts w:ascii="Arial" w:hAnsi="Arial"/>
          <w:sz w:val="22"/>
          <w:szCs w:val="22"/>
          <w:lang w:val="es"/>
        </w:rPr>
        <w:t xml:space="preserve">El OSD proporcionó una plataforma para la segunda conferencia conmemorativa de </w:t>
      </w:r>
      <w:proofErr w:type="spellStart"/>
      <w:r>
        <w:rPr>
          <w:rFonts w:ascii="Arial" w:hAnsi="Arial"/>
          <w:sz w:val="22"/>
          <w:szCs w:val="22"/>
          <w:lang w:val="es"/>
        </w:rPr>
        <w:t>Mário</w:t>
      </w:r>
      <w:proofErr w:type="spellEnd"/>
      <w:r>
        <w:rPr>
          <w:rFonts w:ascii="Arial" w:hAnsi="Arial"/>
          <w:sz w:val="22"/>
          <w:szCs w:val="22"/>
          <w:lang w:val="es"/>
        </w:rPr>
        <w:t xml:space="preserve"> </w:t>
      </w:r>
      <w:proofErr w:type="spellStart"/>
      <w:r>
        <w:rPr>
          <w:rFonts w:ascii="Arial" w:hAnsi="Arial"/>
          <w:sz w:val="22"/>
          <w:szCs w:val="22"/>
          <w:lang w:val="es"/>
        </w:rPr>
        <w:t>Ruivo</w:t>
      </w:r>
      <w:proofErr w:type="spellEnd"/>
      <w:r>
        <w:rPr>
          <w:rFonts w:ascii="Arial" w:hAnsi="Arial"/>
          <w:sz w:val="22"/>
          <w:szCs w:val="22"/>
          <w:lang w:val="es"/>
        </w:rPr>
        <w:t xml:space="preserve"> y otras dos conferencias conmemorativas de la COI. La "Conferencia Conmemorativa de M. </w:t>
      </w:r>
      <w:proofErr w:type="spellStart"/>
      <w:r>
        <w:rPr>
          <w:rFonts w:ascii="Arial" w:hAnsi="Arial"/>
          <w:sz w:val="22"/>
          <w:szCs w:val="22"/>
          <w:lang w:val="es"/>
        </w:rPr>
        <w:t>Ruivo</w:t>
      </w:r>
      <w:proofErr w:type="spellEnd"/>
      <w:r>
        <w:rPr>
          <w:rFonts w:ascii="Arial" w:hAnsi="Arial"/>
          <w:sz w:val="22"/>
          <w:szCs w:val="22"/>
          <w:lang w:val="es"/>
        </w:rPr>
        <w:t xml:space="preserve"> de la COI" </w:t>
      </w:r>
      <w:r>
        <w:rPr>
          <w:rFonts w:asciiTheme="minorBidi" w:hAnsiTheme="minorBidi"/>
          <w:sz w:val="22"/>
          <w:szCs w:val="22"/>
          <w:lang w:val="es"/>
        </w:rPr>
        <w:t xml:space="preserve">fue pronunciada por </w:t>
      </w:r>
      <w:proofErr w:type="spellStart"/>
      <w:r>
        <w:rPr>
          <w:rFonts w:asciiTheme="minorBidi" w:hAnsiTheme="minorBidi"/>
          <w:sz w:val="22"/>
          <w:szCs w:val="22"/>
          <w:lang w:val="es"/>
        </w:rPr>
        <w:t>Vânia</w:t>
      </w:r>
      <w:proofErr w:type="spellEnd"/>
      <w:r>
        <w:rPr>
          <w:rFonts w:asciiTheme="minorBidi" w:hAnsiTheme="minorBidi"/>
          <w:sz w:val="22"/>
          <w:szCs w:val="22"/>
          <w:lang w:val="es"/>
        </w:rPr>
        <w:t xml:space="preserve"> </w:t>
      </w:r>
      <w:proofErr w:type="gramStart"/>
      <w:r>
        <w:rPr>
          <w:rFonts w:asciiTheme="minorBidi" w:hAnsiTheme="minorBidi"/>
          <w:sz w:val="22"/>
          <w:szCs w:val="22"/>
          <w:lang w:val="es"/>
        </w:rPr>
        <w:t xml:space="preserve">Baptista </w:t>
      </w:r>
      <w:r>
        <w:rPr>
          <w:rFonts w:ascii="Arial" w:hAnsi="Arial"/>
          <w:sz w:val="22"/>
          <w:szCs w:val="22"/>
          <w:lang w:val="es"/>
        </w:rPr>
        <w:t>,</w:t>
      </w:r>
      <w:proofErr w:type="gramEnd"/>
      <w:r>
        <w:rPr>
          <w:rFonts w:ascii="Arial" w:hAnsi="Arial"/>
          <w:sz w:val="22"/>
          <w:szCs w:val="22"/>
          <w:lang w:val="es"/>
        </w:rPr>
        <w:t xml:space="preserve"> una profesional de los océanos en la fase inicial de su carrera que fue seleccionada por concurso. Su conferencia se centró en la investigación colaborativa para mejorar la conservación de la biodiversidad marina y la gestión sostenible de la pesca en Santo Tomé y Príncipe. El </w:t>
      </w:r>
      <w:proofErr w:type="gramStart"/>
      <w:r>
        <w:rPr>
          <w:rFonts w:ascii="Arial" w:hAnsi="Arial"/>
          <w:sz w:val="22"/>
          <w:szCs w:val="22"/>
          <w:lang w:val="es"/>
        </w:rPr>
        <w:t>Secretario Ejecutivo</w:t>
      </w:r>
      <w:proofErr w:type="gramEnd"/>
      <w:r>
        <w:rPr>
          <w:rFonts w:ascii="Arial" w:hAnsi="Arial"/>
          <w:sz w:val="22"/>
          <w:szCs w:val="22"/>
          <w:lang w:val="es"/>
        </w:rPr>
        <w:t xml:space="preserve"> acogió con satisfacción una iniciativa conjunta con </w:t>
      </w:r>
      <w:hyperlink r:id="rId21" w:history="1">
        <w:proofErr w:type="spellStart"/>
        <w:r>
          <w:rPr>
            <w:rStyle w:val="Hyperlink"/>
            <w:rFonts w:ascii="Arial" w:hAnsi="Arial" w:cs="Arial"/>
            <w:sz w:val="22"/>
            <w:szCs w:val="22"/>
            <w:lang w:val="es"/>
          </w:rPr>
          <w:t>EurOcean</w:t>
        </w:r>
        <w:proofErr w:type="spellEnd"/>
      </w:hyperlink>
      <w:r>
        <w:rPr>
          <w:rFonts w:ascii="Arial" w:hAnsi="Arial"/>
          <w:sz w:val="22"/>
          <w:szCs w:val="22"/>
          <w:lang w:val="es"/>
        </w:rPr>
        <w:t xml:space="preserve"> y Portugal, que rinde homenaje al compromiso de por vida del difunto profesor </w:t>
      </w:r>
      <w:proofErr w:type="spellStart"/>
      <w:r>
        <w:rPr>
          <w:rFonts w:ascii="Arial" w:hAnsi="Arial"/>
          <w:sz w:val="22"/>
          <w:szCs w:val="22"/>
          <w:lang w:val="es"/>
        </w:rPr>
        <w:t>Mário</w:t>
      </w:r>
      <w:proofErr w:type="spellEnd"/>
      <w:r>
        <w:rPr>
          <w:rFonts w:ascii="Arial" w:hAnsi="Arial"/>
          <w:sz w:val="22"/>
          <w:szCs w:val="22"/>
          <w:lang w:val="es"/>
        </w:rPr>
        <w:t xml:space="preserve"> </w:t>
      </w:r>
      <w:proofErr w:type="spellStart"/>
      <w:r>
        <w:rPr>
          <w:rFonts w:ascii="Arial" w:hAnsi="Arial"/>
          <w:sz w:val="22"/>
          <w:szCs w:val="22"/>
          <w:lang w:val="es"/>
        </w:rPr>
        <w:t>Ruivo</w:t>
      </w:r>
      <w:proofErr w:type="spellEnd"/>
      <w:r>
        <w:rPr>
          <w:rFonts w:ascii="Arial" w:hAnsi="Arial"/>
          <w:sz w:val="22"/>
          <w:szCs w:val="22"/>
          <w:lang w:val="es"/>
        </w:rPr>
        <w:t xml:space="preserve"> con las ciencias oceánicas y el desarrollo sostenible del océano, así como a sus importantes contribuciones a la labor de la COI, el conocimiento de los océanos, la cooperación internacional, el desarrollo de capacidades y la alfabetización oceánica. </w:t>
      </w:r>
    </w:p>
    <w:bookmarkEnd w:id="85"/>
    <w:p w14:paraId="23EACBC7" w14:textId="10B5EDCD" w:rsidR="00901CB9" w:rsidRPr="006C41C4" w:rsidRDefault="00901CB9" w:rsidP="00547D9B">
      <w:pPr>
        <w:pStyle w:val="ListParagraph1"/>
        <w:widowControl/>
        <w:numPr>
          <w:ilvl w:val="0"/>
          <w:numId w:val="8"/>
        </w:numPr>
        <w:tabs>
          <w:tab w:val="left" w:pos="709"/>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w:t>
      </w:r>
      <w:bookmarkStart w:id="86" w:name="_Hlk200720492"/>
      <w:r>
        <w:rPr>
          <w:rFonts w:ascii="Arial" w:hAnsi="Arial" w:cs="Arial"/>
          <w:sz w:val="22"/>
          <w:szCs w:val="22"/>
          <w:lang w:val="es"/>
        </w:rPr>
        <w:t xml:space="preserve">"Conferencia conmemorativa de Anton Bruun </w:t>
      </w:r>
      <w:bookmarkEnd w:id="86"/>
      <w:r>
        <w:rPr>
          <w:rFonts w:ascii="Arial" w:hAnsi="Arial" w:cs="Arial"/>
          <w:sz w:val="22"/>
          <w:szCs w:val="22"/>
          <w:lang w:val="es"/>
        </w:rPr>
        <w:t>2025 de la COI" "Co-</w:t>
      </w:r>
      <w:proofErr w:type="spellStart"/>
      <w:r>
        <w:rPr>
          <w:rFonts w:ascii="Arial" w:hAnsi="Arial" w:cs="Arial"/>
          <w:sz w:val="22"/>
          <w:szCs w:val="22"/>
          <w:lang w:val="es"/>
        </w:rPr>
        <w:t>Producing</w:t>
      </w:r>
      <w:proofErr w:type="spellEnd"/>
      <w:r>
        <w:rPr>
          <w:rFonts w:ascii="Arial" w:hAnsi="Arial" w:cs="Arial"/>
          <w:sz w:val="22"/>
          <w:szCs w:val="22"/>
          <w:lang w:val="es"/>
        </w:rPr>
        <w:t xml:space="preserve"> Ocean Solutions: </w:t>
      </w:r>
      <w:proofErr w:type="spellStart"/>
      <w:r>
        <w:rPr>
          <w:rFonts w:ascii="Arial" w:hAnsi="Arial" w:cs="Arial"/>
          <w:sz w:val="22"/>
          <w:szCs w:val="22"/>
          <w:lang w:val="es"/>
        </w:rPr>
        <w:t>Empowering</w:t>
      </w:r>
      <w:proofErr w:type="spellEnd"/>
      <w:r>
        <w:rPr>
          <w:rFonts w:ascii="Arial" w:hAnsi="Arial" w:cs="Arial"/>
          <w:sz w:val="22"/>
          <w:szCs w:val="22"/>
          <w:lang w:val="es"/>
        </w:rPr>
        <w:t xml:space="preserve"> </w:t>
      </w:r>
      <w:proofErr w:type="spellStart"/>
      <w:r>
        <w:rPr>
          <w:rFonts w:ascii="Arial" w:hAnsi="Arial" w:cs="Arial"/>
          <w:sz w:val="22"/>
          <w:szCs w:val="22"/>
          <w:lang w:val="es"/>
        </w:rPr>
        <w:t>Coastal</w:t>
      </w:r>
      <w:proofErr w:type="spellEnd"/>
      <w:r>
        <w:rPr>
          <w:rFonts w:ascii="Arial" w:hAnsi="Arial" w:cs="Arial"/>
          <w:sz w:val="22"/>
          <w:szCs w:val="22"/>
          <w:lang w:val="es"/>
        </w:rPr>
        <w:t xml:space="preserve"> </w:t>
      </w:r>
      <w:proofErr w:type="spellStart"/>
      <w:r>
        <w:rPr>
          <w:rFonts w:ascii="Arial" w:hAnsi="Arial" w:cs="Arial"/>
          <w:sz w:val="22"/>
          <w:szCs w:val="22"/>
          <w:lang w:val="es"/>
        </w:rPr>
        <w:t>Communities</w:t>
      </w:r>
      <w:proofErr w:type="spellEnd"/>
      <w:r>
        <w:rPr>
          <w:rFonts w:ascii="Arial" w:hAnsi="Arial" w:cs="Arial"/>
          <w:sz w:val="22"/>
          <w:szCs w:val="22"/>
          <w:lang w:val="es"/>
        </w:rPr>
        <w:t xml:space="preserve"> </w:t>
      </w:r>
      <w:proofErr w:type="spellStart"/>
      <w:r>
        <w:rPr>
          <w:rFonts w:ascii="Arial" w:hAnsi="Arial" w:cs="Arial"/>
          <w:sz w:val="22"/>
          <w:szCs w:val="22"/>
          <w:lang w:val="es"/>
        </w:rPr>
        <w:t>Through</w:t>
      </w:r>
      <w:proofErr w:type="spellEnd"/>
      <w:r>
        <w:rPr>
          <w:rFonts w:ascii="Arial" w:hAnsi="Arial" w:cs="Arial"/>
          <w:sz w:val="22"/>
          <w:szCs w:val="22"/>
          <w:lang w:val="es"/>
        </w:rPr>
        <w:t xml:space="preserve"> Science and </w:t>
      </w:r>
      <w:proofErr w:type="spellStart"/>
      <w:r>
        <w:rPr>
          <w:rFonts w:ascii="Arial" w:hAnsi="Arial" w:cs="Arial"/>
          <w:sz w:val="22"/>
          <w:szCs w:val="22"/>
          <w:lang w:val="es"/>
        </w:rPr>
        <w:t>Policy</w:t>
      </w:r>
      <w:proofErr w:type="spellEnd"/>
      <w:r>
        <w:rPr>
          <w:rFonts w:ascii="Arial" w:hAnsi="Arial" w:cs="Arial"/>
          <w:sz w:val="22"/>
          <w:szCs w:val="22"/>
          <w:lang w:val="es"/>
        </w:rPr>
        <w:t xml:space="preserve"> </w:t>
      </w:r>
      <w:proofErr w:type="spellStart"/>
      <w:r>
        <w:rPr>
          <w:rFonts w:ascii="Arial" w:hAnsi="Arial" w:cs="Arial"/>
          <w:sz w:val="22"/>
          <w:szCs w:val="22"/>
          <w:lang w:val="es"/>
        </w:rPr>
        <w:t>Integration</w:t>
      </w:r>
      <w:proofErr w:type="spellEnd"/>
      <w:r>
        <w:rPr>
          <w:rFonts w:ascii="Arial" w:hAnsi="Arial" w:cs="Arial"/>
          <w:sz w:val="22"/>
          <w:szCs w:val="22"/>
          <w:lang w:val="es"/>
        </w:rPr>
        <w:t xml:space="preserve">" fue pronunciada por la Profesora Dato' Dr Aileen Tan </w:t>
      </w:r>
      <w:proofErr w:type="spellStart"/>
      <w:r>
        <w:rPr>
          <w:rFonts w:ascii="Arial" w:hAnsi="Arial" w:cs="Arial"/>
          <w:sz w:val="22"/>
          <w:szCs w:val="22"/>
          <w:lang w:val="es"/>
        </w:rPr>
        <w:t>Shau</w:t>
      </w:r>
      <w:proofErr w:type="spellEnd"/>
      <w:r>
        <w:rPr>
          <w:rFonts w:ascii="Arial" w:hAnsi="Arial" w:cs="Arial"/>
          <w:sz w:val="22"/>
          <w:szCs w:val="22"/>
          <w:lang w:val="es"/>
        </w:rPr>
        <w:t xml:space="preserve"> </w:t>
      </w:r>
      <w:proofErr w:type="spellStart"/>
      <w:r>
        <w:rPr>
          <w:rFonts w:ascii="Arial" w:hAnsi="Arial" w:cs="Arial"/>
          <w:sz w:val="22"/>
          <w:szCs w:val="22"/>
          <w:lang w:val="es"/>
        </w:rPr>
        <w:t>Hwai</w:t>
      </w:r>
      <w:proofErr w:type="spellEnd"/>
      <w:r>
        <w:rPr>
          <w:rFonts w:ascii="Arial" w:hAnsi="Arial" w:cs="Arial"/>
          <w:sz w:val="22"/>
          <w:szCs w:val="22"/>
          <w:lang w:val="es"/>
        </w:rPr>
        <w:t xml:space="preserve"> (Malasia), </w:t>
      </w:r>
      <w:proofErr w:type="gramStart"/>
      <w:r>
        <w:rPr>
          <w:rFonts w:ascii="Arial" w:hAnsi="Arial" w:cs="Arial"/>
          <w:sz w:val="22"/>
          <w:szCs w:val="22"/>
          <w:lang w:val="es"/>
        </w:rPr>
        <w:t>Directora</w:t>
      </w:r>
      <w:proofErr w:type="gramEnd"/>
      <w:r>
        <w:rPr>
          <w:rFonts w:ascii="Arial" w:hAnsi="Arial" w:cs="Arial"/>
          <w:sz w:val="22"/>
          <w:szCs w:val="22"/>
          <w:lang w:val="es"/>
        </w:rPr>
        <w:t xml:space="preserve"> del Centro de Estudios Marinos y Costeros. Miembro ejecutivo de </w:t>
      </w:r>
      <w:proofErr w:type="spellStart"/>
      <w:r>
        <w:rPr>
          <w:rFonts w:ascii="Arial" w:hAnsi="Arial" w:cs="Arial"/>
          <w:sz w:val="22"/>
          <w:szCs w:val="22"/>
          <w:lang w:val="es"/>
        </w:rPr>
        <w:t>CoastPredict</w:t>
      </w:r>
      <w:proofErr w:type="spellEnd"/>
      <w:r>
        <w:rPr>
          <w:rFonts w:ascii="Arial" w:hAnsi="Arial" w:cs="Arial"/>
          <w:sz w:val="22"/>
          <w:szCs w:val="22"/>
          <w:lang w:val="es"/>
        </w:rPr>
        <w:t xml:space="preserve"> (programa respaldado por el Decenio del Océano). </w:t>
      </w:r>
      <w:bookmarkStart w:id="87" w:name="_Hlk200720531"/>
      <w:r>
        <w:rPr>
          <w:rFonts w:ascii="Arial" w:hAnsi="Arial" w:cs="Arial"/>
          <w:sz w:val="22"/>
          <w:szCs w:val="22"/>
          <w:lang w:val="es"/>
        </w:rPr>
        <w:t xml:space="preserve">La profesora Dato' Dr Aileen Tan </w:t>
      </w:r>
      <w:proofErr w:type="spellStart"/>
      <w:r>
        <w:rPr>
          <w:rFonts w:ascii="Arial" w:hAnsi="Arial" w:cs="Arial"/>
          <w:sz w:val="22"/>
          <w:szCs w:val="22"/>
          <w:lang w:val="es"/>
        </w:rPr>
        <w:t>Shau</w:t>
      </w:r>
      <w:proofErr w:type="spellEnd"/>
      <w:r>
        <w:rPr>
          <w:rFonts w:ascii="Arial" w:hAnsi="Arial" w:cs="Arial"/>
          <w:sz w:val="22"/>
          <w:szCs w:val="22"/>
          <w:lang w:val="es"/>
        </w:rPr>
        <w:t xml:space="preserve"> </w:t>
      </w:r>
      <w:proofErr w:type="spellStart"/>
      <w:r>
        <w:rPr>
          <w:rFonts w:ascii="Arial" w:hAnsi="Arial" w:cs="Arial"/>
          <w:sz w:val="22"/>
          <w:szCs w:val="22"/>
          <w:lang w:val="es"/>
        </w:rPr>
        <w:t>Hwai</w:t>
      </w:r>
      <w:proofErr w:type="spellEnd"/>
      <w:r>
        <w:rPr>
          <w:rFonts w:ascii="Arial" w:hAnsi="Arial" w:cs="Arial"/>
          <w:sz w:val="22"/>
          <w:szCs w:val="22"/>
          <w:lang w:val="es"/>
        </w:rPr>
        <w:t xml:space="preserve"> </w:t>
      </w:r>
      <w:bookmarkEnd w:id="87"/>
      <w:r>
        <w:rPr>
          <w:rFonts w:ascii="Arial" w:hAnsi="Arial" w:cs="Arial"/>
          <w:sz w:val="22"/>
          <w:szCs w:val="22"/>
          <w:lang w:val="es"/>
        </w:rPr>
        <w:t xml:space="preserve">destaca por su liderazgo en la ciencia del clima y la biodiversidad marina, en particular la acidificación de los océanos y los avances en el desarrollo de soluciones científicas a estos retos. El ciclo de conferencias conmemorativas de Anton Bruun está dedicado a la memoria del oceanógrafo danés y primer presidente de la Comisión (1961-1962), el Dr. Anton Frederick Bruun. Las conferencias abarcan los avances importantes que han tenido lugar en el periodo entre las reuniones en los ámbitos de los estudios de la litosfera, la oceanografía física y química y la meteorología, así como la biología marina. </w:t>
      </w:r>
    </w:p>
    <w:bookmarkEnd w:id="84"/>
    <w:p w14:paraId="019845D2" w14:textId="7DE19744" w:rsidR="00901CB9" w:rsidRPr="006C41C4" w:rsidRDefault="00901CB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"Conferencia conmemorativa de N.K. </w:t>
      </w:r>
      <w:proofErr w:type="spellStart"/>
      <w:r>
        <w:rPr>
          <w:rFonts w:ascii="Arial" w:hAnsi="Arial" w:cs="Arial"/>
          <w:sz w:val="22"/>
          <w:szCs w:val="22"/>
          <w:lang w:val="es"/>
        </w:rPr>
        <w:t>Panikkar</w:t>
      </w:r>
      <w:proofErr w:type="spellEnd"/>
      <w:r>
        <w:rPr>
          <w:rFonts w:ascii="Arial" w:hAnsi="Arial" w:cs="Arial"/>
          <w:sz w:val="22"/>
          <w:szCs w:val="22"/>
          <w:lang w:val="es"/>
        </w:rPr>
        <w:t xml:space="preserve"> 2025 de la COI" "Desarrollo de capacidades para la oceanografía operacional en el mar Negro" fue pronunciada por el Dr. </w:t>
      </w:r>
      <w:bookmarkStart w:id="88" w:name="_Hlk200720996"/>
      <w:r>
        <w:rPr>
          <w:rFonts w:ascii="Arial" w:hAnsi="Arial" w:cs="Arial"/>
          <w:sz w:val="22"/>
          <w:szCs w:val="22"/>
          <w:lang w:val="es"/>
        </w:rPr>
        <w:t xml:space="preserve">Atanas Palazov </w:t>
      </w:r>
      <w:bookmarkEnd w:id="88"/>
      <w:r>
        <w:rPr>
          <w:rFonts w:ascii="Arial" w:hAnsi="Arial" w:cs="Arial"/>
          <w:sz w:val="22"/>
          <w:szCs w:val="22"/>
          <w:lang w:val="es"/>
        </w:rPr>
        <w:t>(</w:t>
      </w:r>
      <w:proofErr w:type="gramStart"/>
      <w:r>
        <w:rPr>
          <w:rFonts w:ascii="Arial" w:hAnsi="Arial" w:cs="Arial"/>
          <w:sz w:val="22"/>
          <w:szCs w:val="22"/>
          <w:lang w:val="es"/>
        </w:rPr>
        <w:t>Presidente</w:t>
      </w:r>
      <w:proofErr w:type="gramEnd"/>
      <w:r>
        <w:rPr>
          <w:rFonts w:ascii="Arial" w:hAnsi="Arial" w:cs="Arial"/>
          <w:sz w:val="22"/>
          <w:szCs w:val="22"/>
          <w:lang w:val="es"/>
        </w:rPr>
        <w:t xml:space="preserve"> de la Comisión Oceanográfica Nacional de Bulgaria). El Dr. Atanas Palazov es reconocido por su dedicación a la formación para el desarrollo de capacidades en oceanografía operacional, con especial atención al mar Negro. El ciclo de conferencias está dedicado a la memoria del zoólogo indio, director del Programa indio de la expedición internacional al océano Índico (IIOE) y antiguo presidente de la COI (1964-1965). Las conferencias versan sobre el desarrollo de capacidades en cuestiones de ciencias marinas a escala regional y/o nacional.</w:t>
      </w:r>
    </w:p>
    <w:p w14:paraId="49BB496D" w14:textId="5BA44053" w:rsidR="00737F5E" w:rsidRPr="006C41C4" w:rsidRDefault="00901CB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Tras sus presentaciones, el profesor Tan y el Dr. Palazov recibieron la medalla Anton Bruun y la medalla N.K. </w:t>
      </w:r>
      <w:proofErr w:type="spellStart"/>
      <w:r>
        <w:rPr>
          <w:rFonts w:ascii="Arial" w:hAnsi="Arial" w:cs="Arial"/>
          <w:sz w:val="22"/>
          <w:szCs w:val="22"/>
          <w:lang w:val="es"/>
        </w:rPr>
        <w:t>Panikkar</w:t>
      </w:r>
      <w:proofErr w:type="spellEnd"/>
      <w:r>
        <w:rPr>
          <w:rFonts w:ascii="Arial" w:hAnsi="Arial" w:cs="Arial"/>
          <w:sz w:val="22"/>
          <w:szCs w:val="22"/>
          <w:lang w:val="es"/>
        </w:rPr>
        <w:t xml:space="preserve"> de la COI, respectivamente.</w:t>
      </w:r>
    </w:p>
    <w:p w14:paraId="0C1C50A0" w14:textId="3992F796" w:rsidR="00F657A7" w:rsidRPr="00AE71B5" w:rsidRDefault="00F657A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es"/>
        </w:rPr>
        <w:t xml:space="preserve">Para concluir,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recordó la recomendación del Consejo Ejecutivo que precedió a esta Asamblea de publicar las enmiendas a los proyectos de decisión en la página web de la Asamblea en cuanto se recibieran, para que los delegados tuvieran tiempo de leerlas y debatirlas con suficiente antelación al debate plenario. Estas nuevas disposiciones se aplicaron durante esta reunión. </w:t>
      </w:r>
    </w:p>
    <w:p w14:paraId="75AF0069" w14:textId="77777777" w:rsidR="00DF2EE7" w:rsidRPr="006C41C4" w:rsidRDefault="00DF2EE7" w:rsidP="00547D9B">
      <w:pPr>
        <w:pStyle w:val="Heading1"/>
        <w:numPr>
          <w:ilvl w:val="0"/>
          <w:numId w:val="9"/>
        </w:numPr>
        <w:tabs>
          <w:tab w:val="clear" w:pos="567"/>
        </w:tabs>
        <w:spacing w:before="360"/>
        <w:ind w:left="851" w:hanging="851"/>
        <w:rPr>
          <w:lang w:val="es-ES"/>
        </w:rPr>
      </w:pPr>
      <w:bookmarkStart w:id="89" w:name="_Toc197955105"/>
      <w:bookmarkStart w:id="90" w:name="_Toc190766970"/>
      <w:bookmarkStart w:id="91" w:name="_Toc134002365"/>
      <w:bookmarkStart w:id="92" w:name="_Toc134002189"/>
      <w:bookmarkStart w:id="93" w:name="_Toc131777740"/>
      <w:bookmarkStart w:id="94" w:name="_Toc68180550"/>
      <w:bookmarkStart w:id="95" w:name="_Toc67920985"/>
      <w:bookmarkStart w:id="96" w:name="_Toc2766653"/>
      <w:bookmarkStart w:id="97" w:name="_Toc531253822"/>
      <w:bookmarkStart w:id="98" w:name="_Toc478397086"/>
      <w:bookmarkStart w:id="99" w:name="_Toc212133503"/>
      <w:bookmarkStart w:id="100" w:name="_Toc289696423"/>
      <w:bookmarkStart w:id="101" w:name="_Toc357517548"/>
      <w:bookmarkStart w:id="102" w:name="_Toc358657261"/>
      <w:bookmarkStart w:id="103" w:name="_Toc415051552"/>
      <w:bookmarkStart w:id="104" w:name="_Toc419707314"/>
      <w:r>
        <w:rPr>
          <w:lang w:val="es"/>
        </w:rPr>
        <w:lastRenderedPageBreak/>
        <w:t>ASUNTOS E INFORMES DE LA COI</w:t>
      </w:r>
      <w:bookmarkEnd w:id="89"/>
      <w:bookmarkEnd w:id="90"/>
      <w:bookmarkEnd w:id="91"/>
      <w:bookmarkEnd w:id="92"/>
      <w:bookmarkEnd w:id="93"/>
      <w:bookmarkEnd w:id="94"/>
      <w:bookmarkEnd w:id="95"/>
      <w:bookmarkEnd w:id="96"/>
      <w:bookmarkEnd w:id="97"/>
      <w:bookmarkEnd w:id="98"/>
      <w:bookmarkEnd w:id="99"/>
    </w:p>
    <w:p w14:paraId="55AFB3BB" w14:textId="3849A1FB" w:rsidR="007313C3" w:rsidRPr="00AE71B5" w:rsidRDefault="00DF2EE7" w:rsidP="00547D9B">
      <w:pPr>
        <w:pStyle w:val="Heading2"/>
        <w:numPr>
          <w:ilvl w:val="1"/>
          <w:numId w:val="9"/>
        </w:numPr>
        <w:tabs>
          <w:tab w:val="clear" w:pos="737"/>
        </w:tabs>
        <w:ind w:left="851" w:hanging="851"/>
      </w:pPr>
      <w:bookmarkStart w:id="105" w:name="_Toc212133504"/>
      <w:bookmarkStart w:id="106" w:name="_Toc478397087"/>
      <w:bookmarkStart w:id="107" w:name="_Toc531253823"/>
      <w:bookmarkStart w:id="108" w:name="_Toc2766654"/>
      <w:bookmarkStart w:id="109" w:name="_Toc67920986"/>
      <w:bookmarkStart w:id="110" w:name="_Toc68180551"/>
      <w:bookmarkStart w:id="111" w:name="_Toc131777741"/>
      <w:bookmarkStart w:id="112" w:name="_Toc134002190"/>
      <w:bookmarkStart w:id="113" w:name="_Toc134002366"/>
      <w:bookmarkStart w:id="114" w:name="_Toc190766971"/>
      <w:bookmarkStart w:id="115" w:name="_Toc197955106"/>
      <w:r>
        <w:rPr>
          <w:bCs w:val="0"/>
          <w:lang w:val="es"/>
        </w:rPr>
        <w:t>DECLARACIÓN DEL PRESIDENTE</w:t>
      </w:r>
      <w:bookmarkEnd w:id="105"/>
      <w:r>
        <w:rPr>
          <w:bCs w:val="0"/>
          <w:lang w:val="es"/>
        </w:rPr>
        <w:t xml:space="preserve"> </w:t>
      </w:r>
      <w:bookmarkEnd w:id="106"/>
      <w:bookmarkEnd w:id="107"/>
      <w:bookmarkEnd w:id="108"/>
      <w:bookmarkEnd w:id="109"/>
      <w:bookmarkEnd w:id="110"/>
      <w:bookmarkEnd w:id="111"/>
      <w:bookmarkEnd w:id="112"/>
      <w:bookmarkEnd w:id="113"/>
      <w:bookmarkEnd w:id="114"/>
      <w:bookmarkEnd w:id="115"/>
    </w:p>
    <w:p w14:paraId="56ECA128" w14:textId="6E9E9D4D" w:rsidR="004D6886" w:rsidRPr="006C41C4" w:rsidRDefault="00B1443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De conformidad con el artículo 45.1 (a) del Reglamento, el </w:t>
      </w:r>
      <w:proofErr w:type="gramStart"/>
      <w:r>
        <w:rPr>
          <w:rFonts w:ascii="Arial" w:hAnsi="Arial" w:cs="Arial"/>
          <w:sz w:val="22"/>
          <w:szCs w:val="22"/>
          <w:lang w:val="es"/>
        </w:rPr>
        <w:t>Presidente</w:t>
      </w:r>
      <w:proofErr w:type="gramEnd"/>
      <w:r>
        <w:rPr>
          <w:rFonts w:ascii="Arial" w:hAnsi="Arial" w:cs="Arial"/>
          <w:sz w:val="22"/>
          <w:szCs w:val="22"/>
          <w:lang w:val="es"/>
        </w:rPr>
        <w:t xml:space="preserve"> </w:t>
      </w:r>
      <w:r>
        <w:rPr>
          <w:rFonts w:ascii="Arial" w:hAnsi="Arial" w:cs="Arial"/>
          <w:color w:val="000000" w:themeColor="text1"/>
          <w:sz w:val="22"/>
          <w:szCs w:val="22"/>
          <w:lang w:val="es"/>
        </w:rPr>
        <w:t>Yutaka Michida</w:t>
      </w:r>
      <w:r>
        <w:rPr>
          <w:rFonts w:ascii="Arial" w:hAnsi="Arial" w:cs="Arial"/>
          <w:sz w:val="22"/>
          <w:szCs w:val="22"/>
          <w:lang w:val="es"/>
        </w:rPr>
        <w:t xml:space="preserve"> hizo una declaración oral sobre la evolución reciente de los trabajos de la Comisión y desarrolló las perspectivas y desafíos para el próximo año (cf. </w:t>
      </w:r>
      <w:hyperlink r:id="rId22" w:history="1">
        <w:r>
          <w:rPr>
            <w:rStyle w:val="Hyperlink"/>
            <w:rFonts w:ascii="Arial" w:hAnsi="Arial" w:cs="Arial"/>
            <w:sz w:val="22"/>
            <w:szCs w:val="22"/>
            <w:lang w:val="es"/>
          </w:rPr>
          <w:t>IOC/A-33/3.</w:t>
        </w:r>
        <w:proofErr w:type="gramStart"/>
        <w:r>
          <w:rPr>
            <w:rStyle w:val="Hyperlink"/>
            <w:rFonts w:ascii="Arial" w:hAnsi="Arial" w:cs="Arial"/>
            <w:sz w:val="22"/>
            <w:szCs w:val="22"/>
            <w:lang w:val="es"/>
          </w:rPr>
          <w:t>1.Inf</w:t>
        </w:r>
        <w:proofErr w:type="gramEnd"/>
        <w:r>
          <w:rPr>
            <w:rStyle w:val="Hyperlink"/>
            <w:rFonts w:ascii="Arial" w:hAnsi="Arial" w:cs="Arial"/>
            <w:sz w:val="22"/>
            <w:szCs w:val="22"/>
            <w:lang w:val="es"/>
          </w:rPr>
          <w:t>.1</w:t>
        </w:r>
      </w:hyperlink>
      <w:r>
        <w:rPr>
          <w:rFonts w:ascii="Arial" w:hAnsi="Arial" w:cs="Arial"/>
          <w:sz w:val="22"/>
          <w:szCs w:val="22"/>
          <w:lang w:val="es"/>
        </w:rPr>
        <w:t>).</w:t>
      </w:r>
    </w:p>
    <w:p w14:paraId="68152078" w14:textId="2F2E1432" w:rsidR="001F3412" w:rsidRPr="006C41C4" w:rsidRDefault="001F341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nombre de la Comisión, el </w:t>
      </w:r>
      <w:proofErr w:type="gramStart"/>
      <w:r>
        <w:rPr>
          <w:rFonts w:ascii="Arial" w:hAnsi="Arial" w:cs="Arial"/>
          <w:sz w:val="22"/>
          <w:szCs w:val="22"/>
          <w:lang w:val="es"/>
        </w:rPr>
        <w:t>Presidente</w:t>
      </w:r>
      <w:proofErr w:type="gramEnd"/>
      <w:r>
        <w:rPr>
          <w:rFonts w:ascii="Arial" w:hAnsi="Arial" w:cs="Arial"/>
          <w:sz w:val="22"/>
          <w:szCs w:val="22"/>
          <w:lang w:val="es"/>
        </w:rPr>
        <w:t xml:space="preserve"> dio la bienvenida a Liberia, 151º Estado Miembro de la COI, y presentó un resumen de sus actividades en representación de la Comisión y de la presencia de la COI en la agenda internacional durante el periodo entre reuniones de la Asamblea.</w:t>
      </w:r>
    </w:p>
    <w:p w14:paraId="29470AA3" w14:textId="15C9976F" w:rsidR="00D36168" w:rsidRPr="006C41C4" w:rsidRDefault="00974F61"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lang w:val="es-ES"/>
        </w:rPr>
      </w:pPr>
      <w:r>
        <w:rPr>
          <w:rFonts w:ascii="Arial" w:hAnsi="Arial" w:cs="Arial"/>
          <w:sz w:val="22"/>
          <w:szCs w:val="22"/>
          <w:lang w:val="es"/>
        </w:rPr>
        <w:t xml:space="preserve">Tomó la palabra el representante de 3 Estados Miembros. Los siguientes Estados Miembros han optado por dejar constancia de su intervención en el pleno sobre este punto del orden del día para el anexo informativo del informe de la reunión: </w:t>
      </w:r>
      <w:hyperlink w:anchor="lib31" w:history="1">
        <w:r>
          <w:rPr>
            <w:rStyle w:val="Hyperlink"/>
            <w:rFonts w:ascii="Arial" w:hAnsi="Arial" w:cs="Arial"/>
            <w:sz w:val="22"/>
            <w:szCs w:val="22"/>
            <w:lang w:val="es"/>
          </w:rPr>
          <w:t>Liberia</w:t>
        </w:r>
      </w:hyperlink>
      <w:r>
        <w:rPr>
          <w:rFonts w:ascii="Arial" w:hAnsi="Arial" w:cs="Arial"/>
          <w:sz w:val="22"/>
          <w:szCs w:val="22"/>
          <w:lang w:val="es"/>
        </w:rPr>
        <w:t xml:space="preserve">, </w:t>
      </w:r>
      <w:hyperlink w:anchor="rus31" w:history="1">
        <w:r>
          <w:rPr>
            <w:rStyle w:val="Hyperlink"/>
            <w:rFonts w:ascii="Arial" w:hAnsi="Arial" w:cs="Arial"/>
            <w:sz w:val="22"/>
            <w:szCs w:val="22"/>
            <w:lang w:val="es"/>
          </w:rPr>
          <w:t>Federación de Rusia</w:t>
        </w:r>
      </w:hyperlink>
      <w:r>
        <w:rPr>
          <w:rFonts w:ascii="Arial" w:hAnsi="Arial" w:cs="Arial"/>
          <w:sz w:val="22"/>
          <w:szCs w:val="22"/>
          <w:lang w:val="es"/>
        </w:rPr>
        <w:t>.</w:t>
      </w:r>
    </w:p>
    <w:p w14:paraId="256FCFE1" w14:textId="7D6CF198" w:rsidR="00DF2EE7" w:rsidRPr="006C41C4" w:rsidRDefault="0029208D" w:rsidP="00547D9B">
      <w:pPr>
        <w:pStyle w:val="Heading2"/>
        <w:numPr>
          <w:ilvl w:val="1"/>
          <w:numId w:val="9"/>
        </w:numPr>
        <w:tabs>
          <w:tab w:val="clear" w:pos="737"/>
        </w:tabs>
        <w:ind w:left="851" w:hanging="851"/>
        <w:rPr>
          <w:lang w:val="es-ES"/>
        </w:rPr>
      </w:pPr>
      <w:bookmarkStart w:id="116" w:name="_Toc531253824"/>
      <w:bookmarkStart w:id="117" w:name="_Toc2766655"/>
      <w:bookmarkStart w:id="118" w:name="_Toc67920987"/>
      <w:bookmarkStart w:id="119" w:name="_Toc68180552"/>
      <w:bookmarkStart w:id="120" w:name="_Toc131777742"/>
      <w:bookmarkStart w:id="121" w:name="_Toc134002191"/>
      <w:bookmarkStart w:id="122" w:name="_Toc134002367"/>
      <w:bookmarkStart w:id="123" w:name="_Toc190766972"/>
      <w:bookmarkStart w:id="124" w:name="_Toc197955107"/>
      <w:bookmarkStart w:id="125" w:name="_Toc212133505"/>
      <w:bookmarkStart w:id="126" w:name="_Hlk199954539"/>
      <w:r>
        <w:rPr>
          <w:bCs w:val="0"/>
          <w:lang w:val="es"/>
        </w:rPr>
        <w:t>INFORME DEL SECRETARIO EJECUTIVO SOBRE EL TRABAJO REALIZADO DESDE LA TRIGÉSIMA SEGUNDA REUNIÓN DE LA ASAMBLEA</w:t>
      </w:r>
      <w:bookmarkEnd w:id="116"/>
      <w:bookmarkEnd w:id="117"/>
      <w:bookmarkEnd w:id="118"/>
      <w:bookmarkEnd w:id="119"/>
      <w:bookmarkEnd w:id="120"/>
      <w:bookmarkEnd w:id="121"/>
      <w:bookmarkEnd w:id="122"/>
      <w:bookmarkEnd w:id="123"/>
      <w:bookmarkEnd w:id="124"/>
      <w:bookmarkEnd w:id="125"/>
    </w:p>
    <w:bookmarkEnd w:id="126"/>
    <w:p w14:paraId="7B5D74E4" w14:textId="71C34BEC" w:rsidR="00F42E6D" w:rsidRPr="006C41C4" w:rsidRDefault="00F42E6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presentó este punto. </w:t>
      </w:r>
    </w:p>
    <w:p w14:paraId="5683A31F" w14:textId="1CA1F341" w:rsidR="007A296C" w:rsidRPr="006C41C4"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Destacó que los cambios rápidos y acelerados que se producen en los océanos plantean nuevas exigencias a la COI para que cumpla su mandato de generar y aplicar conocimientos. Las observaciones oceánicas deben mejorarse para proporcionar más mediciones, continuamente actualizadas, que permitan generar conocimiento. La aplicación del conocimiento, segunda parte del mandato de la </w:t>
      </w:r>
      <w:proofErr w:type="gramStart"/>
      <w:r>
        <w:rPr>
          <w:rFonts w:ascii="Arial" w:hAnsi="Arial" w:cs="Arial"/>
          <w:sz w:val="22"/>
          <w:szCs w:val="22"/>
          <w:lang w:val="es"/>
        </w:rPr>
        <w:t>COI,</w:t>
      </w:r>
      <w:proofErr w:type="gramEnd"/>
      <w:r>
        <w:rPr>
          <w:rFonts w:ascii="Arial" w:hAnsi="Arial" w:cs="Arial"/>
          <w:sz w:val="22"/>
          <w:szCs w:val="22"/>
          <w:lang w:val="es"/>
        </w:rPr>
        <w:t xml:space="preserve"> adquiere una importancia creciente en consonancia con la evolución del panorama mundial de la gobernanza del océano y la mayor relevancia de los mecanismos regionales de política y gobernanza.</w:t>
      </w:r>
    </w:p>
    <w:p w14:paraId="1315CB62" w14:textId="7EEF1A82" w:rsidR="007A296C" w:rsidRPr="006C41C4"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Con el aumento de la cuota de la COI en el presupuesto ordinario de la UNESCO para 2024-2025 (42 C/5) al 3 % a petición de sus Estados Miembros, dos tercios (68 %) de los recursos adicionales no relativos al personal se asignaron de forma general para estabilizar todas las funciones de la COI, y un tercio (32 %) se utilizó como inversión adicional específica en el Sistema Mundial de Observación de los Océanos (GOOS), el Sistema Internacional de Intercambio de Datos e Información Oceanográficos (IODE) y el desarrollo de capacidades a través de los órganos subsidiarios regionales de la COI.</w:t>
      </w:r>
    </w:p>
    <w:p w14:paraId="46283063" w14:textId="24AE6462" w:rsidR="007A296C" w:rsidRPr="006C41C4"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fortalecimiento de la labor de la COI en materia de observaciones y datos oceánicos puede dar lugar a productos y servicios que apoyen potencialmente, por ejemplo, la vigilancia marina para el Marco Mundial sobre la Biodiversidad Kunming-Montreal, el Acuerdo BBNJ y los marcos relacionados con la contaminación, así como consolidar el papel de la COI como asociado mundial en materia de conocimientos para la planificación sostenible de los océanos. En este contexto, destacó la importancia de adecuar el Sistema Mundial de Observación de los Océanos a la rápida evolución de los océanos y de crear una arquitectura de datos integrada de la COI que pueda responder mejor a las necesidades de los responsables de la toma de decisiones y la gestión de los océanos. </w:t>
      </w:r>
    </w:p>
    <w:p w14:paraId="0ED5323D" w14:textId="2464274B" w:rsidR="007A296C" w:rsidRPr="006C41C4" w:rsidRDefault="006C1E8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Veintiún años después del tsunami del océano Índico de 2004, la COI puede estar orgullosa de los progresos realizados. Con los sistemas de alerta de tsunamis operativos en las cuatro cuencas oceánicas, hay ahora 100 comunidades reconocidas como preparadas para los tsunamis en 31 Estados Miembros, 15 de los cuales son PEID. Pero aún queda mucho por hacer para alcanzar el ambicioso objetivo de cubrir todas las comunidades de riesgo para 2030.</w:t>
      </w:r>
    </w:p>
    <w:p w14:paraId="23F513B2" w14:textId="514DCEC1" w:rsidR="007A296C" w:rsidRPr="006C41C4"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trabajo programático de desarrollo de capacidades de la COI, guiado por la </w:t>
      </w:r>
      <w:r>
        <w:rPr>
          <w:rFonts w:ascii="Arial" w:hAnsi="Arial" w:cs="Arial"/>
          <w:i/>
          <w:iCs/>
          <w:sz w:val="22"/>
          <w:szCs w:val="22"/>
          <w:lang w:val="es"/>
        </w:rPr>
        <w:t>Estrategia de Desarrollo de Capacidades de la COI 2023-2030</w:t>
      </w:r>
      <w:r>
        <w:rPr>
          <w:rFonts w:ascii="Arial" w:hAnsi="Arial" w:cs="Arial"/>
          <w:sz w:val="22"/>
          <w:szCs w:val="22"/>
          <w:lang w:val="es"/>
        </w:rPr>
        <w:t xml:space="preserve">, se complementa con el Fondo de Desarrollo </w:t>
      </w:r>
      <w:r>
        <w:rPr>
          <w:rFonts w:ascii="Arial" w:hAnsi="Arial" w:cs="Arial"/>
          <w:sz w:val="22"/>
          <w:szCs w:val="22"/>
          <w:lang w:val="es"/>
        </w:rPr>
        <w:lastRenderedPageBreak/>
        <w:t>de Capacidades del Decenio del Océano. El fondo tiene por objeto elaborar y ejecutar iniciativas prioritarias de desarrollo de capacidades en el marco del Decenio del Océano, centrándose en los PEID, los países menos adelantados y los profesionales de los océanos que inician su carrera. Los órganos subsidiarios regionales de la COI prosiguen su importantísima labor de catalizar el compromiso y el impacto sobre el terreno.</w:t>
      </w:r>
    </w:p>
    <w:p w14:paraId="0C015CB9" w14:textId="327BE621" w:rsidR="007A296C" w:rsidRPr="006C41C4"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A continuación,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ofreció una visión general de los aspectos programáticos más destacados y de los hitos alcanzados en todas las funciones de la Comisión. </w:t>
      </w:r>
    </w:p>
    <w:p w14:paraId="301CA8C7" w14:textId="0E42E580" w:rsidR="007A296C" w:rsidRPr="006C41C4"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Concluyó haciendo hincapié en que los objetivos duales de generación y aplicación de conocimientos se reflejan en la </w:t>
      </w:r>
      <w:r>
        <w:rPr>
          <w:rFonts w:ascii="Arial" w:hAnsi="Arial" w:cs="Arial"/>
          <w:i/>
          <w:iCs/>
          <w:sz w:val="22"/>
          <w:szCs w:val="22"/>
          <w:lang w:val="es"/>
        </w:rPr>
        <w:t>Estrategia a Plazo Medio de la COI (2022-2029)</w:t>
      </w:r>
      <w:r>
        <w:rPr>
          <w:rFonts w:ascii="Arial" w:hAnsi="Arial" w:cs="Arial"/>
          <w:sz w:val="22"/>
          <w:szCs w:val="22"/>
          <w:lang w:val="es"/>
        </w:rPr>
        <w:t xml:space="preserve"> y se ajustan al espíritu del Decenio de las Naciones Unidas de las Ciencias Oceánicas para el Desarrollo Sostenible (2021-2030), que trata de generar la ciencia necesaria para apoyar las decisiones requeridas para un océano sostenible. Los programas y proyectos dirigidos por la COI que se desarrollan en el marco del "Decenio del Océano" abarcan desde la observación a la investigación, pasando por la planificación sostenible de los océanos. Son bancos de pruebas de enfoques transformadores para la generación de conocimientos oportunos, pertinentes y </w:t>
      </w:r>
      <w:proofErr w:type="spellStart"/>
      <w:r>
        <w:rPr>
          <w:rFonts w:ascii="Arial" w:hAnsi="Arial" w:cs="Arial"/>
          <w:sz w:val="22"/>
          <w:szCs w:val="22"/>
          <w:lang w:val="es"/>
        </w:rPr>
        <w:t>codiseñados</w:t>
      </w:r>
      <w:proofErr w:type="spellEnd"/>
      <w:r>
        <w:rPr>
          <w:rFonts w:ascii="Arial" w:hAnsi="Arial" w:cs="Arial"/>
          <w:sz w:val="22"/>
          <w:szCs w:val="22"/>
          <w:lang w:val="es"/>
        </w:rPr>
        <w:t xml:space="preserve"> que tienen aplicabilidad directa en la toma de decisiones. Las diversas comunidades de partes interesadas que han surgido gracias a las actividades aprobadas del Decenio del Océano constituirán importantes redes a las que la COI podrá recurrir en la era posterior al Decenio para contribuir a la generación y transmisión de conocimientos, así como a su aplicación. El Decenio del Océano brinda a los programas de la COI la oportunidad de trabajar en temas emergentes de nuevas maneras, con nuevos socios, y construir así los cimientos de una futura COI que sea un legado tras el final del Decenio para responder a las expectativas de los Estados Miembros.</w:t>
      </w:r>
    </w:p>
    <w:p w14:paraId="18947965" w14:textId="376B26C2" w:rsidR="00AB3AB2" w:rsidRPr="006C41C4" w:rsidRDefault="00974F61" w:rsidP="009B6080">
      <w:pPr>
        <w:pStyle w:val="ListParagraph1"/>
        <w:widowControl/>
        <w:numPr>
          <w:ilvl w:val="0"/>
          <w:numId w:val="8"/>
        </w:numPr>
        <w:tabs>
          <w:tab w:val="left" w:pos="851"/>
        </w:tabs>
        <w:snapToGrid w:val="0"/>
        <w:spacing w:after="240"/>
        <w:ind w:left="0" w:firstLine="0"/>
        <w:contextualSpacing w:val="0"/>
        <w:rPr>
          <w:lang w:val="es-ES"/>
        </w:rPr>
      </w:pPr>
      <w:r>
        <w:rPr>
          <w:rFonts w:ascii="Arial" w:hAnsi="Arial" w:cs="Arial"/>
          <w:sz w:val="22"/>
          <w:szCs w:val="22"/>
          <w:lang w:val="es"/>
        </w:rPr>
        <w:t xml:space="preserve">Tomaron la palabra los representantes de 40 Estados Miembros y 1 observador. </w:t>
      </w:r>
    </w:p>
    <w:p w14:paraId="033522CA" w14:textId="47FCD00D" w:rsidR="008239C4" w:rsidRPr="006C41C4"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comenzó dando una calurosa bienvenida a Liberia (14 de mayo de 2025) y Antigua y Barbuda (25 de junio de 2025) como nuevos miembros de la familia de la COI, que ahora cuenta con 152 países. </w:t>
      </w:r>
    </w:p>
    <w:p w14:paraId="2884649E" w14:textId="3AB4A59E" w:rsidR="008239C4" w:rsidRPr="006C41C4"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Estados Miembros felicitaron al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de la COI por su exhaustivo informe sobre los avances de la COI desde la 32ª reunión de la Asamblea de la COI. La Asamblea tomó nota de los notables progresos realizados en todas sus funciones básicas y ámbitos de competencia desde el nombramiento del Sr. Helgesen el 1 de marzo de 2024, incluida la dirección del Decenio del Océano de las Naciones Unidas y las importantes contribuciones al éxito de la 3ª Conferencia de las Naciones Unidas sobre el Océano celebrada en Niza. Se señalaron como esenciales los esfuerzos en materia de observación de los océanos, ciencias oceánicas, integración de datos y desarrollo de capacidades, sobre todo a medida que aumenta la demanda de conocimientos basados en los océanos en el contexto de los acuciantes desafíos mundiales. La COI fue reconocida como una de las principales fuerzas impulsoras del avance de las ciencias oceánicas.</w:t>
      </w:r>
    </w:p>
    <w:p w14:paraId="7A14D4F1" w14:textId="4CE11E25" w:rsidR="008239C4" w:rsidRPr="006C41C4"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A los Estados Miembros les preocupaba que la ejecución del programa de la COI para 2025 se viera gravemente afectada por la reducción desproporcionada de la asignación del presupuesto ordinario de la COI para 2025 en el contexto de las medidas de gestión de la UNESCO para protegerse contra el riesgo de una posible pérdida de ingresos para el programa y presupuesto ordinario (42 C/5). La Asamblea subrayó unánimemente la importancia de cumplir con la decisión adoptada por los Estados Miembros en la 216ª reunión del Consejo Ejecutivo de la UNESCO, refrendada por la Conferencia General de la UNESCO en la Resolución de Consignación de Créditos 42 C/5, por la que se establece una base de referencia del 3% para la parte correspondiente a la COI en el presupuesto ordinario de la UNESCO.</w:t>
      </w:r>
    </w:p>
    <w:p w14:paraId="0C3A26B4" w14:textId="17C968C9" w:rsidR="008239C4" w:rsidRPr="006C41C4"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Dada la incertidumbre con respecto a las hipótesis presupuestarias del 43 C/5 (2026-2027), los Estados Miembros sugirieron que la COI debe abordar el próximo bienio como una </w:t>
      </w:r>
      <w:r>
        <w:rPr>
          <w:rFonts w:ascii="Arial" w:hAnsi="Arial" w:cs="Arial"/>
          <w:sz w:val="22"/>
          <w:szCs w:val="22"/>
          <w:lang w:val="es"/>
        </w:rPr>
        <w:lastRenderedPageBreak/>
        <w:t xml:space="preserve">organización financieramente resiliente. Iniciativas clave como el GOOS, el IODE y los esfuerzos regionales de capacitación, especialmente los que apoyan a África y a los PEID, no pueden verse comprometidos por recortes presupuestarios o medidas de contingencia. Los Estados Miembros expresaron su preocupación por el hecho de que los riesgos financieros -tanto inmediatos como a medio plazo- afecten en gran medida al trabajo esencial sobre el terreno realizado a través de los órganos subsidiarios regionales, especialmente en el contexto de la escasez de personal y de recursos de las secretarías. La Asamblea acogió con beneplácito la propuesta del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de la COI de armonizar mejor la planificación programática y los ciclos presupuestarios de los órganos subsidiarios con los calendarios generales de la COI y del documento C/5 de la UNESCO. </w:t>
      </w:r>
    </w:p>
    <w:p w14:paraId="2DEB7253" w14:textId="42B39C2F" w:rsidR="008239C4" w:rsidRPr="006C41C4"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apreció especialmente el enfoque estratégico de la presentación del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de la COI y los procesos de consulta inclusivos y eficaces destinados a mejorar los procesos de gobernanza y gestión de la COI (de conformidad con sus Estatutos). La Asamblea destacó que es señal de una organización fuerte y sana emprender una evaluación de la pertinencia, eficacia y eficiencia de la organización. </w:t>
      </w:r>
    </w:p>
    <w:p w14:paraId="3C8DB710" w14:textId="5F86FC79" w:rsidR="008239C4" w:rsidRPr="006C41C4"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 Asamblea también acogió con satisfacción las conclusiones de la evaluación externa del gobierno y la gestión de la COI y la armonización de sus recomendaciones con las aportaciones de los Estados Miembros al Grupo Asesor Financiero entre reuniones de la COI. La evaluación se consideró clave para mejorar la capacidad de la COI de prestar un apoyo significativo a sus Estados Miembros mediante la aplicación de sus Estatutos. Los Estados Miembros reafirmaron unánimemente la importancia del mandato de la COI como órgano de las Naciones Unidas encargado de coordinar las ciencias oceánicas mundiales y de aportar conocimientos en apoyo de los servicios oceánicos. Mantener la autonomía funcional de la COI dentro de la UNESCO es esencial para garantizar la capacidad de respuesta, la credibilidad y la eficacia de la Comisión.</w:t>
      </w:r>
    </w:p>
    <w:p w14:paraId="72873C57" w14:textId="39EBC6EA" w:rsidR="00AB3AB2" w:rsidRPr="006C41C4"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Los Estados Miembros acogieron con satisfacción la armonización del nuevo Marco de Resultados de la COI para 2026-2027 con los Objetivos de Alto Nivel de la Estrategia a Plazo Medio de la COI (2022-2029), señalando que contribuye a una evaluación más eficaz de la ejecución de la Estrategia. También destacaron la importancia de la consulta de los Estados Miembros sobre "La COI y el futuro de los océanos" y la importancia de obtener un legado duradero del Decenio del Océano para seguir fortaleciendo el papel y la pertinencia de la COI, incluidas sus contribuciones a otros procesos de las Naciones Unidas. Esto ayudará a maximizar el rendimiento de las inversiones colectivas de los países en observación, intercambio de datos y conocimientos científicos.</w:t>
      </w:r>
    </w:p>
    <w:p w14:paraId="08D99BA6" w14:textId="47C2EF39" w:rsidR="00A32128" w:rsidRPr="006C41C4" w:rsidRDefault="0090478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Estados Unidos de América, al tiempo que reafirmaron su apoyo a la labor fundamental y sustantiva de la COI, y a la tan necesaria transparencia y excelencia en la gobernanza, expresaron su preocupación por la reafirmación generalizada de la Agenda 2030 y los Objetivos de Desarrollo Sostenible, así como por las referencias generales al cambio climático. </w:t>
      </w:r>
      <w:proofErr w:type="gramStart"/>
      <w:r>
        <w:rPr>
          <w:rFonts w:ascii="Arial" w:hAnsi="Arial" w:cs="Arial"/>
          <w:sz w:val="22"/>
          <w:szCs w:val="22"/>
          <w:lang w:val="es"/>
        </w:rPr>
        <w:t>EE.UU.</w:t>
      </w:r>
      <w:proofErr w:type="gramEnd"/>
      <w:r>
        <w:rPr>
          <w:rFonts w:ascii="Arial" w:hAnsi="Arial" w:cs="Arial"/>
          <w:sz w:val="22"/>
          <w:szCs w:val="22"/>
          <w:lang w:val="es"/>
        </w:rPr>
        <w:t xml:space="preserve"> animó a la COI a seguir centrándose en amenazas medioambientales específicas, como la acidificación de los océanos y la subida del nivel del mar, y en mejorar la resiliencia y la planificación en caso de catástrofe. Con este espíritu, y de forma similar al enfoque adoptado en abril en el Consejo Ejecutivo de la UNESCO, </w:t>
      </w:r>
      <w:proofErr w:type="gramStart"/>
      <w:r>
        <w:rPr>
          <w:rFonts w:ascii="Arial" w:hAnsi="Arial" w:cs="Arial"/>
          <w:sz w:val="22"/>
          <w:szCs w:val="22"/>
          <w:lang w:val="es"/>
        </w:rPr>
        <w:t>EE.UU.</w:t>
      </w:r>
      <w:proofErr w:type="gramEnd"/>
      <w:r>
        <w:rPr>
          <w:rFonts w:ascii="Arial" w:hAnsi="Arial" w:cs="Arial"/>
          <w:sz w:val="22"/>
          <w:szCs w:val="22"/>
          <w:lang w:val="es"/>
        </w:rPr>
        <w:t xml:space="preserve"> presentó un resumen de los puntos del orden del día para los que desearían proponer modificaciones a los proyectos de decisión y un punto que requeriría votación.</w:t>
      </w:r>
    </w:p>
    <w:p w14:paraId="6BE23E5F" w14:textId="24BAB05A" w:rsidR="00D36168" w:rsidRPr="006C41C4" w:rsidRDefault="00974F61" w:rsidP="00B21807">
      <w:pPr>
        <w:pStyle w:val="ListParagraph1"/>
        <w:widowControl/>
        <w:numPr>
          <w:ilvl w:val="0"/>
          <w:numId w:val="8"/>
        </w:numPr>
        <w:tabs>
          <w:tab w:val="left" w:pos="851"/>
        </w:tabs>
        <w:snapToGrid w:val="0"/>
        <w:spacing w:after="240"/>
        <w:ind w:left="0" w:firstLine="0"/>
        <w:contextualSpacing w:val="0"/>
        <w:rPr>
          <w:lang w:val="es-ES"/>
        </w:rPr>
      </w:pPr>
      <w:r>
        <w:rPr>
          <w:rFonts w:ascii="Arial" w:hAnsi="Arial" w:cs="Arial"/>
          <w:sz w:val="22"/>
          <w:szCs w:val="22"/>
          <w:lang w:val="es"/>
        </w:rPr>
        <w:t xml:space="preserve">Los siguientes Estados Miembros han optado por dejar constancia de su intervención en el pleno sobre este punto del orden del día para el anexo informativo del informe de la reunión: </w:t>
      </w:r>
      <w:hyperlink w:anchor="bra32" w:history="1">
        <w:r>
          <w:rPr>
            <w:rStyle w:val="Hyperlink"/>
            <w:rFonts w:ascii="Arial" w:hAnsi="Arial" w:cs="Arial"/>
            <w:sz w:val="22"/>
            <w:szCs w:val="22"/>
            <w:lang w:val="es"/>
          </w:rPr>
          <w:t>Brasil</w:t>
        </w:r>
      </w:hyperlink>
      <w:r>
        <w:rPr>
          <w:rFonts w:ascii="Arial" w:hAnsi="Arial" w:cs="Arial"/>
          <w:sz w:val="22"/>
          <w:szCs w:val="22"/>
          <w:lang w:val="es"/>
        </w:rPr>
        <w:t xml:space="preserve">, </w:t>
      </w:r>
      <w:hyperlink w:anchor="can32" w:history="1">
        <w:r>
          <w:rPr>
            <w:rStyle w:val="Hyperlink"/>
            <w:rFonts w:ascii="Arial" w:hAnsi="Arial" w:cs="Arial"/>
            <w:sz w:val="22"/>
            <w:szCs w:val="22"/>
            <w:lang w:val="es"/>
          </w:rPr>
          <w:t>Canadá</w:t>
        </w:r>
      </w:hyperlink>
      <w:r>
        <w:rPr>
          <w:rFonts w:ascii="Arial" w:hAnsi="Arial" w:cs="Arial"/>
          <w:sz w:val="22"/>
          <w:szCs w:val="22"/>
          <w:lang w:val="es"/>
        </w:rPr>
        <w:t xml:space="preserve">, </w:t>
      </w:r>
      <w:hyperlink w:anchor="chil32" w:history="1">
        <w:r>
          <w:rPr>
            <w:rStyle w:val="Hyperlink"/>
            <w:rFonts w:ascii="Arial" w:hAnsi="Arial" w:cs="Arial"/>
            <w:sz w:val="22"/>
            <w:szCs w:val="22"/>
            <w:lang w:val="es"/>
          </w:rPr>
          <w:t>Chile</w:t>
        </w:r>
      </w:hyperlink>
      <w:r>
        <w:rPr>
          <w:rFonts w:ascii="Arial" w:hAnsi="Arial" w:cs="Arial"/>
          <w:sz w:val="22"/>
          <w:szCs w:val="22"/>
          <w:lang w:val="es"/>
        </w:rPr>
        <w:t xml:space="preserve">, </w:t>
      </w:r>
      <w:hyperlink w:anchor="chin32"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india32" w:history="1">
        <w:r>
          <w:rPr>
            <w:rStyle w:val="Hyperlink"/>
            <w:rFonts w:ascii="Arial" w:hAnsi="Arial" w:cs="Arial"/>
            <w:sz w:val="22"/>
            <w:szCs w:val="22"/>
            <w:lang w:val="es"/>
          </w:rPr>
          <w:t>India</w:t>
        </w:r>
      </w:hyperlink>
      <w:r>
        <w:rPr>
          <w:rFonts w:ascii="Arial" w:hAnsi="Arial" w:cs="Arial"/>
          <w:sz w:val="22"/>
          <w:szCs w:val="22"/>
          <w:lang w:val="es"/>
        </w:rPr>
        <w:t xml:space="preserve">, </w:t>
      </w:r>
      <w:hyperlink w:anchor="cot32" w:history="1">
        <w:r>
          <w:rPr>
            <w:rStyle w:val="Hyperlink"/>
            <w:rFonts w:ascii="Arial" w:hAnsi="Arial" w:cs="Arial"/>
            <w:sz w:val="22"/>
            <w:szCs w:val="22"/>
            <w:lang w:val="es"/>
          </w:rPr>
          <w:t>Costa de Marfil</w:t>
        </w:r>
      </w:hyperlink>
      <w:r>
        <w:rPr>
          <w:rFonts w:ascii="Arial" w:hAnsi="Arial" w:cs="Arial"/>
          <w:sz w:val="22"/>
          <w:szCs w:val="22"/>
          <w:lang w:val="es"/>
        </w:rPr>
        <w:t xml:space="preserve">, </w:t>
      </w:r>
      <w:hyperlink w:anchor="Jap32"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mau32" w:history="1">
        <w:r>
          <w:rPr>
            <w:rStyle w:val="Hyperlink"/>
            <w:rFonts w:ascii="Arial" w:hAnsi="Arial" w:cs="Arial"/>
            <w:sz w:val="22"/>
            <w:szCs w:val="22"/>
            <w:lang w:val="es"/>
          </w:rPr>
          <w:t>Mauricio</w:t>
        </w:r>
      </w:hyperlink>
      <w:r>
        <w:rPr>
          <w:rFonts w:ascii="Arial" w:hAnsi="Arial" w:cs="Arial"/>
          <w:sz w:val="22"/>
          <w:szCs w:val="22"/>
          <w:lang w:val="es"/>
        </w:rPr>
        <w:t xml:space="preserve">, </w:t>
      </w:r>
      <w:hyperlink w:anchor="mon32" w:history="1">
        <w:r>
          <w:rPr>
            <w:rStyle w:val="Hyperlink"/>
            <w:rFonts w:ascii="Arial" w:hAnsi="Arial" w:cs="Arial"/>
            <w:sz w:val="22"/>
            <w:szCs w:val="22"/>
            <w:lang w:val="es"/>
          </w:rPr>
          <w:t>Mónaco</w:t>
        </w:r>
      </w:hyperlink>
      <w:r>
        <w:rPr>
          <w:rFonts w:ascii="Arial" w:hAnsi="Arial" w:cs="Arial"/>
          <w:sz w:val="22"/>
          <w:szCs w:val="22"/>
          <w:lang w:val="es"/>
        </w:rPr>
        <w:t xml:space="preserve">, </w:t>
      </w:r>
      <w:hyperlink w:anchor="norw32" w:history="1">
        <w:r>
          <w:rPr>
            <w:rStyle w:val="Hyperlink"/>
            <w:rFonts w:ascii="Arial" w:hAnsi="Arial" w:cs="Arial"/>
            <w:sz w:val="22"/>
            <w:szCs w:val="22"/>
            <w:lang w:val="es"/>
          </w:rPr>
          <w:t>Noruega</w:t>
        </w:r>
      </w:hyperlink>
      <w:r>
        <w:rPr>
          <w:rFonts w:ascii="Arial" w:hAnsi="Arial" w:cs="Arial"/>
          <w:sz w:val="22"/>
          <w:szCs w:val="22"/>
          <w:lang w:val="es"/>
        </w:rPr>
        <w:t xml:space="preserve">, </w:t>
      </w:r>
      <w:hyperlink w:anchor="pana32" w:history="1">
        <w:r>
          <w:rPr>
            <w:rStyle w:val="Hyperlink"/>
            <w:rFonts w:ascii="Arial" w:hAnsi="Arial" w:cs="Arial"/>
            <w:sz w:val="22"/>
            <w:szCs w:val="22"/>
            <w:lang w:val="es"/>
          </w:rPr>
          <w:t>Panamá</w:t>
        </w:r>
      </w:hyperlink>
      <w:r>
        <w:rPr>
          <w:rFonts w:ascii="Arial" w:hAnsi="Arial" w:cs="Arial"/>
          <w:sz w:val="22"/>
          <w:szCs w:val="22"/>
          <w:lang w:val="es"/>
        </w:rPr>
        <w:t xml:space="preserve">, </w:t>
      </w:r>
      <w:hyperlink w:anchor="port32" w:history="1">
        <w:r>
          <w:rPr>
            <w:rStyle w:val="Hyperlink"/>
            <w:rFonts w:ascii="Arial" w:hAnsi="Arial" w:cs="Arial"/>
            <w:sz w:val="22"/>
            <w:szCs w:val="22"/>
            <w:lang w:val="es"/>
          </w:rPr>
          <w:t>Portugal</w:t>
        </w:r>
      </w:hyperlink>
      <w:r>
        <w:rPr>
          <w:rFonts w:ascii="Arial" w:hAnsi="Arial" w:cs="Arial"/>
          <w:sz w:val="22"/>
          <w:szCs w:val="22"/>
          <w:lang w:val="es"/>
        </w:rPr>
        <w:t xml:space="preserve">, </w:t>
      </w:r>
      <w:hyperlink w:anchor="rok32" w:history="1">
        <w:r>
          <w:rPr>
            <w:rStyle w:val="Hyperlink"/>
            <w:rFonts w:ascii="Arial" w:hAnsi="Arial" w:cs="Arial"/>
            <w:sz w:val="22"/>
            <w:szCs w:val="22"/>
            <w:lang w:val="es"/>
          </w:rPr>
          <w:t>República de Corea</w:t>
        </w:r>
      </w:hyperlink>
      <w:r>
        <w:rPr>
          <w:rFonts w:ascii="Arial" w:hAnsi="Arial" w:cs="Arial"/>
          <w:sz w:val="22"/>
          <w:szCs w:val="22"/>
          <w:lang w:val="es"/>
        </w:rPr>
        <w:t xml:space="preserve">, </w:t>
      </w:r>
      <w:hyperlink w:anchor="rus32"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pain32" w:history="1">
        <w:r>
          <w:rPr>
            <w:rStyle w:val="Hyperlink"/>
            <w:rFonts w:ascii="Arial" w:hAnsi="Arial" w:cs="Arial"/>
            <w:sz w:val="22"/>
            <w:szCs w:val="22"/>
            <w:lang w:val="es"/>
          </w:rPr>
          <w:t>Sudáfrica</w:t>
        </w:r>
      </w:hyperlink>
      <w:r>
        <w:rPr>
          <w:rFonts w:ascii="Arial" w:hAnsi="Arial" w:cs="Arial"/>
          <w:sz w:val="22"/>
          <w:szCs w:val="22"/>
          <w:lang w:val="es"/>
        </w:rPr>
        <w:t xml:space="preserve">, </w:t>
      </w:r>
      <w:hyperlink w:anchor="spain32"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thai32" w:history="1">
        <w:r>
          <w:rPr>
            <w:rStyle w:val="Hyperlink"/>
            <w:rFonts w:ascii="Arial" w:hAnsi="Arial" w:cs="Arial"/>
            <w:sz w:val="22"/>
            <w:szCs w:val="22"/>
            <w:lang w:val="es"/>
          </w:rPr>
          <w:t>Tailandia</w:t>
        </w:r>
      </w:hyperlink>
      <w:r>
        <w:rPr>
          <w:rFonts w:ascii="Arial" w:hAnsi="Arial" w:cs="Arial"/>
          <w:sz w:val="22"/>
          <w:szCs w:val="22"/>
          <w:lang w:val="es"/>
        </w:rPr>
        <w:t xml:space="preserve">, </w:t>
      </w:r>
      <w:hyperlink w:anchor="uk32" w:history="1">
        <w:r>
          <w:rPr>
            <w:rStyle w:val="Hyperlink"/>
            <w:rFonts w:ascii="Arial" w:hAnsi="Arial" w:cs="Arial"/>
            <w:sz w:val="22"/>
            <w:szCs w:val="22"/>
            <w:lang w:val="es"/>
          </w:rPr>
          <w:t>Reino Unido de Gran Bretaña e Irlanda del Norte</w:t>
        </w:r>
      </w:hyperlink>
      <w:r>
        <w:rPr>
          <w:rFonts w:ascii="Arial" w:hAnsi="Arial" w:cs="Arial"/>
          <w:sz w:val="22"/>
          <w:szCs w:val="22"/>
          <w:lang w:val="es"/>
        </w:rPr>
        <w:t xml:space="preserve">, </w:t>
      </w:r>
      <w:hyperlink w:anchor="us32" w:history="1">
        <w:r>
          <w:rPr>
            <w:rStyle w:val="Hyperlink"/>
            <w:rFonts w:ascii="Arial" w:hAnsi="Arial" w:cs="Arial"/>
            <w:sz w:val="22"/>
            <w:szCs w:val="22"/>
            <w:lang w:val="es"/>
          </w:rPr>
          <w:t>Estados Unidos de América</w:t>
        </w:r>
      </w:hyperlink>
      <w:r>
        <w:rPr>
          <w:rFonts w:ascii="Arial" w:hAnsi="Arial" w:cs="Arial"/>
          <w:sz w:val="22"/>
          <w:szCs w:val="22"/>
          <w:lang w:val="es"/>
        </w:rPr>
        <w:t xml:space="preserve">, </w:t>
      </w:r>
      <w:hyperlink w:anchor="vn32" w:history="1">
        <w:r>
          <w:rPr>
            <w:rStyle w:val="Hyperlink"/>
            <w:rFonts w:ascii="Arial" w:hAnsi="Arial" w:cs="Arial"/>
            <w:sz w:val="22"/>
            <w:szCs w:val="22"/>
            <w:lang w:val="es"/>
          </w:rPr>
          <w:t>Vietnam</w:t>
        </w:r>
      </w:hyperlink>
      <w:r>
        <w:rPr>
          <w:rFonts w:ascii="Arial" w:hAnsi="Arial" w:cs="Arial"/>
          <w:sz w:val="22"/>
          <w:szCs w:val="22"/>
          <w:lang w:val="es"/>
        </w:rPr>
        <w:t>.</w:t>
      </w:r>
    </w:p>
    <w:p w14:paraId="26A9EB78" w14:textId="01E7B050" w:rsidR="008158AA" w:rsidRPr="006C41C4" w:rsidRDefault="008158AA" w:rsidP="00547D9B">
      <w:pPr>
        <w:pStyle w:val="ListParagraph1"/>
        <w:widowControl/>
        <w:numPr>
          <w:ilvl w:val="0"/>
          <w:numId w:val="8"/>
        </w:numPr>
        <w:tabs>
          <w:tab w:val="left" w:pos="851"/>
        </w:tabs>
        <w:snapToGrid w:val="0"/>
        <w:spacing w:after="360"/>
        <w:ind w:left="0" w:firstLine="0"/>
        <w:contextualSpacing w:val="0"/>
        <w:rPr>
          <w:sz w:val="22"/>
          <w:szCs w:val="22"/>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A-33/3.2</w:t>
      </w:r>
      <w:r>
        <w:rPr>
          <w:rFonts w:asciiTheme="minorBidi" w:hAnsiTheme="minorBidi" w:cstheme="minorBidi"/>
          <w:sz w:val="22"/>
          <w:szCs w:val="22"/>
          <w:lang w:val="es"/>
        </w:rPr>
        <w:t>.</w:t>
      </w:r>
    </w:p>
    <w:p w14:paraId="617FC569" w14:textId="51A0D5F4" w:rsidR="00DF2EE7" w:rsidRPr="006C41C4" w:rsidRDefault="00EB3D92" w:rsidP="00547D9B">
      <w:pPr>
        <w:pStyle w:val="Heading2"/>
        <w:numPr>
          <w:ilvl w:val="1"/>
          <w:numId w:val="9"/>
        </w:numPr>
        <w:tabs>
          <w:tab w:val="clear" w:pos="737"/>
        </w:tabs>
        <w:ind w:left="851" w:hanging="851"/>
        <w:rPr>
          <w:sz w:val="20"/>
          <w:szCs w:val="20"/>
          <w:lang w:val="es-ES"/>
        </w:rPr>
      </w:pPr>
      <w:bookmarkStart w:id="127" w:name="_Toc531253825"/>
      <w:bookmarkStart w:id="128" w:name="_Toc2766656"/>
      <w:bookmarkStart w:id="129" w:name="_Toc67920988"/>
      <w:bookmarkStart w:id="130" w:name="_Toc68180553"/>
      <w:bookmarkStart w:id="131" w:name="_Toc131777743"/>
      <w:bookmarkStart w:id="132" w:name="_Toc134002192"/>
      <w:bookmarkStart w:id="133" w:name="_Toc134002368"/>
      <w:bookmarkStart w:id="134" w:name="_Toc190766973"/>
      <w:bookmarkStart w:id="135" w:name="_Toc197955108"/>
      <w:bookmarkStart w:id="136" w:name="_Toc212133506"/>
      <w:r>
        <w:rPr>
          <w:bCs w:val="0"/>
          <w:lang w:val="es"/>
        </w:rPr>
        <w:lastRenderedPageBreak/>
        <w:t>INFORMES DE LAS SUBCOMISIONES Y LOS COMITÉS REGIONALES DE LA COI</w:t>
      </w:r>
      <w:bookmarkEnd w:id="127"/>
      <w:bookmarkEnd w:id="128"/>
      <w:bookmarkEnd w:id="129"/>
      <w:bookmarkEnd w:id="130"/>
      <w:bookmarkEnd w:id="131"/>
      <w:bookmarkEnd w:id="132"/>
      <w:bookmarkEnd w:id="133"/>
      <w:bookmarkEnd w:id="134"/>
      <w:bookmarkEnd w:id="135"/>
      <w:bookmarkEnd w:id="136"/>
    </w:p>
    <w:p w14:paraId="7DC53391" w14:textId="7ED64A3C" w:rsidR="00EB3D92" w:rsidRPr="006C41C4" w:rsidRDefault="002F5C5D" w:rsidP="00547D9B">
      <w:pPr>
        <w:pStyle w:val="Heading3"/>
        <w:numPr>
          <w:ilvl w:val="2"/>
          <w:numId w:val="20"/>
        </w:numPr>
        <w:tabs>
          <w:tab w:val="clear" w:pos="709"/>
        </w:tabs>
        <w:ind w:left="851" w:hanging="851"/>
        <w:rPr>
          <w:b/>
          <w:lang w:val="es-ES"/>
        </w:rPr>
      </w:pPr>
      <w:bookmarkStart w:id="137" w:name="_Toc190766974"/>
      <w:bookmarkStart w:id="138" w:name="_Toc197955109"/>
      <w:bookmarkStart w:id="139" w:name="_Toc212133507"/>
      <w:bookmarkStart w:id="140" w:name="_Hlk200647811"/>
      <w:bookmarkStart w:id="141" w:name="_Hlk136008494"/>
      <w:r>
        <w:rPr>
          <w:b/>
          <w:lang w:val="es"/>
        </w:rPr>
        <w:t xml:space="preserve">Subcomisión de la COI para África y los Estados Insulares Adyacentes: </w:t>
      </w:r>
      <w:r>
        <w:rPr>
          <w:bCs w:val="0"/>
          <w:lang w:val="es"/>
        </w:rPr>
        <w:br/>
      </w:r>
      <w:r>
        <w:rPr>
          <w:b/>
          <w:lang w:val="es"/>
        </w:rPr>
        <w:t xml:space="preserve">8ª reunión de IOCAFRICA, </w:t>
      </w:r>
      <w:bookmarkEnd w:id="137"/>
      <w:proofErr w:type="spellStart"/>
      <w:r>
        <w:rPr>
          <w:b/>
          <w:lang w:val="es"/>
        </w:rPr>
        <w:t>Mombasa</w:t>
      </w:r>
      <w:proofErr w:type="spellEnd"/>
      <w:r>
        <w:rPr>
          <w:b/>
          <w:lang w:val="es"/>
        </w:rPr>
        <w:t>, Kenia, 7-9 de mayo de 2025</w:t>
      </w:r>
      <w:bookmarkEnd w:id="138"/>
      <w:bookmarkEnd w:id="139"/>
    </w:p>
    <w:p w14:paraId="5038428B" w14:textId="4517AC16" w:rsidR="00EB3D92" w:rsidRPr="006C41C4" w:rsidRDefault="00401E9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bookmarkStart w:id="142" w:name="_Hlk132801645"/>
      <w:r>
        <w:rPr>
          <w:rFonts w:ascii="Arial" w:hAnsi="Arial" w:cs="Arial"/>
          <w:sz w:val="22"/>
          <w:szCs w:val="22"/>
          <w:lang w:val="es"/>
        </w:rPr>
        <w:t xml:space="preserve">El recién elegido </w:t>
      </w:r>
      <w:proofErr w:type="gramStart"/>
      <w:r>
        <w:rPr>
          <w:rFonts w:ascii="Arial" w:hAnsi="Arial" w:cs="Arial"/>
          <w:sz w:val="22"/>
          <w:szCs w:val="22"/>
          <w:lang w:val="es"/>
        </w:rPr>
        <w:t>Presidente</w:t>
      </w:r>
      <w:proofErr w:type="gramEnd"/>
      <w:r>
        <w:rPr>
          <w:rFonts w:ascii="Arial" w:hAnsi="Arial" w:cs="Arial"/>
          <w:sz w:val="22"/>
          <w:szCs w:val="22"/>
          <w:lang w:val="es"/>
        </w:rPr>
        <w:t xml:space="preserve"> de IOCAFRICA, Emb. Hellen Gichuhi (Kenia), presentó una visión general de las actividades llevadas a cabo por la Subcomisión durante el periodo entre reuniones de 2023 a 2025 e informó sobre los principales resultados de la reunión intergubernamental, remitiéndose al informe de la 8</w:t>
      </w:r>
      <w:r>
        <w:rPr>
          <w:rFonts w:ascii="Arial" w:hAnsi="Arial" w:cs="Arial"/>
          <w:sz w:val="22"/>
          <w:szCs w:val="22"/>
          <w:vertAlign w:val="superscript"/>
          <w:lang w:val="es"/>
        </w:rPr>
        <w:t>ª</w:t>
      </w:r>
      <w:r>
        <w:rPr>
          <w:rFonts w:ascii="Arial" w:hAnsi="Arial" w:cs="Arial"/>
          <w:sz w:val="22"/>
          <w:szCs w:val="22"/>
          <w:lang w:val="es"/>
        </w:rPr>
        <w:t xml:space="preserve"> reunión de IOCAFRICA para más detalles.</w:t>
      </w:r>
      <w:bookmarkEnd w:id="142"/>
    </w:p>
    <w:p w14:paraId="189AFF2D" w14:textId="29830C8D" w:rsidR="00111321" w:rsidRPr="006C41C4" w:rsidRDefault="00FA6BE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informe de la embajadora Monica Gichuhi sobre el periodo intersectorial abarca varios ámbitos de acción que contribuyen al desarrollo de mecanismos de cooperación en ciencias oceánicas, y varias asociaciones y plataformas en materia de observaciones oceánicas, datos e información sobre los océanos, repercusiones del cambio climático y evaluación de la vulnerabilidad de los ecosistemas costeros africanos conexos, planificación del espacio marino y desarrollo de capacidades, mostrando las mejores prácticas de </w:t>
      </w:r>
      <w:proofErr w:type="spellStart"/>
      <w:r>
        <w:rPr>
          <w:rFonts w:ascii="Arial" w:hAnsi="Arial" w:cs="Arial"/>
          <w:sz w:val="22"/>
          <w:szCs w:val="22"/>
          <w:lang w:val="es"/>
        </w:rPr>
        <w:t>codiseño</w:t>
      </w:r>
      <w:proofErr w:type="spellEnd"/>
      <w:r>
        <w:rPr>
          <w:rFonts w:ascii="Arial" w:hAnsi="Arial" w:cs="Arial"/>
          <w:sz w:val="22"/>
          <w:szCs w:val="22"/>
          <w:lang w:val="es"/>
        </w:rPr>
        <w:t xml:space="preserve"> en la interfaz ciencia-política-sociedad. La Subcomisión se ocupa de la infraestructura material, como sensores y centros de datos, pero también de la diplomacia y la configuración de la narrativa, para establecer la agenda oceánica de África dentro de marcos globales como la CMNUCC, el séptimo Informe de Evaluación del IPCC, la Estrategia de Economía Azul de la Unión Africana, el ODS14 y la Conferencia de las Naciones Unidas sobre los Océanos, y el Decenio de las Naciones Unidas de las Ciencias Oceánicas para el Desarrollo Sostenible (2021-2030). </w:t>
      </w:r>
    </w:p>
    <w:p w14:paraId="35DA3BFA" w14:textId="079070E0" w:rsidR="00FA6BE0" w:rsidRPr="006C41C4" w:rsidRDefault="004D47E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su calidad de anfitriona de la Oficina de Coordinación del Decenio del Océano para la región, la Secretaría de IOCAFRICA facilita la coordinación regional de las actividades del Decenio mediante un nuevo programa de Ciencia y Conocimiento para una Economía Oceánica Sostenible y Resiliente en África (programa SEAWARD), mejorando los sistemas de observación y vigilancia de los océanos mediante la colaboración GOOS-África, ampliando la alerta temprana y la preparación para los peligros, impulsando iniciativas de creación de capacidades para instituciones y profesionales en todos los Estados Miembros, el apoyo a los profesionales de los océanos que inician su carrera para que participen en actividades de formación, investigación y colaboración internacional, la promoción de iniciativas sobre las ciencias oceánicas y el cambio climático, el fortalecimiento de los conocimientos básicos sobre los océanos mediante actividades de divulgación y educación específicas, el fomento de asociaciones intersectoriales para promover la sostenibilidad de los océanos y la economía azul en África, y el fomento de la integración de la ciencia y las políticas mediante diálogos de alto nivel. El </w:t>
      </w:r>
      <w:proofErr w:type="gramStart"/>
      <w:r>
        <w:rPr>
          <w:rFonts w:ascii="Arial" w:hAnsi="Arial" w:cs="Arial"/>
          <w:sz w:val="22"/>
          <w:szCs w:val="22"/>
          <w:lang w:val="es"/>
        </w:rPr>
        <w:t>Presidente</w:t>
      </w:r>
      <w:proofErr w:type="gramEnd"/>
      <w:r>
        <w:rPr>
          <w:rFonts w:ascii="Arial" w:hAnsi="Arial" w:cs="Arial"/>
          <w:sz w:val="22"/>
          <w:szCs w:val="22"/>
          <w:lang w:val="es"/>
        </w:rPr>
        <w:t xml:space="preserve"> de IOCAFRICA informó de la creación de cinco nuevos Comités Nacionales del Decenio, lo que eleva a ocho el número total de CND activos en la región. </w:t>
      </w:r>
    </w:p>
    <w:p w14:paraId="421684DD" w14:textId="290C384D" w:rsidR="00111321" w:rsidRPr="006C41C4" w:rsidRDefault="004C13E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opinión del </w:t>
      </w:r>
      <w:proofErr w:type="gramStart"/>
      <w:r>
        <w:rPr>
          <w:rFonts w:ascii="Arial" w:hAnsi="Arial" w:cs="Arial"/>
          <w:sz w:val="22"/>
          <w:szCs w:val="22"/>
          <w:lang w:val="es"/>
        </w:rPr>
        <w:t>Presidente</w:t>
      </w:r>
      <w:proofErr w:type="gramEnd"/>
      <w:r>
        <w:rPr>
          <w:rFonts w:ascii="Arial" w:hAnsi="Arial" w:cs="Arial"/>
          <w:sz w:val="22"/>
          <w:szCs w:val="22"/>
          <w:lang w:val="es"/>
        </w:rPr>
        <w:t xml:space="preserve">, el reto consiste en traducir esta orquestación en beneficios tangibles (acceso a datos, formación, mejores prácticas, mejora de los medios de subsistencia costeros) y en una resiliencia y prosperidad mensurables para los más de 100 millones de ciudadanos costeros del continente. Para ello, la embajadora Gichuhi, pidió el refuerzo de la capacidad de la Secretaría y una financiación sostenible, detallada en </w:t>
      </w:r>
      <w:hyperlink r:id="rId23" w:history="1">
        <w:r>
          <w:rPr>
            <w:rStyle w:val="Hyperlink"/>
            <w:rFonts w:ascii="Arial" w:hAnsi="Arial" w:cs="Arial"/>
            <w:sz w:val="22"/>
            <w:szCs w:val="22"/>
            <w:lang w:val="es"/>
          </w:rPr>
          <w:t>IOCAFRICA-VIII/3s</w:t>
        </w:r>
      </w:hyperlink>
      <w:r>
        <w:rPr>
          <w:rFonts w:ascii="Arial" w:hAnsi="Arial" w:cs="Arial"/>
          <w:sz w:val="22"/>
          <w:szCs w:val="22"/>
          <w:lang w:val="es"/>
        </w:rPr>
        <w:t xml:space="preserve">. </w:t>
      </w:r>
    </w:p>
    <w:p w14:paraId="6FC6FD98" w14:textId="03E182AB" w:rsidR="00AC57FA" w:rsidRPr="006C41C4"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embajadora Gichuhi informó a la Asamblea de que la octava reunión de la Subcomisión de la COI para África y los Estados Insulares Adyacentes, celebrada en </w:t>
      </w:r>
      <w:proofErr w:type="spellStart"/>
      <w:r>
        <w:rPr>
          <w:rFonts w:ascii="Arial" w:hAnsi="Arial" w:cs="Arial"/>
          <w:sz w:val="22"/>
          <w:szCs w:val="22"/>
          <w:lang w:val="es"/>
        </w:rPr>
        <w:t>Mombasa</w:t>
      </w:r>
      <w:proofErr w:type="spellEnd"/>
      <w:r>
        <w:rPr>
          <w:rFonts w:ascii="Arial" w:hAnsi="Arial" w:cs="Arial"/>
          <w:sz w:val="22"/>
          <w:szCs w:val="22"/>
          <w:lang w:val="es"/>
        </w:rPr>
        <w:t xml:space="preserve"> del 7 al 9 de mayo de 2025, concluyó con la adopción de siete decisiones estratégicas y siete recomendaciones de apoyo que orientarán la labor de IOCAFRICA durante el periodo entre reuniones 2026-2027. Estos resultados, señaló, reflejan la ambición de la Subcomisión de acelerar las ciencias oceánicas regionales, los sistemas de datos, las capacidades de alerta temprana y el desarrollo institucional, en consonancia con la Estrategia a Plazo Medio de la COI y la hoja de ruta del Decenio del Océano de África.</w:t>
      </w:r>
    </w:p>
    <w:p w14:paraId="3FFB97B2" w14:textId="60EE9069" w:rsidR="00AC57FA" w:rsidRPr="006C41C4"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Destacó la adopción de decisiones sobre la creación del Grupo de Trabajo de Datos e Información Oceanográficos de África, el Grupo de Trabajo Océano-Clima de IOCAFRICA y la </w:t>
      </w:r>
      <w:r>
        <w:rPr>
          <w:rFonts w:ascii="Arial" w:hAnsi="Arial" w:cs="Arial"/>
          <w:sz w:val="22"/>
          <w:szCs w:val="22"/>
          <w:lang w:val="es"/>
        </w:rPr>
        <w:lastRenderedPageBreak/>
        <w:t>revitalización del Grupo de Expertos de IOCAFRICA sobre Floraciones de Algas Nocivas. La Subcomisión también adoptó decisiones de apoyo al desarrollo de un Sistema de Alerta Temprana sobre los Océanos para África, la acogida de la Comunidad Africana de Prácticas de las Cuentas Mundiales de los Océanos, la promoción de planes y estrategias nacionales de ciencias oceánicas y la creación de un Plan Permanente de Desarrollo de Capacidades Oceánicas.</w:t>
      </w:r>
    </w:p>
    <w:p w14:paraId="31F75BA9" w14:textId="54D8A003" w:rsidR="00AC57FA" w:rsidRPr="006C41C4"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apoyo de la ejecución del programa, la Subcomisión aprobó las recomendaciones relativas al Proyecto de Programa y Presupuesto para 2026-2027, así como la elaboración de planes de trabajo detallados en cuatro pilares básicos: observaciones y vigilancia de los océanos, ciencias oceánicas, biodiversidad y evaluaciones, gestión de datos e información oceanográficos, y desarrollo de capacidades, asociaciones y movilización de recursos, y </w:t>
      </w:r>
      <w:r>
        <w:rPr>
          <w:rFonts w:ascii="Arial" w:hAnsi="Arial" w:cs="Arial"/>
          <w:color w:val="212121"/>
          <w:sz w:val="22"/>
          <w:szCs w:val="22"/>
          <w:lang w:val="es"/>
        </w:rPr>
        <w:t>el plan de trabajo general para 2026-2027 en la Recomendación IOCAFRICA-VIII/5.2</w:t>
      </w:r>
      <w:r>
        <w:rPr>
          <w:rFonts w:ascii="Arial" w:hAnsi="Arial" w:cs="Arial"/>
          <w:sz w:val="22"/>
          <w:szCs w:val="22"/>
          <w:lang w:val="es"/>
        </w:rPr>
        <w:t xml:space="preserve">. </w:t>
      </w:r>
    </w:p>
    <w:p w14:paraId="318A15C1" w14:textId="157F7C38" w:rsidR="00E731F3" w:rsidRPr="006C41C4"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Reconociendo los limitados recursos del Programa Ordinario disponibles para la ejecución de estas prioridades, la embajadora Gichuhi instó a los Estados Miembros de la COI a aumentar las contribuciones extrapresupuestarias y el apoyo en especie, teniendo en cuenta el plan de trabajo propuesto. </w:t>
      </w:r>
    </w:p>
    <w:p w14:paraId="15C50649" w14:textId="56CD1DC0" w:rsidR="00401E98" w:rsidRPr="006C41C4" w:rsidRDefault="00401E9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reunión contó con 67 participantes en representación de 13 Estados Miembros de IOCAFRICA y 16 organizaciones regionales e internacionales. A continuación, el </w:t>
      </w:r>
      <w:proofErr w:type="gramStart"/>
      <w:r>
        <w:rPr>
          <w:rFonts w:ascii="Arial" w:hAnsi="Arial" w:cs="Arial"/>
          <w:sz w:val="22"/>
          <w:szCs w:val="22"/>
          <w:lang w:val="es"/>
        </w:rPr>
        <w:t>Presidente</w:t>
      </w:r>
      <w:proofErr w:type="gramEnd"/>
      <w:r>
        <w:rPr>
          <w:rFonts w:ascii="Arial" w:hAnsi="Arial" w:cs="Arial"/>
          <w:sz w:val="22"/>
          <w:szCs w:val="22"/>
          <w:lang w:val="es"/>
        </w:rPr>
        <w:t xml:space="preserve"> de IOCAFRICA presentó a los tres nuevos vicepresidentes de la Subcomisión: Dr. Bope </w:t>
      </w:r>
      <w:proofErr w:type="spellStart"/>
      <w:r>
        <w:rPr>
          <w:rFonts w:ascii="Arial" w:hAnsi="Arial" w:cs="Arial"/>
          <w:sz w:val="22"/>
          <w:szCs w:val="22"/>
          <w:lang w:val="es"/>
        </w:rPr>
        <w:t>Bope</w:t>
      </w:r>
      <w:proofErr w:type="spellEnd"/>
      <w:r>
        <w:rPr>
          <w:rFonts w:ascii="Arial" w:hAnsi="Arial" w:cs="Arial"/>
          <w:sz w:val="22"/>
          <w:szCs w:val="22"/>
          <w:lang w:val="es"/>
        </w:rPr>
        <w:t xml:space="preserve"> Lapwong (República Democrática del Congo), Dr. Gilbert </w:t>
      </w:r>
      <w:proofErr w:type="spellStart"/>
      <w:r>
        <w:rPr>
          <w:rFonts w:ascii="Arial" w:hAnsi="Arial" w:cs="Arial"/>
          <w:sz w:val="22"/>
          <w:szCs w:val="22"/>
          <w:lang w:val="es"/>
        </w:rPr>
        <w:t>Siko</w:t>
      </w:r>
      <w:proofErr w:type="spellEnd"/>
      <w:r>
        <w:rPr>
          <w:rFonts w:ascii="Arial" w:hAnsi="Arial" w:cs="Arial"/>
          <w:sz w:val="22"/>
          <w:szCs w:val="22"/>
          <w:lang w:val="es"/>
        </w:rPr>
        <w:t xml:space="preserve"> (Sudáfrica) y Dr. Massata </w:t>
      </w:r>
      <w:proofErr w:type="spellStart"/>
      <w:r>
        <w:rPr>
          <w:rFonts w:ascii="Arial" w:hAnsi="Arial" w:cs="Arial"/>
          <w:sz w:val="22"/>
          <w:szCs w:val="22"/>
          <w:lang w:val="es"/>
        </w:rPr>
        <w:t>Ndao</w:t>
      </w:r>
      <w:proofErr w:type="spellEnd"/>
      <w:r>
        <w:rPr>
          <w:rFonts w:ascii="Arial" w:hAnsi="Arial" w:cs="Arial"/>
          <w:sz w:val="22"/>
          <w:szCs w:val="22"/>
          <w:lang w:val="es"/>
        </w:rPr>
        <w:t xml:space="preserve"> (Senegal). </w:t>
      </w:r>
    </w:p>
    <w:p w14:paraId="03607C47" w14:textId="5FBE359C" w:rsidR="00F03FF4" w:rsidRPr="006C41C4" w:rsidRDefault="00F03FF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Tomaron la palabra los representantes de 15 Estados Miembros.</w:t>
      </w:r>
    </w:p>
    <w:p w14:paraId="20F3E15E" w14:textId="77777777" w:rsidR="008F3821" w:rsidRPr="006C41C4"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Varios Estados Miembros informaron sobre programas nacionales y esfuerzos de colaboración que complementan los objetivos de IOCAFRICA. Entre ellos figuran iniciativas de larga duración centradas en los sistemas de datos oceanográficos, la vigilancia ecológica, el desarrollo de la economía azul y la creación de capacidades, desde la identificación y gestión de especies marinas invasoras hasta el desarrollo de bases de datos marinas de libre acceso y la participación en plataformas de investigación transfronterizas. Algunos países reafirmaron su intención de migrar y mantener herramientas y portales de datos regionales, haciendo avanzar aún más la ciencia marina al servicio de la comunidad en general.</w:t>
      </w:r>
    </w:p>
    <w:p w14:paraId="3ADB27F3" w14:textId="77777777" w:rsidR="008F3821" w:rsidRPr="006C41C4"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Se </w:t>
      </w:r>
      <w:proofErr w:type="gramStart"/>
      <w:r>
        <w:rPr>
          <w:rFonts w:ascii="Arial" w:hAnsi="Arial" w:cs="Arial"/>
          <w:sz w:val="22"/>
          <w:szCs w:val="22"/>
          <w:lang w:val="es"/>
        </w:rPr>
        <w:t>hizo especial hincapié</w:t>
      </w:r>
      <w:proofErr w:type="gramEnd"/>
      <w:r>
        <w:rPr>
          <w:rFonts w:ascii="Arial" w:hAnsi="Arial" w:cs="Arial"/>
          <w:sz w:val="22"/>
          <w:szCs w:val="22"/>
          <w:lang w:val="es"/>
        </w:rPr>
        <w:t xml:space="preserve"> en el intercambio de conocimientos y la cooperación técnica, y los países manifestaron su interés por compartir experiencias en oceanografía operacional, sistemas de alerta temprana, previsiones oceánicas y tecnología marina. Se subrayó con frecuencia la importancia de la formación conjunta, la transferencia de tecnología y los acuerdos de hermanamiento institucional con centros africanos, junto con la necesidad de acelerar el despliegue de herramientas digitales y estrategias de adaptación al clima en toda la región.</w:t>
      </w:r>
    </w:p>
    <w:p w14:paraId="3023428C" w14:textId="0498756A" w:rsidR="008F3821" w:rsidRPr="006C41C4"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Las delegaciones también se refirieron al papel vital que desempeña IOCAFRICA en el apoyo a los profesionales que inician su carrera, la mejora de la alfabetización oceánica y el acceso equitativo al aprendizaje y la participación.</w:t>
      </w:r>
    </w:p>
    <w:p w14:paraId="1BC2E4EF" w14:textId="2F225AA2" w:rsidR="008F3821" w:rsidRPr="006C41C4"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sus observaciones, muchos Estados Miembros reconocieron los retos actuales relacionados con las limitaciones de personal y presupuesto de la Secretaría de IOCAFRICA. En esta línea, Kenia presentó el Proyecto de Resolución propuesto en este punto titulado </w:t>
      </w:r>
      <w:r>
        <w:rPr>
          <w:rFonts w:ascii="Arial" w:hAnsi="Arial" w:cs="Arial"/>
          <w:i/>
          <w:iCs/>
          <w:sz w:val="22"/>
          <w:szCs w:val="22"/>
          <w:lang w:val="es"/>
        </w:rPr>
        <w:t>“</w:t>
      </w:r>
      <w:proofErr w:type="spellStart"/>
      <w:r>
        <w:rPr>
          <w:rFonts w:ascii="Arial" w:hAnsi="Arial" w:cs="Arial"/>
          <w:i/>
          <w:iCs/>
          <w:sz w:val="22"/>
          <w:szCs w:val="22"/>
          <w:lang w:val="es"/>
        </w:rPr>
        <w:t>Strengthening</w:t>
      </w:r>
      <w:proofErr w:type="spellEnd"/>
      <w:r>
        <w:rPr>
          <w:rFonts w:ascii="Arial" w:hAnsi="Arial" w:cs="Arial"/>
          <w:i/>
          <w:iCs/>
          <w:sz w:val="22"/>
          <w:szCs w:val="22"/>
          <w:lang w:val="es"/>
        </w:rPr>
        <w:t xml:space="preserve"> the IOCAFRICA Secretariat: A </w:t>
      </w:r>
      <w:proofErr w:type="spellStart"/>
      <w:r>
        <w:rPr>
          <w:rFonts w:ascii="Arial" w:hAnsi="Arial" w:cs="Arial"/>
          <w:i/>
          <w:iCs/>
          <w:sz w:val="22"/>
          <w:szCs w:val="22"/>
          <w:lang w:val="es"/>
        </w:rPr>
        <w:t>Strategic</w:t>
      </w:r>
      <w:proofErr w:type="spellEnd"/>
      <w:r>
        <w:rPr>
          <w:rFonts w:ascii="Arial" w:hAnsi="Arial" w:cs="Arial"/>
          <w:i/>
          <w:iCs/>
          <w:sz w:val="22"/>
          <w:szCs w:val="22"/>
          <w:lang w:val="es"/>
        </w:rPr>
        <w:t xml:space="preserve"> Imperative for </w:t>
      </w:r>
      <w:proofErr w:type="spellStart"/>
      <w:r>
        <w:rPr>
          <w:rFonts w:ascii="Arial" w:hAnsi="Arial" w:cs="Arial"/>
          <w:i/>
          <w:iCs/>
          <w:sz w:val="22"/>
          <w:szCs w:val="22"/>
          <w:lang w:val="es"/>
        </w:rPr>
        <w:t>Advancing</w:t>
      </w:r>
      <w:proofErr w:type="spellEnd"/>
      <w:r>
        <w:rPr>
          <w:rFonts w:ascii="Arial" w:hAnsi="Arial" w:cs="Arial"/>
          <w:i/>
          <w:iCs/>
          <w:sz w:val="22"/>
          <w:szCs w:val="22"/>
          <w:lang w:val="es"/>
        </w:rPr>
        <w:t xml:space="preserve"> Ocean Science and </w:t>
      </w:r>
      <w:proofErr w:type="spellStart"/>
      <w:r>
        <w:rPr>
          <w:rFonts w:ascii="Arial" w:hAnsi="Arial" w:cs="Arial"/>
          <w:i/>
          <w:iCs/>
          <w:sz w:val="22"/>
          <w:szCs w:val="22"/>
          <w:lang w:val="es"/>
        </w:rPr>
        <w:t>Governance</w:t>
      </w:r>
      <w:proofErr w:type="spellEnd"/>
      <w:r>
        <w:rPr>
          <w:rFonts w:ascii="Arial" w:hAnsi="Arial" w:cs="Arial"/>
          <w:i/>
          <w:iCs/>
          <w:sz w:val="22"/>
          <w:szCs w:val="22"/>
          <w:lang w:val="es"/>
        </w:rPr>
        <w:t xml:space="preserve"> in </w:t>
      </w:r>
      <w:proofErr w:type="spellStart"/>
      <w:r>
        <w:rPr>
          <w:rFonts w:ascii="Arial" w:hAnsi="Arial" w:cs="Arial"/>
          <w:i/>
          <w:iCs/>
          <w:sz w:val="22"/>
          <w:szCs w:val="22"/>
          <w:lang w:val="es"/>
        </w:rPr>
        <w:t>Africa</w:t>
      </w:r>
      <w:proofErr w:type="spellEnd"/>
      <w:r>
        <w:rPr>
          <w:rFonts w:ascii="Arial" w:hAnsi="Arial" w:cs="Arial"/>
          <w:sz w:val="22"/>
          <w:szCs w:val="22"/>
          <w:lang w:val="es"/>
        </w:rPr>
        <w:t>" antes de su examen por el Comité de Finanzas y el Comité de Resoluciones.</w:t>
      </w:r>
    </w:p>
    <w:bookmarkEnd w:id="140"/>
    <w:p w14:paraId="39911DF5" w14:textId="1F1B9E48" w:rsidR="00EB3D92" w:rsidRPr="006C41C4" w:rsidRDefault="00EB3D92"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han optado por dejar constancia de su intervención en el pleno sobre este punto del orden del día para el anexo informativo del informe de la reunión: </w:t>
      </w:r>
      <w:hyperlink w:anchor="china331"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cot331" w:history="1">
        <w:r>
          <w:rPr>
            <w:rStyle w:val="Hyperlink"/>
            <w:rFonts w:ascii="Arial" w:hAnsi="Arial" w:cs="Arial"/>
            <w:sz w:val="22"/>
            <w:szCs w:val="22"/>
            <w:lang w:val="es"/>
          </w:rPr>
          <w:t>Costa de Marfil</w:t>
        </w:r>
      </w:hyperlink>
      <w:r>
        <w:rPr>
          <w:rFonts w:ascii="Arial" w:hAnsi="Arial" w:cs="Arial"/>
          <w:sz w:val="22"/>
          <w:szCs w:val="22"/>
          <w:lang w:val="es"/>
        </w:rPr>
        <w:t xml:space="preserve">, </w:t>
      </w:r>
      <w:hyperlink w:anchor="india331" w:history="1">
        <w:r>
          <w:rPr>
            <w:rStyle w:val="Hyperlink"/>
            <w:rFonts w:ascii="Arial" w:hAnsi="Arial" w:cs="Arial"/>
            <w:sz w:val="22"/>
            <w:szCs w:val="22"/>
            <w:lang w:val="es"/>
          </w:rPr>
          <w:t>India</w:t>
        </w:r>
      </w:hyperlink>
      <w:r>
        <w:rPr>
          <w:rFonts w:ascii="Arial" w:hAnsi="Arial" w:cs="Arial"/>
          <w:sz w:val="22"/>
          <w:szCs w:val="22"/>
          <w:lang w:val="es"/>
        </w:rPr>
        <w:t xml:space="preserve">, </w:t>
      </w:r>
      <w:hyperlink w:anchor="indo331" w:history="1">
        <w:r>
          <w:rPr>
            <w:rStyle w:val="Hyperlink"/>
            <w:rFonts w:ascii="Arial" w:hAnsi="Arial" w:cs="Arial"/>
            <w:sz w:val="22"/>
            <w:szCs w:val="22"/>
            <w:lang w:val="es"/>
          </w:rPr>
          <w:t>Indonesia</w:t>
        </w:r>
      </w:hyperlink>
      <w:r>
        <w:rPr>
          <w:rFonts w:ascii="Arial" w:hAnsi="Arial" w:cs="Arial"/>
          <w:sz w:val="22"/>
          <w:szCs w:val="22"/>
          <w:lang w:val="es"/>
        </w:rPr>
        <w:t xml:space="preserve">, </w:t>
      </w:r>
      <w:hyperlink w:anchor="rus331"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a331" w:history="1">
        <w:r>
          <w:rPr>
            <w:rStyle w:val="Hyperlink"/>
            <w:rFonts w:ascii="Arial" w:hAnsi="Arial" w:cs="Arial"/>
            <w:sz w:val="22"/>
            <w:szCs w:val="22"/>
            <w:lang w:val="es"/>
          </w:rPr>
          <w:t>Sudáfrica</w:t>
        </w:r>
      </w:hyperlink>
      <w:r>
        <w:rPr>
          <w:rFonts w:ascii="Arial" w:hAnsi="Arial" w:cs="Arial"/>
          <w:sz w:val="22"/>
          <w:szCs w:val="22"/>
          <w:lang w:val="es"/>
        </w:rPr>
        <w:t xml:space="preserve">, </w:t>
      </w:r>
      <w:hyperlink w:anchor="spa331"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uk331" w:history="1">
        <w:r>
          <w:rPr>
            <w:rStyle w:val="Hyperlink"/>
            <w:rFonts w:ascii="Arial" w:hAnsi="Arial" w:cs="Arial"/>
            <w:sz w:val="22"/>
            <w:szCs w:val="22"/>
            <w:lang w:val="es"/>
          </w:rPr>
          <w:t>Reino Unido de Gran Bretaña e Irlanda del Norte</w:t>
        </w:r>
      </w:hyperlink>
      <w:r>
        <w:rPr>
          <w:rFonts w:ascii="Arial" w:hAnsi="Arial" w:cs="Arial"/>
          <w:sz w:val="22"/>
          <w:szCs w:val="22"/>
          <w:lang w:val="es"/>
        </w:rPr>
        <w:t>.</w:t>
      </w:r>
    </w:p>
    <w:p w14:paraId="75D54AB3" w14:textId="22F5CBF1" w:rsidR="00B103EC" w:rsidRPr="006C41C4" w:rsidRDefault="00B103E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adoptó la </w:t>
      </w:r>
      <w:r>
        <w:rPr>
          <w:rFonts w:ascii="Arial" w:hAnsi="Arial" w:cs="Arial"/>
          <w:sz w:val="22"/>
          <w:szCs w:val="22"/>
          <w:u w:val="single"/>
          <w:lang w:val="es"/>
        </w:rPr>
        <w:t>Decisión A-33/3.3.1 de la COI</w:t>
      </w:r>
      <w:r>
        <w:rPr>
          <w:rFonts w:ascii="Arial" w:hAnsi="Arial" w:cs="Arial"/>
          <w:sz w:val="22"/>
          <w:szCs w:val="22"/>
          <w:lang w:val="es"/>
        </w:rPr>
        <w:t>.</w:t>
      </w:r>
    </w:p>
    <w:p w14:paraId="1E5AE196" w14:textId="21A9BBE8" w:rsidR="008158AA" w:rsidRPr="006C41C4" w:rsidRDefault="008D7C7D"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lang w:val="es-ES"/>
        </w:rPr>
      </w:pPr>
      <w:r>
        <w:rPr>
          <w:rFonts w:asciiTheme="minorBidi" w:hAnsiTheme="minorBidi"/>
          <w:lang w:val="es"/>
        </w:rPr>
        <w:t xml:space="preserve">La Asamblea también aprobó la </w:t>
      </w:r>
      <w:r>
        <w:rPr>
          <w:rFonts w:asciiTheme="minorBidi" w:hAnsiTheme="minorBidi"/>
          <w:u w:val="single"/>
          <w:lang w:val="es"/>
        </w:rPr>
        <w:t>Resolución A-33/1 de la COI</w:t>
      </w:r>
      <w:r>
        <w:rPr>
          <w:rFonts w:asciiTheme="minorBidi" w:hAnsiTheme="minorBidi"/>
          <w:lang w:val="es"/>
        </w:rPr>
        <w:t xml:space="preserve"> </w:t>
      </w:r>
      <w:r>
        <w:rPr>
          <w:rFonts w:ascii="Arial" w:hAnsi="Arial"/>
          <w:i/>
          <w:iCs/>
          <w:sz w:val="22"/>
          <w:szCs w:val="22"/>
          <w:lang w:val="es"/>
        </w:rPr>
        <w:t>“</w:t>
      </w:r>
      <w:proofErr w:type="spellStart"/>
      <w:r>
        <w:rPr>
          <w:rFonts w:ascii="Arial" w:hAnsi="Arial"/>
          <w:i/>
          <w:iCs/>
          <w:sz w:val="22"/>
          <w:szCs w:val="22"/>
          <w:lang w:val="es"/>
        </w:rPr>
        <w:t>Strengthening</w:t>
      </w:r>
      <w:proofErr w:type="spellEnd"/>
      <w:r>
        <w:rPr>
          <w:rFonts w:ascii="Arial" w:hAnsi="Arial"/>
          <w:i/>
          <w:iCs/>
          <w:sz w:val="22"/>
          <w:szCs w:val="22"/>
          <w:lang w:val="es"/>
        </w:rPr>
        <w:t xml:space="preserve"> the IOCAFRICA Secretariat: A </w:t>
      </w:r>
      <w:proofErr w:type="spellStart"/>
      <w:r>
        <w:rPr>
          <w:rFonts w:ascii="Arial" w:hAnsi="Arial"/>
          <w:i/>
          <w:iCs/>
          <w:sz w:val="22"/>
          <w:szCs w:val="22"/>
          <w:lang w:val="es"/>
        </w:rPr>
        <w:t>Strategic</w:t>
      </w:r>
      <w:proofErr w:type="spellEnd"/>
      <w:r>
        <w:rPr>
          <w:rFonts w:ascii="Arial" w:hAnsi="Arial"/>
          <w:i/>
          <w:iCs/>
          <w:sz w:val="22"/>
          <w:szCs w:val="22"/>
          <w:lang w:val="es"/>
        </w:rPr>
        <w:t xml:space="preserve"> Imperative for </w:t>
      </w:r>
      <w:proofErr w:type="spellStart"/>
      <w:r>
        <w:rPr>
          <w:rFonts w:ascii="Arial" w:hAnsi="Arial"/>
          <w:i/>
          <w:iCs/>
          <w:sz w:val="22"/>
          <w:szCs w:val="22"/>
          <w:lang w:val="es"/>
        </w:rPr>
        <w:t>Advancing</w:t>
      </w:r>
      <w:proofErr w:type="spellEnd"/>
      <w:r>
        <w:rPr>
          <w:rFonts w:ascii="Arial" w:hAnsi="Arial"/>
          <w:i/>
          <w:iCs/>
          <w:sz w:val="22"/>
          <w:szCs w:val="22"/>
          <w:lang w:val="es"/>
        </w:rPr>
        <w:t xml:space="preserve"> Ocean Science and </w:t>
      </w:r>
      <w:proofErr w:type="spellStart"/>
      <w:r>
        <w:rPr>
          <w:rFonts w:ascii="Arial" w:hAnsi="Arial"/>
          <w:i/>
          <w:iCs/>
          <w:sz w:val="22"/>
          <w:szCs w:val="22"/>
          <w:lang w:val="es"/>
        </w:rPr>
        <w:t>Governance</w:t>
      </w:r>
      <w:proofErr w:type="spellEnd"/>
      <w:r>
        <w:rPr>
          <w:rFonts w:ascii="Arial" w:hAnsi="Arial"/>
          <w:i/>
          <w:iCs/>
          <w:sz w:val="22"/>
          <w:szCs w:val="22"/>
          <w:lang w:val="es"/>
        </w:rPr>
        <w:t xml:space="preserve"> in </w:t>
      </w:r>
      <w:proofErr w:type="spellStart"/>
      <w:r>
        <w:rPr>
          <w:rFonts w:ascii="Arial" w:hAnsi="Arial"/>
          <w:i/>
          <w:iCs/>
          <w:sz w:val="22"/>
          <w:szCs w:val="22"/>
          <w:lang w:val="es"/>
        </w:rPr>
        <w:t>Africa</w:t>
      </w:r>
      <w:proofErr w:type="spellEnd"/>
      <w:r>
        <w:rPr>
          <w:rFonts w:ascii="Arial" w:hAnsi="Arial"/>
          <w:sz w:val="22"/>
          <w:szCs w:val="22"/>
          <w:lang w:val="es"/>
        </w:rPr>
        <w:t xml:space="preserve">" </w:t>
      </w:r>
      <w:r>
        <w:rPr>
          <w:rFonts w:asciiTheme="minorBidi" w:hAnsiTheme="minorBidi"/>
          <w:lang w:val="es"/>
        </w:rPr>
        <w:t>presentado por Kenia, Benín, Comoras, Costa de Marfil, República Democrática del Congo, Egipto, Guinea, Liberia, Namibia, Nigeria, Mauricio, Mónaco, Marruecos, Senegal, Sudáfrica y Togo.</w:t>
      </w:r>
    </w:p>
    <w:p w14:paraId="0F3714C0" w14:textId="5060335A" w:rsidR="00CA03E6" w:rsidRPr="006C41C4" w:rsidRDefault="002F5C5D" w:rsidP="00547D9B">
      <w:pPr>
        <w:pStyle w:val="Heading3"/>
        <w:numPr>
          <w:ilvl w:val="2"/>
          <w:numId w:val="20"/>
        </w:numPr>
        <w:tabs>
          <w:tab w:val="clear" w:pos="709"/>
        </w:tabs>
        <w:rPr>
          <w:b/>
          <w:lang w:val="es-ES"/>
        </w:rPr>
      </w:pPr>
      <w:bookmarkStart w:id="143" w:name="_Toc190766975"/>
      <w:bookmarkStart w:id="144" w:name="_Toc197955110"/>
      <w:bookmarkStart w:id="145" w:name="_Toc212133508"/>
      <w:bookmarkEnd w:id="141"/>
      <w:r>
        <w:rPr>
          <w:rFonts w:cs="Arial"/>
          <w:b/>
          <w:szCs w:val="22"/>
          <w:lang w:val="es"/>
        </w:rPr>
        <w:t>Subcomisión de la COI para el Pacífico Occidental: 15ª</w:t>
      </w:r>
      <w:r>
        <w:rPr>
          <w:rFonts w:cs="Arial"/>
          <w:b/>
          <w:szCs w:val="22"/>
          <w:vertAlign w:val="superscript"/>
          <w:lang w:val="es"/>
        </w:rPr>
        <w:t xml:space="preserve"> </w:t>
      </w:r>
      <w:r>
        <w:rPr>
          <w:rFonts w:cs="Arial"/>
          <w:b/>
          <w:szCs w:val="22"/>
          <w:lang w:val="es"/>
        </w:rPr>
        <w:t xml:space="preserve">reunión de la WESTPAC, </w:t>
      </w:r>
      <w:r>
        <w:rPr>
          <w:rFonts w:cs="Arial"/>
          <w:bCs w:val="0"/>
          <w:szCs w:val="22"/>
          <w:lang w:val="es"/>
        </w:rPr>
        <w:br/>
      </w:r>
      <w:r>
        <w:rPr>
          <w:rFonts w:cs="Arial"/>
          <w:b/>
          <w:szCs w:val="22"/>
          <w:lang w:val="es"/>
        </w:rPr>
        <w:t>Tokio, Japón, 11-13 de marzo de 2025</w:t>
      </w:r>
      <w:bookmarkEnd w:id="143"/>
      <w:bookmarkEnd w:id="144"/>
      <w:bookmarkEnd w:id="145"/>
    </w:p>
    <w:p w14:paraId="545B6952" w14:textId="0193E642" w:rsidR="00DE37CA" w:rsidRPr="006C41C4"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Sr. Kentaro Ando, </w:t>
      </w:r>
      <w:proofErr w:type="gramStart"/>
      <w:r>
        <w:rPr>
          <w:rFonts w:ascii="Arial" w:hAnsi="Arial" w:cs="Arial"/>
          <w:sz w:val="22"/>
          <w:lang w:val="es"/>
        </w:rPr>
        <w:t>Presidente</w:t>
      </w:r>
      <w:proofErr w:type="gramEnd"/>
      <w:r>
        <w:rPr>
          <w:rFonts w:ascii="Arial" w:hAnsi="Arial" w:cs="Arial"/>
          <w:sz w:val="22"/>
          <w:lang w:val="es"/>
        </w:rPr>
        <w:t xml:space="preserve"> </w:t>
      </w:r>
      <w:r>
        <w:rPr>
          <w:rFonts w:ascii="Arial" w:hAnsi="Arial" w:cs="Arial"/>
          <w:sz w:val="22"/>
          <w:szCs w:val="22"/>
          <w:lang w:val="es"/>
        </w:rPr>
        <w:t xml:space="preserve">saliente </w:t>
      </w:r>
      <w:r>
        <w:rPr>
          <w:rFonts w:ascii="Arial" w:hAnsi="Arial" w:cs="Arial"/>
          <w:sz w:val="22"/>
          <w:lang w:val="es"/>
        </w:rPr>
        <w:t xml:space="preserve">de la WESTPAC, presentó este punto del orden del día y </w:t>
      </w:r>
      <w:r>
        <w:rPr>
          <w:rFonts w:ascii="Arial" w:hAnsi="Arial" w:cs="Arial"/>
          <w:sz w:val="22"/>
          <w:szCs w:val="22"/>
          <w:lang w:val="es"/>
        </w:rPr>
        <w:t xml:space="preserve">expuso los principales avances realizados en el último periodo entre reuniones y los principales resultados de </w:t>
      </w:r>
      <w:hyperlink r:id="rId24" w:history="1">
        <w:r>
          <w:rPr>
            <w:rStyle w:val="Hyperlink"/>
            <w:rFonts w:ascii="Arial" w:hAnsi="Arial" w:cs="Arial"/>
            <w:sz w:val="22"/>
            <w:szCs w:val="22"/>
            <w:lang w:val="es"/>
          </w:rPr>
          <w:t>la 15ª Reunión Intergubernamental de WESTPAC</w:t>
        </w:r>
      </w:hyperlink>
      <w:r>
        <w:rPr>
          <w:rFonts w:ascii="Arial" w:hAnsi="Arial" w:cs="Arial"/>
          <w:sz w:val="22"/>
          <w:szCs w:val="22"/>
          <w:lang w:val="es"/>
        </w:rPr>
        <w:t xml:space="preserve"> (11-13 de marzo de 2025, Tokio). </w:t>
      </w:r>
    </w:p>
    <w:p w14:paraId="51E44422" w14:textId="21F52B00" w:rsidR="00DE37CA" w:rsidRPr="006C41C4"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lang w:val="es-ES"/>
        </w:rPr>
      </w:pPr>
      <w:r>
        <w:rPr>
          <w:rFonts w:ascii="Arial" w:hAnsi="Arial" w:cs="Arial"/>
          <w:sz w:val="22"/>
          <w:lang w:val="es"/>
        </w:rPr>
        <w:t>Subrayó que la Subcomisión ha defendido el valor de las ciencias oceánicas para la sociedad, haciendo un inmenso esfuerzo para reforzar la interfaz ciencia-política, hacer avanzar las ciencias oceánicas, acelerar la planificación espacial marina, implicar a las partes interesadas pertinentes y desarrollar soluciones basadas en las ciencias oceánicas. Gracias a estos esfuerzos, la WESTPAC sigue capacitando a los Estados Miembros de la COI de la región para fomentar el desarrollo sostenible de los recursos oceánicos, marinos y costeros.</w:t>
      </w:r>
    </w:p>
    <w:p w14:paraId="3D16A1EC" w14:textId="77777777" w:rsidR="00DE37CA" w:rsidRPr="006C41C4"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lang w:val="es-ES"/>
        </w:rPr>
      </w:pPr>
      <w:r>
        <w:rPr>
          <w:rFonts w:ascii="Arial" w:hAnsi="Arial" w:cs="Arial"/>
          <w:sz w:val="22"/>
          <w:lang w:val="es"/>
        </w:rPr>
        <w:t xml:space="preserve">Situada en una región en desarrollo conocida por poseer la biodiversidad marina más rica del mundo y una densa población muy dependiente del océano para su desarrollo, </w:t>
      </w:r>
      <w:r>
        <w:rPr>
          <w:rFonts w:ascii="Arial" w:hAnsi="Arial" w:cs="Arial"/>
          <w:sz w:val="22"/>
          <w:szCs w:val="22"/>
          <w:lang w:val="es"/>
        </w:rPr>
        <w:t>la Subcomisión siguió fomentando sólidos mecanismos de cooperación internacional para mejorar la colaboración entre los Estados Miembros, como demuestran varios mecanismos clave como</w:t>
      </w:r>
      <w:r>
        <w:rPr>
          <w:rFonts w:ascii="Arial" w:hAnsi="Arial" w:cs="Arial"/>
          <w:i/>
          <w:iCs/>
          <w:sz w:val="22"/>
          <w:szCs w:val="22"/>
          <w:lang w:val="es"/>
        </w:rPr>
        <w:t xml:space="preserve"> </w:t>
      </w:r>
      <w:r>
        <w:rPr>
          <w:rFonts w:ascii="Arial" w:hAnsi="Arial" w:cs="Arial"/>
          <w:sz w:val="22"/>
          <w:szCs w:val="22"/>
          <w:lang w:val="es"/>
        </w:rPr>
        <w:t>la</w:t>
      </w:r>
      <w:r>
        <w:rPr>
          <w:rFonts w:ascii="Arial" w:hAnsi="Arial" w:cs="Arial"/>
          <w:i/>
          <w:iCs/>
          <w:sz w:val="22"/>
          <w:szCs w:val="22"/>
          <w:lang w:val="es"/>
        </w:rPr>
        <w:t xml:space="preserve"> Mesa Redonda de Altos Funcionarios Gubernamentales, la Sesión Intergubernamental bienal de WESTPAC y la Conferencia Internacional trienal de Ciencias Marinas de WESTPAC</w:t>
      </w:r>
      <w:r>
        <w:rPr>
          <w:rFonts w:ascii="Arial" w:hAnsi="Arial" w:cs="Arial"/>
          <w:sz w:val="22"/>
          <w:szCs w:val="22"/>
          <w:lang w:val="es"/>
        </w:rPr>
        <w:t xml:space="preserve">. También ha puesto en marcha un proceso dinámico de </w:t>
      </w:r>
      <w:proofErr w:type="spellStart"/>
      <w:r>
        <w:rPr>
          <w:rFonts w:ascii="Arial" w:hAnsi="Arial" w:cs="Arial"/>
          <w:sz w:val="22"/>
          <w:szCs w:val="22"/>
          <w:lang w:val="es"/>
        </w:rPr>
        <w:t>co-diseño</w:t>
      </w:r>
      <w:proofErr w:type="spellEnd"/>
      <w:r>
        <w:rPr>
          <w:rFonts w:ascii="Arial" w:hAnsi="Arial" w:cs="Arial"/>
          <w:sz w:val="22"/>
          <w:szCs w:val="22"/>
          <w:lang w:val="es"/>
        </w:rPr>
        <w:t xml:space="preserve"> y </w:t>
      </w:r>
      <w:proofErr w:type="spellStart"/>
      <w:r>
        <w:rPr>
          <w:rFonts w:ascii="Arial" w:hAnsi="Arial" w:cs="Arial"/>
          <w:sz w:val="22"/>
          <w:szCs w:val="22"/>
          <w:lang w:val="es"/>
        </w:rPr>
        <w:t>co-desarrollo</w:t>
      </w:r>
      <w:proofErr w:type="spellEnd"/>
      <w:r>
        <w:rPr>
          <w:rFonts w:ascii="Arial" w:hAnsi="Arial" w:cs="Arial"/>
          <w:sz w:val="22"/>
          <w:szCs w:val="22"/>
          <w:lang w:val="es"/>
        </w:rPr>
        <w:t xml:space="preserve"> para estimular el liderazgo internacional y las acciones colectivas en toda la región, iniciando y alineando iniciativas internacionales con temas prioritarios, así como reuniendo a expertos de toda la región para perfeccionar y avanzar en estos esfuerzos.</w:t>
      </w:r>
    </w:p>
    <w:p w14:paraId="284E9ED9" w14:textId="11DC405E" w:rsidR="00DE37CA" w:rsidRPr="006C41C4"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es-ES"/>
        </w:rPr>
      </w:pPr>
      <w:r>
        <w:rPr>
          <w:rFonts w:ascii="Arial" w:hAnsi="Arial" w:cs="Arial"/>
          <w:sz w:val="22"/>
          <w:szCs w:val="22"/>
          <w:lang w:val="es"/>
        </w:rPr>
        <w:t xml:space="preserve">Informó de que la Subcomisión seguía asumiendo el liderazgo en la región, motivando e implicando a expertos, instituciones y países en el Decenio del Océano. A lo largo de los dos últimos años, cabe destacar los siguientes esfuerzos y logros: </w:t>
      </w:r>
      <w:hyperlink r:id="rId25" w:history="1">
        <w:r>
          <w:rPr>
            <w:rFonts w:ascii="Arial" w:hAnsi="Arial" w:cs="Arial"/>
            <w:sz w:val="22"/>
            <w:szCs w:val="22"/>
            <w:lang w:val="es"/>
          </w:rPr>
          <w:t>L</w:t>
        </w:r>
        <w:r>
          <w:rPr>
            <w:rFonts w:ascii="Arial" w:hAnsi="Arial" w:cs="Arial"/>
            <w:sz w:val="22"/>
            <w:szCs w:val="22"/>
            <w:u w:val="single"/>
            <w:lang w:val="es"/>
          </w:rPr>
          <w:t>a Segunda Conferencia Regional del Decenio del Océano de las Naciones Unidas y la 11ª Conferencia Internacional sobre Ciencias del Mar de la WESTPAC</w:t>
        </w:r>
      </w:hyperlink>
      <w:r>
        <w:rPr>
          <w:rFonts w:ascii="Arial" w:hAnsi="Arial" w:cs="Arial"/>
          <w:sz w:val="22"/>
          <w:szCs w:val="22"/>
          <w:lang w:val="es"/>
        </w:rPr>
        <w:t xml:space="preserve">, que se organizaron en Bangkok del 22 al 25 de abril de 2024, bajo los auspicios del Ministerio de Recursos Naturales y Medio Ambiente y el Departamento de Recursos Marinos y Costeros de Tailandia. La gran conferencia, inaugurada por el </w:t>
      </w:r>
      <w:proofErr w:type="gramStart"/>
      <w:r>
        <w:rPr>
          <w:rFonts w:ascii="Arial" w:hAnsi="Arial" w:cs="Arial"/>
          <w:sz w:val="22"/>
          <w:szCs w:val="22"/>
          <w:lang w:val="es"/>
        </w:rPr>
        <w:t>vice primer</w:t>
      </w:r>
      <w:proofErr w:type="gramEnd"/>
      <w:r>
        <w:rPr>
          <w:rFonts w:ascii="Arial" w:hAnsi="Arial" w:cs="Arial"/>
          <w:sz w:val="22"/>
          <w:szCs w:val="22"/>
          <w:lang w:val="es"/>
        </w:rPr>
        <w:t xml:space="preserve"> ministro de Tailandia, reunió a más de 1200 participantes procedentes de diversas comunidades oceánicas de 40 países. La notable participación marcó un nuevo hito en la historia de la Subcomisión y de la región.</w:t>
      </w:r>
    </w:p>
    <w:p w14:paraId="6B30A294" w14:textId="5F8CC73E" w:rsidR="00DE37CA" w:rsidRPr="006C41C4"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es-ES"/>
        </w:rPr>
      </w:pPr>
      <w:r>
        <w:rPr>
          <w:rFonts w:ascii="Arial" w:hAnsi="Arial"/>
          <w:sz w:val="22"/>
          <w:szCs w:val="22"/>
          <w:lang w:val="es"/>
        </w:rPr>
        <w:t xml:space="preserve">Entretanto, la Subcomisión no ha dejado de impulsar las acciones iniciadas en el marco del Decenio del Océano las Naciones Unidas. Las cuatro acciones incluyen: </w:t>
      </w:r>
      <w:hyperlink r:id="rId26" w:history="1">
        <w:r>
          <w:rPr>
            <w:rStyle w:val="Hyperlink"/>
            <w:rFonts w:ascii="Arial" w:hAnsi="Arial" w:cs="Arial"/>
            <w:sz w:val="22"/>
            <w:szCs w:val="22"/>
            <w:lang w:val="es"/>
          </w:rPr>
          <w:t>UN21-Acelerar la planificación espacial marina en el Pacífico occidental</w:t>
        </w:r>
      </w:hyperlink>
      <w:r>
        <w:rPr>
          <w:rFonts w:ascii="Arial" w:hAnsi="Arial"/>
          <w:sz w:val="22"/>
          <w:szCs w:val="22"/>
          <w:lang w:val="es"/>
        </w:rPr>
        <w:t xml:space="preserve">; </w:t>
      </w:r>
      <w:hyperlink r:id="rId27" w:history="1">
        <w:r>
          <w:rPr>
            <w:rStyle w:val="Hyperlink"/>
            <w:rFonts w:ascii="Arial" w:hAnsi="Arial" w:cs="Arial"/>
            <w:sz w:val="22"/>
            <w:szCs w:val="22"/>
            <w:lang w:val="es"/>
          </w:rPr>
          <w:t>ONU22-Frenar la emisión de plásticos fluviales de Asia al océano</w:t>
        </w:r>
      </w:hyperlink>
      <w:r>
        <w:rPr>
          <w:rFonts w:ascii="Arial" w:hAnsi="Arial"/>
          <w:sz w:val="22"/>
          <w:szCs w:val="22"/>
          <w:lang w:val="es"/>
        </w:rPr>
        <w:t xml:space="preserve">; </w:t>
      </w:r>
      <w:hyperlink r:id="rId28" w:history="1">
        <w:r>
          <w:rPr>
            <w:rStyle w:val="Hyperlink"/>
            <w:rFonts w:ascii="Arial" w:hAnsi="Arial" w:cs="Arial"/>
            <w:sz w:val="22"/>
            <w:szCs w:val="22"/>
            <w:lang w:val="es"/>
          </w:rPr>
          <w:t xml:space="preserve">UN23- Acelerar las transformaciones del desarrollo de capacidades en el Pacífico Occidental - Red Regional de </w:t>
        </w:r>
        <w:r>
          <w:rPr>
            <w:rStyle w:val="Hyperlink"/>
            <w:rFonts w:ascii="Arial" w:hAnsi="Arial" w:cs="Arial"/>
            <w:i/>
            <w:iCs/>
            <w:sz w:val="22"/>
            <w:szCs w:val="22"/>
            <w:lang w:val="es"/>
          </w:rPr>
          <w:t>Centros</w:t>
        </w:r>
        <w:r>
          <w:rPr>
            <w:rStyle w:val="Hyperlink"/>
            <w:rFonts w:ascii="Arial" w:hAnsi="Arial" w:cs="Arial"/>
            <w:sz w:val="22"/>
            <w:szCs w:val="22"/>
            <w:lang w:val="es"/>
          </w:rPr>
          <w:t xml:space="preserve"> de Formación e Investigación</w:t>
        </w:r>
      </w:hyperlink>
      <w:r>
        <w:rPr>
          <w:rFonts w:ascii="Arial" w:hAnsi="Arial"/>
          <w:sz w:val="22"/>
          <w:szCs w:val="22"/>
          <w:lang w:val="es"/>
        </w:rPr>
        <w:t xml:space="preserve"> (</w:t>
      </w:r>
      <w:proofErr w:type="spellStart"/>
      <w:r>
        <w:rPr>
          <w:rFonts w:ascii="Arial" w:hAnsi="Arial"/>
          <w:sz w:val="22"/>
          <w:szCs w:val="22"/>
          <w:lang w:val="es"/>
        </w:rPr>
        <w:t>RTRCs</w:t>
      </w:r>
      <w:proofErr w:type="spellEnd"/>
      <w:r>
        <w:rPr>
          <w:rFonts w:ascii="Arial" w:hAnsi="Arial"/>
          <w:sz w:val="22"/>
          <w:szCs w:val="22"/>
          <w:lang w:val="es"/>
        </w:rPr>
        <w:t xml:space="preserve">) en Ciencias del Mar, y </w:t>
      </w:r>
      <w:hyperlink r:id="rId29" w:history="1">
        <w:r>
          <w:rPr>
            <w:rStyle w:val="Hyperlink"/>
            <w:rFonts w:ascii="Arial" w:hAnsi="Arial" w:cs="Arial"/>
            <w:sz w:val="22"/>
            <w:szCs w:val="22"/>
            <w:lang w:val="es"/>
          </w:rPr>
          <w:t xml:space="preserve">UN24-Segundo Estudio Cooperativo del </w:t>
        </w:r>
        <w:proofErr w:type="spellStart"/>
        <w:r>
          <w:rPr>
            <w:rStyle w:val="Hyperlink"/>
            <w:rFonts w:ascii="Arial" w:hAnsi="Arial" w:cs="Arial"/>
            <w:sz w:val="22"/>
            <w:szCs w:val="22"/>
            <w:lang w:val="es"/>
          </w:rPr>
          <w:t>Kuroshio</w:t>
        </w:r>
        <w:proofErr w:type="spellEnd"/>
        <w:r>
          <w:rPr>
            <w:rStyle w:val="Hyperlink"/>
            <w:rFonts w:ascii="Arial" w:hAnsi="Arial" w:cs="Arial"/>
            <w:sz w:val="22"/>
            <w:szCs w:val="22"/>
            <w:lang w:val="es"/>
          </w:rPr>
          <w:t xml:space="preserve"> y Regiones Adyacentes</w:t>
        </w:r>
      </w:hyperlink>
      <w:r>
        <w:rPr>
          <w:rFonts w:ascii="Arial" w:hAnsi="Arial"/>
          <w:sz w:val="22"/>
          <w:szCs w:val="22"/>
          <w:lang w:val="es"/>
        </w:rPr>
        <w:t>. Más recientemente, la Subcomisión inició una nueva Acción del Decenio del Océano de la ONU-</w:t>
      </w:r>
      <w:hyperlink r:id="rId30" w:history="1">
        <w:r>
          <w:rPr>
            <w:rStyle w:val="Hyperlink"/>
            <w:rFonts w:ascii="Arial" w:hAnsi="Arial" w:cs="Arial"/>
            <w:sz w:val="22"/>
            <w:szCs w:val="22"/>
            <w:lang w:val="es"/>
          </w:rPr>
          <w:t>UN39: Soluciones oceánicas en los mares de Asia Oriental</w:t>
        </w:r>
      </w:hyperlink>
      <w:r>
        <w:rPr>
          <w:rFonts w:ascii="Arial" w:hAnsi="Arial"/>
          <w:sz w:val="22"/>
          <w:szCs w:val="22"/>
          <w:lang w:val="es"/>
        </w:rPr>
        <w:t>, para hacer avanzar la investigación multidisciplinar sobre los múltiples factores de estrés en los ecosistemas costeros, e inscribió oficialmente su Conferencia Internacional trienal de Ciencias del Mar de WESTPAC como contribución (UN42) al Decenio del Océano de las Naciones Unidas</w:t>
      </w:r>
      <w:r>
        <w:rPr>
          <w:rFonts w:ascii="Arial" w:hAnsi="Arial"/>
          <w:sz w:val="22"/>
          <w:lang w:val="es"/>
        </w:rPr>
        <w:t>.</w:t>
      </w:r>
    </w:p>
    <w:p w14:paraId="43D9E700" w14:textId="21B11C23" w:rsidR="00DE37CA" w:rsidRPr="006C41C4"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Presidente de la WESTPAC informó a la </w:t>
      </w:r>
      <w:r>
        <w:rPr>
          <w:rFonts w:ascii="Arial" w:hAnsi="Arial" w:cs="Arial"/>
          <w:snapToGrid w:val="0"/>
          <w:sz w:val="22"/>
          <w:szCs w:val="22"/>
          <w:lang w:val="es"/>
        </w:rPr>
        <w:t>Asamblea de que, entre sus 29 programas, proyectos y grupos de trabajo, se habían realizado grandes progresos en varios ámbitos clave durante el último periodo entre reuniones:</w:t>
      </w:r>
      <w:r>
        <w:rPr>
          <w:rFonts w:ascii="Arial" w:hAnsi="Arial" w:cs="Arial"/>
          <w:sz w:val="22"/>
          <w:szCs w:val="22"/>
          <w:lang w:val="es"/>
        </w:rPr>
        <w:t xml:space="preserve"> i) con la </w:t>
      </w:r>
      <w:r>
        <w:rPr>
          <w:rFonts w:ascii="Arial" w:hAnsi="Arial" w:cs="Arial"/>
          <w:i/>
          <w:iCs/>
          <w:sz w:val="22"/>
          <w:szCs w:val="22"/>
          <w:lang w:val="es"/>
        </w:rPr>
        <w:t>aceleración de la planificación espacial marina en el Pacífico Occidental</w:t>
      </w:r>
      <w:r>
        <w:rPr>
          <w:rFonts w:ascii="Arial" w:hAnsi="Arial" w:cs="Arial"/>
          <w:sz w:val="22"/>
          <w:szCs w:val="22"/>
          <w:lang w:val="es"/>
        </w:rPr>
        <w:t xml:space="preserve">, la WESTPAC había adoptado importantes medidas para hacer avanzar la planificación espacial de zonas </w:t>
      </w:r>
      <w:r>
        <w:rPr>
          <w:rFonts w:ascii="Arial" w:hAnsi="Arial" w:cs="Arial"/>
          <w:i/>
          <w:iCs/>
          <w:sz w:val="22"/>
          <w:szCs w:val="22"/>
          <w:lang w:val="es"/>
        </w:rPr>
        <w:t>marinas</w:t>
      </w:r>
      <w:r>
        <w:rPr>
          <w:rFonts w:ascii="Arial" w:hAnsi="Arial" w:cs="Arial"/>
          <w:sz w:val="22"/>
          <w:szCs w:val="22"/>
          <w:lang w:val="es"/>
        </w:rPr>
        <w:t xml:space="preserve">, entre ellas la creación de un Grupo de Expertos de composición abierta y la organización del </w:t>
      </w:r>
      <w:hyperlink r:id="rId31" w:history="1">
        <w:r>
          <w:rPr>
            <w:rStyle w:val="Hyperlink"/>
            <w:rFonts w:ascii="Arial" w:hAnsi="Arial" w:cs="Arial"/>
            <w:sz w:val="22"/>
            <w:szCs w:val="22"/>
            <w:u w:val="none"/>
            <w:lang w:val="es"/>
          </w:rPr>
          <w:t>1</w:t>
        </w:r>
        <w:r>
          <w:rPr>
            <w:rStyle w:val="Hyperlink"/>
            <w:rFonts w:ascii="Arial" w:hAnsi="Arial" w:cs="Arial"/>
            <w:sz w:val="22"/>
            <w:szCs w:val="22"/>
            <w:vertAlign w:val="superscript"/>
            <w:lang w:val="es"/>
          </w:rPr>
          <w:t>1er</w:t>
        </w:r>
        <w:r>
          <w:rPr>
            <w:rStyle w:val="Hyperlink"/>
            <w:rFonts w:ascii="Arial" w:hAnsi="Arial" w:cs="Arial"/>
            <w:sz w:val="22"/>
            <w:szCs w:val="22"/>
            <w:lang w:val="es"/>
          </w:rPr>
          <w:t xml:space="preserve"> Taller de Expertos en PEM de WESTPAC</w:t>
        </w:r>
      </w:hyperlink>
      <w:r>
        <w:rPr>
          <w:rFonts w:ascii="Arial" w:hAnsi="Arial" w:cs="Arial"/>
          <w:sz w:val="22"/>
          <w:szCs w:val="22"/>
          <w:lang w:val="es"/>
        </w:rPr>
        <w:t xml:space="preserve"> (14-15 de noviembre de 2023); se han establecido seis sitios de demostración de PEM en cinco Estados Miembros, y más de 150 profesionales de los océanos han participado en talleres nacionales de creación de capacidades en China y Tailandia. Además, se ha elaborado un marco de acción para acelerar la aplicación de la planificación del espacio marítimo en la región; (</w:t>
      </w:r>
      <w:proofErr w:type="spellStart"/>
      <w:r>
        <w:rPr>
          <w:rFonts w:ascii="Arial" w:hAnsi="Arial" w:cs="Arial"/>
          <w:sz w:val="22"/>
          <w:szCs w:val="22"/>
          <w:lang w:val="es"/>
        </w:rPr>
        <w:t>ii</w:t>
      </w:r>
      <w:proofErr w:type="spellEnd"/>
      <w:r>
        <w:rPr>
          <w:rFonts w:ascii="Arial" w:hAnsi="Arial" w:cs="Arial"/>
          <w:sz w:val="22"/>
          <w:szCs w:val="22"/>
          <w:lang w:val="es"/>
        </w:rPr>
        <w:t xml:space="preserve">) con el </w:t>
      </w:r>
      <w:r>
        <w:rPr>
          <w:rFonts w:ascii="Arial" w:hAnsi="Arial" w:cs="Arial"/>
          <w:i/>
          <w:iCs/>
          <w:sz w:val="22"/>
          <w:szCs w:val="22"/>
          <w:lang w:val="es"/>
        </w:rPr>
        <w:t>avance del 2</w:t>
      </w:r>
      <w:r>
        <w:rPr>
          <w:rFonts w:ascii="Arial" w:hAnsi="Arial" w:cs="Arial"/>
          <w:i/>
          <w:iCs/>
          <w:sz w:val="22"/>
          <w:szCs w:val="22"/>
          <w:vertAlign w:val="superscript"/>
          <w:lang w:val="es"/>
        </w:rPr>
        <w:t xml:space="preserve">º </w:t>
      </w:r>
      <w:r>
        <w:rPr>
          <w:rFonts w:ascii="Arial" w:hAnsi="Arial" w:cs="Arial"/>
          <w:i/>
          <w:iCs/>
          <w:sz w:val="22"/>
          <w:szCs w:val="22"/>
          <w:lang w:val="es"/>
        </w:rPr>
        <w:t xml:space="preserve">Estudio Cooperativo del </w:t>
      </w:r>
      <w:proofErr w:type="spellStart"/>
      <w:r>
        <w:rPr>
          <w:rFonts w:ascii="Arial" w:hAnsi="Arial" w:cs="Arial"/>
          <w:i/>
          <w:iCs/>
          <w:sz w:val="22"/>
          <w:szCs w:val="22"/>
          <w:lang w:val="es"/>
        </w:rPr>
        <w:t>Kuroshio</w:t>
      </w:r>
      <w:proofErr w:type="spellEnd"/>
      <w:r>
        <w:rPr>
          <w:rFonts w:ascii="Arial" w:hAnsi="Arial" w:cs="Arial"/>
          <w:i/>
          <w:iCs/>
          <w:sz w:val="22"/>
          <w:szCs w:val="22"/>
          <w:lang w:val="es"/>
        </w:rPr>
        <w:t xml:space="preserve"> y sus Regiones Adyacentes (CSK-2)</w:t>
      </w:r>
      <w:r>
        <w:rPr>
          <w:rFonts w:ascii="Arial" w:hAnsi="Arial" w:cs="Arial"/>
          <w:sz w:val="22"/>
          <w:szCs w:val="22"/>
          <w:lang w:val="es"/>
        </w:rPr>
        <w:t xml:space="preserve">, continuaron los avances sustanciales en la iniciativa CSK-2 con reuniones clave de su Grupo Directivo Internacional, incluyendo </w:t>
      </w:r>
      <w:hyperlink r:id="rId32" w:history="1">
        <w:r>
          <w:rPr>
            <w:rStyle w:val="Hyperlink"/>
            <w:rFonts w:ascii="Arial" w:hAnsi="Arial" w:cs="Arial"/>
            <w:sz w:val="22"/>
            <w:szCs w:val="22"/>
            <w:lang w:val="es"/>
          </w:rPr>
          <w:t>la cuarta reunión</w:t>
        </w:r>
      </w:hyperlink>
      <w:r>
        <w:rPr>
          <w:rFonts w:ascii="Arial" w:hAnsi="Arial" w:cs="Arial"/>
          <w:sz w:val="22"/>
          <w:szCs w:val="22"/>
          <w:lang w:val="es"/>
        </w:rPr>
        <w:t xml:space="preserve"> (4-6 de diciembre de 2023, Qingdao, China) y </w:t>
      </w:r>
      <w:hyperlink r:id="rId33" w:history="1">
        <w:r>
          <w:rPr>
            <w:rStyle w:val="Hyperlink"/>
            <w:rFonts w:ascii="Arial" w:hAnsi="Arial" w:cs="Arial"/>
            <w:sz w:val="22"/>
            <w:szCs w:val="22"/>
            <w:lang w:val="es"/>
          </w:rPr>
          <w:t>la quinta reunión</w:t>
        </w:r>
      </w:hyperlink>
      <w:r>
        <w:rPr>
          <w:rFonts w:ascii="Arial" w:hAnsi="Arial" w:cs="Arial"/>
          <w:sz w:val="22"/>
          <w:szCs w:val="22"/>
          <w:lang w:val="es"/>
        </w:rPr>
        <w:t xml:space="preserve"> (15 de noviembre de 2024, Sendai, Japón) junto con el </w:t>
      </w:r>
      <w:hyperlink r:id="rId34" w:history="1">
        <w:r>
          <w:rPr>
            <w:rStyle w:val="Hyperlink"/>
            <w:rFonts w:ascii="Arial" w:hAnsi="Arial" w:cs="Arial"/>
            <w:sz w:val="22"/>
            <w:szCs w:val="22"/>
            <w:lang w:val="es"/>
          </w:rPr>
          <w:t>2</w:t>
        </w:r>
        <w:r>
          <w:rPr>
            <w:rStyle w:val="Hyperlink"/>
            <w:rFonts w:ascii="Arial" w:hAnsi="Arial" w:cs="Arial"/>
            <w:sz w:val="22"/>
            <w:szCs w:val="22"/>
            <w:vertAlign w:val="superscript"/>
            <w:lang w:val="es"/>
          </w:rPr>
          <w:t>º</w:t>
        </w:r>
        <w:r>
          <w:rPr>
            <w:rStyle w:val="Hyperlink"/>
            <w:rFonts w:ascii="Arial" w:hAnsi="Arial" w:cs="Arial"/>
            <w:sz w:val="22"/>
            <w:szCs w:val="22"/>
            <w:lang w:val="es"/>
          </w:rPr>
          <w:t xml:space="preserve"> Simposio Científico CSK-2</w:t>
        </w:r>
      </w:hyperlink>
      <w:r>
        <w:rPr>
          <w:rFonts w:ascii="Arial" w:hAnsi="Arial" w:cs="Arial"/>
          <w:sz w:val="22"/>
          <w:szCs w:val="22"/>
          <w:lang w:val="es"/>
        </w:rPr>
        <w:t xml:space="preserve"> los días 13 y 14 de noviembre de 2024. Además, se ha llevado a cabo una misión de viabilidad para establecer una Oficina de Apoyo al CSK-2 en el Laboratorio </w:t>
      </w:r>
      <w:proofErr w:type="spellStart"/>
      <w:r>
        <w:rPr>
          <w:rFonts w:ascii="Arial" w:hAnsi="Arial" w:cs="Arial"/>
          <w:sz w:val="22"/>
          <w:szCs w:val="22"/>
          <w:lang w:val="es"/>
        </w:rPr>
        <w:t>Laoshan</w:t>
      </w:r>
      <w:proofErr w:type="spellEnd"/>
      <w:r>
        <w:rPr>
          <w:rFonts w:ascii="Arial" w:hAnsi="Arial" w:cs="Arial"/>
          <w:sz w:val="22"/>
          <w:szCs w:val="22"/>
          <w:lang w:val="es"/>
        </w:rPr>
        <w:t xml:space="preserve"> de Qingdao. Hasta la fecha </w:t>
      </w:r>
      <w:hyperlink r:id="rId35" w:history="1">
        <w:r>
          <w:rPr>
            <w:rStyle w:val="Hyperlink"/>
            <w:rFonts w:ascii="Arial" w:hAnsi="Arial" w:cs="Arial"/>
            <w:sz w:val="22"/>
            <w:szCs w:val="22"/>
            <w:lang w:val="es"/>
          </w:rPr>
          <w:t>se han aprobado 14 proyectos</w:t>
        </w:r>
      </w:hyperlink>
      <w:r>
        <w:rPr>
          <w:rFonts w:ascii="Arial" w:hAnsi="Arial" w:cs="Arial"/>
          <w:sz w:val="22"/>
          <w:szCs w:val="22"/>
          <w:lang w:val="es"/>
        </w:rPr>
        <w:t xml:space="preserve"> en el marco del CSK-2 de acuerdo con </w:t>
      </w:r>
      <w:hyperlink r:id="rId36" w:history="1">
        <w:r>
          <w:rPr>
            <w:rStyle w:val="Hyperlink"/>
            <w:rFonts w:ascii="Arial" w:hAnsi="Arial" w:cs="Arial"/>
            <w:sz w:val="22"/>
            <w:szCs w:val="22"/>
            <w:lang w:val="es"/>
          </w:rPr>
          <w:t xml:space="preserve">el </w:t>
        </w:r>
        <w:r>
          <w:rPr>
            <w:rStyle w:val="Hyperlink"/>
            <w:rFonts w:ascii="Arial" w:hAnsi="Arial" w:cs="Arial"/>
            <w:i/>
            <w:iCs/>
            <w:sz w:val="22"/>
            <w:szCs w:val="22"/>
            <w:lang w:val="es"/>
          </w:rPr>
          <w:t>Plan de Acción Científica CS</w:t>
        </w:r>
        <w:r>
          <w:rPr>
            <w:rStyle w:val="Hyperlink"/>
            <w:rFonts w:ascii="Arial" w:hAnsi="Arial" w:cs="Arial"/>
            <w:sz w:val="22"/>
            <w:szCs w:val="22"/>
            <w:lang w:val="es"/>
          </w:rPr>
          <w:t>K-2</w:t>
        </w:r>
      </w:hyperlink>
      <w:r>
        <w:rPr>
          <w:rFonts w:ascii="Arial" w:hAnsi="Arial" w:cs="Arial"/>
          <w:sz w:val="22"/>
          <w:szCs w:val="22"/>
          <w:lang w:val="es"/>
        </w:rPr>
        <w:t>, sentando una base sólida para futuros avances, (</w:t>
      </w:r>
      <w:proofErr w:type="spellStart"/>
      <w:r>
        <w:rPr>
          <w:rFonts w:ascii="Arial" w:hAnsi="Arial" w:cs="Arial"/>
          <w:sz w:val="22"/>
          <w:szCs w:val="22"/>
          <w:lang w:val="es"/>
        </w:rPr>
        <w:t>iii</w:t>
      </w:r>
      <w:proofErr w:type="spellEnd"/>
      <w:r>
        <w:rPr>
          <w:rFonts w:ascii="Arial" w:hAnsi="Arial" w:cs="Arial"/>
          <w:sz w:val="22"/>
          <w:szCs w:val="22"/>
          <w:lang w:val="es"/>
        </w:rPr>
        <w:t>)</w:t>
      </w:r>
      <w:r>
        <w:rPr>
          <w:rFonts w:ascii="Arial" w:hAnsi="Arial" w:cs="Arial"/>
          <w:i/>
          <w:iCs/>
          <w:sz w:val="22"/>
          <w:szCs w:val="22"/>
          <w:lang w:val="es"/>
        </w:rPr>
        <w:t xml:space="preserve"> </w:t>
      </w:r>
      <w:r>
        <w:rPr>
          <w:rFonts w:ascii="Arial" w:hAnsi="Arial" w:cs="Arial"/>
          <w:sz w:val="22"/>
          <w:szCs w:val="22"/>
          <w:lang w:val="es"/>
        </w:rPr>
        <w:t xml:space="preserve">con </w:t>
      </w:r>
      <w:proofErr w:type="spellStart"/>
      <w:r>
        <w:rPr>
          <w:rFonts w:ascii="Arial" w:hAnsi="Arial" w:cs="Arial"/>
          <w:i/>
          <w:iCs/>
          <w:sz w:val="22"/>
          <w:szCs w:val="22"/>
          <w:lang w:val="es"/>
        </w:rPr>
        <w:t>Harnessing</w:t>
      </w:r>
      <w:proofErr w:type="spellEnd"/>
      <w:r>
        <w:rPr>
          <w:rFonts w:ascii="Arial" w:hAnsi="Arial" w:cs="Arial"/>
          <w:i/>
          <w:iCs/>
          <w:sz w:val="22"/>
          <w:szCs w:val="22"/>
          <w:lang w:val="es"/>
        </w:rPr>
        <w:t xml:space="preserve"> the </w:t>
      </w:r>
      <w:proofErr w:type="spellStart"/>
      <w:r>
        <w:rPr>
          <w:rFonts w:ascii="Arial" w:hAnsi="Arial" w:cs="Arial"/>
          <w:i/>
          <w:iCs/>
          <w:sz w:val="22"/>
          <w:szCs w:val="22"/>
          <w:lang w:val="es"/>
        </w:rPr>
        <w:t>potential</w:t>
      </w:r>
      <w:proofErr w:type="spellEnd"/>
      <w:r>
        <w:rPr>
          <w:rFonts w:ascii="Arial" w:hAnsi="Arial" w:cs="Arial"/>
          <w:i/>
          <w:iCs/>
          <w:sz w:val="22"/>
          <w:szCs w:val="22"/>
          <w:lang w:val="es"/>
        </w:rPr>
        <w:t xml:space="preserve"> of </w:t>
      </w:r>
      <w:proofErr w:type="spellStart"/>
      <w:r>
        <w:rPr>
          <w:rFonts w:ascii="Arial" w:hAnsi="Arial" w:cs="Arial"/>
          <w:i/>
          <w:iCs/>
          <w:sz w:val="22"/>
          <w:szCs w:val="22"/>
          <w:lang w:val="es"/>
        </w:rPr>
        <w:t>environmental</w:t>
      </w:r>
      <w:proofErr w:type="spellEnd"/>
      <w:r>
        <w:rPr>
          <w:rFonts w:ascii="Arial" w:hAnsi="Arial" w:cs="Arial"/>
          <w:i/>
          <w:iCs/>
          <w:sz w:val="22"/>
          <w:szCs w:val="22"/>
          <w:lang w:val="es"/>
        </w:rPr>
        <w:t xml:space="preserve"> DNA for marine </w:t>
      </w:r>
      <w:proofErr w:type="spellStart"/>
      <w:r>
        <w:rPr>
          <w:rFonts w:ascii="Arial" w:hAnsi="Arial" w:cs="Arial"/>
          <w:i/>
          <w:iCs/>
          <w:sz w:val="22"/>
          <w:szCs w:val="22"/>
          <w:lang w:val="es"/>
        </w:rPr>
        <w:t>biodiversity</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conservation</w:t>
      </w:r>
      <w:proofErr w:type="spellEnd"/>
      <w:r>
        <w:rPr>
          <w:rFonts w:ascii="Arial" w:hAnsi="Arial" w:cs="Arial"/>
          <w:i/>
          <w:iCs/>
          <w:sz w:val="22"/>
          <w:szCs w:val="22"/>
          <w:lang w:val="es"/>
        </w:rPr>
        <w:t xml:space="preserve"> and MPA </w:t>
      </w:r>
      <w:proofErr w:type="spellStart"/>
      <w:r>
        <w:rPr>
          <w:rFonts w:ascii="Arial" w:hAnsi="Arial" w:cs="Arial"/>
          <w:i/>
          <w:iCs/>
          <w:sz w:val="22"/>
          <w:szCs w:val="22"/>
          <w:lang w:val="es"/>
        </w:rPr>
        <w:t>management</w:t>
      </w:r>
      <w:proofErr w:type="spellEnd"/>
      <w:r>
        <w:rPr>
          <w:rFonts w:ascii="Arial" w:hAnsi="Arial" w:cs="Arial"/>
          <w:i/>
          <w:iCs/>
          <w:sz w:val="22"/>
          <w:szCs w:val="22"/>
          <w:lang w:val="es"/>
        </w:rPr>
        <w:t xml:space="preserve"> </w:t>
      </w:r>
      <w:r>
        <w:rPr>
          <w:rFonts w:ascii="Arial" w:hAnsi="Arial" w:cs="Arial"/>
          <w:sz w:val="22"/>
          <w:szCs w:val="22"/>
          <w:lang w:val="es"/>
        </w:rPr>
        <w:t xml:space="preserve">(Aprovechamiento del potencial del ADN ambiental para la conservación de la biodiversidad marina y la gestión de las AMP), </w:t>
      </w:r>
      <w:hyperlink r:id="rId37" w:history="1">
        <w:r>
          <w:rPr>
            <w:rStyle w:val="Hyperlink"/>
            <w:rFonts w:ascii="Arial" w:hAnsi="Arial" w:cs="Arial"/>
            <w:sz w:val="22"/>
            <w:szCs w:val="22"/>
            <w:lang w:val="es"/>
          </w:rPr>
          <w:t xml:space="preserve">un taller de formación sobre </w:t>
        </w:r>
        <w:proofErr w:type="spellStart"/>
        <w:r>
          <w:rPr>
            <w:rStyle w:val="Hyperlink"/>
            <w:rFonts w:ascii="Arial" w:hAnsi="Arial" w:cs="Arial"/>
            <w:sz w:val="22"/>
            <w:szCs w:val="22"/>
            <w:lang w:val="es"/>
          </w:rPr>
          <w:t>eDNA</w:t>
        </w:r>
        <w:proofErr w:type="spellEnd"/>
      </w:hyperlink>
      <w:r>
        <w:rPr>
          <w:rFonts w:ascii="Arial" w:hAnsi="Arial" w:cs="Arial"/>
          <w:sz w:val="22"/>
          <w:szCs w:val="22"/>
          <w:lang w:val="es"/>
        </w:rPr>
        <w:t xml:space="preserve"> del 27 al 29 de noviembre de 2023, seguido de una Incubadora del Decenio sobre </w:t>
      </w:r>
      <w:proofErr w:type="spellStart"/>
      <w:r>
        <w:rPr>
          <w:rFonts w:ascii="Arial" w:hAnsi="Arial" w:cs="Arial"/>
          <w:sz w:val="22"/>
          <w:szCs w:val="22"/>
          <w:lang w:val="es"/>
        </w:rPr>
        <w:t>eDNA</w:t>
      </w:r>
      <w:proofErr w:type="spellEnd"/>
      <w:r>
        <w:rPr>
          <w:rFonts w:ascii="Arial" w:hAnsi="Arial" w:cs="Arial"/>
          <w:sz w:val="22"/>
          <w:szCs w:val="22"/>
          <w:lang w:val="es"/>
        </w:rPr>
        <w:t xml:space="preserve"> durante la 11</w:t>
      </w:r>
      <w:r>
        <w:rPr>
          <w:rFonts w:ascii="Arial" w:hAnsi="Arial" w:cs="Arial"/>
          <w:sz w:val="22"/>
          <w:szCs w:val="22"/>
          <w:vertAlign w:val="superscript"/>
          <w:lang w:val="es"/>
        </w:rPr>
        <w:t>ª</w:t>
      </w:r>
      <w:r>
        <w:rPr>
          <w:rFonts w:ascii="Arial" w:hAnsi="Arial" w:cs="Arial"/>
          <w:sz w:val="22"/>
          <w:szCs w:val="22"/>
          <w:lang w:val="es"/>
        </w:rPr>
        <w:t xml:space="preserve"> Conferencia Internacional de Ciencias Marinas de WESTPAC en abril de 2024. Los resultados de la iniciativa sirvieron de impulso para ampliar la aplicación de las técnicas de </w:t>
      </w:r>
      <w:proofErr w:type="spellStart"/>
      <w:r>
        <w:rPr>
          <w:rFonts w:ascii="Arial" w:hAnsi="Arial" w:cs="Arial"/>
          <w:sz w:val="22"/>
          <w:szCs w:val="22"/>
          <w:lang w:val="es"/>
        </w:rPr>
        <w:t>eDNA</w:t>
      </w:r>
      <w:proofErr w:type="spellEnd"/>
      <w:r>
        <w:rPr>
          <w:rFonts w:ascii="Arial" w:hAnsi="Arial" w:cs="Arial"/>
          <w:sz w:val="22"/>
          <w:szCs w:val="22"/>
          <w:lang w:val="es"/>
        </w:rPr>
        <w:t xml:space="preserve"> en toda la región, mejorando la capacidad de seguimiento y evaluación de la biodiversidad marina en apoyo de las Estrategias y Planes de Acción Nacionales sobre Biodiversidad (EPANB); </w:t>
      </w:r>
      <w:proofErr w:type="spellStart"/>
      <w:r>
        <w:rPr>
          <w:rFonts w:ascii="Arial" w:hAnsi="Arial" w:cs="Arial"/>
          <w:sz w:val="22"/>
          <w:szCs w:val="22"/>
          <w:lang w:val="es"/>
        </w:rPr>
        <w:t>iv</w:t>
      </w:r>
      <w:proofErr w:type="spellEnd"/>
      <w:r>
        <w:rPr>
          <w:rFonts w:ascii="Arial" w:hAnsi="Arial" w:cs="Arial"/>
          <w:sz w:val="22"/>
          <w:szCs w:val="22"/>
          <w:lang w:val="es"/>
        </w:rPr>
        <w:t xml:space="preserve">) con </w:t>
      </w:r>
      <w:r>
        <w:rPr>
          <w:rFonts w:ascii="Arial" w:hAnsi="Arial" w:cs="Arial"/>
          <w:i/>
          <w:iCs/>
          <w:sz w:val="22"/>
          <w:szCs w:val="22"/>
          <w:lang w:val="es"/>
        </w:rPr>
        <w:t>Lucha contra las emisiones de plásticos fluviales</w:t>
      </w:r>
      <w:r>
        <w:rPr>
          <w:rFonts w:ascii="Arial" w:hAnsi="Arial" w:cs="Arial"/>
          <w:sz w:val="22"/>
          <w:szCs w:val="22"/>
          <w:lang w:val="es"/>
        </w:rPr>
        <w:t xml:space="preserve">, </w:t>
      </w:r>
      <w:hyperlink r:id="rId38" w:history="1">
        <w:r>
          <w:rPr>
            <w:rStyle w:val="Hyperlink"/>
            <w:rFonts w:ascii="Arial" w:hAnsi="Arial" w:cs="Arial"/>
            <w:sz w:val="22"/>
            <w:szCs w:val="22"/>
            <w:lang w:val="es"/>
          </w:rPr>
          <w:t>se organizó un taller internacional (21-23 de noviembre de 2023, Sanya, China)</w:t>
        </w:r>
      </w:hyperlink>
      <w:r>
        <w:rPr>
          <w:rFonts w:ascii="Arial" w:hAnsi="Arial" w:cs="Arial"/>
          <w:sz w:val="22"/>
          <w:szCs w:val="22"/>
          <w:lang w:val="es"/>
        </w:rPr>
        <w:t xml:space="preserve"> para fomentar asociaciones, estandarizar metodologías e identificar ríos piloto para acciones específicas. En 2024 se realizaron trabajos de campo en ríos piloto identificados en Egipto, Tailandia y Vietnam para abordar la contaminación por plásticos.</w:t>
      </w:r>
    </w:p>
    <w:p w14:paraId="197FBFBF" w14:textId="395ED480" w:rsidR="00DE37CA" w:rsidRPr="006C41C4"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Subcomisión contribuye a la aplicación de la </w:t>
      </w:r>
      <w:r>
        <w:rPr>
          <w:rFonts w:ascii="Arial" w:hAnsi="Arial" w:cs="Arial"/>
          <w:i/>
          <w:iCs/>
          <w:sz w:val="22"/>
          <w:szCs w:val="22"/>
          <w:lang w:val="es"/>
        </w:rPr>
        <w:t>Estrategia de Desarrollo de Capacidades de la COI (2023-2030)</w:t>
      </w:r>
      <w:r>
        <w:rPr>
          <w:rFonts w:ascii="Arial" w:hAnsi="Arial" w:cs="Arial"/>
          <w:sz w:val="22"/>
          <w:szCs w:val="22"/>
          <w:lang w:val="es"/>
        </w:rPr>
        <w:t xml:space="preserve">, mediante el diseño y la elaboración conjunta de iniciativas de desarrollo de capacidades adaptadas a sus necesidades específicas, garantizando el desarrollo sostenible de los océanos, los mares y las costas. Durante el pasado periodo entre reuniones, la Subcomisión se centró en el desarrollo de su iniciativa </w:t>
      </w:r>
      <w:hyperlink r:id="rId39" w:history="1">
        <w:r>
          <w:rPr>
            <w:rStyle w:val="Hyperlink"/>
            <w:rFonts w:ascii="Arial" w:hAnsi="Arial" w:cs="Arial"/>
            <w:sz w:val="22"/>
            <w:szCs w:val="22"/>
            <w:lang w:val="es"/>
          </w:rPr>
          <w:t xml:space="preserve">Acción 23 del Decenio de las Naciones Unidas: </w:t>
        </w:r>
        <w:r>
          <w:rPr>
            <w:rStyle w:val="Hyperlink"/>
            <w:rFonts w:ascii="Arial" w:hAnsi="Arial" w:cs="Arial"/>
            <w:sz w:val="22"/>
            <w:szCs w:val="22"/>
            <w:u w:val="none"/>
            <w:lang w:val="es"/>
          </w:rPr>
          <w:t>"</w:t>
        </w:r>
        <w:r>
          <w:rPr>
            <w:rStyle w:val="Hyperlink"/>
            <w:rFonts w:ascii="Arial" w:hAnsi="Arial" w:cs="Arial"/>
            <w:sz w:val="22"/>
            <w:szCs w:val="22"/>
            <w:lang w:val="es"/>
          </w:rPr>
          <w:t>Acelerar las transformaciones del desarrollo de capacidades en el Pacífico Occidental a través de la Red Regional de Centros de Formación e Investigación (RTRC) en Ciencias del Mar</w:t>
        </w:r>
      </w:hyperlink>
      <w:r>
        <w:rPr>
          <w:rFonts w:ascii="Arial" w:hAnsi="Arial" w:cs="Arial"/>
          <w:sz w:val="22"/>
          <w:szCs w:val="22"/>
          <w:lang w:val="es"/>
        </w:rPr>
        <w:t>". La iniciativa de las RTRC ha sido reconocida por los Estados Miembros como una de las mejores prácticas para el desarrollo de capacidades en la región.</w:t>
      </w:r>
    </w:p>
    <w:p w14:paraId="54EBC692" w14:textId="3E3E833E" w:rsidR="00DE37CA" w:rsidRPr="006C41C4"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red RTRC se amplía constantemente con la incorporación de más instituciones de investigación y universidades que contribuyen al desarrollo de capacidades en la región. Hasta el año 2024, se habían establecido seis RTRC con enfoques y compromisos específicos para el Pacífico Occidental y sus zonas adyacentes. Las seis RTRC se centran actualmente en los siguientes temas: </w:t>
      </w:r>
      <w:r>
        <w:rPr>
          <w:rFonts w:ascii="Arial" w:hAnsi="Arial" w:cs="Arial"/>
          <w:i/>
          <w:iCs/>
          <w:sz w:val="22"/>
          <w:szCs w:val="22"/>
          <w:lang w:val="es"/>
        </w:rPr>
        <w:t xml:space="preserve">biodiversidad marina y salud de los ecosistemas (Agencia Nacional de Investigación e Innovación, Indonesia), vigilancia de los contaminantes costeros y tecnología de innovación marina (Universidad de la Ciudad de Hong Kong, China), toxinas marinas y seguridad de los productos del mar (Instituto de Oceanografía, Vietnam), desechos plásticos marinos y </w:t>
      </w:r>
      <w:proofErr w:type="spellStart"/>
      <w:r>
        <w:rPr>
          <w:rFonts w:ascii="Arial" w:hAnsi="Arial" w:cs="Arial"/>
          <w:i/>
          <w:iCs/>
          <w:sz w:val="22"/>
          <w:szCs w:val="22"/>
          <w:lang w:val="es"/>
        </w:rPr>
        <w:t>microplásticos</w:t>
      </w:r>
      <w:proofErr w:type="spellEnd"/>
      <w:r>
        <w:rPr>
          <w:rFonts w:ascii="Arial" w:hAnsi="Arial" w:cs="Arial"/>
          <w:i/>
          <w:iCs/>
          <w:sz w:val="22"/>
          <w:szCs w:val="22"/>
          <w:lang w:val="es"/>
        </w:rPr>
        <w:t xml:space="preserve"> (Escuela Normal Superior de China Oriental, China), restauración de arrecifes y </w:t>
      </w:r>
      <w:r>
        <w:rPr>
          <w:rFonts w:ascii="Arial" w:hAnsi="Arial" w:cs="Arial"/>
          <w:i/>
          <w:iCs/>
          <w:sz w:val="22"/>
          <w:szCs w:val="22"/>
          <w:lang w:val="es"/>
        </w:rPr>
        <w:lastRenderedPageBreak/>
        <w:t xml:space="preserve">AMP (Universidad de Filipinas), y dinámica del océano y clima (Instituto Principal de Oceanografía, Ministerio de Recursos Naturales, China). </w:t>
      </w:r>
    </w:p>
    <w:p w14:paraId="742DB41D" w14:textId="36C4920E" w:rsidR="00DE37CA" w:rsidRPr="006C41C4"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A continuación, el </w:t>
      </w:r>
      <w:proofErr w:type="gramStart"/>
      <w:r>
        <w:rPr>
          <w:rFonts w:ascii="Arial" w:hAnsi="Arial" w:cs="Arial"/>
          <w:sz w:val="22"/>
          <w:szCs w:val="22"/>
          <w:lang w:val="es"/>
        </w:rPr>
        <w:t>Presidente</w:t>
      </w:r>
      <w:proofErr w:type="gramEnd"/>
      <w:r>
        <w:rPr>
          <w:rFonts w:ascii="Arial" w:hAnsi="Arial" w:cs="Arial"/>
          <w:sz w:val="22"/>
          <w:szCs w:val="22"/>
          <w:lang w:val="es"/>
        </w:rPr>
        <w:t xml:space="preserve"> de WESTPAC informó sobre los principales resultados de la 15</w:t>
      </w:r>
      <w:r>
        <w:rPr>
          <w:rFonts w:ascii="Arial" w:hAnsi="Arial" w:cs="Arial"/>
          <w:sz w:val="22"/>
          <w:szCs w:val="22"/>
          <w:vertAlign w:val="superscript"/>
          <w:lang w:val="es"/>
        </w:rPr>
        <w:t>ª</w:t>
      </w:r>
      <w:r>
        <w:rPr>
          <w:rFonts w:ascii="Arial" w:hAnsi="Arial" w:cs="Arial"/>
          <w:sz w:val="22"/>
          <w:szCs w:val="22"/>
          <w:lang w:val="es"/>
        </w:rPr>
        <w:t xml:space="preserve"> Reunión Intergubernamental (WESTPAC-XV, 11-13 de marzo de 2025). A lo largo de la reunión, los Estados Miembros expresaron su abrumador apoyo al incansable esfuerzo de la Subcomisión por ayudar a los países a afrontar sus retos de desarrollo, y por su papel de liderazgo en la región a la hora de movilizar apoyos y acciones para el Decenio del Océano. Como parte integrante de la reunión, el 12 de marzo de 2025 se celebró la </w:t>
      </w:r>
      <w:hyperlink r:id="rId40" w:history="1">
        <w:r>
          <w:rPr>
            <w:rFonts w:ascii="Arial" w:hAnsi="Arial" w:cs="Arial"/>
            <w:color w:val="212121"/>
            <w:sz w:val="22"/>
            <w:szCs w:val="22"/>
            <w:u w:val="single"/>
            <w:lang w:val="es"/>
          </w:rPr>
          <w:t>segunda mesa redonda de altos funcionarios gubernamentales</w:t>
        </w:r>
      </w:hyperlink>
      <w:r>
        <w:rPr>
          <w:rFonts w:ascii="Arial" w:hAnsi="Arial" w:cs="Arial"/>
          <w:sz w:val="22"/>
          <w:szCs w:val="22"/>
          <w:lang w:val="es"/>
        </w:rPr>
        <w:t xml:space="preserve">, destinada a intercambiar experiencias y perspectivas entre los responsables de la toma de decisiones sobre prácticas de gestión y conservación del océano basadas en la ciencia. Además, también se organizó el </w:t>
      </w:r>
      <w:hyperlink r:id="rId41" w:history="1">
        <w:r>
          <w:rPr>
            <w:rFonts w:ascii="Arial" w:hAnsi="Arial" w:cs="Arial"/>
            <w:color w:val="212121"/>
            <w:sz w:val="22"/>
            <w:szCs w:val="22"/>
            <w:u w:val="single"/>
            <w:lang w:val="es"/>
          </w:rPr>
          <w:t>segundo foro de comités nacionales del Decenio</w:t>
        </w:r>
      </w:hyperlink>
      <w:r>
        <w:rPr>
          <w:rFonts w:ascii="Arial" w:hAnsi="Arial" w:cs="Arial"/>
          <w:sz w:val="22"/>
          <w:szCs w:val="22"/>
          <w:lang w:val="es"/>
        </w:rPr>
        <w:t xml:space="preserve"> (CND) para promover el intercambio de experiencias entre los CND de la región.</w:t>
      </w:r>
    </w:p>
    <w:p w14:paraId="1863BE04" w14:textId="2E23F895" w:rsidR="00DE37CA" w:rsidRPr="006C41C4" w:rsidRDefault="00C85B37" w:rsidP="00547D9B">
      <w:pPr>
        <w:pStyle w:val="ListParagraph1"/>
        <w:widowControl/>
        <w:numPr>
          <w:ilvl w:val="0"/>
          <w:numId w:val="8"/>
        </w:numPr>
        <w:tabs>
          <w:tab w:val="left" w:pos="851"/>
        </w:tabs>
        <w:snapToGrid w:val="0"/>
        <w:spacing w:after="240"/>
        <w:ind w:left="0" w:firstLine="0"/>
        <w:contextualSpacing w:val="0"/>
        <w:rPr>
          <w:rFonts w:ascii="Arial" w:eastAsia="Malgun Gothic" w:hAnsi="Arial" w:cs="Arial"/>
          <w:sz w:val="22"/>
          <w:szCs w:val="22"/>
          <w:lang w:val="es-ES"/>
        </w:rPr>
      </w:pPr>
      <w:r>
        <w:rPr>
          <w:rFonts w:ascii="Arial" w:hAnsi="Arial" w:cs="Arial"/>
          <w:sz w:val="22"/>
          <w:szCs w:val="22"/>
          <w:lang w:val="es"/>
        </w:rPr>
        <w:t>Informó de que los Estados Miembros de la región hicieron hincapié en la importancia crítica de desarrollar la capacidad de las ciencias oceánicas para la aplicación efectiva del Acuerdo BBNJ, especialmente en las regiones en desarrollo. Por lo tanto, la Subcomisión decidió crear un Grupo de Trabajo entre reuniones de composición abierta sobre el Acuerdo BBNJ. En relación con el Marco Mundial para la Biodiversidad (GBF) de Kunming-Montreal, los Estados Miembros reconocieron la gran importancia de los esfuerzos de la Subcomisión en materia de conservación de la biodiversidad marina para la consecución de los objetivos y metas del GBF. En consecuencia, la Subcomisión decidió armonizar, en la medida de lo posible, sus iniciativas relacionadas con la biodiversidad con los objetivos y metas del Marco, intensificar sus esfuerzos en materia de investigaciones científicas aplicables, que puedan utilizarse para fundamentar la toma de decisiones y las políticas, y buscar oportunidades de financiación internacional para ayudar a los Estados Miembros en la aplicación efectiva de sus estrategias y planes de acción nacionales en materia de diversidad biológica (EPANDB).</w:t>
      </w:r>
    </w:p>
    <w:p w14:paraId="457D4E22" w14:textId="31C10E94" w:rsidR="00DE37CA" w:rsidRPr="006C41C4"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t>La Subcomisión acogió con beneplácito el ofrecimiento de Filipinas de acoger la 12ª Conferencia Internacional sobre Ciencias del Mar de la WESTPAC y la Tercera Conferencia Regional del Decenio de las Naciones Unidas, previstas en principio para marzo-mayo de 2027.</w:t>
      </w:r>
      <w:r>
        <w:rPr>
          <w:lang w:val="es"/>
        </w:rPr>
        <w:t xml:space="preserve"> </w:t>
      </w:r>
      <w:r>
        <w:rPr>
          <w:rFonts w:ascii="Arial" w:hAnsi="Arial"/>
          <w:sz w:val="22"/>
          <w:szCs w:val="22"/>
          <w:lang w:val="es"/>
        </w:rPr>
        <w:t xml:space="preserve">Con el fin de proporcionar una cartera completa de acciones que permitan acelerar los procesos de planificación del espacio marino en la región, la Subcomisión adoptó, en principio </w:t>
      </w:r>
      <w:hyperlink r:id="rId42" w:history="1">
        <w:r>
          <w:rPr>
            <w:rFonts w:ascii="Arial" w:hAnsi="Arial"/>
            <w:sz w:val="22"/>
            <w:szCs w:val="22"/>
            <w:lang w:val="es"/>
          </w:rPr>
          <w:t>el Marco de Acción para Acelerar la Planificación del Espacio Marino en el Pacífico Occidental y sus Zonas Adyacentes (2025-2030)</w:t>
        </w:r>
      </w:hyperlink>
      <w:r>
        <w:rPr>
          <w:rFonts w:ascii="Arial" w:hAnsi="Arial"/>
          <w:sz w:val="22"/>
          <w:szCs w:val="22"/>
          <w:lang w:val="es"/>
        </w:rPr>
        <w:t>.</w:t>
      </w:r>
    </w:p>
    <w:p w14:paraId="732B4E68" w14:textId="5EDF76F0" w:rsidR="00DE37CA" w:rsidRPr="006C41C4" w:rsidRDefault="002F31C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Teniendo en cuenta el creciente compromiso de comunidades más amplias en el 2º Estudio Cooperativo del </w:t>
      </w:r>
      <w:proofErr w:type="spellStart"/>
      <w:r>
        <w:rPr>
          <w:rFonts w:ascii="Arial" w:hAnsi="Arial" w:cs="Arial"/>
          <w:sz w:val="22"/>
          <w:szCs w:val="22"/>
          <w:lang w:val="es"/>
        </w:rPr>
        <w:t>Kuroshio</w:t>
      </w:r>
      <w:proofErr w:type="spellEnd"/>
      <w:r>
        <w:rPr>
          <w:rFonts w:ascii="Arial" w:hAnsi="Arial" w:cs="Arial"/>
          <w:sz w:val="22"/>
          <w:szCs w:val="22"/>
          <w:lang w:val="es"/>
        </w:rPr>
        <w:t xml:space="preserve"> y sus Regiones Adyacentes (CSK-2), y basándose en los resultados de la evaluación, la Subcomisión aprobó la creación de una Oficina de Apoyo al CSK-2 que será acogida por el Laboratorio </w:t>
      </w:r>
      <w:proofErr w:type="spellStart"/>
      <w:r>
        <w:rPr>
          <w:rFonts w:ascii="Arial" w:hAnsi="Arial" w:cs="Arial"/>
          <w:sz w:val="22"/>
          <w:szCs w:val="22"/>
          <w:lang w:val="es"/>
        </w:rPr>
        <w:t>Laoshan</w:t>
      </w:r>
      <w:proofErr w:type="spellEnd"/>
      <w:r>
        <w:rPr>
          <w:rFonts w:ascii="Arial" w:hAnsi="Arial" w:cs="Arial"/>
          <w:sz w:val="22"/>
          <w:szCs w:val="22"/>
          <w:lang w:val="es"/>
        </w:rPr>
        <w:t xml:space="preserve"> de Qingdao (China). Además, la Subcomisión también animó a los Estados Miembros y a sus instituciones a considerar la posibilidad de acoger otros centros regionales de formación e investigación que se ajusten a las cuestiones prioritarias regionales y a sus áreas de especialización. Teniendo en cuenta la creciente necesidad expresada por los Estados Miembros en cuanto al fomento de la cultura oceánica y la falta de un enfoque estratégico y holístico para su desarrollo en la región, la Subcomisión decidió crear un equipo de trabajo para el periodo entre reuniones sobre cultura oceánica, encargado de impulsar los esfuerzos encaminados a fomentar la cultura oceánica en la región.</w:t>
      </w:r>
    </w:p>
    <w:p w14:paraId="5F6BE6BD" w14:textId="51D20E8D" w:rsidR="00DE37CA" w:rsidRPr="006C41C4"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t xml:space="preserve">La Subcomisión felicitó a Japón por presidir la 2ª Mesa Redonda de Altos </w:t>
      </w:r>
      <w:proofErr w:type="gramStart"/>
      <w:r>
        <w:rPr>
          <w:rFonts w:ascii="Arial" w:hAnsi="Arial"/>
          <w:sz w:val="22"/>
          <w:szCs w:val="22"/>
          <w:lang w:val="es"/>
        </w:rPr>
        <w:t>Funcionarios</w:t>
      </w:r>
      <w:proofErr w:type="gramEnd"/>
      <w:r>
        <w:rPr>
          <w:rFonts w:ascii="Arial" w:hAnsi="Arial"/>
          <w:sz w:val="22"/>
          <w:szCs w:val="22"/>
          <w:lang w:val="es"/>
        </w:rPr>
        <w:t xml:space="preserve"> Gubernamentales y acogió con satisfacción la "Declaración Conjunta </w:t>
      </w:r>
      <w:proofErr w:type="spellStart"/>
      <w:r>
        <w:rPr>
          <w:rFonts w:ascii="Arial" w:hAnsi="Arial"/>
          <w:sz w:val="22"/>
          <w:szCs w:val="22"/>
          <w:lang w:val="es"/>
        </w:rPr>
        <w:t>de</w:t>
      </w:r>
      <w:hyperlink r:id="rId43" w:history="1">
        <w:r>
          <w:rPr>
            <w:rFonts w:ascii="Arial" w:hAnsi="Arial"/>
            <w:sz w:val="22"/>
            <w:szCs w:val="22"/>
            <w:lang w:val="es"/>
          </w:rPr>
          <w:t>Tokio</w:t>
        </w:r>
        <w:proofErr w:type="spellEnd"/>
      </w:hyperlink>
      <w:r>
        <w:rPr>
          <w:rFonts w:ascii="Arial" w:hAnsi="Arial"/>
          <w:sz w:val="22"/>
          <w:szCs w:val="22"/>
          <w:lang w:val="es"/>
        </w:rPr>
        <w:t xml:space="preserve"> sobre el Desarrollo de las Ciencias Oceánicas y la Cooperación para el Desarrollo Sostenible en el Pacífico Occidental y Zonas Adyacentes".</w:t>
      </w:r>
    </w:p>
    <w:p w14:paraId="497FBD59" w14:textId="38EBD24F" w:rsidR="00DE37CA" w:rsidRPr="006C41C4"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En respuesta a los nuevos retos ecológicos, sociales y económicos, la Subcomisión decidió crear cuatro nuevas iniciativas, entre ellas un programa</w:t>
      </w:r>
      <w:r>
        <w:rPr>
          <w:rFonts w:ascii="Arial" w:hAnsi="Arial" w:cs="Arial"/>
          <w:i/>
          <w:iCs/>
          <w:sz w:val="22"/>
          <w:szCs w:val="22"/>
          <w:lang w:val="es"/>
        </w:rPr>
        <w:t xml:space="preserve"> sobre la Predicción de los </w:t>
      </w:r>
      <w:r>
        <w:rPr>
          <w:rFonts w:ascii="Arial" w:hAnsi="Arial" w:cs="Arial"/>
          <w:i/>
          <w:iCs/>
          <w:sz w:val="22"/>
          <w:szCs w:val="22"/>
          <w:lang w:val="es"/>
        </w:rPr>
        <w:lastRenderedPageBreak/>
        <w:t>cambios de los ecosistemas marinos en el Pacífico Noroccidental (2025-2030)</w:t>
      </w:r>
      <w:r>
        <w:rPr>
          <w:rFonts w:ascii="Arial" w:hAnsi="Arial" w:cs="Arial"/>
          <w:sz w:val="22"/>
          <w:szCs w:val="22"/>
          <w:lang w:val="es"/>
        </w:rPr>
        <w:t>, un proyecto</w:t>
      </w:r>
      <w:r>
        <w:rPr>
          <w:rFonts w:ascii="Arial" w:hAnsi="Arial" w:cs="Arial"/>
          <w:i/>
          <w:iCs/>
          <w:sz w:val="22"/>
          <w:szCs w:val="22"/>
          <w:lang w:val="es"/>
        </w:rPr>
        <w:t xml:space="preserve"> sobre los Flujos de Metano y sus impactos sobre el clima y el ecosistema en la región Indo-Pacífica (2025-2029)</w:t>
      </w:r>
      <w:r>
        <w:rPr>
          <w:rFonts w:ascii="Arial" w:hAnsi="Arial" w:cs="Arial"/>
          <w:sz w:val="22"/>
          <w:szCs w:val="22"/>
          <w:lang w:val="es"/>
        </w:rPr>
        <w:t>, y dos grupos de trabajo</w:t>
      </w:r>
      <w:r>
        <w:rPr>
          <w:rFonts w:ascii="Arial" w:hAnsi="Arial" w:cs="Arial"/>
          <w:i/>
          <w:iCs/>
          <w:sz w:val="22"/>
          <w:szCs w:val="22"/>
          <w:lang w:val="es"/>
        </w:rPr>
        <w:t xml:space="preserve"> centrados en la Investigación de las Praderas Marinas en el Pacífico Indo-Occidental (2025-2028) y la Restauración de los Ecosistemas de Carbono Azul centrada inicialmente en los Manglares (2025-2028). </w:t>
      </w:r>
    </w:p>
    <w:p w14:paraId="6113F83A" w14:textId="4F8666E3" w:rsidR="00C85B37" w:rsidRPr="006C41C4"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eastAsiaTheme="minorEastAsia" w:hAnsi="Arial" w:cs="Arial"/>
          <w:sz w:val="22"/>
          <w:szCs w:val="22"/>
          <w:lang w:val="es"/>
        </w:rPr>
        <w:t xml:space="preserve">El </w:t>
      </w:r>
      <w:proofErr w:type="gramStart"/>
      <w:r>
        <w:rPr>
          <w:rFonts w:ascii="Arial" w:eastAsiaTheme="minorEastAsia" w:hAnsi="Arial" w:cs="Arial"/>
          <w:sz w:val="22"/>
          <w:szCs w:val="22"/>
          <w:lang w:val="es"/>
        </w:rPr>
        <w:t>Presidente</w:t>
      </w:r>
      <w:proofErr w:type="gramEnd"/>
      <w:r>
        <w:rPr>
          <w:rFonts w:ascii="Arial" w:eastAsiaTheme="minorEastAsia" w:hAnsi="Arial" w:cs="Arial"/>
          <w:sz w:val="22"/>
          <w:szCs w:val="22"/>
          <w:lang w:val="es"/>
        </w:rPr>
        <w:t xml:space="preserve"> informó además de que la Subcomisión aprobó su Programa y Presupuesto (2026-2027</w:t>
      </w:r>
      <w:r>
        <w:rPr>
          <w:rFonts w:ascii="Arial" w:eastAsiaTheme="minorEastAsia" w:hAnsi="Arial" w:cs="Arial"/>
          <w:sz w:val="22"/>
          <w:szCs w:val="22"/>
          <w:u w:val="single"/>
          <w:lang w:val="es"/>
        </w:rPr>
        <w:t>)</w:t>
      </w:r>
      <w:r>
        <w:rPr>
          <w:rFonts w:ascii="Arial" w:eastAsiaTheme="minorEastAsia" w:hAnsi="Arial" w:cs="Arial"/>
          <w:sz w:val="22"/>
          <w:szCs w:val="22"/>
          <w:lang w:val="es"/>
        </w:rPr>
        <w:t>, que sirve de guía sobre las actividades que los Estados Miembros de la región desean promover conjuntamente y buscar financiación, en efectivo o en especie, para apoyar su ejecución.</w:t>
      </w:r>
    </w:p>
    <w:p w14:paraId="7DEA7524" w14:textId="55479758" w:rsidR="00C300E7" w:rsidRPr="006C41C4" w:rsidRDefault="00DE37CA" w:rsidP="00547D9B">
      <w:pPr>
        <w:pStyle w:val="ListParagraph1"/>
        <w:widowControl/>
        <w:numPr>
          <w:ilvl w:val="0"/>
          <w:numId w:val="8"/>
        </w:numPr>
        <w:tabs>
          <w:tab w:val="left" w:pos="851"/>
        </w:tabs>
        <w:snapToGrid w:val="0"/>
        <w:spacing w:after="240"/>
        <w:ind w:left="0" w:firstLine="0"/>
        <w:contextualSpacing w:val="0"/>
        <w:rPr>
          <w:sz w:val="22"/>
          <w:szCs w:val="22"/>
          <w:lang w:val="es-ES"/>
        </w:rPr>
      </w:pPr>
      <w:r>
        <w:rPr>
          <w:rFonts w:ascii="Arial" w:hAnsi="Arial"/>
          <w:snapToGrid w:val="0"/>
          <w:sz w:val="22"/>
          <w:szCs w:val="22"/>
          <w:lang w:val="es"/>
        </w:rPr>
        <w:t xml:space="preserve">El </w:t>
      </w:r>
      <w:proofErr w:type="gramStart"/>
      <w:r>
        <w:rPr>
          <w:rFonts w:ascii="Arial" w:hAnsi="Arial"/>
          <w:snapToGrid w:val="0"/>
          <w:sz w:val="22"/>
          <w:szCs w:val="22"/>
          <w:lang w:val="es"/>
        </w:rPr>
        <w:t>Presidente</w:t>
      </w:r>
      <w:proofErr w:type="gramEnd"/>
      <w:r>
        <w:rPr>
          <w:rFonts w:ascii="Arial" w:hAnsi="Arial"/>
          <w:snapToGrid w:val="0"/>
          <w:sz w:val="22"/>
          <w:szCs w:val="22"/>
          <w:lang w:val="es"/>
        </w:rPr>
        <w:t xml:space="preserve"> de la WESTPAC informó a la Asamblea de que la Subcomisión había programado provisionalmente su próxima reunión para marzo-abril de 2027, y eligió por aclamación </w:t>
      </w:r>
      <w:r>
        <w:rPr>
          <w:rFonts w:ascii="Arial" w:hAnsi="Arial"/>
          <w:sz w:val="22"/>
          <w:lang w:val="es"/>
        </w:rPr>
        <w:t xml:space="preserve">a Aileen Tan </w:t>
      </w:r>
      <w:proofErr w:type="spellStart"/>
      <w:r>
        <w:rPr>
          <w:rFonts w:ascii="Arial" w:hAnsi="Arial"/>
          <w:sz w:val="22"/>
          <w:lang w:val="es"/>
        </w:rPr>
        <w:t>Shau</w:t>
      </w:r>
      <w:proofErr w:type="spellEnd"/>
      <w:r>
        <w:rPr>
          <w:rFonts w:ascii="Arial" w:hAnsi="Arial"/>
          <w:sz w:val="22"/>
          <w:lang w:val="es"/>
        </w:rPr>
        <w:t xml:space="preserve"> </w:t>
      </w:r>
      <w:proofErr w:type="spellStart"/>
      <w:r>
        <w:rPr>
          <w:rFonts w:ascii="Arial" w:hAnsi="Arial"/>
          <w:sz w:val="22"/>
          <w:lang w:val="es"/>
        </w:rPr>
        <w:t>Hwai</w:t>
      </w:r>
      <w:proofErr w:type="spellEnd"/>
      <w:r>
        <w:rPr>
          <w:rFonts w:ascii="Arial" w:hAnsi="Arial"/>
          <w:sz w:val="22"/>
          <w:lang w:val="es"/>
        </w:rPr>
        <w:t>, de Malasia</w:t>
      </w:r>
      <w:r>
        <w:rPr>
          <w:rFonts w:ascii="Arial" w:hAnsi="Arial"/>
          <w:snapToGrid w:val="0"/>
          <w:sz w:val="22"/>
          <w:szCs w:val="22"/>
          <w:lang w:val="es"/>
        </w:rPr>
        <w:t xml:space="preserve">, como </w:t>
      </w:r>
      <w:proofErr w:type="gramStart"/>
      <w:r>
        <w:rPr>
          <w:rFonts w:ascii="Arial" w:hAnsi="Arial"/>
          <w:snapToGrid w:val="0"/>
          <w:sz w:val="22"/>
          <w:szCs w:val="22"/>
          <w:lang w:val="es"/>
        </w:rPr>
        <w:t>Presidenta</w:t>
      </w:r>
      <w:proofErr w:type="gramEnd"/>
      <w:r>
        <w:rPr>
          <w:rFonts w:ascii="Arial" w:hAnsi="Arial"/>
          <w:snapToGrid w:val="0"/>
          <w:sz w:val="22"/>
          <w:szCs w:val="22"/>
          <w:lang w:val="es"/>
        </w:rPr>
        <w:t xml:space="preserve">; a </w:t>
      </w:r>
      <w:proofErr w:type="spellStart"/>
      <w:r>
        <w:rPr>
          <w:rFonts w:ascii="Arial" w:hAnsi="Arial"/>
          <w:sz w:val="22"/>
          <w:lang w:val="es"/>
        </w:rPr>
        <w:t>Vyacheslav</w:t>
      </w:r>
      <w:proofErr w:type="spellEnd"/>
      <w:r>
        <w:rPr>
          <w:rFonts w:ascii="Arial" w:hAnsi="Arial"/>
          <w:sz w:val="22"/>
          <w:lang w:val="es"/>
        </w:rPr>
        <w:t xml:space="preserve"> </w:t>
      </w:r>
      <w:proofErr w:type="spellStart"/>
      <w:r>
        <w:rPr>
          <w:rFonts w:ascii="Arial" w:hAnsi="Arial"/>
          <w:sz w:val="22"/>
          <w:lang w:val="es"/>
        </w:rPr>
        <w:t>Lobanov</w:t>
      </w:r>
      <w:proofErr w:type="spellEnd"/>
      <w:r>
        <w:rPr>
          <w:rFonts w:ascii="Arial" w:hAnsi="Arial"/>
          <w:sz w:val="22"/>
          <w:lang w:val="es"/>
        </w:rPr>
        <w:t xml:space="preserve">, de la Federación de Rusia, a Sung </w:t>
      </w:r>
      <w:proofErr w:type="spellStart"/>
      <w:r>
        <w:rPr>
          <w:rFonts w:ascii="Arial" w:hAnsi="Arial"/>
          <w:sz w:val="22"/>
          <w:lang w:val="es"/>
        </w:rPr>
        <w:t>Hyun</w:t>
      </w:r>
      <w:proofErr w:type="spellEnd"/>
      <w:r>
        <w:rPr>
          <w:rFonts w:ascii="Arial" w:hAnsi="Arial"/>
          <w:sz w:val="22"/>
          <w:lang w:val="es"/>
        </w:rPr>
        <w:t xml:space="preserve"> Nam, de la República de Corea, y a </w:t>
      </w:r>
      <w:proofErr w:type="spellStart"/>
      <w:r>
        <w:rPr>
          <w:rFonts w:ascii="Arial" w:hAnsi="Arial"/>
          <w:sz w:val="22"/>
          <w:lang w:val="es"/>
        </w:rPr>
        <w:t>Aletta</w:t>
      </w:r>
      <w:proofErr w:type="spellEnd"/>
      <w:r>
        <w:rPr>
          <w:rFonts w:ascii="Arial" w:hAnsi="Arial"/>
          <w:sz w:val="22"/>
          <w:lang w:val="es"/>
        </w:rPr>
        <w:t xml:space="preserve"> Yñiguez, de Filipinas</w:t>
      </w:r>
      <w:r>
        <w:rPr>
          <w:rFonts w:ascii="Arial" w:hAnsi="Arial"/>
          <w:snapToGrid w:val="0"/>
          <w:sz w:val="22"/>
          <w:szCs w:val="22"/>
          <w:lang w:val="es"/>
        </w:rPr>
        <w:t xml:space="preserve">, como </w:t>
      </w:r>
      <w:proofErr w:type="gramStart"/>
      <w:r>
        <w:rPr>
          <w:rFonts w:ascii="Arial" w:hAnsi="Arial"/>
          <w:snapToGrid w:val="0"/>
          <w:sz w:val="22"/>
          <w:szCs w:val="22"/>
          <w:lang w:val="es"/>
        </w:rPr>
        <w:t>Vicepresidentes</w:t>
      </w:r>
      <w:proofErr w:type="gramEnd"/>
      <w:r>
        <w:rPr>
          <w:rFonts w:ascii="Arial" w:hAnsi="Arial"/>
          <w:snapToGrid w:val="0"/>
          <w:sz w:val="22"/>
          <w:szCs w:val="22"/>
          <w:lang w:val="es"/>
        </w:rPr>
        <w:t xml:space="preserve"> de la Subcomisión para el próximo periodo entre reuniones.</w:t>
      </w:r>
    </w:p>
    <w:p w14:paraId="339F6078" w14:textId="6A0456FC" w:rsidR="001B3493" w:rsidRPr="006C41C4" w:rsidRDefault="001B3493" w:rsidP="00547D9B">
      <w:pPr>
        <w:pStyle w:val="ListParagraph1"/>
        <w:widowControl/>
        <w:numPr>
          <w:ilvl w:val="0"/>
          <w:numId w:val="8"/>
        </w:numPr>
        <w:tabs>
          <w:tab w:val="left" w:pos="851"/>
        </w:tabs>
        <w:snapToGrid w:val="0"/>
        <w:spacing w:after="240"/>
        <w:ind w:left="0" w:firstLine="0"/>
        <w:contextualSpacing w:val="0"/>
        <w:rPr>
          <w:sz w:val="22"/>
          <w:szCs w:val="22"/>
          <w:lang w:val="es-ES"/>
        </w:rPr>
      </w:pPr>
      <w:r>
        <w:rPr>
          <w:rFonts w:ascii="Arial" w:eastAsiaTheme="minorEastAsia" w:hAnsi="Arial" w:cs="Arial"/>
          <w:snapToGrid w:val="0"/>
          <w:sz w:val="22"/>
          <w:szCs w:val="22"/>
          <w:lang w:val="es"/>
        </w:rPr>
        <w:t>Informó de que la Subcomisión expresó su profunda preocupación por los recursos humanos críticamente limitados de la Oficina de la Secretaría, que actualmente solo cuenta con un puesto profesional de la COI. Además de su función principal de promover el mandato y los programas de la COI en la región, la oficina ha asumido la función de Oficina de Coordinación del Decenio del Océano (OCD) para el Pacífico Occidental y se le ha confiado un papel crucial para facilitar la coordinación relacionada con los océanos entre los organismos de las Naciones Unidas a nivel regional en toda Asia y el Pacífico.</w:t>
      </w:r>
    </w:p>
    <w:p w14:paraId="3E388A6C" w14:textId="491DB114" w:rsidR="00400D71" w:rsidRPr="006C41C4" w:rsidRDefault="00974F61"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11 Estados Miembros. Los siguientes Estados Miembros han optado por dejar constancia de su intervención en el pleno sobre este punto del orden del día para el anexo informativo del informe de la reunión: </w:t>
      </w:r>
      <w:hyperlink w:anchor="china332" w:history="1">
        <w:r>
          <w:rPr>
            <w:rStyle w:val="Hyperlink"/>
            <w:rFonts w:ascii="Arial" w:eastAsiaTheme="minorEastAsia" w:hAnsi="Arial" w:cs="Arial"/>
            <w:snapToGrid w:val="0"/>
            <w:sz w:val="22"/>
            <w:szCs w:val="22"/>
            <w:lang w:val="es"/>
          </w:rPr>
          <w:t>China</w:t>
        </w:r>
      </w:hyperlink>
      <w:r>
        <w:rPr>
          <w:rFonts w:ascii="Arial" w:hAnsi="Arial" w:cs="Arial"/>
          <w:snapToGrid w:val="0"/>
          <w:sz w:val="22"/>
          <w:szCs w:val="22"/>
          <w:lang w:val="es"/>
        </w:rPr>
        <w:t xml:space="preserve">, </w:t>
      </w:r>
      <w:hyperlink w:anchor="indo332" w:history="1">
        <w:r>
          <w:rPr>
            <w:rStyle w:val="Hyperlink"/>
            <w:rFonts w:ascii="Arial" w:eastAsiaTheme="minorEastAsia" w:hAnsi="Arial" w:cs="Arial"/>
            <w:snapToGrid w:val="0"/>
            <w:sz w:val="22"/>
            <w:szCs w:val="22"/>
            <w:lang w:val="es"/>
          </w:rPr>
          <w:t>Indonesia</w:t>
        </w:r>
      </w:hyperlink>
      <w:r>
        <w:rPr>
          <w:rFonts w:ascii="Arial" w:hAnsi="Arial" w:cs="Arial"/>
          <w:snapToGrid w:val="0"/>
          <w:sz w:val="22"/>
          <w:szCs w:val="22"/>
          <w:lang w:val="es"/>
        </w:rPr>
        <w:t xml:space="preserve">, </w:t>
      </w:r>
      <w:hyperlink w:anchor="malay332" w:history="1">
        <w:r>
          <w:rPr>
            <w:rStyle w:val="Hyperlink"/>
            <w:rFonts w:ascii="Arial" w:eastAsiaTheme="minorEastAsia" w:hAnsi="Arial" w:cs="Arial"/>
            <w:snapToGrid w:val="0"/>
            <w:sz w:val="22"/>
            <w:szCs w:val="22"/>
            <w:lang w:val="es"/>
          </w:rPr>
          <w:t>Malasia</w:t>
        </w:r>
      </w:hyperlink>
      <w:r>
        <w:rPr>
          <w:rFonts w:ascii="Arial" w:hAnsi="Arial" w:cs="Arial"/>
          <w:snapToGrid w:val="0"/>
          <w:sz w:val="22"/>
          <w:szCs w:val="22"/>
          <w:lang w:val="es"/>
        </w:rPr>
        <w:t xml:space="preserve">, </w:t>
      </w:r>
      <w:hyperlink w:anchor="rok332" w:history="1">
        <w:r>
          <w:rPr>
            <w:rStyle w:val="Hyperlink"/>
            <w:rFonts w:ascii="Arial" w:eastAsiaTheme="minorEastAsia" w:hAnsi="Arial" w:cs="Arial"/>
            <w:snapToGrid w:val="0"/>
            <w:sz w:val="22"/>
            <w:szCs w:val="22"/>
            <w:lang w:val="es"/>
          </w:rPr>
          <w:t>República de Corea</w:t>
        </w:r>
      </w:hyperlink>
      <w:r>
        <w:rPr>
          <w:rFonts w:ascii="Arial" w:hAnsi="Arial" w:cs="Arial"/>
          <w:snapToGrid w:val="0"/>
          <w:sz w:val="22"/>
          <w:szCs w:val="22"/>
          <w:lang w:val="es"/>
        </w:rPr>
        <w:t xml:space="preserve">, </w:t>
      </w:r>
      <w:hyperlink w:anchor="rus332" w:history="1">
        <w:r>
          <w:rPr>
            <w:rStyle w:val="Hyperlink"/>
            <w:rFonts w:ascii="Arial" w:eastAsiaTheme="minorEastAsia" w:hAnsi="Arial" w:cs="Arial"/>
            <w:snapToGrid w:val="0"/>
            <w:sz w:val="22"/>
            <w:szCs w:val="22"/>
            <w:lang w:val="es"/>
          </w:rPr>
          <w:t>Federación Rusa</w:t>
        </w:r>
      </w:hyperlink>
      <w:r>
        <w:rPr>
          <w:rFonts w:ascii="Arial" w:hAnsi="Arial" w:cs="Arial"/>
          <w:snapToGrid w:val="0"/>
          <w:sz w:val="22"/>
          <w:szCs w:val="22"/>
          <w:lang w:val="es"/>
        </w:rPr>
        <w:t xml:space="preserve">, </w:t>
      </w:r>
      <w:hyperlink w:anchor="thai332" w:history="1">
        <w:r>
          <w:rPr>
            <w:rStyle w:val="Hyperlink"/>
            <w:rFonts w:ascii="Arial" w:eastAsiaTheme="minorEastAsia" w:hAnsi="Arial" w:cs="Arial"/>
            <w:snapToGrid w:val="0"/>
            <w:sz w:val="22"/>
            <w:szCs w:val="22"/>
            <w:lang w:val="es"/>
          </w:rPr>
          <w:t>Tailandia</w:t>
        </w:r>
      </w:hyperlink>
      <w:r>
        <w:rPr>
          <w:rFonts w:ascii="Arial" w:hAnsi="Arial" w:cs="Arial"/>
          <w:sz w:val="22"/>
          <w:szCs w:val="22"/>
          <w:lang w:val="es"/>
        </w:rPr>
        <w:t>.</w:t>
      </w:r>
    </w:p>
    <w:p w14:paraId="269A53A1" w14:textId="4A5E836D" w:rsidR="008158AA" w:rsidRPr="006C41C4" w:rsidRDefault="008158AA" w:rsidP="00547D9B">
      <w:pPr>
        <w:pStyle w:val="ListParagraph1"/>
        <w:widowControl/>
        <w:numPr>
          <w:ilvl w:val="0"/>
          <w:numId w:val="8"/>
        </w:numPr>
        <w:tabs>
          <w:tab w:val="left" w:pos="851"/>
        </w:tabs>
        <w:snapToGrid w:val="0"/>
        <w:spacing w:after="36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A-33/3.3.2</w:t>
      </w:r>
      <w:r>
        <w:rPr>
          <w:rFonts w:asciiTheme="minorBidi" w:hAnsiTheme="minorBidi" w:cstheme="minorBidi"/>
          <w:sz w:val="22"/>
          <w:szCs w:val="22"/>
          <w:lang w:val="es"/>
        </w:rPr>
        <w:t>.</w:t>
      </w:r>
    </w:p>
    <w:p w14:paraId="1A232874" w14:textId="4BFC9FC4" w:rsidR="00400D71" w:rsidRPr="006C41C4" w:rsidRDefault="002F5C5D" w:rsidP="00547D9B">
      <w:pPr>
        <w:pStyle w:val="Heading3"/>
        <w:numPr>
          <w:ilvl w:val="2"/>
          <w:numId w:val="20"/>
        </w:numPr>
        <w:tabs>
          <w:tab w:val="clear" w:pos="709"/>
        </w:tabs>
        <w:ind w:left="851" w:hanging="851"/>
        <w:rPr>
          <w:b/>
          <w:lang w:val="es-ES"/>
        </w:rPr>
      </w:pPr>
      <w:bookmarkStart w:id="146" w:name="_Toc190766976"/>
      <w:bookmarkStart w:id="147" w:name="_Toc197955111"/>
      <w:bookmarkStart w:id="148" w:name="_Toc212133509"/>
      <w:bookmarkStart w:id="149" w:name="_Hlk136008916"/>
      <w:r>
        <w:rPr>
          <w:rFonts w:cs="Arial"/>
          <w:b/>
          <w:szCs w:val="22"/>
          <w:lang w:val="es"/>
        </w:rPr>
        <w:t xml:space="preserve">Subcomisión de la COI para el Caribe y Regiones Adyacentes:  </w:t>
      </w:r>
      <w:r>
        <w:rPr>
          <w:rFonts w:cs="Arial"/>
          <w:bCs w:val="0"/>
          <w:szCs w:val="22"/>
          <w:lang w:val="es"/>
        </w:rPr>
        <w:br/>
      </w:r>
      <w:r>
        <w:rPr>
          <w:rFonts w:cs="Arial"/>
          <w:b/>
          <w:szCs w:val="22"/>
          <w:lang w:val="es"/>
        </w:rPr>
        <w:t xml:space="preserve">18ª reunión de IOCARIBE, </w:t>
      </w:r>
      <w:bookmarkEnd w:id="146"/>
      <w:r>
        <w:rPr>
          <w:rFonts w:cs="Arial"/>
          <w:b/>
          <w:szCs w:val="22"/>
          <w:lang w:val="es"/>
        </w:rPr>
        <w:t>Brasilia, Brasil, 23-25 de abril de 2025</w:t>
      </w:r>
      <w:bookmarkEnd w:id="147"/>
      <w:bookmarkEnd w:id="148"/>
    </w:p>
    <w:p w14:paraId="7C687885" w14:textId="7F0EE8C1" w:rsidR="006A0E38" w:rsidRPr="006C41C4" w:rsidRDefault="008175AB" w:rsidP="00547D9B">
      <w:pPr>
        <w:pStyle w:val="ListParagraph1"/>
        <w:widowControl/>
        <w:numPr>
          <w:ilvl w:val="0"/>
          <w:numId w:val="8"/>
        </w:numPr>
        <w:tabs>
          <w:tab w:val="left" w:pos="851"/>
        </w:tabs>
        <w:snapToGrid w:val="0"/>
        <w:spacing w:after="240"/>
        <w:ind w:left="0" w:firstLine="0"/>
        <w:contextualSpacing w:val="0"/>
        <w:rPr>
          <w:rFonts w:cs="Arial"/>
          <w:bCs/>
          <w:szCs w:val="22"/>
          <w:lang w:val="es-ES"/>
        </w:rPr>
      </w:pPr>
      <w:r>
        <w:rPr>
          <w:rFonts w:ascii="Arial" w:hAnsi="Arial"/>
          <w:sz w:val="22"/>
          <w:lang w:val="es"/>
        </w:rPr>
        <w:t xml:space="preserve">El </w:t>
      </w:r>
      <w:proofErr w:type="gramStart"/>
      <w:r>
        <w:rPr>
          <w:rFonts w:ascii="Arial" w:hAnsi="Arial"/>
          <w:sz w:val="22"/>
          <w:lang w:val="es"/>
        </w:rPr>
        <w:t>Presidente</w:t>
      </w:r>
      <w:proofErr w:type="gramEnd"/>
      <w:r>
        <w:rPr>
          <w:rFonts w:ascii="Arial" w:hAnsi="Arial"/>
          <w:sz w:val="22"/>
          <w:lang w:val="es"/>
        </w:rPr>
        <w:t xml:space="preserve"> de </w:t>
      </w:r>
      <w:r>
        <w:rPr>
          <w:rFonts w:ascii="Arial" w:hAnsi="Arial"/>
          <w:sz w:val="22"/>
          <w:szCs w:val="22"/>
          <w:lang w:val="es"/>
        </w:rPr>
        <w:t xml:space="preserve">IOCARIBE, Marck Oduber, introdujo este punto del orden del día y presentó los principales logros de la Subcomisión durante el último periodo entre reuniones, así como los principales resultados de la 18ª Reunión Intergubernamental de IOCARIBE (23-25 de abril de 2025, Brasilia) (cf. informe </w:t>
      </w:r>
      <w:hyperlink r:id="rId44" w:history="1">
        <w:r>
          <w:rPr>
            <w:rStyle w:val="Hyperlink"/>
            <w:rFonts w:ascii="Arial" w:eastAsia="Arial" w:hAnsi="Arial" w:cs="Arial"/>
            <w:sz w:val="22"/>
            <w:szCs w:val="22"/>
            <w:lang w:val="es"/>
          </w:rPr>
          <w:t>IOC/SC-IOCARIBE-XVIII/3s</w:t>
        </w:r>
      </w:hyperlink>
      <w:r>
        <w:rPr>
          <w:rFonts w:ascii="Arial" w:hAnsi="Arial"/>
          <w:sz w:val="22"/>
          <w:szCs w:val="22"/>
          <w:lang w:val="es"/>
        </w:rPr>
        <w:t>).</w:t>
      </w:r>
      <w:r>
        <w:rPr>
          <w:rFonts w:ascii="Arial" w:hAnsi="Arial"/>
          <w:sz w:val="22"/>
          <w:lang w:val="es"/>
        </w:rPr>
        <w:t xml:space="preserve"> </w:t>
      </w:r>
    </w:p>
    <w:p w14:paraId="5407E5B4" w14:textId="0F578B84" w:rsidR="00443D6F" w:rsidRPr="006C41C4" w:rsidRDefault="00443D6F" w:rsidP="00547D9B">
      <w:pPr>
        <w:pStyle w:val="ListParagraph1"/>
        <w:widowControl/>
        <w:numPr>
          <w:ilvl w:val="0"/>
          <w:numId w:val="8"/>
        </w:numPr>
        <w:tabs>
          <w:tab w:val="left" w:pos="851"/>
        </w:tabs>
        <w:snapToGrid w:val="0"/>
        <w:spacing w:after="240"/>
        <w:ind w:left="0" w:firstLine="0"/>
        <w:contextualSpacing w:val="0"/>
        <w:rPr>
          <w:rFonts w:cs="Arial"/>
          <w:bCs/>
          <w:szCs w:val="22"/>
          <w:lang w:val="es-ES"/>
        </w:rPr>
      </w:pPr>
      <w:r>
        <w:rPr>
          <w:rFonts w:ascii="Arial" w:eastAsia="Arial" w:hAnsi="Arial" w:cs="Arial"/>
          <w:sz w:val="22"/>
          <w:szCs w:val="22"/>
          <w:lang w:val="es"/>
        </w:rPr>
        <w:t xml:space="preserve">El </w:t>
      </w:r>
      <w:proofErr w:type="gramStart"/>
      <w:r>
        <w:rPr>
          <w:rFonts w:ascii="Arial" w:eastAsia="Arial" w:hAnsi="Arial" w:cs="Arial"/>
          <w:sz w:val="22"/>
          <w:szCs w:val="22"/>
          <w:lang w:val="es"/>
        </w:rPr>
        <w:t>Presidente</w:t>
      </w:r>
      <w:proofErr w:type="gramEnd"/>
      <w:r>
        <w:rPr>
          <w:rFonts w:ascii="Arial" w:eastAsia="Arial" w:hAnsi="Arial" w:cs="Arial"/>
          <w:sz w:val="22"/>
          <w:szCs w:val="22"/>
          <w:lang w:val="es"/>
        </w:rPr>
        <w:t xml:space="preserve"> informó a la Asamblea de que el Gobierno de Antigua y Barbuda había manifestado su interés por incorporarse a la COI de la UNESCO y participar en las actividades de IOCARIBE.</w:t>
      </w:r>
    </w:p>
    <w:p w14:paraId="1870ADF0" w14:textId="0784342B" w:rsidR="00443D6F" w:rsidRPr="006C41C4"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lang w:val="es-ES"/>
        </w:rPr>
      </w:pPr>
      <w:r>
        <w:rPr>
          <w:rFonts w:ascii="Arial" w:eastAsia="Arial" w:hAnsi="Arial" w:cs="Arial"/>
          <w:sz w:val="22"/>
          <w:szCs w:val="22"/>
          <w:lang w:val="es"/>
        </w:rPr>
        <w:t xml:space="preserve">La Subcomisión ha reforzado la gobernanza regional de los océanos y la coordinación científica mediante la ampliación de la red IOCARIBE-ANCA sobre Floraciones de Algas Nocivas, el fortalecimiento de la relación con el Centro del Caribe de la Red Mundial de Observación de la Acidificación Oceánica (GOA-ON), la mejora de la integración de los sistemas de datos oceánicos a través de IOCARIBE-GOOS e IODE, y el impulso a la alfabetización oceánica mediante la creación del Equipo de Trabajo de Alfabetización Oceánica de IOCARIBE y el despliegue de la Red Caribe Blue </w:t>
      </w:r>
      <w:proofErr w:type="spellStart"/>
      <w:r>
        <w:rPr>
          <w:rFonts w:ascii="Arial" w:eastAsia="Arial" w:hAnsi="Arial" w:cs="Arial"/>
          <w:sz w:val="22"/>
          <w:szCs w:val="22"/>
          <w:lang w:val="es"/>
        </w:rPr>
        <w:t>Schools</w:t>
      </w:r>
      <w:proofErr w:type="spellEnd"/>
      <w:r>
        <w:rPr>
          <w:rFonts w:ascii="Arial" w:eastAsia="Arial" w:hAnsi="Arial" w:cs="Arial"/>
          <w:sz w:val="22"/>
          <w:szCs w:val="22"/>
          <w:lang w:val="es"/>
        </w:rPr>
        <w:t xml:space="preserve"> en toda la región. Entre los ámbitos de aplicación prioritarios de la Subcomisión figuran el fortalecimiento de los sistemas de observación de los océanos para mejorar las previsiones y la capacidad de recuperación, el apoyo a la expansión de los sistemas de alerta temprana contra peligros múltiples, la promoción de la planificación del espacio marino en apoyo de la gestión sostenible de los océanos, el fomento del desarrollo de </w:t>
      </w:r>
      <w:r>
        <w:rPr>
          <w:rFonts w:ascii="Arial" w:eastAsia="Arial" w:hAnsi="Arial" w:cs="Arial"/>
          <w:sz w:val="22"/>
          <w:szCs w:val="22"/>
          <w:lang w:val="es"/>
        </w:rPr>
        <w:lastRenderedPageBreak/>
        <w:t>capacidades adaptadas a las necesidades regionales y la integración de los conocimientos básicos sobre los océanos en los sistemas educativos nacionales para fomentar una cultura de administración de los océanos.</w:t>
      </w:r>
    </w:p>
    <w:p w14:paraId="16A3DDFE" w14:textId="6FB54274" w:rsidR="00DA5F55" w:rsidRPr="006C41C4"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lang w:val="es-ES"/>
        </w:rPr>
      </w:pPr>
      <w:r>
        <w:rPr>
          <w:rFonts w:ascii="Arial" w:eastAsia="Arial" w:hAnsi="Arial" w:cs="Arial"/>
          <w:sz w:val="22"/>
          <w:szCs w:val="22"/>
          <w:lang w:val="es"/>
        </w:rPr>
        <w:t>Entre los nuevos ámbitos de actuación de la Subcomisión figuran el avance de la ciencia y la exploración de los fondos marinos en las Zonas Fuera de la Jurisdicción Nacional (ABNJ), el despliegue de observaciones oceánicas basadas en buques pesqueros para mejorar la recogida de datos costeros, la ampliación de los esfuerzos de la ciencia oceánica para hacer frente a los impactos del calentamiento de los océanos, el desarrollo de iniciativas de carbono azul como parte de las soluciones climáticas basadas en la naturaleza, el establecimiento de mejores prácticas regionales a través del proyecto ADAPT y el fortalecimiento de la gobernanza de los océanos a través del Mecanismo de Coordinación de los Océanos en el marco del Proyecto PNUD/GEF/UNOPS PROCARIBE+.</w:t>
      </w:r>
    </w:p>
    <w:p w14:paraId="497AF67C" w14:textId="5BB78266" w:rsidR="00DA5F55" w:rsidRPr="006C41C4"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lang w:val="es-ES"/>
        </w:rPr>
      </w:pPr>
      <w:r>
        <w:rPr>
          <w:rFonts w:ascii="Arial" w:eastAsia="Arial" w:hAnsi="Arial" w:cs="Arial"/>
          <w:sz w:val="22"/>
          <w:szCs w:val="22"/>
          <w:lang w:val="es"/>
        </w:rPr>
        <w:t>El Decenio de los Océanos ha catalizado la acción regional a través de la Hoja de Ruta de las Américas Tropicales y el Caribe (TAC) y la expansión de las estructuras de coordinación del Decenio, incluida la recién creada Oficina de Coordinación del Decenio (OCD) del TAC, el Grupo de Trabajo del TAC, los Comités Nacionales del Decenio, la Red del Decenio del Océano del TAC y un mecanismo que permite a los Pequeños Estados Insulares en Desarrollo (PEID) designar puntos focales del Decenio del Océano individuales para participar en un Comité Regional del Decenio (CRD) cuando el establecimiento de Comités Nacionales del Decenio completos no sea factible debido a limitaciones de capacidad. Estas estructuras apoyan 120 Acciones del Decenio aprobadas en la región, 108 de las cuales están dirigidas por instituciones con sede en el TAC, y han facilitado una mayor participación de los jóvenes, de los profesionales de los océanos que inician su carrera y de los PEID a través de programas inclusivos y diseñados conjuntamente.</w:t>
      </w:r>
    </w:p>
    <w:p w14:paraId="4C159B20" w14:textId="1FD01633" w:rsidR="00DA5F55" w:rsidRPr="00AE71B5"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rPr>
      </w:pPr>
      <w:r>
        <w:rPr>
          <w:rFonts w:ascii="Arial" w:eastAsia="Arial" w:hAnsi="Arial" w:cs="Arial"/>
          <w:sz w:val="22"/>
          <w:szCs w:val="22"/>
          <w:lang w:val="es"/>
        </w:rPr>
        <w:t xml:space="preserve">El Sr. Marck Oduber (Aruba) fue reelegido </w:t>
      </w:r>
      <w:proofErr w:type="gramStart"/>
      <w:r>
        <w:rPr>
          <w:rFonts w:ascii="Arial" w:eastAsia="Arial" w:hAnsi="Arial" w:cs="Arial"/>
          <w:sz w:val="22"/>
          <w:szCs w:val="22"/>
          <w:lang w:val="es"/>
        </w:rPr>
        <w:t>Presidente</w:t>
      </w:r>
      <w:proofErr w:type="gramEnd"/>
      <w:r>
        <w:rPr>
          <w:rFonts w:ascii="Arial" w:eastAsia="Arial" w:hAnsi="Arial" w:cs="Arial"/>
          <w:sz w:val="22"/>
          <w:szCs w:val="22"/>
          <w:lang w:val="es"/>
        </w:rPr>
        <w:t xml:space="preserve">; la Sra. Soraya Silva (Venezuela) y el Sr. Roberto Dantas de Pinho (Brasil) fueron reelegidos </w:t>
      </w:r>
      <w:proofErr w:type="gramStart"/>
      <w:r>
        <w:rPr>
          <w:rFonts w:ascii="Arial" w:eastAsia="Arial" w:hAnsi="Arial" w:cs="Arial"/>
          <w:sz w:val="22"/>
          <w:szCs w:val="22"/>
          <w:lang w:val="es"/>
        </w:rPr>
        <w:t>Vicepresidentes</w:t>
      </w:r>
      <w:proofErr w:type="gramEnd"/>
      <w:r>
        <w:rPr>
          <w:rFonts w:ascii="Arial" w:eastAsia="Arial" w:hAnsi="Arial" w:cs="Arial"/>
          <w:sz w:val="22"/>
          <w:szCs w:val="22"/>
          <w:lang w:val="es"/>
        </w:rPr>
        <w:t xml:space="preserve">; y la Dra. </w:t>
      </w:r>
      <w:proofErr w:type="spellStart"/>
      <w:r>
        <w:rPr>
          <w:rFonts w:ascii="Arial" w:eastAsia="Arial" w:hAnsi="Arial" w:cs="Arial"/>
          <w:sz w:val="22"/>
          <w:szCs w:val="22"/>
          <w:lang w:val="es"/>
        </w:rPr>
        <w:t>Rahanna</w:t>
      </w:r>
      <w:proofErr w:type="spellEnd"/>
      <w:r>
        <w:rPr>
          <w:rFonts w:ascii="Arial" w:eastAsia="Arial" w:hAnsi="Arial" w:cs="Arial"/>
          <w:sz w:val="22"/>
          <w:szCs w:val="22"/>
          <w:lang w:val="es"/>
        </w:rPr>
        <w:t xml:space="preserve"> Juman (Trinidad y Tobago) fue elegida nueva </w:t>
      </w:r>
      <w:proofErr w:type="gramStart"/>
      <w:r>
        <w:rPr>
          <w:rFonts w:ascii="Arial" w:eastAsia="Arial" w:hAnsi="Arial" w:cs="Arial"/>
          <w:sz w:val="22"/>
          <w:szCs w:val="22"/>
          <w:lang w:val="es"/>
        </w:rPr>
        <w:t>Vicepresidenta</w:t>
      </w:r>
      <w:proofErr w:type="gramEnd"/>
      <w:r>
        <w:rPr>
          <w:rFonts w:ascii="Arial" w:eastAsia="Arial" w:hAnsi="Arial" w:cs="Arial"/>
          <w:sz w:val="22"/>
          <w:szCs w:val="22"/>
          <w:lang w:val="es"/>
        </w:rPr>
        <w:t>.</w:t>
      </w:r>
    </w:p>
    <w:p w14:paraId="37F31A3F" w14:textId="131F2BA7" w:rsidR="00AB3FCC" w:rsidRPr="006C41C4" w:rsidRDefault="00AB3FCC" w:rsidP="00547D9B">
      <w:pPr>
        <w:pStyle w:val="ListParagraph1"/>
        <w:widowControl/>
        <w:numPr>
          <w:ilvl w:val="0"/>
          <w:numId w:val="8"/>
        </w:numPr>
        <w:tabs>
          <w:tab w:val="left" w:pos="851"/>
        </w:tabs>
        <w:snapToGrid w:val="0"/>
        <w:spacing w:after="240"/>
        <w:ind w:left="0" w:firstLine="0"/>
        <w:contextualSpacing w:val="0"/>
        <w:rPr>
          <w:rFonts w:cs="Arial"/>
          <w:bCs/>
          <w:szCs w:val="22"/>
          <w:lang w:val="es-ES"/>
        </w:rPr>
      </w:pPr>
      <w:r>
        <w:rPr>
          <w:rFonts w:ascii="Arial" w:eastAsia="Arial" w:hAnsi="Arial" w:cs="Arial"/>
          <w:sz w:val="22"/>
          <w:szCs w:val="22"/>
          <w:lang w:val="es"/>
        </w:rPr>
        <w:t xml:space="preserve">La Subcomisión decidió celebrar su 19ª reunión intergubernamental durante el tercer trimestre de 2026 para ajustarse mejor al calendario del plan de trabajo y el periodo presupuestario de la COI para 2028-2029. Guatemala, México y el Reino de los Países Bajos han manifestado su interés por acoger la 19ª reunión. </w:t>
      </w:r>
    </w:p>
    <w:p w14:paraId="6D88DD3E" w14:textId="31239369" w:rsidR="00AB3FCC" w:rsidRPr="006C41C4" w:rsidRDefault="00AB3FCC" w:rsidP="00547D9B">
      <w:pPr>
        <w:pStyle w:val="ListParagraph1"/>
        <w:widowControl/>
        <w:numPr>
          <w:ilvl w:val="0"/>
          <w:numId w:val="8"/>
        </w:numPr>
        <w:tabs>
          <w:tab w:val="left" w:pos="851"/>
        </w:tabs>
        <w:snapToGrid w:val="0"/>
        <w:spacing w:after="240"/>
        <w:ind w:left="0" w:firstLine="0"/>
        <w:contextualSpacing w:val="0"/>
        <w:rPr>
          <w:rFonts w:cs="Arial"/>
          <w:bCs/>
          <w:szCs w:val="22"/>
          <w:lang w:val="es-ES"/>
        </w:rPr>
      </w:pPr>
      <w:r>
        <w:rPr>
          <w:rFonts w:ascii="Arial" w:hAnsi="Arial" w:cs="Arial"/>
          <w:sz w:val="22"/>
          <w:szCs w:val="20"/>
          <w:lang w:val="es"/>
        </w:rPr>
        <w:t xml:space="preserve">La Subcomisión adoptó 14 decisiones y entabló un debate sobre su plan de trabajo para 2026-2027. En el informe resumido de la reunión se reflejan también varias sugerencias que no pudieron concretarse en una decisión durante la reunión. </w:t>
      </w:r>
      <w:r>
        <w:rPr>
          <w:rFonts w:ascii="Arial" w:hAnsi="Arial" w:cs="Arial"/>
          <w:sz w:val="22"/>
          <w:szCs w:val="22"/>
          <w:lang w:val="es"/>
        </w:rPr>
        <w:t>Entre ellas cabe citar la elaboración conjunta con el Consejo de IOCARIBE de un proyecto de Documento de Acción con bastante antelación a la SC-IOCARIBE-XIX para que los Estados Miembros puedan aportar antes sus contribuciones y la creación de un subgrupo específico para iniciar las primeras consultas sobre el plan de trabajo y el presupuesto del próximo bienio. Los participantes también pidieron un mayor apoyo a la investigación local en aguas profundas, una mejor coordinación con el ICG/CARIBE-EWS y una mayor difusión en inglés del programa ADAPT de formación en observación oceánica. Otras de las sugerencias tenían que ver con el hecho de fomentar la integración de la cultura oceánica en los planes de estudios nacionales, siguiendo el ejemplo del Brasil, y proseguir los esfuerzos para establecer una secretaría trilingüe a fin de mejorar la comunicación y la inclusión a escala regional.</w:t>
      </w:r>
    </w:p>
    <w:p w14:paraId="68FCE403" w14:textId="2DDA61E9" w:rsidR="00EA2382" w:rsidRPr="006C41C4" w:rsidRDefault="00400D7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10 Estados Miembros. </w:t>
      </w:r>
    </w:p>
    <w:p w14:paraId="396DCC59" w14:textId="27F34DA1" w:rsidR="00EA2382" w:rsidRPr="006C41C4"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Se dio la bienvenida a Antigua y Barbuda como 152º Estado Miembro de la COI y como miembro de IOCARIBE. Varias delegaciones se refirieron al papel fundamental de IOCARIBE en el avance y la coordinación de las ciencias oceánicas, los servicios oceánicos y la alerta temprana en la región, a pesar de los limitados recursos. Los Estados Miembros han acogido </w:t>
      </w:r>
      <w:r>
        <w:rPr>
          <w:rFonts w:ascii="Arial" w:hAnsi="Arial" w:cs="Arial"/>
          <w:sz w:val="22"/>
          <w:szCs w:val="22"/>
          <w:lang w:val="es"/>
        </w:rPr>
        <w:lastRenderedPageBreak/>
        <w:t>con satisfacción la puesta en marcha del Mecanismo de Coordinación de la Gobernanza de los Océanos para la Región del Gran Caribe como una forma de reducir la fragmentación en la gobernanza de los océanos.</w:t>
      </w:r>
    </w:p>
    <w:p w14:paraId="44453578" w14:textId="0FF2F129" w:rsidR="00EA2382" w:rsidRPr="006C41C4"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Se hizo hincapié en la labor de IOCARIBE en materia de resiliencia y adaptación de las costas a través de IOCARIBE-GOOS, así como de los programas </w:t>
      </w:r>
      <w:proofErr w:type="spellStart"/>
      <w:r>
        <w:rPr>
          <w:rFonts w:ascii="Arial" w:hAnsi="Arial" w:cs="Arial"/>
          <w:sz w:val="22"/>
          <w:szCs w:val="22"/>
          <w:lang w:val="es"/>
        </w:rPr>
        <w:t>CoastPredict</w:t>
      </w:r>
      <w:proofErr w:type="spellEnd"/>
      <w:r>
        <w:rPr>
          <w:rFonts w:ascii="Arial" w:hAnsi="Arial" w:cs="Arial"/>
          <w:sz w:val="22"/>
          <w:szCs w:val="22"/>
          <w:lang w:val="es"/>
        </w:rPr>
        <w:t xml:space="preserve"> y ADAPT. Se apoyó firmemente el trabajo de la Subcomisión en materia de desarrollo de capacidades, alfabetización oceánica y programas de escuelas azules para garantizar la equidad en el acceso al conocimiento de los océanos. Se acogió con satisfacción la creación y dotación de personal de la Oficina de Coordinación del Decenio para la Región del Atlántico Tropical y el Caribe (TAC-DCO) como canal a través del cual se acelerarían los proyectos respaldados por el Decenio del Océano.</w:t>
      </w:r>
    </w:p>
    <w:p w14:paraId="2E210CD8" w14:textId="645D7225" w:rsidR="00EA2382" w:rsidRPr="006C41C4"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Se expresó apoyo a los esfuerzos de IOCARIBE para integrar a todos los países PEID del Caribe y a otros Estados regionales insulares en el Decenio del Océano y en los programas básicos de la Subcomisión, a través de un nuevo Comité Regional del Decenio. Se hizo hincapié en la necesidad de un mayor apoyo al </w:t>
      </w:r>
      <w:proofErr w:type="spellStart"/>
      <w:r>
        <w:rPr>
          <w:rFonts w:ascii="Arial" w:hAnsi="Arial" w:cs="Arial"/>
          <w:sz w:val="22"/>
          <w:szCs w:val="22"/>
          <w:lang w:val="es"/>
        </w:rPr>
        <w:t>Sargassum</w:t>
      </w:r>
      <w:proofErr w:type="spellEnd"/>
      <w:r>
        <w:rPr>
          <w:rFonts w:ascii="Arial" w:hAnsi="Arial" w:cs="Arial"/>
          <w:sz w:val="22"/>
          <w:szCs w:val="22"/>
          <w:lang w:val="es"/>
        </w:rPr>
        <w:t>, por tratarse de un reto que afecta a los pilares económico, social y medioambiental del desarrollo sostenible en los países del Caribe.</w:t>
      </w:r>
    </w:p>
    <w:p w14:paraId="2AA5744D" w14:textId="098FE2B2" w:rsidR="00EA2382" w:rsidRPr="006C41C4"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Algunos Estados Miembros expresaron su preocupación por el extenso programa de trabajo aprobado de la Subcomisión y recomendaron que se establecieran prioridades ante la reducción de las disponibilidades presupuestarias. Se hizo un llamamiento a los Estados Miembros para que envíen personal en comisión de servicio a la Subcomisión con el fin de hacer avanzar las decisiones aprobadas.</w:t>
      </w:r>
    </w:p>
    <w:p w14:paraId="03506211" w14:textId="2DEB02FC" w:rsidR="00400D71" w:rsidRPr="006C41C4" w:rsidRDefault="00400D7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han optado por dejar constancia de su intervención en el pleno sobre este punto del orden del día para el anexo informativo del informe de la reunión: </w:t>
      </w:r>
      <w:hyperlink w:anchor="Bra333" w:history="1">
        <w:r>
          <w:rPr>
            <w:rStyle w:val="Hyperlink"/>
            <w:rFonts w:ascii="Arial" w:hAnsi="Arial" w:cs="Arial"/>
            <w:sz w:val="22"/>
            <w:szCs w:val="22"/>
            <w:lang w:val="es"/>
          </w:rPr>
          <w:t>Brasil</w:t>
        </w:r>
      </w:hyperlink>
      <w:r>
        <w:rPr>
          <w:rFonts w:ascii="Arial" w:hAnsi="Arial" w:cs="Arial"/>
          <w:sz w:val="22"/>
          <w:szCs w:val="22"/>
          <w:lang w:val="es"/>
        </w:rPr>
        <w:t xml:space="preserve">, </w:t>
      </w:r>
      <w:hyperlink w:anchor="col333" w:history="1">
        <w:r>
          <w:rPr>
            <w:rStyle w:val="Hyperlink"/>
            <w:rFonts w:ascii="Arial" w:hAnsi="Arial" w:cs="Arial"/>
            <w:sz w:val="22"/>
            <w:szCs w:val="22"/>
            <w:lang w:val="es"/>
          </w:rPr>
          <w:t>Colombia</w:t>
        </w:r>
      </w:hyperlink>
      <w:r>
        <w:rPr>
          <w:rFonts w:ascii="Arial" w:hAnsi="Arial" w:cs="Arial"/>
          <w:sz w:val="22"/>
          <w:szCs w:val="22"/>
          <w:lang w:val="es"/>
        </w:rPr>
        <w:t xml:space="preserve">, </w:t>
      </w:r>
      <w:hyperlink w:anchor="nethe333" w:history="1">
        <w:r>
          <w:rPr>
            <w:rStyle w:val="Hyperlink"/>
            <w:rFonts w:ascii="Arial" w:hAnsi="Arial" w:cs="Arial"/>
            <w:sz w:val="22"/>
            <w:szCs w:val="22"/>
            <w:lang w:val="es"/>
          </w:rPr>
          <w:t>Reino de los Países Bajos</w:t>
        </w:r>
      </w:hyperlink>
      <w:r>
        <w:rPr>
          <w:rFonts w:ascii="Arial" w:hAnsi="Arial" w:cs="Arial"/>
          <w:sz w:val="22"/>
          <w:szCs w:val="22"/>
          <w:lang w:val="es"/>
        </w:rPr>
        <w:t xml:space="preserve">, </w:t>
      </w:r>
      <w:hyperlink w:anchor="pana333" w:history="1">
        <w:r>
          <w:rPr>
            <w:rStyle w:val="Hyperlink"/>
            <w:rFonts w:ascii="Arial" w:hAnsi="Arial" w:cs="Arial"/>
            <w:sz w:val="22"/>
            <w:szCs w:val="22"/>
            <w:lang w:val="es"/>
          </w:rPr>
          <w:t>Panamá</w:t>
        </w:r>
      </w:hyperlink>
      <w:r>
        <w:rPr>
          <w:rFonts w:ascii="Arial" w:hAnsi="Arial" w:cs="Arial"/>
          <w:sz w:val="22"/>
          <w:szCs w:val="22"/>
          <w:lang w:val="es"/>
        </w:rPr>
        <w:t>.</w:t>
      </w:r>
    </w:p>
    <w:p w14:paraId="0E430E21" w14:textId="36D4E034" w:rsidR="00FB70DE" w:rsidRPr="006C41C4" w:rsidRDefault="00FB70DE" w:rsidP="00547D9B">
      <w:pPr>
        <w:pStyle w:val="ListParagraph1"/>
        <w:widowControl/>
        <w:numPr>
          <w:ilvl w:val="0"/>
          <w:numId w:val="8"/>
        </w:numPr>
        <w:tabs>
          <w:tab w:val="left" w:pos="851"/>
        </w:tabs>
        <w:snapToGrid w:val="0"/>
        <w:spacing w:after="240"/>
        <w:ind w:left="0" w:firstLine="0"/>
        <w:contextualSpacing w:val="0"/>
        <w:rPr>
          <w:rFonts w:cs="Arial"/>
          <w:bCs/>
          <w:sz w:val="22"/>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A-33/3.3.3</w:t>
      </w:r>
      <w:r>
        <w:rPr>
          <w:rFonts w:asciiTheme="minorBidi" w:hAnsiTheme="minorBidi" w:cstheme="minorBidi"/>
          <w:sz w:val="22"/>
          <w:szCs w:val="22"/>
          <w:lang w:val="es"/>
        </w:rPr>
        <w:t>.</w:t>
      </w:r>
    </w:p>
    <w:p w14:paraId="3DCEE4D1" w14:textId="1460BF7E" w:rsidR="00E204A0" w:rsidRPr="006C41C4" w:rsidRDefault="412865E7" w:rsidP="00547D9B">
      <w:pPr>
        <w:pStyle w:val="Heading3"/>
        <w:numPr>
          <w:ilvl w:val="2"/>
          <w:numId w:val="20"/>
        </w:numPr>
        <w:tabs>
          <w:tab w:val="clear" w:pos="709"/>
        </w:tabs>
        <w:ind w:left="851" w:hanging="851"/>
        <w:rPr>
          <w:b/>
          <w:lang w:val="es-ES"/>
        </w:rPr>
      </w:pPr>
      <w:bookmarkStart w:id="150" w:name="_Toc190766977"/>
      <w:bookmarkStart w:id="151" w:name="_Toc197955112"/>
      <w:bookmarkStart w:id="152" w:name="_Toc212133510"/>
      <w:bookmarkStart w:id="153" w:name="_Hlk136009227"/>
      <w:bookmarkEnd w:id="149"/>
      <w:r>
        <w:rPr>
          <w:b/>
          <w:lang w:val="es"/>
        </w:rPr>
        <w:t xml:space="preserve">Subcomisión de la COI para el Océano Índico Central: </w:t>
      </w:r>
      <w:r>
        <w:rPr>
          <w:bCs w:val="0"/>
          <w:lang w:val="es"/>
        </w:rPr>
        <w:br/>
      </w:r>
      <w:r>
        <w:rPr>
          <w:b/>
          <w:lang w:val="es"/>
        </w:rPr>
        <w:t xml:space="preserve">1ª reunión de IOCINDIO, Ras Al </w:t>
      </w:r>
      <w:proofErr w:type="spellStart"/>
      <w:r>
        <w:rPr>
          <w:b/>
          <w:lang w:val="es"/>
        </w:rPr>
        <w:t>Khaimah</w:t>
      </w:r>
      <w:proofErr w:type="spellEnd"/>
      <w:r>
        <w:rPr>
          <w:b/>
          <w:lang w:val="es"/>
        </w:rPr>
        <w:t>, Emiratos Árabes Unidos</w:t>
      </w:r>
      <w:r>
        <w:rPr>
          <w:b/>
          <w:i/>
          <w:iCs/>
          <w:lang w:val="es"/>
        </w:rPr>
        <w:t xml:space="preserve">, </w:t>
      </w:r>
      <w:r>
        <w:rPr>
          <w:bCs w:val="0"/>
          <w:lang w:val="es"/>
        </w:rPr>
        <w:br/>
      </w:r>
      <w:r>
        <w:rPr>
          <w:b/>
          <w:lang w:val="es"/>
        </w:rPr>
        <w:t>21-23</w:t>
      </w:r>
      <w:r>
        <w:rPr>
          <w:b/>
          <w:i/>
          <w:iCs/>
          <w:lang w:val="es"/>
        </w:rPr>
        <w:t xml:space="preserve"> </w:t>
      </w:r>
      <w:r>
        <w:rPr>
          <w:b/>
          <w:lang w:val="es"/>
        </w:rPr>
        <w:t>de</w:t>
      </w:r>
      <w:r>
        <w:rPr>
          <w:b/>
          <w:i/>
          <w:iCs/>
          <w:lang w:val="es"/>
        </w:rPr>
        <w:t xml:space="preserve"> </w:t>
      </w:r>
      <w:proofErr w:type="gramStart"/>
      <w:r>
        <w:rPr>
          <w:b/>
          <w:lang w:val="es"/>
        </w:rPr>
        <w:t>Mayo</w:t>
      </w:r>
      <w:proofErr w:type="gramEnd"/>
      <w:r>
        <w:rPr>
          <w:b/>
          <w:lang w:val="es"/>
        </w:rPr>
        <w:t xml:space="preserve"> de 2025</w:t>
      </w:r>
      <w:bookmarkEnd w:id="150"/>
      <w:bookmarkEnd w:id="151"/>
      <w:bookmarkEnd w:id="152"/>
    </w:p>
    <w:p w14:paraId="2354A891" w14:textId="330777E8" w:rsidR="006620D0" w:rsidRPr="006C41C4" w:rsidRDefault="46E0BCF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Dr. Saif </w:t>
      </w:r>
      <w:proofErr w:type="spellStart"/>
      <w:r>
        <w:rPr>
          <w:rFonts w:ascii="Arial" w:hAnsi="Arial" w:cs="Arial"/>
          <w:sz w:val="22"/>
          <w:szCs w:val="22"/>
          <w:lang w:val="es"/>
        </w:rPr>
        <w:t>AlGhais</w:t>
      </w:r>
      <w:proofErr w:type="spellEnd"/>
      <w:r>
        <w:rPr>
          <w:rFonts w:ascii="Arial" w:hAnsi="Arial" w:cs="Arial"/>
          <w:sz w:val="22"/>
          <w:szCs w:val="22"/>
          <w:lang w:val="es"/>
        </w:rPr>
        <w:t xml:space="preserve"> (EAU), nuevo </w:t>
      </w:r>
      <w:proofErr w:type="gramStart"/>
      <w:r>
        <w:rPr>
          <w:rFonts w:ascii="Arial" w:hAnsi="Arial" w:cs="Arial"/>
          <w:sz w:val="22"/>
          <w:szCs w:val="22"/>
          <w:lang w:val="es"/>
        </w:rPr>
        <w:t>Presidente</w:t>
      </w:r>
      <w:proofErr w:type="gramEnd"/>
      <w:r>
        <w:rPr>
          <w:rFonts w:ascii="Arial" w:hAnsi="Arial" w:cs="Arial"/>
          <w:sz w:val="22"/>
          <w:szCs w:val="22"/>
          <w:lang w:val="es"/>
        </w:rPr>
        <w:t xml:space="preserve"> de la Subcomisión IOCINDIO, presentó este punto del orden del día. En su 32ª reunión (2023), la Asamblea decidió, mediante la Resolución A-32/1, crear la Subcomisión de la COI para el Océano Índico Central (IOCINDIO) como órgano intergubernamental encargado de promover la cooperación regional en el ámbito de las ciencias oceánicas, basándose en los tres decenios de trabajo del Comité Regional de IOCINDIO. Hasta la fecha,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de la COI ha recibido un total de 11 (once) cartas de adhesión de los puntos focales nacionales competentes de los Estados Miembros de la COI, a saber, Arabia Saudita, Bangladesh, Emiratos Árabes Unidos, Estados Unidos de América, Federación de Rusia, Francia, India, Kuwait, Omán, República Islámica </w:t>
      </w:r>
      <w:proofErr w:type="spellStart"/>
      <w:r>
        <w:rPr>
          <w:rFonts w:ascii="Arial" w:hAnsi="Arial" w:cs="Arial"/>
          <w:sz w:val="22"/>
          <w:szCs w:val="22"/>
          <w:lang w:val="es"/>
        </w:rPr>
        <w:t>del</w:t>
      </w:r>
      <w:proofErr w:type="spellEnd"/>
      <w:r>
        <w:rPr>
          <w:rFonts w:ascii="Arial" w:hAnsi="Arial" w:cs="Arial"/>
          <w:sz w:val="22"/>
          <w:szCs w:val="22"/>
          <w:lang w:val="es"/>
        </w:rPr>
        <w:t xml:space="preserve"> Irán y Sri Lanka, estableciendo así el IOCINDIO como subcomisión. Mauricio se incorporó a la subcomisión en esta primera reunión. El </w:t>
      </w:r>
      <w:proofErr w:type="gramStart"/>
      <w:r>
        <w:rPr>
          <w:rFonts w:ascii="Arial" w:hAnsi="Arial" w:cs="Arial"/>
          <w:sz w:val="22"/>
          <w:szCs w:val="22"/>
          <w:lang w:val="es"/>
        </w:rPr>
        <w:t>Presidente</w:t>
      </w:r>
      <w:proofErr w:type="gramEnd"/>
      <w:r>
        <w:rPr>
          <w:rFonts w:ascii="Arial" w:hAnsi="Arial" w:cs="Arial"/>
          <w:sz w:val="22"/>
          <w:szCs w:val="22"/>
          <w:lang w:val="es"/>
        </w:rPr>
        <w:t xml:space="preserve"> invitó a los Estados Miembros interesados a formar parte de la subcomisión y a enviar una carta a tal efecto a la Secretaría del COI. </w:t>
      </w:r>
    </w:p>
    <w:p w14:paraId="4F688E2F" w14:textId="7D06BA64" w:rsidR="46E0BCF0" w:rsidRPr="006C41C4" w:rsidRDefault="46E0BCF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Presidente</w:t>
      </w:r>
      <w:proofErr w:type="gramEnd"/>
      <w:r>
        <w:rPr>
          <w:rFonts w:ascii="Arial" w:hAnsi="Arial" w:cs="Arial"/>
          <w:sz w:val="22"/>
          <w:szCs w:val="22"/>
          <w:lang w:val="es"/>
        </w:rPr>
        <w:t xml:space="preserve"> se refirió al resumen dispositivo de la reunión (informe IOCINDIO-1/3s) e informó sobre los resultados de la primera reunión de la Subcomisión de la COI y las 22 decisiones que adoptó. Estas decisiones sirven de base para un plan de trabajo de IOCINDIO que se ultimará cuando haya más claridad sobre la situación financiera actual. Se crearon cuatro grupos de reunión para facilitar la elaboración de un plan de trabajo para el próximo bienio, 2026-2027. Sus recomendaciones dieron lugar a una lista de acciones prioritarias, socios potenciales y necesidades presupuestarias estimadas. </w:t>
      </w:r>
    </w:p>
    <w:p w14:paraId="758CAD41" w14:textId="1BF59C1E" w:rsidR="001072BB" w:rsidRPr="006C41C4" w:rsidRDefault="001072B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lastRenderedPageBreak/>
        <w:t>La Subcomisión tomó nota de las disposiciones del Programa y Presupuesto de la COI para 2024-2025 (42 C/5 Aprobado) relativas a la creación de una secretaría en la oficina regional de la UNESCO en Nueva Delhi y expresó la necesidad de acelerar su puesta en práctica lo antes posible.</w:t>
      </w:r>
    </w:p>
    <w:p w14:paraId="404457C4" w14:textId="7E7C0510" w:rsidR="001072BB" w:rsidRPr="00AE71B5" w:rsidRDefault="00B3052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es"/>
        </w:rPr>
        <w:t xml:space="preserve">En la reunión se eligió por aclamación la Mesa de la subcomisión: Dr. Saif </w:t>
      </w:r>
      <w:proofErr w:type="spellStart"/>
      <w:r>
        <w:rPr>
          <w:rFonts w:ascii="Arial" w:hAnsi="Arial" w:cs="Arial"/>
          <w:sz w:val="22"/>
          <w:szCs w:val="22"/>
          <w:lang w:val="es"/>
        </w:rPr>
        <w:t>AlGhais</w:t>
      </w:r>
      <w:proofErr w:type="spellEnd"/>
      <w:r>
        <w:rPr>
          <w:rFonts w:ascii="Arial" w:hAnsi="Arial" w:cs="Arial"/>
          <w:sz w:val="22"/>
          <w:szCs w:val="22"/>
          <w:lang w:val="es"/>
        </w:rPr>
        <w:t xml:space="preserve"> (EAU) como </w:t>
      </w:r>
      <w:proofErr w:type="gramStart"/>
      <w:r>
        <w:rPr>
          <w:rFonts w:ascii="Arial" w:hAnsi="Arial" w:cs="Arial"/>
          <w:sz w:val="22"/>
          <w:szCs w:val="22"/>
          <w:lang w:val="es"/>
        </w:rPr>
        <w:t>Presidente</w:t>
      </w:r>
      <w:proofErr w:type="gramEnd"/>
      <w:r>
        <w:rPr>
          <w:rFonts w:ascii="Arial" w:hAnsi="Arial" w:cs="Arial"/>
          <w:sz w:val="22"/>
          <w:szCs w:val="22"/>
          <w:lang w:val="es"/>
        </w:rPr>
        <w:t xml:space="preserve">, Dr. </w:t>
      </w:r>
      <w:proofErr w:type="spellStart"/>
      <w:r>
        <w:rPr>
          <w:rFonts w:ascii="Arial" w:hAnsi="Arial" w:cs="Arial"/>
          <w:sz w:val="22"/>
          <w:szCs w:val="22"/>
          <w:lang w:val="es"/>
        </w:rPr>
        <w:t>Balakrishnan</w:t>
      </w:r>
      <w:proofErr w:type="spellEnd"/>
      <w:r>
        <w:rPr>
          <w:rFonts w:ascii="Arial" w:hAnsi="Arial" w:cs="Arial"/>
          <w:sz w:val="22"/>
          <w:szCs w:val="22"/>
          <w:lang w:val="es"/>
        </w:rPr>
        <w:t xml:space="preserve"> Nair TM (India) y Dra. </w:t>
      </w:r>
      <w:proofErr w:type="spellStart"/>
      <w:r>
        <w:rPr>
          <w:rFonts w:ascii="Arial" w:hAnsi="Arial" w:cs="Arial"/>
          <w:sz w:val="22"/>
          <w:szCs w:val="22"/>
          <w:lang w:val="es"/>
        </w:rPr>
        <w:t>Maryam</w:t>
      </w:r>
      <w:proofErr w:type="spellEnd"/>
      <w:r>
        <w:rPr>
          <w:rFonts w:ascii="Arial" w:hAnsi="Arial" w:cs="Arial"/>
          <w:sz w:val="22"/>
          <w:szCs w:val="22"/>
          <w:lang w:val="es"/>
        </w:rPr>
        <w:t xml:space="preserve"> </w:t>
      </w:r>
      <w:proofErr w:type="spellStart"/>
      <w:r>
        <w:rPr>
          <w:rFonts w:ascii="Arial" w:hAnsi="Arial" w:cs="Arial"/>
          <w:sz w:val="22"/>
          <w:szCs w:val="22"/>
          <w:lang w:val="es"/>
        </w:rPr>
        <w:t>Ghaemi</w:t>
      </w:r>
      <w:proofErr w:type="spellEnd"/>
      <w:r>
        <w:rPr>
          <w:rFonts w:ascii="Arial" w:hAnsi="Arial" w:cs="Arial"/>
          <w:sz w:val="22"/>
          <w:szCs w:val="22"/>
          <w:lang w:val="es"/>
        </w:rPr>
        <w:t xml:space="preserve"> (República Islámica de Irán) como </w:t>
      </w:r>
      <w:proofErr w:type="gramStart"/>
      <w:r>
        <w:rPr>
          <w:rFonts w:ascii="Arial" w:hAnsi="Arial" w:cs="Arial"/>
          <w:sz w:val="22"/>
          <w:szCs w:val="22"/>
          <w:lang w:val="es"/>
        </w:rPr>
        <w:t>Vicepresidentes</w:t>
      </w:r>
      <w:proofErr w:type="gramEnd"/>
      <w:r>
        <w:rPr>
          <w:rFonts w:ascii="Arial" w:hAnsi="Arial" w:cs="Arial"/>
          <w:sz w:val="22"/>
          <w:szCs w:val="22"/>
          <w:lang w:val="es"/>
        </w:rPr>
        <w:t xml:space="preserve">. </w:t>
      </w:r>
    </w:p>
    <w:p w14:paraId="563DE62C" w14:textId="6AAD35D3" w:rsidR="00B30526" w:rsidRPr="006C41C4" w:rsidRDefault="00B3052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eastAsia="Arial" w:hAnsi="Arial" w:cs="Arial"/>
          <w:sz w:val="22"/>
          <w:szCs w:val="22"/>
          <w:lang w:val="es"/>
        </w:rPr>
        <w:t xml:space="preserve">El Dr. Saif </w:t>
      </w:r>
      <w:proofErr w:type="spellStart"/>
      <w:r>
        <w:rPr>
          <w:rFonts w:ascii="Arial" w:eastAsia="Arial" w:hAnsi="Arial" w:cs="Arial"/>
          <w:sz w:val="22"/>
          <w:szCs w:val="22"/>
          <w:lang w:val="es"/>
        </w:rPr>
        <w:t>AlGhais</w:t>
      </w:r>
      <w:proofErr w:type="spellEnd"/>
      <w:r>
        <w:rPr>
          <w:rFonts w:ascii="Arial" w:eastAsia="Arial" w:hAnsi="Arial" w:cs="Arial"/>
          <w:sz w:val="22"/>
          <w:szCs w:val="22"/>
          <w:lang w:val="es"/>
        </w:rPr>
        <w:t xml:space="preserve">, en nombre de los Estados Miembros de IOCINDIO, expresó su sincera gratitud a su predecesor, RA (retirado) </w:t>
      </w:r>
      <w:proofErr w:type="spellStart"/>
      <w:r>
        <w:rPr>
          <w:rFonts w:ascii="Arial" w:eastAsia="Arial" w:hAnsi="Arial" w:cs="Arial"/>
          <w:sz w:val="22"/>
          <w:szCs w:val="22"/>
          <w:lang w:val="es"/>
        </w:rPr>
        <w:t>Khurshid</w:t>
      </w:r>
      <w:proofErr w:type="spellEnd"/>
      <w:r>
        <w:rPr>
          <w:rFonts w:ascii="Arial" w:eastAsia="Arial" w:hAnsi="Arial" w:cs="Arial"/>
          <w:sz w:val="22"/>
          <w:szCs w:val="22"/>
          <w:lang w:val="es"/>
        </w:rPr>
        <w:t xml:space="preserve"> Alam (Bangladesh), por sus años de abnegado servicio al Comité Regional de IOCINDIO y por sus incansables esfuerzos para elevar la categoría de IOCINDIO.</w:t>
      </w:r>
    </w:p>
    <w:p w14:paraId="5FAA4CB2" w14:textId="450F1B7F" w:rsidR="001B482D" w:rsidRPr="006C41C4" w:rsidRDefault="00FF3B2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Asistieron 50 participantes a la reunión, entre ellos representantes de 14 países y 6 organizaciones locales y regionales. </w:t>
      </w:r>
    </w:p>
    <w:p w14:paraId="18F1DDE4" w14:textId="2BDE4122" w:rsidR="007577C5" w:rsidRPr="006C41C4" w:rsidRDefault="00E204A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11 Estados Miembros. </w:t>
      </w:r>
    </w:p>
    <w:p w14:paraId="10CD0204" w14:textId="42D3779E" w:rsidR="007577C5" w:rsidRPr="006C41C4" w:rsidRDefault="007577C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t xml:space="preserve">La Asamblea celebró ampliamente la elevación del comité regional </w:t>
      </w:r>
      <w:proofErr w:type="spellStart"/>
      <w:r>
        <w:rPr>
          <w:rFonts w:ascii="Arial" w:hAnsi="Arial"/>
          <w:sz w:val="22"/>
          <w:szCs w:val="22"/>
          <w:lang w:val="es"/>
        </w:rPr>
        <w:t>a</w:t>
      </w:r>
      <w:r>
        <w:rPr>
          <w:rFonts w:ascii="Cambria Math" w:hAnsi="Cambria Math"/>
          <w:sz w:val="22"/>
          <w:szCs w:val="22"/>
          <w:lang w:val="es"/>
        </w:rPr>
        <w:t>Subcomisión</w:t>
      </w:r>
      <w:proofErr w:type="spellEnd"/>
      <w:r>
        <w:rPr>
          <w:rFonts w:ascii="Arial" w:hAnsi="Arial"/>
          <w:sz w:val="22"/>
          <w:szCs w:val="22"/>
          <w:lang w:val="es"/>
        </w:rPr>
        <w:t xml:space="preserve">, considerándola un hito histórico y una plataforma para abordar prioridades compartidas como los peligros, la alfabetización oceánica, los desechos marinos, la subida del </w:t>
      </w:r>
      <w:proofErr w:type="spellStart"/>
      <w:r>
        <w:rPr>
          <w:rFonts w:ascii="Cambria Math" w:hAnsi="Cambria Math"/>
          <w:sz w:val="22"/>
          <w:szCs w:val="22"/>
          <w:lang w:val="es"/>
        </w:rPr>
        <w:t>nivel</w:t>
      </w:r>
      <w:r>
        <w:rPr>
          <w:rFonts w:ascii="Arial" w:hAnsi="Arial"/>
          <w:sz w:val="22"/>
          <w:szCs w:val="22"/>
          <w:lang w:val="es"/>
        </w:rPr>
        <w:t>del</w:t>
      </w:r>
      <w:proofErr w:type="spellEnd"/>
      <w:r>
        <w:rPr>
          <w:rFonts w:ascii="Arial" w:hAnsi="Arial"/>
          <w:sz w:val="22"/>
          <w:szCs w:val="22"/>
          <w:lang w:val="es"/>
        </w:rPr>
        <w:t xml:space="preserve"> mar, el cambio climático, el desarrollo de capacidades y las iniciativas de economía azul. Algunos Estados Miembros subrayaron la importancia de fortalecer la Secretaría de IOCINDIO, garantizar asignaciones presupuestarias regulares, armonizar el trabajo con las prioridades de la COI y el Decenio del Océano de las Naciones Unidas, y fomentar la colaboración con otros órganos regionales como IOGOOS, IOCAFRICA, COI/WESTPAC e IOTWMS.</w:t>
      </w:r>
    </w:p>
    <w:p w14:paraId="7A04A076" w14:textId="078C554E" w:rsidR="00F307D5" w:rsidRPr="006C41C4" w:rsidRDefault="007577C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t xml:space="preserve">Varios Estados Miembros esbozaron compromisos y propuestas concretas para avanzar en el mandato de </w:t>
      </w:r>
      <w:proofErr w:type="spellStart"/>
      <w:r>
        <w:rPr>
          <w:rFonts w:ascii="Arial" w:hAnsi="Arial"/>
          <w:sz w:val="22"/>
          <w:szCs w:val="22"/>
          <w:lang w:val="es"/>
        </w:rPr>
        <w:t>la</w:t>
      </w:r>
      <w:r>
        <w:rPr>
          <w:rFonts w:ascii="Cambria Math" w:hAnsi="Cambria Math"/>
          <w:sz w:val="22"/>
          <w:szCs w:val="22"/>
          <w:lang w:val="es"/>
        </w:rPr>
        <w:t>Subcomisión</w:t>
      </w:r>
      <w:proofErr w:type="spellEnd"/>
      <w:r>
        <w:rPr>
          <w:rFonts w:ascii="Arial" w:hAnsi="Arial"/>
          <w:sz w:val="22"/>
          <w:szCs w:val="22"/>
          <w:lang w:val="es"/>
        </w:rPr>
        <w:t xml:space="preserve">. Indonesia se comprometió a acoger el </w:t>
      </w:r>
      <w:r>
        <w:rPr>
          <w:rFonts w:ascii="Cambria Math" w:hAnsi="Cambria Math"/>
          <w:sz w:val="22"/>
          <w:szCs w:val="22"/>
          <w:lang w:val="es"/>
        </w:rPr>
        <w:t>IOCINDIO-2</w:t>
      </w:r>
      <w:r>
        <w:rPr>
          <w:rFonts w:ascii="Arial" w:hAnsi="Arial"/>
          <w:sz w:val="22"/>
          <w:szCs w:val="22"/>
          <w:lang w:val="es"/>
        </w:rPr>
        <w:t xml:space="preserve"> en 2026 y a apoyar proyectos conjuntos de desarrollo de capacidades; Kuwait, Mauricio y Omán hicieron hincapié en los sistemas de observación a </w:t>
      </w:r>
      <w:r>
        <w:rPr>
          <w:rFonts w:ascii="Cambria Math" w:hAnsi="Cambria Math"/>
          <w:sz w:val="22"/>
          <w:szCs w:val="22"/>
          <w:lang w:val="es"/>
        </w:rPr>
        <w:t>escala</w:t>
      </w:r>
      <w:r>
        <w:rPr>
          <w:rFonts w:ascii="Arial" w:hAnsi="Arial"/>
          <w:sz w:val="22"/>
          <w:szCs w:val="22"/>
          <w:lang w:val="es"/>
        </w:rPr>
        <w:t xml:space="preserve">de cuenca, la oceanografía operacional y la gestión marina integrada; la Federación de Rusia y Arabia Saudí abogaron por la cooperación temática en materia de contaminación, biodiversidad y formación. </w:t>
      </w:r>
    </w:p>
    <w:p w14:paraId="2132E689" w14:textId="2DB1499C" w:rsidR="007577C5" w:rsidRPr="006C41C4" w:rsidRDefault="007577C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proofErr w:type="spellStart"/>
      <w:r>
        <w:rPr>
          <w:rFonts w:ascii="Arial" w:hAnsi="Arial"/>
          <w:sz w:val="22"/>
          <w:szCs w:val="22"/>
          <w:lang w:val="es"/>
        </w:rPr>
        <w:t>El</w:t>
      </w:r>
      <w:r>
        <w:rPr>
          <w:rFonts w:ascii="Cambria Math" w:hAnsi="Cambria Math"/>
          <w:sz w:val="22"/>
          <w:szCs w:val="22"/>
          <w:lang w:val="es"/>
        </w:rPr>
        <w:t>Vicepresidente</w:t>
      </w:r>
      <w:proofErr w:type="spellEnd"/>
      <w:r>
        <w:rPr>
          <w:rFonts w:ascii="Arial" w:hAnsi="Arial"/>
          <w:sz w:val="22"/>
          <w:szCs w:val="22"/>
          <w:lang w:val="es"/>
        </w:rPr>
        <w:t xml:space="preserve">, Dr. </w:t>
      </w:r>
      <w:proofErr w:type="spellStart"/>
      <w:r>
        <w:rPr>
          <w:rFonts w:ascii="Arial" w:hAnsi="Arial"/>
          <w:sz w:val="22"/>
          <w:szCs w:val="22"/>
          <w:lang w:val="es"/>
        </w:rPr>
        <w:t>Balakrishnan</w:t>
      </w:r>
      <w:proofErr w:type="spellEnd"/>
      <w:r>
        <w:rPr>
          <w:rFonts w:ascii="Arial" w:hAnsi="Arial"/>
          <w:sz w:val="22"/>
          <w:szCs w:val="22"/>
          <w:lang w:val="es"/>
        </w:rPr>
        <w:t xml:space="preserve"> Nair, acogió con satisfacción las reacciones positivas, instó a emprender iniciativas de colaboración en materia de observación de los océanos y resiliencia al cambio climático, y pidió que se resolvieran rápidamente las limitaciones presupuestarias para aprovechar plenamente el potencial de IOCINDIO.</w:t>
      </w:r>
    </w:p>
    <w:p w14:paraId="52B653A8" w14:textId="0875890D" w:rsidR="00E204A0" w:rsidRPr="006C41C4" w:rsidRDefault="00E204A0"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han optado por dejar constancia de su intervención en el pleno sobre este punto del orden del día para el anexo informativo del informe de la reunión: </w:t>
      </w:r>
      <w:hyperlink w:anchor="india334" w:history="1">
        <w:r>
          <w:rPr>
            <w:rStyle w:val="Hyperlink"/>
            <w:rFonts w:ascii="Arial" w:hAnsi="Arial" w:cs="Arial"/>
            <w:sz w:val="22"/>
            <w:szCs w:val="22"/>
            <w:lang w:val="es"/>
          </w:rPr>
          <w:t>India</w:t>
        </w:r>
      </w:hyperlink>
      <w:r>
        <w:rPr>
          <w:rFonts w:ascii="Arial" w:hAnsi="Arial" w:cs="Arial"/>
          <w:sz w:val="22"/>
          <w:szCs w:val="22"/>
          <w:lang w:val="es"/>
        </w:rPr>
        <w:t xml:space="preserve">, </w:t>
      </w:r>
      <w:hyperlink w:anchor="indo334" w:history="1">
        <w:r>
          <w:rPr>
            <w:rStyle w:val="Hyperlink"/>
            <w:rFonts w:ascii="Arial" w:hAnsi="Arial" w:cs="Arial"/>
            <w:sz w:val="22"/>
            <w:szCs w:val="22"/>
            <w:lang w:val="es"/>
          </w:rPr>
          <w:t>Indonesia</w:t>
        </w:r>
      </w:hyperlink>
      <w:r>
        <w:rPr>
          <w:rFonts w:ascii="Arial" w:hAnsi="Arial" w:cs="Arial"/>
          <w:sz w:val="22"/>
          <w:szCs w:val="22"/>
          <w:lang w:val="es"/>
        </w:rPr>
        <w:t xml:space="preserve">, </w:t>
      </w:r>
      <w:hyperlink w:anchor="kuw334" w:history="1">
        <w:r>
          <w:rPr>
            <w:rStyle w:val="Hyperlink"/>
            <w:rFonts w:ascii="Arial" w:hAnsi="Arial" w:cs="Arial"/>
            <w:sz w:val="22"/>
            <w:szCs w:val="22"/>
            <w:lang w:val="es"/>
          </w:rPr>
          <w:t>Kuwait</w:t>
        </w:r>
      </w:hyperlink>
      <w:r>
        <w:rPr>
          <w:rFonts w:ascii="Arial" w:hAnsi="Arial" w:cs="Arial"/>
          <w:sz w:val="22"/>
          <w:szCs w:val="22"/>
          <w:lang w:val="es"/>
        </w:rPr>
        <w:t xml:space="preserve">, </w:t>
      </w:r>
      <w:hyperlink w:anchor="oman334" w:history="1">
        <w:r>
          <w:rPr>
            <w:rStyle w:val="Hyperlink"/>
            <w:rFonts w:ascii="Arial" w:hAnsi="Arial" w:cs="Arial"/>
            <w:sz w:val="22"/>
            <w:szCs w:val="22"/>
            <w:lang w:val="es"/>
          </w:rPr>
          <w:t>Omán</w:t>
        </w:r>
      </w:hyperlink>
      <w:r>
        <w:rPr>
          <w:rFonts w:ascii="Arial" w:hAnsi="Arial" w:cs="Arial"/>
          <w:sz w:val="22"/>
          <w:szCs w:val="22"/>
          <w:lang w:val="es"/>
        </w:rPr>
        <w:t xml:space="preserve">, </w:t>
      </w:r>
      <w:hyperlink w:anchor="rus334" w:history="1">
        <w:r>
          <w:rPr>
            <w:rStyle w:val="Hyperlink"/>
            <w:rFonts w:ascii="Arial" w:hAnsi="Arial" w:cs="Arial"/>
            <w:sz w:val="22"/>
            <w:szCs w:val="22"/>
            <w:lang w:val="es"/>
          </w:rPr>
          <w:t>Federación de Rusia</w:t>
        </w:r>
      </w:hyperlink>
      <w:r>
        <w:rPr>
          <w:rFonts w:ascii="Arial" w:hAnsi="Arial" w:cs="Arial"/>
          <w:sz w:val="22"/>
          <w:szCs w:val="22"/>
          <w:lang w:val="es"/>
        </w:rPr>
        <w:t xml:space="preserve">, </w:t>
      </w:r>
      <w:hyperlink w:anchor="sa334" w:history="1">
        <w:r>
          <w:rPr>
            <w:rStyle w:val="Hyperlink"/>
            <w:rFonts w:ascii="Arial" w:hAnsi="Arial" w:cs="Arial"/>
            <w:sz w:val="22"/>
            <w:szCs w:val="22"/>
            <w:lang w:val="es"/>
          </w:rPr>
          <w:t>Sudáfrica</w:t>
        </w:r>
      </w:hyperlink>
      <w:r>
        <w:rPr>
          <w:rFonts w:ascii="Arial" w:hAnsi="Arial" w:cs="Arial"/>
          <w:sz w:val="22"/>
          <w:szCs w:val="22"/>
          <w:lang w:val="es"/>
        </w:rPr>
        <w:t>.</w:t>
      </w:r>
    </w:p>
    <w:p w14:paraId="4951885C" w14:textId="34096FB7"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A-33/3.3.4</w:t>
      </w:r>
      <w:r>
        <w:rPr>
          <w:rFonts w:asciiTheme="minorBidi" w:hAnsiTheme="minorBidi" w:cstheme="minorBidi"/>
          <w:sz w:val="22"/>
          <w:szCs w:val="22"/>
          <w:lang w:val="es"/>
        </w:rPr>
        <w:t>.</w:t>
      </w:r>
    </w:p>
    <w:p w14:paraId="37B433CA" w14:textId="43365FF2" w:rsidR="00EB3D92" w:rsidRPr="006C41C4" w:rsidRDefault="005B13F7" w:rsidP="00472C9A">
      <w:pPr>
        <w:pStyle w:val="Heading2"/>
        <w:tabs>
          <w:tab w:val="clear" w:pos="737"/>
        </w:tabs>
        <w:ind w:left="851" w:hanging="851"/>
        <w:rPr>
          <w:lang w:val="es-ES"/>
        </w:rPr>
      </w:pPr>
      <w:bookmarkStart w:id="154" w:name="_Toc67920993"/>
      <w:bookmarkStart w:id="155" w:name="_Toc68180558"/>
      <w:bookmarkStart w:id="156" w:name="_Toc131777748"/>
      <w:bookmarkStart w:id="157" w:name="_Toc134002197"/>
      <w:bookmarkStart w:id="158" w:name="_Toc134002373"/>
      <w:bookmarkStart w:id="159" w:name="_Toc190766978"/>
      <w:bookmarkStart w:id="160" w:name="_Toc197955113"/>
      <w:bookmarkStart w:id="161" w:name="_Toc212133511"/>
      <w:bookmarkStart w:id="162" w:name="_Toc2766661"/>
      <w:bookmarkStart w:id="163" w:name="_Toc531253830"/>
      <w:bookmarkEnd w:id="153"/>
      <w:r>
        <w:rPr>
          <w:bCs w:val="0"/>
          <w:lang w:val="es"/>
        </w:rPr>
        <w:t>3.4</w:t>
      </w:r>
      <w:r>
        <w:rPr>
          <w:bCs w:val="0"/>
          <w:lang w:val="es"/>
        </w:rPr>
        <w:tab/>
        <w:t>INFORMES DE OTROS ÓRGANOS SUBSIDIARIOS DE LA COI</w:t>
      </w:r>
      <w:bookmarkEnd w:id="154"/>
      <w:bookmarkEnd w:id="155"/>
      <w:bookmarkEnd w:id="156"/>
      <w:bookmarkEnd w:id="157"/>
      <w:bookmarkEnd w:id="158"/>
      <w:bookmarkEnd w:id="159"/>
      <w:bookmarkEnd w:id="160"/>
      <w:bookmarkEnd w:id="161"/>
    </w:p>
    <w:p w14:paraId="1733AB78" w14:textId="20C52FAF" w:rsidR="00EB3D92" w:rsidRPr="006C41C4" w:rsidRDefault="00EB3D92" w:rsidP="00547D9B">
      <w:pPr>
        <w:pStyle w:val="Heading3"/>
        <w:numPr>
          <w:ilvl w:val="2"/>
          <w:numId w:val="12"/>
        </w:numPr>
        <w:tabs>
          <w:tab w:val="clear" w:pos="709"/>
        </w:tabs>
        <w:ind w:left="851" w:hanging="851"/>
        <w:rPr>
          <w:b/>
          <w:lang w:val="es-ES"/>
        </w:rPr>
      </w:pPr>
      <w:bookmarkStart w:id="164" w:name="_Toc67920994"/>
      <w:bookmarkStart w:id="165" w:name="_Toc68180559"/>
      <w:bookmarkStart w:id="166" w:name="_Toc131777749"/>
      <w:bookmarkStart w:id="167" w:name="_Toc134002198"/>
      <w:bookmarkStart w:id="168" w:name="_Toc134002374"/>
      <w:bookmarkStart w:id="169" w:name="_Toc190766979"/>
      <w:bookmarkStart w:id="170" w:name="_Toc197955114"/>
      <w:bookmarkStart w:id="171" w:name="_Toc212133512"/>
      <w:bookmarkStart w:id="172" w:name="_Hlk136009509"/>
      <w:r>
        <w:rPr>
          <w:b/>
          <w:lang w:val="es"/>
        </w:rPr>
        <w:t>Sistemas de alerta y atenuación de los riesgos oceánicos</w:t>
      </w:r>
      <w:bookmarkEnd w:id="164"/>
      <w:bookmarkEnd w:id="165"/>
      <w:bookmarkEnd w:id="166"/>
      <w:bookmarkEnd w:id="167"/>
      <w:bookmarkEnd w:id="168"/>
      <w:bookmarkEnd w:id="169"/>
      <w:bookmarkEnd w:id="170"/>
      <w:bookmarkEnd w:id="171"/>
    </w:p>
    <w:p w14:paraId="3445E154" w14:textId="77777777" w:rsidR="0065434D" w:rsidRPr="00AE71B5" w:rsidRDefault="000803C1" w:rsidP="001A57D8">
      <w:pPr>
        <w:pStyle w:val="Heading5"/>
      </w:pPr>
      <w:bookmarkStart w:id="173" w:name="_Toc197955115"/>
      <w:bookmarkStart w:id="174" w:name="_Toc134002375"/>
      <w:bookmarkStart w:id="175" w:name="_Toc68180560"/>
      <w:bookmarkStart w:id="176" w:name="_Toc212133513"/>
      <w:r>
        <w:rPr>
          <w:bCs w:val="0"/>
          <w:iCs/>
          <w:lang w:val="es"/>
        </w:rPr>
        <w:t>3.4.1.1</w:t>
      </w:r>
      <w:r>
        <w:rPr>
          <w:bCs w:val="0"/>
          <w:iCs/>
          <w:lang w:val="es"/>
        </w:rPr>
        <w:tab/>
        <w:t>Servicios regionales de alerta temprana</w:t>
      </w:r>
      <w:bookmarkEnd w:id="173"/>
      <w:bookmarkEnd w:id="174"/>
      <w:bookmarkEnd w:id="175"/>
      <w:bookmarkEnd w:id="176"/>
    </w:p>
    <w:p w14:paraId="2561E1BE" w14:textId="3CDA3C50" w:rsidR="002E62A2" w:rsidRPr="006C41C4" w:rsidRDefault="00420D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Sra. Valérie </w:t>
      </w:r>
      <w:proofErr w:type="spellStart"/>
      <w:r>
        <w:rPr>
          <w:rFonts w:ascii="Arial" w:hAnsi="Arial" w:cs="Arial"/>
          <w:sz w:val="22"/>
          <w:szCs w:val="22"/>
          <w:lang w:val="es"/>
        </w:rPr>
        <w:t>Clouard</w:t>
      </w:r>
      <w:proofErr w:type="spellEnd"/>
      <w:r>
        <w:rPr>
          <w:rFonts w:ascii="Arial" w:hAnsi="Arial" w:cs="Arial"/>
          <w:sz w:val="22"/>
          <w:szCs w:val="22"/>
          <w:lang w:val="es"/>
        </w:rPr>
        <w:t xml:space="preserve">, Contacto Nacional sobre Tsunamis de Francia para el ICG/CARIBE-EWS, presentó el informe de la 18ª reunión del grupo (ICG/CARIBE-EWS-XVIII), en línea, 5-7 y 9 de mayo de 2025, en nombre del Sr. Gérard </w:t>
      </w:r>
      <w:proofErr w:type="spellStart"/>
      <w:r>
        <w:rPr>
          <w:rFonts w:ascii="Arial" w:hAnsi="Arial" w:cs="Arial"/>
          <w:sz w:val="22"/>
          <w:szCs w:val="22"/>
          <w:lang w:val="es"/>
        </w:rPr>
        <w:t>Metayer</w:t>
      </w:r>
      <w:proofErr w:type="spellEnd"/>
      <w:r>
        <w:rPr>
          <w:rFonts w:ascii="Arial" w:hAnsi="Arial" w:cs="Arial"/>
          <w:sz w:val="22"/>
          <w:szCs w:val="22"/>
          <w:lang w:val="es"/>
        </w:rPr>
        <w:t xml:space="preserve">, </w:t>
      </w:r>
      <w:proofErr w:type="gramStart"/>
      <w:r>
        <w:rPr>
          <w:rFonts w:ascii="Arial" w:hAnsi="Arial" w:cs="Arial"/>
          <w:sz w:val="22"/>
          <w:szCs w:val="22"/>
          <w:lang w:val="es"/>
        </w:rPr>
        <w:t>Presidente</w:t>
      </w:r>
      <w:proofErr w:type="gramEnd"/>
      <w:r>
        <w:rPr>
          <w:rFonts w:ascii="Arial" w:hAnsi="Arial" w:cs="Arial"/>
          <w:sz w:val="22"/>
          <w:szCs w:val="22"/>
          <w:lang w:val="es"/>
        </w:rPr>
        <w:t xml:space="preserve"> del Grupo Intergubernamental de Coordinación del Sistema de Alerta contra los Tsunamis y otras </w:t>
      </w:r>
      <w:r>
        <w:rPr>
          <w:rFonts w:ascii="Arial" w:hAnsi="Arial" w:cs="Arial"/>
          <w:sz w:val="22"/>
          <w:szCs w:val="22"/>
          <w:lang w:val="es"/>
        </w:rPr>
        <w:lastRenderedPageBreak/>
        <w:t>Amenazas Costeras en el Caribe y Regiones Adyacentes (ICG/CARIBE-EWS). Destacó los resultados de los ejercicios CARIBE WAVE 2025, que movilizaron en total a unas 500 000 personas</w:t>
      </w:r>
      <w:r>
        <w:rPr>
          <w:rFonts w:ascii="Arial" w:hAnsi="Arial" w:cs="Arial"/>
          <w:i/>
          <w:iCs/>
          <w:sz w:val="22"/>
          <w:szCs w:val="22"/>
          <w:lang w:val="es"/>
        </w:rPr>
        <w:t xml:space="preserve"> </w:t>
      </w:r>
      <w:r>
        <w:rPr>
          <w:rFonts w:ascii="Arial" w:hAnsi="Arial" w:cs="Arial"/>
          <w:sz w:val="22"/>
          <w:szCs w:val="22"/>
          <w:lang w:val="es"/>
        </w:rPr>
        <w:t>el 20 de marzo de 2025.</w:t>
      </w:r>
    </w:p>
    <w:p w14:paraId="7113BE94" w14:textId="6F2B5784" w:rsidR="00224D69" w:rsidRPr="006C41C4" w:rsidRDefault="00224D69"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hAnsi="Arial" w:cs="Arial"/>
          <w:sz w:val="22"/>
          <w:szCs w:val="22"/>
          <w:lang w:val="es"/>
        </w:rPr>
        <w:t>En esta reunión, el ICG apreció que el Servicio Meteorológico Nacional de los Estados Unidos, a través de sus Centros de Alerta contra los Tsunamis y el Centro Internacional de Información sobre los Tsunamis, se comprometiera a seguir prestando servicios oportunos y eficaces contra los tsunamis para la protección de la vida, los medios de subsistencia y la prosperidad económica en los Estados Unidos y las regiones del Pacífico y el Caribe y adyacentes.</w:t>
      </w:r>
    </w:p>
    <w:p w14:paraId="3F72EA0C" w14:textId="32876B3D" w:rsidR="00224D69" w:rsidRPr="006C41C4" w:rsidRDefault="00224D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el marco del ICG/CARIBE-EWS, un total de 23 comunidades de 14 Estados Miembros (de los cuales 10 son PEID) se consideran ahora preparadas para los tsunamis en virtud del Programa de Reconocimiento de la UNESCO-COI de Preparación para los Tsunamis. En 2024, </w:t>
      </w:r>
      <w:hyperlink r:id="rId45">
        <w:r>
          <w:rPr>
            <w:rStyle w:val="Hyperlink"/>
            <w:rFonts w:ascii="Arial" w:hAnsi="Arial" w:cs="Arial"/>
            <w:sz w:val="22"/>
            <w:szCs w:val="22"/>
            <w:lang w:val="es"/>
          </w:rPr>
          <w:t>St. James Central</w:t>
        </w:r>
      </w:hyperlink>
      <w:r>
        <w:rPr>
          <w:rFonts w:ascii="Arial" w:hAnsi="Arial" w:cs="Arial"/>
          <w:sz w:val="22"/>
          <w:szCs w:val="22"/>
          <w:lang w:val="es"/>
        </w:rPr>
        <w:t xml:space="preserve">, Barbados, </w:t>
      </w:r>
      <w:hyperlink r:id="rId46">
        <w:r>
          <w:rPr>
            <w:rStyle w:val="Hyperlink"/>
            <w:rFonts w:ascii="Arial" w:hAnsi="Arial" w:cs="Arial"/>
            <w:sz w:val="22"/>
            <w:szCs w:val="22"/>
            <w:lang w:val="es"/>
          </w:rPr>
          <w:t>Cahuita</w:t>
        </w:r>
      </w:hyperlink>
      <w:r>
        <w:rPr>
          <w:rFonts w:ascii="Arial" w:hAnsi="Arial" w:cs="Arial"/>
          <w:sz w:val="22"/>
          <w:szCs w:val="22"/>
          <w:lang w:val="es"/>
        </w:rPr>
        <w:t xml:space="preserve">, Costa Rica, </w:t>
      </w:r>
      <w:hyperlink r:id="rId47">
        <w:r>
          <w:rPr>
            <w:rStyle w:val="Hyperlink"/>
            <w:rFonts w:ascii="Arial" w:hAnsi="Arial" w:cs="Arial"/>
            <w:sz w:val="22"/>
            <w:szCs w:val="22"/>
            <w:lang w:val="es"/>
          </w:rPr>
          <w:t>Portsmouth</w:t>
        </w:r>
      </w:hyperlink>
      <w:r>
        <w:rPr>
          <w:rFonts w:ascii="Arial" w:hAnsi="Arial" w:cs="Arial"/>
          <w:sz w:val="22"/>
          <w:szCs w:val="22"/>
          <w:lang w:val="es"/>
        </w:rPr>
        <w:t xml:space="preserve">, Dominica y </w:t>
      </w:r>
      <w:hyperlink r:id="rId48">
        <w:proofErr w:type="spellStart"/>
        <w:r>
          <w:rPr>
            <w:rStyle w:val="Hyperlink"/>
            <w:rFonts w:ascii="Arial" w:hAnsi="Arial" w:cs="Arial"/>
            <w:sz w:val="22"/>
            <w:szCs w:val="22"/>
            <w:lang w:val="es"/>
          </w:rPr>
          <w:t>Laborie</w:t>
        </w:r>
        <w:proofErr w:type="spellEnd"/>
      </w:hyperlink>
      <w:r>
        <w:rPr>
          <w:rFonts w:ascii="Arial" w:hAnsi="Arial" w:cs="Arial"/>
          <w:sz w:val="22"/>
          <w:szCs w:val="22"/>
          <w:lang w:val="es"/>
        </w:rPr>
        <w:t>, Santa Lucía, obtuvieron el reconocimiento Tsunami Ready, uniéndose a otras 19 comunidades de la región CARIBE-EWS.</w:t>
      </w:r>
    </w:p>
    <w:p w14:paraId="4B583535" w14:textId="1AE6130B" w:rsidR="00224D69" w:rsidRPr="006C41C4" w:rsidRDefault="00420D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Sra. </w:t>
      </w:r>
      <w:proofErr w:type="spellStart"/>
      <w:r>
        <w:rPr>
          <w:rFonts w:ascii="Arial" w:hAnsi="Arial" w:cs="Arial"/>
          <w:sz w:val="22"/>
          <w:szCs w:val="22"/>
          <w:lang w:val="es"/>
        </w:rPr>
        <w:t>Clouard</w:t>
      </w:r>
      <w:proofErr w:type="spellEnd"/>
      <w:r>
        <w:rPr>
          <w:rFonts w:ascii="Arial" w:hAnsi="Arial" w:cs="Arial"/>
          <w:sz w:val="22"/>
          <w:szCs w:val="22"/>
          <w:lang w:val="es"/>
        </w:rPr>
        <w:t xml:space="preserve"> también mencionó el ejercicio CARIBE WAVE 26, que tendrá lugar el jueves 19 de marzo de 2026. CARIBE WAVE 26 incluirá dos escenarios, a saber, el tsunami generado por un terremoto en las proximidades de la isla Caimán y por el volcán </w:t>
      </w:r>
      <w:proofErr w:type="spellStart"/>
      <w:r>
        <w:rPr>
          <w:rFonts w:ascii="Arial" w:hAnsi="Arial" w:cs="Arial"/>
          <w:sz w:val="22"/>
          <w:szCs w:val="22"/>
          <w:lang w:val="es"/>
        </w:rPr>
        <w:t>Kick</w:t>
      </w:r>
      <w:proofErr w:type="spellEnd"/>
      <w:r>
        <w:rPr>
          <w:rFonts w:ascii="Arial" w:hAnsi="Arial" w:cs="Arial"/>
          <w:sz w:val="22"/>
          <w:szCs w:val="22"/>
          <w:lang w:val="es"/>
        </w:rPr>
        <w:t xml:space="preserve"> </w:t>
      </w:r>
      <w:proofErr w:type="spellStart"/>
      <w:r>
        <w:rPr>
          <w:rFonts w:ascii="Arial" w:hAnsi="Arial" w:cs="Arial"/>
          <w:sz w:val="22"/>
          <w:szCs w:val="22"/>
          <w:lang w:val="es"/>
        </w:rPr>
        <w:t>'em</w:t>
      </w:r>
      <w:proofErr w:type="spellEnd"/>
      <w:r>
        <w:rPr>
          <w:rFonts w:ascii="Arial" w:hAnsi="Arial" w:cs="Arial"/>
          <w:sz w:val="22"/>
          <w:szCs w:val="22"/>
          <w:lang w:val="es"/>
        </w:rPr>
        <w:t xml:space="preserve"> Jenny. Se pide a los Estados Miembros que consideren la posibilidad de realizar la totalidad o parte de sus actividades de respuesta a los ejercicios durante las horas no laborables, en particular por la noche, para estar mejor preparados ante los tsunamis que tienen más probabilidades de producirse durante las horas no laborables.</w:t>
      </w:r>
    </w:p>
    <w:p w14:paraId="260969D7" w14:textId="37B87CC2" w:rsidR="00420D28" w:rsidRPr="006C41C4" w:rsidRDefault="00420D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eastAsiaTheme="minorEastAsia" w:hAnsi="Arial" w:cs="Arial"/>
          <w:sz w:val="22"/>
          <w:szCs w:val="22"/>
          <w:lang w:val="es"/>
        </w:rPr>
        <w:t>El ICG/CARIBE-EWS-XVIII pidió al Grupo de Dirección del ICG/CARIBE-EWS que definiera el mecanismo de presentación de informes para sus proveedores de servicios en caso de tsunami, incluida la comunicación y difusión de indicadores clave de rendimiento como parte de un suplemento del CARIBE EWS al Documento de Definición de Servicios Mundiales (GSDD), y que lo compartiera con el CATAC y el PTWC antes del 30 de septiembre de 2025.</w:t>
      </w:r>
    </w:p>
    <w:p w14:paraId="11FE116A" w14:textId="678F2D0B" w:rsidR="00224D69" w:rsidRPr="006C41C4" w:rsidRDefault="00224D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El ICG/CARIBE-EWS-XVIII recomendó que el Centro Centroamericano de Asesoramiento sobre Tsunamis (CATAC) siguiera funcionando plenamente con carácter provisional para ayudar a los Centros Nacionales de Alerta contra los Tsunamis (NTWC), los Puntos Focales de Alerta contra los Tsunamis (TWFP) y las autoridades de gestión de emergencias de América Central a hacer frente a estos problemas. Recomendó además que el Comité de Dirección del ICG/CARIBE-EWS trabajara con el CATAC y los Estados Miembros para estudiar la posibilidad de designar al CATAC como proveedor de servicios contra los tsunamis en su 19</w:t>
      </w:r>
      <w:r>
        <w:rPr>
          <w:rFonts w:ascii="Arial" w:hAnsi="Arial" w:cs="Arial"/>
          <w:sz w:val="22"/>
          <w:szCs w:val="22"/>
          <w:vertAlign w:val="superscript"/>
          <w:lang w:val="es"/>
        </w:rPr>
        <w:t>ª</w:t>
      </w:r>
      <w:r>
        <w:rPr>
          <w:rFonts w:ascii="Arial" w:hAnsi="Arial" w:cs="Arial"/>
          <w:sz w:val="22"/>
          <w:szCs w:val="22"/>
          <w:lang w:val="es"/>
        </w:rPr>
        <w:t xml:space="preserve"> reunión, en 2026, y recomendar su admisión en la próxima reunión del Consejo Ejecutivo de la COI, en junio de 2026.</w:t>
      </w:r>
    </w:p>
    <w:p w14:paraId="5AEEDD35" w14:textId="6A2B3C4F" w:rsidR="00224D69" w:rsidRPr="006C41C4" w:rsidRDefault="00A0480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ICG/CARIBE-EWS-XVIII tomó nota con satisfacción de la intención manifestada por Barbados en su reunión anterior y por Curaçao en la ICG/CARIBE EWS-XVIII de acoger la próxima reunión del ICG/CARIBE-EWS en 2026 e invitó a ambos países a enviar una invitación oficial a la Secretaría a tal efecto antes del 15 de junio de 2025. La Secretaría recibió una carta oficial del Departamento de Meteorología de Curaçao el 10 de junio de 2025 relativa a la organización de ICG/CARIBE-EWS-XIX del 20 al 24 de abril de 2026. ICG/CARIBE-EWS-XIX marcará el 20 aniversario de la primera reunión de ICG/CARIBE-EWS, proporcionando una importante oportunidad para aumentar la conciencia, asegurando la resiliencia a los tsunamis en el Caribe y sus regiones adyacentes. </w:t>
      </w:r>
    </w:p>
    <w:p w14:paraId="6FCFF2A0" w14:textId="0DF9BFB4" w:rsidR="002E62A2" w:rsidRPr="006C41C4" w:rsidRDefault="0015339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Gérard </w:t>
      </w:r>
      <w:proofErr w:type="spellStart"/>
      <w:r>
        <w:rPr>
          <w:rFonts w:ascii="Arial" w:hAnsi="Arial" w:cs="Arial"/>
          <w:sz w:val="22"/>
          <w:szCs w:val="22"/>
          <w:lang w:val="es"/>
        </w:rPr>
        <w:t>Matayer</w:t>
      </w:r>
      <w:proofErr w:type="spellEnd"/>
      <w:r>
        <w:rPr>
          <w:rFonts w:ascii="Arial" w:hAnsi="Arial" w:cs="Arial"/>
          <w:sz w:val="22"/>
          <w:szCs w:val="22"/>
          <w:lang w:val="es"/>
        </w:rPr>
        <w:t xml:space="preserve"> (Haití) fue reelegido </w:t>
      </w:r>
      <w:proofErr w:type="gramStart"/>
      <w:r>
        <w:rPr>
          <w:rFonts w:ascii="Arial" w:hAnsi="Arial" w:cs="Arial"/>
          <w:sz w:val="22"/>
          <w:szCs w:val="22"/>
          <w:lang w:val="es"/>
        </w:rPr>
        <w:t>Presidente</w:t>
      </w:r>
      <w:proofErr w:type="gramEnd"/>
      <w:r>
        <w:rPr>
          <w:rFonts w:ascii="Arial" w:hAnsi="Arial" w:cs="Arial"/>
          <w:sz w:val="22"/>
          <w:szCs w:val="22"/>
          <w:lang w:val="es"/>
        </w:rPr>
        <w:t>, Marie-</w:t>
      </w:r>
      <w:proofErr w:type="spellStart"/>
      <w:r>
        <w:rPr>
          <w:rFonts w:ascii="Arial" w:hAnsi="Arial" w:cs="Arial"/>
          <w:sz w:val="22"/>
          <w:szCs w:val="22"/>
          <w:lang w:val="es"/>
        </w:rPr>
        <w:t>Noëlle</w:t>
      </w:r>
      <w:proofErr w:type="spellEnd"/>
      <w:r>
        <w:rPr>
          <w:rFonts w:ascii="Arial" w:hAnsi="Arial" w:cs="Arial"/>
          <w:sz w:val="22"/>
          <w:szCs w:val="22"/>
          <w:lang w:val="es"/>
        </w:rPr>
        <w:t xml:space="preserve"> </w:t>
      </w:r>
      <w:proofErr w:type="spellStart"/>
      <w:r>
        <w:rPr>
          <w:rFonts w:ascii="Arial" w:hAnsi="Arial" w:cs="Arial"/>
          <w:sz w:val="22"/>
          <w:szCs w:val="22"/>
          <w:lang w:val="es"/>
        </w:rPr>
        <w:t>Raveau</w:t>
      </w:r>
      <w:proofErr w:type="spellEnd"/>
      <w:r>
        <w:rPr>
          <w:rFonts w:ascii="Arial" w:hAnsi="Arial" w:cs="Arial"/>
          <w:sz w:val="22"/>
          <w:szCs w:val="22"/>
          <w:lang w:val="es"/>
        </w:rPr>
        <w:t xml:space="preserve"> (Francia) y Regina Browne (Islas Vírgenes de </w:t>
      </w:r>
      <w:proofErr w:type="gramStart"/>
      <w:r>
        <w:rPr>
          <w:rFonts w:ascii="Arial" w:hAnsi="Arial" w:cs="Arial"/>
          <w:sz w:val="22"/>
          <w:szCs w:val="22"/>
          <w:lang w:val="es"/>
        </w:rPr>
        <w:t>EE.UU.</w:t>
      </w:r>
      <w:proofErr w:type="gramEnd"/>
      <w:r>
        <w:rPr>
          <w:rFonts w:ascii="Arial" w:hAnsi="Arial" w:cs="Arial"/>
          <w:sz w:val="22"/>
          <w:szCs w:val="22"/>
          <w:lang w:val="es"/>
        </w:rPr>
        <w:t xml:space="preserve">) fueron reelegidas </w:t>
      </w:r>
      <w:proofErr w:type="gramStart"/>
      <w:r>
        <w:rPr>
          <w:rFonts w:ascii="Arial" w:hAnsi="Arial" w:cs="Arial"/>
          <w:sz w:val="22"/>
          <w:szCs w:val="22"/>
          <w:lang w:val="es"/>
        </w:rPr>
        <w:t>Vicepresidentas</w:t>
      </w:r>
      <w:proofErr w:type="gramEnd"/>
      <w:r>
        <w:rPr>
          <w:rFonts w:ascii="Arial" w:hAnsi="Arial" w:cs="Arial"/>
          <w:sz w:val="22"/>
          <w:szCs w:val="22"/>
          <w:lang w:val="es"/>
        </w:rPr>
        <w:t xml:space="preserve"> y la Dra. Silvia Chacón Barrantes (Costa Rica) fue elegida Vicepresidenta por su primer mandato. </w:t>
      </w:r>
    </w:p>
    <w:p w14:paraId="179BE84D" w14:textId="5EE9132B"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lastRenderedPageBreak/>
        <w:t xml:space="preserve">El Sr. </w:t>
      </w:r>
      <w:proofErr w:type="spellStart"/>
      <w:r>
        <w:rPr>
          <w:rFonts w:ascii="Arial" w:hAnsi="Arial" w:cs="Arial"/>
          <w:sz w:val="22"/>
          <w:szCs w:val="22"/>
          <w:lang w:val="es"/>
        </w:rPr>
        <w:t>Pattabhi</w:t>
      </w:r>
      <w:proofErr w:type="spellEnd"/>
      <w:r>
        <w:rPr>
          <w:rFonts w:ascii="Arial" w:hAnsi="Arial" w:cs="Arial"/>
          <w:sz w:val="22"/>
          <w:szCs w:val="22"/>
          <w:lang w:val="es"/>
        </w:rPr>
        <w:t xml:space="preserve"> Rama Rao </w:t>
      </w:r>
      <w:proofErr w:type="spellStart"/>
      <w:r>
        <w:rPr>
          <w:rFonts w:ascii="Arial" w:hAnsi="Arial" w:cs="Arial"/>
          <w:sz w:val="22"/>
          <w:szCs w:val="22"/>
          <w:lang w:val="es"/>
        </w:rPr>
        <w:t>Eluri</w:t>
      </w:r>
      <w:proofErr w:type="spellEnd"/>
      <w:r>
        <w:rPr>
          <w:rFonts w:ascii="Arial" w:hAnsi="Arial" w:cs="Arial"/>
          <w:sz w:val="22"/>
          <w:szCs w:val="22"/>
          <w:lang w:val="es"/>
        </w:rPr>
        <w:t xml:space="preserve">, </w:t>
      </w:r>
      <w:proofErr w:type="gramStart"/>
      <w:r>
        <w:rPr>
          <w:rFonts w:ascii="Arial" w:hAnsi="Arial" w:cs="Arial"/>
          <w:sz w:val="22"/>
          <w:szCs w:val="22"/>
          <w:lang w:val="es"/>
        </w:rPr>
        <w:t>Presidente</w:t>
      </w:r>
      <w:proofErr w:type="gramEnd"/>
      <w:r>
        <w:rPr>
          <w:rFonts w:ascii="Arial" w:hAnsi="Arial" w:cs="Arial"/>
          <w:sz w:val="22"/>
          <w:szCs w:val="22"/>
          <w:lang w:val="es"/>
        </w:rPr>
        <w:t xml:space="preserve"> del Grupo Intergubernamental de Coordinación del Sistema de Alerta contra los Tsunamis y Atenuación de sus Efectos en el Océano Índico (ICG/IOTWMS) presentó el informe de la 14ª reunión del grupo, celebrada del 17 al 19 de noviembre de 2024 en </w:t>
      </w:r>
      <w:proofErr w:type="spellStart"/>
      <w:r>
        <w:rPr>
          <w:rFonts w:ascii="Arial" w:hAnsi="Arial" w:cs="Arial"/>
          <w:sz w:val="22"/>
          <w:szCs w:val="22"/>
          <w:lang w:val="es"/>
        </w:rPr>
        <w:t>Banten</w:t>
      </w:r>
      <w:proofErr w:type="spellEnd"/>
      <w:r>
        <w:rPr>
          <w:rFonts w:ascii="Arial" w:hAnsi="Arial" w:cs="Arial"/>
          <w:sz w:val="22"/>
          <w:szCs w:val="22"/>
          <w:lang w:val="es"/>
        </w:rPr>
        <w:t xml:space="preserve"> (Indonesia). El Sr. Rama Rao destacó varios acontecimientos importantes organizados durante el año pasado, entre ellos el </w:t>
      </w:r>
      <w:hyperlink r:id="rId49" w:history="1">
        <w:r>
          <w:rPr>
            <w:rStyle w:val="Hyperlink"/>
            <w:rFonts w:ascii="Arial" w:hAnsi="Arial" w:cs="Arial"/>
            <w:sz w:val="22"/>
            <w:szCs w:val="22"/>
            <w:lang w:val="es"/>
          </w:rPr>
          <w:t>Taller de validación de la evaluación de la capacidad en materia de tsunamis para los océanos Índico y Pacífico</w:t>
        </w:r>
      </w:hyperlink>
      <w:r>
        <w:rPr>
          <w:rFonts w:ascii="Arial" w:hAnsi="Arial" w:cs="Arial"/>
          <w:sz w:val="22"/>
          <w:szCs w:val="22"/>
          <w:lang w:val="es"/>
        </w:rPr>
        <w:t xml:space="preserve">, Bangkok, 4-6 de septiembre de 2024, el 2º Simposio Mundial UNESCO-COI sobre Tsunamis "Veinte años después del tsunami del océano Índico de 2004: reflexión y perspectivas", Banda Aceh, 11-14 de noviembre de 2024, y el </w:t>
      </w:r>
      <w:hyperlink r:id="rId50" w:history="1">
        <w:r>
          <w:rPr>
            <w:rStyle w:val="Hyperlink"/>
            <w:rFonts w:ascii="Arial" w:hAnsi="Arial" w:cs="Arial"/>
            <w:sz w:val="22"/>
            <w:szCs w:val="22"/>
            <w:lang w:val="es"/>
          </w:rPr>
          <w:t>Taller de formación IOTWMS-IOTIC sobre mapas, planes y procedimientos de evacuación en caso de tsunami y Programa de reconocimiento Tsunami Ready de UNESCO-COI</w:t>
        </w:r>
      </w:hyperlink>
      <w:r>
        <w:rPr>
          <w:rFonts w:ascii="Arial" w:hAnsi="Arial" w:cs="Arial"/>
          <w:sz w:val="22"/>
          <w:szCs w:val="22"/>
          <w:lang w:val="es"/>
        </w:rPr>
        <w:t xml:space="preserve"> </w:t>
      </w:r>
      <w:proofErr w:type="spellStart"/>
      <w:r>
        <w:rPr>
          <w:rFonts w:ascii="Arial" w:hAnsi="Arial" w:cs="Arial"/>
          <w:sz w:val="22"/>
          <w:szCs w:val="22"/>
          <w:lang w:val="es"/>
        </w:rPr>
        <w:t>hyderabad</w:t>
      </w:r>
      <w:proofErr w:type="spellEnd"/>
      <w:r>
        <w:rPr>
          <w:rFonts w:ascii="Arial" w:hAnsi="Arial" w:cs="Arial"/>
          <w:sz w:val="22"/>
          <w:szCs w:val="22"/>
          <w:lang w:val="es"/>
        </w:rPr>
        <w:t xml:space="preserve">, 15-23 de abril de 2025. </w:t>
      </w:r>
    </w:p>
    <w:p w14:paraId="532B9555" w14:textId="77777777"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Reconoció las cuarenta y ocho (48) comunidades Tsunami Ready de la UNESCO-COI en India e Indonesia y alentó a todos los Estados Miembros a aplicar el Programa de Reconocimiento Tsunami Ready de la UNESCO-COI en las comunidades vulnerables para alcanzar el objetivo del Programa sobre Tsunamis del Decenio del Océano de las Naciones Unidas de que el 100 % de las comunidades en riesgo sean resilientes y estén preparadas para los tsunamis. Destacó los esfuerzos de IOTWMS para desarrollar productos para tsunamis no sísmicos y productos NAVAREA Maritime, así como la densificación de las redes de observación. </w:t>
      </w:r>
    </w:p>
    <w:p w14:paraId="4A0CC308" w14:textId="17B59844"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Señaló los resultados satisfactorios de las Fases 1, 2a y 2b del proyecto financiado por la CESPAP </w:t>
      </w:r>
      <w:r>
        <w:rPr>
          <w:rFonts w:ascii="Arial" w:hAnsi="Arial" w:cs="Arial"/>
          <w:i/>
          <w:iCs/>
          <w:sz w:val="22"/>
          <w:szCs w:val="22"/>
          <w:lang w:val="es"/>
        </w:rPr>
        <w:t>Fortalecimiento de la alerta temprana de tsunamis en el Océano Índico noroccidental mediante la cooperación regional</w:t>
      </w:r>
      <w:r>
        <w:rPr>
          <w:rFonts w:ascii="Arial" w:hAnsi="Arial" w:cs="Arial"/>
          <w:sz w:val="22"/>
          <w:szCs w:val="22"/>
          <w:lang w:val="es"/>
        </w:rPr>
        <w:t xml:space="preserve"> y la ejecución de la Fase 2c del proyecto, que comprende la formación en cartografía de inundaciones y evacuaciones en apoyo de la aplicación del Programa de Reconocimiento Tsunami Ready en la región.</w:t>
      </w:r>
    </w:p>
    <w:p w14:paraId="66A2EBFC" w14:textId="2C9F1BF5"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Informó en la reunión del carácter exhaustivo y el valor de la Evaluación de Capacidades 2024 de Preparación ante Tsunamis en el Océano Índico, que incluye aportaciones de 22 Estados Miembros. </w:t>
      </w:r>
    </w:p>
    <w:p w14:paraId="134419D6" w14:textId="5B51C80A"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Destacó el éxito del ejercicio sobre tsunamis IOWave23, organizado en octubre de 2023 con cuatro escenarios, incluido uno no sísmico, que atrajo la participación de 20 Estados Miembros y 45 000 participantes de todo el Océano Índico. Anunció que el Ejercicio OIAVE25 se llevará a cabo del 25 de septiembre de 2025 a noviembre de 2025 con cuatro escenarios que incluyen un escenario no sísmico y un escenario para horas no laborables. </w:t>
      </w:r>
    </w:p>
    <w:p w14:paraId="369FE0D0" w14:textId="764B4330"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Informó de que el Gobierno del Sultanato de Omán tiene la intención de acoger la 15ª reunión del ICG/IOTWMS en 2026. </w:t>
      </w:r>
    </w:p>
    <w:p w14:paraId="2E805CA3" w14:textId="6B740BF6"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Por último, el Sr. </w:t>
      </w:r>
      <w:proofErr w:type="spellStart"/>
      <w:r>
        <w:rPr>
          <w:rFonts w:ascii="Arial" w:hAnsi="Arial" w:cs="Arial"/>
          <w:sz w:val="22"/>
          <w:szCs w:val="22"/>
          <w:lang w:val="es"/>
        </w:rPr>
        <w:t>Eluri</w:t>
      </w:r>
      <w:proofErr w:type="spellEnd"/>
      <w:r>
        <w:rPr>
          <w:rFonts w:ascii="Arial" w:hAnsi="Arial" w:cs="Arial"/>
          <w:sz w:val="22"/>
          <w:szCs w:val="22"/>
          <w:lang w:val="es"/>
        </w:rPr>
        <w:t xml:space="preserve"> agradeció la valiosa contribución y el continuo apoyo del Gobierno de Australia por acoger la Secretaría del IOTWMS y el apoyo del Gobierno de Indonesia por acoger el Centro de Información sobre Tsunamis del Océano Índico (IOTIC). Reconociendo las inmensas contribuciones del Sr. Ardito Kodijat, </w:t>
      </w:r>
      <w:proofErr w:type="gramStart"/>
      <w:r>
        <w:rPr>
          <w:rFonts w:ascii="Arial" w:hAnsi="Arial" w:cs="Arial"/>
          <w:sz w:val="22"/>
          <w:szCs w:val="22"/>
          <w:lang w:val="es"/>
        </w:rPr>
        <w:t>Jefe</w:t>
      </w:r>
      <w:proofErr w:type="gramEnd"/>
      <w:r>
        <w:rPr>
          <w:rFonts w:ascii="Arial" w:hAnsi="Arial" w:cs="Arial"/>
          <w:sz w:val="22"/>
          <w:szCs w:val="22"/>
          <w:lang w:val="es"/>
        </w:rPr>
        <w:t xml:space="preserve"> del IOTIC, destacó la petición del Grupo de Dirección del IOTWMS a la UNESCO-COI de dar prioridad al proceso de contratación en vista de la próxima jubilación del Sr. Kodijat. El Sr. </w:t>
      </w:r>
      <w:proofErr w:type="spellStart"/>
      <w:r>
        <w:rPr>
          <w:rFonts w:ascii="Arial" w:hAnsi="Arial" w:cs="Arial"/>
          <w:sz w:val="22"/>
          <w:szCs w:val="22"/>
          <w:lang w:val="es"/>
        </w:rPr>
        <w:t>Eluri</w:t>
      </w:r>
      <w:proofErr w:type="spellEnd"/>
      <w:r>
        <w:rPr>
          <w:rFonts w:ascii="Arial" w:hAnsi="Arial" w:cs="Arial"/>
          <w:sz w:val="22"/>
          <w:szCs w:val="22"/>
          <w:lang w:val="es"/>
        </w:rPr>
        <w:t xml:space="preserve"> también dio las gracias al Gobierno de la India por acoger el taller TEMPP, a la CESAP y al FUST por financiar proyectos clave, y a los Estados Miembros de la IOTWMS por su compromiso activo en la IOTWMS.</w:t>
      </w:r>
    </w:p>
    <w:p w14:paraId="0D6EA139" w14:textId="77777777"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Dr. Alessandro Amato (Italia), </w:t>
      </w:r>
      <w:proofErr w:type="gramStart"/>
      <w:r>
        <w:rPr>
          <w:rFonts w:ascii="Arial" w:hAnsi="Arial" w:cs="Arial"/>
          <w:sz w:val="22"/>
          <w:szCs w:val="22"/>
          <w:lang w:val="es"/>
        </w:rPr>
        <w:t>Presidente</w:t>
      </w:r>
      <w:proofErr w:type="gramEnd"/>
      <w:r>
        <w:rPr>
          <w:rFonts w:ascii="Arial" w:hAnsi="Arial" w:cs="Arial"/>
          <w:sz w:val="22"/>
          <w:szCs w:val="22"/>
          <w:lang w:val="es"/>
        </w:rPr>
        <w:t xml:space="preserve"> del Grupo Intergubernamental de Coordinación del Sistema de Alerta Temprana contra los Tsunamis y Atenuación de sus Efectos en el Atlántico Nororiental y el Mediterráneo y Mares Adyacentes (ICG/NEAMTWS) informó a la reunión sobre los resultados de la 19ª reunión del Grupo (ICG/NEAMTWS-XIX), celebrada en la Sede de la UNESCO, París, del 27 al 29 de noviembre de 2024.  </w:t>
      </w:r>
    </w:p>
    <w:p w14:paraId="682BD089" w14:textId="31C7BA61"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Dr. Amato destacó varios actos organizados en 2024, como el </w:t>
      </w:r>
      <w:hyperlink r:id="rId51" w:anchor="documents" w:history="1">
        <w:r>
          <w:rPr>
            <w:rStyle w:val="Hyperlink"/>
            <w:rFonts w:ascii="Arial" w:hAnsi="Arial" w:cs="Arial"/>
            <w:i/>
            <w:iCs/>
            <w:sz w:val="22"/>
            <w:szCs w:val="22"/>
            <w:u w:val="none"/>
            <w:lang w:val="es"/>
          </w:rPr>
          <w:t>taller</w:t>
        </w:r>
      </w:hyperlink>
      <w:r>
        <w:rPr>
          <w:rFonts w:ascii="Arial" w:hAnsi="Arial" w:cs="Arial"/>
          <w:i/>
          <w:iCs/>
          <w:sz w:val="22"/>
          <w:szCs w:val="22"/>
          <w:lang w:val="es"/>
        </w:rPr>
        <w:t xml:space="preserve"> Tsunami Warning @Stromboli Island: </w:t>
      </w:r>
      <w:proofErr w:type="spellStart"/>
      <w:r>
        <w:rPr>
          <w:rFonts w:ascii="Arial" w:hAnsi="Arial" w:cs="Arial"/>
          <w:i/>
          <w:iCs/>
          <w:sz w:val="22"/>
          <w:szCs w:val="22"/>
          <w:lang w:val="es"/>
        </w:rPr>
        <w:t>Observations</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Modelling</w:t>
      </w:r>
      <w:proofErr w:type="spellEnd"/>
      <w:r>
        <w:rPr>
          <w:rFonts w:ascii="Arial" w:hAnsi="Arial" w:cs="Arial"/>
          <w:i/>
          <w:iCs/>
          <w:sz w:val="22"/>
          <w:szCs w:val="22"/>
          <w:lang w:val="es"/>
        </w:rPr>
        <w:t xml:space="preserve">, Hazard, </w:t>
      </w:r>
      <w:proofErr w:type="spellStart"/>
      <w:r>
        <w:rPr>
          <w:rFonts w:ascii="Arial" w:hAnsi="Arial" w:cs="Arial"/>
          <w:i/>
          <w:iCs/>
          <w:sz w:val="22"/>
          <w:szCs w:val="22"/>
          <w:lang w:val="es"/>
        </w:rPr>
        <w:t>Forecasting</w:t>
      </w:r>
      <w:proofErr w:type="spellEnd"/>
      <w:r>
        <w:rPr>
          <w:rFonts w:ascii="Arial" w:hAnsi="Arial" w:cs="Arial"/>
          <w:sz w:val="22"/>
          <w:szCs w:val="22"/>
          <w:lang w:val="es"/>
        </w:rPr>
        <w:t xml:space="preserve">, organizado por el Instituto </w:t>
      </w:r>
      <w:r>
        <w:rPr>
          <w:rFonts w:ascii="Arial" w:hAnsi="Arial" w:cs="Arial"/>
          <w:sz w:val="22"/>
          <w:szCs w:val="22"/>
          <w:lang w:val="es"/>
        </w:rPr>
        <w:lastRenderedPageBreak/>
        <w:t xml:space="preserve">Nacional de Geofísica y Vulcanología (INGV) en </w:t>
      </w:r>
      <w:proofErr w:type="spellStart"/>
      <w:r>
        <w:rPr>
          <w:rFonts w:ascii="Arial" w:hAnsi="Arial" w:cs="Arial"/>
          <w:sz w:val="22"/>
          <w:szCs w:val="22"/>
          <w:lang w:val="es"/>
        </w:rPr>
        <w:t>Stromboli</w:t>
      </w:r>
      <w:proofErr w:type="spellEnd"/>
      <w:r>
        <w:rPr>
          <w:rFonts w:ascii="Arial" w:hAnsi="Arial" w:cs="Arial"/>
          <w:sz w:val="22"/>
          <w:szCs w:val="22"/>
          <w:lang w:val="es"/>
        </w:rPr>
        <w:t xml:space="preserve">, Italia, del 5 al 7 de octubre de 2024 con 80 expertos internacionales para avanzar en la comprensión de las fuentes de tsunamis no sísmicos y la necesidad de mejorar los sistemas de alerta temprana de tsunamis generados por </w:t>
      </w:r>
      <w:proofErr w:type="spellStart"/>
      <w:r>
        <w:rPr>
          <w:rFonts w:ascii="Arial" w:hAnsi="Arial" w:cs="Arial"/>
          <w:sz w:val="22"/>
          <w:szCs w:val="22"/>
          <w:lang w:val="es"/>
        </w:rPr>
        <w:t>Stromboli</w:t>
      </w:r>
      <w:proofErr w:type="spellEnd"/>
      <w:r>
        <w:rPr>
          <w:rFonts w:ascii="Arial" w:hAnsi="Arial" w:cs="Arial"/>
          <w:sz w:val="22"/>
          <w:szCs w:val="22"/>
          <w:lang w:val="es"/>
        </w:rPr>
        <w:t xml:space="preserve">. Entre las reuniones más recientes cabe citar la sesión informativa en línea sobre los terremotos de Santorini, en febrero de 2025; el taller de expertos celebrado en marzo de 2025 para evaluar las fuentes de tsunamis sísmicos, volcánicos y relacionados con desprendimientos de tierra que amenazan la región NEAM; y la reunión del Comité Directivo del ICG/NEAMTWS, generosamente acogida por el Observatorio </w:t>
      </w:r>
      <w:proofErr w:type="spellStart"/>
      <w:r>
        <w:rPr>
          <w:rFonts w:ascii="Arial" w:hAnsi="Arial" w:cs="Arial"/>
          <w:sz w:val="22"/>
          <w:szCs w:val="22"/>
          <w:lang w:val="es"/>
        </w:rPr>
        <w:t>Kandilli</w:t>
      </w:r>
      <w:proofErr w:type="spellEnd"/>
      <w:r>
        <w:rPr>
          <w:rFonts w:ascii="Arial" w:hAnsi="Arial" w:cs="Arial"/>
          <w:sz w:val="22"/>
          <w:szCs w:val="22"/>
          <w:lang w:val="es"/>
        </w:rPr>
        <w:t xml:space="preserve"> y el Instituto de Investigación Sísmica de Estambul (Turquía) en mayo de 2025.</w:t>
      </w:r>
    </w:p>
    <w:p w14:paraId="73EC06E3" w14:textId="717B5425"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Informó a</w:t>
      </w:r>
      <w:r>
        <w:rPr>
          <w:rFonts w:ascii="Arial" w:hAnsi="Arial" w:cs="Arial"/>
          <w:b/>
          <w:bCs/>
          <w:sz w:val="22"/>
          <w:szCs w:val="22"/>
          <w:lang w:val="es"/>
        </w:rPr>
        <w:t xml:space="preserve"> </w:t>
      </w:r>
      <w:r>
        <w:rPr>
          <w:rFonts w:ascii="Arial" w:hAnsi="Arial" w:cs="Arial"/>
          <w:sz w:val="22"/>
          <w:szCs w:val="22"/>
          <w:lang w:val="es"/>
        </w:rPr>
        <w:t xml:space="preserve">de la participación de varios miembros del ICG/NEAMTWS en el </w:t>
      </w:r>
      <w:hyperlink r:id="rId52">
        <w:r>
          <w:rPr>
            <w:rStyle w:val="Hyperlink"/>
            <w:rFonts w:ascii="Arial" w:hAnsi="Arial" w:cs="Arial"/>
            <w:sz w:val="22"/>
            <w:szCs w:val="22"/>
            <w:lang w:val="es"/>
          </w:rPr>
          <w:t>2º Simposio Mundial UNESCO-COI sobre Tsunamis</w:t>
        </w:r>
      </w:hyperlink>
      <w:r>
        <w:rPr>
          <w:rFonts w:ascii="Arial" w:hAnsi="Arial" w:cs="Arial"/>
          <w:sz w:val="22"/>
          <w:szCs w:val="22"/>
          <w:lang w:val="es"/>
        </w:rPr>
        <w:t xml:space="preserve"> "Dos décadas después del tsunami de 2004 en el Océano Índico: Reflexión y camino a seguir" que tuvo lugar en Banda Aceh, Indonesia, en noviembre (11-14 de noviembre de 2024). </w:t>
      </w:r>
    </w:p>
    <w:p w14:paraId="40D11A9E" w14:textId="77777777"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Informó sobre el lanzamiento de </w:t>
      </w:r>
      <w:hyperlink r:id="rId53" w:history="1">
        <w:r>
          <w:rPr>
            <w:rStyle w:val="Hyperlink"/>
            <w:rFonts w:ascii="Arial" w:hAnsi="Arial" w:cs="Arial"/>
            <w:sz w:val="22"/>
            <w:szCs w:val="22"/>
            <w:lang w:val="es"/>
          </w:rPr>
          <w:t>dos documentales cortos</w:t>
        </w:r>
      </w:hyperlink>
      <w:r>
        <w:rPr>
          <w:rFonts w:ascii="Arial" w:hAnsi="Arial" w:cs="Arial"/>
          <w:sz w:val="22"/>
          <w:szCs w:val="22"/>
          <w:lang w:val="es"/>
        </w:rPr>
        <w:t xml:space="preserve"> en los que se destaca el riesgo de tsunami y el sistema de alerta temprana para el volcán </w:t>
      </w:r>
      <w:proofErr w:type="spellStart"/>
      <w:r>
        <w:rPr>
          <w:rFonts w:ascii="Arial" w:hAnsi="Arial" w:cs="Arial"/>
          <w:sz w:val="22"/>
          <w:szCs w:val="22"/>
          <w:lang w:val="es"/>
        </w:rPr>
        <w:t>Stromboli</w:t>
      </w:r>
      <w:proofErr w:type="spellEnd"/>
      <w:r>
        <w:rPr>
          <w:rFonts w:ascii="Arial" w:hAnsi="Arial" w:cs="Arial"/>
          <w:sz w:val="22"/>
          <w:szCs w:val="22"/>
          <w:lang w:val="es"/>
        </w:rPr>
        <w:t>, así como el riesgo de tsunami lejano para Malta.</w:t>
      </w:r>
    </w:p>
    <w:p w14:paraId="30F6E575" w14:textId="5645F5AD"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t>Informó sobre</w:t>
      </w:r>
      <w:r>
        <w:rPr>
          <w:rFonts w:ascii="Arial" w:hAnsi="Arial"/>
          <w:b/>
          <w:bCs/>
          <w:sz w:val="22"/>
          <w:szCs w:val="22"/>
          <w:lang w:val="es"/>
        </w:rPr>
        <w:t xml:space="preserve"> </w:t>
      </w:r>
      <w:r>
        <w:rPr>
          <w:rFonts w:ascii="Arial" w:hAnsi="Arial"/>
          <w:sz w:val="22"/>
          <w:szCs w:val="22"/>
          <w:lang w:val="es"/>
        </w:rPr>
        <w:t>las recientemente reconocidas Comunidades Tsunami Ready UNESCO-COI en Egipto (</w:t>
      </w:r>
      <w:hyperlink r:id="rId54" w:anchor=":~:text=News-,Alexandria%20Achieves%20Momentous%20Recognition%20as%20Egypt%20and%20Africa's%20First%20UNESCO,UNESCO%2DIOC%20Tsunami%20Ready%20Recognition." w:history="1">
        <w:r>
          <w:rPr>
            <w:rStyle w:val="Hyperlink"/>
            <w:rFonts w:ascii="Arial" w:hAnsi="Arial" w:cs="Arial"/>
            <w:sz w:val="22"/>
            <w:szCs w:val="22"/>
            <w:lang w:val="es"/>
          </w:rPr>
          <w:t>Alejandría</w:t>
        </w:r>
      </w:hyperlink>
      <w:r>
        <w:rPr>
          <w:rFonts w:ascii="Arial" w:hAnsi="Arial"/>
          <w:sz w:val="22"/>
          <w:szCs w:val="22"/>
          <w:lang w:val="es"/>
        </w:rPr>
        <w:t>), Francia (</w:t>
      </w:r>
      <w:hyperlink r:id="rId55" w:history="1">
        <w:r>
          <w:rPr>
            <w:rStyle w:val="Hyperlink"/>
            <w:rFonts w:ascii="Arial" w:hAnsi="Arial" w:cs="Arial"/>
            <w:sz w:val="22"/>
            <w:szCs w:val="22"/>
            <w:lang w:val="es"/>
          </w:rPr>
          <w:t>Cannes</w:t>
        </w:r>
      </w:hyperlink>
      <w:r>
        <w:rPr>
          <w:rFonts w:ascii="Arial" w:hAnsi="Arial"/>
          <w:sz w:val="22"/>
          <w:szCs w:val="22"/>
          <w:lang w:val="es"/>
        </w:rPr>
        <w:t>), Grecia (</w:t>
      </w:r>
      <w:hyperlink r:id="rId56" w:anchor=":~:text=On%2019%20June%202024%2C%20UNESCO,the%20threat%20of%20a%20tsunami." w:history="1">
        <w:r>
          <w:rPr>
            <w:rStyle w:val="Hyperlink"/>
            <w:rFonts w:ascii="Arial" w:hAnsi="Arial" w:cs="Arial"/>
            <w:sz w:val="22"/>
            <w:szCs w:val="22"/>
            <w:lang w:val="es"/>
          </w:rPr>
          <w:t>Samo</w:t>
        </w:r>
      </w:hyperlink>
      <w:r>
        <w:rPr>
          <w:rFonts w:ascii="Arial" w:hAnsi="Arial"/>
          <w:sz w:val="22"/>
          <w:szCs w:val="22"/>
          <w:lang w:val="es"/>
        </w:rPr>
        <w:t>s), Italia (</w:t>
      </w:r>
      <w:proofErr w:type="spellStart"/>
      <w:r>
        <w:fldChar w:fldCharType="begin"/>
      </w:r>
      <w:r w:rsidRPr="006C41C4">
        <w:rPr>
          <w:lang w:val="es-ES"/>
        </w:rPr>
        <w:instrText>HYPERLINK "https://www.unesco.org/en/articles/unescos-intergovernmental-oceanographic-commission-unesco-ioc-recognizes-minturno-italys-first"</w:instrText>
      </w:r>
      <w:r>
        <w:fldChar w:fldCharType="separate"/>
      </w:r>
      <w:r>
        <w:rPr>
          <w:rStyle w:val="Hyperlink"/>
          <w:rFonts w:ascii="Arial" w:hAnsi="Arial" w:cs="Arial"/>
          <w:sz w:val="22"/>
          <w:szCs w:val="22"/>
          <w:lang w:val="es"/>
        </w:rPr>
        <w:t>Minturno</w:t>
      </w:r>
      <w:proofErr w:type="spellEnd"/>
      <w:r>
        <w:fldChar w:fldCharType="end"/>
      </w:r>
      <w:r>
        <w:rPr>
          <w:rFonts w:ascii="Arial" w:hAnsi="Arial"/>
          <w:sz w:val="22"/>
          <w:szCs w:val="22"/>
          <w:lang w:val="es"/>
        </w:rPr>
        <w:t>), España (</w:t>
      </w:r>
      <w:hyperlink r:id="rId57" w:history="1">
        <w:r>
          <w:rPr>
            <w:rStyle w:val="Hyperlink"/>
            <w:rFonts w:ascii="Arial" w:hAnsi="Arial" w:cs="Arial"/>
            <w:sz w:val="22"/>
            <w:szCs w:val="22"/>
            <w:lang w:val="es"/>
          </w:rPr>
          <w:t>Chipiona</w:t>
        </w:r>
      </w:hyperlink>
      <w:r>
        <w:rPr>
          <w:rFonts w:ascii="Arial" w:hAnsi="Arial"/>
          <w:sz w:val="22"/>
          <w:szCs w:val="22"/>
          <w:lang w:val="es"/>
        </w:rPr>
        <w:t>) y Turquía (</w:t>
      </w:r>
      <w:proofErr w:type="spellStart"/>
      <w:r>
        <w:fldChar w:fldCharType="begin"/>
      </w:r>
      <w:r w:rsidRPr="006C41C4">
        <w:rPr>
          <w:lang w:val="es-ES"/>
        </w:rPr>
        <w:instrText>HYPERLINK "https://www.ioc.unesco.org/en/articles/unesco-recognizes-buyukcekmece-first-tsunami-ready-community-turkiye"</w:instrText>
      </w:r>
      <w:r>
        <w:fldChar w:fldCharType="separate"/>
      </w:r>
      <w:r>
        <w:rPr>
          <w:rStyle w:val="Hyperlink"/>
          <w:rFonts w:ascii="Arial" w:hAnsi="Arial" w:cs="Arial"/>
          <w:sz w:val="22"/>
          <w:szCs w:val="22"/>
          <w:lang w:val="es"/>
        </w:rPr>
        <w:t>Büyükçekmece</w:t>
      </w:r>
      <w:proofErr w:type="spellEnd"/>
      <w:r>
        <w:fldChar w:fldCharType="end"/>
      </w:r>
      <w:r>
        <w:rPr>
          <w:rFonts w:ascii="Arial" w:hAnsi="Arial"/>
          <w:sz w:val="22"/>
          <w:szCs w:val="22"/>
          <w:lang w:val="es"/>
        </w:rPr>
        <w:t>) en 2024 y obras en curso en Chipre (</w:t>
      </w:r>
      <w:proofErr w:type="spellStart"/>
      <w:r>
        <w:rPr>
          <w:rFonts w:ascii="Arial" w:hAnsi="Arial"/>
          <w:sz w:val="22"/>
          <w:szCs w:val="22"/>
          <w:lang w:val="es"/>
        </w:rPr>
        <w:t>Larnaca</w:t>
      </w:r>
      <w:proofErr w:type="spellEnd"/>
      <w:r>
        <w:rPr>
          <w:rFonts w:ascii="Arial" w:hAnsi="Arial"/>
          <w:sz w:val="22"/>
          <w:szCs w:val="22"/>
          <w:lang w:val="es"/>
        </w:rPr>
        <w:t>), Malta (</w:t>
      </w:r>
      <w:proofErr w:type="spellStart"/>
      <w:r>
        <w:rPr>
          <w:rFonts w:ascii="Arial" w:hAnsi="Arial"/>
          <w:sz w:val="22"/>
          <w:szCs w:val="22"/>
          <w:lang w:val="es"/>
        </w:rPr>
        <w:t>Marsaxlokk</w:t>
      </w:r>
      <w:proofErr w:type="spellEnd"/>
      <w:r>
        <w:rPr>
          <w:rFonts w:ascii="Arial" w:hAnsi="Arial"/>
          <w:sz w:val="22"/>
          <w:szCs w:val="22"/>
          <w:lang w:val="es"/>
        </w:rPr>
        <w:t xml:space="preserve">) y Marruecos (El Jadida). </w:t>
      </w:r>
    </w:p>
    <w:p w14:paraId="0ACD8CFA" w14:textId="52942B3A"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t>Anunció</w:t>
      </w:r>
      <w:r>
        <w:rPr>
          <w:rFonts w:ascii="Arial" w:hAnsi="Arial"/>
          <w:b/>
          <w:bCs/>
          <w:sz w:val="22"/>
          <w:szCs w:val="22"/>
          <w:lang w:val="es"/>
        </w:rPr>
        <w:t xml:space="preserve"> </w:t>
      </w:r>
      <w:r>
        <w:rPr>
          <w:rFonts w:ascii="Arial" w:hAnsi="Arial"/>
          <w:sz w:val="22"/>
          <w:szCs w:val="22"/>
          <w:lang w:val="es"/>
        </w:rPr>
        <w:t xml:space="preserve">el inicio oficial de la Fase II del nuevo proyecto </w:t>
      </w:r>
      <w:proofErr w:type="spellStart"/>
      <w:r>
        <w:rPr>
          <w:rFonts w:ascii="Arial" w:hAnsi="Arial"/>
          <w:sz w:val="22"/>
          <w:szCs w:val="22"/>
          <w:lang w:val="es"/>
        </w:rPr>
        <w:t>CoastWAVE</w:t>
      </w:r>
      <w:proofErr w:type="spellEnd"/>
      <w:r>
        <w:rPr>
          <w:rFonts w:ascii="Arial" w:hAnsi="Arial"/>
          <w:sz w:val="22"/>
          <w:szCs w:val="22"/>
          <w:lang w:val="es"/>
        </w:rPr>
        <w:t xml:space="preserve"> (</w:t>
      </w:r>
      <w:proofErr w:type="spellStart"/>
      <w:r>
        <w:fldChar w:fldCharType="begin"/>
      </w:r>
      <w:r w:rsidRPr="006C41C4">
        <w:rPr>
          <w:lang w:val="es-ES"/>
        </w:rPr>
        <w:instrText>HYPERLINK "https://tsunami.ioc.unesco.org/en/articles/coastwave" \l ":~:text=The%20CoastWave%202.0%20Project%20(Scaling,Commission%20(IOC)%20that%20focuses%20on"</w:instrText>
      </w:r>
      <w:r>
        <w:fldChar w:fldCharType="separate"/>
      </w:r>
      <w:r>
        <w:rPr>
          <w:rStyle w:val="Hyperlink"/>
          <w:rFonts w:ascii="Arial" w:hAnsi="Arial" w:cs="Arial"/>
          <w:sz w:val="22"/>
          <w:szCs w:val="22"/>
          <w:lang w:val="es"/>
        </w:rPr>
        <w:t>CoastWAVE</w:t>
      </w:r>
      <w:proofErr w:type="spellEnd"/>
      <w:r>
        <w:rPr>
          <w:rStyle w:val="Hyperlink"/>
          <w:rFonts w:ascii="Arial" w:hAnsi="Arial" w:cs="Arial"/>
          <w:sz w:val="22"/>
          <w:szCs w:val="22"/>
          <w:lang w:val="es"/>
        </w:rPr>
        <w:t xml:space="preserve"> 2.0</w:t>
      </w:r>
      <w:r>
        <w:fldChar w:fldCharType="end"/>
      </w:r>
      <w:r>
        <w:rPr>
          <w:rFonts w:ascii="Arial" w:hAnsi="Arial"/>
          <w:sz w:val="22"/>
          <w:szCs w:val="22"/>
          <w:lang w:val="es"/>
        </w:rPr>
        <w:t>) "</w:t>
      </w:r>
      <w:r>
        <w:rPr>
          <w:rFonts w:ascii="Arial" w:hAnsi="Arial"/>
          <w:i/>
          <w:iCs/>
          <w:sz w:val="22"/>
          <w:szCs w:val="22"/>
          <w:lang w:val="es"/>
        </w:rPr>
        <w:t>Aumento y refuerzo de la resiliencia de las comunidades costeras de las regiones del Atlántico nororiental y el Mediterráneo ante el impacto de los tsunamis y otros peligros costeros relacionados con el nivel del mar"</w:t>
      </w:r>
      <w:r>
        <w:rPr>
          <w:rFonts w:ascii="Arial" w:hAnsi="Arial"/>
          <w:sz w:val="22"/>
          <w:szCs w:val="22"/>
          <w:lang w:val="es"/>
        </w:rPr>
        <w:t xml:space="preserve"> el 1 de julio de 2024 y su taller de lanzamiento el 6 de noviembre de 2024, tras el cierre de la Fase I del proyecto </w:t>
      </w:r>
      <w:proofErr w:type="spellStart"/>
      <w:r>
        <w:rPr>
          <w:rFonts w:ascii="Arial" w:hAnsi="Arial"/>
          <w:sz w:val="22"/>
          <w:szCs w:val="22"/>
          <w:lang w:val="es"/>
        </w:rPr>
        <w:t>CoastWAVE</w:t>
      </w:r>
      <w:proofErr w:type="spellEnd"/>
      <w:r>
        <w:rPr>
          <w:rFonts w:ascii="Arial" w:hAnsi="Arial"/>
          <w:sz w:val="22"/>
          <w:szCs w:val="22"/>
          <w:lang w:val="es"/>
        </w:rPr>
        <w:t xml:space="preserve"> de la DG-ECHO de la Unión Europea el 30 de junio de 2024. </w:t>
      </w:r>
    </w:p>
    <w:p w14:paraId="0AA613A3" w14:textId="77777777"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proofErr w:type="spellStart"/>
      <w:r>
        <w:rPr>
          <w:rFonts w:ascii="Arial" w:hAnsi="Arial" w:cs="Arial"/>
          <w:sz w:val="22"/>
          <w:szCs w:val="22"/>
          <w:lang w:val="es"/>
        </w:rPr>
        <w:t>Agradedió</w:t>
      </w:r>
      <w:proofErr w:type="spellEnd"/>
      <w:r>
        <w:rPr>
          <w:rFonts w:ascii="Arial" w:hAnsi="Arial" w:cs="Arial"/>
          <w:b/>
          <w:bCs/>
          <w:sz w:val="22"/>
          <w:szCs w:val="22"/>
          <w:lang w:val="es"/>
        </w:rPr>
        <w:t xml:space="preserve"> </w:t>
      </w:r>
      <w:r>
        <w:rPr>
          <w:rFonts w:ascii="Arial" w:hAnsi="Arial" w:cs="Arial"/>
          <w:sz w:val="22"/>
          <w:szCs w:val="22"/>
          <w:lang w:val="es"/>
        </w:rPr>
        <w:t>las contribuciones realizadas por la DG ECHO en el marco del Mecanismo de Protección Civil de la Unión Europea (UPCM) para apoyar el desarrollo y la mejora de los sistemas de alerta temprana de tsunamis y la preparación en la región NEAM y señaló que estos esfuerzos deben considerarse como una valiosa contribución a la Alerta Temprana para Todos (</w:t>
      </w:r>
      <w:hyperlink r:id="rId58" w:history="1">
        <w:r>
          <w:rPr>
            <w:rStyle w:val="Hyperlink"/>
            <w:rFonts w:ascii="Arial" w:hAnsi="Arial" w:cs="Arial"/>
            <w:sz w:val="22"/>
            <w:szCs w:val="22"/>
            <w:lang w:val="es"/>
          </w:rPr>
          <w:t>EW4All</w:t>
        </w:r>
      </w:hyperlink>
      <w:r>
        <w:rPr>
          <w:rFonts w:ascii="Arial" w:hAnsi="Arial" w:cs="Arial"/>
          <w:sz w:val="22"/>
          <w:szCs w:val="22"/>
          <w:lang w:val="es"/>
        </w:rPr>
        <w:t xml:space="preserve">) y a los </w:t>
      </w:r>
      <w:hyperlink r:id="rId59" w:history="1">
        <w:r>
          <w:rPr>
            <w:rStyle w:val="Hyperlink"/>
            <w:rFonts w:ascii="Arial" w:hAnsi="Arial" w:cs="Arial"/>
            <w:sz w:val="22"/>
            <w:szCs w:val="22"/>
            <w:lang w:val="es"/>
          </w:rPr>
          <w:t>Objetivos de Resiliencia ante Desastres de la UE.</w:t>
        </w:r>
      </w:hyperlink>
    </w:p>
    <w:p w14:paraId="204C0C43" w14:textId="54EED0E7"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Informó a la Asamblea de los progresos realizados en relación con las iniciativas submarinas</w:t>
      </w:r>
      <w:r>
        <w:rPr>
          <w:rFonts w:ascii="Arial" w:hAnsi="Arial" w:cs="Arial"/>
          <w:b/>
          <w:bCs/>
          <w:sz w:val="22"/>
          <w:szCs w:val="22"/>
          <w:lang w:val="es"/>
        </w:rPr>
        <w:t xml:space="preserve"> </w:t>
      </w:r>
      <w:r>
        <w:rPr>
          <w:rFonts w:ascii="Arial" w:hAnsi="Arial" w:cs="Arial"/>
          <w:sz w:val="22"/>
          <w:szCs w:val="22"/>
          <w:lang w:val="es"/>
        </w:rPr>
        <w:t xml:space="preserve">SMART Cables, en particular el </w:t>
      </w:r>
      <w:hyperlink r:id="rId60" w:history="1">
        <w:r>
          <w:rPr>
            <w:rFonts w:ascii="Arial" w:hAnsi="Arial" w:cs="Arial"/>
            <w:lang w:val="es"/>
          </w:rPr>
          <w:t>Portugal Atlantic Smart CAM</w:t>
        </w:r>
      </w:hyperlink>
      <w:r>
        <w:rPr>
          <w:rFonts w:ascii="Arial" w:hAnsi="Arial" w:cs="Arial"/>
          <w:sz w:val="22"/>
          <w:szCs w:val="22"/>
          <w:lang w:val="es"/>
        </w:rPr>
        <w:t xml:space="preserve">, el despliegue previsto de dos sensores de presión del fondo oceánico por INGV, Italia, en el Mar Jónico en 2025, y el nuevo módulo en alta mar para la vigilancia de tsunamis en la isla volcánica de </w:t>
      </w:r>
      <w:proofErr w:type="spellStart"/>
      <w:r>
        <w:rPr>
          <w:rFonts w:ascii="Arial" w:hAnsi="Arial" w:cs="Arial"/>
          <w:sz w:val="22"/>
          <w:szCs w:val="22"/>
          <w:lang w:val="es"/>
        </w:rPr>
        <w:t>Stromboli</w:t>
      </w:r>
      <w:proofErr w:type="spellEnd"/>
      <w:r>
        <w:rPr>
          <w:rFonts w:ascii="Arial" w:hAnsi="Arial" w:cs="Arial"/>
          <w:sz w:val="22"/>
          <w:szCs w:val="22"/>
          <w:lang w:val="es"/>
        </w:rPr>
        <w:t>.</w:t>
      </w:r>
    </w:p>
    <w:p w14:paraId="207F3B16" w14:textId="77777777"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El Dr. Amato prometió nuevos esfuerzos</w:t>
      </w:r>
      <w:r>
        <w:rPr>
          <w:rFonts w:ascii="Arial" w:hAnsi="Arial" w:cs="Arial"/>
          <w:b/>
          <w:bCs/>
          <w:sz w:val="22"/>
          <w:szCs w:val="22"/>
          <w:lang w:val="es"/>
        </w:rPr>
        <w:t xml:space="preserve"> </w:t>
      </w:r>
      <w:r>
        <w:rPr>
          <w:rFonts w:ascii="Arial" w:hAnsi="Arial" w:cs="Arial"/>
          <w:sz w:val="22"/>
          <w:szCs w:val="22"/>
          <w:lang w:val="es"/>
        </w:rPr>
        <w:t>para</w:t>
      </w:r>
      <w:r>
        <w:rPr>
          <w:rFonts w:ascii="Arial" w:hAnsi="Arial" w:cs="Arial"/>
          <w:b/>
          <w:bCs/>
          <w:sz w:val="22"/>
          <w:szCs w:val="22"/>
          <w:lang w:val="es"/>
        </w:rPr>
        <w:t xml:space="preserve"> </w:t>
      </w:r>
      <w:r>
        <w:rPr>
          <w:rFonts w:ascii="Arial" w:hAnsi="Arial" w:cs="Arial"/>
          <w:sz w:val="22"/>
          <w:szCs w:val="22"/>
          <w:lang w:val="es"/>
        </w:rPr>
        <w:t>aumentar la disponibilidad de datos sísmicos y sobre el nivel del mar en el norte de África mediante acuerdos con los Estados Miembros y con las instituciones encargadas de la gestión de las redes de vigilancia. </w:t>
      </w:r>
    </w:p>
    <w:p w14:paraId="4DFAB120" w14:textId="5A9782F5" w:rsidR="00BB6B9D" w:rsidRPr="006C41C4" w:rsidRDefault="00BB6B9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eastAsiaTheme="minorEastAsia" w:hAnsi="Arial" w:cs="Arial"/>
          <w:sz w:val="22"/>
          <w:szCs w:val="22"/>
          <w:lang w:val="es"/>
        </w:rPr>
        <w:t>Informó sobre el muy buen desempeño y la coherencia de tres proveedores de servicios de tsunamis del NEAM en la emisión oportuna (5-6 minutos) de mensajes de información tras el terremoto de magnitud 5,9 cerca de Creta, Grecia, el 13 de mayo de 2025.</w:t>
      </w:r>
    </w:p>
    <w:p w14:paraId="4C0A7F2D" w14:textId="36E1269D"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Concluyó anunciando que el próximo ejercicio </w:t>
      </w:r>
      <w:proofErr w:type="spellStart"/>
      <w:r>
        <w:rPr>
          <w:rFonts w:ascii="Arial" w:hAnsi="Arial" w:cs="Arial"/>
          <w:sz w:val="22"/>
          <w:szCs w:val="22"/>
          <w:lang w:val="es"/>
        </w:rPr>
        <w:t>NEAMWave</w:t>
      </w:r>
      <w:proofErr w:type="spellEnd"/>
      <w:r>
        <w:rPr>
          <w:rFonts w:ascii="Arial" w:hAnsi="Arial" w:cs="Arial"/>
          <w:sz w:val="22"/>
          <w:szCs w:val="22"/>
          <w:lang w:val="es"/>
        </w:rPr>
        <w:t xml:space="preserve">, NEAMWave26, tendría lugar en marzo de 2026. </w:t>
      </w:r>
    </w:p>
    <w:p w14:paraId="49BDC66D" w14:textId="3DB342D4" w:rsidR="002E62A2" w:rsidRPr="006C41C4"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Sr. Carlos Zúñiga, Contacto Nacional sobre Tsunamis de Chile para el ICG/PTWS, presentó el informe de la 31ª reunión del grupo que tuvo lugar del 7 al 11 de abril de 2025 en </w:t>
      </w:r>
      <w:r>
        <w:rPr>
          <w:rFonts w:ascii="Arial" w:hAnsi="Arial" w:cs="Arial"/>
          <w:sz w:val="22"/>
          <w:szCs w:val="22"/>
          <w:lang w:val="es"/>
        </w:rPr>
        <w:lastRenderedPageBreak/>
        <w:t xml:space="preserve">China, en nombre del Sr. Dakui Wang (China), recientemente elegido Presidente del Grupo Intergubernamental de Coordinación del Sistema de Alerta contra los Tsunamis y Atenuación de sus Efectos en el Pacífico (ICG/PTWS), y de sus tres vicepresidentes recién elegidos: Sra. Lara </w:t>
      </w:r>
      <w:proofErr w:type="spellStart"/>
      <w:r>
        <w:rPr>
          <w:rFonts w:ascii="Arial" w:hAnsi="Arial" w:cs="Arial"/>
          <w:sz w:val="22"/>
          <w:szCs w:val="22"/>
          <w:lang w:val="es"/>
        </w:rPr>
        <w:t>Bland</w:t>
      </w:r>
      <w:proofErr w:type="spellEnd"/>
      <w:r>
        <w:rPr>
          <w:rFonts w:ascii="Arial" w:hAnsi="Arial" w:cs="Arial"/>
          <w:sz w:val="22"/>
          <w:szCs w:val="22"/>
          <w:lang w:val="es"/>
        </w:rPr>
        <w:t xml:space="preserve"> (Nueva Zelanda), Sra. </w:t>
      </w:r>
      <w:proofErr w:type="spellStart"/>
      <w:r>
        <w:rPr>
          <w:rFonts w:ascii="Arial" w:hAnsi="Arial" w:cs="Arial"/>
          <w:sz w:val="22"/>
          <w:szCs w:val="22"/>
          <w:lang w:val="es"/>
        </w:rPr>
        <w:t>Mylene</w:t>
      </w:r>
      <w:proofErr w:type="spellEnd"/>
      <w:r>
        <w:rPr>
          <w:rFonts w:ascii="Arial" w:hAnsi="Arial" w:cs="Arial"/>
          <w:sz w:val="22"/>
          <w:szCs w:val="22"/>
          <w:lang w:val="es"/>
        </w:rPr>
        <w:t xml:space="preserve"> Villegas (Filipinas) y Sr. Levu </w:t>
      </w:r>
      <w:proofErr w:type="spellStart"/>
      <w:r>
        <w:rPr>
          <w:rFonts w:ascii="Arial" w:hAnsi="Arial" w:cs="Arial"/>
          <w:sz w:val="22"/>
          <w:szCs w:val="22"/>
          <w:lang w:val="es"/>
        </w:rPr>
        <w:t>Antfalo</w:t>
      </w:r>
      <w:proofErr w:type="spellEnd"/>
      <w:r>
        <w:rPr>
          <w:rFonts w:ascii="Arial" w:hAnsi="Arial" w:cs="Arial"/>
          <w:sz w:val="22"/>
          <w:szCs w:val="22"/>
          <w:lang w:val="es"/>
        </w:rPr>
        <w:t xml:space="preserve"> (Vanuatu).</w:t>
      </w:r>
    </w:p>
    <w:p w14:paraId="10721EB7" w14:textId="1F531220"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Informó del éxito de la organización y realización del ejercicio PacWave24 que tuvo lugar de septiembre a noviembre de 2024, así como de la primera prueba de difusión de los productos de seguridad marítima, concretamente a los coordinadores de las </w:t>
      </w:r>
      <w:proofErr w:type="spellStart"/>
      <w:r>
        <w:rPr>
          <w:rFonts w:ascii="Arial" w:hAnsi="Arial" w:cs="Arial"/>
          <w:sz w:val="22"/>
          <w:szCs w:val="22"/>
          <w:lang w:val="es"/>
        </w:rPr>
        <w:t>NAVAREAs</w:t>
      </w:r>
      <w:proofErr w:type="spellEnd"/>
      <w:r>
        <w:rPr>
          <w:rFonts w:ascii="Arial" w:hAnsi="Arial" w:cs="Arial"/>
          <w:sz w:val="22"/>
          <w:szCs w:val="22"/>
          <w:lang w:val="es"/>
        </w:rPr>
        <w:t xml:space="preserve"> VI, X, XI, XII, XIII, XIV, XV y XVI. Señaló que el Ejercicio Pacific Wave 2026 (PacWave26) tendría lugar de septiembre a noviembre de 2026 y pondría a prueba la capacidad de los países para llevar a cabo sus responsabilidades de alerta y respuesta en caso de que uno o más PTWS TSP no pudieran proporcionar orientación oportuna. También se estudiarán escenarios más complejos, como fuentes no sísmicas o escenarios de eventos múltiples, para reforzar la cooperación con los organismos locales, nacionales o regionales de vigilancia de los riesgos geológicos.</w:t>
      </w:r>
    </w:p>
    <w:p w14:paraId="0511012A" w14:textId="0E2B456A"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Señaló que, en el marco del ICG/PTWS, 23 comunidades de 8 Estados Miembros (de las cuales 5 son PEID) están ahora reconocidas como preparadas para los tsunamis en el marco del Programa de Reconocimiento Tsunami Ready de la UNESCO-COI. Palau fue el primer Estado Miembro de la UNESCO-COI del Pacífico y Pequeño Estado Insular en Desarrollo (PEID) en alcanzar este reconocimiento. En su 31ª reunión, el ICG/PTWS aprobó provisionalmente las Orientaciones del PTWS sobre la equivalencia de la preparación para casos de tsunami, que permitirán a los Estados Miembros informar sobre las estrategias existentes de gestión de los riesgos de tsunami de manera similar al Programa de Reconocimiento Tsunami Ready, en consonancia con el segundo objetivo del Programa sobre Tsunamis del Decenio del Océano de la UNESCO-COI, a saber, que para 2030 el 100 % de las comunidades en situación de riesgo estén preparadas y sean resistentes a los tsunamis gracias a esfuerzos como el Programa de Reconocimiento Tsunami Ready de la UNESCO-COI.</w:t>
      </w:r>
    </w:p>
    <w:p w14:paraId="786661F3" w14:textId="50EB092D" w:rsidR="002E62A2" w:rsidRPr="006C41C4"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El Sr. Zúñiga informó de que la Evaluación de la Capacidad de Preparación ante los Tsunamis en el Pacífico, como primera medición a escala de todo el sistema de las capacidades existentes para informar sobre los próximos esfuerzos para mejorar el PTWS, se puso en marcha en enero de 2025 con el amable apoyo de la Comisión Económica y Social de las Naciones Unidas para Asia y el Pacífico (CESPAP). El informe final de esta iniciativa estará disponible en septiembre de 2025 para ser distribuido a los Contactos Nacionales sobre Tsunamis (TNC) del ICG/PTWS para su consideración.</w:t>
      </w:r>
    </w:p>
    <w:p w14:paraId="0AC8A23D" w14:textId="63CBDBFC" w:rsidR="002E62A2" w:rsidRPr="006C41C4"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También indicó que la 32ª reunión del ICG/PTWS tendrá la gentileza de acogerse Ecuador en 2027, con fechas y lugar concretos por determinar.</w:t>
      </w:r>
    </w:p>
    <w:p w14:paraId="4E04B47C" w14:textId="4592C4C4" w:rsidR="002E62A2" w:rsidRPr="006C41C4"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cuanto a la necesidad de un compromiso activo de Argentina con el ICG/CARIBE-EWS y el ICG/PTWS en relación con las responsabilidades argentinas en materia de búsqueda y salvamento y la coordinación de NAVAREA VI, tal como se refleja en la Decisión EC-57/3.2.1 del Consejo Ejecutivo de la COI, informó sobre la participación activa de Argentina en el PacWave24 en calidad de Coordinador de NAVAREA VI a los efectos de probar la difusión de productos de seguridad marítima contra tsunamis, y su participación en el ICG/PTWS-XXXI en calidad de observador, y que el ICG/PTWS alienta a Argentina a participar activamente en los futuros ejercicios </w:t>
      </w:r>
      <w:proofErr w:type="spellStart"/>
      <w:r>
        <w:rPr>
          <w:rFonts w:ascii="Arial" w:hAnsi="Arial" w:cs="Arial"/>
          <w:sz w:val="22"/>
          <w:szCs w:val="22"/>
          <w:lang w:val="es"/>
        </w:rPr>
        <w:t>PacWave</w:t>
      </w:r>
      <w:proofErr w:type="spellEnd"/>
      <w:r>
        <w:rPr>
          <w:rFonts w:ascii="Arial" w:hAnsi="Arial" w:cs="Arial"/>
          <w:sz w:val="22"/>
          <w:szCs w:val="22"/>
          <w:lang w:val="es"/>
        </w:rPr>
        <w:t xml:space="preserve"> con respecto a sus responsabilidades de coordinación de Búsqueda y Salvamento (SAR) y NAVAREA VI.</w:t>
      </w:r>
    </w:p>
    <w:p w14:paraId="3E6D5AF8" w14:textId="725B6DBB" w:rsidR="00E76505" w:rsidRPr="006C41C4"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eastAsiaTheme="minorEastAsia" w:hAnsi="Arial" w:cs="Arial"/>
          <w:sz w:val="22"/>
          <w:szCs w:val="22"/>
          <w:lang w:val="es"/>
        </w:rPr>
        <w:t>El Programa Internacional de Personal del SCSTAC continuó con éxito en 2023 y 2024. El Programa de Formación ITIC-</w:t>
      </w:r>
      <w:proofErr w:type="spellStart"/>
      <w:r>
        <w:rPr>
          <w:rFonts w:ascii="Arial" w:eastAsiaTheme="minorEastAsia" w:hAnsi="Arial" w:cs="Arial"/>
          <w:sz w:val="22"/>
          <w:szCs w:val="22"/>
          <w:lang w:val="es"/>
        </w:rPr>
        <w:t>Hawaii</w:t>
      </w:r>
      <w:proofErr w:type="spellEnd"/>
      <w:r>
        <w:rPr>
          <w:rFonts w:ascii="Arial" w:eastAsiaTheme="minorEastAsia" w:hAnsi="Arial" w:cs="Arial"/>
          <w:sz w:val="22"/>
          <w:szCs w:val="22"/>
          <w:lang w:val="es"/>
        </w:rPr>
        <w:t xml:space="preserve"> (ITP-HAWAII) sobre Sistemas de Alerta Temprana de Tsunamis y el PTWC Productos Mejorados, Planificación de Evacuación de Tsunamis y Programa Tsunami Ready se organizó del 7 al 18 de agosto de 2023 en </w:t>
      </w:r>
      <w:proofErr w:type="spellStart"/>
      <w:r>
        <w:rPr>
          <w:rFonts w:ascii="Arial" w:eastAsiaTheme="minorEastAsia" w:hAnsi="Arial" w:cs="Arial"/>
          <w:sz w:val="22"/>
          <w:szCs w:val="22"/>
          <w:lang w:val="es"/>
        </w:rPr>
        <w:t>Hawai</w:t>
      </w:r>
      <w:proofErr w:type="spellEnd"/>
      <w:r>
        <w:rPr>
          <w:rFonts w:ascii="Arial" w:eastAsiaTheme="minorEastAsia" w:hAnsi="Arial" w:cs="Arial"/>
          <w:sz w:val="22"/>
          <w:szCs w:val="22"/>
          <w:lang w:val="es"/>
        </w:rPr>
        <w:t xml:space="preserve">, Estados Unidos de América, y en Valparaíso, Chile, del 19 al 30 de agosto de 2024. Los próximos cursos se celebrarán en </w:t>
      </w:r>
      <w:proofErr w:type="spellStart"/>
      <w:r>
        <w:rPr>
          <w:rFonts w:ascii="Arial" w:eastAsiaTheme="minorEastAsia" w:hAnsi="Arial" w:cs="Arial"/>
          <w:sz w:val="22"/>
          <w:szCs w:val="22"/>
          <w:lang w:val="es"/>
        </w:rPr>
        <w:t>Hawai</w:t>
      </w:r>
      <w:proofErr w:type="spellEnd"/>
      <w:r>
        <w:rPr>
          <w:rFonts w:ascii="Arial" w:eastAsiaTheme="minorEastAsia" w:hAnsi="Arial" w:cs="Arial"/>
          <w:sz w:val="22"/>
          <w:szCs w:val="22"/>
          <w:lang w:val="es"/>
        </w:rPr>
        <w:t xml:space="preserve"> (</w:t>
      </w:r>
      <w:proofErr w:type="gramStart"/>
      <w:r>
        <w:rPr>
          <w:rFonts w:ascii="Arial" w:eastAsiaTheme="minorEastAsia" w:hAnsi="Arial" w:cs="Arial"/>
          <w:sz w:val="22"/>
          <w:szCs w:val="22"/>
          <w:lang w:val="es"/>
        </w:rPr>
        <w:t>EE.UU.</w:t>
      </w:r>
      <w:proofErr w:type="gramEnd"/>
      <w:r>
        <w:rPr>
          <w:rFonts w:ascii="Arial" w:eastAsiaTheme="minorEastAsia" w:hAnsi="Arial" w:cs="Arial"/>
          <w:sz w:val="22"/>
          <w:szCs w:val="22"/>
          <w:lang w:val="es"/>
        </w:rPr>
        <w:t>) del 15 al 21 de septiembre de 2025 y en Valparaíso (Chile) en 2026.</w:t>
      </w:r>
    </w:p>
    <w:p w14:paraId="6BA1485C" w14:textId="04B9892A" w:rsidR="002E62A2" w:rsidRPr="006C41C4" w:rsidRDefault="00935AA0"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es-ES"/>
        </w:rPr>
      </w:pPr>
      <w:r>
        <w:rPr>
          <w:rFonts w:ascii="Arial" w:hAnsi="Arial" w:cs="Arial"/>
          <w:sz w:val="22"/>
          <w:szCs w:val="22"/>
          <w:lang w:val="es"/>
        </w:rPr>
        <w:lastRenderedPageBreak/>
        <w:t>Con respecto a la plena operatividad del Centro de Asesoramiento de Tsunamis para América Central (CATAC) como proveedor de servicios sobre tsunamis del ICG/CARIBE-EWS, recordó la recomendación formulada por el ICG/PTWS en su 30</w:t>
      </w:r>
      <w:r>
        <w:rPr>
          <w:rFonts w:ascii="Arial" w:hAnsi="Arial" w:cs="Arial"/>
          <w:sz w:val="22"/>
          <w:szCs w:val="22"/>
          <w:vertAlign w:val="superscript"/>
          <w:lang w:val="es"/>
        </w:rPr>
        <w:t>ª</w:t>
      </w:r>
      <w:r>
        <w:rPr>
          <w:rFonts w:ascii="Arial" w:hAnsi="Arial" w:cs="Arial"/>
          <w:sz w:val="22"/>
          <w:szCs w:val="22"/>
          <w:lang w:val="es"/>
        </w:rPr>
        <w:t xml:space="preserve"> reunión de que se aceptara oficialmente la plena disponibilidad operacional del CATAC, con una fecha de inicio que se determinaría previa coordinación con el ICG/CARIBE-EWS (Recomendación ICG/PTWS-XXX-6), tomando nota de la recomendación del ICG/CARIBE-EWS-XVII.8., de que se considerara la posibilidad de admitir al CATAC como proveedor de servicios sobre tsunamis con miras a su admisión definitiva por la Asamblea en la presente reunión.</w:t>
      </w:r>
    </w:p>
    <w:p w14:paraId="7639D594" w14:textId="6F9FA601" w:rsidR="00E76505" w:rsidRPr="006C41C4" w:rsidRDefault="00AE5EB0"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es-ES"/>
        </w:rPr>
      </w:pPr>
      <w:r>
        <w:rPr>
          <w:rFonts w:ascii="Arial" w:eastAsiaTheme="minorEastAsia" w:hAnsi="Arial" w:cs="Arial"/>
          <w:sz w:val="22"/>
          <w:szCs w:val="22"/>
          <w:lang w:val="es"/>
        </w:rPr>
        <w:t>Los representantes de 22 Estados Miembros de la OMM tomaron la palabra sobre los dos puntos del orden del día 3.4.1.</w:t>
      </w:r>
    </w:p>
    <w:p w14:paraId="1FC2F5C6" w14:textId="35AC370F" w:rsidR="00E76505" w:rsidRPr="006C41C4" w:rsidRDefault="0019022C"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es-ES"/>
        </w:rPr>
      </w:pPr>
      <w:r>
        <w:rPr>
          <w:rFonts w:ascii="Arial" w:hAnsi="Arial" w:cs="Arial"/>
          <w:sz w:val="22"/>
          <w:szCs w:val="22"/>
          <w:lang w:val="es"/>
        </w:rPr>
        <w:t>La Asamblea subrayó la importancia de los objetivos del Programa sobre Tsunamis del Decenio del Océano, reconoció los progresos realizados en todos los grupos de coordinación intergubernamentales en la ejecución del Programa de Reconocimiento de la UNESCO-COI Tsunami Ready con el apoyo de los asociados, a saber, la Dirección General de Protección Civil y Operaciones de Ayuda Humanitaria de la Unión Europea (DG ECHO) y la CESPAP, tomó nota de la importancia de incluir a los niños y a las personas con discapacidad en los esfuerzos relacionados con la resiliencia de las comunidades costeras ante los tsunamis, apreció la publicación de los módulos de formación en línea de la OTGA Tsunami Ready, agradeció la aprobación provisional de la Guía de Equivalencia Tsunami Ready por el ICG/PTWS, y valoró enormemente las evaluaciones de la capacidad de preparación ante los tsunamis apoyadas por la CESPAP en las regiones del Océano Índico y del Pacífico.</w:t>
      </w:r>
    </w:p>
    <w:p w14:paraId="0029F7C1" w14:textId="548C86DD" w:rsidR="0065434D" w:rsidRPr="006C41C4" w:rsidRDefault="000803C1" w:rsidP="001A57D8">
      <w:pPr>
        <w:pStyle w:val="Heading5"/>
        <w:rPr>
          <w:lang w:val="es-ES"/>
        </w:rPr>
      </w:pPr>
      <w:bookmarkStart w:id="177" w:name="_Toc197955116"/>
      <w:bookmarkStart w:id="178" w:name="_Toc134002376"/>
      <w:bookmarkStart w:id="179" w:name="_Toc68180561"/>
      <w:bookmarkStart w:id="180" w:name="_Toc212133514"/>
      <w:r>
        <w:rPr>
          <w:bCs w:val="0"/>
          <w:iCs/>
          <w:lang w:val="es"/>
        </w:rPr>
        <w:t>3.4.1.2</w:t>
      </w:r>
      <w:r>
        <w:rPr>
          <w:bCs w:val="0"/>
          <w:iCs/>
          <w:lang w:val="es"/>
        </w:rPr>
        <w:tab/>
        <w:t xml:space="preserve">Coordinación mundial de los sistemas de alerta y mitigación </w:t>
      </w:r>
      <w:r>
        <w:rPr>
          <w:bCs w:val="0"/>
          <w:i w:val="0"/>
          <w:lang w:val="es"/>
        </w:rPr>
        <w:br/>
      </w:r>
      <w:r>
        <w:rPr>
          <w:bCs w:val="0"/>
          <w:iCs/>
          <w:lang w:val="es"/>
        </w:rPr>
        <w:t>para peligros oceánicos</w:t>
      </w:r>
      <w:bookmarkEnd w:id="177"/>
      <w:bookmarkEnd w:id="178"/>
      <w:bookmarkEnd w:id="179"/>
      <w:bookmarkEnd w:id="180"/>
    </w:p>
    <w:p w14:paraId="2A53F6AA" w14:textId="0D036EEF" w:rsidR="0060132E" w:rsidRPr="006C41C4"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Sr. Amr Zakaria Hamouda (Egipto), </w:t>
      </w:r>
      <w:proofErr w:type="gramStart"/>
      <w:r>
        <w:rPr>
          <w:rFonts w:ascii="Arial" w:hAnsi="Arial" w:cs="Arial"/>
          <w:sz w:val="22"/>
          <w:szCs w:val="22"/>
          <w:lang w:val="es"/>
        </w:rPr>
        <w:t>Vicepresidente</w:t>
      </w:r>
      <w:proofErr w:type="gramEnd"/>
      <w:r>
        <w:rPr>
          <w:rFonts w:ascii="Arial" w:hAnsi="Arial" w:cs="Arial"/>
          <w:sz w:val="22"/>
          <w:szCs w:val="22"/>
          <w:lang w:val="es"/>
        </w:rPr>
        <w:t xml:space="preserve"> de la COI y </w:t>
      </w:r>
      <w:proofErr w:type="gramStart"/>
      <w:r>
        <w:rPr>
          <w:rFonts w:ascii="Arial" w:hAnsi="Arial" w:cs="Arial"/>
          <w:sz w:val="22"/>
          <w:szCs w:val="22"/>
          <w:lang w:val="es"/>
        </w:rPr>
        <w:t>Presidente</w:t>
      </w:r>
      <w:proofErr w:type="gramEnd"/>
      <w:r>
        <w:rPr>
          <w:rFonts w:ascii="Arial" w:hAnsi="Arial" w:cs="Arial"/>
          <w:sz w:val="22"/>
          <w:szCs w:val="22"/>
          <w:lang w:val="es"/>
        </w:rPr>
        <w:t xml:space="preserve"> del Grupo de Trabajo sobre Tsunamis y otros peligros relacionados con los sistemas de alerta contra el nivel del mar y atenuación de sus efectos, informó sobre la 18ª reunión del grupo, celebrada los días 24 y 25 de febrero de 2025 en la Sede de la UNESCO-COI. </w:t>
      </w:r>
    </w:p>
    <w:p w14:paraId="722AA980" w14:textId="137BBDEE" w:rsidR="0060132E" w:rsidRPr="006C41C4"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Informó de que en la reunión se evaluaron los progresos realizados con respecto a la Decisión A-32/4.3.1 de la Asamblea de la COI y la Decisión EC-57/3.2.1 del Consejo Ejecutivo de la COI. Informó de que el grupo había examinado los informes de los Grupos Intergubernamentales de Coordinación (ICG) de la COI, del Comité Científico del Programa sobre Tsunamis del Decenio Oceánico (ODTP-SC), así como los informes de su Equipo de Trabajo sobre Gestión de Desastres y Preparación (TT-DMP) y del Equipo de Trabajo sobre Operaciones de Vigilancia de Tsunamis (TT-TWO).</w:t>
      </w:r>
    </w:p>
    <w:p w14:paraId="69B59A38" w14:textId="1EC34E2E" w:rsidR="0060132E" w:rsidRPr="006C41C4"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Sr. Hamouda destacó la continua cooperación con la Oficina de las Naciones Unidas para la Reducción del Riesgo de Desastres (UNDRR) que ha invitado a la COI a desarrollar conjuntamente el tema del Día Mundial de Concienciación sobre los Tsunamis 2025, conectando el Programa de Reconocimiento Tsunami Ready UNESCO-COI, la campaña Ciudades resilientes 2030 y los hashtags </w:t>
      </w:r>
      <w:r>
        <w:rPr>
          <w:rFonts w:ascii="Arial" w:hAnsi="Arial" w:cs="Arial"/>
          <w:color w:val="0070C0"/>
          <w:sz w:val="22"/>
          <w:szCs w:val="22"/>
          <w:lang w:val="es"/>
        </w:rPr>
        <w:t>#GetToHighGround</w:t>
      </w:r>
      <w:r>
        <w:rPr>
          <w:rFonts w:ascii="Arial" w:hAnsi="Arial" w:cs="Arial"/>
          <w:sz w:val="22"/>
          <w:szCs w:val="22"/>
          <w:lang w:val="es"/>
        </w:rPr>
        <w:t xml:space="preserve"> y </w:t>
      </w:r>
      <w:r>
        <w:rPr>
          <w:rFonts w:ascii="Arial" w:hAnsi="Arial" w:cs="Arial"/>
          <w:color w:val="0070C0"/>
          <w:sz w:val="22"/>
          <w:szCs w:val="22"/>
          <w:lang w:val="es"/>
        </w:rPr>
        <w:t xml:space="preserve">#TsunamiReady </w:t>
      </w:r>
      <w:r>
        <w:rPr>
          <w:rFonts w:ascii="Arial" w:hAnsi="Arial" w:cs="Arial"/>
          <w:sz w:val="22"/>
          <w:szCs w:val="22"/>
          <w:lang w:val="es"/>
        </w:rPr>
        <w:t>para involucrar a los ciudadanos en la concienciación sobre los tsunamis.</w:t>
      </w:r>
    </w:p>
    <w:p w14:paraId="76EA46F5" w14:textId="528A9E83" w:rsidR="0060132E" w:rsidRPr="006C41C4"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t xml:space="preserve">Informó de que el grupo había aprobado la publicación de una versión revisada de las </w:t>
      </w:r>
      <w:r>
        <w:rPr>
          <w:rFonts w:ascii="Arial" w:hAnsi="Arial"/>
          <w:i/>
          <w:iCs/>
          <w:sz w:val="22"/>
          <w:szCs w:val="22"/>
          <w:lang w:val="es"/>
        </w:rPr>
        <w:t>Operaciones de Vigilancia de Tsunamis. Documento de definición de servicio global</w:t>
      </w:r>
      <w:r>
        <w:rPr>
          <w:rFonts w:ascii="Arial" w:hAnsi="Arial"/>
          <w:sz w:val="22"/>
          <w:szCs w:val="22"/>
          <w:lang w:val="es"/>
        </w:rPr>
        <w:t xml:space="preserve">, </w:t>
      </w:r>
      <w:hyperlink r:id="rId61" w:history="1">
        <w:r>
          <w:rPr>
            <w:rStyle w:val="Hyperlink"/>
            <w:rFonts w:ascii="Arial" w:hAnsi="Arial" w:cs="Arial"/>
            <w:sz w:val="22"/>
            <w:szCs w:val="22"/>
            <w:lang w:val="es"/>
          </w:rPr>
          <w:t>Serie Técnica de la COI, 130</w:t>
        </w:r>
      </w:hyperlink>
      <w:r>
        <w:rPr>
          <w:lang w:val="es"/>
        </w:rPr>
        <w:t xml:space="preserve"> </w:t>
      </w:r>
      <w:r>
        <w:rPr>
          <w:rFonts w:ascii="Arial" w:hAnsi="Arial"/>
          <w:sz w:val="22"/>
          <w:szCs w:val="22"/>
          <w:lang w:val="es"/>
        </w:rPr>
        <w:t>(2016), con las actualizaciones sugeridas por el TT-TWO.</w:t>
      </w:r>
    </w:p>
    <w:p w14:paraId="14B1256F" w14:textId="4527370B" w:rsidR="0060132E" w:rsidRPr="006C41C4"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Sr. Hamouda señaló el profundo agradecimiento del grupo de trabajo TOWS-WG y de los cuatro ICG regionales al Gobierno de Indonesia por haber copatrocinado y organizado con éxito el </w:t>
      </w:r>
      <w:r>
        <w:rPr>
          <w:rFonts w:ascii="Arial" w:hAnsi="Arial" w:cs="Arial"/>
          <w:i/>
          <w:iCs/>
          <w:sz w:val="22"/>
          <w:szCs w:val="22"/>
          <w:lang w:val="es"/>
        </w:rPr>
        <w:t>2º Simposio Mundial UNESCO-COI sobre el Tsunami, dos décadas después del tsunami de 2004 en el Océano Índico: Reflexión y camino a seguir, Banda Aceh, 11-14 de noviembre de 2024</w:t>
      </w:r>
      <w:r>
        <w:rPr>
          <w:rFonts w:ascii="Arial" w:hAnsi="Arial" w:cs="Arial"/>
          <w:sz w:val="22"/>
          <w:szCs w:val="22"/>
          <w:lang w:val="es"/>
        </w:rPr>
        <w:t>.</w:t>
      </w:r>
    </w:p>
    <w:p w14:paraId="0B66084D" w14:textId="1453E036" w:rsidR="00426950" w:rsidRPr="006C41C4" w:rsidRDefault="0060132E" w:rsidP="00547D9B">
      <w:pPr>
        <w:pStyle w:val="ListParagraph1"/>
        <w:widowControl/>
        <w:numPr>
          <w:ilvl w:val="0"/>
          <w:numId w:val="8"/>
        </w:numPr>
        <w:tabs>
          <w:tab w:val="left" w:pos="851"/>
        </w:tabs>
        <w:snapToGrid w:val="0"/>
        <w:spacing w:after="240"/>
        <w:ind w:left="0" w:firstLine="0"/>
        <w:contextualSpacing w:val="0"/>
        <w:rPr>
          <w:lang w:val="es-ES"/>
        </w:rPr>
      </w:pPr>
      <w:r>
        <w:rPr>
          <w:rFonts w:ascii="Arial" w:hAnsi="Arial" w:cs="Arial"/>
          <w:sz w:val="22"/>
          <w:szCs w:val="22"/>
          <w:lang w:val="es"/>
        </w:rPr>
        <w:lastRenderedPageBreak/>
        <w:t>Por último, el Sr. Hamouda informó de que el grupo había recomendado a la Asamblea de la COI que prorrogara el mandato del TT-DMP y el TT-TWO del Grupo Intergubernamental de Coordinación y recomendó que se aprobara el mandato actualizado del Equipo de Trabajo sobre Gestión de Catástrofes y Preparación para casos de Tsunami.</w:t>
      </w:r>
    </w:p>
    <w:p w14:paraId="09D34D96" w14:textId="67C10A4B" w:rsidR="00426950" w:rsidRPr="006C41C4" w:rsidRDefault="0042695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apoyó la aprobación del Plan de Implantación de la Coalición Tsunami Ready, subrayó la importancia de establecer acuerdos entre los Proveedores de Servicios de Tsunami (TSP) dentro de cada ICG para asegurar que la provisión de servicios esté asegurada en todo momento para toda el Área de Servicio del ICG y desarrollar </w:t>
      </w:r>
      <w:proofErr w:type="spellStart"/>
      <w:r>
        <w:rPr>
          <w:rFonts w:ascii="Arial" w:hAnsi="Arial" w:cs="Arial"/>
          <w:sz w:val="22"/>
          <w:szCs w:val="22"/>
          <w:lang w:val="es"/>
        </w:rPr>
        <w:t>SOPs</w:t>
      </w:r>
      <w:proofErr w:type="spellEnd"/>
      <w:r>
        <w:rPr>
          <w:rFonts w:ascii="Arial" w:hAnsi="Arial" w:cs="Arial"/>
          <w:sz w:val="22"/>
          <w:szCs w:val="22"/>
          <w:lang w:val="es"/>
        </w:rPr>
        <w:t xml:space="preserve"> para cualquier volcán con potencial </w:t>
      </w:r>
      <w:proofErr w:type="spellStart"/>
      <w:r>
        <w:rPr>
          <w:rFonts w:ascii="Arial" w:hAnsi="Arial" w:cs="Arial"/>
          <w:sz w:val="22"/>
          <w:szCs w:val="22"/>
          <w:lang w:val="es"/>
        </w:rPr>
        <w:t>tsunamigénico</w:t>
      </w:r>
      <w:proofErr w:type="spellEnd"/>
      <w:r>
        <w:rPr>
          <w:rFonts w:ascii="Arial" w:hAnsi="Arial" w:cs="Arial"/>
          <w:sz w:val="22"/>
          <w:szCs w:val="22"/>
          <w:lang w:val="es"/>
        </w:rPr>
        <w:t xml:space="preserve"> que afecte el Área de Servicio de los </w:t>
      </w:r>
      <w:proofErr w:type="spellStart"/>
      <w:r>
        <w:rPr>
          <w:rFonts w:ascii="Arial" w:hAnsi="Arial" w:cs="Arial"/>
          <w:sz w:val="22"/>
          <w:szCs w:val="22"/>
          <w:lang w:val="es"/>
        </w:rPr>
        <w:t>TSPs</w:t>
      </w:r>
      <w:proofErr w:type="spellEnd"/>
      <w:r>
        <w:rPr>
          <w:rFonts w:ascii="Arial" w:hAnsi="Arial" w:cs="Arial"/>
          <w:sz w:val="22"/>
          <w:szCs w:val="22"/>
          <w:lang w:val="es"/>
        </w:rPr>
        <w:t xml:space="preserve"> dentro de los </w:t>
      </w:r>
      <w:proofErr w:type="spellStart"/>
      <w:r>
        <w:rPr>
          <w:rFonts w:ascii="Arial" w:hAnsi="Arial" w:cs="Arial"/>
          <w:sz w:val="22"/>
          <w:szCs w:val="22"/>
          <w:lang w:val="es"/>
        </w:rPr>
        <w:t>ICGs</w:t>
      </w:r>
      <w:proofErr w:type="spellEnd"/>
      <w:r>
        <w:rPr>
          <w:rFonts w:ascii="Arial" w:hAnsi="Arial" w:cs="Arial"/>
          <w:sz w:val="22"/>
          <w:szCs w:val="22"/>
          <w:lang w:val="es"/>
        </w:rPr>
        <w:t>.</w:t>
      </w:r>
    </w:p>
    <w:p w14:paraId="75029D83" w14:textId="77777777" w:rsidR="00AE5EB0" w:rsidRPr="006C41C4" w:rsidRDefault="0042695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tomó nota de la necesidad de mejorar las capacidades de vigilancia de los tsunamis generados por volcanes (TGV) y expresó su satisfacción a la COI por la organización de seminarios web mundiales sobre los TGV. Se señaló la importancia de dar prioridad a la instalación de nuevos mareógrafos y garantizar la sostenibilidad de los existentes, así como los avances en la aplicación de las iniciativas de cables submarinos SMART (Science </w:t>
      </w:r>
      <w:proofErr w:type="spellStart"/>
      <w:r>
        <w:rPr>
          <w:rFonts w:ascii="Arial" w:hAnsi="Arial" w:cs="Arial"/>
          <w:sz w:val="22"/>
          <w:szCs w:val="22"/>
          <w:lang w:val="es"/>
        </w:rPr>
        <w:t>Monitoring</w:t>
      </w:r>
      <w:proofErr w:type="spellEnd"/>
      <w:r>
        <w:rPr>
          <w:rFonts w:ascii="Arial" w:hAnsi="Arial" w:cs="Arial"/>
          <w:sz w:val="22"/>
          <w:szCs w:val="22"/>
          <w:lang w:val="es"/>
        </w:rPr>
        <w:t xml:space="preserve"> And </w:t>
      </w:r>
      <w:proofErr w:type="spellStart"/>
      <w:r>
        <w:rPr>
          <w:rFonts w:ascii="Arial" w:hAnsi="Arial" w:cs="Arial"/>
          <w:sz w:val="22"/>
          <w:szCs w:val="22"/>
          <w:lang w:val="es"/>
        </w:rPr>
        <w:t>Reliable</w:t>
      </w:r>
      <w:proofErr w:type="spellEnd"/>
      <w:r>
        <w:rPr>
          <w:rFonts w:ascii="Arial" w:hAnsi="Arial" w:cs="Arial"/>
          <w:sz w:val="22"/>
          <w:szCs w:val="22"/>
          <w:lang w:val="es"/>
        </w:rPr>
        <w:t xml:space="preserve"> </w:t>
      </w:r>
      <w:proofErr w:type="spellStart"/>
      <w:r>
        <w:rPr>
          <w:rFonts w:ascii="Arial" w:hAnsi="Arial" w:cs="Arial"/>
          <w:sz w:val="22"/>
          <w:szCs w:val="22"/>
          <w:lang w:val="es"/>
        </w:rPr>
        <w:t>Telecommunications</w:t>
      </w:r>
      <w:proofErr w:type="spellEnd"/>
      <w:r>
        <w:rPr>
          <w:rFonts w:ascii="Arial" w:hAnsi="Arial" w:cs="Arial"/>
          <w:sz w:val="22"/>
          <w:szCs w:val="22"/>
          <w:lang w:val="es"/>
        </w:rPr>
        <w:t xml:space="preserve">), en particular en Portugal, que se espera que estén operativos en 2026. </w:t>
      </w:r>
    </w:p>
    <w:p w14:paraId="4F613C37" w14:textId="77777777" w:rsidR="00AE5EB0" w:rsidRPr="006C41C4" w:rsidRDefault="0042695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China anunció que asignará más recursos para avanzar en la aplicación del Programa del Decenio de las Naciones Unidas para los Tsunamis, el Programa de Reconocimiento de la Preparación para los Tsunamis y otras iniciativas pertinentes. Argentina solicitó al ICG/PTWS, así como al ICG/CARIBE-EWS, que inviten a Argentina a participar activamente en todas las etapas de organización y ejecución de cualquier taller científico que se lleve a cabo para evaluar el riesgo </w:t>
      </w:r>
      <w:proofErr w:type="spellStart"/>
      <w:r>
        <w:rPr>
          <w:rFonts w:ascii="Arial" w:hAnsi="Arial" w:cs="Arial"/>
          <w:sz w:val="22"/>
          <w:szCs w:val="22"/>
          <w:lang w:val="es"/>
        </w:rPr>
        <w:t>tsunamigénico</w:t>
      </w:r>
      <w:proofErr w:type="spellEnd"/>
      <w:r>
        <w:rPr>
          <w:rFonts w:ascii="Arial" w:hAnsi="Arial" w:cs="Arial"/>
          <w:sz w:val="22"/>
          <w:szCs w:val="22"/>
          <w:lang w:val="es"/>
        </w:rPr>
        <w:t xml:space="preserve"> potencial del Arco de </w:t>
      </w:r>
      <w:proofErr w:type="spellStart"/>
      <w:r>
        <w:rPr>
          <w:rFonts w:ascii="Arial" w:hAnsi="Arial" w:cs="Arial"/>
          <w:sz w:val="22"/>
          <w:szCs w:val="22"/>
          <w:lang w:val="es"/>
        </w:rPr>
        <w:t>Scotia</w:t>
      </w:r>
      <w:proofErr w:type="spellEnd"/>
      <w:r>
        <w:rPr>
          <w:rFonts w:ascii="Arial" w:hAnsi="Arial" w:cs="Arial"/>
          <w:sz w:val="22"/>
          <w:szCs w:val="22"/>
          <w:lang w:val="es"/>
        </w:rPr>
        <w:t xml:space="preserve">. </w:t>
      </w:r>
    </w:p>
    <w:p w14:paraId="63106D09" w14:textId="73B4BCFB" w:rsidR="00426950" w:rsidRPr="006C41C4" w:rsidRDefault="00AE5EB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Estados Unidos de América mostró su apoyo a la adopción del Plan de Ejecución de la Coalición Tsunami Ready, aunque se desvinculó del primer párrafo de la sección 1.2 del Plan de Ejecución de la Coalición Tsunami Ready. </w:t>
      </w:r>
    </w:p>
    <w:p w14:paraId="2A1DCEC7" w14:textId="07169F9E" w:rsidR="0065434D" w:rsidRPr="006C41C4" w:rsidRDefault="00AE5EB0" w:rsidP="00B21807">
      <w:pPr>
        <w:pStyle w:val="ListParagraph1"/>
        <w:widowControl/>
        <w:numPr>
          <w:ilvl w:val="0"/>
          <w:numId w:val="8"/>
        </w:numPr>
        <w:tabs>
          <w:tab w:val="left" w:pos="851"/>
        </w:tabs>
        <w:snapToGrid w:val="0"/>
        <w:spacing w:after="240"/>
        <w:ind w:left="0" w:firstLine="0"/>
        <w:contextualSpacing w:val="0"/>
        <w:rPr>
          <w:rFonts w:ascii="Arial" w:hAnsi="Arial"/>
          <w:i/>
          <w:sz w:val="22"/>
          <w:lang w:val="es-ES"/>
        </w:rPr>
      </w:pPr>
      <w:r>
        <w:rPr>
          <w:rFonts w:ascii="Arial" w:eastAsiaTheme="minorEastAsia" w:hAnsi="Arial" w:cs="Arial"/>
          <w:sz w:val="22"/>
          <w:szCs w:val="22"/>
          <w:lang w:val="es"/>
        </w:rPr>
        <w:t xml:space="preserve">Los siguientes Estados Miembros y un observador decidieron dejar constancia de su intervención en el Pleno sobre ambos puntos del orden del día del punto 3.4.1 para el anexo informativo del informe de la reunión: </w:t>
      </w:r>
      <w:hyperlink w:anchor="arg341" w:history="1">
        <w:r>
          <w:rPr>
            <w:rStyle w:val="Hyperlink"/>
            <w:rFonts w:ascii="Arial" w:eastAsiaTheme="minorEastAsia" w:hAnsi="Arial" w:cs="Arial"/>
            <w:sz w:val="22"/>
            <w:szCs w:val="22"/>
            <w:lang w:val="es"/>
          </w:rPr>
          <w:t>Argentina</w:t>
        </w:r>
      </w:hyperlink>
      <w:r>
        <w:rPr>
          <w:rFonts w:ascii="Arial" w:eastAsiaTheme="minorEastAsia" w:hAnsi="Arial" w:cs="Arial"/>
          <w:sz w:val="22"/>
          <w:szCs w:val="22"/>
          <w:lang w:val="es"/>
        </w:rPr>
        <w:t xml:space="preserve">, </w:t>
      </w:r>
      <w:hyperlink w:anchor="chil341" w:history="1">
        <w:r>
          <w:rPr>
            <w:rStyle w:val="Hyperlink"/>
            <w:rFonts w:ascii="Arial" w:eastAsiaTheme="minorEastAsia" w:hAnsi="Arial" w:cs="Arial"/>
            <w:sz w:val="22"/>
            <w:szCs w:val="22"/>
            <w:lang w:val="es"/>
          </w:rPr>
          <w:t>Chile</w:t>
        </w:r>
      </w:hyperlink>
      <w:r>
        <w:rPr>
          <w:rFonts w:ascii="Arial" w:eastAsiaTheme="minorEastAsia" w:hAnsi="Arial" w:cs="Arial"/>
          <w:sz w:val="22"/>
          <w:szCs w:val="22"/>
          <w:lang w:val="es"/>
        </w:rPr>
        <w:t xml:space="preserve">, </w:t>
      </w:r>
      <w:hyperlink w:anchor="chin341" w:history="1">
        <w:r>
          <w:rPr>
            <w:rStyle w:val="Hyperlink"/>
            <w:rFonts w:ascii="Arial" w:eastAsiaTheme="minorEastAsia" w:hAnsi="Arial" w:cs="Arial"/>
            <w:sz w:val="22"/>
            <w:szCs w:val="22"/>
            <w:lang w:val="es"/>
          </w:rPr>
          <w:t>China</w:t>
        </w:r>
      </w:hyperlink>
      <w:r>
        <w:rPr>
          <w:rFonts w:ascii="Arial" w:eastAsiaTheme="minorEastAsia" w:hAnsi="Arial" w:cs="Arial"/>
          <w:sz w:val="22"/>
          <w:szCs w:val="22"/>
          <w:lang w:val="es"/>
        </w:rPr>
        <w:t xml:space="preserve">, </w:t>
      </w:r>
      <w:hyperlink w:anchor="fra341" w:history="1">
        <w:r>
          <w:rPr>
            <w:rStyle w:val="Hyperlink"/>
            <w:rFonts w:ascii="Arial" w:eastAsiaTheme="minorEastAsia" w:hAnsi="Arial" w:cs="Arial"/>
            <w:sz w:val="22"/>
            <w:szCs w:val="22"/>
            <w:lang w:val="es"/>
          </w:rPr>
          <w:t>Francia</w:t>
        </w:r>
      </w:hyperlink>
      <w:r>
        <w:rPr>
          <w:rFonts w:ascii="Arial" w:eastAsiaTheme="minorEastAsia" w:hAnsi="Arial" w:cs="Arial"/>
          <w:sz w:val="22"/>
          <w:szCs w:val="22"/>
          <w:lang w:val="es"/>
        </w:rPr>
        <w:t xml:space="preserve">, </w:t>
      </w:r>
      <w:hyperlink w:anchor="ind341" w:history="1">
        <w:r>
          <w:rPr>
            <w:rStyle w:val="Hyperlink"/>
            <w:rFonts w:ascii="Arial" w:eastAsiaTheme="minorEastAsia" w:hAnsi="Arial" w:cs="Arial"/>
            <w:sz w:val="22"/>
            <w:szCs w:val="22"/>
            <w:lang w:val="es"/>
          </w:rPr>
          <w:t>India</w:t>
        </w:r>
      </w:hyperlink>
      <w:r>
        <w:rPr>
          <w:rFonts w:ascii="Arial" w:eastAsiaTheme="minorEastAsia" w:hAnsi="Arial" w:cs="Arial"/>
          <w:sz w:val="22"/>
          <w:szCs w:val="22"/>
          <w:lang w:val="es"/>
        </w:rPr>
        <w:t xml:space="preserve">, </w:t>
      </w:r>
      <w:hyperlink w:anchor="indo341" w:history="1">
        <w:r>
          <w:rPr>
            <w:rStyle w:val="Hyperlink"/>
            <w:rFonts w:ascii="Arial" w:eastAsiaTheme="minorEastAsia" w:hAnsi="Arial" w:cs="Arial"/>
            <w:sz w:val="22"/>
            <w:szCs w:val="22"/>
            <w:lang w:val="es"/>
          </w:rPr>
          <w:t>Indonesia</w:t>
        </w:r>
      </w:hyperlink>
      <w:r>
        <w:rPr>
          <w:rFonts w:ascii="Arial" w:eastAsiaTheme="minorEastAsia" w:hAnsi="Arial" w:cs="Arial"/>
          <w:sz w:val="22"/>
          <w:szCs w:val="22"/>
          <w:lang w:val="es"/>
        </w:rPr>
        <w:t xml:space="preserve">, </w:t>
      </w:r>
      <w:hyperlink w:anchor="jap341" w:history="1">
        <w:r>
          <w:rPr>
            <w:rStyle w:val="Hyperlink"/>
            <w:rFonts w:ascii="Arial" w:eastAsiaTheme="minorEastAsia" w:hAnsi="Arial" w:cs="Arial"/>
            <w:sz w:val="22"/>
            <w:szCs w:val="22"/>
            <w:lang w:val="es"/>
          </w:rPr>
          <w:t>Japón</w:t>
        </w:r>
      </w:hyperlink>
      <w:r>
        <w:rPr>
          <w:rFonts w:ascii="Arial" w:eastAsiaTheme="minorEastAsia" w:hAnsi="Arial" w:cs="Arial"/>
          <w:sz w:val="22"/>
          <w:szCs w:val="22"/>
          <w:lang w:val="es"/>
        </w:rPr>
        <w:t xml:space="preserve">, </w:t>
      </w:r>
      <w:hyperlink w:anchor="malay341" w:history="1">
        <w:r>
          <w:rPr>
            <w:rStyle w:val="Hyperlink"/>
            <w:rFonts w:ascii="Arial" w:eastAsiaTheme="minorEastAsia" w:hAnsi="Arial" w:cs="Arial"/>
            <w:sz w:val="22"/>
            <w:szCs w:val="22"/>
            <w:lang w:val="es"/>
          </w:rPr>
          <w:t>Malasia</w:t>
        </w:r>
      </w:hyperlink>
      <w:r>
        <w:rPr>
          <w:rFonts w:ascii="Arial" w:eastAsiaTheme="minorEastAsia" w:hAnsi="Arial" w:cs="Arial"/>
          <w:sz w:val="22"/>
          <w:szCs w:val="22"/>
          <w:lang w:val="es"/>
        </w:rPr>
        <w:t xml:space="preserve">, </w:t>
      </w:r>
      <w:hyperlink w:anchor="oman341" w:history="1">
        <w:r>
          <w:rPr>
            <w:rStyle w:val="Hyperlink"/>
            <w:rFonts w:ascii="Arial" w:eastAsiaTheme="minorEastAsia" w:hAnsi="Arial" w:cs="Arial"/>
            <w:sz w:val="22"/>
            <w:szCs w:val="22"/>
            <w:lang w:val="es"/>
          </w:rPr>
          <w:t>Omán</w:t>
        </w:r>
      </w:hyperlink>
      <w:r>
        <w:rPr>
          <w:rFonts w:ascii="Arial" w:eastAsiaTheme="minorEastAsia" w:hAnsi="Arial" w:cs="Arial"/>
          <w:sz w:val="22"/>
          <w:szCs w:val="22"/>
          <w:lang w:val="es"/>
        </w:rPr>
        <w:t xml:space="preserve">, </w:t>
      </w:r>
      <w:hyperlink w:anchor="port341" w:history="1">
        <w:r>
          <w:rPr>
            <w:rStyle w:val="Hyperlink"/>
            <w:rFonts w:ascii="Arial" w:eastAsiaTheme="minorEastAsia" w:hAnsi="Arial" w:cs="Arial"/>
            <w:sz w:val="22"/>
            <w:szCs w:val="22"/>
            <w:lang w:val="es"/>
          </w:rPr>
          <w:t>Portugal</w:t>
        </w:r>
      </w:hyperlink>
      <w:r>
        <w:rPr>
          <w:rFonts w:ascii="Arial" w:eastAsiaTheme="minorEastAsia" w:hAnsi="Arial" w:cs="Arial"/>
          <w:sz w:val="22"/>
          <w:szCs w:val="22"/>
          <w:lang w:val="es"/>
        </w:rPr>
        <w:t xml:space="preserve">, </w:t>
      </w:r>
      <w:hyperlink w:anchor="rok341" w:history="1">
        <w:r>
          <w:rPr>
            <w:rStyle w:val="Hyperlink"/>
            <w:rFonts w:ascii="Arial" w:eastAsiaTheme="minorEastAsia" w:hAnsi="Arial" w:cs="Arial"/>
            <w:sz w:val="22"/>
            <w:szCs w:val="22"/>
            <w:lang w:val="es"/>
          </w:rPr>
          <w:t>República de Corea</w:t>
        </w:r>
      </w:hyperlink>
      <w:r>
        <w:rPr>
          <w:rFonts w:ascii="Arial" w:eastAsiaTheme="minorEastAsia" w:hAnsi="Arial" w:cs="Arial"/>
          <w:sz w:val="22"/>
          <w:szCs w:val="22"/>
          <w:lang w:val="es"/>
        </w:rPr>
        <w:t xml:space="preserve">, </w:t>
      </w:r>
      <w:hyperlink w:anchor="spain341" w:history="1">
        <w:r>
          <w:rPr>
            <w:rStyle w:val="Hyperlink"/>
            <w:rFonts w:ascii="Arial" w:eastAsiaTheme="minorEastAsia" w:hAnsi="Arial" w:cs="Arial"/>
            <w:sz w:val="22"/>
            <w:szCs w:val="22"/>
            <w:lang w:val="es"/>
          </w:rPr>
          <w:t>España</w:t>
        </w:r>
      </w:hyperlink>
      <w:r>
        <w:rPr>
          <w:rFonts w:ascii="Arial" w:eastAsiaTheme="minorEastAsia" w:hAnsi="Arial" w:cs="Arial"/>
          <w:sz w:val="22"/>
          <w:szCs w:val="22"/>
          <w:lang w:val="es"/>
        </w:rPr>
        <w:t xml:space="preserve">, </w:t>
      </w:r>
      <w:hyperlink w:anchor="turk341" w:history="1">
        <w:r>
          <w:rPr>
            <w:rStyle w:val="Hyperlink"/>
            <w:rFonts w:ascii="Arial" w:eastAsiaTheme="minorEastAsia" w:hAnsi="Arial" w:cs="Arial"/>
            <w:sz w:val="22"/>
            <w:szCs w:val="22"/>
            <w:lang w:val="es"/>
          </w:rPr>
          <w:t>Turquía</w:t>
        </w:r>
      </w:hyperlink>
      <w:r>
        <w:rPr>
          <w:rFonts w:ascii="Arial" w:eastAsiaTheme="minorEastAsia" w:hAnsi="Arial" w:cs="Arial"/>
          <w:sz w:val="22"/>
          <w:szCs w:val="22"/>
          <w:lang w:val="es"/>
        </w:rPr>
        <w:t xml:space="preserve">, </w:t>
      </w:r>
      <w:hyperlink w:anchor="turk341" w:history="1">
        <w:r>
          <w:rPr>
            <w:rStyle w:val="Hyperlink"/>
            <w:rFonts w:ascii="Arial" w:eastAsiaTheme="minorEastAsia" w:hAnsi="Arial" w:cs="Arial"/>
            <w:sz w:val="22"/>
            <w:szCs w:val="22"/>
            <w:lang w:val="es"/>
          </w:rPr>
          <w:t>Reino Unido de Gran Bretaña e Irlanda del Norte</w:t>
        </w:r>
      </w:hyperlink>
      <w:r>
        <w:rPr>
          <w:rFonts w:ascii="Arial" w:eastAsiaTheme="minorEastAsia" w:hAnsi="Arial" w:cs="Arial"/>
          <w:sz w:val="22"/>
          <w:szCs w:val="22"/>
          <w:lang w:val="es"/>
        </w:rPr>
        <w:t xml:space="preserve">, </w:t>
      </w:r>
      <w:hyperlink w:anchor="us341" w:history="1">
        <w:r>
          <w:rPr>
            <w:rStyle w:val="Hyperlink"/>
            <w:rFonts w:ascii="Arial" w:eastAsiaTheme="minorEastAsia" w:hAnsi="Arial" w:cs="Arial"/>
            <w:sz w:val="22"/>
            <w:szCs w:val="22"/>
            <w:lang w:val="es"/>
          </w:rPr>
          <w:t>Estados Unidos de América</w:t>
        </w:r>
      </w:hyperlink>
      <w:r>
        <w:rPr>
          <w:rFonts w:ascii="Arial" w:eastAsiaTheme="minorEastAsia" w:hAnsi="Arial" w:cs="Arial"/>
          <w:sz w:val="22"/>
          <w:szCs w:val="22"/>
          <w:lang w:val="es"/>
        </w:rPr>
        <w:t xml:space="preserve"> y </w:t>
      </w:r>
      <w:hyperlink w:anchor="wmo341" w:history="1">
        <w:r>
          <w:rPr>
            <w:rStyle w:val="Hyperlink"/>
            <w:rFonts w:ascii="Arial" w:eastAsiaTheme="minorEastAsia" w:hAnsi="Arial" w:cs="Arial"/>
            <w:sz w:val="22"/>
            <w:szCs w:val="22"/>
            <w:lang w:val="es"/>
          </w:rPr>
          <w:t>OMM</w:t>
        </w:r>
      </w:hyperlink>
      <w:r>
        <w:rPr>
          <w:rFonts w:ascii="Arial" w:eastAsiaTheme="minorEastAsia" w:hAnsi="Arial" w:cs="Arial"/>
          <w:sz w:val="22"/>
          <w:szCs w:val="22"/>
          <w:lang w:val="es"/>
        </w:rPr>
        <w:t>.</w:t>
      </w:r>
    </w:p>
    <w:p w14:paraId="16DE4BF0" w14:textId="7CE7536E"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A-33/3.4.1</w:t>
      </w:r>
      <w:r>
        <w:rPr>
          <w:rFonts w:asciiTheme="minorBidi" w:hAnsiTheme="minorBidi" w:cstheme="minorBidi"/>
          <w:sz w:val="22"/>
          <w:szCs w:val="22"/>
          <w:lang w:val="es"/>
        </w:rPr>
        <w:t>.</w:t>
      </w:r>
    </w:p>
    <w:p w14:paraId="54925FD0" w14:textId="15C418E6" w:rsidR="0065434D" w:rsidRPr="006C41C4" w:rsidRDefault="00E03B32" w:rsidP="00547D9B">
      <w:pPr>
        <w:pStyle w:val="Heading3"/>
        <w:numPr>
          <w:ilvl w:val="2"/>
          <w:numId w:val="12"/>
        </w:numPr>
        <w:tabs>
          <w:tab w:val="clear" w:pos="709"/>
        </w:tabs>
        <w:ind w:left="851" w:hanging="851"/>
        <w:rPr>
          <w:b/>
          <w:lang w:val="es-ES"/>
        </w:rPr>
      </w:pPr>
      <w:bookmarkStart w:id="181" w:name="_Toc131777750"/>
      <w:bookmarkStart w:id="182" w:name="_Toc134002199"/>
      <w:bookmarkStart w:id="183" w:name="_Toc134002377"/>
      <w:bookmarkStart w:id="184" w:name="_Toc190766980"/>
      <w:bookmarkStart w:id="185" w:name="_Toc197955117"/>
      <w:bookmarkStart w:id="186" w:name="_Toc212133515"/>
      <w:bookmarkEnd w:id="172"/>
      <w:r>
        <w:rPr>
          <w:rFonts w:cs="Arial"/>
          <w:b/>
          <w:szCs w:val="22"/>
          <w:lang w:val="es"/>
        </w:rPr>
        <w:t xml:space="preserve">Intercambio Internacional de Datos e Información Oceanográficos: </w:t>
      </w:r>
      <w:r>
        <w:rPr>
          <w:rFonts w:cs="Arial"/>
          <w:bCs w:val="0"/>
          <w:szCs w:val="22"/>
          <w:lang w:val="es"/>
        </w:rPr>
        <w:br/>
      </w:r>
      <w:r>
        <w:rPr>
          <w:rFonts w:cs="Arial"/>
          <w:b/>
          <w:szCs w:val="22"/>
          <w:lang w:val="es"/>
        </w:rPr>
        <w:t>28ª reunión del IODE, Santa Marta, Colombia, 12-14 de marzo de 2025</w:t>
      </w:r>
      <w:bookmarkEnd w:id="181"/>
      <w:bookmarkEnd w:id="182"/>
      <w:bookmarkEnd w:id="183"/>
      <w:bookmarkEnd w:id="184"/>
      <w:bookmarkEnd w:id="185"/>
      <w:bookmarkEnd w:id="186"/>
    </w:p>
    <w:p w14:paraId="31A82B49" w14:textId="0A3CA30D" w:rsidR="00E76206" w:rsidRPr="006C41C4" w:rsidRDefault="43C22CD1"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hAnsi="Arial" w:cs="Arial"/>
          <w:sz w:val="22"/>
          <w:szCs w:val="22"/>
          <w:lang w:val="es"/>
        </w:rPr>
        <w:t>La Sra. Lotta Fyrberg y la Dra. Paula Correa Sierra, Copresidentas del IODE, presentaron este punto e informaron a la Asamblea de los resultados de la 28</w:t>
      </w:r>
      <w:r>
        <w:rPr>
          <w:rFonts w:ascii="Arial" w:hAnsi="Arial" w:cs="Arial"/>
          <w:sz w:val="22"/>
          <w:szCs w:val="22"/>
          <w:vertAlign w:val="superscript"/>
          <w:lang w:val="es"/>
        </w:rPr>
        <w:t xml:space="preserve">ª </w:t>
      </w:r>
      <w:r>
        <w:rPr>
          <w:rFonts w:ascii="Arial" w:hAnsi="Arial" w:cs="Arial"/>
          <w:sz w:val="22"/>
          <w:szCs w:val="22"/>
          <w:lang w:val="es"/>
        </w:rPr>
        <w:t>reunión del Comité sobre IODE y de la 3</w:t>
      </w:r>
      <w:r>
        <w:rPr>
          <w:rFonts w:ascii="Arial" w:hAnsi="Arial" w:cs="Arial"/>
          <w:sz w:val="22"/>
          <w:szCs w:val="22"/>
          <w:vertAlign w:val="superscript"/>
          <w:lang w:val="es"/>
        </w:rPr>
        <w:t>ª</w:t>
      </w:r>
      <w:r>
        <w:rPr>
          <w:rFonts w:ascii="Arial" w:hAnsi="Arial" w:cs="Arial"/>
          <w:sz w:val="22"/>
          <w:szCs w:val="22"/>
          <w:lang w:val="es"/>
        </w:rPr>
        <w:t xml:space="preserve"> Conferencia Internacional sobre Datos Oceanográficos (IODC-III), ambas celebradas en el Instituto de Investigaciones Marinas y Costeras (INVEMAR) en Santa Marta (Colombia).</w:t>
      </w:r>
    </w:p>
    <w:p w14:paraId="6576CCE3" w14:textId="320BF031" w:rsidR="00E76206" w:rsidRPr="006C41C4" w:rsidRDefault="7B1693A1"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lang w:val="es"/>
        </w:rPr>
        <w:t xml:space="preserve">La </w:t>
      </w:r>
      <w:hyperlink r:id="rId62" w:history="1">
        <w:r>
          <w:rPr>
            <w:rStyle w:val="Hyperlink"/>
            <w:rFonts w:ascii="Arial" w:eastAsia="Arial" w:hAnsi="Arial" w:cs="Arial"/>
            <w:sz w:val="22"/>
            <w:szCs w:val="22"/>
            <w:lang w:val="es"/>
          </w:rPr>
          <w:t>IODC-III</w:t>
        </w:r>
      </w:hyperlink>
      <w:r>
        <w:rPr>
          <w:rFonts w:ascii="Arial" w:eastAsia="Arial" w:hAnsi="Arial" w:cs="Arial"/>
          <w:sz w:val="22"/>
          <w:szCs w:val="22"/>
          <w:lang w:val="es"/>
        </w:rPr>
        <w:t xml:space="preserve"> reunió a 198 participantes, destacados expertos en datos sobre biodiversidad marina, oceanografía, tecnologías de la información y ciencia de datos, así como a expertos en gestión de ecosistemas, planificación espacial marina e incluso temas emergentes de gestión de </w:t>
      </w:r>
      <w:proofErr w:type="spellStart"/>
      <w:r>
        <w:rPr>
          <w:rFonts w:ascii="Arial" w:eastAsia="Arial" w:hAnsi="Arial" w:cs="Arial"/>
          <w:sz w:val="22"/>
          <w:szCs w:val="22"/>
          <w:lang w:val="es"/>
        </w:rPr>
        <w:t>geodatos</w:t>
      </w:r>
      <w:proofErr w:type="spellEnd"/>
      <w:r>
        <w:rPr>
          <w:rFonts w:ascii="Arial" w:eastAsia="Arial" w:hAnsi="Arial" w:cs="Arial"/>
          <w:sz w:val="22"/>
          <w:szCs w:val="22"/>
          <w:lang w:val="es"/>
        </w:rPr>
        <w:t xml:space="preserve"> y gobernanza marina en el continente antártico. </w:t>
      </w:r>
    </w:p>
    <w:p w14:paraId="24E2B5FA" w14:textId="09F61365" w:rsidR="00E76206" w:rsidRPr="006C41C4" w:rsidRDefault="1784F64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hAnsi="Arial" w:cs="Arial"/>
          <w:sz w:val="22"/>
          <w:szCs w:val="22"/>
          <w:lang w:val="es"/>
        </w:rPr>
        <w:t xml:space="preserve">La conferencia subrayó la importancia de reforzar la infraestructura de datos, mejorar la accesibilidad y fomentar la colaboración para garantizar una participación inclusiva y equitativa en el ecosistema digital mundial de los océanos. Uno de los principales objetivos de la 3ª reunión de la IODC fue mejorar la interoperabilidad y normalización de los datos para respaldar los </w:t>
      </w:r>
      <w:r>
        <w:rPr>
          <w:rFonts w:ascii="Arial" w:hAnsi="Arial" w:cs="Arial"/>
          <w:sz w:val="22"/>
          <w:szCs w:val="22"/>
          <w:lang w:val="es"/>
        </w:rPr>
        <w:lastRenderedPageBreak/>
        <w:t>principales marcos mundiales, como el Acuerdo de las Naciones Unidas sobre la Conservación y el Uso Sostenible de la Biodiversidad Marina fuera de la Jurisdicción Nacional (BBNJ) y el Marco Mundial de Biodiversidad de Kunming-Montreal (GBF). Los debates hicieron hincapié en la necesidad de principios de datos FAIR (</w:t>
      </w:r>
      <w:proofErr w:type="spellStart"/>
      <w:r>
        <w:rPr>
          <w:rFonts w:ascii="Arial" w:hAnsi="Arial" w:cs="Arial"/>
          <w:sz w:val="22"/>
          <w:szCs w:val="22"/>
          <w:lang w:val="es"/>
        </w:rPr>
        <w:t>Findable</w:t>
      </w:r>
      <w:proofErr w:type="spellEnd"/>
      <w:r>
        <w:rPr>
          <w:rFonts w:ascii="Arial" w:hAnsi="Arial" w:cs="Arial"/>
          <w:sz w:val="22"/>
          <w:szCs w:val="22"/>
          <w:lang w:val="es"/>
        </w:rPr>
        <w:t xml:space="preserve">, </w:t>
      </w:r>
      <w:proofErr w:type="spellStart"/>
      <w:r>
        <w:rPr>
          <w:rFonts w:ascii="Arial" w:hAnsi="Arial" w:cs="Arial"/>
          <w:sz w:val="22"/>
          <w:szCs w:val="22"/>
          <w:lang w:val="es"/>
        </w:rPr>
        <w:t>Accessible</w:t>
      </w:r>
      <w:proofErr w:type="spellEnd"/>
      <w:r>
        <w:rPr>
          <w:rFonts w:ascii="Arial" w:hAnsi="Arial" w:cs="Arial"/>
          <w:sz w:val="22"/>
          <w:szCs w:val="22"/>
          <w:lang w:val="es"/>
        </w:rPr>
        <w:t xml:space="preserve">, Interoperable, and </w:t>
      </w:r>
      <w:proofErr w:type="spellStart"/>
      <w:r>
        <w:rPr>
          <w:rFonts w:ascii="Arial" w:hAnsi="Arial" w:cs="Arial"/>
          <w:sz w:val="22"/>
          <w:szCs w:val="22"/>
          <w:lang w:val="es"/>
        </w:rPr>
        <w:t>ReUnited</w:t>
      </w:r>
      <w:proofErr w:type="spellEnd"/>
      <w:r>
        <w:rPr>
          <w:rFonts w:ascii="Arial" w:hAnsi="Arial" w:cs="Arial"/>
          <w:sz w:val="22"/>
          <w:szCs w:val="22"/>
          <w:lang w:val="es"/>
        </w:rPr>
        <w:t xml:space="preserve"> States of </w:t>
      </w:r>
      <w:proofErr w:type="spellStart"/>
      <w:r>
        <w:rPr>
          <w:rFonts w:ascii="Arial" w:hAnsi="Arial" w:cs="Arial"/>
          <w:sz w:val="22"/>
          <w:szCs w:val="22"/>
          <w:lang w:val="es"/>
        </w:rPr>
        <w:t>Americable</w:t>
      </w:r>
      <w:proofErr w:type="spellEnd"/>
      <w:r>
        <w:rPr>
          <w:rFonts w:ascii="Arial" w:hAnsi="Arial" w:cs="Arial"/>
          <w:sz w:val="22"/>
          <w:szCs w:val="22"/>
          <w:lang w:val="es"/>
        </w:rPr>
        <w:t>), infraestructuras sólidas y metodologías armonizadas para agilizar los esfuerzos de intercambio e integración de datos. Las tecnologías emergentes, como el ADN ambiental (</w:t>
      </w:r>
      <w:proofErr w:type="spellStart"/>
      <w:r>
        <w:rPr>
          <w:rFonts w:ascii="Arial" w:hAnsi="Arial" w:cs="Arial"/>
          <w:sz w:val="22"/>
          <w:szCs w:val="22"/>
          <w:lang w:val="es"/>
        </w:rPr>
        <w:t>eDNA</w:t>
      </w:r>
      <w:proofErr w:type="spellEnd"/>
      <w:r>
        <w:rPr>
          <w:rFonts w:ascii="Arial" w:hAnsi="Arial" w:cs="Arial"/>
          <w:sz w:val="22"/>
          <w:szCs w:val="22"/>
          <w:lang w:val="es"/>
        </w:rPr>
        <w:t>), los vehículos submarinos autónomos y las interfaces basadas en la inteligencia artificial, se consideraron revolucionarias para la vigilancia y conservación de la biodiversidad marina. Estas innovaciones facilitan la recopilación rentable de datos, mejoran las evaluaciones de la biodiversidad y apoyan la toma de decisiones para la protección marina. Sin embargo, la integración de estos nuevos flujos de datos en los repositorios existentes sigue siendo un reto que requiere una mayor coordinación y soluciones técnicas.</w:t>
      </w:r>
    </w:p>
    <w:p w14:paraId="5FCA440F" w14:textId="1A343A91" w:rsidR="00E76206" w:rsidRPr="006C41C4" w:rsidRDefault="2E28E9E6"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hAnsi="Arial" w:cs="Arial"/>
          <w:sz w:val="22"/>
          <w:szCs w:val="22"/>
          <w:lang w:val="es"/>
        </w:rPr>
        <w:t>La conferencia subrayó la necesidad de enfoques integradores de recopilación de datos, que incorporen los conocimientos locales y las iniciativas impulsadas a escala regional. Los proyectos impulsados por la comunidad y las herramientas móviles demostraron cómo la participación popular puede contribuir a los depósitos de datos marinos, mejorando los conjuntos de datos mundiales y atendiendo al mismo tiempo a las necesidades medioambientales y socioeconómicas locales. Se identificaron como prioridades clave el refuerzo de los marcos políticos, la mejora del seguimiento regional y el fomento de la colaboración entre las comunidades científicas y locales. Los esfuerzos de desarrollo de capacidades siguen siendo fundamentales para garantizar un acceso equitativo a los datos oceánicos. Las colaboraciones regionales, como las de América Latina y el Caribe, pretenden mejorar el intercambio de datos y la accesibilidad entre los diversos grupos interesados. Los programas de formación, las iniciativas de tutoría y el desarrollo de buenas prácticas favorecen la sostenibilidad a largo plazo de la gestión de datos marinos. Más allá de los avances tecnológicos, la IODC-3 reconoció el papel indispensable de las personas en la recopilación, conservación y aplicación de los datos oceánicos. Las redes de voluntarios, las iniciativas de ciencia ciudadana y la formación del personal son cruciales para mantener una información de alta calidad sobre la biodiversidad marina. Garantizar una financiación sostenible y el apoyo institucional a estos esfuerzos es esencial para mantener la integridad a largo plazo de los sistemas de datos oceánicos. La conferencia reafirmó la urgencia de construir un ecosistema oceánico digital unificado e integrador en el que converjan los conocimientos científicos, culturales, históricos y locales. Alcanzar esta visión requiere esfuerzos sostenidos de armonización de datos, alineación de políticas y cooperación internacional. Al reforzar estas bases, la comunidad científica oceánica se acerca a un futuro en el que los conocimientos sobre los océanos sean accesibles, aplicables y tengan repercusión para todos.</w:t>
      </w:r>
    </w:p>
    <w:p w14:paraId="64AFF746" w14:textId="7B01BABB" w:rsidR="00E76206" w:rsidRPr="006C41C4" w:rsidRDefault="2E28E9E6"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hAnsi="Arial" w:cs="Arial"/>
          <w:sz w:val="22"/>
          <w:szCs w:val="22"/>
          <w:lang w:val="es"/>
        </w:rPr>
        <w:t xml:space="preserve">En una sesión paralela sobre la aplicación del Sistema de Datos e Información Oceanográficos (ODIS) desde una perspectiva no técnica se formularon las siguientes recomendaciones: i) comunicar qué datos oceanográficos es útil compartir; </w:t>
      </w:r>
      <w:proofErr w:type="spellStart"/>
      <w:r>
        <w:rPr>
          <w:rFonts w:ascii="Arial" w:hAnsi="Arial" w:cs="Arial"/>
          <w:sz w:val="22"/>
          <w:szCs w:val="22"/>
          <w:lang w:val="es"/>
        </w:rPr>
        <w:t>ii</w:t>
      </w:r>
      <w:proofErr w:type="spellEnd"/>
      <w:r>
        <w:rPr>
          <w:rFonts w:ascii="Arial" w:hAnsi="Arial" w:cs="Arial"/>
          <w:sz w:val="22"/>
          <w:szCs w:val="22"/>
          <w:lang w:val="es"/>
        </w:rPr>
        <w:t xml:space="preserve">) cuando la oficina de coordinación del Decenio del Océano para el intercambio de datos oceanográficos revise el </w:t>
      </w:r>
      <w:r>
        <w:rPr>
          <w:rFonts w:ascii="Arial" w:hAnsi="Arial" w:cs="Arial"/>
          <w:i/>
          <w:iCs/>
          <w:sz w:val="22"/>
          <w:szCs w:val="22"/>
          <w:lang w:val="es"/>
        </w:rPr>
        <w:t xml:space="preserve">Data </w:t>
      </w:r>
      <w:proofErr w:type="spellStart"/>
      <w:r>
        <w:rPr>
          <w:rFonts w:ascii="Arial" w:hAnsi="Arial" w:cs="Arial"/>
          <w:i/>
          <w:iCs/>
          <w:sz w:val="22"/>
          <w:szCs w:val="22"/>
          <w:lang w:val="es"/>
        </w:rPr>
        <w:t>Publication</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Cookbook</w:t>
      </w:r>
      <w:proofErr w:type="spellEnd"/>
      <w:r>
        <w:rPr>
          <w:rFonts w:ascii="Arial" w:hAnsi="Arial" w:cs="Arial"/>
          <w:sz w:val="22"/>
          <w:szCs w:val="22"/>
          <w:lang w:val="es"/>
        </w:rPr>
        <w:t xml:space="preserve"> a finales de este año, aclarar que la recomendación es una publicación abierta y de acceso abierto; </w:t>
      </w:r>
      <w:proofErr w:type="spellStart"/>
      <w:r>
        <w:rPr>
          <w:rFonts w:ascii="Arial" w:hAnsi="Arial" w:cs="Arial"/>
          <w:sz w:val="22"/>
          <w:szCs w:val="22"/>
          <w:lang w:val="es"/>
        </w:rPr>
        <w:t>iii</w:t>
      </w:r>
      <w:proofErr w:type="spellEnd"/>
      <w:r>
        <w:rPr>
          <w:rFonts w:ascii="Arial" w:hAnsi="Arial" w:cs="Arial"/>
          <w:sz w:val="22"/>
          <w:szCs w:val="22"/>
          <w:lang w:val="es"/>
        </w:rPr>
        <w:t xml:space="preserve">) reforzar los centros nacionales de datos oceanográficos, en primer lugar dando a conocer mejor su existencia y su finalidad, así como la importancia de las actividades de gestión de datos; </w:t>
      </w:r>
      <w:proofErr w:type="spellStart"/>
      <w:r>
        <w:rPr>
          <w:rFonts w:ascii="Arial" w:hAnsi="Arial" w:cs="Arial"/>
          <w:sz w:val="22"/>
          <w:szCs w:val="22"/>
          <w:lang w:val="es"/>
        </w:rPr>
        <w:t>iv</w:t>
      </w:r>
      <w:proofErr w:type="spellEnd"/>
      <w:r>
        <w:rPr>
          <w:rFonts w:ascii="Arial" w:hAnsi="Arial" w:cs="Arial"/>
          <w:sz w:val="22"/>
          <w:szCs w:val="22"/>
          <w:lang w:val="es"/>
        </w:rPr>
        <w:t xml:space="preserve">) a medida que se elabora la arquitectura de datos de la COI (ver el punto 3.4.3), incorporando el ODIS, se recomienda la colaboración y comunicación con otras organizaciones intergubernamentales, utilizando como ejemplo la colaboración con la Organización Meteorológica Mundial; v) la oficina de coordinación del Decenio del Océano para el intercambio de datos oceanográficos y el ODIS deberían comunicarse estrechamente sobre los problemas que están teniendo las acciones del Decenio y otros organismos con la conexión a la federación del ODIS para priorizar la elaboración de sistemas y procesos; vi) la oficina de coordinación del Decenio del Océano para el intercambio de datos oceanográficos debería preparar comunicaciones para dar a conocer la existencia y la finalidad de los centros nacionales de datos oceanográficos (NODC); </w:t>
      </w:r>
      <w:proofErr w:type="spellStart"/>
      <w:r>
        <w:rPr>
          <w:rFonts w:ascii="Arial" w:hAnsi="Arial" w:cs="Arial"/>
          <w:sz w:val="22"/>
          <w:szCs w:val="22"/>
          <w:lang w:val="es"/>
        </w:rPr>
        <w:t>vii</w:t>
      </w:r>
      <w:proofErr w:type="spellEnd"/>
      <w:r>
        <w:rPr>
          <w:rFonts w:ascii="Arial" w:hAnsi="Arial" w:cs="Arial"/>
          <w:sz w:val="22"/>
          <w:szCs w:val="22"/>
          <w:lang w:val="es"/>
        </w:rPr>
        <w:t xml:space="preserve">) el Grupo de Gestión del IODE debería alentar a las oficinas regionales de la COI a comunicarse con los NODC y a </w:t>
      </w:r>
      <w:r>
        <w:rPr>
          <w:rFonts w:ascii="Arial" w:hAnsi="Arial" w:cs="Arial"/>
          <w:sz w:val="22"/>
          <w:szCs w:val="22"/>
          <w:lang w:val="es"/>
        </w:rPr>
        <w:lastRenderedPageBreak/>
        <w:t xml:space="preserve">reunirse con ellos; </w:t>
      </w:r>
      <w:proofErr w:type="spellStart"/>
      <w:r>
        <w:rPr>
          <w:rFonts w:ascii="Arial" w:hAnsi="Arial" w:cs="Arial"/>
          <w:sz w:val="22"/>
          <w:szCs w:val="22"/>
          <w:lang w:val="es"/>
        </w:rPr>
        <w:t>viii</w:t>
      </w:r>
      <w:proofErr w:type="spellEnd"/>
      <w:r>
        <w:rPr>
          <w:rFonts w:ascii="Arial" w:hAnsi="Arial" w:cs="Arial"/>
          <w:sz w:val="22"/>
          <w:szCs w:val="22"/>
          <w:lang w:val="es"/>
        </w:rPr>
        <w:t xml:space="preserve">) el Grupo de Gestión del IODE debería alentar al nuevo presidente del marco de gestión de la calidad del IODE a recordar a los NODC que el proceso de acreditación forma parte del fortalecimiento de los NODC; y </w:t>
      </w:r>
      <w:proofErr w:type="spellStart"/>
      <w:r>
        <w:rPr>
          <w:rFonts w:ascii="Arial" w:hAnsi="Arial" w:cs="Arial"/>
          <w:sz w:val="22"/>
          <w:szCs w:val="22"/>
          <w:lang w:val="es"/>
        </w:rPr>
        <w:t>ix</w:t>
      </w:r>
      <w:proofErr w:type="spellEnd"/>
      <w:r>
        <w:rPr>
          <w:rFonts w:ascii="Arial" w:hAnsi="Arial" w:cs="Arial"/>
          <w:sz w:val="22"/>
          <w:szCs w:val="22"/>
          <w:lang w:val="es"/>
        </w:rPr>
        <w:t>) elaborar una página de “enseñanzas extraídas” para el libro del ODIS con el fin de ayudar a entender las dificultades que otros han encontrado al unirse a la federación del ODIS.</w:t>
      </w:r>
    </w:p>
    <w:p w14:paraId="1F063DDB" w14:textId="3F7B3E91" w:rsidR="00E76206" w:rsidRPr="00AE71B5" w:rsidRDefault="7B1693A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es"/>
        </w:rPr>
        <w:t>La Sra. Lotta Fyrberg y la Dra. Paula Correa Sierra informaron de que asistieron 71 participantes de 24 Estados Miembros y 2 organizaciones a la reunión IODE-28. Para garantizar una participación más amplia, especialmente de los Estados Miembros del hemisferio sur, la reunión también se retransmitió en línea con la opción de enviar comentarios y preguntas por chat. 62 participantes asistieron a la retransmisión en línea.</w:t>
      </w:r>
    </w:p>
    <w:p w14:paraId="6D1A52E1" w14:textId="4052B680" w:rsidR="6A1FE0D2" w:rsidRPr="006C41C4" w:rsidRDefault="004E2E2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Comité centró su atención principalmente en los siguientes temas clave (i) la contribución del programa IODE a la ejecución de la Estrategia a Plazo Medio de la COI (2022-2029); </w:t>
      </w:r>
      <w:proofErr w:type="spellStart"/>
      <w:r>
        <w:rPr>
          <w:rFonts w:ascii="Arial" w:hAnsi="Arial" w:cs="Arial"/>
          <w:sz w:val="22"/>
          <w:szCs w:val="22"/>
          <w:lang w:val="es"/>
        </w:rPr>
        <w:t>ii</w:t>
      </w:r>
      <w:proofErr w:type="spellEnd"/>
      <w:r>
        <w:rPr>
          <w:rFonts w:ascii="Arial" w:hAnsi="Arial" w:cs="Arial"/>
          <w:sz w:val="22"/>
          <w:szCs w:val="22"/>
          <w:lang w:val="es"/>
        </w:rPr>
        <w:t xml:space="preserve">) la situación de la red IODE y el estado de salud del NODC; </w:t>
      </w:r>
      <w:proofErr w:type="spellStart"/>
      <w:r>
        <w:rPr>
          <w:rFonts w:ascii="Arial" w:hAnsi="Arial" w:cs="Arial"/>
          <w:sz w:val="22"/>
          <w:szCs w:val="22"/>
          <w:lang w:val="es"/>
        </w:rPr>
        <w:t>iii</w:t>
      </w:r>
      <w:proofErr w:type="spellEnd"/>
      <w:r>
        <w:rPr>
          <w:rFonts w:ascii="Arial" w:hAnsi="Arial" w:cs="Arial"/>
          <w:sz w:val="22"/>
          <w:szCs w:val="22"/>
          <w:lang w:val="es"/>
        </w:rPr>
        <w:t xml:space="preserve">) los avances de los componentes del programa IODE y las actividades del programa; </w:t>
      </w:r>
      <w:proofErr w:type="spellStart"/>
      <w:r>
        <w:rPr>
          <w:rFonts w:ascii="Arial" w:hAnsi="Arial" w:cs="Arial"/>
          <w:sz w:val="22"/>
          <w:szCs w:val="22"/>
          <w:lang w:val="es"/>
        </w:rPr>
        <w:t>iv</w:t>
      </w:r>
      <w:proofErr w:type="spellEnd"/>
      <w:r>
        <w:rPr>
          <w:rFonts w:ascii="Arial" w:hAnsi="Arial" w:cs="Arial"/>
          <w:sz w:val="22"/>
          <w:szCs w:val="22"/>
          <w:lang w:val="es"/>
        </w:rPr>
        <w:t xml:space="preserve">) los avances de las actividades conjuntas con los programas de la COI y otras organizaciones; v) los resultados de la tercera Conferencia Internacional sobre Datos Oceanográficos; (vi) progresos de la cooperación del IODE con el Decenio del Océano de las Naciones Unidas; </w:t>
      </w:r>
      <w:proofErr w:type="spellStart"/>
      <w:r>
        <w:rPr>
          <w:rFonts w:ascii="Arial" w:hAnsi="Arial" w:cs="Arial"/>
          <w:sz w:val="22"/>
          <w:szCs w:val="22"/>
          <w:lang w:val="es"/>
        </w:rPr>
        <w:t>vii</w:t>
      </w:r>
      <w:proofErr w:type="spellEnd"/>
      <w:r>
        <w:rPr>
          <w:rFonts w:ascii="Arial" w:hAnsi="Arial" w:cs="Arial"/>
          <w:sz w:val="22"/>
          <w:szCs w:val="22"/>
          <w:lang w:val="es"/>
        </w:rPr>
        <w:t xml:space="preserve">) fomento del intercambio de datos oceanográficos para el desarrollo sostenible en zonas de jurisdicción nacional; </w:t>
      </w:r>
      <w:proofErr w:type="spellStart"/>
      <w:r>
        <w:rPr>
          <w:rFonts w:ascii="Arial" w:hAnsi="Arial" w:cs="Arial"/>
          <w:sz w:val="22"/>
          <w:szCs w:val="22"/>
          <w:lang w:val="es"/>
        </w:rPr>
        <w:t>viii</w:t>
      </w:r>
      <w:proofErr w:type="spellEnd"/>
      <w:r>
        <w:rPr>
          <w:rFonts w:ascii="Arial" w:hAnsi="Arial" w:cs="Arial"/>
          <w:sz w:val="22"/>
          <w:szCs w:val="22"/>
          <w:lang w:val="es"/>
        </w:rPr>
        <w:t xml:space="preserve">) elaboración de la arquitectura de datos de la COI; </w:t>
      </w:r>
      <w:proofErr w:type="spellStart"/>
      <w:r>
        <w:rPr>
          <w:rFonts w:ascii="Arial" w:hAnsi="Arial" w:cs="Arial"/>
          <w:sz w:val="22"/>
          <w:szCs w:val="22"/>
          <w:lang w:val="es"/>
        </w:rPr>
        <w:t>ix</w:t>
      </w:r>
      <w:proofErr w:type="spellEnd"/>
      <w:r>
        <w:rPr>
          <w:rFonts w:ascii="Arial" w:hAnsi="Arial" w:cs="Arial"/>
          <w:sz w:val="22"/>
          <w:szCs w:val="22"/>
          <w:lang w:val="es"/>
        </w:rPr>
        <w:t>) renovación del memorando de entendimiento entre el Instituto Marino de Flandes y la COI relativo a la Oficina de Proyectos de la COI para el IODE (2027-2031); y x) plan de trabajo y presupuesto para 2025-2026.</w:t>
      </w:r>
    </w:p>
    <w:p w14:paraId="6A186A59" w14:textId="0D656051" w:rsidR="16460264" w:rsidRPr="006C41C4" w:rsidRDefault="1646026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Comité tomó nota de que el IODE contribuía a cuatro de los cinco objetivos mediante sus componentes de programa OBIS, ODIS y OTGA, pero pidió a la Secretaría que, en consulta con el Grupo de Gestión del IODE (i) determinara los indicadores clave de rendimiento pertinentes; y </w:t>
      </w:r>
      <w:proofErr w:type="spellStart"/>
      <w:r>
        <w:rPr>
          <w:rFonts w:ascii="Arial" w:hAnsi="Arial" w:cs="Arial"/>
          <w:sz w:val="22"/>
          <w:szCs w:val="22"/>
          <w:lang w:val="es"/>
        </w:rPr>
        <w:t>ii</w:t>
      </w:r>
      <w:proofErr w:type="spellEnd"/>
      <w:r>
        <w:rPr>
          <w:rFonts w:ascii="Arial" w:hAnsi="Arial" w:cs="Arial"/>
          <w:sz w:val="22"/>
          <w:szCs w:val="22"/>
          <w:lang w:val="es"/>
        </w:rPr>
        <w:t>) tomara en consideración la necesidad de colaboración con otros programas de la COI, teniendo presente el carácter transversal de la gestión y el intercambio de datos e información oceanográficos.</w:t>
      </w:r>
    </w:p>
    <w:p w14:paraId="5A8A5DC2" w14:textId="18FBDD6B" w:rsidR="2B75DAA8" w:rsidRPr="006C41C4" w:rsidRDefault="2B75DAA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Durante el periodo entre reuniones, tres Estados Miembros (Mauricio, Panamá y Egipto) (volvieron) a establecer un NODC, dos NODC se trasladaron a otras instituciones de acogida y seis organizaciones solicitaron con éxito incorporarse al IODE como Unidad de Datos Asociada al IODE. El Comité subrayó la importancia de albergar un NODC e instó a los Estados Miembros de la COI que aún no lo hayan establecido a que lo hagan para garantizar que sus datos oceánicos se compartan a escala mundial y que sus oceanógrafos nacionales tengan fácil acceso al fondo común mundial de datos oceánicos.</w:t>
      </w:r>
    </w:p>
    <w:p w14:paraId="1AE27E77" w14:textId="100E025F" w:rsidR="00671F35" w:rsidRPr="006C41C4" w:rsidRDefault="43A34C2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Sra. Lotta Fyrberg informó de que se había realizado el primer chequeo del estado de salud de la NODC utilizando criterios básicos. Esto reveló que un número considerable de NODC obtuvo una puntuación baja. Esto indica que muchos NODC requieren atención en cuanto a su participación en las actividades internacionales del IODE. Aun reconociendo que este primer chequeo requiere más ajustes, el Comité expresó su preocupación por los NODC que obtuvieron una puntuación baja. </w:t>
      </w:r>
    </w:p>
    <w:p w14:paraId="7FF9A824" w14:textId="30A5662E" w:rsidR="00E76206" w:rsidRPr="006C41C4" w:rsidRDefault="4A5E236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cuanto a la actividad de IODE/GOOS sobre Mejores Prácticas Oceánicas, el Comité, teniendo en cuenta la pertinencia del Sistema de Mejores Prácticas Oceánicas de la COI para todos los programas de la COI, pidió a los Estados Miembros de la COI que consideraran el OBPS como una actividad de toda la COI y a los programas de la COI (mundiales y regionales) que cofinanciaran el OBPS con el GOOS y el IODE (ver el punto 3.4.4). </w:t>
      </w:r>
    </w:p>
    <w:p w14:paraId="326F8C88" w14:textId="047DA366" w:rsidR="05419402" w:rsidRPr="006C41C4" w:rsidRDefault="0541940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Sra. Lotta Fyrberg informó a la Asamblea de que la cooperación con otros programas de la COI, así como con otras organizaciones, ha continuado y se ha ampliado. Esto incluye la colaboración con el Sistema de información sobre algas nocivas (HAIS), la Base de Datos Mundial sobre el Oxígeno Oceánico y Atlas (GO2DAT),  la facilitación para incluir los datos sobre </w:t>
      </w:r>
      <w:r>
        <w:rPr>
          <w:rFonts w:ascii="Arial" w:hAnsi="Arial" w:cs="Arial"/>
          <w:sz w:val="22"/>
          <w:szCs w:val="22"/>
          <w:lang w:val="es"/>
        </w:rPr>
        <w:lastRenderedPageBreak/>
        <w:t xml:space="preserve">el indicador 14.3.1 de los ODS en un portal en línea específico, el </w:t>
      </w:r>
      <w:r>
        <w:rPr>
          <w:rFonts w:ascii="Arial" w:hAnsi="Arial" w:cs="Arial"/>
          <w:i/>
          <w:iCs/>
          <w:sz w:val="22"/>
          <w:szCs w:val="22"/>
          <w:lang w:val="es"/>
        </w:rPr>
        <w:t>Informe Mundial</w:t>
      </w:r>
      <w:r>
        <w:rPr>
          <w:rFonts w:ascii="Arial" w:hAnsi="Arial" w:cs="Arial"/>
          <w:sz w:val="22"/>
          <w:szCs w:val="22"/>
          <w:lang w:val="es"/>
        </w:rPr>
        <w:t xml:space="preserve"> </w:t>
      </w:r>
      <w:r>
        <w:rPr>
          <w:rFonts w:ascii="Arial" w:hAnsi="Arial" w:cs="Arial"/>
          <w:i/>
          <w:iCs/>
          <w:sz w:val="22"/>
          <w:szCs w:val="22"/>
          <w:lang w:val="es"/>
        </w:rPr>
        <w:t xml:space="preserve">sobre las Ciencias Oceánicas </w:t>
      </w:r>
      <w:r>
        <w:rPr>
          <w:rFonts w:ascii="Arial" w:hAnsi="Arial" w:cs="Arial"/>
          <w:sz w:val="22"/>
          <w:szCs w:val="22"/>
          <w:lang w:val="es"/>
        </w:rPr>
        <w:t>UNESCO-COI</w:t>
      </w:r>
      <w:r>
        <w:rPr>
          <w:rFonts w:ascii="Arial" w:hAnsi="Arial" w:cs="Arial"/>
          <w:i/>
          <w:iCs/>
          <w:sz w:val="22"/>
          <w:szCs w:val="22"/>
          <w:lang w:val="es"/>
        </w:rPr>
        <w:t xml:space="preserve"> </w:t>
      </w:r>
      <w:r>
        <w:rPr>
          <w:rFonts w:ascii="Arial" w:hAnsi="Arial" w:cs="Arial"/>
          <w:sz w:val="22"/>
          <w:szCs w:val="22"/>
          <w:lang w:val="es"/>
        </w:rPr>
        <w:t xml:space="preserve">(GOSR), el </w:t>
      </w:r>
      <w:r>
        <w:rPr>
          <w:rFonts w:ascii="Arial" w:hAnsi="Arial" w:cs="Arial"/>
          <w:i/>
          <w:iCs/>
          <w:sz w:val="22"/>
          <w:szCs w:val="22"/>
          <w:lang w:val="es"/>
        </w:rPr>
        <w:t>Informe</w:t>
      </w:r>
      <w:r>
        <w:rPr>
          <w:rFonts w:ascii="Arial" w:hAnsi="Arial" w:cs="Arial"/>
          <w:sz w:val="22"/>
          <w:szCs w:val="22"/>
          <w:lang w:val="es"/>
        </w:rPr>
        <w:t xml:space="preserve"> </w:t>
      </w:r>
      <w:r>
        <w:rPr>
          <w:rFonts w:ascii="Arial" w:hAnsi="Arial" w:cs="Arial"/>
          <w:i/>
          <w:iCs/>
          <w:sz w:val="22"/>
          <w:szCs w:val="22"/>
          <w:lang w:val="es"/>
        </w:rPr>
        <w:t>sobre</w:t>
      </w:r>
      <w:r>
        <w:rPr>
          <w:rFonts w:ascii="Arial" w:hAnsi="Arial" w:cs="Arial"/>
          <w:sz w:val="22"/>
          <w:szCs w:val="22"/>
          <w:lang w:val="es"/>
        </w:rPr>
        <w:t xml:space="preserve"> </w:t>
      </w:r>
      <w:r>
        <w:rPr>
          <w:rFonts w:ascii="Arial" w:hAnsi="Arial" w:cs="Arial"/>
          <w:i/>
          <w:iCs/>
          <w:sz w:val="22"/>
          <w:szCs w:val="22"/>
          <w:lang w:val="es"/>
        </w:rPr>
        <w:t>el Estado de los Océanos</w:t>
      </w:r>
      <w:r>
        <w:rPr>
          <w:rFonts w:ascii="Arial" w:hAnsi="Arial" w:cs="Arial"/>
          <w:sz w:val="22"/>
          <w:szCs w:val="22"/>
          <w:lang w:val="es"/>
        </w:rPr>
        <w:t xml:space="preserve"> (</w:t>
      </w:r>
      <w:proofErr w:type="spellStart"/>
      <w:r>
        <w:rPr>
          <w:rFonts w:ascii="Arial" w:hAnsi="Arial" w:cs="Arial"/>
          <w:sz w:val="22"/>
          <w:szCs w:val="22"/>
          <w:lang w:val="es"/>
        </w:rPr>
        <w:t>StOR</w:t>
      </w:r>
      <w:proofErr w:type="spellEnd"/>
      <w:r>
        <w:rPr>
          <w:rFonts w:ascii="Arial" w:hAnsi="Arial" w:cs="Arial"/>
          <w:sz w:val="22"/>
          <w:szCs w:val="22"/>
          <w:lang w:val="es"/>
        </w:rPr>
        <w:t xml:space="preserve">) de la COI, la aplicación con el GOOS del Sistema de Mejores Prácticas Oceánicas (OBPS), la cooperación con todos los programas de la COI sobre la Arquitectura de Datos de la COI, la cooperación con la Sección de la COI sobre Resiliencia a los Tsunamis en la elaboración de materiales didácticos en línea por conducto de la OTGA, la cooperación con la Sección de Políticas Marinas y Coordinación Regional de la COI en la elaboración de un curso de formación en línea </w:t>
      </w:r>
      <w:proofErr w:type="spellStart"/>
      <w:r>
        <w:rPr>
          <w:rFonts w:ascii="Arial" w:hAnsi="Arial" w:cs="Arial"/>
          <w:sz w:val="22"/>
          <w:szCs w:val="22"/>
          <w:lang w:val="es"/>
        </w:rPr>
        <w:t>MSPglobal</w:t>
      </w:r>
      <w:proofErr w:type="spellEnd"/>
      <w:r>
        <w:rPr>
          <w:rFonts w:ascii="Arial" w:hAnsi="Arial" w:cs="Arial"/>
          <w:sz w:val="22"/>
          <w:szCs w:val="22"/>
          <w:lang w:val="es"/>
        </w:rPr>
        <w:t xml:space="preserve"> en el marco de la OTGA.  </w:t>
      </w:r>
    </w:p>
    <w:p w14:paraId="3EA208F1" w14:textId="62F22BF6" w:rsidR="05419402" w:rsidRPr="006C41C4" w:rsidRDefault="0541940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Sra. Lotta Fyrberg informó además de que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de la COI comunicó al Comité que, tras la jubilación del Sr. Peter Pissierssens el 31 de mayo de 2025, la Sra. Joanna Post, </w:t>
      </w:r>
      <w:proofErr w:type="gramStart"/>
      <w:r>
        <w:rPr>
          <w:rFonts w:ascii="Arial" w:hAnsi="Arial" w:cs="Arial"/>
          <w:sz w:val="22"/>
          <w:szCs w:val="22"/>
          <w:lang w:val="es"/>
        </w:rPr>
        <w:t>Jefa</w:t>
      </w:r>
      <w:proofErr w:type="gramEnd"/>
      <w:r>
        <w:rPr>
          <w:rFonts w:ascii="Arial" w:hAnsi="Arial" w:cs="Arial"/>
          <w:sz w:val="22"/>
          <w:szCs w:val="22"/>
          <w:lang w:val="es"/>
        </w:rPr>
        <w:t xml:space="preserve"> de la Sección de Observaciones y Servicios Oceánicos, le sustituirá en funciones. El Comité insistió en la urgente necesidad de establecer lo antes posible una solución permanente para la sustitución del </w:t>
      </w:r>
      <w:proofErr w:type="gramStart"/>
      <w:r>
        <w:rPr>
          <w:rFonts w:ascii="Arial" w:hAnsi="Arial" w:cs="Arial"/>
          <w:sz w:val="22"/>
          <w:szCs w:val="22"/>
          <w:lang w:val="es"/>
        </w:rPr>
        <w:t>Jefe</w:t>
      </w:r>
      <w:proofErr w:type="gramEnd"/>
      <w:r>
        <w:rPr>
          <w:rFonts w:ascii="Arial" w:hAnsi="Arial" w:cs="Arial"/>
          <w:sz w:val="22"/>
          <w:szCs w:val="22"/>
          <w:lang w:val="es"/>
        </w:rPr>
        <w:t xml:space="preserve"> de la Oficina de Proyectos del IODE. También destacó la importancia de contratar a un gestor de datos OBIS en el marco del programa ordinario, relanzando una convocatoria antes de finales de 2025, y de crear un puesto de apoyo administrativo más estable para el IODE.</w:t>
      </w:r>
    </w:p>
    <w:p w14:paraId="4F7F94F4" w14:textId="15E10997" w:rsidR="0C380324" w:rsidRPr="006C41C4" w:rsidRDefault="0C38032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el plano regional, el IODE también prosiguió y amplió la cooperación con IOCAFRICA (OIH/ODIS, realización del curso OTGA, apoyo a ECOPS), IOCARIBE (OIH/ODIS, realización del curso OTGA), y se está iniciando la cooperación con IOCINDIO. </w:t>
      </w:r>
    </w:p>
    <w:p w14:paraId="272295A5" w14:textId="7F8D6723" w:rsidR="1BA2B948" w:rsidRPr="006C41C4" w:rsidRDefault="1BA2B94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En cuanto a la cooperación del IODE con el Decenio del Océano de las Naciones Unidas, la Sra. Lotta Fyrberg informó de que especialmente la colaboración con la Oficina de Coordinación del Decenio (DCO) para el Intercambio de Datos Oceanográficos (ODS) ha progresado satisfactoriamente: establecida en junio de 2023 y albergada por la Oficina de Proyectos de la COI para el IODE, la DCO-ODS actúa como subunidad de la Unidad central de Coordinación del Decenio de la COI para catalizar y coordinar las Acciones del Decenio que entran en su ámbito de aplicación, ayudar a los actores del Decenio con los desafíos y oportunidades en materia de datos e información, promover la cooperación entre los socios de las Naciones Unidas y los Estados Miembros, supervisar los progresos, comunicar los logros y movilizar recursos. A lo largo del primer año de la misión inicial (junio de 2023-junio de 2024), el DCO-ODS desempeñó un papel central en la creación y consolidación de relaciones comunitarias en el ecosistema del Océano Digital del Decenio, dentro de las entidades del Decenio y entre ellas, así como con expertos más amplios en la materia. A través de las interacciones con las Acciones del Decenio y de una encuesta específica a las partes interesadas, la UCD, el IODE y la OCD-ODS adquirieron un conocimiento más profundo de las actividades y necesidades de las Acciones del Decenio en materia de recopilación, gestión y puesta en común de datos, con el fin de informar las actividades y acciones futuras. Debido a problemas de financiación, el DCO-ODS tuvo que interrumpir sus actividades durante aproximadamente siete meses. Se ha preparado un plan de trabajo detallado para 2025-2026 que incluye: (i) una estrecha colaboración con la Oficina de Proyectos del IODE y la comunidad del IODE en general, ya que los objetivos tanto del OCD-ODS como del IODE son comunes y complementarios; (</w:t>
      </w:r>
      <w:proofErr w:type="spellStart"/>
      <w:r>
        <w:rPr>
          <w:rFonts w:ascii="Arial" w:hAnsi="Arial" w:cs="Arial"/>
          <w:sz w:val="22"/>
          <w:szCs w:val="22"/>
          <w:lang w:val="es"/>
        </w:rPr>
        <w:t>ii</w:t>
      </w:r>
      <w:proofErr w:type="spellEnd"/>
      <w:r>
        <w:rPr>
          <w:rFonts w:ascii="Arial" w:hAnsi="Arial" w:cs="Arial"/>
          <w:sz w:val="22"/>
          <w:szCs w:val="22"/>
          <w:lang w:val="es"/>
        </w:rPr>
        <w:t>) el OCD-ODS también trabajará en estrecha colaboración con otros Centros de Colaboración y Oficinas de Coordinación del Decenio, con referencia a la OCD de Observación Oceánica y al CCD de Predicción Oceánica, para impulsar la visión compartida de un ecosistema oceánico digital del Decenio.</w:t>
      </w:r>
    </w:p>
    <w:p w14:paraId="6718D54B" w14:textId="3585612E" w:rsidR="77224425" w:rsidRPr="006C41C4" w:rsidRDefault="7722442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DCO-ODS está trabajando estrechamente con el Grupo de Datos Corporativos del Decenio del Océano de las Naciones Unidas para promover el intercambio de datos oceánicos de la industria privada, donde los datos han estado tradicionalmente aislados e inaccesibles, y se preparó una propuesta para promover el uso de la </w:t>
      </w:r>
      <w:r>
        <w:rPr>
          <w:rFonts w:ascii="Arial" w:hAnsi="Arial" w:cs="Arial"/>
          <w:i/>
          <w:iCs/>
          <w:sz w:val="22"/>
          <w:szCs w:val="22"/>
          <w:lang w:val="es"/>
        </w:rPr>
        <w:t>Política de Datos y Condiciones de Uso de la COI (2023)</w:t>
      </w:r>
      <w:r>
        <w:rPr>
          <w:rFonts w:ascii="Arial" w:hAnsi="Arial" w:cs="Arial"/>
          <w:sz w:val="22"/>
          <w:szCs w:val="22"/>
          <w:lang w:val="es"/>
        </w:rPr>
        <w:t xml:space="preserve">, en particular en la concesión de licencias y permisos para la actividad comercial que genera datos dentro de la jurisdicción nacional. Insta a los Estados Miembros a que reconozcan que las prácticas de intercambio de datos fortalecerán la capacidad colectiva de todos para cumplir los objetivos del Decenio del Océano de las Naciones Unidas y abordar el </w:t>
      </w:r>
      <w:r>
        <w:rPr>
          <w:rFonts w:ascii="Arial" w:hAnsi="Arial" w:cs="Arial"/>
          <w:sz w:val="22"/>
          <w:szCs w:val="22"/>
          <w:lang w:val="es"/>
        </w:rPr>
        <w:lastRenderedPageBreak/>
        <w:t xml:space="preserve">Objetivo de Desarrollo Sostenible 14 de las Naciones Unidas, e insta a los Estados Miembros a que colaboren con la industria, la investigación y las partes interesadas en la infraestructura de datos para normalizar las prácticas de intercambio de datos oceánicos mediante el establecimiento de políticas, reglamentos y permisos nacionales de intercambio de datos para todas las actividades relacionadas con los océanos que se lleven a cabo en sus aguas territoriales y zonas económicas exclusivas, incluso mediante la inclusión de las disposiciones de la </w:t>
      </w:r>
      <w:r>
        <w:rPr>
          <w:rFonts w:ascii="Arial" w:hAnsi="Arial" w:cs="Arial"/>
          <w:i/>
          <w:iCs/>
          <w:sz w:val="22"/>
          <w:szCs w:val="22"/>
          <w:lang w:val="es"/>
        </w:rPr>
        <w:t>Política de Datos y Condiciones de Uso de la COI</w:t>
      </w:r>
      <w:r>
        <w:rPr>
          <w:rFonts w:ascii="Arial" w:hAnsi="Arial" w:cs="Arial"/>
          <w:sz w:val="22"/>
          <w:szCs w:val="22"/>
          <w:lang w:val="es"/>
        </w:rPr>
        <w:t xml:space="preserve"> en la concesión de licencias y permisos dentro de sus jurisdicciones. El Comité adoptó la Recomendación IODE-28/6.2.5 (Promover el intercambio de datos oceanográficos para el desarrollo sostenible en zonas de jurisdicción nacional). </w:t>
      </w:r>
    </w:p>
    <w:p w14:paraId="73AEACBA" w14:textId="05D72065" w:rsidR="5922897E" w:rsidRPr="006C41C4" w:rsidRDefault="592289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cuanto al Memorando de entendimiento entre el Instituto Marino de Flandes y la COI relativo a la Oficina de Proyectos de la COI para el IODE, la Sra. Lotta Fyrberg y la Dra. Paula Correa Sierra señalaron que una "revisión interna" es un requisito incluido en el Memorando de entendimiento entre el Instituto Marino de Flandes (VLIZ) y la COI. Dado que el acuerdo actual expirará el 31 de diciembre de 2026 y teniendo en cuenta que la Asamblea de la COI debe solicitar una renovación, se decidió llevar a cabo la revisión del acuerdo actual antes de IODE-28 para su consideración por esta Asamblea. </w:t>
      </w:r>
    </w:p>
    <w:p w14:paraId="1A2C5616" w14:textId="6EBAA3B2" w:rsidR="282C1B9B" w:rsidRPr="006C41C4" w:rsidRDefault="282C1B9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Dra. Lesley </w:t>
      </w:r>
      <w:proofErr w:type="spellStart"/>
      <w:r>
        <w:rPr>
          <w:rFonts w:ascii="Arial" w:hAnsi="Arial" w:cs="Arial"/>
          <w:sz w:val="22"/>
          <w:szCs w:val="22"/>
          <w:lang w:val="es"/>
        </w:rPr>
        <w:t>Rickards</w:t>
      </w:r>
      <w:proofErr w:type="spellEnd"/>
      <w:r>
        <w:rPr>
          <w:rFonts w:ascii="Arial" w:hAnsi="Arial" w:cs="Arial"/>
          <w:sz w:val="22"/>
          <w:szCs w:val="22"/>
          <w:lang w:val="es"/>
        </w:rPr>
        <w:t xml:space="preserve"> y el Sr. Taco De Bruin han aceptado amablemente llevar a cabo la revisión. El examen concluyó que la Oficina de Proyectos desempeña un papel esencial dentro y fuera del ecosistema de datos de la COI a través de OBIS, ODIS y OTGA, y funciona con gran eficiencia. Basándose en los resultados expuestos en el informe de la revisión de la Oficina de Proyectos, los revisores identificaron una serie de áreas que la Oficina de Proyectos del IODE debería considerar en el futuro (el texto completo de las conclusiones y recomendaciones está disponible en el informe de la revisión: </w:t>
      </w:r>
      <w:hyperlink r:id="rId63">
        <w:r>
          <w:rPr>
            <w:rStyle w:val="Hyperlink"/>
            <w:rFonts w:ascii="Arial" w:hAnsi="Arial"/>
            <w:sz w:val="20"/>
            <w:lang w:val="es"/>
          </w:rPr>
          <w:t>https://oceanexpert.org/document/35719</w:t>
        </w:r>
      </w:hyperlink>
      <w:r>
        <w:rPr>
          <w:rFonts w:ascii="Arial" w:hAnsi="Arial" w:cs="Arial"/>
          <w:sz w:val="22"/>
          <w:szCs w:val="22"/>
          <w:lang w:val="es"/>
        </w:rPr>
        <w:t xml:space="preserve">)). </w:t>
      </w:r>
    </w:p>
    <w:p w14:paraId="73C9C91C" w14:textId="0926D8C8" w:rsidR="282C1B9B" w:rsidRPr="006C41C4" w:rsidRDefault="282C1B9B"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Comité expresó su gran reconocimiento al Gobierno de Flandes (Reino de Bélgica) y al Instituto Marino de Flandes (VLIZ) por el apoyo a largo plazo prestado a la Oficina de Proyectos de la COI para el IODE, destacando que la oficina ha sido crucial para el crecimiento y el éxito constantes del Programa IODE y de la COI en general. El Comité pidió a la Asamblea de la COI que invitara al Gobierno de Flandes a seguir prestando apoyo a la Oficina de Proyectos de la COI para el IODE e invitó a otros Estados Miembros a complementar ese apoyo para permitir un mayor desarrollo del IODE, sus actividades, productos y servicios. </w:t>
      </w:r>
    </w:p>
    <w:p w14:paraId="6EA36925" w14:textId="32572089" w:rsidR="00842073" w:rsidRPr="006C41C4" w:rsidRDefault="54CC8AB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20 Estados Miembros. </w:t>
      </w:r>
    </w:p>
    <w:p w14:paraId="16C47788" w14:textId="5D771CD7" w:rsidR="00370D0B" w:rsidRPr="006C41C4"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expresó su amplio y constante apoyo al IODE y sus componentes básicos -OBIS, ODIS y OTGA- reconociendo que el IODE es un programa emblemático de la COI esencial para el intercambio mundial de datos oceanográficos, la mejora de la interoperabilidad y la adhesión a los principios FAIR y CARE. Se </w:t>
      </w:r>
      <w:proofErr w:type="gramStart"/>
      <w:r>
        <w:rPr>
          <w:rFonts w:ascii="Arial" w:hAnsi="Arial" w:cs="Arial"/>
          <w:sz w:val="22"/>
          <w:szCs w:val="22"/>
          <w:lang w:val="es"/>
        </w:rPr>
        <w:t>hizo especial hincapié</w:t>
      </w:r>
      <w:proofErr w:type="gramEnd"/>
      <w:r>
        <w:rPr>
          <w:rFonts w:ascii="Arial" w:hAnsi="Arial" w:cs="Arial"/>
          <w:sz w:val="22"/>
          <w:szCs w:val="22"/>
          <w:lang w:val="es"/>
        </w:rPr>
        <w:t xml:space="preserve"> en el papel del programa en el avance de las ciencias oceánicas, la elaboración de políticas y el apoyo al Decenio del Océano de las Naciones Unidas.</w:t>
      </w:r>
    </w:p>
    <w:p w14:paraId="0A2A5595" w14:textId="53D15D8D" w:rsidR="00370D0B" w:rsidRPr="006C41C4"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Se expresó un amplio reconocimiento al Gobierno de Flandes (Reino de Bélgica) por acoger y apoyar la Oficina de Proyectos de la COI para el IODE. La Asamblea instó a renovar el Memorando de entendimiento con Flandes en 2026. Los representantes de los Estados Miembros rindieron homenaje al Sr. Peter Pissierssens por su destacado liderazgo y su prolongado servicio como </w:t>
      </w:r>
      <w:proofErr w:type="gramStart"/>
      <w:r>
        <w:rPr>
          <w:rFonts w:ascii="Arial" w:hAnsi="Arial" w:cs="Arial"/>
          <w:sz w:val="22"/>
          <w:szCs w:val="22"/>
          <w:lang w:val="es"/>
        </w:rPr>
        <w:t>Jefe</w:t>
      </w:r>
      <w:proofErr w:type="gramEnd"/>
      <w:r>
        <w:rPr>
          <w:rFonts w:ascii="Arial" w:hAnsi="Arial" w:cs="Arial"/>
          <w:sz w:val="22"/>
          <w:szCs w:val="22"/>
          <w:lang w:val="es"/>
        </w:rPr>
        <w:t xml:space="preserve"> de la Oficina del IODE, y le expresaron sus mejores deseos para su jubilación. </w:t>
      </w:r>
    </w:p>
    <w:p w14:paraId="1521D8F3" w14:textId="087C3A8A" w:rsidR="00370D0B" w:rsidRPr="006C41C4"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Varios Estados Miembros reiteraron su compromiso con el IODE a través de sus NODC, ADU, nodos OBIS y centros regionales OTGA, y algunos expresaron su intención de profundizar en su compromiso.</w:t>
      </w:r>
    </w:p>
    <w:p w14:paraId="4E8C8F02" w14:textId="48326ECA" w:rsidR="00370D0B" w:rsidRPr="006C41C4"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lastRenderedPageBreak/>
        <w:t>El acceso a los datos oceánicos se consideró preocupante, sobre todo por el desequilibrio entre el intercambio de datos entre el sector público y el privado. Los Estados Miembros apoyaron los esfuerzos para abordar esta cuestión mediante medidas reguladoras, al tiempo que reconocieron que las complejas implicaciones jurídicas y económicas, incluidos los derechos sobre los datos y la distribución equitativa de los beneficios, merecen un estudio más detallado.</w:t>
      </w:r>
    </w:p>
    <w:p w14:paraId="01572A6E" w14:textId="665803C6" w:rsidR="00370D0B" w:rsidRPr="006C41C4"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Estados Miembros señalaron la necesidad de cubrir los puestos de </w:t>
      </w:r>
      <w:proofErr w:type="gramStart"/>
      <w:r>
        <w:rPr>
          <w:rFonts w:ascii="Arial" w:hAnsi="Arial" w:cs="Arial"/>
          <w:sz w:val="22"/>
          <w:szCs w:val="22"/>
          <w:lang w:val="es"/>
        </w:rPr>
        <w:t>Jefe</w:t>
      </w:r>
      <w:proofErr w:type="gramEnd"/>
      <w:r>
        <w:rPr>
          <w:rFonts w:ascii="Arial" w:hAnsi="Arial" w:cs="Arial"/>
          <w:sz w:val="22"/>
          <w:szCs w:val="22"/>
          <w:lang w:val="es"/>
        </w:rPr>
        <w:t xml:space="preserve"> de la Oficina de Proyectos de la COI para el IODE y de Gestor de Datos del OBIS (P-3) para garantizar la eficacia y la coordinación estratégica permanentes del programa.</w:t>
      </w:r>
    </w:p>
    <w:p w14:paraId="08036441" w14:textId="77777777" w:rsidR="00370D0B" w:rsidRPr="006C41C4"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Varias intervenciones reconocieron el aumento de la colaboración entre el IODE y el GOOS, así como el papel potencial del OBIS como plataforma de datos para el mecanismo de intercambio de información del Acuerdo BBNJ. Los Estados Miembros subrayaron la creciente importancia del IODE en la gobernanza mundial de los océanos.</w:t>
      </w:r>
    </w:p>
    <w:p w14:paraId="0529BE20" w14:textId="77777777" w:rsidR="00370D0B" w:rsidRPr="006C41C4"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 Asamblea acogió favorablemente las propuestas de creación de grupos de trabajo entre reuniones, incluido un mecanismo de respuesta rápida para abordar los nuevos problemas relacionados con los datos oceánicos, sugiriendo convocatorias abiertas para la participación de los Estados Miembros a través de una circular; y un grupo de trabajo sobre el intercambio de datos oceánicos dentro de las jurisdicciones nacionales, para explorar vías prácticas y jurídicas para mejorar el acceso.</w:t>
      </w:r>
    </w:p>
    <w:p w14:paraId="2AEC9B6F" w14:textId="6FBDF8AF" w:rsidR="001B6A30" w:rsidRPr="006C41C4" w:rsidRDefault="001B6A3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 Federación Rusa hizo la siguiente declaración: "En vista de su legislación nacional, la Federación Rusa no se adherirá al párrafo 18 de la Decisión A-33/3.4.2"</w:t>
      </w:r>
    </w:p>
    <w:p w14:paraId="71592CC5" w14:textId="5388043B" w:rsidR="00370D0B" w:rsidRPr="006C41C4" w:rsidRDefault="00370D0B" w:rsidP="00B21807">
      <w:pPr>
        <w:pStyle w:val="ListParagraph1"/>
        <w:widowControl/>
        <w:numPr>
          <w:ilvl w:val="0"/>
          <w:numId w:val="8"/>
        </w:numPr>
        <w:tabs>
          <w:tab w:val="left" w:pos="851"/>
        </w:tabs>
        <w:snapToGrid w:val="0"/>
        <w:spacing w:after="240"/>
        <w:ind w:left="0" w:firstLine="0"/>
        <w:contextualSpacing w:val="0"/>
        <w:rPr>
          <w:rFonts w:ascii="Arial" w:hAnsi="Arial"/>
          <w:sz w:val="22"/>
          <w:lang w:val="es-ES"/>
        </w:rPr>
      </w:pPr>
      <w:r>
        <w:rPr>
          <w:rFonts w:ascii="Arial" w:hAnsi="Arial" w:cs="Arial"/>
          <w:sz w:val="22"/>
          <w:szCs w:val="22"/>
          <w:lang w:val="es"/>
        </w:rPr>
        <w:t xml:space="preserve">Los siguientes Estados Miembros han optado por dejar constancia de su intervención en el pleno sobre este punto del orden del día para el anexo informativo del informe de la reunión: </w:t>
      </w:r>
      <w:hyperlink w:anchor="arg342" w:history="1">
        <w:r>
          <w:rPr>
            <w:rStyle w:val="Hyperlink"/>
            <w:rFonts w:ascii="Arial" w:hAnsi="Arial" w:cs="Arial"/>
            <w:sz w:val="22"/>
            <w:szCs w:val="22"/>
            <w:lang w:val="es"/>
          </w:rPr>
          <w:t>Argentina</w:t>
        </w:r>
      </w:hyperlink>
      <w:r>
        <w:rPr>
          <w:rFonts w:ascii="Arial" w:hAnsi="Arial" w:cs="Arial"/>
          <w:sz w:val="22"/>
          <w:szCs w:val="22"/>
          <w:lang w:val="es"/>
        </w:rPr>
        <w:t xml:space="preserve">, </w:t>
      </w:r>
      <w:hyperlink w:anchor="can342" w:history="1">
        <w:r>
          <w:rPr>
            <w:rStyle w:val="Hyperlink"/>
            <w:rFonts w:ascii="Arial" w:hAnsi="Arial" w:cs="Arial"/>
            <w:sz w:val="22"/>
            <w:szCs w:val="22"/>
            <w:lang w:val="es"/>
          </w:rPr>
          <w:t>Canadá</w:t>
        </w:r>
      </w:hyperlink>
      <w:r>
        <w:rPr>
          <w:rFonts w:ascii="Arial" w:hAnsi="Arial" w:cs="Arial"/>
          <w:sz w:val="22"/>
          <w:szCs w:val="22"/>
          <w:lang w:val="es"/>
        </w:rPr>
        <w:t xml:space="preserve">, </w:t>
      </w:r>
      <w:hyperlink w:anchor="chil342" w:history="1">
        <w:r>
          <w:rPr>
            <w:rStyle w:val="Hyperlink"/>
            <w:rFonts w:ascii="Arial" w:hAnsi="Arial" w:cs="Arial"/>
            <w:sz w:val="22"/>
            <w:szCs w:val="22"/>
            <w:lang w:val="es"/>
          </w:rPr>
          <w:t>Chile</w:t>
        </w:r>
      </w:hyperlink>
      <w:r>
        <w:rPr>
          <w:rFonts w:ascii="Arial" w:hAnsi="Arial" w:cs="Arial"/>
          <w:sz w:val="22"/>
          <w:szCs w:val="22"/>
          <w:lang w:val="es"/>
        </w:rPr>
        <w:t xml:space="preserve">, </w:t>
      </w:r>
      <w:hyperlink w:anchor="china342"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col342" w:history="1">
        <w:r>
          <w:rPr>
            <w:rStyle w:val="Hyperlink"/>
            <w:rFonts w:ascii="Arial" w:hAnsi="Arial" w:cs="Arial"/>
            <w:sz w:val="22"/>
            <w:szCs w:val="22"/>
            <w:lang w:val="es"/>
          </w:rPr>
          <w:t>Colombia</w:t>
        </w:r>
      </w:hyperlink>
      <w:r>
        <w:rPr>
          <w:rFonts w:ascii="Arial" w:hAnsi="Arial" w:cs="Arial"/>
          <w:sz w:val="22"/>
          <w:szCs w:val="22"/>
          <w:lang w:val="es"/>
        </w:rPr>
        <w:t xml:space="preserve">, </w:t>
      </w:r>
      <w:hyperlink w:anchor="fra342" w:history="1">
        <w:r>
          <w:rPr>
            <w:rStyle w:val="Hyperlink"/>
            <w:rFonts w:ascii="Arial" w:hAnsi="Arial" w:cs="Arial"/>
            <w:sz w:val="22"/>
            <w:szCs w:val="22"/>
            <w:lang w:val="es"/>
          </w:rPr>
          <w:t>Francia</w:t>
        </w:r>
      </w:hyperlink>
      <w:r>
        <w:rPr>
          <w:rFonts w:ascii="Arial" w:hAnsi="Arial" w:cs="Arial"/>
          <w:sz w:val="22"/>
          <w:szCs w:val="22"/>
          <w:lang w:val="es"/>
        </w:rPr>
        <w:t xml:space="preserve">, </w:t>
      </w:r>
      <w:hyperlink w:anchor="india342" w:history="1">
        <w:r>
          <w:rPr>
            <w:rStyle w:val="Hyperlink"/>
            <w:rFonts w:ascii="Arial" w:hAnsi="Arial" w:cs="Arial"/>
            <w:sz w:val="22"/>
            <w:szCs w:val="22"/>
            <w:lang w:val="es"/>
          </w:rPr>
          <w:t>India</w:t>
        </w:r>
      </w:hyperlink>
      <w:r>
        <w:rPr>
          <w:rFonts w:ascii="Arial" w:hAnsi="Arial" w:cs="Arial"/>
          <w:sz w:val="22"/>
          <w:szCs w:val="22"/>
          <w:lang w:val="es"/>
        </w:rPr>
        <w:t xml:space="preserve">, </w:t>
      </w:r>
      <w:hyperlink w:anchor="jap342"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uk342" w:history="1">
        <w:r>
          <w:rPr>
            <w:rStyle w:val="Hyperlink"/>
            <w:rFonts w:ascii="Arial" w:hAnsi="Arial" w:cs="Arial"/>
            <w:sz w:val="22"/>
            <w:szCs w:val="22"/>
            <w:lang w:val="es"/>
          </w:rPr>
          <w:t>Reino de los Países Bajos</w:t>
        </w:r>
      </w:hyperlink>
      <w:r>
        <w:rPr>
          <w:rFonts w:ascii="Arial" w:hAnsi="Arial" w:cs="Arial"/>
          <w:sz w:val="22"/>
          <w:szCs w:val="22"/>
          <w:lang w:val="es"/>
        </w:rPr>
        <w:t xml:space="preserve">, </w:t>
      </w:r>
      <w:hyperlink w:anchor="malay342" w:history="1">
        <w:r>
          <w:rPr>
            <w:rStyle w:val="Hyperlink"/>
            <w:rFonts w:ascii="Arial" w:hAnsi="Arial" w:cs="Arial"/>
            <w:sz w:val="22"/>
            <w:szCs w:val="22"/>
            <w:lang w:val="es"/>
          </w:rPr>
          <w:t>Malasia</w:t>
        </w:r>
      </w:hyperlink>
      <w:r>
        <w:rPr>
          <w:rFonts w:ascii="Arial" w:hAnsi="Arial" w:cs="Arial"/>
          <w:sz w:val="22"/>
          <w:szCs w:val="22"/>
          <w:lang w:val="es"/>
        </w:rPr>
        <w:t xml:space="preserve">, </w:t>
      </w:r>
      <w:hyperlink w:anchor="rus342"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pa342"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thai342" w:history="1">
        <w:r>
          <w:rPr>
            <w:rStyle w:val="Hyperlink"/>
            <w:rFonts w:ascii="Arial" w:hAnsi="Arial" w:cs="Arial"/>
            <w:sz w:val="22"/>
            <w:szCs w:val="22"/>
            <w:lang w:val="es"/>
          </w:rPr>
          <w:t>Tailandia</w:t>
        </w:r>
      </w:hyperlink>
      <w:r>
        <w:rPr>
          <w:rFonts w:ascii="Arial" w:hAnsi="Arial" w:cs="Arial"/>
          <w:sz w:val="22"/>
          <w:szCs w:val="22"/>
          <w:lang w:val="es"/>
        </w:rPr>
        <w:t xml:space="preserve">, </w:t>
      </w:r>
      <w:hyperlink w:anchor="uk342" w:history="1">
        <w:r>
          <w:rPr>
            <w:rStyle w:val="Hyperlink"/>
            <w:rFonts w:ascii="Arial" w:hAnsi="Arial" w:cs="Arial"/>
            <w:sz w:val="22"/>
            <w:szCs w:val="22"/>
            <w:lang w:val="es"/>
          </w:rPr>
          <w:t>Reino Unido de Gran Bretaña e Irlanda del Norte</w:t>
        </w:r>
      </w:hyperlink>
      <w:r>
        <w:rPr>
          <w:rFonts w:ascii="Arial" w:hAnsi="Arial" w:cs="Arial"/>
          <w:sz w:val="22"/>
          <w:szCs w:val="22"/>
          <w:lang w:val="es"/>
        </w:rPr>
        <w:t>.</w:t>
      </w:r>
    </w:p>
    <w:p w14:paraId="1CB38D06" w14:textId="24172AD2"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A-33/3.4.2</w:t>
      </w:r>
      <w:r>
        <w:rPr>
          <w:rFonts w:asciiTheme="minorBidi" w:hAnsiTheme="minorBidi" w:cstheme="minorBidi"/>
          <w:sz w:val="22"/>
          <w:szCs w:val="22"/>
          <w:lang w:val="es"/>
        </w:rPr>
        <w:t>.</w:t>
      </w:r>
    </w:p>
    <w:p w14:paraId="264FD515" w14:textId="08C4532F" w:rsidR="00347C83" w:rsidRPr="00AE71B5" w:rsidRDefault="00347C83" w:rsidP="00547D9B">
      <w:pPr>
        <w:pStyle w:val="Heading3"/>
        <w:numPr>
          <w:ilvl w:val="2"/>
          <w:numId w:val="12"/>
        </w:numPr>
        <w:tabs>
          <w:tab w:val="clear" w:pos="709"/>
        </w:tabs>
        <w:ind w:left="851" w:hanging="851"/>
        <w:rPr>
          <w:rFonts w:cs="Arial"/>
          <w:sz w:val="20"/>
          <w:szCs w:val="20"/>
        </w:rPr>
      </w:pPr>
      <w:bookmarkStart w:id="187" w:name="_Toc190766981"/>
      <w:bookmarkStart w:id="188" w:name="_Toc197955118"/>
      <w:bookmarkStart w:id="189" w:name="_Toc212133516"/>
      <w:bookmarkStart w:id="190" w:name="_Toc131777751"/>
      <w:bookmarkStart w:id="191" w:name="_Toc134002200"/>
      <w:bookmarkStart w:id="192" w:name="_Toc134002378"/>
      <w:r>
        <w:rPr>
          <w:rFonts w:cs="Arial"/>
          <w:b/>
          <w:szCs w:val="22"/>
          <w:lang w:val="es"/>
        </w:rPr>
        <w:t>Arquitectura de datos de la COI</w:t>
      </w:r>
      <w:bookmarkEnd w:id="187"/>
      <w:bookmarkEnd w:id="188"/>
      <w:bookmarkEnd w:id="189"/>
    </w:p>
    <w:p w14:paraId="2064B503" w14:textId="4D6A21D3" w:rsidR="779D8F22" w:rsidRPr="006C41C4"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representantes del GOOS y del IODE presentaron este punto. Informaron a la Asamblea de que el Taller de Datos COI/IODE-GOOS se celebró en la Oficina de Proyectos de la COI para el IODE entre el 30 de septiembre y el 2 de octubre de 2024. Se centró en la mejora de la colaboración entre el Intercambio Internacional de Datos e Información Oceanográficos (IODE) y el Sistema Mundial de Observación de los Océanos (GOOS). El objetivo era mejorar la coordinación y debatir una arquitectura digital de la COI integrada y ampliable que mejorara el intercambio, la gestión y la accesibilidad de los datos, en todos los sistemas oceánicos, y reforzara el apoyo de la COI a los Estados Miembros y a los mandatos clave de las Naciones Unidas. Asistieron a la reunión expertos de los diferentes elementos del GOOS y el IODE, así como de la Sección de Ciencias Oceánicas y la Unidad sobre Tsunamis de la COI, y expertos de los elementos pertinentes de la estructura del Decenio del Océano. El informe de la reunión está disponible como </w:t>
      </w:r>
      <w:hyperlink r:id="rId64">
        <w:r>
          <w:rPr>
            <w:rFonts w:ascii="Arial" w:hAnsi="Arial" w:cs="Arial"/>
            <w:sz w:val="22"/>
            <w:szCs w:val="22"/>
            <w:lang w:val="es"/>
          </w:rPr>
          <w:t xml:space="preserve">IOC Workshop </w:t>
        </w:r>
        <w:proofErr w:type="spellStart"/>
        <w:r>
          <w:rPr>
            <w:rFonts w:ascii="Arial" w:hAnsi="Arial" w:cs="Arial"/>
            <w:sz w:val="22"/>
            <w:szCs w:val="22"/>
            <w:lang w:val="es"/>
          </w:rPr>
          <w:t>Reports</w:t>
        </w:r>
        <w:proofErr w:type="spellEnd"/>
        <w:r>
          <w:rPr>
            <w:rFonts w:ascii="Arial" w:hAnsi="Arial" w:cs="Arial"/>
            <w:sz w:val="22"/>
            <w:szCs w:val="22"/>
            <w:lang w:val="es"/>
          </w:rPr>
          <w:t>, 311</w:t>
        </w:r>
      </w:hyperlink>
      <w:r>
        <w:rPr>
          <w:rFonts w:ascii="Arial" w:hAnsi="Arial" w:cs="Arial"/>
          <w:sz w:val="22"/>
          <w:szCs w:val="22"/>
          <w:lang w:val="es"/>
        </w:rPr>
        <w:t>.</w:t>
      </w:r>
    </w:p>
    <w:p w14:paraId="71D9E939" w14:textId="0A9EF7DF" w:rsidR="779D8F22" w:rsidRPr="006C41C4"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Los principales objetivos del taller eran (i) determinar las funciones y sinergias: aclarar los mandatos, responsabilidades y conexiones entre el GOOS y el IODE, para todas las Variables Oceánicas Esenciales (EOV); (</w:t>
      </w:r>
      <w:proofErr w:type="spellStart"/>
      <w:r>
        <w:rPr>
          <w:rFonts w:ascii="Arial" w:hAnsi="Arial" w:cs="Arial"/>
          <w:sz w:val="22"/>
          <w:szCs w:val="22"/>
          <w:lang w:val="es"/>
        </w:rPr>
        <w:t>ii</w:t>
      </w:r>
      <w:proofErr w:type="spellEnd"/>
      <w:r>
        <w:rPr>
          <w:rFonts w:ascii="Arial" w:hAnsi="Arial" w:cs="Arial"/>
          <w:sz w:val="22"/>
          <w:szCs w:val="22"/>
          <w:lang w:val="es"/>
        </w:rPr>
        <w:t xml:space="preserve">) elaborar una visión conjunta para una Arquitectura de Datos de la COI: establecer una arquitectura de datos de la COI </w:t>
      </w:r>
      <w:proofErr w:type="spellStart"/>
      <w:r>
        <w:rPr>
          <w:rFonts w:ascii="Arial" w:hAnsi="Arial" w:cs="Arial"/>
          <w:sz w:val="22"/>
          <w:szCs w:val="22"/>
          <w:lang w:val="es"/>
        </w:rPr>
        <w:t>co-evolucionada</w:t>
      </w:r>
      <w:proofErr w:type="spellEnd"/>
      <w:r>
        <w:rPr>
          <w:rFonts w:ascii="Arial" w:hAnsi="Arial" w:cs="Arial"/>
          <w:sz w:val="22"/>
          <w:szCs w:val="22"/>
          <w:lang w:val="es"/>
        </w:rPr>
        <w:t>, integrada, FAIR (localizables, accesibles, interoperable y reutilizables) y alineada con los principios CARE, para apoyar el ecosistema digital oceánico; (</w:t>
      </w:r>
      <w:proofErr w:type="spellStart"/>
      <w:r>
        <w:rPr>
          <w:rFonts w:ascii="Arial" w:hAnsi="Arial" w:cs="Arial"/>
          <w:sz w:val="22"/>
          <w:szCs w:val="22"/>
          <w:lang w:val="es"/>
        </w:rPr>
        <w:t>iii</w:t>
      </w:r>
      <w:proofErr w:type="spellEnd"/>
      <w:r>
        <w:rPr>
          <w:rFonts w:ascii="Arial" w:hAnsi="Arial" w:cs="Arial"/>
          <w:sz w:val="22"/>
          <w:szCs w:val="22"/>
          <w:lang w:val="es"/>
        </w:rPr>
        <w:t xml:space="preserve">) fundamento técnico: elaborar la arquitectura técnica de un espacio unificado de datos de la COI que se presentará a la Asamblea de la COI en 2025; </w:t>
      </w:r>
      <w:proofErr w:type="spellStart"/>
      <w:r>
        <w:rPr>
          <w:rFonts w:ascii="Arial" w:hAnsi="Arial" w:cs="Arial"/>
          <w:sz w:val="22"/>
          <w:szCs w:val="22"/>
          <w:lang w:val="es"/>
        </w:rPr>
        <w:t>iv</w:t>
      </w:r>
      <w:proofErr w:type="spellEnd"/>
      <w:r>
        <w:rPr>
          <w:rFonts w:ascii="Arial" w:hAnsi="Arial" w:cs="Arial"/>
          <w:sz w:val="22"/>
          <w:szCs w:val="22"/>
          <w:lang w:val="es"/>
        </w:rPr>
        <w:t xml:space="preserve">) coordinación: definir la coordinación entre el GOOS, el IODE y otros programas de la COI </w:t>
      </w:r>
      <w:r>
        <w:rPr>
          <w:rFonts w:ascii="Arial" w:hAnsi="Arial" w:cs="Arial"/>
          <w:sz w:val="22"/>
          <w:szCs w:val="22"/>
          <w:lang w:val="es"/>
        </w:rPr>
        <w:lastRenderedPageBreak/>
        <w:t>para hacer evolucionar y madurar la arquitectura de datos de la COI; y v) planificación futura: esbozar las próximas etapas (a corto y largo plazo) para satisfacer las necesidades futuras de los usuarios.</w:t>
      </w:r>
    </w:p>
    <w:p w14:paraId="7C7BB5CB" w14:textId="503479EF" w:rsidR="779D8F22" w:rsidRPr="006C41C4"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Los participantes en el taller acordaron un proyecto de esquema básico para la Arquitectura de Datos de la COI, vinculando los componentes clave de la COI en un ecosistema holístico que proporcionaría una visión conjunta para una Arquitectura de Datos de la COI, y para desarrollar un plan de implementación para dicha arquitectura.</w:t>
      </w:r>
    </w:p>
    <w:p w14:paraId="0EF80474" w14:textId="6865178D" w:rsidR="00E9576A" w:rsidRPr="006C41C4"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Los representantes del GOOS y el IODE informaron de que muchos elementos de la Arquitectura de Datos de la COI propuesta ya existen, pero el taller esbozó un enfoque para optimizar las conexiones entre los elementos existentes, así como la aclaración del apoyo necesario, que reforzaría la entrega de datos oceánicos para los servicios operacionales. El taller había decidido crear un grupo de trabajo para preparar un documento conceptual que se ha presentado como IOC/INF-1550 (Propuesta conceptual de arquitectura de datos de la COI) y esbozado en IOC-33/3.4.3</w:t>
      </w:r>
      <w:proofErr w:type="gramStart"/>
      <w:r>
        <w:rPr>
          <w:rFonts w:ascii="Arial" w:hAnsi="Arial" w:cs="Arial"/>
          <w:sz w:val="22"/>
          <w:szCs w:val="22"/>
          <w:lang w:val="es"/>
        </w:rPr>
        <w:t>Doc(</w:t>
      </w:r>
      <w:proofErr w:type="gramEnd"/>
      <w:r>
        <w:rPr>
          <w:rFonts w:ascii="Arial" w:hAnsi="Arial" w:cs="Arial"/>
          <w:sz w:val="22"/>
          <w:szCs w:val="22"/>
          <w:lang w:val="es"/>
        </w:rPr>
        <w:t>1) (Esquema de la propuesta conceptual de arquitectura de datos de la COI).</w:t>
      </w:r>
    </w:p>
    <w:p w14:paraId="4FAA6FAB" w14:textId="27D27689" w:rsidR="00F37236" w:rsidRPr="006C41C4" w:rsidRDefault="00F37236" w:rsidP="00547D9B">
      <w:pPr>
        <w:pStyle w:val="ListParagraph1"/>
        <w:widowControl/>
        <w:numPr>
          <w:ilvl w:val="0"/>
          <w:numId w:val="8"/>
        </w:numPr>
        <w:tabs>
          <w:tab w:val="left" w:pos="851"/>
        </w:tabs>
        <w:snapToGrid w:val="0"/>
        <w:spacing w:after="240"/>
        <w:ind w:left="0" w:firstLine="0"/>
        <w:contextualSpacing w:val="0"/>
        <w:rPr>
          <w:b/>
          <w:bCs/>
          <w:lang w:val="es-ES"/>
        </w:rPr>
      </w:pPr>
      <w:r>
        <w:rPr>
          <w:rFonts w:ascii="Arial" w:hAnsi="Arial" w:cs="Arial"/>
          <w:sz w:val="22"/>
          <w:szCs w:val="22"/>
          <w:lang w:val="es"/>
        </w:rPr>
        <w:t xml:space="preserve">Tomaron la palabra los representantes de 6 Estados Miembros y 1 observador. </w:t>
      </w:r>
    </w:p>
    <w:p w14:paraId="794A3BFF" w14:textId="77777777" w:rsidR="005745B7" w:rsidRPr="006C41C4"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acogió con satisfacción la propuesta de elaborar una Arquitectura de Datos de la COI integrada y federada para reforzar la coordinación y la interoperabilidad de los datos oceanográficos. Los Estados Miembros respaldaron el enfoque federado de la iniciativa, haciendo hincapié en las posibles ganancias en eficiencia y coordinación. Se apreció la adhesión a los principios FAIR y CARE. Además, los Estados Miembros reconocieron que la Arquitectura de Datos de la COI aportará importantes beneficios a otros componentes de la COI, entre ellos: las ciencias oceánicas; los sistemas de alerta contra los tsunamis; el apoyo a la futura labor sobre gestión y planificación sostenibles de los océanos (SOPM); la respuesta al Acuerdo sobre la BBNJ y el apoyo al mecanismo de intercambio de información; así como posibles aplicaciones más allá de la COI, por </w:t>
      </w:r>
      <w:proofErr w:type="gramStart"/>
      <w:r>
        <w:rPr>
          <w:rFonts w:ascii="Arial" w:hAnsi="Arial" w:cs="Arial"/>
          <w:sz w:val="22"/>
          <w:szCs w:val="22"/>
          <w:lang w:val="es"/>
        </w:rPr>
        <w:t>ejemplo</w:t>
      </w:r>
      <w:proofErr w:type="gramEnd"/>
      <w:r>
        <w:rPr>
          <w:rFonts w:ascii="Arial" w:hAnsi="Arial" w:cs="Arial"/>
          <w:sz w:val="22"/>
          <w:szCs w:val="22"/>
          <w:lang w:val="es"/>
        </w:rPr>
        <w:t xml:space="preserve"> a través de la OHI. </w:t>
      </w:r>
    </w:p>
    <w:p w14:paraId="50208257" w14:textId="7E45265D" w:rsidR="005745B7" w:rsidRPr="006C41C4"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 Asamblea reconoció y apoyó el fortalecimiento de la integración y la colaboración entre el IODE y el GOOS. Por último, los Estados Miembros señalaron que los NODC y otros sistemas de datos nacionales/regionales tienen experiencia que ofrecer y también deberían formar parte del proceso de consulta, y solicitaron que se elaborara un plan detallado y un coste para la aplicación de la iniciativa. Varios Estados Miembros ofrecieron su apoyo y solicitaron que se les consultara para esta fase de planificación.</w:t>
      </w:r>
    </w:p>
    <w:p w14:paraId="4A26D2BD" w14:textId="57868604" w:rsidR="005745B7" w:rsidRPr="006C41C4"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Emma Heslop, especialista del programa GOOS COI-UNESCO, respondió a las intervenciones de los Estados Miembros. Señaló que durante los próximos meses se desarrollaría el plan de ejecución y el correspondiente modelo de costes, y se espera que esté disponible para el Consejo Ejecutivo de la COI en 2026. Además, destacó el próximo proceso de consulta destinado a recoger las aportaciones de los Estados Miembros, en respuesta a los puntos planteados. Se señaló que con la financiación que debería estar a disposición de la secretaría en el marco del Programa y Presupuesto del 42 C/5, este trabajo podría comenzar inmediatamente.</w:t>
      </w:r>
    </w:p>
    <w:p w14:paraId="689F70DD" w14:textId="501A1ABE" w:rsidR="005745B7" w:rsidRPr="006C41C4"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sz w:val="22"/>
          <w:lang w:val="es-ES"/>
        </w:rPr>
      </w:pPr>
      <w:r>
        <w:rPr>
          <w:rFonts w:ascii="Arial" w:hAnsi="Arial" w:cs="Arial"/>
          <w:sz w:val="22"/>
          <w:szCs w:val="22"/>
          <w:lang w:val="es"/>
        </w:rPr>
        <w:t xml:space="preserve">Los siguientes Estados Miembros han optado por dejar constancia de su intervención en el pleno sobre este punto del orden del día para el anexo informativo del informe de la reunión: </w:t>
      </w:r>
      <w:hyperlink w:anchor="Can343" w:history="1">
        <w:r>
          <w:rPr>
            <w:rStyle w:val="Hyperlink"/>
            <w:rFonts w:ascii="Arial" w:hAnsi="Arial" w:cs="Arial"/>
            <w:sz w:val="22"/>
            <w:szCs w:val="22"/>
            <w:lang w:val="es"/>
          </w:rPr>
          <w:t>Canadá</w:t>
        </w:r>
      </w:hyperlink>
      <w:r>
        <w:rPr>
          <w:rFonts w:ascii="Arial" w:hAnsi="Arial" w:cs="Arial"/>
          <w:sz w:val="22"/>
          <w:szCs w:val="22"/>
          <w:lang w:val="es"/>
        </w:rPr>
        <w:t xml:space="preserve">, </w:t>
      </w:r>
      <w:hyperlink w:anchor="Chin343"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india343" w:history="1">
        <w:r>
          <w:rPr>
            <w:rStyle w:val="Hyperlink"/>
            <w:rFonts w:ascii="Arial" w:hAnsi="Arial" w:cs="Arial"/>
            <w:sz w:val="22"/>
            <w:szCs w:val="22"/>
            <w:lang w:val="es"/>
          </w:rPr>
          <w:t>India</w:t>
        </w:r>
      </w:hyperlink>
      <w:r>
        <w:rPr>
          <w:rFonts w:ascii="Arial" w:hAnsi="Arial" w:cs="Arial"/>
          <w:sz w:val="22"/>
          <w:szCs w:val="22"/>
          <w:lang w:val="es"/>
        </w:rPr>
        <w:t xml:space="preserve">, </w:t>
      </w:r>
      <w:hyperlink w:anchor="jap343"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spain343"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uk343" w:history="1">
        <w:r>
          <w:rPr>
            <w:rStyle w:val="Hyperlink"/>
            <w:rFonts w:ascii="Arial" w:hAnsi="Arial" w:cs="Arial"/>
            <w:sz w:val="22"/>
            <w:szCs w:val="22"/>
            <w:lang w:val="es"/>
          </w:rPr>
          <w:t>Reino Unido de Gran Bretaña e Irlanda del Norte</w:t>
        </w:r>
      </w:hyperlink>
      <w:r>
        <w:rPr>
          <w:rFonts w:ascii="Arial" w:hAnsi="Arial" w:cs="Arial"/>
          <w:sz w:val="22"/>
          <w:szCs w:val="22"/>
          <w:lang w:val="es"/>
        </w:rPr>
        <w:t>.</w:t>
      </w:r>
    </w:p>
    <w:p w14:paraId="20C5E299" w14:textId="05161D37"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A-33/3.4.3</w:t>
      </w:r>
      <w:r>
        <w:rPr>
          <w:rFonts w:asciiTheme="minorBidi" w:hAnsiTheme="minorBidi" w:cstheme="minorBidi"/>
          <w:sz w:val="22"/>
          <w:szCs w:val="22"/>
          <w:lang w:val="es"/>
        </w:rPr>
        <w:t>.</w:t>
      </w:r>
    </w:p>
    <w:p w14:paraId="381F9C79" w14:textId="10272F65" w:rsidR="00781C64" w:rsidRPr="006C41C4" w:rsidRDefault="00EA5B69" w:rsidP="00AE1A0F">
      <w:pPr>
        <w:pStyle w:val="Heading3"/>
        <w:numPr>
          <w:ilvl w:val="0"/>
          <w:numId w:val="0"/>
        </w:numPr>
        <w:tabs>
          <w:tab w:val="clear" w:pos="709"/>
        </w:tabs>
        <w:ind w:left="851" w:hanging="851"/>
        <w:rPr>
          <w:sz w:val="20"/>
          <w:szCs w:val="20"/>
          <w:lang w:val="es-ES"/>
        </w:rPr>
      </w:pPr>
      <w:bookmarkStart w:id="193" w:name="_Toc197955119"/>
      <w:bookmarkStart w:id="194" w:name="_Toc212133517"/>
      <w:bookmarkStart w:id="195" w:name="_Toc190766982"/>
      <w:r>
        <w:rPr>
          <w:b/>
          <w:lang w:val="es"/>
        </w:rPr>
        <w:lastRenderedPageBreak/>
        <w:t>3.4.4</w:t>
      </w:r>
      <w:r>
        <w:rPr>
          <w:b/>
          <w:lang w:val="es"/>
        </w:rPr>
        <w:tab/>
        <w:t>Un Sistema de Mejores Prácticas Oceánicas (OBPS) de la COI</w:t>
      </w:r>
      <w:bookmarkEnd w:id="193"/>
      <w:bookmarkEnd w:id="194"/>
    </w:p>
    <w:p w14:paraId="0F14A289" w14:textId="59B3B033" w:rsidR="00781C64" w:rsidRPr="006C41C4" w:rsidRDefault="34A794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representantes del GOOS y del IODE presentaron este punto en nombre de la Sra. Rebecca </w:t>
      </w:r>
      <w:proofErr w:type="spellStart"/>
      <w:r>
        <w:rPr>
          <w:rFonts w:ascii="Arial" w:hAnsi="Arial" w:cs="Arial"/>
          <w:sz w:val="22"/>
          <w:szCs w:val="22"/>
          <w:lang w:val="es"/>
        </w:rPr>
        <w:t>Zitoun</w:t>
      </w:r>
      <w:proofErr w:type="spellEnd"/>
      <w:r>
        <w:rPr>
          <w:rFonts w:ascii="Arial" w:hAnsi="Arial" w:cs="Arial"/>
          <w:sz w:val="22"/>
          <w:szCs w:val="22"/>
          <w:lang w:val="es"/>
        </w:rPr>
        <w:t xml:space="preserve"> (Copresidenta del OBPS), que no pudo asistir. Informaron a la Asamblea de que el Sistema de Mejores Prácticas Oceánicas (OBPS) es un proyecto UNESCO-COI, aprobado en la 30ª reunión de la Asamblea de la COI (junio/julio de 2019) mediante la Decisión IOC-XXX/7.2.1, apoyado por el Sistema Mundial de Observación de los Océanos (GOOS) y el Intercambio Internacional de Datos e Información Oceanográficos (IODE). La visión de OBPS es tener y compartir métodos ampliamente adoptados en la investigación, las operaciones y las aplicaciones oceánicas.</w:t>
      </w:r>
    </w:p>
    <w:p w14:paraId="7AFB2611" w14:textId="39C27273" w:rsidR="00781C64" w:rsidRPr="006C41C4" w:rsidRDefault="34A794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Informaron de que el OBPS celebró su sexta reunión anual del Grupo Directivo en París (Francia) del 12 al 14 de noviembre de 2024. La reunión ofreció la oportunidad de evaluar la aplicación del plan de trabajo 2024 y debatir las prioridades clave para el próximo periodo entre reuniones. Estas prioridades incluyen el avance del repositorio OBPS, la actualización de su software y la reconfiguración de los análisis para mantener la eficacia operativa del sistema. También se ha prestado especial atención a la evaluación del contenido del repositorio, implantando un sólido proceso de revisión para garantizar que solo se conserven los contenidos pertinentes. Además, se debatió la evolución del proceso de aprobación de la OBPS, con esfuerzos para reconocer y promover más eficazmente las mejores prácticas mediante la </w:t>
      </w:r>
      <w:proofErr w:type="gramStart"/>
      <w:r>
        <w:rPr>
          <w:rFonts w:ascii="Arial" w:hAnsi="Arial" w:cs="Arial"/>
          <w:sz w:val="22"/>
          <w:szCs w:val="22"/>
          <w:lang w:val="es"/>
        </w:rPr>
        <w:t>participación activa</w:t>
      </w:r>
      <w:proofErr w:type="gramEnd"/>
      <w:r>
        <w:rPr>
          <w:rFonts w:ascii="Arial" w:hAnsi="Arial" w:cs="Arial"/>
          <w:sz w:val="22"/>
          <w:szCs w:val="22"/>
          <w:lang w:val="es"/>
        </w:rPr>
        <w:t xml:space="preserve"> de la comunidad y el establecimiento de organizaciones de aprobación.</w:t>
      </w:r>
    </w:p>
    <w:p w14:paraId="5B2A5D94" w14:textId="1480D4FA" w:rsidR="00781C64" w:rsidRPr="006C41C4" w:rsidRDefault="34A794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Explicaron que el desarrollo de un plan estratégico quinquenal se identificó como una prioridad máxima para alinearlo con las estrategias de la COI. Un aspecto clave de los debates estratégicos fue la ampliación de la función del OBPS más allá del IODE y el GOOS para garantizar su sostenibilidad a largo plazo y su pertinencia para todos los programas y subcomisiones regionales de la COI. Además, se presentó una propuesta de decisión para desarrollar y cofinanciar el OBPS en toda la COI, acompañada de revisiones del mandato de la COI-OBPS y del mandato del Grupo de Dirección para reforzar la gobernanza y la colaboración en el OBPS.</w:t>
      </w:r>
    </w:p>
    <w:p w14:paraId="1BD98218" w14:textId="2D772827" w:rsidR="0078063F" w:rsidRPr="006C41C4" w:rsidRDefault="00BB0FF1" w:rsidP="00547D9B">
      <w:pPr>
        <w:pStyle w:val="ListParagraph1"/>
        <w:widowControl/>
        <w:numPr>
          <w:ilvl w:val="0"/>
          <w:numId w:val="8"/>
        </w:numPr>
        <w:tabs>
          <w:tab w:val="left" w:pos="851"/>
        </w:tabs>
        <w:snapToGrid w:val="0"/>
        <w:spacing w:after="240"/>
        <w:ind w:left="0" w:firstLine="0"/>
        <w:contextualSpacing w:val="0"/>
        <w:rPr>
          <w:b/>
          <w:bCs/>
          <w:lang w:val="es-ES"/>
        </w:rPr>
      </w:pPr>
      <w:r>
        <w:rPr>
          <w:rFonts w:ascii="Arial" w:hAnsi="Arial" w:cs="Arial"/>
          <w:sz w:val="22"/>
          <w:szCs w:val="22"/>
          <w:lang w:val="es"/>
        </w:rPr>
        <w:t xml:space="preserve">Tomaron la palabra los representantes de 7 Estados Miembros. </w:t>
      </w:r>
    </w:p>
    <w:p w14:paraId="13873798" w14:textId="77777777" w:rsidR="0078063F" w:rsidRPr="006C41C4" w:rsidRDefault="0078063F" w:rsidP="0078063F">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Estados Miembros acogieron favorablemente la iniciativa y reconocieron que el OBPS es un mecanismo clave para apoyar la normalización, la interoperabilidad y la reproducibilidad de los datos y metodologías oceánicos en la investigación, las operaciones y los servicios. La Asamblea tomó nota del valor del OBPS para aumentar la eficacia, apoyar la aplicación de la Estrategia a Plazo Medio de la COI y contribuir a iniciativas como el Decenio de las Naciones Unidas para las Ciencias Oceánicas y la BBNJ. Los Estados Miembros animaron a una mayor integración con los esfuerzos de normalización regionales e internacionales existentes (por ejemplo, la Organización de Ciencias Marinas del Pacífico Norte (PICES)) e hicieron hincapié en la importancia de una gobernanza integradora y de procesos transparentes de designación de expertos. </w:t>
      </w:r>
    </w:p>
    <w:p w14:paraId="456C735F" w14:textId="77777777" w:rsidR="0078063F" w:rsidRPr="006C41C4" w:rsidRDefault="0078063F" w:rsidP="0078063F">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Varios Estados Miembros expresaron su voluntad de apoyar el sistema, y otros destacaron la importancia de las mejores prácticas para aumentar la capacidad en las regiones en desarrollo. India se ofreció a aportar al repositorio OBPS una buena práctica documentada sobre su red de boyas WAMAN, desarrollada en colaboración con socios regionales. </w:t>
      </w:r>
    </w:p>
    <w:p w14:paraId="7BD344C8" w14:textId="77777777" w:rsidR="00990938" w:rsidRPr="006C41C4" w:rsidRDefault="00990938" w:rsidP="00990938">
      <w:pPr>
        <w:pStyle w:val="ListParagraph1"/>
        <w:widowControl/>
        <w:numPr>
          <w:ilvl w:val="0"/>
          <w:numId w:val="8"/>
        </w:numPr>
        <w:tabs>
          <w:tab w:val="left" w:pos="851"/>
        </w:tabs>
        <w:snapToGrid w:val="0"/>
        <w:spacing w:after="240"/>
        <w:ind w:left="0" w:firstLine="0"/>
        <w:contextualSpacing w:val="0"/>
        <w:rPr>
          <w:b/>
          <w:bCs/>
          <w:sz w:val="22"/>
          <w:szCs w:val="22"/>
          <w:lang w:val="es-ES"/>
        </w:rPr>
      </w:pPr>
      <w:r>
        <w:rPr>
          <w:rFonts w:ascii="Arial" w:eastAsia="Simsun (Founder Extended)" w:hAnsi="Arial" w:cs="Arial"/>
          <w:sz w:val="22"/>
          <w:szCs w:val="22"/>
          <w:lang w:val="es"/>
        </w:rPr>
        <w:t xml:space="preserve">Aunque reafirmaron su apoyo a la labor del Grupo de Dirección del Sistema de Mejores Prácticas Oceánicas, los Estados Unidos de América, en consonancia con su declaración nacional inicial en relación con el punto 3.2 del orden del día, se desvincularon del párrafo 3 de la decisión tras su adopción. </w:t>
      </w:r>
    </w:p>
    <w:p w14:paraId="1C3DDFA9" w14:textId="4D5CCA8C" w:rsidR="00990938" w:rsidRPr="006C41C4" w:rsidRDefault="00990938" w:rsidP="00990938">
      <w:pPr>
        <w:pStyle w:val="ListParagraph1"/>
        <w:widowControl/>
        <w:numPr>
          <w:ilvl w:val="0"/>
          <w:numId w:val="8"/>
        </w:numPr>
        <w:tabs>
          <w:tab w:val="left" w:pos="851"/>
        </w:tabs>
        <w:snapToGrid w:val="0"/>
        <w:spacing w:after="240"/>
        <w:ind w:left="0" w:firstLine="0"/>
        <w:contextualSpacing w:val="0"/>
        <w:rPr>
          <w:b/>
          <w:bCs/>
          <w:sz w:val="22"/>
          <w:szCs w:val="22"/>
          <w:lang w:val="es-ES"/>
        </w:rPr>
      </w:pPr>
      <w:r>
        <w:rPr>
          <w:rFonts w:ascii="Arial" w:hAnsi="Arial" w:cs="Arial"/>
          <w:sz w:val="22"/>
          <w:szCs w:val="22"/>
          <w:lang w:val="es"/>
        </w:rPr>
        <w:t>Argentina se desmarcó del párrafo 3 de la decisión, aunque apoyó el resto del texto.</w:t>
      </w:r>
    </w:p>
    <w:p w14:paraId="3A69C579" w14:textId="4F4C35E3" w:rsidR="009254F8" w:rsidRPr="006C41C4" w:rsidRDefault="009254F8" w:rsidP="00547D9B">
      <w:pPr>
        <w:pStyle w:val="ListParagraph1"/>
        <w:widowControl/>
        <w:numPr>
          <w:ilvl w:val="0"/>
          <w:numId w:val="8"/>
        </w:numPr>
        <w:tabs>
          <w:tab w:val="left" w:pos="851"/>
        </w:tabs>
        <w:snapToGrid w:val="0"/>
        <w:spacing w:after="240"/>
        <w:ind w:left="0" w:firstLine="0"/>
        <w:contextualSpacing w:val="0"/>
        <w:rPr>
          <w:b/>
          <w:bCs/>
          <w:lang w:val="es-ES"/>
        </w:rPr>
      </w:pPr>
      <w:r>
        <w:rPr>
          <w:rFonts w:ascii="Arial" w:hAnsi="Arial" w:cs="Arial"/>
          <w:sz w:val="22"/>
          <w:szCs w:val="22"/>
          <w:lang w:val="es"/>
        </w:rPr>
        <w:lastRenderedPageBreak/>
        <w:t xml:space="preserve">Los siguientes Estados Miembros han optado por dejar constancia de su intervención en el pleno sobre este punto del orden del día para el anexo informativo del informe de la reunión: </w:t>
      </w:r>
      <w:hyperlink w:anchor="India344" w:history="1">
        <w:r>
          <w:rPr>
            <w:rStyle w:val="Hyperlink"/>
            <w:rFonts w:ascii="Arial" w:hAnsi="Arial" w:cs="Arial"/>
            <w:sz w:val="22"/>
            <w:szCs w:val="22"/>
            <w:lang w:val="es"/>
          </w:rPr>
          <w:t>India</w:t>
        </w:r>
      </w:hyperlink>
      <w:r>
        <w:rPr>
          <w:rFonts w:ascii="Arial" w:hAnsi="Arial" w:cs="Arial"/>
          <w:sz w:val="22"/>
          <w:szCs w:val="22"/>
          <w:lang w:val="es"/>
        </w:rPr>
        <w:t xml:space="preserve">, </w:t>
      </w:r>
      <w:hyperlink w:anchor="jap344"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spain344"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uk344" w:history="1">
        <w:r>
          <w:rPr>
            <w:rStyle w:val="Hyperlink"/>
            <w:rFonts w:ascii="Arial" w:hAnsi="Arial" w:cs="Arial"/>
            <w:sz w:val="22"/>
            <w:szCs w:val="22"/>
            <w:lang w:val="es"/>
          </w:rPr>
          <w:t>Reino Unido de Gran Bretaña e Irlanda del Norte</w:t>
        </w:r>
      </w:hyperlink>
      <w:r>
        <w:rPr>
          <w:rFonts w:ascii="Arial" w:hAnsi="Arial" w:cs="Arial"/>
          <w:sz w:val="22"/>
          <w:szCs w:val="22"/>
          <w:lang w:val="es"/>
        </w:rPr>
        <w:t xml:space="preserve">, </w:t>
      </w:r>
      <w:hyperlink w:anchor="us344" w:history="1">
        <w:r>
          <w:rPr>
            <w:rStyle w:val="Hyperlink"/>
            <w:rFonts w:ascii="Arial" w:hAnsi="Arial" w:cs="Arial"/>
            <w:sz w:val="22"/>
            <w:szCs w:val="22"/>
            <w:lang w:val="es"/>
          </w:rPr>
          <w:t>Estados Unidos de América</w:t>
        </w:r>
      </w:hyperlink>
      <w:r>
        <w:rPr>
          <w:rFonts w:ascii="Arial" w:hAnsi="Arial" w:cs="Arial"/>
          <w:sz w:val="22"/>
          <w:szCs w:val="22"/>
          <w:lang w:val="es"/>
        </w:rPr>
        <w:t xml:space="preserve">. </w:t>
      </w:r>
    </w:p>
    <w:p w14:paraId="043CC334" w14:textId="65EAB55F"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b/>
          <w:bCs/>
          <w:sz w:val="22"/>
          <w:szCs w:val="22"/>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A-33/3.4.4</w:t>
      </w:r>
      <w:r>
        <w:rPr>
          <w:rFonts w:asciiTheme="minorBidi" w:hAnsiTheme="minorBidi" w:cstheme="minorBidi"/>
          <w:sz w:val="22"/>
          <w:szCs w:val="22"/>
          <w:lang w:val="es"/>
        </w:rPr>
        <w:t>.</w:t>
      </w:r>
    </w:p>
    <w:p w14:paraId="0E05A8DB" w14:textId="2DD8CF0A" w:rsidR="00842073" w:rsidRPr="006C41C4" w:rsidRDefault="00E03B32" w:rsidP="00547D9B">
      <w:pPr>
        <w:pStyle w:val="Heading3"/>
        <w:numPr>
          <w:ilvl w:val="2"/>
          <w:numId w:val="14"/>
        </w:numPr>
        <w:tabs>
          <w:tab w:val="clear" w:pos="709"/>
        </w:tabs>
        <w:ind w:left="851" w:hanging="851"/>
        <w:rPr>
          <w:b/>
          <w:lang w:val="es-ES"/>
        </w:rPr>
      </w:pPr>
      <w:bookmarkStart w:id="196" w:name="_Toc197955120"/>
      <w:bookmarkStart w:id="197" w:name="_Toc212133518"/>
      <w:r>
        <w:rPr>
          <w:rFonts w:cs="Arial"/>
          <w:b/>
          <w:szCs w:val="22"/>
          <w:lang w:val="es"/>
        </w:rPr>
        <w:t xml:space="preserve">Panel Intergubernamental COI-FAO sobre Floraciones de Algas Nocivas: </w:t>
      </w:r>
      <w:r>
        <w:rPr>
          <w:rFonts w:cs="Arial"/>
          <w:bCs w:val="0"/>
          <w:szCs w:val="22"/>
          <w:lang w:val="es"/>
        </w:rPr>
        <w:br/>
      </w:r>
      <w:r>
        <w:rPr>
          <w:rFonts w:cs="Arial"/>
          <w:b/>
          <w:szCs w:val="22"/>
          <w:lang w:val="es"/>
        </w:rPr>
        <w:t>17ª reunión del IPHAB, FAO, UNESCO, 18-20 de marzo de 2025</w:t>
      </w:r>
      <w:bookmarkEnd w:id="190"/>
      <w:bookmarkEnd w:id="191"/>
      <w:bookmarkEnd w:id="192"/>
      <w:bookmarkEnd w:id="195"/>
      <w:bookmarkEnd w:id="196"/>
      <w:bookmarkEnd w:id="197"/>
    </w:p>
    <w:p w14:paraId="085D633E" w14:textId="223CB27D" w:rsidR="00AC4038" w:rsidRPr="006C41C4" w:rsidRDefault="00AC4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Sr. Philipp Hess (Francia), </w:t>
      </w:r>
      <w:proofErr w:type="gramStart"/>
      <w:r>
        <w:rPr>
          <w:rFonts w:ascii="Arial" w:hAnsi="Arial" w:cs="Arial"/>
          <w:sz w:val="22"/>
          <w:szCs w:val="22"/>
          <w:lang w:val="es"/>
        </w:rPr>
        <w:t>Presidente</w:t>
      </w:r>
      <w:proofErr w:type="gramEnd"/>
      <w:r>
        <w:rPr>
          <w:rFonts w:ascii="Arial" w:hAnsi="Arial" w:cs="Arial"/>
          <w:sz w:val="22"/>
          <w:szCs w:val="22"/>
          <w:lang w:val="es"/>
        </w:rPr>
        <w:t xml:space="preserve"> del IPHAB, presentó este punto e informó a la Asamblea sobre los resultados de la 17ª reunión del Panel Intergubernamental COI-FAO sobre Floraciones de Algas Nocivas, celebrada en la sede de la UNESCO del 18 al 20 de marzo de 2025. Esta ha sido la segunda reunión del IPHAB (desde IPHAB-III en 1995) con la FAO de nuevo como copatrocinador del panel, y la primera reunión bajo el nuevo Memorándum de entendimiento con la FAO firmado en mayo de 2024.</w:t>
      </w:r>
    </w:p>
    <w:p w14:paraId="01B4EEB6" w14:textId="6DABD1E8" w:rsidR="00AC4038" w:rsidRPr="006C41C4" w:rsidRDefault="00AC4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El Sr. Hess resumió las acciones llevadas a cabo por el IPHAB durante el periodo entre reuniones y señaló que las Decisiones y Recomendaciones de la 16ª reunión del IPHAB (marzo de 2023) se habían aplicado satisfactoriamente en el contexto de los recursos disponibles. Los principales logros de los que se informé, varios de los cuales siguen en curso, figuran los siguientes: la continuación de la publicación de las</w:t>
      </w:r>
      <w:r>
        <w:rPr>
          <w:rFonts w:ascii="Arial" w:hAnsi="Arial" w:cs="Arial"/>
          <w:i/>
          <w:iCs/>
          <w:sz w:val="22"/>
          <w:szCs w:val="22"/>
          <w:lang w:val="es"/>
        </w:rPr>
        <w:t xml:space="preserve"> </w:t>
      </w:r>
      <w:proofErr w:type="spellStart"/>
      <w:r>
        <w:rPr>
          <w:rFonts w:ascii="Arial" w:hAnsi="Arial" w:cs="Arial"/>
          <w:i/>
          <w:iCs/>
          <w:sz w:val="22"/>
          <w:szCs w:val="22"/>
          <w:lang w:val="es"/>
        </w:rPr>
        <w:t>Harmful</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Algae</w:t>
      </w:r>
      <w:proofErr w:type="spellEnd"/>
      <w:r>
        <w:rPr>
          <w:rFonts w:ascii="Arial" w:hAnsi="Arial" w:cs="Arial"/>
          <w:i/>
          <w:iCs/>
          <w:sz w:val="22"/>
          <w:szCs w:val="22"/>
          <w:lang w:val="es"/>
        </w:rPr>
        <w:t xml:space="preserve"> News</w:t>
      </w:r>
      <w:r>
        <w:rPr>
          <w:rFonts w:ascii="Arial" w:hAnsi="Arial" w:cs="Arial"/>
          <w:sz w:val="22"/>
          <w:szCs w:val="22"/>
          <w:lang w:val="es"/>
        </w:rPr>
        <w:t xml:space="preserve"> de la COI; la recopilación continua de datos a todos los niveles para el Sistema de Información sobre Algas Nocivas IPHAB-IODE con las bases de datos HAEDAT y OBIS como proveedores de información de alta calidad sobre fenómenos de floraciones de algas nocivas, la situación y tendencias de la aparición de floraciones de algas nocivas, y una base de datos sobre toxinas vinculada a la lista de referencia taxonómica a través de </w:t>
      </w:r>
      <w:proofErr w:type="spellStart"/>
      <w:r>
        <w:rPr>
          <w:rFonts w:ascii="Arial" w:hAnsi="Arial" w:cs="Arial"/>
          <w:sz w:val="22"/>
          <w:szCs w:val="22"/>
          <w:lang w:val="es"/>
        </w:rPr>
        <w:t>WoRMS</w:t>
      </w:r>
      <w:proofErr w:type="spellEnd"/>
      <w:r>
        <w:rPr>
          <w:rFonts w:ascii="Arial" w:hAnsi="Arial" w:cs="Arial"/>
          <w:sz w:val="22"/>
          <w:szCs w:val="22"/>
          <w:lang w:val="es"/>
        </w:rPr>
        <w:t xml:space="preserve">; la realización de seis cursos internacionales de formación y varios cursos regionales y en los países; los avances en el marco del programa científico conjunto COI-SCOR </w:t>
      </w:r>
      <w:proofErr w:type="spellStart"/>
      <w:r>
        <w:rPr>
          <w:rFonts w:ascii="Arial" w:hAnsi="Arial" w:cs="Arial"/>
          <w:sz w:val="22"/>
          <w:szCs w:val="22"/>
          <w:lang w:val="es"/>
        </w:rPr>
        <w:t>GlobalHAB</w:t>
      </w:r>
      <w:proofErr w:type="spellEnd"/>
      <w:r>
        <w:rPr>
          <w:rFonts w:ascii="Arial" w:hAnsi="Arial" w:cs="Arial"/>
          <w:sz w:val="22"/>
          <w:szCs w:val="22"/>
          <w:lang w:val="es"/>
        </w:rPr>
        <w:t xml:space="preserve">, incluido un nuevo plan decenal para un programa internacional de investigación centrado en la comprensión de las floraciones de algas nocivas en el contexto de la sostenibilidad mundial; los resultados del Grupo de Trabajo CIEM-COI sobre la Dinámica de las Floraciones de Algas Nocivas y del Grupo de Trabajo CIEM-COI-IMO sobre Lastre y otros Vectores de Buques; el desarrollo de actividades regionales por parte de WESTPAC (IOC/WESTPAC/HAB), e IOCARIBE (IOC/IOCARIBE/ANCA), y Sudamérica (IOC/IPHAB/FANSA) a pesar de la falta de recursos; la publicación del libro blanco de </w:t>
      </w:r>
      <w:proofErr w:type="spellStart"/>
      <w:r>
        <w:rPr>
          <w:rFonts w:ascii="Arial" w:hAnsi="Arial" w:cs="Arial"/>
          <w:sz w:val="22"/>
          <w:szCs w:val="22"/>
          <w:lang w:val="es"/>
        </w:rPr>
        <w:t>GlobalHAB</w:t>
      </w:r>
      <w:proofErr w:type="spellEnd"/>
      <w:r>
        <w:rPr>
          <w:rFonts w:ascii="Arial" w:hAnsi="Arial" w:cs="Arial"/>
          <w:sz w:val="22"/>
          <w:szCs w:val="22"/>
          <w:lang w:val="es"/>
        </w:rPr>
        <w:t xml:space="preserve"> </w:t>
      </w:r>
      <w:r>
        <w:rPr>
          <w:rFonts w:ascii="Arial" w:hAnsi="Arial" w:cs="Arial"/>
          <w:i/>
          <w:iCs/>
          <w:sz w:val="22"/>
          <w:szCs w:val="22"/>
          <w:lang w:val="es"/>
        </w:rPr>
        <w:t>Fish-</w:t>
      </w:r>
      <w:proofErr w:type="spellStart"/>
      <w:r>
        <w:rPr>
          <w:rFonts w:ascii="Arial" w:hAnsi="Arial" w:cs="Arial"/>
          <w:i/>
          <w:iCs/>
          <w:sz w:val="22"/>
          <w:szCs w:val="22"/>
          <w:lang w:val="es"/>
        </w:rPr>
        <w:t>killing</w:t>
      </w:r>
      <w:proofErr w:type="spellEnd"/>
      <w:r>
        <w:rPr>
          <w:rFonts w:ascii="Arial" w:hAnsi="Arial" w:cs="Arial"/>
          <w:i/>
          <w:iCs/>
          <w:sz w:val="22"/>
          <w:szCs w:val="22"/>
          <w:lang w:val="es"/>
        </w:rPr>
        <w:t xml:space="preserve"> marine algal </w:t>
      </w:r>
      <w:proofErr w:type="spellStart"/>
      <w:r>
        <w:rPr>
          <w:rFonts w:ascii="Arial" w:hAnsi="Arial" w:cs="Arial"/>
          <w:i/>
          <w:iCs/>
          <w:sz w:val="22"/>
          <w:szCs w:val="22"/>
          <w:lang w:val="es"/>
        </w:rPr>
        <w:t>blooms</w:t>
      </w:r>
      <w:proofErr w:type="spellEnd"/>
      <w:r>
        <w:rPr>
          <w:rFonts w:ascii="Arial" w:hAnsi="Arial" w:cs="Arial"/>
          <w:i/>
          <w:iCs/>
          <w:sz w:val="22"/>
          <w:szCs w:val="22"/>
          <w:lang w:val="es"/>
        </w:rPr>
        <w:t xml:space="preserve"> </w:t>
      </w:r>
      <w:r>
        <w:rPr>
          <w:rFonts w:ascii="Arial" w:hAnsi="Arial" w:cs="Arial"/>
          <w:sz w:val="22"/>
          <w:szCs w:val="22"/>
          <w:lang w:val="es"/>
        </w:rPr>
        <w:t xml:space="preserve">and </w:t>
      </w:r>
      <w:proofErr w:type="spellStart"/>
      <w:r>
        <w:rPr>
          <w:rFonts w:ascii="Arial" w:hAnsi="Arial" w:cs="Arial"/>
          <w:i/>
          <w:iCs/>
          <w:sz w:val="22"/>
          <w:szCs w:val="22"/>
          <w:lang w:val="es"/>
        </w:rPr>
        <w:t>ichthyotoxins</w:t>
      </w:r>
      <w:proofErr w:type="spellEnd"/>
      <w:r>
        <w:rPr>
          <w:rFonts w:ascii="Arial" w:hAnsi="Arial" w:cs="Arial"/>
          <w:i/>
          <w:iCs/>
          <w:sz w:val="22"/>
          <w:szCs w:val="22"/>
          <w:lang w:val="es"/>
        </w:rPr>
        <w:t>:</w:t>
      </w:r>
      <w:r>
        <w:rPr>
          <w:rFonts w:ascii="Arial" w:hAnsi="Arial" w:cs="Arial"/>
          <w:sz w:val="22"/>
          <w:szCs w:val="22"/>
          <w:lang w:val="es"/>
        </w:rPr>
        <w:t xml:space="preserve"> </w:t>
      </w:r>
      <w:proofErr w:type="spellStart"/>
      <w:r>
        <w:rPr>
          <w:rFonts w:ascii="Arial" w:hAnsi="Arial" w:cs="Arial"/>
          <w:i/>
          <w:iCs/>
          <w:sz w:val="22"/>
          <w:szCs w:val="22"/>
          <w:lang w:val="es"/>
        </w:rPr>
        <w:t>prevention</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mitigation</w:t>
      </w:r>
      <w:proofErr w:type="spellEnd"/>
      <w:r>
        <w:rPr>
          <w:rFonts w:ascii="Arial" w:hAnsi="Arial" w:cs="Arial"/>
          <w:i/>
          <w:iCs/>
          <w:sz w:val="22"/>
          <w:szCs w:val="22"/>
          <w:lang w:val="es"/>
        </w:rPr>
        <w:t xml:space="preserve"> and control </w:t>
      </w:r>
      <w:proofErr w:type="spellStart"/>
      <w:r>
        <w:rPr>
          <w:rFonts w:ascii="Arial" w:hAnsi="Arial" w:cs="Arial"/>
          <w:i/>
          <w:iCs/>
          <w:sz w:val="22"/>
          <w:szCs w:val="22"/>
          <w:lang w:val="es"/>
        </w:rPr>
        <w:t>mechanisms</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impacts</w:t>
      </w:r>
      <w:proofErr w:type="spellEnd"/>
      <w:r>
        <w:rPr>
          <w:rFonts w:ascii="Arial" w:hAnsi="Arial" w:cs="Arial"/>
          <w:i/>
          <w:iCs/>
          <w:sz w:val="22"/>
          <w:szCs w:val="22"/>
          <w:lang w:val="es"/>
        </w:rPr>
        <w:t xml:space="preserve"> and </w:t>
      </w:r>
      <w:proofErr w:type="spellStart"/>
      <w:r>
        <w:rPr>
          <w:rFonts w:ascii="Arial" w:hAnsi="Arial" w:cs="Arial"/>
          <w:i/>
          <w:iCs/>
          <w:sz w:val="22"/>
          <w:szCs w:val="22"/>
          <w:lang w:val="es"/>
        </w:rPr>
        <w:t>mitigation</w:t>
      </w:r>
      <w:proofErr w:type="spellEnd"/>
      <w:r>
        <w:rPr>
          <w:rFonts w:ascii="Arial" w:hAnsi="Arial" w:cs="Arial"/>
          <w:sz w:val="22"/>
          <w:szCs w:val="22"/>
          <w:lang w:val="es"/>
        </w:rPr>
        <w:t xml:space="preserve"> como Manuales y Guías de la COI, </w:t>
      </w:r>
      <w:hyperlink r:id="rId65">
        <w:r>
          <w:rPr>
            <w:rStyle w:val="Hyperlink"/>
            <w:rFonts w:ascii="Arial" w:hAnsi="Arial" w:cs="Arial"/>
            <w:snapToGrid w:val="0"/>
            <w:sz w:val="22"/>
            <w:szCs w:val="22"/>
            <w:lang w:val="es"/>
          </w:rPr>
          <w:t>93</w:t>
        </w:r>
      </w:hyperlink>
      <w:r>
        <w:rPr>
          <w:rFonts w:ascii="Arial" w:hAnsi="Arial" w:cs="Arial"/>
          <w:sz w:val="22"/>
          <w:szCs w:val="22"/>
          <w:lang w:val="es"/>
        </w:rPr>
        <w:t xml:space="preserve">; la publicación conjunta </w:t>
      </w:r>
      <w:proofErr w:type="spellStart"/>
      <w:r>
        <w:rPr>
          <w:rFonts w:ascii="Arial" w:hAnsi="Arial" w:cs="Arial"/>
          <w:sz w:val="22"/>
          <w:szCs w:val="22"/>
          <w:lang w:val="es"/>
        </w:rPr>
        <w:t>GlobalHAB</w:t>
      </w:r>
      <w:proofErr w:type="spellEnd"/>
      <w:r>
        <w:rPr>
          <w:rFonts w:ascii="Arial" w:hAnsi="Arial" w:cs="Arial"/>
          <w:sz w:val="22"/>
          <w:szCs w:val="22"/>
          <w:lang w:val="es"/>
        </w:rPr>
        <w:t xml:space="preserve">-GESAMP </w:t>
      </w:r>
      <w:proofErr w:type="spellStart"/>
      <w:r>
        <w:rPr>
          <w:rFonts w:ascii="Arial" w:hAnsi="Arial" w:cs="Arial"/>
          <w:i/>
          <w:iCs/>
          <w:sz w:val="22"/>
          <w:szCs w:val="22"/>
          <w:lang w:val="es"/>
        </w:rPr>
        <w:t>Sargassum</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white</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paper</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addressing</w:t>
      </w:r>
      <w:proofErr w:type="spellEnd"/>
      <w:r>
        <w:rPr>
          <w:rFonts w:ascii="Arial" w:hAnsi="Arial" w:cs="Arial"/>
          <w:i/>
          <w:iCs/>
          <w:sz w:val="22"/>
          <w:szCs w:val="22"/>
          <w:lang w:val="es"/>
        </w:rPr>
        <w:t xml:space="preserve"> the </w:t>
      </w:r>
      <w:proofErr w:type="spellStart"/>
      <w:r>
        <w:rPr>
          <w:rFonts w:ascii="Arial" w:hAnsi="Arial" w:cs="Arial"/>
          <w:i/>
          <w:iCs/>
          <w:sz w:val="22"/>
          <w:szCs w:val="22"/>
          <w:lang w:val="es"/>
        </w:rPr>
        <w:t>influxes</w:t>
      </w:r>
      <w:proofErr w:type="spellEnd"/>
      <w:r>
        <w:rPr>
          <w:rFonts w:ascii="Arial" w:hAnsi="Arial" w:cs="Arial"/>
          <w:i/>
          <w:iCs/>
          <w:sz w:val="22"/>
          <w:szCs w:val="22"/>
          <w:lang w:val="es"/>
        </w:rPr>
        <w:t xml:space="preserve"> of the </w:t>
      </w:r>
      <w:proofErr w:type="spellStart"/>
      <w:r>
        <w:rPr>
          <w:rFonts w:ascii="Arial" w:hAnsi="Arial" w:cs="Arial"/>
          <w:i/>
          <w:iCs/>
          <w:sz w:val="22"/>
          <w:szCs w:val="22"/>
          <w:lang w:val="es"/>
        </w:rPr>
        <w:t>holopelagic</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Sargassum</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spp</w:t>
      </w:r>
      <w:proofErr w:type="spellEnd"/>
      <w:r>
        <w:rPr>
          <w:rFonts w:ascii="Arial" w:hAnsi="Arial" w:cs="Arial"/>
          <w:i/>
          <w:iCs/>
          <w:sz w:val="22"/>
          <w:szCs w:val="22"/>
          <w:lang w:val="es"/>
        </w:rPr>
        <w:t xml:space="preserve">. in the </w:t>
      </w:r>
      <w:proofErr w:type="spellStart"/>
      <w:r>
        <w:rPr>
          <w:rFonts w:ascii="Arial" w:hAnsi="Arial" w:cs="Arial"/>
          <w:i/>
          <w:iCs/>
          <w:sz w:val="22"/>
          <w:szCs w:val="22"/>
          <w:lang w:val="es"/>
        </w:rPr>
        <w:t>equatorial</w:t>
      </w:r>
      <w:proofErr w:type="spellEnd"/>
      <w:r>
        <w:rPr>
          <w:rFonts w:ascii="Arial" w:hAnsi="Arial" w:cs="Arial"/>
          <w:i/>
          <w:iCs/>
          <w:sz w:val="22"/>
          <w:szCs w:val="22"/>
          <w:lang w:val="es"/>
        </w:rPr>
        <w:t xml:space="preserve"> and subtropical Atlantic: </w:t>
      </w:r>
      <w:proofErr w:type="spellStart"/>
      <w:r>
        <w:rPr>
          <w:rFonts w:ascii="Arial" w:hAnsi="Arial" w:cs="Arial"/>
          <w:i/>
          <w:iCs/>
          <w:sz w:val="22"/>
          <w:szCs w:val="22"/>
          <w:lang w:val="es"/>
        </w:rPr>
        <w:t>recent</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scientific</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insights</w:t>
      </w:r>
      <w:proofErr w:type="spellEnd"/>
      <w:r>
        <w:rPr>
          <w:rFonts w:ascii="Arial" w:hAnsi="Arial" w:cs="Arial"/>
          <w:i/>
          <w:iCs/>
          <w:sz w:val="22"/>
          <w:szCs w:val="22"/>
          <w:lang w:val="es"/>
        </w:rPr>
        <w:t xml:space="preserve"> in </w:t>
      </w:r>
      <w:proofErr w:type="spellStart"/>
      <w:r>
        <w:rPr>
          <w:rFonts w:ascii="Arial" w:hAnsi="Arial" w:cs="Arial"/>
          <w:i/>
          <w:iCs/>
          <w:sz w:val="22"/>
          <w:szCs w:val="22"/>
          <w:lang w:val="es"/>
        </w:rPr>
        <w:t>their</w:t>
      </w:r>
      <w:proofErr w:type="spellEnd"/>
      <w:r>
        <w:rPr>
          <w:rFonts w:ascii="Arial" w:hAnsi="Arial" w:cs="Arial"/>
          <w:i/>
          <w:iCs/>
          <w:sz w:val="22"/>
          <w:szCs w:val="22"/>
          <w:lang w:val="es"/>
        </w:rPr>
        <w:t xml:space="preserve"> </w:t>
      </w:r>
      <w:proofErr w:type="spellStart"/>
      <w:r>
        <w:rPr>
          <w:rFonts w:ascii="Arial" w:hAnsi="Arial" w:cs="Arial"/>
          <w:i/>
          <w:iCs/>
          <w:sz w:val="22"/>
          <w:szCs w:val="22"/>
          <w:lang w:val="es"/>
        </w:rPr>
        <w:t>dynamics</w:t>
      </w:r>
      <w:proofErr w:type="spellEnd"/>
      <w:r>
        <w:rPr>
          <w:rFonts w:ascii="Arial" w:hAnsi="Arial" w:cs="Arial"/>
          <w:sz w:val="22"/>
          <w:szCs w:val="22"/>
          <w:lang w:val="es"/>
        </w:rPr>
        <w:t xml:space="preserve">, como Manuales y Guías de la COI, </w:t>
      </w:r>
      <w:hyperlink r:id="rId66">
        <w:r>
          <w:rPr>
            <w:rStyle w:val="Hyperlink"/>
            <w:rFonts w:ascii="Arial" w:hAnsi="Arial" w:cs="Arial"/>
            <w:snapToGrid w:val="0"/>
            <w:sz w:val="22"/>
            <w:szCs w:val="22"/>
            <w:lang w:val="es"/>
          </w:rPr>
          <w:t>96</w:t>
        </w:r>
      </w:hyperlink>
      <w:r>
        <w:rPr>
          <w:rFonts w:ascii="Arial" w:hAnsi="Arial" w:cs="Arial"/>
          <w:sz w:val="22"/>
          <w:szCs w:val="22"/>
          <w:lang w:val="es"/>
        </w:rPr>
        <w:t>; y los avances en las pruebas de mejora de la vigilancia de las floraciones de algas nocivas en África en sistemas de alerta temprana.</w:t>
      </w:r>
    </w:p>
    <w:p w14:paraId="1813CA93" w14:textId="7F8AFB51" w:rsidR="00AC4038" w:rsidRPr="006C41C4" w:rsidRDefault="00AF7AE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A continuación, presentó las 11 decisiones adoptadas por el IPHAB en su 17</w:t>
      </w:r>
      <w:r>
        <w:rPr>
          <w:rFonts w:ascii="Arial" w:hAnsi="Arial" w:cs="Arial"/>
          <w:sz w:val="22"/>
          <w:szCs w:val="22"/>
          <w:vertAlign w:val="superscript"/>
          <w:lang w:val="es"/>
        </w:rPr>
        <w:t>ª</w:t>
      </w:r>
      <w:r>
        <w:rPr>
          <w:rFonts w:ascii="Arial" w:hAnsi="Arial" w:cs="Arial"/>
          <w:sz w:val="22"/>
          <w:szCs w:val="22"/>
          <w:lang w:val="es"/>
        </w:rPr>
        <w:t xml:space="preserve"> reunión, la mayoría de las cuales se refieren a la situación de los Equipos de Trabajo del IPHAB. Estas, además de presentarse a la Asamblea, se someterán al Comité de Pesca de la FAO (COFI). Las decisiones se refieren a los equipos de trabajo sobre detección precoz, alerta y previsión de episodios de floraciones de algas nocivas, sobre el desarrollo del sistema de información sobre algas nocivas y un informe periódico sobre la situación mundial de las floraciones de algas nocivas, sobre las algas nocivas bentónicas y sus toxinas, sobre las algas nocivas y la desalinización del agua de mar, sobre la vigilancia, gestión y reglamentación de las biotoxinas, sobre la taxonomía de las algas, sobre las microalgas que matan a los peces y los efectos en los ecosistemas, y sobre el desarrollo de programas regionales de HAB, Comunicación HAB. También se tomaron decisiones sobre un nuevo plan decenal para el programa COI-SCOR </w:t>
      </w:r>
      <w:proofErr w:type="spellStart"/>
      <w:r>
        <w:rPr>
          <w:rFonts w:ascii="Arial" w:hAnsi="Arial" w:cs="Arial"/>
          <w:sz w:val="22"/>
          <w:szCs w:val="22"/>
          <w:lang w:val="es"/>
        </w:rPr>
        <w:t>GlobalHAB</w:t>
      </w:r>
      <w:proofErr w:type="spellEnd"/>
      <w:r>
        <w:rPr>
          <w:rFonts w:ascii="Arial" w:hAnsi="Arial" w:cs="Arial"/>
          <w:sz w:val="22"/>
          <w:szCs w:val="22"/>
          <w:lang w:val="es"/>
        </w:rPr>
        <w:t xml:space="preserve"> y sobre iniciativas de formación y desarrollo de capacidades en HAB con la OTGA. Esta decisión final también incluía asegurar el futuro del Ejercicio Internacional de </w:t>
      </w:r>
      <w:proofErr w:type="spellStart"/>
      <w:r>
        <w:rPr>
          <w:rFonts w:ascii="Arial" w:hAnsi="Arial" w:cs="Arial"/>
          <w:sz w:val="22"/>
          <w:szCs w:val="22"/>
          <w:lang w:val="es"/>
        </w:rPr>
        <w:t>Intercalibración</w:t>
      </w:r>
      <w:proofErr w:type="spellEnd"/>
      <w:r>
        <w:rPr>
          <w:rFonts w:ascii="Arial" w:hAnsi="Arial" w:cs="Arial"/>
          <w:sz w:val="22"/>
          <w:szCs w:val="22"/>
          <w:lang w:val="es"/>
        </w:rPr>
        <w:t xml:space="preserve"> del Fitoplancton (IPI).</w:t>
      </w:r>
    </w:p>
    <w:p w14:paraId="43ADCC27" w14:textId="11D84631" w:rsidR="00B81190" w:rsidRPr="006C41C4" w:rsidRDefault="00AF7AE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lastRenderedPageBreak/>
        <w:t xml:space="preserve">A continuación, tomó nota de la reelección del Sr. Philipp Hess (Francia) como </w:t>
      </w:r>
      <w:proofErr w:type="gramStart"/>
      <w:r>
        <w:rPr>
          <w:rFonts w:ascii="Arial" w:hAnsi="Arial" w:cs="Arial"/>
          <w:sz w:val="22"/>
          <w:szCs w:val="22"/>
          <w:lang w:val="es"/>
        </w:rPr>
        <w:t>Presidente</w:t>
      </w:r>
      <w:proofErr w:type="gramEnd"/>
      <w:r>
        <w:rPr>
          <w:rFonts w:ascii="Arial" w:hAnsi="Arial" w:cs="Arial"/>
          <w:sz w:val="22"/>
          <w:szCs w:val="22"/>
          <w:lang w:val="es"/>
        </w:rPr>
        <w:t xml:space="preserve"> y de la elección de la Dra. Begoña Ben </w:t>
      </w:r>
      <w:proofErr w:type="spellStart"/>
      <w:r>
        <w:rPr>
          <w:rFonts w:ascii="Arial" w:hAnsi="Arial" w:cs="Arial"/>
          <w:sz w:val="22"/>
          <w:szCs w:val="22"/>
          <w:lang w:val="es"/>
        </w:rPr>
        <w:t>Gigirey</w:t>
      </w:r>
      <w:proofErr w:type="spellEnd"/>
      <w:r>
        <w:rPr>
          <w:rFonts w:ascii="Arial" w:hAnsi="Arial" w:cs="Arial"/>
          <w:sz w:val="22"/>
          <w:szCs w:val="22"/>
          <w:lang w:val="es"/>
        </w:rPr>
        <w:t xml:space="preserve"> (España) como </w:t>
      </w:r>
      <w:proofErr w:type="gramStart"/>
      <w:r>
        <w:rPr>
          <w:rFonts w:ascii="Arial" w:hAnsi="Arial" w:cs="Arial"/>
          <w:sz w:val="22"/>
          <w:szCs w:val="22"/>
          <w:lang w:val="es"/>
        </w:rPr>
        <w:t>Vicepresidenta</w:t>
      </w:r>
      <w:proofErr w:type="gramEnd"/>
      <w:r>
        <w:rPr>
          <w:rFonts w:ascii="Arial" w:hAnsi="Arial" w:cs="Arial"/>
          <w:sz w:val="22"/>
          <w:szCs w:val="22"/>
          <w:lang w:val="es"/>
        </w:rPr>
        <w:t xml:space="preserve"> en la 17</w:t>
      </w:r>
      <w:r>
        <w:rPr>
          <w:rFonts w:ascii="Arial" w:hAnsi="Arial" w:cs="Arial"/>
          <w:sz w:val="22"/>
          <w:szCs w:val="22"/>
          <w:vertAlign w:val="superscript"/>
          <w:lang w:val="es"/>
        </w:rPr>
        <w:t>ª</w:t>
      </w:r>
      <w:r>
        <w:rPr>
          <w:rFonts w:ascii="Arial" w:hAnsi="Arial" w:cs="Arial"/>
          <w:sz w:val="22"/>
          <w:szCs w:val="22"/>
          <w:lang w:val="es"/>
        </w:rPr>
        <w:t xml:space="preserve"> reunión del IPHAB.</w:t>
      </w:r>
    </w:p>
    <w:p w14:paraId="3EA7C272" w14:textId="310991B4" w:rsidR="00734F38" w:rsidRPr="006C41C4" w:rsidRDefault="0084207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17 Estados Miembros y 1 observador. </w:t>
      </w:r>
    </w:p>
    <w:p w14:paraId="00BA7FA3" w14:textId="0ACFF787" w:rsidR="00734F38" w:rsidRPr="006C41C4"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 Asamblea reiteró su calurosa bienvenida a la FAO como copatrocinadora del IPHAB y subrayó la importancia de vincular la ciencia sobre las floraciones de algas nocivas con la inocuidad de los alimentos, la salud pública y los medios de subsistencia.</w:t>
      </w:r>
    </w:p>
    <w:p w14:paraId="0DBF353C" w14:textId="7E247EDC" w:rsidR="00734F38" w:rsidRPr="006C41C4" w:rsidRDefault="00AF7AE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 Asamblea se refirió a la preocupación generalizada a escala nacional por la proliferación de FAN y la compleja amenaza recurrente que suponen para la acuicultura, la seguridad alimentaria y el turismo. También señalaron cómo esta preocupación se refleja en las prioridades nacionales de gestión y mitigación de las floraciones de algas nocivas en muchos Estados Miembros.</w:t>
      </w:r>
    </w:p>
    <w:p w14:paraId="7B69E7EE" w14:textId="49BD94C1" w:rsidR="00734F38" w:rsidRPr="006C41C4"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expresó su amplio reconocimiento por las actividades y los logros del IPHAB, así como por el plan de trabajo propuesto para 2026-2027, incluido el nuevo plan decenal para IOC-SCOR </w:t>
      </w:r>
      <w:proofErr w:type="spellStart"/>
      <w:r>
        <w:rPr>
          <w:rFonts w:ascii="Arial" w:hAnsi="Arial" w:cs="Arial"/>
          <w:sz w:val="22"/>
          <w:szCs w:val="22"/>
          <w:lang w:val="es"/>
        </w:rPr>
        <w:t>GlobalHAB</w:t>
      </w:r>
      <w:proofErr w:type="spellEnd"/>
      <w:r>
        <w:rPr>
          <w:rFonts w:ascii="Arial" w:hAnsi="Arial" w:cs="Arial"/>
          <w:sz w:val="22"/>
          <w:szCs w:val="22"/>
          <w:lang w:val="es"/>
        </w:rPr>
        <w:t xml:space="preserve">. Las intervenciones de los Estados Miembros, en particular, identificaron oportunidades de desarrollo de capacidades tales como las asociadas al desarrollo de sistemas de alerta temprana de las floraciones de algas nocivas, enfoques de mitigación y gestión adaptativa; comprensión de los cursos y efectos de las floraciones de algas nocivas; cooperación regional para abordar el grave problema de las apariciones masivas de </w:t>
      </w:r>
      <w:proofErr w:type="spellStart"/>
      <w:r>
        <w:rPr>
          <w:rFonts w:ascii="Arial" w:hAnsi="Arial" w:cs="Arial"/>
          <w:sz w:val="22"/>
          <w:szCs w:val="22"/>
          <w:lang w:val="es"/>
        </w:rPr>
        <w:t>Sargassum</w:t>
      </w:r>
      <w:proofErr w:type="spellEnd"/>
      <w:r>
        <w:rPr>
          <w:rFonts w:ascii="Arial" w:hAnsi="Arial" w:cs="Arial"/>
          <w:sz w:val="22"/>
          <w:szCs w:val="22"/>
          <w:lang w:val="es"/>
        </w:rPr>
        <w:t xml:space="preserve">; comprensión del papel del cambio climático como impulsor de la proliferación de floraciones de algas nocivas; y colaboración regional en general. Además, la Asamblea señaló que la gestión y mitigación de las floraciones de algas nocivas debe formar parte de la planificación de la economía azul. </w:t>
      </w:r>
    </w:p>
    <w:p w14:paraId="28F39674" w14:textId="77777777" w:rsidR="00734F38" w:rsidRPr="006C41C4"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El Sistema de Información sobre Algas Nocivas (HAIS), que combina el OBIS con la Base de Datos sobre Fenómenos de Algas Nocivas HAEDAT de la COI, el CIEM y la PICES (en el marco del IODE), se consideró un recurso mundial, y la publicación continua de un Informe Mundial sobre la Situación de las FAN se consideró valiosa e importante.</w:t>
      </w:r>
    </w:p>
    <w:p w14:paraId="23DF9B1C" w14:textId="778AA6D9" w:rsidR="00734F38" w:rsidRPr="006C41C4"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 Asamblea destacó con aprecio los proyectos piloto sobre sistemas de alerta temprana de floraciones de algas nocivas en África desarrollados e implementados en colaboración con la FAO y expresó su gratitud a NORAD por la financiación. La Asamblea reconoció que este tipo de proyectos reportan beneficios directos a la acuicultura, el turismo y la pesca local.</w:t>
      </w:r>
    </w:p>
    <w:p w14:paraId="5CBE76FE" w14:textId="5D06EFA0" w:rsidR="00734F38" w:rsidRPr="006C41C4"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 PICES reconfirmó su deseo de proseguir la larga colaboración con la COI y el IPHAB sobre las HAB, incluida la base de datos conjunta COI-ICES-PICES sobre episodios de algas nocivas (HAEDAT). La PICES señaló que sus actividades coinciden en gran medida con los objetivos de tres equipos de trabajo del IPHAB sobre las algas nocivas bentónicas y sus toxinas, la taxonomía de las algas y las microalgas que matan a los peces y sus efectos en los ecosistemas.</w:t>
      </w:r>
    </w:p>
    <w:p w14:paraId="596EA069" w14:textId="1D2FD403" w:rsidR="00734F38" w:rsidRPr="006C41C4"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Además, la PICES ha continuado una serie de proyectos en colaboración con la COI/WESTPAC, para desarrollar la capacidad en Filipinas e Indonesia, así como proyectos en Guatemala para fomentar la capacidad de alerta temprana de las HAB y aumentar la sostenibilidad de sus recursos pesqueros proporcionándoles información sobre las HAB.</w:t>
      </w:r>
    </w:p>
    <w:p w14:paraId="48D63DF6" w14:textId="5727804E" w:rsidR="00842073" w:rsidRPr="006C41C4" w:rsidRDefault="00842073" w:rsidP="00B21807">
      <w:pPr>
        <w:pStyle w:val="ListParagraph1"/>
        <w:widowControl/>
        <w:numPr>
          <w:ilvl w:val="0"/>
          <w:numId w:val="8"/>
        </w:numPr>
        <w:tabs>
          <w:tab w:val="left" w:pos="851"/>
        </w:tabs>
        <w:snapToGrid w:val="0"/>
        <w:spacing w:after="240"/>
        <w:ind w:left="0" w:firstLine="0"/>
        <w:contextualSpacing w:val="0"/>
        <w:rPr>
          <w:rFonts w:ascii="Arial" w:hAnsi="Arial"/>
          <w:sz w:val="22"/>
          <w:lang w:val="es-ES"/>
        </w:rPr>
      </w:pPr>
      <w:r>
        <w:rPr>
          <w:rFonts w:ascii="Arial" w:hAnsi="Arial" w:cs="Arial"/>
          <w:sz w:val="22"/>
          <w:szCs w:val="22"/>
          <w:lang w:val="es"/>
        </w:rPr>
        <w:t xml:space="preserve">Los siguientes Estados Miembros y un observador optaron por dejar constancia de su intervención en el pleno sobre este punto del orden del día para el anexo informativo del informe de la reunión: </w:t>
      </w:r>
      <w:hyperlink w:anchor="chil345" w:history="1">
        <w:r>
          <w:rPr>
            <w:rStyle w:val="Hyperlink"/>
            <w:rFonts w:ascii="Arial" w:hAnsi="Arial" w:cs="Arial"/>
            <w:sz w:val="22"/>
            <w:szCs w:val="22"/>
            <w:lang w:val="es"/>
          </w:rPr>
          <w:t>Chile</w:t>
        </w:r>
      </w:hyperlink>
      <w:r>
        <w:rPr>
          <w:rFonts w:ascii="Arial" w:hAnsi="Arial" w:cs="Arial"/>
          <w:sz w:val="22"/>
          <w:szCs w:val="22"/>
          <w:lang w:val="es"/>
        </w:rPr>
        <w:t xml:space="preserve">, </w:t>
      </w:r>
      <w:hyperlink w:anchor="chin345"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fra345" w:history="1">
        <w:r>
          <w:rPr>
            <w:rStyle w:val="Hyperlink"/>
            <w:rFonts w:ascii="Arial" w:hAnsi="Arial" w:cs="Arial"/>
            <w:sz w:val="22"/>
            <w:szCs w:val="22"/>
            <w:lang w:val="es"/>
          </w:rPr>
          <w:t>Francia</w:t>
        </w:r>
      </w:hyperlink>
      <w:r>
        <w:rPr>
          <w:rFonts w:ascii="Arial" w:hAnsi="Arial" w:cs="Arial"/>
          <w:sz w:val="22"/>
          <w:szCs w:val="22"/>
          <w:lang w:val="es"/>
        </w:rPr>
        <w:t xml:space="preserve">, </w:t>
      </w:r>
      <w:hyperlink w:anchor="india345" w:history="1">
        <w:r>
          <w:rPr>
            <w:rStyle w:val="Hyperlink"/>
            <w:rFonts w:ascii="Arial" w:hAnsi="Arial" w:cs="Arial"/>
            <w:sz w:val="22"/>
            <w:szCs w:val="22"/>
            <w:lang w:val="es"/>
          </w:rPr>
          <w:t>India</w:t>
        </w:r>
      </w:hyperlink>
      <w:r>
        <w:rPr>
          <w:rFonts w:ascii="Arial" w:hAnsi="Arial" w:cs="Arial"/>
          <w:sz w:val="22"/>
          <w:szCs w:val="22"/>
          <w:lang w:val="es"/>
        </w:rPr>
        <w:t xml:space="preserve">, </w:t>
      </w:r>
      <w:hyperlink w:anchor="jap345"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malay345" w:history="1">
        <w:r>
          <w:rPr>
            <w:rStyle w:val="Hyperlink"/>
            <w:rFonts w:ascii="Arial" w:hAnsi="Arial" w:cs="Arial"/>
            <w:sz w:val="22"/>
            <w:szCs w:val="22"/>
            <w:lang w:val="es"/>
          </w:rPr>
          <w:t>Malasia</w:t>
        </w:r>
      </w:hyperlink>
      <w:r>
        <w:rPr>
          <w:rFonts w:ascii="Arial" w:hAnsi="Arial" w:cs="Arial"/>
          <w:sz w:val="22"/>
          <w:szCs w:val="22"/>
          <w:lang w:val="es"/>
        </w:rPr>
        <w:t xml:space="preserve">, </w:t>
      </w:r>
      <w:hyperlink w:anchor="rus345"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pain345"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uk345" w:history="1">
        <w:r>
          <w:rPr>
            <w:rStyle w:val="Hyperlink"/>
            <w:rFonts w:ascii="Arial" w:hAnsi="Arial" w:cs="Arial"/>
            <w:sz w:val="22"/>
            <w:szCs w:val="22"/>
            <w:lang w:val="es"/>
          </w:rPr>
          <w:t>Reino Unido de Gran Bretaña e Irlanda del Norte</w:t>
        </w:r>
      </w:hyperlink>
      <w:r>
        <w:rPr>
          <w:rFonts w:ascii="Arial" w:hAnsi="Arial" w:cs="Arial"/>
          <w:sz w:val="22"/>
          <w:szCs w:val="22"/>
          <w:lang w:val="es"/>
        </w:rPr>
        <w:t xml:space="preserve"> y </w:t>
      </w:r>
      <w:hyperlink w:anchor="pices345" w:history="1">
        <w:r>
          <w:rPr>
            <w:rStyle w:val="Hyperlink"/>
            <w:rFonts w:ascii="Arial" w:hAnsi="Arial" w:cs="Arial"/>
            <w:sz w:val="22"/>
            <w:szCs w:val="22"/>
            <w:lang w:val="es"/>
          </w:rPr>
          <w:t>PICES</w:t>
        </w:r>
      </w:hyperlink>
      <w:r>
        <w:rPr>
          <w:rFonts w:ascii="Arial" w:hAnsi="Arial" w:cs="Arial"/>
          <w:sz w:val="22"/>
          <w:szCs w:val="22"/>
          <w:lang w:val="es"/>
        </w:rPr>
        <w:t>.</w:t>
      </w:r>
    </w:p>
    <w:p w14:paraId="54AAC080" w14:textId="6D5E1B0B"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lastRenderedPageBreak/>
        <w:t xml:space="preserve">La Asamblea adoptó la </w:t>
      </w:r>
      <w:r>
        <w:rPr>
          <w:rFonts w:asciiTheme="minorBidi" w:hAnsiTheme="minorBidi" w:cstheme="minorBidi"/>
          <w:sz w:val="22"/>
          <w:szCs w:val="22"/>
          <w:u w:val="single"/>
          <w:lang w:val="es"/>
        </w:rPr>
        <w:t>Decisión A-33/3.4.5</w:t>
      </w:r>
      <w:r>
        <w:rPr>
          <w:rFonts w:asciiTheme="minorBidi" w:hAnsiTheme="minorBidi" w:cstheme="minorBidi"/>
          <w:sz w:val="22"/>
          <w:szCs w:val="22"/>
          <w:lang w:val="es"/>
        </w:rPr>
        <w:t>.</w:t>
      </w:r>
    </w:p>
    <w:p w14:paraId="5E13F509" w14:textId="0106F72E" w:rsidR="0065434D" w:rsidRPr="006C41C4" w:rsidRDefault="00AE1A0F" w:rsidP="00AE1A0F">
      <w:pPr>
        <w:pStyle w:val="Heading2"/>
        <w:tabs>
          <w:tab w:val="clear" w:pos="737"/>
        </w:tabs>
        <w:ind w:left="851" w:hanging="851"/>
        <w:rPr>
          <w:lang w:val="es-ES"/>
        </w:rPr>
      </w:pPr>
      <w:bookmarkStart w:id="198" w:name="_Toc131777752"/>
      <w:bookmarkStart w:id="199" w:name="_Toc134002201"/>
      <w:bookmarkStart w:id="200" w:name="_Toc134002379"/>
      <w:bookmarkStart w:id="201" w:name="_Toc190766983"/>
      <w:bookmarkStart w:id="202" w:name="_Toc197955121"/>
      <w:bookmarkStart w:id="203" w:name="_Toc212133519"/>
      <w:bookmarkStart w:id="204" w:name="_Hlk136010378"/>
      <w:r>
        <w:rPr>
          <w:bCs w:val="0"/>
          <w:lang w:val="es"/>
        </w:rPr>
        <w:t>3.5</w:t>
      </w:r>
      <w:r>
        <w:rPr>
          <w:bCs w:val="0"/>
          <w:lang w:val="es"/>
        </w:rPr>
        <w:tab/>
        <w:t>INFORME DE LA COI A LA 43ª CONFERENCIA GENERAL DE LA UNESCO</w:t>
      </w:r>
      <w:bookmarkEnd w:id="198"/>
      <w:bookmarkEnd w:id="199"/>
      <w:bookmarkEnd w:id="200"/>
      <w:bookmarkEnd w:id="201"/>
      <w:bookmarkEnd w:id="202"/>
      <w:bookmarkEnd w:id="203"/>
    </w:p>
    <w:p w14:paraId="3E8D7C24" w14:textId="1DFB7300" w:rsidR="00700F7D" w:rsidRPr="006C41C4" w:rsidRDefault="00BB2EB7" w:rsidP="00547D9B">
      <w:pPr>
        <w:pStyle w:val="ListParagraph1"/>
        <w:widowControl/>
        <w:numPr>
          <w:ilvl w:val="0"/>
          <w:numId w:val="8"/>
        </w:numPr>
        <w:tabs>
          <w:tab w:val="left" w:pos="851"/>
        </w:tabs>
        <w:snapToGrid w:val="0"/>
        <w:spacing w:after="240"/>
        <w:ind w:left="0" w:firstLine="0"/>
        <w:contextualSpacing w:val="0"/>
        <w:rPr>
          <w:rFonts w:ascii="Adobe Devanagari" w:hAnsi="Adobe Devanagari" w:cs="Adobe Devanagari"/>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presentó brevemente este punto, explicando que la información incluida en el documento se basa en los informes presentados a la Asamblea en el punto 3.2 del orden del día.</w:t>
      </w:r>
    </w:p>
    <w:p w14:paraId="243252F7" w14:textId="217208FA" w:rsidR="00656368" w:rsidRPr="006C41C4" w:rsidRDefault="009552B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4 Estados Miembros. </w:t>
      </w:r>
    </w:p>
    <w:p w14:paraId="6BFE21EF" w14:textId="010E30A6" w:rsidR="00656368" w:rsidRPr="006C41C4" w:rsidRDefault="00FA09F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 Asamblea dio las gracias a la Secretaría por la calidad del informe propuesto. Reiteraron que, dada la importancia del océano para la humanidad, la aplicación de los Estatutos de la COI y la realización de su autonomía funcional son esenciales para mejorar el funcionamiento de la COI y los servicios esenciales que presta. Con este fin, y gracias a la propuesta de la Delegación Permanente de Japón ante la UNESCO, la Asamblea acogió con satisfacción la 221ª decisión del Consejo Ejecutivo de la UNESCO sobre el Proyecto de Programa y Presupuesto para 2026-2029 (Proyecto 43 C/5), en la que se reconoce la autonomía funcional de la COI, y pidió que sus recomendaciones, basadas en los objetivos y prioridades de la COI, se transmitieran a la 43ª Conferencia General de la UNESCO.</w:t>
      </w:r>
    </w:p>
    <w:p w14:paraId="5D7B2C46" w14:textId="5FAC933C" w:rsidR="00A27F31" w:rsidRPr="006C41C4" w:rsidRDefault="00A27F31" w:rsidP="00B21807">
      <w:pPr>
        <w:pStyle w:val="ListParagraph1"/>
        <w:widowControl/>
        <w:numPr>
          <w:ilvl w:val="0"/>
          <w:numId w:val="8"/>
        </w:numPr>
        <w:tabs>
          <w:tab w:val="left" w:pos="851"/>
        </w:tabs>
        <w:snapToGrid w:val="0"/>
        <w:spacing w:after="240"/>
        <w:ind w:left="0" w:firstLine="0"/>
        <w:contextualSpacing w:val="0"/>
        <w:rPr>
          <w:rFonts w:ascii="Arial" w:hAnsi="Arial"/>
          <w:sz w:val="22"/>
          <w:lang w:val="es-ES"/>
        </w:rPr>
      </w:pPr>
      <w:r>
        <w:rPr>
          <w:rFonts w:ascii="Arial" w:hAnsi="Arial" w:cs="Arial"/>
          <w:sz w:val="22"/>
          <w:szCs w:val="22"/>
          <w:lang w:val="es"/>
        </w:rPr>
        <w:t xml:space="preserve">El siguiente Estado Miembro ha optado por dejar constancia de su intervención en el Pleno sobre este punto del orden del día para el anexo informativo del informe de la reunión: </w:t>
      </w:r>
      <w:hyperlink w:anchor="uk35" w:history="1">
        <w:r>
          <w:rPr>
            <w:rStyle w:val="Hyperlink"/>
            <w:rFonts w:ascii="Arial" w:hAnsi="Arial" w:cs="Arial"/>
            <w:sz w:val="22"/>
            <w:szCs w:val="22"/>
            <w:lang w:val="es"/>
          </w:rPr>
          <w:t>Reino Unido de Gran Bretaña e Irlanda del Norte</w:t>
        </w:r>
      </w:hyperlink>
      <w:r>
        <w:rPr>
          <w:rFonts w:ascii="Arial" w:hAnsi="Arial" w:cs="Arial"/>
          <w:sz w:val="22"/>
          <w:szCs w:val="22"/>
          <w:lang w:val="es"/>
        </w:rPr>
        <w:t>.</w:t>
      </w:r>
    </w:p>
    <w:p w14:paraId="173695CC" w14:textId="7573F16C"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A-33/3.5</w:t>
      </w:r>
      <w:r>
        <w:rPr>
          <w:rFonts w:asciiTheme="minorBidi" w:hAnsiTheme="minorBidi" w:cstheme="minorBidi"/>
          <w:sz w:val="22"/>
          <w:szCs w:val="22"/>
          <w:lang w:val="es"/>
        </w:rPr>
        <w:t>.</w:t>
      </w:r>
    </w:p>
    <w:p w14:paraId="56F6425B" w14:textId="77777777" w:rsidR="00D70716" w:rsidRPr="00AE71B5" w:rsidRDefault="00D70716" w:rsidP="00547D9B">
      <w:pPr>
        <w:pStyle w:val="Heading1"/>
        <w:numPr>
          <w:ilvl w:val="0"/>
          <w:numId w:val="20"/>
        </w:numPr>
        <w:tabs>
          <w:tab w:val="clear" w:pos="567"/>
        </w:tabs>
        <w:spacing w:before="360"/>
        <w:ind w:left="851" w:hanging="851"/>
      </w:pPr>
      <w:bookmarkStart w:id="205" w:name="_Toc197955122"/>
      <w:bookmarkStart w:id="206" w:name="_Toc190766984"/>
      <w:bookmarkStart w:id="207" w:name="_Toc134002380"/>
      <w:bookmarkStart w:id="208" w:name="_Toc134002202"/>
      <w:bookmarkStart w:id="209" w:name="_Toc131777753"/>
      <w:bookmarkStart w:id="210" w:name="_Toc212133520"/>
      <w:bookmarkEnd w:id="204"/>
      <w:r>
        <w:rPr>
          <w:lang w:val="es"/>
        </w:rPr>
        <w:t>AVANCES PROGRAMÁTICOS</w:t>
      </w:r>
      <w:bookmarkEnd w:id="205"/>
      <w:bookmarkEnd w:id="206"/>
      <w:bookmarkEnd w:id="207"/>
      <w:bookmarkEnd w:id="208"/>
      <w:bookmarkEnd w:id="209"/>
      <w:bookmarkEnd w:id="210"/>
    </w:p>
    <w:p w14:paraId="405C801D" w14:textId="5815CC49" w:rsidR="00D70716" w:rsidRPr="006C41C4" w:rsidRDefault="005B13F7" w:rsidP="00AE1A0F">
      <w:pPr>
        <w:pStyle w:val="Heading2"/>
        <w:tabs>
          <w:tab w:val="clear" w:pos="737"/>
        </w:tabs>
        <w:ind w:left="851" w:hanging="851"/>
        <w:rPr>
          <w:lang w:val="es-ES"/>
        </w:rPr>
      </w:pPr>
      <w:bookmarkStart w:id="211" w:name="_Toc131777754"/>
      <w:bookmarkStart w:id="212" w:name="_Toc134002203"/>
      <w:bookmarkStart w:id="213" w:name="_Toc134002381"/>
      <w:bookmarkStart w:id="214" w:name="_Toc190766985"/>
      <w:bookmarkStart w:id="215" w:name="_Toc197955123"/>
      <w:bookmarkStart w:id="216" w:name="_Toc212133521"/>
      <w:bookmarkStart w:id="217" w:name="_Hlk136010765"/>
      <w:r>
        <w:rPr>
          <w:bCs w:val="0"/>
          <w:lang w:val="es"/>
        </w:rPr>
        <w:t>4.1</w:t>
      </w:r>
      <w:r>
        <w:rPr>
          <w:bCs w:val="0"/>
          <w:lang w:val="es"/>
        </w:rPr>
        <w:tab/>
        <w:t xml:space="preserve">PROYECTO DE ESTRATEGIA DE LA COI PARA LA </w:t>
      </w:r>
      <w:r>
        <w:rPr>
          <w:bCs w:val="0"/>
          <w:lang w:val="es"/>
        </w:rPr>
        <w:br/>
        <w:t>PLANIFICACIÓN Y GESTIÓN SOSTENIBLES DE LOS OCÉANOS</w:t>
      </w:r>
      <w:bookmarkEnd w:id="211"/>
      <w:bookmarkEnd w:id="212"/>
      <w:bookmarkEnd w:id="213"/>
      <w:bookmarkEnd w:id="214"/>
      <w:bookmarkEnd w:id="215"/>
      <w:bookmarkEnd w:id="216"/>
    </w:p>
    <w:p w14:paraId="58CE3B64" w14:textId="63433A90" w:rsidR="00761441" w:rsidRPr="006C41C4" w:rsidRDefault="4EFE166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copresidentes del Grupo de Trabajo de la COI sobre Planificación y Gestión Sostenibles de los Océanos, Sra. </w:t>
      </w:r>
      <w:proofErr w:type="spellStart"/>
      <w:r>
        <w:rPr>
          <w:rFonts w:ascii="Arial" w:hAnsi="Arial" w:cs="Arial"/>
          <w:sz w:val="22"/>
          <w:szCs w:val="22"/>
          <w:lang w:val="es"/>
        </w:rPr>
        <w:t>Marinez</w:t>
      </w:r>
      <w:proofErr w:type="spellEnd"/>
      <w:r>
        <w:rPr>
          <w:rFonts w:ascii="Arial" w:hAnsi="Arial" w:cs="Arial"/>
          <w:sz w:val="22"/>
          <w:szCs w:val="22"/>
          <w:lang w:val="es"/>
        </w:rPr>
        <w:t xml:space="preserve"> </w:t>
      </w:r>
      <w:proofErr w:type="spellStart"/>
      <w:r>
        <w:rPr>
          <w:rFonts w:ascii="Arial" w:hAnsi="Arial" w:cs="Arial"/>
          <w:sz w:val="22"/>
          <w:szCs w:val="22"/>
          <w:lang w:val="es"/>
        </w:rPr>
        <w:t>Scherer</w:t>
      </w:r>
      <w:proofErr w:type="spellEnd"/>
      <w:r>
        <w:rPr>
          <w:rFonts w:ascii="Arial" w:hAnsi="Arial" w:cs="Arial"/>
          <w:sz w:val="22"/>
          <w:szCs w:val="22"/>
          <w:lang w:val="es"/>
        </w:rPr>
        <w:t xml:space="preserve"> (Brasil) y Sr. Gunnar </w:t>
      </w:r>
      <w:proofErr w:type="spellStart"/>
      <w:r>
        <w:rPr>
          <w:rFonts w:ascii="Arial" w:hAnsi="Arial" w:cs="Arial"/>
          <w:sz w:val="22"/>
          <w:szCs w:val="22"/>
          <w:lang w:val="es"/>
        </w:rPr>
        <w:t>Finke</w:t>
      </w:r>
      <w:proofErr w:type="spellEnd"/>
      <w:r>
        <w:rPr>
          <w:rFonts w:ascii="Arial" w:hAnsi="Arial" w:cs="Arial"/>
          <w:sz w:val="22"/>
          <w:szCs w:val="22"/>
          <w:lang w:val="es"/>
        </w:rPr>
        <w:t xml:space="preserve"> (Alemania) presentaron este punto del orden del día, En su 32ª reunión, la Asamblea de la COI tomó nota por primera vez del alcance y el proceso de elaboración de la Estrategia de la COI sobre Planificación y Gestión Sostenibles de los Océanos (SOPM) para el periodo 2024-2030 mediante el documento </w:t>
      </w:r>
      <w:hyperlink r:id="rId67" w:history="1">
        <w:r>
          <w:rPr>
            <w:rStyle w:val="Hyperlink"/>
            <w:rFonts w:ascii="Arial" w:hAnsi="Arial" w:cs="Arial"/>
            <w:sz w:val="22"/>
            <w:szCs w:val="22"/>
            <w:lang w:val="es"/>
          </w:rPr>
          <w:t>IOC/A-32/4.7.Doc(1)</w:t>
        </w:r>
      </w:hyperlink>
      <w:r>
        <w:rPr>
          <w:rFonts w:ascii="Arial" w:hAnsi="Arial" w:cs="Arial"/>
          <w:sz w:val="22"/>
          <w:szCs w:val="22"/>
          <w:lang w:val="es"/>
        </w:rPr>
        <w:t xml:space="preserve"> y pidió a la Secretaría de la COI que recabara aportaciones de los Estados Miembros, los programas y órganos técnicos de la COI y otras partes interesadas pertinentes, y que presentara un documento revisado al Consejo Ejecutivo de la COI en su 57ª reunión. El proyecto de Estrategia COI-SOPM se presentó al Consejo Ejecutivo de la COI en su 57ª reunión, mediante el documento </w:t>
      </w:r>
      <w:hyperlink r:id="rId68" w:history="1">
        <w:r>
          <w:rPr>
            <w:rStyle w:val="Hyperlink"/>
            <w:rFonts w:ascii="Arial" w:hAnsi="Arial" w:cs="Arial"/>
            <w:sz w:val="22"/>
            <w:szCs w:val="22"/>
            <w:lang w:val="es"/>
          </w:rPr>
          <w:t>IOC/EC-57/4.</w:t>
        </w:r>
        <w:proofErr w:type="gramStart"/>
        <w:r>
          <w:rPr>
            <w:rStyle w:val="Hyperlink"/>
            <w:rFonts w:ascii="Arial" w:hAnsi="Arial" w:cs="Arial"/>
            <w:sz w:val="22"/>
            <w:szCs w:val="22"/>
            <w:lang w:val="es"/>
          </w:rPr>
          <w:t>3.Doc</w:t>
        </w:r>
        <w:proofErr w:type="gramEnd"/>
        <w:r>
          <w:rPr>
            <w:rStyle w:val="Hyperlink"/>
            <w:rFonts w:ascii="Arial" w:hAnsi="Arial" w:cs="Arial"/>
            <w:sz w:val="22"/>
            <w:szCs w:val="22"/>
            <w:lang w:val="es"/>
          </w:rPr>
          <w:t>(1</w:t>
        </w:r>
        <w:proofErr w:type="gramStart"/>
        <w:r>
          <w:rPr>
            <w:rStyle w:val="Hyperlink"/>
            <w:rFonts w:ascii="Arial" w:hAnsi="Arial" w:cs="Arial"/>
            <w:sz w:val="22"/>
            <w:szCs w:val="22"/>
            <w:lang w:val="es"/>
          </w:rPr>
          <w:t>).Rev</w:t>
        </w:r>
        <w:proofErr w:type="gramEnd"/>
      </w:hyperlink>
      <w:r>
        <w:rPr>
          <w:rFonts w:ascii="Arial" w:hAnsi="Arial" w:cs="Arial"/>
          <w:sz w:val="22"/>
          <w:szCs w:val="22"/>
          <w:lang w:val="es"/>
        </w:rPr>
        <w:t xml:space="preserve">. El proyecto de IOC-SOPM se basó en las aportaciones solicitadas mediante la Circular de la COI </w:t>
      </w:r>
      <w:hyperlink r:id="rId69" w:history="1">
        <w:r>
          <w:rPr>
            <w:rStyle w:val="Hyperlink"/>
            <w:rFonts w:ascii="Arial" w:hAnsi="Arial" w:cs="Arial"/>
            <w:sz w:val="22"/>
            <w:szCs w:val="22"/>
            <w:lang w:val="es"/>
          </w:rPr>
          <w:t>2968</w:t>
        </w:r>
      </w:hyperlink>
      <w:r>
        <w:rPr>
          <w:rFonts w:ascii="Arial" w:hAnsi="Arial" w:cs="Arial"/>
          <w:sz w:val="22"/>
          <w:szCs w:val="22"/>
          <w:lang w:val="es"/>
        </w:rPr>
        <w:t xml:space="preserve">, una encuesta que se elaboró y puso en marcha para comprender mejor el panorama actual del SOPM y determinar las necesidades de las partes interesadas en materia de apoyo técnico y científico. Las aportaciones recibidas se sintetizaron en el documento </w:t>
      </w:r>
      <w:hyperlink r:id="rId70" w:history="1">
        <w:r>
          <w:rPr>
            <w:rStyle w:val="Hyperlink"/>
            <w:rFonts w:ascii="Arial" w:hAnsi="Arial" w:cs="Arial"/>
            <w:sz w:val="22"/>
            <w:szCs w:val="22"/>
            <w:lang w:val="es"/>
          </w:rPr>
          <w:t>IOC/INF-1537</w:t>
        </w:r>
      </w:hyperlink>
      <w:r>
        <w:rPr>
          <w:rFonts w:ascii="Arial" w:hAnsi="Arial" w:cs="Arial"/>
          <w:sz w:val="22"/>
          <w:szCs w:val="22"/>
          <w:lang w:val="es"/>
        </w:rPr>
        <w:t xml:space="preserve"> y su </w:t>
      </w:r>
      <w:proofErr w:type="spellStart"/>
      <w:r>
        <w:rPr>
          <w:rFonts w:ascii="Arial" w:hAnsi="Arial" w:cs="Arial"/>
          <w:sz w:val="22"/>
          <w:szCs w:val="22"/>
          <w:lang w:val="es"/>
        </w:rPr>
        <w:t>addendum</w:t>
      </w:r>
      <w:proofErr w:type="spellEnd"/>
      <w:r>
        <w:rPr>
          <w:rFonts w:ascii="Arial" w:hAnsi="Arial" w:cs="Arial"/>
          <w:sz w:val="22"/>
          <w:szCs w:val="22"/>
          <w:lang w:val="es"/>
        </w:rPr>
        <w:t xml:space="preserve"> y se organizaron dos reuniones de consulta en línea con los Estados Miembros de la COI en mayo de 2024.</w:t>
      </w:r>
    </w:p>
    <w:p w14:paraId="054B1A78" w14:textId="4E959C3E" w:rsidR="00761441" w:rsidRPr="006C41C4" w:rsidRDefault="0A73A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El Consejo Ejecutivo de la COI, mediante la decisión EC-57/4.3, encargó la creación del Grupo de Trabajo de la COI sobre Planificación y Gestión Sostenibles de los Océanos con el objetivo</w:t>
      </w:r>
      <w:r>
        <w:rPr>
          <w:rFonts w:ascii="Arial" w:hAnsi="Arial" w:cs="Arial"/>
          <w:i/>
          <w:iCs/>
          <w:sz w:val="22"/>
          <w:szCs w:val="22"/>
          <w:lang w:val="es"/>
        </w:rPr>
        <w:t xml:space="preserve">, </w:t>
      </w:r>
      <w:r>
        <w:rPr>
          <w:rFonts w:ascii="Arial" w:hAnsi="Arial" w:cs="Arial"/>
          <w:sz w:val="22"/>
          <w:szCs w:val="22"/>
          <w:lang w:val="es"/>
        </w:rPr>
        <w:t xml:space="preserve">entre otros, de finalizar el proyecto de Estrategia COI-SOPM y un Plan de Ejecución de apoyo. El Grupo de Trabajo se reunió en dos ocasiones, en línea el 6 de febrero de 2025 y en persona del 4 al 6 de marzo de 2025, y aportó sus comentarios a través de dos rondas de consulta adicionales. El 15 de abril se organizó una tercera reunión en línea en la que el grupo </w:t>
      </w:r>
      <w:r>
        <w:rPr>
          <w:rFonts w:ascii="Arial" w:hAnsi="Arial" w:cs="Arial"/>
          <w:sz w:val="22"/>
          <w:szCs w:val="22"/>
          <w:lang w:val="es"/>
        </w:rPr>
        <w:lastRenderedPageBreak/>
        <w:t xml:space="preserve">de trabajo finalizó la "Estrategia y Plan de Ejecución COI-SOPM". Habida cuenta de la necesidad de establecer un mecanismo para seguir y orientar la aplicación de la Estrategia durante el periodo 2025-2030, y de examinar los resultados del proceso de consulta "La COI y el futuro del océano" en su relación con la planificación sostenible de los océanos, se ha redactado un mandato para la continuación del Grupo de Trabajo de la COI sobre SOPM con el fin de someterlo a la consideración de la Asamblea de la COI. </w:t>
      </w:r>
    </w:p>
    <w:p w14:paraId="7609047A" w14:textId="7A994287" w:rsidR="001B514A" w:rsidRPr="006C41C4" w:rsidRDefault="008A6A09" w:rsidP="00547D9B">
      <w:pPr>
        <w:pStyle w:val="ListParagraph1"/>
        <w:widowControl/>
        <w:numPr>
          <w:ilvl w:val="0"/>
          <w:numId w:val="8"/>
        </w:numPr>
        <w:tabs>
          <w:tab w:val="left" w:pos="851"/>
        </w:tabs>
        <w:snapToGrid w:val="0"/>
        <w:spacing w:after="240"/>
        <w:ind w:left="0" w:firstLine="0"/>
        <w:contextualSpacing w:val="0"/>
        <w:rPr>
          <w:lang w:val="es-ES"/>
        </w:rPr>
      </w:pPr>
      <w:r>
        <w:rPr>
          <w:rFonts w:ascii="Arial" w:hAnsi="Arial" w:cs="Arial"/>
          <w:sz w:val="22"/>
          <w:szCs w:val="22"/>
          <w:lang w:val="es"/>
        </w:rPr>
        <w:t xml:space="preserve">Tomaron la palabra los representantes de 18 Estados Miembros. </w:t>
      </w:r>
    </w:p>
    <w:p w14:paraId="182C4326" w14:textId="77777777" w:rsidR="001B514A" w:rsidRPr="006C41C4"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estrategia para toda la COI 2025-2030 y el Plan de Ejecución 2025-2027 recibieron un apoyo unánime y se consideraron una iniciativa muy oportuna y un paso importante para orientar a los Estados Miembros, habida cuenta de la creciente complejidad de la gestión de los efectos del cambio climático y la pérdida de biodiversidad, al tiempo que se desarrolla una economía azul sostenible. </w:t>
      </w:r>
    </w:p>
    <w:p w14:paraId="63713C5A" w14:textId="77777777" w:rsidR="001B514A" w:rsidRPr="006C41C4"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acogió con satisfacción la estructura y la claridad de la Estrategia en lo que respecta a los destinatarios, la visión y la misión, así como el enfoque de la SOPM para aprovechar y ampliar los enfoques existentes de gobernanza integrada de los océanos, como la planificación del espacio marítimo y la gestión integrada de las zonas costeras, que ya se están aplicando en los Estados Miembros. Se hizo hincapié en que la COI es la institución más adecuada para impulsar este enfoque a escala mundial y se expresó la esperanza de que la labor futura proporcione a los Estados Miembros orientaciones exhaustivas, incluso sobre el cambio climático y la protección de la biodiversidad, y produzca resultados tangibles. </w:t>
      </w:r>
    </w:p>
    <w:p w14:paraId="3BE80322" w14:textId="77777777" w:rsidR="001B514A" w:rsidRPr="006C41C4"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Estados Miembros también acogieron con satisfacción la clara dimensión científica de la estrategia y subrayaron que su misión debe estar firmemente anclada en los más altos niveles de gobierno de todos los Estados Miembros. Los Estados Miembros también destacaron el potencial único del SOPM para transformar la gobernanza de los océanos, la importancia crítica de la colaboración transfronteriza y regional, y la necesidad de prestar atención prioritaria a los PEID y los PMA. También se acogió favorablemente el objetivo de construir y conectar con las consultas sobre "la COI y el futuro del océano". Los Estados Miembros también hicieron hincapié en la necesidad de movilizar recursos y trabajar en asociaciones de colaboración, sobre todo a escala regional, para garantizar la aplicación efectiva de la estrategia. </w:t>
      </w:r>
    </w:p>
    <w:p w14:paraId="3FAE81C1" w14:textId="77777777" w:rsidR="001B514A" w:rsidRPr="006C41C4"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Costa Rica propuso servir como primer piloto de orientación para desarrollar SOPM bajo el Plan de Ejecución de la Estrategia. </w:t>
      </w:r>
    </w:p>
    <w:p w14:paraId="1B1D31E2" w14:textId="23555223" w:rsidR="00DF3BC1" w:rsidRPr="006C41C4" w:rsidRDefault="00DF3BC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Los Estados Miembros acogieron con satisfacción el nuevo mandato del Grupo de Trabajo SOPM y varios Estados Miembros manifestaron su intención de participar activamente y nombrar representantes para que se unan al mismo.</w:t>
      </w:r>
    </w:p>
    <w:p w14:paraId="47869557" w14:textId="054E18DE" w:rsidR="008F1339" w:rsidRPr="006C41C4" w:rsidRDefault="008F133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 Federación Rusa se desvinculó formalmente del consenso sobre la Estrategia debido a la inclusión del Acuerdo BBNJ como uno de sus instrumentos clave de aplicación, acuerdo que la Federación Rusa no respaldó.</w:t>
      </w:r>
    </w:p>
    <w:p w14:paraId="09CE0FF2" w14:textId="0ECABC52" w:rsidR="001B514A" w:rsidRPr="006C41C4" w:rsidRDefault="000020B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Estados Unidos de América expresó su preocupación por la elaboración de una Estrategia de Planificación y Gestión Sostenibles de los Océanos y no apoyó la continuación del Grupo de Trabajo. Por consiguiente, los Estados Unidos de América piden que se vote a mano alzada la adopción del proyecto de decisión propuesto. La votación dio como resultado 61 votos a favor de la adopción y 2 votos en contra. El proyecto de decisión y el anexo se </w:t>
      </w:r>
      <w:proofErr w:type="spellStart"/>
      <w:r>
        <w:rPr>
          <w:rFonts w:ascii="Arial" w:hAnsi="Arial" w:cs="Arial"/>
          <w:sz w:val="22"/>
          <w:szCs w:val="22"/>
          <w:lang w:val="es"/>
        </w:rPr>
        <w:t>adoptarón</w:t>
      </w:r>
      <w:proofErr w:type="spellEnd"/>
      <w:r>
        <w:rPr>
          <w:rFonts w:ascii="Arial" w:hAnsi="Arial" w:cs="Arial"/>
          <w:sz w:val="22"/>
          <w:szCs w:val="22"/>
          <w:lang w:val="es"/>
        </w:rPr>
        <w:t xml:space="preserve"> sin enmiendas.</w:t>
      </w:r>
    </w:p>
    <w:p w14:paraId="5553D2D7" w14:textId="649A3E29" w:rsidR="008A6A09" w:rsidRPr="006C41C4" w:rsidRDefault="008A6A09" w:rsidP="00B21807">
      <w:pPr>
        <w:pStyle w:val="ListParagraph1"/>
        <w:widowControl/>
        <w:numPr>
          <w:ilvl w:val="0"/>
          <w:numId w:val="8"/>
        </w:numPr>
        <w:tabs>
          <w:tab w:val="left" w:pos="851"/>
        </w:tabs>
        <w:snapToGrid w:val="0"/>
        <w:spacing w:after="240"/>
        <w:ind w:left="0" w:firstLine="0"/>
        <w:contextualSpacing w:val="0"/>
        <w:rPr>
          <w:lang w:val="es-ES"/>
        </w:rPr>
      </w:pPr>
      <w:r>
        <w:rPr>
          <w:rFonts w:ascii="Arial" w:hAnsi="Arial" w:cs="Arial"/>
          <w:sz w:val="22"/>
          <w:szCs w:val="22"/>
          <w:lang w:val="es"/>
        </w:rPr>
        <w:t xml:space="preserve">Los siguientes Estados Miembros han optado por dejar constancia de su intervención en el pleno sobre este punto del orden del día para el anexo informativo del informe de la reunión: </w:t>
      </w:r>
      <w:hyperlink w:anchor="bra41" w:history="1">
        <w:r>
          <w:rPr>
            <w:rStyle w:val="Hyperlink"/>
            <w:rFonts w:ascii="Arial" w:hAnsi="Arial" w:cs="Arial"/>
            <w:sz w:val="22"/>
            <w:szCs w:val="22"/>
            <w:lang w:val="es"/>
          </w:rPr>
          <w:t>Brasil</w:t>
        </w:r>
      </w:hyperlink>
      <w:r>
        <w:rPr>
          <w:rFonts w:ascii="Arial" w:hAnsi="Arial" w:cs="Arial"/>
          <w:sz w:val="22"/>
          <w:szCs w:val="22"/>
          <w:lang w:val="es"/>
        </w:rPr>
        <w:t xml:space="preserve">, </w:t>
      </w:r>
      <w:hyperlink w:anchor="Chin41"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cot41" w:history="1">
        <w:r>
          <w:rPr>
            <w:rStyle w:val="Hyperlink"/>
            <w:rFonts w:ascii="Arial" w:hAnsi="Arial" w:cs="Arial"/>
            <w:sz w:val="22"/>
            <w:szCs w:val="22"/>
            <w:lang w:val="es"/>
          </w:rPr>
          <w:t>Costa de Marfil</w:t>
        </w:r>
      </w:hyperlink>
      <w:r>
        <w:rPr>
          <w:rFonts w:ascii="Arial" w:hAnsi="Arial" w:cs="Arial"/>
          <w:sz w:val="22"/>
          <w:szCs w:val="22"/>
          <w:lang w:val="es"/>
        </w:rPr>
        <w:t xml:space="preserve">, </w:t>
      </w:r>
      <w:hyperlink w:anchor="fra41" w:history="1">
        <w:r>
          <w:rPr>
            <w:rStyle w:val="Hyperlink"/>
            <w:rFonts w:ascii="Arial" w:hAnsi="Arial" w:cs="Arial"/>
            <w:sz w:val="22"/>
            <w:szCs w:val="22"/>
            <w:lang w:val="es"/>
          </w:rPr>
          <w:t>Francia</w:t>
        </w:r>
      </w:hyperlink>
      <w:r>
        <w:rPr>
          <w:rFonts w:ascii="Arial" w:hAnsi="Arial" w:cs="Arial"/>
          <w:sz w:val="22"/>
          <w:szCs w:val="22"/>
          <w:lang w:val="es"/>
        </w:rPr>
        <w:t xml:space="preserve">, </w:t>
      </w:r>
      <w:hyperlink w:anchor="jap41"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malay41" w:history="1">
        <w:r>
          <w:rPr>
            <w:rStyle w:val="Hyperlink"/>
            <w:rFonts w:ascii="Arial" w:hAnsi="Arial" w:cs="Arial"/>
            <w:sz w:val="22"/>
            <w:szCs w:val="22"/>
            <w:lang w:val="es"/>
          </w:rPr>
          <w:t>Malasia</w:t>
        </w:r>
      </w:hyperlink>
      <w:r>
        <w:rPr>
          <w:rFonts w:ascii="Arial" w:hAnsi="Arial" w:cs="Arial"/>
          <w:sz w:val="22"/>
          <w:szCs w:val="22"/>
          <w:lang w:val="es"/>
        </w:rPr>
        <w:t xml:space="preserve">, </w:t>
      </w:r>
      <w:hyperlink w:anchor="norw41" w:history="1">
        <w:r>
          <w:rPr>
            <w:rStyle w:val="Hyperlink"/>
            <w:rFonts w:ascii="Arial" w:hAnsi="Arial" w:cs="Arial"/>
            <w:sz w:val="22"/>
            <w:szCs w:val="22"/>
            <w:lang w:val="es"/>
          </w:rPr>
          <w:t>Noruega</w:t>
        </w:r>
      </w:hyperlink>
      <w:r>
        <w:rPr>
          <w:rFonts w:ascii="Arial" w:hAnsi="Arial" w:cs="Arial"/>
          <w:sz w:val="22"/>
          <w:szCs w:val="22"/>
          <w:lang w:val="es"/>
        </w:rPr>
        <w:t xml:space="preserve">, </w:t>
      </w:r>
      <w:hyperlink w:anchor="rok41" w:history="1">
        <w:r>
          <w:rPr>
            <w:rStyle w:val="Hyperlink"/>
            <w:rFonts w:ascii="Arial" w:hAnsi="Arial" w:cs="Arial"/>
            <w:sz w:val="22"/>
            <w:szCs w:val="22"/>
            <w:lang w:val="es"/>
          </w:rPr>
          <w:t>República de Corea</w:t>
        </w:r>
      </w:hyperlink>
      <w:r>
        <w:rPr>
          <w:rFonts w:ascii="Arial" w:hAnsi="Arial" w:cs="Arial"/>
          <w:sz w:val="22"/>
          <w:szCs w:val="22"/>
          <w:lang w:val="es"/>
        </w:rPr>
        <w:t xml:space="preserve">, </w:t>
      </w:r>
      <w:hyperlink w:anchor="rus41"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ey41" w:history="1">
        <w:r>
          <w:rPr>
            <w:rStyle w:val="Hyperlink"/>
            <w:rFonts w:ascii="Arial" w:hAnsi="Arial" w:cs="Arial"/>
            <w:sz w:val="22"/>
            <w:szCs w:val="22"/>
            <w:lang w:val="es"/>
          </w:rPr>
          <w:t>Seychelles</w:t>
        </w:r>
      </w:hyperlink>
      <w:r>
        <w:rPr>
          <w:rFonts w:ascii="Arial" w:hAnsi="Arial" w:cs="Arial"/>
          <w:sz w:val="22"/>
          <w:szCs w:val="22"/>
          <w:lang w:val="es"/>
        </w:rPr>
        <w:t xml:space="preserve">, </w:t>
      </w:r>
      <w:hyperlink w:anchor="uk41" w:history="1">
        <w:r>
          <w:rPr>
            <w:rStyle w:val="Hyperlink"/>
            <w:rFonts w:ascii="Arial" w:hAnsi="Arial" w:cs="Arial"/>
            <w:sz w:val="22"/>
            <w:szCs w:val="22"/>
            <w:lang w:val="es"/>
          </w:rPr>
          <w:t>Reino Unido de Gran Bretaña e Irlanda del Norte</w:t>
        </w:r>
      </w:hyperlink>
      <w:r>
        <w:rPr>
          <w:rFonts w:ascii="Arial" w:hAnsi="Arial" w:cs="Arial"/>
          <w:sz w:val="22"/>
          <w:szCs w:val="22"/>
          <w:lang w:val="es"/>
        </w:rPr>
        <w:t xml:space="preserve">, </w:t>
      </w:r>
      <w:hyperlink w:anchor="us41" w:history="1">
        <w:r>
          <w:rPr>
            <w:rStyle w:val="Hyperlink"/>
            <w:rFonts w:ascii="Arial" w:hAnsi="Arial" w:cs="Arial"/>
            <w:sz w:val="22"/>
            <w:szCs w:val="22"/>
            <w:lang w:val="es"/>
          </w:rPr>
          <w:t>Estados Unidos de América</w:t>
        </w:r>
      </w:hyperlink>
      <w:r>
        <w:rPr>
          <w:rFonts w:ascii="Arial" w:hAnsi="Arial" w:cs="Arial"/>
          <w:sz w:val="22"/>
          <w:szCs w:val="22"/>
          <w:lang w:val="es"/>
        </w:rPr>
        <w:t>.</w:t>
      </w:r>
    </w:p>
    <w:p w14:paraId="659C14FD" w14:textId="666A9480"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sz w:val="22"/>
          <w:szCs w:val="22"/>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A-33/4.1</w:t>
      </w:r>
      <w:r>
        <w:rPr>
          <w:rFonts w:asciiTheme="minorBidi" w:hAnsiTheme="minorBidi" w:cstheme="minorBidi"/>
          <w:sz w:val="22"/>
          <w:szCs w:val="22"/>
          <w:lang w:val="es"/>
        </w:rPr>
        <w:t>.</w:t>
      </w:r>
    </w:p>
    <w:p w14:paraId="0BCC726D" w14:textId="1F820F23" w:rsidR="00DF2EE7" w:rsidRPr="006C41C4" w:rsidRDefault="005B13F7" w:rsidP="00AE1A0F">
      <w:pPr>
        <w:pStyle w:val="Heading2"/>
        <w:tabs>
          <w:tab w:val="clear" w:pos="737"/>
        </w:tabs>
        <w:ind w:left="851" w:hanging="851"/>
        <w:rPr>
          <w:sz w:val="20"/>
          <w:szCs w:val="20"/>
          <w:lang w:val="es-ES"/>
        </w:rPr>
      </w:pPr>
      <w:bookmarkStart w:id="218" w:name="_Toc67920997"/>
      <w:bookmarkStart w:id="219" w:name="_Toc68180571"/>
      <w:bookmarkStart w:id="220" w:name="_Toc131777755"/>
      <w:bookmarkStart w:id="221" w:name="_Toc134002204"/>
      <w:bookmarkStart w:id="222" w:name="_Toc134002382"/>
      <w:bookmarkStart w:id="223" w:name="_Toc190766986"/>
      <w:bookmarkStart w:id="224" w:name="_Toc197955124"/>
      <w:bookmarkStart w:id="225" w:name="_Toc212133522"/>
      <w:bookmarkStart w:id="226" w:name="_Hlk199261267"/>
      <w:bookmarkStart w:id="227" w:name="_Hlk133500113"/>
      <w:bookmarkEnd w:id="217"/>
      <w:r>
        <w:rPr>
          <w:rStyle w:val="Heading2Char"/>
          <w:lang w:val="es"/>
        </w:rPr>
        <w:t>4.2</w:t>
      </w:r>
      <w:r>
        <w:rPr>
          <w:rStyle w:val="Heading2Char"/>
          <w:lang w:val="es"/>
        </w:rPr>
        <w:tab/>
      </w:r>
      <w:bookmarkStart w:id="228" w:name="_Hlk207893396"/>
      <w:r>
        <w:rPr>
          <w:rStyle w:val="Heading2Char"/>
          <w:lang w:val="es"/>
        </w:rPr>
        <w:t xml:space="preserve">PROYECTO DE PLAN DE EJECUCIÓN PARA LA </w:t>
      </w:r>
      <w:r>
        <w:rPr>
          <w:rStyle w:val="Heading2Char"/>
          <w:lang w:val="es"/>
        </w:rPr>
        <w:br/>
        <w:t>ESTRATEGIA DE DESARROLLO DE CAPACIDADES DE LA COI 2023-2030</w:t>
      </w:r>
      <w:bookmarkEnd w:id="162"/>
      <w:bookmarkEnd w:id="163"/>
      <w:bookmarkEnd w:id="218"/>
      <w:bookmarkEnd w:id="219"/>
      <w:bookmarkEnd w:id="220"/>
      <w:bookmarkEnd w:id="221"/>
      <w:bookmarkEnd w:id="222"/>
      <w:bookmarkEnd w:id="223"/>
      <w:bookmarkEnd w:id="224"/>
      <w:bookmarkEnd w:id="225"/>
      <w:bookmarkEnd w:id="228"/>
    </w:p>
    <w:bookmarkEnd w:id="226"/>
    <w:p w14:paraId="04F72890" w14:textId="1EE9BFBD" w:rsidR="00D63A17" w:rsidRPr="006C41C4" w:rsidRDefault="365EB61D" w:rsidP="00547D9B">
      <w:pPr>
        <w:pStyle w:val="ListParagraph1"/>
        <w:widowControl/>
        <w:numPr>
          <w:ilvl w:val="0"/>
          <w:numId w:val="8"/>
        </w:numPr>
        <w:tabs>
          <w:tab w:val="left" w:pos="709"/>
          <w:tab w:val="left" w:pos="851"/>
        </w:tabs>
        <w:snapToGrid w:val="0"/>
        <w:spacing w:after="240"/>
        <w:ind w:left="0" w:firstLine="0"/>
        <w:contextualSpacing w:val="0"/>
        <w:rPr>
          <w:rFonts w:ascii="Arial" w:hAnsi="Arial" w:cs="Arial"/>
          <w:sz w:val="22"/>
          <w:szCs w:val="22"/>
          <w:lang w:val="es-ES"/>
        </w:rPr>
      </w:pPr>
      <w:r>
        <w:rPr>
          <w:rFonts w:ascii="Arial" w:eastAsia="Arial" w:hAnsi="Arial" w:cs="Arial"/>
          <w:sz w:val="22"/>
          <w:szCs w:val="22"/>
          <w:lang w:val="es"/>
        </w:rPr>
        <w:t>La Dra. Suzan El-Gharabawy, Copresidenta del Grupo de Expertos de la COI sobre Desarrollo de Capacidades (GE-DC), presentó este punto del orden del día. Recordó que la Asamblea, en su 32</w:t>
      </w:r>
      <w:r>
        <w:rPr>
          <w:rFonts w:ascii="Arial" w:eastAsia="Arial" w:hAnsi="Arial" w:cs="Arial"/>
          <w:sz w:val="22"/>
          <w:szCs w:val="22"/>
          <w:vertAlign w:val="superscript"/>
          <w:lang w:val="es"/>
        </w:rPr>
        <w:t>ª</w:t>
      </w:r>
      <w:r>
        <w:rPr>
          <w:rFonts w:ascii="Arial" w:eastAsia="Arial" w:hAnsi="Arial" w:cs="Arial"/>
          <w:sz w:val="22"/>
          <w:szCs w:val="22"/>
          <w:lang w:val="es"/>
        </w:rPr>
        <w:t xml:space="preserve"> reunión, mediante la Decisión A-32/4.3, aprobó el Desarrollo de Capacidades de la COI 2023-2030 publicado como documento </w:t>
      </w:r>
      <w:hyperlink r:id="rId71" w:history="1">
        <w:r>
          <w:rPr>
            <w:rStyle w:val="Hyperlink"/>
            <w:rFonts w:ascii="Arial" w:eastAsia="Arial" w:hAnsi="Arial" w:cs="Arial"/>
            <w:sz w:val="22"/>
            <w:szCs w:val="22"/>
            <w:lang w:val="es"/>
          </w:rPr>
          <w:t>IOC/INF-1433</w:t>
        </w:r>
      </w:hyperlink>
      <w:r>
        <w:rPr>
          <w:rFonts w:ascii="Arial" w:eastAsia="Arial" w:hAnsi="Arial" w:cs="Arial"/>
          <w:sz w:val="22"/>
          <w:szCs w:val="22"/>
          <w:lang w:val="es"/>
        </w:rPr>
        <w:t xml:space="preserve"> y su Plan de difusión y comunicación (</w:t>
      </w:r>
      <w:hyperlink r:id="rId72" w:history="1">
        <w:r>
          <w:rPr>
            <w:rStyle w:val="Hyperlink"/>
            <w:rFonts w:ascii="Arial" w:eastAsia="Arial" w:hAnsi="Arial" w:cs="Arial"/>
            <w:sz w:val="22"/>
            <w:szCs w:val="22"/>
            <w:lang w:val="es"/>
          </w:rPr>
          <w:t>IOC-32/4.</w:t>
        </w:r>
        <w:proofErr w:type="gramStart"/>
        <w:r>
          <w:rPr>
            <w:rStyle w:val="Hyperlink"/>
            <w:rFonts w:ascii="Arial" w:eastAsia="Arial" w:hAnsi="Arial" w:cs="Arial"/>
            <w:sz w:val="22"/>
            <w:szCs w:val="22"/>
            <w:lang w:val="es"/>
          </w:rPr>
          <w:t>3.Doc</w:t>
        </w:r>
        <w:proofErr w:type="gramEnd"/>
        <w:r>
          <w:rPr>
            <w:rStyle w:val="Hyperlink"/>
            <w:rFonts w:ascii="Arial" w:eastAsia="Arial" w:hAnsi="Arial" w:cs="Arial"/>
            <w:sz w:val="22"/>
            <w:szCs w:val="22"/>
            <w:lang w:val="es"/>
          </w:rPr>
          <w:t>(2)</w:t>
        </w:r>
      </w:hyperlink>
      <w:r>
        <w:rPr>
          <w:rFonts w:ascii="Arial" w:eastAsia="Arial" w:hAnsi="Arial" w:cs="Arial"/>
          <w:sz w:val="22"/>
          <w:szCs w:val="22"/>
          <w:lang w:val="es"/>
        </w:rPr>
        <w:t>).</w:t>
      </w:r>
    </w:p>
    <w:p w14:paraId="1E23E2E2" w14:textId="63F9D711" w:rsidR="00D63A17" w:rsidRPr="00AE71B5" w:rsidRDefault="365EB61D" w:rsidP="00547D9B">
      <w:pPr>
        <w:pStyle w:val="ListParagraph1"/>
        <w:widowControl/>
        <w:numPr>
          <w:ilvl w:val="0"/>
          <w:numId w:val="8"/>
        </w:numPr>
        <w:tabs>
          <w:tab w:val="left" w:pos="709"/>
          <w:tab w:val="left" w:pos="851"/>
        </w:tabs>
        <w:snapToGrid w:val="0"/>
        <w:spacing w:after="240"/>
        <w:ind w:left="0" w:firstLine="0"/>
        <w:contextualSpacing w:val="0"/>
        <w:rPr>
          <w:rFonts w:ascii="Arial" w:eastAsia="Arial" w:hAnsi="Arial" w:cs="Arial"/>
          <w:sz w:val="22"/>
          <w:szCs w:val="22"/>
        </w:rPr>
      </w:pPr>
      <w:r>
        <w:rPr>
          <w:rFonts w:ascii="Arial" w:eastAsia="Arial" w:hAnsi="Arial" w:cs="Arial"/>
          <w:sz w:val="22"/>
          <w:szCs w:val="22"/>
          <w:lang w:val="es"/>
        </w:rPr>
        <w:t>Recordó que tras la decisión del Consejo Ejecutivo de la COI, en su 57</w:t>
      </w:r>
      <w:r>
        <w:rPr>
          <w:rFonts w:ascii="Arial" w:eastAsia="Arial" w:hAnsi="Arial" w:cs="Arial"/>
          <w:sz w:val="22"/>
          <w:szCs w:val="22"/>
          <w:vertAlign w:val="superscript"/>
          <w:lang w:val="es"/>
        </w:rPr>
        <w:t>ª</w:t>
      </w:r>
      <w:r>
        <w:rPr>
          <w:rFonts w:ascii="Arial" w:eastAsia="Arial" w:hAnsi="Arial" w:cs="Arial"/>
          <w:sz w:val="22"/>
          <w:szCs w:val="22"/>
          <w:lang w:val="es"/>
        </w:rPr>
        <w:t xml:space="preserve"> reunión, mediante la Decisión EC-57/4.6, de mantener la función del GE-DC y revisar su mandato en junio de 2024, la Circular de la COI </w:t>
      </w:r>
      <w:hyperlink r:id="rId73" w:history="1">
        <w:r>
          <w:rPr>
            <w:rStyle w:val="Hyperlink"/>
            <w:rFonts w:ascii="Arial" w:eastAsia="Arial" w:hAnsi="Arial" w:cs="Arial"/>
            <w:sz w:val="22"/>
            <w:szCs w:val="22"/>
            <w:lang w:val="es"/>
          </w:rPr>
          <w:t>3001</w:t>
        </w:r>
      </w:hyperlink>
      <w:r>
        <w:rPr>
          <w:rFonts w:ascii="Arial" w:eastAsia="Arial" w:hAnsi="Arial" w:cs="Arial"/>
          <w:sz w:val="22"/>
          <w:szCs w:val="22"/>
          <w:lang w:val="es"/>
        </w:rPr>
        <w:t xml:space="preserve"> para invitar a los Estados Miembros a designar expertos para el Grupo de Expertos de la COI sobre Desarrollo de Capacidades y el Secretario Ejecutivo de la COI aprobó la renovación del GE-DC de la COI con 29 miembros (</w:t>
      </w:r>
      <w:hyperlink r:id="rId74">
        <w:r>
          <w:rPr>
            <w:rStyle w:val="Hyperlink"/>
            <w:rFonts w:ascii="Arial" w:eastAsia="Arial" w:hAnsi="Arial" w:cs="Arial"/>
            <w:sz w:val="22"/>
            <w:szCs w:val="22"/>
            <w:lang w:val="es"/>
          </w:rPr>
          <w:t>https://oceanexpert.org/group/540</w:t>
        </w:r>
      </w:hyperlink>
      <w:r>
        <w:rPr>
          <w:rFonts w:ascii="Arial" w:eastAsia="Arial" w:hAnsi="Arial" w:cs="Arial"/>
          <w:sz w:val="22"/>
          <w:szCs w:val="22"/>
          <w:lang w:val="es"/>
        </w:rPr>
        <w:t>). El grupo eligió a la Dra. Suzan El-Gharabawy y a la Dra. Lina Eyouni Copresidentas del GE-DC de la COI.</w:t>
      </w:r>
    </w:p>
    <w:p w14:paraId="5D8D93CA" w14:textId="456A5707" w:rsidR="00D63A17" w:rsidRPr="006C41C4" w:rsidRDefault="365EB61D" w:rsidP="00547D9B">
      <w:pPr>
        <w:pStyle w:val="ListParagraph1"/>
        <w:widowControl/>
        <w:numPr>
          <w:ilvl w:val="0"/>
          <w:numId w:val="8"/>
        </w:numPr>
        <w:tabs>
          <w:tab w:val="left" w:pos="709"/>
          <w:tab w:val="left" w:pos="851"/>
        </w:tabs>
        <w:snapToGrid w:val="0"/>
        <w:spacing w:after="240"/>
        <w:ind w:left="0" w:firstLine="0"/>
        <w:contextualSpacing w:val="0"/>
        <w:rPr>
          <w:rFonts w:ascii="Arial" w:eastAsia="Arial" w:hAnsi="Arial" w:cs="Arial"/>
          <w:sz w:val="22"/>
          <w:szCs w:val="22"/>
          <w:lang w:val="es-ES"/>
        </w:rPr>
      </w:pPr>
      <w:r>
        <w:rPr>
          <w:rFonts w:ascii="Arial" w:eastAsia="Arial" w:hAnsi="Arial" w:cs="Arial"/>
          <w:sz w:val="22"/>
          <w:szCs w:val="22"/>
          <w:lang w:val="es"/>
        </w:rPr>
        <w:t>El Dr. El-Gharabawy informó a la Asamblea de los resultados de la sexta reunión del GE-DC de la COI, que se celebró en Ostende (Bélgica) del 22 al 24 de octubre de 2024. Para llevar a cabo las tareas previstas en el nuevo mandato del Grupo (Anexo Decisión EC-57/4.6), se crearon un Equipo de Trabajo sobre Evaluación de Necesidades y un Grupo de Trabajo sobre Plan de Ejecución para empezar a elaborar un proyecto de Plan de Ejecución de la Estrategia de Desarrollo de Capacidades de la COI 2023-2030 presentado a la 33</w:t>
      </w:r>
      <w:r>
        <w:rPr>
          <w:rFonts w:ascii="Arial" w:eastAsia="Arial" w:hAnsi="Arial" w:cs="Arial"/>
          <w:sz w:val="22"/>
          <w:szCs w:val="22"/>
          <w:vertAlign w:val="superscript"/>
          <w:lang w:val="es"/>
        </w:rPr>
        <w:t>ª</w:t>
      </w:r>
      <w:r>
        <w:rPr>
          <w:rFonts w:ascii="Arial" w:eastAsia="Arial" w:hAnsi="Arial" w:cs="Arial"/>
          <w:sz w:val="22"/>
          <w:szCs w:val="22"/>
          <w:lang w:val="es"/>
        </w:rPr>
        <w:t xml:space="preserve"> reunión de la Asamblea de la COI.</w:t>
      </w:r>
    </w:p>
    <w:p w14:paraId="0174AAB6" w14:textId="3F18ADA5" w:rsidR="001E0814" w:rsidRPr="006C41C4" w:rsidRDefault="001E0814" w:rsidP="001E0814">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eastAsia="Arial" w:hAnsi="Arial" w:cs="Arial"/>
          <w:sz w:val="22"/>
          <w:szCs w:val="22"/>
          <w:lang w:val="es"/>
        </w:rPr>
        <w:t xml:space="preserve">Destacó </w:t>
      </w:r>
      <w:proofErr w:type="gramStart"/>
      <w:r>
        <w:rPr>
          <w:rFonts w:ascii="Arial" w:eastAsia="Arial" w:hAnsi="Arial" w:cs="Arial"/>
          <w:sz w:val="22"/>
          <w:szCs w:val="22"/>
          <w:lang w:val="es"/>
        </w:rPr>
        <w:t>que</w:t>
      </w:r>
      <w:proofErr w:type="gramEnd"/>
      <w:r>
        <w:rPr>
          <w:rFonts w:ascii="Arial" w:eastAsia="Arial" w:hAnsi="Arial" w:cs="Arial"/>
          <w:sz w:val="22"/>
          <w:szCs w:val="22"/>
          <w:lang w:val="es"/>
        </w:rPr>
        <w:t xml:space="preserve"> desde la aprobación de la Estrategia de Desarrollo de Capacidades de la COI en 2023, la Secretaría de DC de la COI ha estado trabajando con las subcomisiones regionales en la determinación de las necesidades prioritarias de las regiones. Los copresidentes del Equipo de Trabajo sobre Evaluación de Necesidades, el Dr. David </w:t>
      </w:r>
      <w:proofErr w:type="spellStart"/>
      <w:r>
        <w:rPr>
          <w:rFonts w:ascii="Arial" w:eastAsia="Arial" w:hAnsi="Arial" w:cs="Arial"/>
          <w:sz w:val="22"/>
          <w:szCs w:val="22"/>
          <w:lang w:val="es"/>
        </w:rPr>
        <w:t>O'Sullivan</w:t>
      </w:r>
      <w:proofErr w:type="spellEnd"/>
      <w:r>
        <w:rPr>
          <w:rFonts w:ascii="Arial" w:eastAsia="Arial" w:hAnsi="Arial" w:cs="Arial"/>
          <w:sz w:val="22"/>
          <w:szCs w:val="22"/>
          <w:lang w:val="es"/>
        </w:rPr>
        <w:t xml:space="preserve"> y la Sra. Laura Correa, convocaron al Equipo de Trabajo en 9 reuniones en línea entre noviembre de 2024 y enero de 2025 para desarrollar una plantilla y un enfoque que pudieran recoger las aportaciones de las subcomisiones regionales tal y como se debatieron en las reuniones regionales y los resultados de las encuestas bienales de evaluación de necesidades de DC de la COI. Los copresidentes del grupo de trabajo sobre el plan de implementación, la Dra. Rebecca </w:t>
      </w:r>
      <w:proofErr w:type="spellStart"/>
      <w:r>
        <w:rPr>
          <w:rFonts w:ascii="Arial" w:eastAsia="Arial" w:hAnsi="Arial" w:cs="Arial"/>
          <w:sz w:val="22"/>
          <w:szCs w:val="22"/>
          <w:lang w:val="es"/>
        </w:rPr>
        <w:t>Lahl</w:t>
      </w:r>
      <w:proofErr w:type="spellEnd"/>
      <w:r>
        <w:rPr>
          <w:rFonts w:ascii="Arial" w:eastAsia="Arial" w:hAnsi="Arial" w:cs="Arial"/>
          <w:sz w:val="22"/>
          <w:szCs w:val="22"/>
          <w:lang w:val="es"/>
        </w:rPr>
        <w:t xml:space="preserve"> y el Dr. Carlos Torres, convocaron al grupo de trabajo en 9 reuniones en línea entre noviembre de 2024 y abril de 2025, tras los debates iniciales sobre el plan de ejecución en la sexta reunión del GE-DC en octubre de 2024. Posteriormente, el GE-DC examinó los resultados de la labor del Equipo Especial y del Grupo de Trabajo que redactó la decisión para someterla a la consideración de la Asamblea.</w:t>
      </w:r>
    </w:p>
    <w:p w14:paraId="2C7EBA59" w14:textId="30CA7B65" w:rsidR="00081C59" w:rsidRPr="006C41C4" w:rsidRDefault="001E081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eastAsia="Arial" w:hAnsi="Arial" w:cs="Arial"/>
          <w:sz w:val="22"/>
          <w:szCs w:val="22"/>
          <w:lang w:val="es"/>
        </w:rPr>
        <w:t>Además, señaló que IOCAFRICA e IOCARIBE contribuyeron a los debates de la sexta reunión del GE-DC como miembros del Equipo de Trabajo, y que IOCINDIO se incorporó al Equipo de Trabajo en enero de 2025 y aportó contribuciones al proyecto de Plan de Ejecución.</w:t>
      </w:r>
    </w:p>
    <w:p w14:paraId="5830D333" w14:textId="0CB645A4" w:rsidR="00081C59" w:rsidRPr="006C41C4" w:rsidRDefault="001E081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eastAsia="Arial" w:hAnsi="Arial" w:cs="Arial"/>
          <w:sz w:val="22"/>
          <w:szCs w:val="22"/>
          <w:lang w:val="es"/>
        </w:rPr>
        <w:t>El Dr. El-Gharabawy se refirió al documento IOC/A-33/4.</w:t>
      </w:r>
      <w:proofErr w:type="gramStart"/>
      <w:r>
        <w:rPr>
          <w:rFonts w:ascii="Arial" w:eastAsia="Arial" w:hAnsi="Arial" w:cs="Arial"/>
          <w:sz w:val="22"/>
          <w:szCs w:val="22"/>
          <w:lang w:val="es"/>
        </w:rPr>
        <w:t>2.Doc</w:t>
      </w:r>
      <w:proofErr w:type="gramEnd"/>
      <w:r>
        <w:rPr>
          <w:rFonts w:ascii="Arial" w:eastAsia="Arial" w:hAnsi="Arial" w:cs="Arial"/>
          <w:sz w:val="22"/>
          <w:szCs w:val="22"/>
          <w:lang w:val="es"/>
        </w:rPr>
        <w:t xml:space="preserve">(1) "Plan de Ejecución de la Estrategia de la COI para el Aumento de Capacidades 2023-2030" y señaló que el plan tiene por objeto traducir la Estrategia de la COI para el Aumento de Capacidades 2023-2030 en medidas concretas y viables que respondan a las necesidades y desafíos específicos de las regiones y los Estados Miembros, en consonancia con los objetivos del Decenio de las Naciones Unidas para las Ciencias Oceánicas. Aprovechando los puntos fuertes de la COI, el plan vincula estrechamente los resultados, las actividades y las acciones para contribuir a la aplicación de la </w:t>
      </w:r>
      <w:r>
        <w:rPr>
          <w:rFonts w:ascii="Arial" w:eastAsia="Arial" w:hAnsi="Arial" w:cs="Arial"/>
          <w:sz w:val="22"/>
          <w:szCs w:val="22"/>
          <w:lang w:val="es"/>
        </w:rPr>
        <w:lastRenderedPageBreak/>
        <w:t>Estrategia garantizando la cohesión, la coordinación y la colaboración entre los esfuerzos. También articula con mayor detalle cómo se aplicarán las Acciones enumeradas en la Estrategia y cómo se supervisarán los avances y la eficacia.</w:t>
      </w:r>
    </w:p>
    <w:p w14:paraId="48D68364" w14:textId="59D2A1C6" w:rsidR="702E49B7" w:rsidRPr="006C41C4" w:rsidRDefault="00081C59"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eastAsia="Arial" w:hAnsi="Arial"/>
          <w:sz w:val="22"/>
          <w:szCs w:val="22"/>
          <w:lang w:val="es"/>
        </w:rPr>
        <w:t>El Dr. El-Gharabawy destacó que el proyecto de Plan de Ejecución presenta 11 recomendaciones generales para ejecutar eficazmente el plan y maximizar su impacto: (i) Aprovechar los programas existentes; (</w:t>
      </w:r>
      <w:proofErr w:type="spellStart"/>
      <w:r>
        <w:rPr>
          <w:rFonts w:ascii="Arial" w:eastAsia="Arial" w:hAnsi="Arial"/>
          <w:sz w:val="22"/>
          <w:szCs w:val="22"/>
          <w:lang w:val="es"/>
        </w:rPr>
        <w:t>ii</w:t>
      </w:r>
      <w:proofErr w:type="spellEnd"/>
      <w:r>
        <w:rPr>
          <w:rFonts w:ascii="Arial" w:eastAsia="Arial" w:hAnsi="Arial"/>
          <w:sz w:val="22"/>
          <w:szCs w:val="22"/>
          <w:lang w:val="es"/>
        </w:rPr>
        <w:t>) Mejorar la capacidad de ejecución; (</w:t>
      </w:r>
      <w:proofErr w:type="spellStart"/>
      <w:r>
        <w:rPr>
          <w:rFonts w:ascii="Arial" w:eastAsia="Arial" w:hAnsi="Arial"/>
          <w:sz w:val="22"/>
          <w:szCs w:val="22"/>
          <w:lang w:val="es"/>
        </w:rPr>
        <w:t>iii</w:t>
      </w:r>
      <w:proofErr w:type="spellEnd"/>
      <w:r>
        <w:rPr>
          <w:rFonts w:ascii="Arial" w:eastAsia="Arial" w:hAnsi="Arial"/>
          <w:sz w:val="22"/>
          <w:szCs w:val="22"/>
          <w:lang w:val="es"/>
        </w:rPr>
        <w:t>) Reforzar la ejecución regional; (</w:t>
      </w:r>
      <w:proofErr w:type="spellStart"/>
      <w:r>
        <w:rPr>
          <w:rFonts w:ascii="Arial" w:eastAsia="Arial" w:hAnsi="Arial"/>
          <w:sz w:val="22"/>
          <w:szCs w:val="22"/>
          <w:lang w:val="es"/>
        </w:rPr>
        <w:t>iv</w:t>
      </w:r>
      <w:proofErr w:type="spellEnd"/>
      <w:r>
        <w:rPr>
          <w:rFonts w:ascii="Arial" w:eastAsia="Arial" w:hAnsi="Arial"/>
          <w:sz w:val="22"/>
          <w:szCs w:val="22"/>
          <w:lang w:val="es"/>
        </w:rPr>
        <w:t>) Coordinación mundial; (v) Foro mundial sobre desarrollo de capacidades oceánicas; (vi) Asociaciones estratégicas; (</w:t>
      </w:r>
      <w:proofErr w:type="spellStart"/>
      <w:r>
        <w:rPr>
          <w:rFonts w:ascii="Arial" w:eastAsia="Arial" w:hAnsi="Arial"/>
          <w:sz w:val="22"/>
          <w:szCs w:val="22"/>
          <w:lang w:val="es"/>
        </w:rPr>
        <w:t>vii</w:t>
      </w:r>
      <w:proofErr w:type="spellEnd"/>
      <w:r>
        <w:rPr>
          <w:rFonts w:ascii="Arial" w:eastAsia="Arial" w:hAnsi="Arial"/>
          <w:sz w:val="22"/>
          <w:szCs w:val="22"/>
          <w:lang w:val="es"/>
        </w:rPr>
        <w:t xml:space="preserve">) </w:t>
      </w:r>
      <w:r>
        <w:rPr>
          <w:rFonts w:ascii="Arial" w:eastAsia="Arial" w:hAnsi="Arial"/>
          <w:sz w:val="22"/>
          <w:lang w:val="es"/>
        </w:rPr>
        <w:t>Reforzar la equidad, la inclusión y la descolonización</w:t>
      </w:r>
      <w:r>
        <w:rPr>
          <w:rFonts w:ascii="Arial" w:eastAsia="Arial" w:hAnsi="Arial"/>
          <w:sz w:val="22"/>
          <w:u w:val="single"/>
          <w:lang w:val="es"/>
        </w:rPr>
        <w:t xml:space="preserve">; </w:t>
      </w:r>
      <w:r>
        <w:rPr>
          <w:rFonts w:ascii="Arial" w:eastAsia="Arial" w:hAnsi="Arial"/>
          <w:sz w:val="22"/>
          <w:lang w:val="es"/>
        </w:rPr>
        <w:t>(</w:t>
      </w:r>
      <w:proofErr w:type="spellStart"/>
      <w:r>
        <w:rPr>
          <w:rFonts w:ascii="Arial" w:eastAsia="Arial" w:hAnsi="Arial"/>
          <w:sz w:val="22"/>
          <w:lang w:val="es"/>
        </w:rPr>
        <w:t>viii</w:t>
      </w:r>
      <w:proofErr w:type="spellEnd"/>
      <w:r>
        <w:rPr>
          <w:rFonts w:ascii="Arial" w:eastAsia="Arial" w:hAnsi="Arial"/>
          <w:sz w:val="22"/>
          <w:lang w:val="es"/>
        </w:rPr>
        <w:t>) Profesionales de los océanos que inician su carrera como</w:t>
      </w:r>
      <w:r>
        <w:rPr>
          <w:rFonts w:ascii="Arial" w:eastAsia="Arial" w:hAnsi="Arial"/>
          <w:sz w:val="22"/>
          <w:szCs w:val="22"/>
          <w:lang w:val="es"/>
        </w:rPr>
        <w:t xml:space="preserve"> </w:t>
      </w:r>
      <w:r>
        <w:rPr>
          <w:rFonts w:ascii="Arial" w:eastAsia="Arial" w:hAnsi="Arial"/>
          <w:sz w:val="22"/>
          <w:lang w:val="es"/>
        </w:rPr>
        <w:t>agentes del cambio</w:t>
      </w:r>
      <w:r>
        <w:rPr>
          <w:rFonts w:ascii="Arial" w:eastAsia="Arial" w:hAnsi="Arial"/>
          <w:sz w:val="22"/>
          <w:szCs w:val="22"/>
          <w:lang w:val="es"/>
        </w:rPr>
        <w:t xml:space="preserve"> </w:t>
      </w:r>
      <w:r>
        <w:rPr>
          <w:rFonts w:ascii="Arial" w:eastAsia="Arial" w:hAnsi="Arial"/>
          <w:sz w:val="22"/>
          <w:lang w:val="es"/>
        </w:rPr>
        <w:t>; (</w:t>
      </w:r>
      <w:proofErr w:type="spellStart"/>
      <w:r>
        <w:rPr>
          <w:rFonts w:ascii="Arial" w:eastAsia="Arial" w:hAnsi="Arial"/>
          <w:sz w:val="22"/>
          <w:lang w:val="es"/>
        </w:rPr>
        <w:t>ix</w:t>
      </w:r>
      <w:proofErr w:type="spellEnd"/>
      <w:r>
        <w:rPr>
          <w:rFonts w:ascii="Arial" w:eastAsia="Arial" w:hAnsi="Arial"/>
          <w:sz w:val="22"/>
          <w:lang w:val="es"/>
        </w:rPr>
        <w:t>)</w:t>
      </w:r>
      <w:r>
        <w:rPr>
          <w:rFonts w:ascii="Arial" w:eastAsia="Arial" w:hAnsi="Arial"/>
          <w:sz w:val="22"/>
          <w:szCs w:val="22"/>
          <w:lang w:val="es"/>
        </w:rPr>
        <w:t xml:space="preserve"> Mayor divulgación y comunicación; (x) Priorización y gestión de riesgos; y (xi) Supervisar, evaluar y adaptar. El Dr. El-Gharabawy concluyó destacando que el éxito de la aplicación de la Estrategia de Desarrollo de Capacidades de la COI 2023-2030 depende de una coordinación eficaz, una colaboración innovadora y un seguimiento y mejora continuos de los resultados. Manteniendo un enfoque proactivo y ágil basado en este plan de ejecución, la COI puede garantizar la sostenibilidad y el impacto a largo plazo de una sólida prestación de desarrollo de capacidades en consonancia con el legado de los trabajos de la COI.</w:t>
      </w:r>
      <w:bookmarkEnd w:id="227"/>
    </w:p>
    <w:p w14:paraId="4AEB4563" w14:textId="6EDBC643" w:rsidR="001E0814" w:rsidRPr="006C41C4" w:rsidRDefault="001E081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hAnsi="Arial" w:cs="Arial"/>
          <w:sz w:val="22"/>
          <w:szCs w:val="22"/>
          <w:lang w:val="es"/>
        </w:rPr>
        <w:t>El Dr. El Gharabawy también señaló que el proyecto de plan de ejecución de desarrollo de capacidades de la COI se presentó durante un acto paralelo titulado "De la estrategia a la acción" celebrado durante la Conferencia de las Naciones Unidas sobre los Océanos que tuvo lugar en Niza en junio de 2025.</w:t>
      </w:r>
    </w:p>
    <w:p w14:paraId="72D3C54E" w14:textId="586FFBDB" w:rsidR="00081C59" w:rsidRPr="006C41C4" w:rsidRDefault="6EAB4253"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eastAsia="Arial" w:hAnsi="Arial"/>
          <w:sz w:val="22"/>
          <w:lang w:val="es"/>
        </w:rPr>
        <w:t xml:space="preserve">Tomaron la palabra los representantes de </w:t>
      </w:r>
      <w:r>
        <w:rPr>
          <w:rFonts w:ascii="Arial" w:eastAsia="Arial" w:hAnsi="Arial"/>
          <w:sz w:val="22"/>
          <w:szCs w:val="22"/>
          <w:lang w:val="es"/>
        </w:rPr>
        <w:t>18</w:t>
      </w:r>
      <w:r>
        <w:rPr>
          <w:rFonts w:ascii="Arial" w:eastAsia="Arial" w:hAnsi="Arial"/>
          <w:sz w:val="22"/>
          <w:lang w:val="es"/>
        </w:rPr>
        <w:t xml:space="preserve"> Estados Miembros </w:t>
      </w:r>
      <w:r>
        <w:rPr>
          <w:rFonts w:ascii="Arial" w:eastAsia="Arial" w:hAnsi="Arial"/>
          <w:sz w:val="22"/>
          <w:szCs w:val="22"/>
          <w:lang w:val="es"/>
        </w:rPr>
        <w:t>y 1 observador</w:t>
      </w:r>
      <w:r>
        <w:rPr>
          <w:rFonts w:ascii="Arial" w:eastAsia="Arial" w:hAnsi="Arial"/>
          <w:sz w:val="22"/>
          <w:lang w:val="es"/>
        </w:rPr>
        <w:t xml:space="preserve">. </w:t>
      </w:r>
    </w:p>
    <w:p w14:paraId="2B75B77A" w14:textId="4C279430" w:rsidR="0070562E" w:rsidRPr="006C41C4" w:rsidRDefault="0070562E"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eastAsia="Arial" w:hAnsi="Arial" w:cs="Arial"/>
          <w:sz w:val="22"/>
          <w:szCs w:val="22"/>
          <w:lang w:val="es"/>
        </w:rPr>
        <w:t>La Asamblea dio las gracias a la Dra. Suzan El-Gharabawy por su presentación y felicitó a su dirección y al Grupo de Expertos sobre Desarrollo de Capacidades por su labor de redacción del plan de ejecución de la Estrategia de Desarrollo de Capacidades de la COI 2023-2030.</w:t>
      </w:r>
    </w:p>
    <w:p w14:paraId="5E0C98BD" w14:textId="75DF8E01" w:rsidR="0070562E" w:rsidRPr="006C41C4" w:rsidRDefault="000020B6"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eastAsia="Arial" w:hAnsi="Arial" w:cs="Arial"/>
          <w:sz w:val="22"/>
          <w:szCs w:val="22"/>
          <w:lang w:val="es"/>
        </w:rPr>
        <w:t xml:space="preserve">Los Estados Miembros reconocieron el papel del Grupo de Expertos en Desarrollo de Capacidades y varios de ellos expresaron su apoyo a su continuación y manifestaron su voluntad de participar y comprometerse con el Grupo de Expertos. Varios Estados Miembros señalaron que el Plan de Ejecución prevé el desarrollo de capacidades de manera coherente con las prioridades de la COI, integra la acción de la COI en el programa mundial, promueve la buena gobernanza de la COI y de los Estados Miembros y apoya la colaboración entre los Estados Miembros. Los Estados Miembros destacaron su compromiso y apoyo al Desarrollo de Capacidades de la COI proporcionando ejemplos de la alineación de sus respectivos esfuerzos y apoyo a las prioridades compartidas en África y los PEID. Los Estados Miembros destacaron su contribución como centros regionales de formación de la </w:t>
      </w:r>
      <w:proofErr w:type="spellStart"/>
      <w:r>
        <w:rPr>
          <w:rFonts w:ascii="Arial" w:eastAsia="Arial" w:hAnsi="Arial" w:cs="Arial"/>
          <w:sz w:val="22"/>
          <w:szCs w:val="22"/>
          <w:lang w:val="es"/>
        </w:rPr>
        <w:t>OceanTeacher</w:t>
      </w:r>
      <w:proofErr w:type="spellEnd"/>
      <w:r>
        <w:rPr>
          <w:rFonts w:ascii="Arial" w:eastAsia="Arial" w:hAnsi="Arial" w:cs="Arial"/>
          <w:sz w:val="22"/>
          <w:szCs w:val="22"/>
          <w:lang w:val="es"/>
        </w:rPr>
        <w:t xml:space="preserve"> Global </w:t>
      </w:r>
      <w:proofErr w:type="spellStart"/>
      <w:r>
        <w:rPr>
          <w:rFonts w:ascii="Arial" w:eastAsia="Arial" w:hAnsi="Arial" w:cs="Arial"/>
          <w:sz w:val="22"/>
          <w:szCs w:val="22"/>
          <w:lang w:val="es"/>
        </w:rPr>
        <w:t>Academy</w:t>
      </w:r>
      <w:proofErr w:type="spellEnd"/>
      <w:r>
        <w:rPr>
          <w:rFonts w:ascii="Arial" w:eastAsia="Arial" w:hAnsi="Arial" w:cs="Arial"/>
          <w:sz w:val="22"/>
          <w:szCs w:val="22"/>
          <w:lang w:val="es"/>
        </w:rPr>
        <w:t xml:space="preserve"> y expresaron la necesidad de un enfoque sostenible por parte de la Academia. </w:t>
      </w:r>
    </w:p>
    <w:p w14:paraId="0F1F81D8" w14:textId="6C75ACEE" w:rsidR="00081C59" w:rsidRPr="006C41C4" w:rsidRDefault="0070562E"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eastAsia="Arial" w:hAnsi="Arial" w:cs="Arial"/>
          <w:sz w:val="22"/>
          <w:szCs w:val="22"/>
          <w:lang w:val="es"/>
        </w:rPr>
        <w:t>La Asamblea solicitó la alineación del desarrollo de capacidades y la alfabetización oceánica para mejorar la coordinación y la colaboración y reflejó estos puntos en la Decisión A-33/4.2. Pidieron un apoyo continuo al liderazgo de la COI en el desarrollo de capacidades en todos sus programas y subcomisiones regionales.</w:t>
      </w:r>
    </w:p>
    <w:p w14:paraId="6A10A2B1" w14:textId="1A9513F6" w:rsidR="00113B5D" w:rsidRPr="006C41C4" w:rsidRDefault="00113B5D"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es-ES"/>
        </w:rPr>
      </w:pPr>
      <w:r>
        <w:rPr>
          <w:rFonts w:ascii="Arial" w:eastAsia="Arial" w:hAnsi="Arial" w:cs="Arial"/>
          <w:sz w:val="22"/>
          <w:szCs w:val="22"/>
          <w:lang w:val="es"/>
        </w:rPr>
        <w:t>En coherencia con sus posiciones en el punto 3.2 del orden del día, Estados Unidos se desmarcó de las referencias a la Agenda 2030, los Objetivos de Desarrollo Sostenible y el cambio climático, en el Plan de Ejecución de la Estrategia de Desarrollo de Capacidades de la COI.</w:t>
      </w:r>
    </w:p>
    <w:p w14:paraId="2FE20952" w14:textId="5B1DF871" w:rsidR="6EAB4253" w:rsidRPr="006C41C4" w:rsidRDefault="6EAB4253" w:rsidP="00B21807">
      <w:pPr>
        <w:pStyle w:val="ListParagraph1"/>
        <w:widowControl/>
        <w:numPr>
          <w:ilvl w:val="0"/>
          <w:numId w:val="8"/>
        </w:numPr>
        <w:tabs>
          <w:tab w:val="left" w:pos="851"/>
        </w:tabs>
        <w:snapToGrid w:val="0"/>
        <w:spacing w:after="240"/>
        <w:ind w:left="0" w:firstLine="0"/>
        <w:contextualSpacing w:val="0"/>
        <w:rPr>
          <w:rFonts w:eastAsia="Arial"/>
          <w:lang w:val="es-ES"/>
        </w:rPr>
      </w:pPr>
      <w:r>
        <w:rPr>
          <w:rFonts w:ascii="Arial" w:eastAsia="Arial" w:hAnsi="Arial"/>
          <w:sz w:val="22"/>
          <w:lang w:val="es"/>
        </w:rPr>
        <w:t xml:space="preserve">Los siguientes Estados Miembros </w:t>
      </w:r>
      <w:r>
        <w:rPr>
          <w:rFonts w:ascii="Arial" w:eastAsia="Arial" w:hAnsi="Arial"/>
          <w:sz w:val="22"/>
          <w:szCs w:val="22"/>
          <w:lang w:val="es"/>
        </w:rPr>
        <w:t xml:space="preserve">y un observador </w:t>
      </w:r>
      <w:r>
        <w:rPr>
          <w:rFonts w:ascii="Arial" w:eastAsia="Arial" w:hAnsi="Arial"/>
          <w:sz w:val="22"/>
          <w:lang w:val="es"/>
        </w:rPr>
        <w:t xml:space="preserve">optaron por dejar constancia de su intervención en el pleno sobre este punto del orden del día para el anexo informativo del informe de la reunión: </w:t>
      </w:r>
      <w:hyperlink w:anchor="chin42" w:history="1">
        <w:r>
          <w:rPr>
            <w:rStyle w:val="Hyperlink"/>
            <w:rFonts w:ascii="Arial" w:eastAsia="Arial" w:hAnsi="Arial" w:cs="Arial"/>
            <w:sz w:val="22"/>
            <w:szCs w:val="22"/>
            <w:lang w:val="es"/>
          </w:rPr>
          <w:t>China</w:t>
        </w:r>
      </w:hyperlink>
      <w:r>
        <w:rPr>
          <w:rFonts w:ascii="Arial" w:eastAsia="Arial" w:hAnsi="Arial"/>
          <w:sz w:val="22"/>
          <w:szCs w:val="22"/>
          <w:lang w:val="es"/>
        </w:rPr>
        <w:t xml:space="preserve">, </w:t>
      </w:r>
      <w:hyperlink w:anchor="india42" w:history="1">
        <w:r>
          <w:rPr>
            <w:rStyle w:val="Hyperlink"/>
            <w:rFonts w:ascii="Arial" w:eastAsia="Arial" w:hAnsi="Arial" w:cs="Arial"/>
            <w:sz w:val="22"/>
            <w:szCs w:val="22"/>
            <w:lang w:val="es"/>
          </w:rPr>
          <w:t>India</w:t>
        </w:r>
      </w:hyperlink>
      <w:r>
        <w:rPr>
          <w:rFonts w:ascii="Arial" w:eastAsia="Arial" w:hAnsi="Arial"/>
          <w:sz w:val="22"/>
          <w:szCs w:val="22"/>
          <w:lang w:val="es"/>
        </w:rPr>
        <w:t xml:space="preserve">, </w:t>
      </w:r>
      <w:hyperlink w:anchor="irel42" w:history="1">
        <w:r>
          <w:rPr>
            <w:rStyle w:val="Hyperlink"/>
            <w:rFonts w:ascii="Arial" w:eastAsia="Arial" w:hAnsi="Arial" w:cs="Arial"/>
            <w:sz w:val="22"/>
            <w:szCs w:val="22"/>
            <w:lang w:val="es"/>
          </w:rPr>
          <w:t>Irlanda</w:t>
        </w:r>
      </w:hyperlink>
      <w:r>
        <w:rPr>
          <w:rFonts w:ascii="Arial" w:eastAsia="Arial" w:hAnsi="Arial"/>
          <w:sz w:val="22"/>
          <w:szCs w:val="22"/>
          <w:lang w:val="es"/>
        </w:rPr>
        <w:t xml:space="preserve">, </w:t>
      </w:r>
      <w:hyperlink w:anchor="jap42" w:history="1">
        <w:r>
          <w:rPr>
            <w:rStyle w:val="Hyperlink"/>
            <w:rFonts w:ascii="Arial" w:eastAsia="Arial" w:hAnsi="Arial" w:cs="Arial"/>
            <w:sz w:val="22"/>
            <w:szCs w:val="22"/>
            <w:lang w:val="es"/>
          </w:rPr>
          <w:t>Japón</w:t>
        </w:r>
      </w:hyperlink>
      <w:r>
        <w:rPr>
          <w:rFonts w:ascii="Arial" w:eastAsia="Arial" w:hAnsi="Arial"/>
          <w:sz w:val="22"/>
          <w:szCs w:val="22"/>
          <w:lang w:val="es"/>
        </w:rPr>
        <w:t xml:space="preserve">, </w:t>
      </w:r>
      <w:hyperlink w:anchor="rok42" w:history="1">
        <w:r>
          <w:rPr>
            <w:rStyle w:val="Hyperlink"/>
            <w:rFonts w:ascii="Arial" w:eastAsia="Arial" w:hAnsi="Arial" w:cs="Arial"/>
            <w:sz w:val="22"/>
            <w:szCs w:val="22"/>
            <w:lang w:val="es"/>
          </w:rPr>
          <w:t>República de Corea</w:t>
        </w:r>
      </w:hyperlink>
      <w:r>
        <w:rPr>
          <w:rFonts w:ascii="Arial" w:eastAsia="Arial" w:hAnsi="Arial"/>
          <w:sz w:val="22"/>
          <w:szCs w:val="22"/>
          <w:lang w:val="es"/>
        </w:rPr>
        <w:t xml:space="preserve">, </w:t>
      </w:r>
      <w:hyperlink w:anchor="rus42" w:history="1">
        <w:r>
          <w:rPr>
            <w:rStyle w:val="Hyperlink"/>
            <w:rFonts w:ascii="Arial" w:eastAsia="Arial" w:hAnsi="Arial" w:cs="Arial"/>
            <w:sz w:val="22"/>
            <w:szCs w:val="22"/>
            <w:lang w:val="es"/>
          </w:rPr>
          <w:t>Federación Rusa</w:t>
        </w:r>
      </w:hyperlink>
      <w:r>
        <w:rPr>
          <w:rFonts w:ascii="Arial" w:eastAsia="Arial" w:hAnsi="Arial"/>
          <w:sz w:val="22"/>
          <w:szCs w:val="22"/>
          <w:lang w:val="es"/>
        </w:rPr>
        <w:t xml:space="preserve">, </w:t>
      </w:r>
      <w:hyperlink w:anchor="turk42" w:history="1">
        <w:r>
          <w:rPr>
            <w:rStyle w:val="Hyperlink"/>
            <w:rFonts w:ascii="Arial" w:eastAsia="Arial" w:hAnsi="Arial" w:cs="Arial"/>
            <w:sz w:val="22"/>
            <w:szCs w:val="22"/>
            <w:lang w:val="es"/>
          </w:rPr>
          <w:t>Turquía</w:t>
        </w:r>
      </w:hyperlink>
      <w:r>
        <w:rPr>
          <w:rFonts w:ascii="Arial" w:eastAsia="Arial" w:hAnsi="Arial"/>
          <w:sz w:val="22"/>
          <w:szCs w:val="22"/>
          <w:lang w:val="es"/>
        </w:rPr>
        <w:t xml:space="preserve">, </w:t>
      </w:r>
      <w:hyperlink w:anchor="uk42" w:history="1">
        <w:r>
          <w:rPr>
            <w:rStyle w:val="Hyperlink"/>
            <w:rFonts w:ascii="Arial" w:eastAsia="Arial" w:hAnsi="Arial" w:cs="Arial"/>
            <w:sz w:val="22"/>
            <w:szCs w:val="22"/>
            <w:lang w:val="es"/>
          </w:rPr>
          <w:t>Reino Unido de Gran Bretaña e Irlanda del Norte</w:t>
        </w:r>
      </w:hyperlink>
      <w:r>
        <w:rPr>
          <w:rFonts w:ascii="Arial" w:eastAsia="Arial" w:hAnsi="Arial"/>
          <w:sz w:val="22"/>
          <w:szCs w:val="22"/>
          <w:lang w:val="es"/>
        </w:rPr>
        <w:t xml:space="preserve">, </w:t>
      </w:r>
      <w:hyperlink w:anchor="usa42" w:history="1">
        <w:r>
          <w:rPr>
            <w:rStyle w:val="Hyperlink"/>
            <w:rFonts w:ascii="Arial" w:eastAsia="Arial" w:hAnsi="Arial" w:cs="Arial"/>
            <w:sz w:val="22"/>
            <w:szCs w:val="22"/>
            <w:lang w:val="es"/>
          </w:rPr>
          <w:t>Estados Unidos de América</w:t>
        </w:r>
      </w:hyperlink>
      <w:r>
        <w:rPr>
          <w:rFonts w:ascii="Arial" w:eastAsia="Arial" w:hAnsi="Arial"/>
          <w:sz w:val="22"/>
          <w:szCs w:val="22"/>
          <w:lang w:val="es"/>
        </w:rPr>
        <w:t xml:space="preserve"> y </w:t>
      </w:r>
      <w:hyperlink w:anchor="scor42" w:history="1">
        <w:r>
          <w:rPr>
            <w:rStyle w:val="Hyperlink"/>
            <w:rFonts w:ascii="Arial" w:eastAsia="Arial" w:hAnsi="Arial" w:cs="Arial"/>
            <w:sz w:val="22"/>
            <w:szCs w:val="22"/>
            <w:lang w:val="es"/>
          </w:rPr>
          <w:t>SCOR</w:t>
        </w:r>
      </w:hyperlink>
      <w:r>
        <w:rPr>
          <w:rFonts w:ascii="Arial" w:eastAsia="Arial" w:hAnsi="Arial"/>
          <w:sz w:val="22"/>
          <w:szCs w:val="22"/>
          <w:lang w:val="es"/>
        </w:rPr>
        <w:t>.</w:t>
      </w:r>
    </w:p>
    <w:p w14:paraId="3F8538B6" w14:textId="175E7CD3"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A-33/4.2</w:t>
      </w:r>
      <w:r>
        <w:rPr>
          <w:rFonts w:asciiTheme="minorBidi" w:hAnsiTheme="minorBidi" w:cstheme="minorBidi"/>
          <w:sz w:val="22"/>
          <w:szCs w:val="22"/>
          <w:lang w:val="es"/>
        </w:rPr>
        <w:t>.</w:t>
      </w:r>
    </w:p>
    <w:p w14:paraId="03338CDB" w14:textId="6E37E9A6" w:rsidR="00BE7B1B" w:rsidRPr="006C41C4" w:rsidRDefault="005B13F7" w:rsidP="00AE1A0F">
      <w:pPr>
        <w:pStyle w:val="Heading2"/>
        <w:tabs>
          <w:tab w:val="clear" w:pos="737"/>
        </w:tabs>
        <w:ind w:left="851" w:hanging="851"/>
        <w:rPr>
          <w:sz w:val="20"/>
          <w:szCs w:val="20"/>
          <w:lang w:val="es-ES"/>
        </w:rPr>
      </w:pPr>
      <w:bookmarkStart w:id="229" w:name="_Toc131777756"/>
      <w:bookmarkStart w:id="230" w:name="_Toc134002205"/>
      <w:bookmarkStart w:id="231" w:name="_Toc134002383"/>
      <w:bookmarkStart w:id="232" w:name="_Toc190766987"/>
      <w:bookmarkStart w:id="233" w:name="_Toc197955125"/>
      <w:bookmarkStart w:id="234" w:name="_Toc212133523"/>
      <w:r>
        <w:rPr>
          <w:bCs w:val="0"/>
          <w:lang w:val="es"/>
        </w:rPr>
        <w:lastRenderedPageBreak/>
        <w:t>4.3</w:t>
      </w:r>
      <w:r>
        <w:rPr>
          <w:bCs w:val="0"/>
          <w:lang w:val="es"/>
        </w:rPr>
        <w:tab/>
      </w:r>
      <w:bookmarkStart w:id="235" w:name="_Hlk207894461"/>
      <w:r>
        <w:rPr>
          <w:bCs w:val="0"/>
          <w:lang w:val="es"/>
        </w:rPr>
        <w:t xml:space="preserve">CARTA BATIMÉTRICA GENERAL DE LOS OCÉANOS (GEBCO) </w:t>
      </w:r>
      <w:r>
        <w:rPr>
          <w:bCs w:val="0"/>
          <w:lang w:val="es"/>
        </w:rPr>
        <w:br/>
        <w:t>- INFORME Y SEGUIMIENTO DE LA REVISIÓN DE LA GOBERNANZA</w:t>
      </w:r>
      <w:bookmarkEnd w:id="229"/>
      <w:bookmarkEnd w:id="230"/>
      <w:bookmarkEnd w:id="231"/>
      <w:bookmarkEnd w:id="232"/>
      <w:bookmarkEnd w:id="233"/>
      <w:bookmarkEnd w:id="234"/>
      <w:bookmarkEnd w:id="235"/>
    </w:p>
    <w:p w14:paraId="5B3503DD" w14:textId="26594FCF" w:rsidR="008C236D" w:rsidRPr="006C41C4" w:rsidRDefault="6C74107D" w:rsidP="00B21807">
      <w:pPr>
        <w:pStyle w:val="ListParagraph1"/>
        <w:widowControl/>
        <w:numPr>
          <w:ilvl w:val="0"/>
          <w:numId w:val="8"/>
        </w:numPr>
        <w:tabs>
          <w:tab w:val="left" w:pos="851"/>
        </w:tabs>
        <w:snapToGrid w:val="0"/>
        <w:spacing w:after="240"/>
        <w:ind w:left="0" w:firstLine="0"/>
        <w:contextualSpacing w:val="0"/>
        <w:rPr>
          <w:rFonts w:eastAsia="Arial"/>
          <w:lang w:val="es-ES"/>
        </w:rPr>
      </w:pPr>
      <w:r>
        <w:rPr>
          <w:rFonts w:ascii="Arial" w:hAnsi="Arial"/>
          <w:sz w:val="22"/>
          <w:lang w:val="es"/>
        </w:rPr>
        <w:t xml:space="preserve">El Sr. </w:t>
      </w:r>
      <w:proofErr w:type="spellStart"/>
      <w:r>
        <w:rPr>
          <w:rFonts w:ascii="Arial" w:hAnsi="Arial"/>
          <w:sz w:val="22"/>
          <w:lang w:val="es"/>
        </w:rPr>
        <w:t>Evert</w:t>
      </w:r>
      <w:proofErr w:type="spellEnd"/>
      <w:r>
        <w:rPr>
          <w:rFonts w:ascii="Arial" w:hAnsi="Arial"/>
          <w:sz w:val="22"/>
          <w:lang w:val="es"/>
        </w:rPr>
        <w:t xml:space="preserve"> </w:t>
      </w:r>
      <w:proofErr w:type="spellStart"/>
      <w:r>
        <w:rPr>
          <w:rFonts w:ascii="Arial" w:hAnsi="Arial"/>
          <w:sz w:val="22"/>
          <w:lang w:val="es"/>
        </w:rPr>
        <w:t>Flier</w:t>
      </w:r>
      <w:proofErr w:type="spellEnd"/>
      <w:r>
        <w:rPr>
          <w:rFonts w:ascii="Arial" w:hAnsi="Arial"/>
          <w:sz w:val="22"/>
          <w:lang w:val="es"/>
        </w:rPr>
        <w:t xml:space="preserve">, </w:t>
      </w:r>
      <w:proofErr w:type="gramStart"/>
      <w:r>
        <w:rPr>
          <w:rFonts w:ascii="Arial" w:hAnsi="Arial"/>
          <w:sz w:val="22"/>
          <w:lang w:val="es"/>
        </w:rPr>
        <w:t>Presidente</w:t>
      </w:r>
      <w:proofErr w:type="gramEnd"/>
      <w:r>
        <w:rPr>
          <w:rFonts w:ascii="Arial" w:hAnsi="Arial"/>
          <w:sz w:val="22"/>
          <w:lang w:val="es"/>
        </w:rPr>
        <w:t xml:space="preserve"> del Comité de Orientación del GEBCO (GGC), presentó este punto. Presentó un panorama general de las novedades del GEBCO para el periodo 2024-2025, así como los resultados de la 41ª Reunión del Comité de Orientación del GEBCO (noviembre de 2022, </w:t>
      </w:r>
      <w:proofErr w:type="spellStart"/>
      <w:r>
        <w:rPr>
          <w:rFonts w:ascii="Arial" w:hAnsi="Arial"/>
          <w:sz w:val="22"/>
          <w:lang w:val="es"/>
        </w:rPr>
        <w:t>Nadi</w:t>
      </w:r>
      <w:proofErr w:type="spellEnd"/>
      <w:r>
        <w:rPr>
          <w:rFonts w:ascii="Arial" w:hAnsi="Arial"/>
          <w:sz w:val="22"/>
          <w:lang w:val="es"/>
        </w:rPr>
        <w:t xml:space="preserve">, Fiyi)). Entre ellos figuran: (i) los avances en el aumento del porcentaje de fondos oceánicos cartografiados en el marco del Proyecto GEBCO y </w:t>
      </w:r>
      <w:proofErr w:type="spellStart"/>
      <w:r>
        <w:rPr>
          <w:rFonts w:ascii="Arial" w:hAnsi="Arial"/>
          <w:sz w:val="22"/>
          <w:lang w:val="es"/>
        </w:rPr>
        <w:t>Nippon</w:t>
      </w:r>
      <w:proofErr w:type="spellEnd"/>
      <w:r>
        <w:rPr>
          <w:rFonts w:ascii="Arial" w:hAnsi="Arial"/>
          <w:sz w:val="22"/>
          <w:lang w:val="es"/>
        </w:rPr>
        <w:t xml:space="preserve"> </w:t>
      </w:r>
      <w:proofErr w:type="spellStart"/>
      <w:r>
        <w:rPr>
          <w:rFonts w:ascii="Arial" w:hAnsi="Arial"/>
          <w:sz w:val="22"/>
          <w:lang w:val="es"/>
        </w:rPr>
        <w:t>Foundation</w:t>
      </w:r>
      <w:proofErr w:type="spellEnd"/>
      <w:r>
        <w:rPr>
          <w:rFonts w:ascii="Arial" w:hAnsi="Arial"/>
          <w:sz w:val="22"/>
          <w:lang w:val="es"/>
        </w:rPr>
        <w:t>-GEBCO Seabed 2030</w:t>
      </w:r>
      <w:r>
        <w:rPr>
          <w:rFonts w:ascii="Arial" w:hAnsi="Arial"/>
          <w:sz w:val="22"/>
          <w:szCs w:val="22"/>
          <w:lang w:val="es"/>
        </w:rPr>
        <w:t>, que ya han alcanzado el 27,3 %;</w:t>
      </w:r>
      <w:r>
        <w:rPr>
          <w:rFonts w:ascii="Arial" w:hAnsi="Arial"/>
          <w:sz w:val="22"/>
          <w:lang w:val="es"/>
        </w:rPr>
        <w:t xml:space="preserve"> (</w:t>
      </w:r>
      <w:proofErr w:type="spellStart"/>
      <w:r>
        <w:rPr>
          <w:rFonts w:ascii="Arial" w:hAnsi="Arial"/>
          <w:sz w:val="22"/>
          <w:lang w:val="es"/>
        </w:rPr>
        <w:t>ii</w:t>
      </w:r>
      <w:proofErr w:type="spellEnd"/>
      <w:r>
        <w:rPr>
          <w:rFonts w:ascii="Arial" w:hAnsi="Arial"/>
          <w:sz w:val="22"/>
          <w:lang w:val="es"/>
        </w:rPr>
        <w:t xml:space="preserve">) la actualización sobre la ejecución de la Estrategia GEBCO adoptada en 2024; </w:t>
      </w:r>
      <w:r>
        <w:rPr>
          <w:rFonts w:ascii="Arial" w:hAnsi="Arial"/>
          <w:sz w:val="22"/>
          <w:szCs w:val="22"/>
          <w:lang w:val="es"/>
        </w:rPr>
        <w:t xml:space="preserve">y </w:t>
      </w:r>
      <w:r>
        <w:rPr>
          <w:rFonts w:ascii="Arial" w:hAnsi="Arial"/>
          <w:sz w:val="22"/>
          <w:lang w:val="es"/>
        </w:rPr>
        <w:t>(</w:t>
      </w:r>
      <w:proofErr w:type="spellStart"/>
      <w:r>
        <w:rPr>
          <w:rFonts w:ascii="Arial" w:hAnsi="Arial"/>
          <w:sz w:val="22"/>
          <w:lang w:val="es"/>
        </w:rPr>
        <w:t>iii</w:t>
      </w:r>
      <w:proofErr w:type="spellEnd"/>
      <w:r>
        <w:rPr>
          <w:rFonts w:ascii="Arial" w:hAnsi="Arial"/>
          <w:sz w:val="22"/>
          <w:lang w:val="es"/>
        </w:rPr>
        <w:t xml:space="preserve">) </w:t>
      </w:r>
      <w:r>
        <w:rPr>
          <w:rFonts w:ascii="Arial" w:hAnsi="Arial"/>
          <w:sz w:val="22"/>
          <w:szCs w:val="22"/>
          <w:lang w:val="es"/>
        </w:rPr>
        <w:t>los avances de la labor de</w:t>
      </w:r>
      <w:r>
        <w:rPr>
          <w:rFonts w:ascii="Arial" w:hAnsi="Arial"/>
          <w:sz w:val="22"/>
          <w:lang w:val="es"/>
        </w:rPr>
        <w:t xml:space="preserve"> los </w:t>
      </w:r>
      <w:r>
        <w:rPr>
          <w:rFonts w:ascii="Arial" w:hAnsi="Arial"/>
          <w:sz w:val="22"/>
          <w:szCs w:val="22"/>
          <w:lang w:val="es"/>
        </w:rPr>
        <w:t>subcomités</w:t>
      </w:r>
      <w:r>
        <w:rPr>
          <w:rFonts w:ascii="Arial" w:hAnsi="Arial"/>
          <w:sz w:val="22"/>
          <w:lang w:val="es"/>
        </w:rPr>
        <w:t xml:space="preserve"> del </w:t>
      </w:r>
      <w:proofErr w:type="gramStart"/>
      <w:r>
        <w:rPr>
          <w:rFonts w:ascii="Arial" w:hAnsi="Arial"/>
          <w:sz w:val="22"/>
          <w:lang w:val="es"/>
        </w:rPr>
        <w:t xml:space="preserve">GEBCO </w:t>
      </w:r>
      <w:r>
        <w:rPr>
          <w:rFonts w:ascii="Arial" w:hAnsi="Arial"/>
          <w:sz w:val="22"/>
          <w:szCs w:val="22"/>
          <w:lang w:val="es"/>
        </w:rPr>
        <w:t>,</w:t>
      </w:r>
      <w:proofErr w:type="gramEnd"/>
      <w:r>
        <w:rPr>
          <w:rFonts w:ascii="Arial" w:hAnsi="Arial"/>
          <w:sz w:val="22"/>
          <w:szCs w:val="22"/>
          <w:lang w:val="es"/>
        </w:rPr>
        <w:t xml:space="preserve"> a saber, SCUFN, SCRUM y SCET</w:t>
      </w:r>
      <w:r>
        <w:rPr>
          <w:rFonts w:ascii="Arial" w:hAnsi="Arial"/>
          <w:sz w:val="22"/>
          <w:lang w:val="es"/>
        </w:rPr>
        <w:t>.</w:t>
      </w:r>
    </w:p>
    <w:p w14:paraId="7B8CBFDF" w14:textId="4BEACC4B" w:rsidR="00BD6ADE" w:rsidRPr="006C41C4"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Sr. Sam Harper, </w:t>
      </w:r>
      <w:proofErr w:type="gramStart"/>
      <w:r>
        <w:rPr>
          <w:rFonts w:ascii="Arial" w:hAnsi="Arial" w:cs="Arial"/>
          <w:sz w:val="22"/>
          <w:szCs w:val="22"/>
          <w:lang w:val="es"/>
        </w:rPr>
        <w:t>Secretario Técnico</w:t>
      </w:r>
      <w:proofErr w:type="gramEnd"/>
      <w:r>
        <w:rPr>
          <w:rFonts w:ascii="Arial" w:hAnsi="Arial" w:cs="Arial"/>
          <w:sz w:val="22"/>
          <w:szCs w:val="22"/>
          <w:lang w:val="es"/>
        </w:rPr>
        <w:t xml:space="preserve"> de la OHI y del GEBCO, informó a la Asamblea sobre el proceso de tratamiento de las conclusiones de la Revisión de la Gobernanza del GEBCO, que se ha integrado en el desarrollo de un Plan de Ejecución de la Estrategia formal dirigido por el Comité de Orientación del GEBCO. Una versión final del Plan de Ejecución será transmitida a las Organizaciones Matrices del GEBCO (COI y OHI) después de su consideración por la 42</w:t>
      </w:r>
      <w:r>
        <w:rPr>
          <w:rFonts w:ascii="Arial" w:hAnsi="Arial" w:cs="Arial"/>
          <w:sz w:val="22"/>
          <w:szCs w:val="22"/>
          <w:vertAlign w:val="superscript"/>
          <w:lang w:val="es"/>
        </w:rPr>
        <w:t>ª</w:t>
      </w:r>
      <w:r>
        <w:rPr>
          <w:rFonts w:ascii="Arial" w:hAnsi="Arial" w:cs="Arial"/>
          <w:sz w:val="22"/>
          <w:szCs w:val="22"/>
          <w:lang w:val="es"/>
        </w:rPr>
        <w:t xml:space="preserve"> reunión del Comité de Orientación.</w:t>
      </w:r>
    </w:p>
    <w:p w14:paraId="41D6F22F" w14:textId="4B578D64" w:rsidR="00A27F31" w:rsidRPr="006C41C4" w:rsidRDefault="00A27F3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17 Estados Miembros. </w:t>
      </w:r>
    </w:p>
    <w:p w14:paraId="36033345" w14:textId="607F4D21" w:rsidR="00BD6ADE" w:rsidRPr="006C41C4"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expresó su firme apoyo a la labor del GEBCO y a la misión del proyecto </w:t>
      </w:r>
      <w:proofErr w:type="spellStart"/>
      <w:r>
        <w:rPr>
          <w:rFonts w:ascii="Arial" w:hAnsi="Arial" w:cs="Arial"/>
          <w:sz w:val="22"/>
          <w:szCs w:val="22"/>
          <w:lang w:val="es"/>
        </w:rPr>
        <w:t>Nippon</w:t>
      </w:r>
      <w:proofErr w:type="spellEnd"/>
      <w:r>
        <w:rPr>
          <w:rFonts w:ascii="Arial" w:hAnsi="Arial" w:cs="Arial"/>
          <w:sz w:val="22"/>
          <w:szCs w:val="22"/>
          <w:lang w:val="es"/>
        </w:rPr>
        <w:t xml:space="preserve"> </w:t>
      </w:r>
      <w:proofErr w:type="spellStart"/>
      <w:r>
        <w:rPr>
          <w:rFonts w:ascii="Arial" w:hAnsi="Arial" w:cs="Arial"/>
          <w:sz w:val="22"/>
          <w:szCs w:val="22"/>
          <w:lang w:val="es"/>
        </w:rPr>
        <w:t>Foundation</w:t>
      </w:r>
      <w:proofErr w:type="spellEnd"/>
      <w:r>
        <w:rPr>
          <w:rFonts w:ascii="Arial" w:hAnsi="Arial" w:cs="Arial"/>
          <w:sz w:val="22"/>
          <w:szCs w:val="22"/>
          <w:lang w:val="es"/>
        </w:rPr>
        <w:t>-GEBCO Seabed 2030, cuyo objetivo es cartografiar la totalidad de los fondos oceánicos de aquí a 2030. Varios Estados Miembros mencionan sistemáticamente este objetivo como fuerza motriz de su participación y sus contribuciones. Varios Estados Miembros destacaron el valor de la cartografía oceánica para apoyar el desarrollo sostenible, la prevención de riesgos de catástrofes, el avance de la investigación científica marina, el desarrollo de herramientas de gestión por zonas en el marco de la BBNJ, las propuestas nacionales relacionadas con la delimitación de la plataforma continental y la mejora de nuestra comprensión de los entornos oceánicos.</w:t>
      </w:r>
    </w:p>
    <w:p w14:paraId="33D2A88C" w14:textId="2DE10665" w:rsidR="00BD6ADE" w:rsidRPr="006C41C4"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Varios Estados Miembros describieron la naturaleza de sus contribuciones al GEBCO, a saber, la aportación de conjuntos de datos a la red del GEBCO, la </w:t>
      </w:r>
      <w:proofErr w:type="spellStart"/>
      <w:r>
        <w:rPr>
          <w:rFonts w:ascii="Arial" w:hAnsi="Arial" w:cs="Arial"/>
          <w:sz w:val="22"/>
          <w:szCs w:val="22"/>
          <w:lang w:val="es"/>
        </w:rPr>
        <w:t>colmación</w:t>
      </w:r>
      <w:proofErr w:type="spellEnd"/>
      <w:r>
        <w:rPr>
          <w:rFonts w:ascii="Arial" w:hAnsi="Arial" w:cs="Arial"/>
          <w:sz w:val="22"/>
          <w:szCs w:val="22"/>
          <w:lang w:val="es"/>
        </w:rPr>
        <w:t xml:space="preserve"> de lagunas de conocimientos mediante la realización de campañas batimétricas en aguas inexploradas, la promoción de políticas de datos abiertos para facilitar el acceso a los datos batimétricos, la realización de actividades de creación de capacidades en cartografía oceánica, en particular para los PEID y los PMA. Algunos Estados Miembros pidieron que se aumentara la resolución de los productos del GEBCO para que respondieran mejor a las necesidades de los usuarios locales, y que se elaboraran productos que respondieran a las necesidades específicas de las partes interesadas en los océanos (por ejemplo, planificación espacial marina, conservación de los océanos, etc.).</w:t>
      </w:r>
    </w:p>
    <w:p w14:paraId="3398CB77" w14:textId="40F5562F" w:rsidR="00BD6ADE" w:rsidRPr="006C41C4"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El Reino Unido de Gran Bretaña e Irlanda del Norte destacó que, a través del Centro Nacional de Oceanografía, ha sido un "partidario de larga duración de GEBCO" y actualmente alberga el sitio web de GEBCO, que registró "más de 700 000 visitas" en 2024, además de albergar el Centro Mundial Seabed 2030 (GDACC), responsable del mantenimiento y la entrega de los conjuntos de datos y productos batimétricos mundiales de GEBCO.</w:t>
      </w:r>
    </w:p>
    <w:p w14:paraId="30837BBA" w14:textId="07C26E73" w:rsidR="00BD6ADE" w:rsidRPr="006C41C4"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Los Estados Miembros destacaron la importancia de la cooperación internacional, la puesta en común de datos y los intercambios técnicos para el éxito de estas iniciativas globales. Algunos Estados Miembros animaron además al GEBCO a desarrollar asociaciones innovadoras para aprovechar la contribución del sector privado.</w:t>
      </w:r>
    </w:p>
    <w:p w14:paraId="5D6EE2F6" w14:textId="78D82352" w:rsidR="00D36168" w:rsidRPr="006C41C4" w:rsidRDefault="00974F61"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han optado por dejar constancia de su intervención en el pleno sobre este punto del orden del día para el anexo informativo del informe de la reunión: </w:t>
      </w:r>
      <w:hyperlink w:anchor="chil43" w:history="1">
        <w:r>
          <w:rPr>
            <w:rStyle w:val="Hyperlink"/>
            <w:rFonts w:ascii="Arial" w:hAnsi="Arial" w:cs="Arial"/>
            <w:sz w:val="22"/>
            <w:szCs w:val="22"/>
            <w:lang w:val="es"/>
          </w:rPr>
          <w:t>Chile</w:t>
        </w:r>
      </w:hyperlink>
      <w:r>
        <w:rPr>
          <w:rFonts w:ascii="Arial" w:hAnsi="Arial" w:cs="Arial"/>
          <w:sz w:val="22"/>
          <w:szCs w:val="22"/>
          <w:lang w:val="es"/>
        </w:rPr>
        <w:t xml:space="preserve">, </w:t>
      </w:r>
      <w:hyperlink w:anchor="chin43"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col43" w:history="1">
        <w:r>
          <w:rPr>
            <w:rStyle w:val="Hyperlink"/>
            <w:rFonts w:ascii="Arial" w:hAnsi="Arial" w:cs="Arial"/>
            <w:sz w:val="22"/>
            <w:szCs w:val="22"/>
            <w:lang w:val="es"/>
          </w:rPr>
          <w:t>Colombia</w:t>
        </w:r>
      </w:hyperlink>
      <w:r>
        <w:rPr>
          <w:rFonts w:ascii="Arial" w:hAnsi="Arial" w:cs="Arial"/>
          <w:sz w:val="22"/>
          <w:szCs w:val="22"/>
          <w:lang w:val="es"/>
        </w:rPr>
        <w:t xml:space="preserve">, </w:t>
      </w:r>
      <w:hyperlink w:anchor="japl43"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port43" w:history="1">
        <w:r>
          <w:rPr>
            <w:rStyle w:val="Hyperlink"/>
            <w:rFonts w:ascii="Arial" w:hAnsi="Arial" w:cs="Arial"/>
            <w:sz w:val="22"/>
            <w:szCs w:val="22"/>
            <w:lang w:val="es"/>
          </w:rPr>
          <w:t>Portugal</w:t>
        </w:r>
      </w:hyperlink>
      <w:r>
        <w:rPr>
          <w:rFonts w:ascii="Arial" w:hAnsi="Arial" w:cs="Arial"/>
          <w:sz w:val="22"/>
          <w:szCs w:val="22"/>
          <w:lang w:val="es"/>
        </w:rPr>
        <w:t xml:space="preserve">, </w:t>
      </w:r>
      <w:hyperlink w:anchor="rus43"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pain43"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uk43" w:history="1">
        <w:r>
          <w:rPr>
            <w:rStyle w:val="Hyperlink"/>
            <w:rFonts w:ascii="Arial" w:hAnsi="Arial" w:cs="Arial"/>
            <w:sz w:val="22"/>
            <w:szCs w:val="22"/>
            <w:lang w:val="es"/>
          </w:rPr>
          <w:t>Reino Unido de Gran Bretaña e Irlanda del Norte</w:t>
        </w:r>
      </w:hyperlink>
      <w:r>
        <w:rPr>
          <w:rFonts w:ascii="Arial" w:hAnsi="Arial" w:cs="Arial"/>
          <w:sz w:val="22"/>
          <w:szCs w:val="22"/>
          <w:lang w:val="es"/>
        </w:rPr>
        <w:t>.</w:t>
      </w:r>
    </w:p>
    <w:p w14:paraId="2F5D4F47" w14:textId="3ACAFDF4" w:rsidR="008158AA" w:rsidRPr="006C41C4" w:rsidRDefault="008158AA"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A-33/4.3</w:t>
      </w:r>
      <w:r>
        <w:rPr>
          <w:rFonts w:asciiTheme="minorBidi" w:hAnsiTheme="minorBidi" w:cstheme="minorBidi"/>
          <w:sz w:val="22"/>
          <w:szCs w:val="22"/>
          <w:lang w:val="es"/>
        </w:rPr>
        <w:t>.</w:t>
      </w:r>
    </w:p>
    <w:p w14:paraId="0205DC4D" w14:textId="4B2EACC0" w:rsidR="00E11C55" w:rsidRPr="006C41C4" w:rsidRDefault="005B13F7" w:rsidP="00AE1A0F">
      <w:pPr>
        <w:pStyle w:val="Heading2"/>
        <w:tabs>
          <w:tab w:val="clear" w:pos="737"/>
        </w:tabs>
        <w:ind w:left="851" w:hanging="851"/>
        <w:rPr>
          <w:sz w:val="20"/>
          <w:szCs w:val="20"/>
          <w:lang w:val="es-ES"/>
        </w:rPr>
      </w:pPr>
      <w:bookmarkStart w:id="236" w:name="_Toc131777757"/>
      <w:bookmarkStart w:id="237" w:name="_Toc134002206"/>
      <w:bookmarkStart w:id="238" w:name="_Toc134002384"/>
      <w:bookmarkStart w:id="239" w:name="_Toc190766988"/>
      <w:bookmarkStart w:id="240" w:name="_Toc197955128"/>
      <w:bookmarkStart w:id="241" w:name="_Toc212133524"/>
      <w:r>
        <w:rPr>
          <w:bCs w:val="0"/>
          <w:lang w:val="es"/>
        </w:rPr>
        <w:t>4.4</w:t>
      </w:r>
      <w:r>
        <w:rPr>
          <w:bCs w:val="0"/>
          <w:lang w:val="es"/>
        </w:rPr>
        <w:tab/>
      </w:r>
      <w:bookmarkStart w:id="242" w:name="_Hlk207894931"/>
      <w:r>
        <w:rPr>
          <w:bCs w:val="0"/>
          <w:lang w:val="es"/>
        </w:rPr>
        <w:t>PLAN DE ACCIÓN Y ESTRATEGIA PARA LA ALFABETIZACIÓN OCEÁNICA DE LA COI</w:t>
      </w:r>
      <w:bookmarkEnd w:id="236"/>
      <w:bookmarkEnd w:id="237"/>
      <w:bookmarkEnd w:id="238"/>
      <w:bookmarkEnd w:id="239"/>
      <w:bookmarkEnd w:id="240"/>
      <w:bookmarkEnd w:id="241"/>
      <w:bookmarkEnd w:id="242"/>
    </w:p>
    <w:p w14:paraId="3E39E7F1" w14:textId="79E345DA" w:rsidR="001A4909" w:rsidRPr="006C41C4" w:rsidRDefault="001A49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t xml:space="preserve">El Profesor Ronaldo </w:t>
      </w:r>
      <w:proofErr w:type="spellStart"/>
      <w:r>
        <w:rPr>
          <w:rFonts w:ascii="Arial" w:hAnsi="Arial"/>
          <w:sz w:val="22"/>
          <w:szCs w:val="22"/>
          <w:lang w:val="es"/>
        </w:rPr>
        <w:t>Christofoletti</w:t>
      </w:r>
      <w:proofErr w:type="spellEnd"/>
      <w:r>
        <w:rPr>
          <w:rFonts w:ascii="Arial" w:hAnsi="Arial"/>
          <w:sz w:val="22"/>
          <w:szCs w:val="22"/>
          <w:lang w:val="es"/>
        </w:rPr>
        <w:t xml:space="preserve">, </w:t>
      </w:r>
      <w:proofErr w:type="gramStart"/>
      <w:r>
        <w:rPr>
          <w:rFonts w:ascii="Arial" w:hAnsi="Arial"/>
          <w:sz w:val="22"/>
          <w:szCs w:val="22"/>
          <w:lang w:val="es"/>
        </w:rPr>
        <w:t>Presidente</w:t>
      </w:r>
      <w:proofErr w:type="gramEnd"/>
      <w:r>
        <w:rPr>
          <w:rFonts w:ascii="Arial" w:hAnsi="Arial"/>
          <w:sz w:val="22"/>
          <w:szCs w:val="22"/>
          <w:lang w:val="es"/>
        </w:rPr>
        <w:t xml:space="preserve"> del Grupo de Expertos en Alfabetización Oceánica, presentó este punto. </w:t>
      </w:r>
      <w:r>
        <w:rPr>
          <w:rFonts w:ascii="Arial Nova" w:hAnsi="Arial Nova"/>
          <w:sz w:val="22"/>
          <w:szCs w:val="22"/>
          <w:lang w:val="es"/>
        </w:rPr>
        <w:t>Recordó</w:t>
      </w:r>
      <w:r>
        <w:rPr>
          <w:rFonts w:ascii="Arial" w:hAnsi="Arial"/>
          <w:sz w:val="22"/>
          <w:szCs w:val="22"/>
          <w:lang w:val="es"/>
        </w:rPr>
        <w:t xml:space="preserve"> las principales actividades del grupo de trabajo desde su creación, incluida la convocatoria de cinco grupos de trabajo específicos centrados en la promoción, las comunicaciones, la educación, la recaudación de fondos y el océano y Clima. El Grupo de Expertos también contribuyó a la elaboración de la nueva </w:t>
      </w:r>
      <w:r>
        <w:rPr>
          <w:rFonts w:ascii="Arial" w:hAnsi="Arial"/>
          <w:i/>
          <w:iCs/>
          <w:sz w:val="22"/>
          <w:szCs w:val="22"/>
          <w:lang w:val="es"/>
        </w:rPr>
        <w:t xml:space="preserve">Teoría del Cambio para el Desafío 10 del Decenio del Océano (2025-2030) </w:t>
      </w:r>
      <w:r>
        <w:rPr>
          <w:rFonts w:ascii="Arial" w:hAnsi="Arial"/>
          <w:sz w:val="22"/>
          <w:szCs w:val="22"/>
          <w:lang w:val="es"/>
        </w:rPr>
        <w:t>(ref.: IOC/2024/ODS/51.11)</w:t>
      </w:r>
      <w:r>
        <w:rPr>
          <w:lang w:val="es"/>
        </w:rPr>
        <w:t xml:space="preserve">. </w:t>
      </w:r>
    </w:p>
    <w:p w14:paraId="4E83EB3B" w14:textId="7EFD120B" w:rsidR="001A4909" w:rsidRPr="006C41C4" w:rsidRDefault="001A49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t>A continuación, presentó un panorama general de las actividades que han contribuido al avance del Plan de Acción de la COI sobre Alfabetización Oceánica (2018-2021), y presentó un Plan de Acción actualizado sobre Alfabetización Oceánica (</w:t>
      </w:r>
      <w:r>
        <w:rPr>
          <w:rFonts w:ascii="Arial Nova" w:hAnsi="Arial Nova"/>
          <w:sz w:val="22"/>
          <w:szCs w:val="22"/>
          <w:lang w:val="es"/>
        </w:rPr>
        <w:t>2026-2030</w:t>
      </w:r>
      <w:r>
        <w:rPr>
          <w:rFonts w:ascii="Arial" w:hAnsi="Arial"/>
          <w:sz w:val="22"/>
          <w:szCs w:val="22"/>
          <w:lang w:val="es"/>
        </w:rPr>
        <w:t>) (IOC/A-33/4.</w:t>
      </w:r>
      <w:proofErr w:type="gramStart"/>
      <w:r>
        <w:rPr>
          <w:rFonts w:ascii="Arial" w:hAnsi="Arial"/>
          <w:sz w:val="22"/>
          <w:szCs w:val="22"/>
          <w:lang w:val="es"/>
        </w:rPr>
        <w:t>4.Doc</w:t>
      </w:r>
      <w:proofErr w:type="gramEnd"/>
      <w:r>
        <w:rPr>
          <w:rFonts w:ascii="Arial" w:hAnsi="Arial"/>
          <w:sz w:val="22"/>
          <w:szCs w:val="22"/>
          <w:lang w:val="es"/>
        </w:rPr>
        <w:t>(1)). El plan esboza actividades encaminadas a integrar el conocimiento de los océanos con la acción pública; potenciar la toma de decisiones con conocimiento de causa para afrontar retos acuciantes como el cambio climático, la pérdida de biodiversidad y la contaminación; y fomentar la administración mundial en apoyo de la transición hacia una gestión sostenible de los océanos.</w:t>
      </w:r>
    </w:p>
    <w:p w14:paraId="0A95F07E" w14:textId="53ECC392" w:rsidR="001A4909" w:rsidRPr="006C41C4" w:rsidRDefault="001A49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t xml:space="preserve">Por último, el profesor </w:t>
      </w:r>
      <w:proofErr w:type="spellStart"/>
      <w:r>
        <w:rPr>
          <w:rFonts w:ascii="Arial" w:hAnsi="Arial"/>
          <w:sz w:val="22"/>
          <w:szCs w:val="22"/>
          <w:lang w:val="es"/>
        </w:rPr>
        <w:t>Christofoletti</w:t>
      </w:r>
      <w:proofErr w:type="spellEnd"/>
      <w:r>
        <w:rPr>
          <w:rFonts w:ascii="Arial" w:hAnsi="Arial"/>
          <w:sz w:val="22"/>
          <w:szCs w:val="22"/>
          <w:lang w:val="es"/>
        </w:rPr>
        <w:t xml:space="preserve"> informó sobre las actividades desarrolladas en el contexto del Decenio de las Naciones Unidas de las Ciencias Oceánicas, con especial referencia al resultado 7 y a los retos 9 y 10 del </w:t>
      </w:r>
      <w:r>
        <w:rPr>
          <w:rFonts w:ascii="Arial" w:hAnsi="Arial"/>
          <w:i/>
          <w:iCs/>
          <w:sz w:val="22"/>
          <w:lang w:val="es"/>
        </w:rPr>
        <w:t>Plan de Ejecución del Decenio del Océano</w:t>
      </w:r>
      <w:r>
        <w:rPr>
          <w:rFonts w:ascii="Arial" w:hAnsi="Arial"/>
          <w:sz w:val="22"/>
          <w:szCs w:val="22"/>
          <w:lang w:val="es"/>
        </w:rPr>
        <w:t xml:space="preserve"> y los principales elementos del documento "La Alfabetización oceánica en el marco del Decenio de las Naciones Unidas de las Ciencias Oceánicas: un marco de acción" (</w:t>
      </w:r>
      <w:hyperlink r:id="rId75" w:history="1">
        <w:r>
          <w:rPr>
            <w:rStyle w:val="Hyperlink"/>
            <w:rFonts w:ascii="Arial" w:hAnsi="Arial" w:cs="Arial"/>
            <w:sz w:val="22"/>
            <w:szCs w:val="22"/>
            <w:lang w:val="es"/>
          </w:rPr>
          <w:t>IOC/2021/ODS/22</w:t>
        </w:r>
      </w:hyperlink>
      <w:r>
        <w:rPr>
          <w:rFonts w:ascii="Arial" w:hAnsi="Arial"/>
          <w:sz w:val="22"/>
          <w:szCs w:val="22"/>
          <w:lang w:val="es"/>
        </w:rPr>
        <w:t>). También presentó un panorama general de los documentos elaborados sobre la alfabetización oceánica desde la 32ª Asamblea, entre ellos "</w:t>
      </w:r>
      <w:proofErr w:type="spellStart"/>
      <w:r>
        <w:rPr>
          <w:rFonts w:ascii="Arial" w:hAnsi="Arial"/>
          <w:sz w:val="22"/>
          <w:szCs w:val="22"/>
          <w:lang w:val="es"/>
        </w:rPr>
        <w:t>Promoting</w:t>
      </w:r>
      <w:proofErr w:type="spellEnd"/>
      <w:r>
        <w:rPr>
          <w:rFonts w:ascii="Arial" w:hAnsi="Arial"/>
          <w:sz w:val="22"/>
          <w:szCs w:val="22"/>
          <w:lang w:val="es"/>
        </w:rPr>
        <w:t xml:space="preserve"> Ocean Literacy: </w:t>
      </w:r>
      <w:proofErr w:type="spellStart"/>
      <w:r>
        <w:rPr>
          <w:rFonts w:ascii="Arial" w:hAnsi="Arial"/>
          <w:sz w:val="22"/>
          <w:szCs w:val="22"/>
          <w:lang w:val="es"/>
        </w:rPr>
        <w:t>an</w:t>
      </w:r>
      <w:proofErr w:type="spellEnd"/>
      <w:r>
        <w:rPr>
          <w:rFonts w:ascii="Arial" w:hAnsi="Arial"/>
          <w:sz w:val="22"/>
          <w:szCs w:val="22"/>
          <w:lang w:val="es"/>
        </w:rPr>
        <w:t xml:space="preserve"> </w:t>
      </w:r>
      <w:proofErr w:type="spellStart"/>
      <w:r>
        <w:rPr>
          <w:rFonts w:ascii="Arial" w:hAnsi="Arial"/>
          <w:sz w:val="22"/>
          <w:szCs w:val="22"/>
          <w:lang w:val="es"/>
        </w:rPr>
        <w:t>education</w:t>
      </w:r>
      <w:proofErr w:type="spellEnd"/>
      <w:r>
        <w:rPr>
          <w:rFonts w:ascii="Arial" w:hAnsi="Arial"/>
          <w:sz w:val="22"/>
          <w:szCs w:val="22"/>
          <w:lang w:val="es"/>
        </w:rPr>
        <w:t xml:space="preserve"> </w:t>
      </w:r>
      <w:proofErr w:type="spellStart"/>
      <w:r>
        <w:rPr>
          <w:rFonts w:ascii="Arial" w:hAnsi="Arial"/>
          <w:sz w:val="22"/>
          <w:szCs w:val="22"/>
          <w:lang w:val="es"/>
        </w:rPr>
        <w:t>policy</w:t>
      </w:r>
      <w:proofErr w:type="spellEnd"/>
      <w:r>
        <w:rPr>
          <w:rFonts w:ascii="Arial" w:hAnsi="Arial"/>
          <w:sz w:val="22"/>
          <w:szCs w:val="22"/>
          <w:lang w:val="es"/>
        </w:rPr>
        <w:t xml:space="preserve"> </w:t>
      </w:r>
      <w:proofErr w:type="spellStart"/>
      <w:r>
        <w:rPr>
          <w:rFonts w:ascii="Arial" w:hAnsi="Arial"/>
          <w:sz w:val="22"/>
          <w:szCs w:val="22"/>
          <w:lang w:val="es"/>
        </w:rPr>
        <w:t>brief</w:t>
      </w:r>
      <w:proofErr w:type="spellEnd"/>
      <w:r>
        <w:rPr>
          <w:rFonts w:ascii="Arial" w:hAnsi="Arial"/>
          <w:sz w:val="22"/>
          <w:szCs w:val="22"/>
          <w:lang w:val="es"/>
        </w:rPr>
        <w:t>" (</w:t>
      </w:r>
      <w:hyperlink r:id="rId76" w:history="1">
        <w:r>
          <w:rPr>
            <w:rStyle w:val="Hyperlink"/>
            <w:rFonts w:ascii="Arial" w:hAnsi="Arial" w:cs="Arial"/>
            <w:sz w:val="22"/>
            <w:szCs w:val="22"/>
            <w:lang w:val="es"/>
          </w:rPr>
          <w:t>IOC/POL/2025/1</w:t>
        </w:r>
      </w:hyperlink>
      <w:r>
        <w:rPr>
          <w:rFonts w:ascii="Arial" w:hAnsi="Arial"/>
          <w:sz w:val="22"/>
          <w:szCs w:val="22"/>
          <w:lang w:val="es"/>
        </w:rPr>
        <w:t xml:space="preserve">), "A </w:t>
      </w:r>
      <w:proofErr w:type="spellStart"/>
      <w:r>
        <w:rPr>
          <w:rFonts w:ascii="Arial" w:hAnsi="Arial"/>
          <w:sz w:val="22"/>
          <w:szCs w:val="22"/>
          <w:lang w:val="es"/>
        </w:rPr>
        <w:t>Theory</w:t>
      </w:r>
      <w:proofErr w:type="spellEnd"/>
      <w:r>
        <w:rPr>
          <w:rFonts w:ascii="Arial" w:hAnsi="Arial"/>
          <w:sz w:val="22"/>
          <w:szCs w:val="22"/>
          <w:lang w:val="es"/>
        </w:rPr>
        <w:t xml:space="preserve"> of Change for the Ocean Decade </w:t>
      </w:r>
      <w:proofErr w:type="spellStart"/>
      <w:r>
        <w:rPr>
          <w:rFonts w:ascii="Arial" w:hAnsi="Arial"/>
          <w:sz w:val="22"/>
          <w:szCs w:val="22"/>
          <w:lang w:val="es"/>
        </w:rPr>
        <w:t>Challenge</w:t>
      </w:r>
      <w:proofErr w:type="spellEnd"/>
      <w:r>
        <w:rPr>
          <w:rFonts w:ascii="Arial" w:hAnsi="Arial"/>
          <w:sz w:val="22"/>
          <w:szCs w:val="22"/>
          <w:lang w:val="es"/>
        </w:rPr>
        <w:t xml:space="preserve"> 10 (</w:t>
      </w:r>
      <w:hyperlink r:id="rId77" w:history="1">
        <w:r>
          <w:rPr>
            <w:rStyle w:val="Hyperlink"/>
            <w:rFonts w:ascii="Arial" w:hAnsi="Arial" w:cs="Arial"/>
            <w:sz w:val="22"/>
            <w:szCs w:val="22"/>
            <w:lang w:val="es"/>
          </w:rPr>
          <w:t>IOC/2024/ODS/51.11</w:t>
        </w:r>
      </w:hyperlink>
      <w:r>
        <w:rPr>
          <w:rFonts w:ascii="Arial" w:hAnsi="Arial"/>
          <w:sz w:val="22"/>
          <w:szCs w:val="22"/>
          <w:lang w:val="es"/>
        </w:rPr>
        <w:t xml:space="preserve">), y "Global Blue </w:t>
      </w:r>
      <w:proofErr w:type="spellStart"/>
      <w:r>
        <w:rPr>
          <w:rFonts w:ascii="Arial" w:hAnsi="Arial"/>
          <w:sz w:val="22"/>
          <w:szCs w:val="22"/>
          <w:lang w:val="es"/>
        </w:rPr>
        <w:t>Schools</w:t>
      </w:r>
      <w:proofErr w:type="spellEnd"/>
      <w:r>
        <w:rPr>
          <w:rFonts w:ascii="Arial" w:hAnsi="Arial"/>
          <w:sz w:val="22"/>
          <w:szCs w:val="22"/>
          <w:lang w:val="es"/>
        </w:rPr>
        <w:t xml:space="preserve"> Network: a </w:t>
      </w:r>
      <w:proofErr w:type="spellStart"/>
      <w:r>
        <w:rPr>
          <w:rFonts w:ascii="Arial" w:hAnsi="Arial"/>
          <w:sz w:val="22"/>
          <w:szCs w:val="22"/>
          <w:lang w:val="es"/>
        </w:rPr>
        <w:t>toolkit</w:t>
      </w:r>
      <w:proofErr w:type="spellEnd"/>
      <w:r>
        <w:rPr>
          <w:rFonts w:ascii="Arial" w:hAnsi="Arial"/>
          <w:sz w:val="22"/>
          <w:szCs w:val="22"/>
          <w:lang w:val="es"/>
        </w:rPr>
        <w:t>" (</w:t>
      </w:r>
      <w:hyperlink r:id="rId78" w:history="1">
        <w:r>
          <w:rPr>
            <w:rStyle w:val="Hyperlink"/>
            <w:rFonts w:ascii="Arial" w:hAnsi="Arial" w:cs="Arial"/>
            <w:sz w:val="22"/>
            <w:szCs w:val="22"/>
            <w:u w:val="none"/>
            <w:lang w:val="es"/>
          </w:rPr>
          <w:t>IOC/2025/MG/98</w:t>
        </w:r>
      </w:hyperlink>
      <w:r>
        <w:rPr>
          <w:rFonts w:ascii="Arial" w:hAnsi="Arial"/>
          <w:sz w:val="22"/>
          <w:szCs w:val="22"/>
          <w:lang w:val="es"/>
        </w:rPr>
        <w:t>).</w:t>
      </w:r>
    </w:p>
    <w:p w14:paraId="04CA4F71" w14:textId="3D179853" w:rsidR="0070562E" w:rsidRPr="006C41C4" w:rsidRDefault="00D459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16 Estados Miembros. </w:t>
      </w:r>
    </w:p>
    <w:p w14:paraId="230F18AE" w14:textId="77777777" w:rsidR="00BD6ADE" w:rsidRPr="006C41C4"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Estados Miembros agradecieron al Sr. </w:t>
      </w:r>
      <w:proofErr w:type="spellStart"/>
      <w:r>
        <w:rPr>
          <w:rFonts w:ascii="Arial" w:hAnsi="Arial" w:cs="Arial"/>
          <w:sz w:val="22"/>
          <w:szCs w:val="22"/>
          <w:lang w:val="es"/>
        </w:rPr>
        <w:t>Christofoletti</w:t>
      </w:r>
      <w:proofErr w:type="spellEnd"/>
      <w:r>
        <w:rPr>
          <w:rFonts w:ascii="Arial" w:hAnsi="Arial" w:cs="Arial"/>
          <w:sz w:val="22"/>
          <w:szCs w:val="22"/>
          <w:lang w:val="es"/>
        </w:rPr>
        <w:t xml:space="preserve"> su presentación y muchos expresaron su firme apoyo a la labor del Grupo de Expertos de la COI sobre Alfabetización Oceánica. Las intervenciones acogieron con satisfacción el Plan de Acción de Alfabetización Oceánica de la COI 2026-2030 y pidieron que la Secretaría velara por la armonización estratégica del Plan con la Estrategia de Desarrollo de Capacidades de la COI 2022-2029 y su pertinencia transversal para la acción por el clima, la educación y el desarrollo sostenible. </w:t>
      </w:r>
    </w:p>
    <w:p w14:paraId="26D0DADA" w14:textId="0C16B7DA" w:rsidR="00BD6ADE" w:rsidRPr="006C41C4"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Muchas delegaciones subrayaron la creciente importancia de la alfabetización oceánica como herramienta para capacitar a las comunidades y fomentar una conexión cultural más profunda con el océano. Los Estados Miembros destacaron la necesidad de un seguimiento y una evaluación claros y de la incorporación de revisiones y ajustes periódicos de las actividades del Plan de Acción, y señalaron los retos que plantea el mantenimiento de los esfuerzos y la importancia de garantizar el apoyo y el compromiso regionales. Señalaron que las diversas redes ya existentes en la UNESCO que pueden apoyar los esfuerzos de alfabetización oceánica son importantes para contribuir a la aplicación del Plan de Acción. También se subrayó que la cooperación con distintos sectores de la sociedad es un elemento clave para garantizar la accesibilidad y la inclusión de las iniciativas de alfabetización oceánica. </w:t>
      </w:r>
    </w:p>
    <w:p w14:paraId="3D5FCF1F" w14:textId="77777777" w:rsidR="00BD6ADE" w:rsidRPr="006C41C4"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lastRenderedPageBreak/>
        <w:t xml:space="preserve">Muchos Estados Miembros destacaron los esfuerzos y actos nacionales en curso en consonancia con los objetivos del Plan de Acción, incluida la incorporación de temas oceánicos a los programas escolares. También mencionaron los retos relacionados con la ampliación de las iniciativas, la necesidad de mejorar el acceso a los recursos y de potenciar la participación de los jóvenes y los medios de comunicación. Se apreció ampliamente el enfoque participativo e integrador adoptado por el Grupo de Expertos y su contribución al Desafío 10 del Decenio del Océano. </w:t>
      </w:r>
    </w:p>
    <w:p w14:paraId="6F373CAD" w14:textId="09347B03" w:rsidR="0070562E" w:rsidRPr="006C41C4"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Varias delegaciones apoyaron explícitamente la continuación del Grupo en el futuro y señalaron que les gustaría nombrar expertos para el mismo. El </w:t>
      </w:r>
      <w:proofErr w:type="gramStart"/>
      <w:r>
        <w:rPr>
          <w:rFonts w:ascii="Arial" w:hAnsi="Arial" w:cs="Arial"/>
          <w:sz w:val="22"/>
          <w:szCs w:val="22"/>
          <w:lang w:val="es"/>
        </w:rPr>
        <w:t>Presidente</w:t>
      </w:r>
      <w:proofErr w:type="gramEnd"/>
      <w:r>
        <w:rPr>
          <w:rFonts w:ascii="Arial" w:hAnsi="Arial" w:cs="Arial"/>
          <w:sz w:val="22"/>
          <w:szCs w:val="22"/>
          <w:lang w:val="es"/>
        </w:rPr>
        <w:t xml:space="preserve"> dio las gracias a los Estados Miembros por su continuo apoyo, señalando su voluntad de contribuir y destacando la importancia de la medición del impacto. También reconoció la importancia de la integración de la educación STEM y la necesidad de implicar a diferentes agentes en la alfabetización oceánica, como el sector privado, los medios de comunicación y las ONG. El </w:t>
      </w:r>
      <w:proofErr w:type="gramStart"/>
      <w:r>
        <w:rPr>
          <w:rFonts w:ascii="Arial" w:hAnsi="Arial" w:cs="Arial"/>
          <w:sz w:val="22"/>
          <w:szCs w:val="22"/>
          <w:lang w:val="es"/>
        </w:rPr>
        <w:t>Presidente</w:t>
      </w:r>
      <w:proofErr w:type="gramEnd"/>
      <w:r>
        <w:rPr>
          <w:rFonts w:ascii="Arial" w:hAnsi="Arial" w:cs="Arial"/>
          <w:sz w:val="22"/>
          <w:szCs w:val="22"/>
          <w:lang w:val="es"/>
        </w:rPr>
        <w:t xml:space="preserve"> acogió con satisfacción la oferta de un Estado Miembro de traducir el Plan de Acción a un mayor número de lenguas, subrayando la importancia de la inclusividad en las actividades de la COI.</w:t>
      </w:r>
    </w:p>
    <w:p w14:paraId="4FA59C88" w14:textId="4D3B6B4A" w:rsidR="00D4597E" w:rsidRPr="006C41C4" w:rsidRDefault="00D4597E"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han optado por dejar constancia de su intervención en el pleno sobre este punto del orden del día para el anexo informativo del informe de la reunión: </w:t>
      </w:r>
      <w:hyperlink w:anchor="bra44" w:history="1">
        <w:r>
          <w:rPr>
            <w:rStyle w:val="Hyperlink"/>
            <w:rFonts w:ascii="Arial" w:hAnsi="Arial" w:cs="Arial"/>
            <w:sz w:val="22"/>
            <w:szCs w:val="22"/>
            <w:lang w:val="es"/>
          </w:rPr>
          <w:t>Brasil</w:t>
        </w:r>
      </w:hyperlink>
      <w:r>
        <w:rPr>
          <w:rFonts w:ascii="Arial" w:hAnsi="Arial" w:cs="Arial"/>
          <w:sz w:val="22"/>
          <w:szCs w:val="22"/>
          <w:lang w:val="es"/>
        </w:rPr>
        <w:t xml:space="preserve">, </w:t>
      </w:r>
      <w:hyperlink w:anchor="chil44" w:history="1">
        <w:r>
          <w:rPr>
            <w:rStyle w:val="Hyperlink"/>
            <w:rFonts w:ascii="Arial" w:hAnsi="Arial" w:cs="Arial"/>
            <w:sz w:val="22"/>
            <w:szCs w:val="22"/>
            <w:lang w:val="es"/>
          </w:rPr>
          <w:t>Chile</w:t>
        </w:r>
      </w:hyperlink>
      <w:r>
        <w:rPr>
          <w:rFonts w:ascii="Arial" w:hAnsi="Arial" w:cs="Arial"/>
          <w:sz w:val="22"/>
          <w:szCs w:val="22"/>
          <w:lang w:val="es"/>
        </w:rPr>
        <w:t xml:space="preserve">, </w:t>
      </w:r>
      <w:hyperlink w:anchor="chin44"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fra44" w:history="1">
        <w:r>
          <w:rPr>
            <w:rStyle w:val="Hyperlink"/>
            <w:rFonts w:ascii="Arial" w:hAnsi="Arial" w:cs="Arial"/>
            <w:sz w:val="22"/>
            <w:szCs w:val="22"/>
            <w:lang w:val="es"/>
          </w:rPr>
          <w:t>Francia</w:t>
        </w:r>
      </w:hyperlink>
      <w:r>
        <w:rPr>
          <w:rFonts w:ascii="Arial" w:hAnsi="Arial" w:cs="Arial"/>
          <w:sz w:val="22"/>
          <w:szCs w:val="22"/>
          <w:lang w:val="es"/>
        </w:rPr>
        <w:t xml:space="preserve">, </w:t>
      </w:r>
      <w:hyperlink w:anchor="indi44" w:history="1">
        <w:r>
          <w:rPr>
            <w:rStyle w:val="Hyperlink"/>
            <w:rFonts w:ascii="Arial" w:hAnsi="Arial" w:cs="Arial"/>
            <w:sz w:val="22"/>
            <w:szCs w:val="22"/>
            <w:lang w:val="es"/>
          </w:rPr>
          <w:t>India</w:t>
        </w:r>
      </w:hyperlink>
      <w:r>
        <w:rPr>
          <w:rFonts w:ascii="Arial" w:hAnsi="Arial" w:cs="Arial"/>
          <w:sz w:val="22"/>
          <w:szCs w:val="22"/>
          <w:lang w:val="es"/>
        </w:rPr>
        <w:t xml:space="preserve">, </w:t>
      </w:r>
      <w:hyperlink w:anchor="jap44"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malay44" w:history="1">
        <w:r>
          <w:rPr>
            <w:rStyle w:val="Hyperlink"/>
            <w:rFonts w:ascii="Arial" w:hAnsi="Arial" w:cs="Arial"/>
            <w:sz w:val="22"/>
            <w:szCs w:val="22"/>
            <w:lang w:val="es"/>
          </w:rPr>
          <w:t>Malasia</w:t>
        </w:r>
      </w:hyperlink>
      <w:r>
        <w:rPr>
          <w:rFonts w:ascii="Arial" w:hAnsi="Arial" w:cs="Arial"/>
          <w:sz w:val="22"/>
          <w:szCs w:val="22"/>
          <w:lang w:val="es"/>
        </w:rPr>
        <w:t xml:space="preserve">, </w:t>
      </w:r>
      <w:hyperlink w:anchor="port44" w:history="1">
        <w:r>
          <w:rPr>
            <w:rStyle w:val="Hyperlink"/>
            <w:rFonts w:ascii="Arial" w:hAnsi="Arial" w:cs="Arial"/>
            <w:sz w:val="22"/>
            <w:szCs w:val="22"/>
            <w:lang w:val="es"/>
          </w:rPr>
          <w:t>Portugal</w:t>
        </w:r>
      </w:hyperlink>
      <w:r>
        <w:rPr>
          <w:rFonts w:ascii="Arial" w:hAnsi="Arial" w:cs="Arial"/>
          <w:sz w:val="22"/>
          <w:szCs w:val="22"/>
          <w:lang w:val="es"/>
        </w:rPr>
        <w:t xml:space="preserve">, </w:t>
      </w:r>
      <w:hyperlink w:anchor="rus44"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a44" w:history="1">
        <w:r>
          <w:rPr>
            <w:rStyle w:val="Hyperlink"/>
            <w:rFonts w:ascii="Arial" w:hAnsi="Arial" w:cs="Arial"/>
            <w:sz w:val="22"/>
            <w:szCs w:val="22"/>
            <w:lang w:val="es"/>
          </w:rPr>
          <w:t>Sudáfrica</w:t>
        </w:r>
      </w:hyperlink>
      <w:r>
        <w:rPr>
          <w:rFonts w:ascii="Arial" w:hAnsi="Arial" w:cs="Arial"/>
          <w:sz w:val="22"/>
          <w:szCs w:val="22"/>
          <w:lang w:val="es"/>
        </w:rPr>
        <w:t xml:space="preserve">, </w:t>
      </w:r>
      <w:hyperlink w:anchor="thai44" w:history="1">
        <w:r>
          <w:rPr>
            <w:rStyle w:val="Hyperlink"/>
            <w:rFonts w:ascii="Arial" w:hAnsi="Arial" w:cs="Arial"/>
            <w:sz w:val="22"/>
            <w:szCs w:val="22"/>
            <w:lang w:val="es"/>
          </w:rPr>
          <w:t>Tailandia</w:t>
        </w:r>
      </w:hyperlink>
      <w:r>
        <w:rPr>
          <w:rFonts w:ascii="Arial" w:hAnsi="Arial" w:cs="Arial"/>
          <w:sz w:val="22"/>
          <w:szCs w:val="22"/>
          <w:lang w:val="es"/>
        </w:rPr>
        <w:t>.</w:t>
      </w:r>
    </w:p>
    <w:p w14:paraId="1CAA73D4" w14:textId="5CDA9840"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A-33/4.4</w:t>
      </w:r>
      <w:r>
        <w:rPr>
          <w:rFonts w:asciiTheme="minorBidi" w:hAnsiTheme="minorBidi" w:cstheme="minorBidi"/>
          <w:sz w:val="22"/>
          <w:szCs w:val="22"/>
          <w:lang w:val="es"/>
        </w:rPr>
        <w:t>.</w:t>
      </w:r>
    </w:p>
    <w:p w14:paraId="61E175E5" w14:textId="015134CC" w:rsidR="00E11C55" w:rsidRPr="006C41C4" w:rsidRDefault="00E11C55" w:rsidP="00547D9B">
      <w:pPr>
        <w:pStyle w:val="Heading2"/>
        <w:numPr>
          <w:ilvl w:val="1"/>
          <w:numId w:val="18"/>
        </w:numPr>
        <w:tabs>
          <w:tab w:val="clear" w:pos="737"/>
        </w:tabs>
        <w:ind w:left="851" w:hanging="851"/>
        <w:rPr>
          <w:lang w:val="es-ES"/>
        </w:rPr>
      </w:pPr>
      <w:bookmarkStart w:id="243" w:name="_Toc197955129"/>
      <w:bookmarkStart w:id="244" w:name="_Toc190766989"/>
      <w:bookmarkStart w:id="245" w:name="_Toc212133525"/>
      <w:bookmarkStart w:id="246" w:name="_Toc131777761"/>
      <w:bookmarkStart w:id="247" w:name="_Toc134002210"/>
      <w:bookmarkStart w:id="248" w:name="_Toc134002388"/>
      <w:r>
        <w:rPr>
          <w:bCs w:val="0"/>
          <w:lang w:val="es"/>
        </w:rPr>
        <w:t>SISTEMA MUNDIAL DE OBSERVACIÓN DE LOS OCÉANOS</w:t>
      </w:r>
      <w:bookmarkEnd w:id="243"/>
      <w:bookmarkEnd w:id="244"/>
      <w:bookmarkEnd w:id="245"/>
      <w:r>
        <w:rPr>
          <w:bCs w:val="0"/>
          <w:lang w:val="es"/>
        </w:rPr>
        <w:t xml:space="preserve"> </w:t>
      </w:r>
      <w:bookmarkEnd w:id="246"/>
      <w:bookmarkEnd w:id="247"/>
      <w:bookmarkEnd w:id="248"/>
    </w:p>
    <w:p w14:paraId="2174C68F" w14:textId="5C1A0E49" w:rsidR="00C9289D" w:rsidRPr="00AE71B5" w:rsidRDefault="001E4F98" w:rsidP="00FF2D2B">
      <w:pPr>
        <w:pStyle w:val="Heading3"/>
        <w:numPr>
          <w:ilvl w:val="0"/>
          <w:numId w:val="0"/>
        </w:numPr>
        <w:tabs>
          <w:tab w:val="clear" w:pos="709"/>
        </w:tabs>
        <w:ind w:left="851" w:hanging="851"/>
        <w:rPr>
          <w:rStyle w:val="Heading3Char"/>
          <w:rFonts w:cs="Arial"/>
          <w:b/>
          <w:snapToGrid w:val="0"/>
          <w:szCs w:val="22"/>
        </w:rPr>
      </w:pPr>
      <w:bookmarkStart w:id="249" w:name="_Toc134002389"/>
      <w:bookmarkStart w:id="250" w:name="_Toc134002211"/>
      <w:bookmarkStart w:id="251" w:name="_Toc190766990"/>
      <w:bookmarkStart w:id="252" w:name="_Toc197955130"/>
      <w:bookmarkStart w:id="253" w:name="_Toc212133526"/>
      <w:bookmarkStart w:id="254" w:name="_Toc131777762"/>
      <w:r>
        <w:rPr>
          <w:rStyle w:val="Heading3Char"/>
          <w:rFonts w:cs="Arial"/>
          <w:b/>
          <w:bCs/>
          <w:snapToGrid w:val="0"/>
          <w:szCs w:val="22"/>
          <w:lang w:val="es"/>
        </w:rPr>
        <w:t>4.5.1</w:t>
      </w:r>
      <w:r>
        <w:rPr>
          <w:rStyle w:val="Heading3Char"/>
          <w:rFonts w:cs="Arial"/>
          <w:b/>
          <w:bCs/>
          <w:snapToGrid w:val="0"/>
          <w:szCs w:val="22"/>
          <w:lang w:val="es"/>
        </w:rPr>
        <w:tab/>
        <w:t xml:space="preserve">Gobernanza del </w:t>
      </w:r>
      <w:bookmarkStart w:id="255" w:name="_Hlk207895639"/>
      <w:r>
        <w:rPr>
          <w:rStyle w:val="Heading3Char"/>
          <w:rFonts w:cs="Arial"/>
          <w:b/>
          <w:bCs/>
          <w:snapToGrid w:val="0"/>
          <w:szCs w:val="22"/>
          <w:lang w:val="es"/>
        </w:rPr>
        <w:t>GOOS</w:t>
      </w:r>
      <w:bookmarkEnd w:id="249"/>
      <w:bookmarkEnd w:id="250"/>
      <w:bookmarkEnd w:id="251"/>
      <w:bookmarkEnd w:id="252"/>
      <w:bookmarkEnd w:id="253"/>
      <w:bookmarkEnd w:id="255"/>
    </w:p>
    <w:p w14:paraId="52E0A174" w14:textId="3EE2AB18" w:rsidR="001C1C16" w:rsidRPr="00AE71B5" w:rsidRDefault="00772B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es"/>
        </w:rPr>
        <w:t xml:space="preserve">La Sra. Joanna Post, </w:t>
      </w:r>
      <w:proofErr w:type="gramStart"/>
      <w:r>
        <w:rPr>
          <w:rFonts w:ascii="Arial" w:hAnsi="Arial" w:cs="Arial"/>
          <w:sz w:val="22"/>
          <w:szCs w:val="22"/>
          <w:lang w:val="es"/>
        </w:rPr>
        <w:t>Jefa</w:t>
      </w:r>
      <w:proofErr w:type="gramEnd"/>
      <w:r>
        <w:rPr>
          <w:rFonts w:ascii="Arial" w:hAnsi="Arial" w:cs="Arial"/>
          <w:sz w:val="22"/>
          <w:szCs w:val="22"/>
          <w:lang w:val="es"/>
        </w:rPr>
        <w:t xml:space="preserve"> de la Sección de Observaciones y Servicios Oceánicos, presentó este punto. Presentó una visión general de la propuesta de evolución del gobierno del GOOS y de las acciones propuestas para avanzar. La propuesta se solicitó en la Decisión EC-57/4.1.</w:t>
      </w:r>
    </w:p>
    <w:p w14:paraId="69AC6F6D" w14:textId="17A857B3" w:rsidR="00C042C6" w:rsidRPr="006C41C4" w:rsidRDefault="00772B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Explicó que la evolución del GOOS seguirá un enfoque de doble diamante. El primer diamante de 2025 definirá la misión y el alcance del GOOS en el futuro: el Por qué y el Qué. Se ha contratado a una consultora para llevar a cabo este trabajo, que incluye una revisión de la misión y el ámbito de actuación, una revisión de la estructura y la presentación de un borrador de propuesta de estructura, gobernanza y mecanismos de ejecución. </w:t>
      </w:r>
    </w:p>
    <w:p w14:paraId="04EAB300" w14:textId="4EED77E4" w:rsidR="00772B7E" w:rsidRPr="006C41C4" w:rsidRDefault="00C042C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Las actividades del segundo diamante, 2026 y más allá, desarrollarán y entregarán un GOOS reformado: el Cómo. En función de los resultados del primer diamante, estas actividades considerarán y desarrollarán la ejecución revisada del GOOS (misión, alcance, estructura, mandato, procesos transparentes, mecanismos de presentación de informes y ejecución), una estrategia de usuarios y asimilación, el desarrollo de una red básica del GOOS, la ejecución conjunta en el GOOS y la COI de la Arquitectura de Datos de la COI, el Plan de Comunicaciones del GOOS y, para 2029, una estrategia revisada del GOOS 2030+.</w:t>
      </w:r>
    </w:p>
    <w:p w14:paraId="5EBDEF21" w14:textId="7B8FC621" w:rsidR="00162999" w:rsidRPr="006C41C4" w:rsidRDefault="00B71C7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18 Estados Miembros y 2 observadores. </w:t>
      </w:r>
    </w:p>
    <w:p w14:paraId="6BE1DA50" w14:textId="77777777" w:rsidR="00162999" w:rsidRPr="006C41C4"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Estados Miembros expresaron su reconocimiento por los progresos realizados en la reforma de la gobernanza del GOOS, se manifestó un amplio apoyo al enfoque del doble diamante y la expectativa de que el resultado fuera un modelo de gobernanza más moderno y eficaz. Varios Estados Miembros señalaron la importancia de un mayor compromiso de los Puntos Focales Nacionales (PFN) y muchos destacaron la importancia de las Alianzas Regionales del GOOS (GRA). </w:t>
      </w:r>
    </w:p>
    <w:p w14:paraId="5281187C" w14:textId="77777777" w:rsidR="00162999" w:rsidRPr="006C41C4"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lastRenderedPageBreak/>
        <w:t xml:space="preserve">Algunos Estados Miembros señalaron que la estructura de la gobernanza de los océanos y las necesidades de información eran diferentes en cada país y región, y que la gobernanza del GOOS debía responder a ello e integrar los conocimientos mundiales con las competencias locales y regionales, reconociendo las necesidades de desarrollo de capacidades y de acceso a los datos. Varios Estados Miembros destacaron también la importancia de tener en cuenta la cadena de valor y la necesidad de que las observaciones oceánicas respondan a las necesidades de la sociedad, por </w:t>
      </w:r>
      <w:proofErr w:type="gramStart"/>
      <w:r>
        <w:rPr>
          <w:rFonts w:ascii="Arial" w:hAnsi="Arial" w:cs="Arial"/>
          <w:sz w:val="22"/>
          <w:szCs w:val="22"/>
          <w:lang w:val="es"/>
        </w:rPr>
        <w:t>ejemplo</w:t>
      </w:r>
      <w:proofErr w:type="gramEnd"/>
      <w:r>
        <w:rPr>
          <w:rFonts w:ascii="Arial" w:hAnsi="Arial" w:cs="Arial"/>
          <w:sz w:val="22"/>
          <w:szCs w:val="22"/>
          <w:lang w:val="es"/>
        </w:rPr>
        <w:t xml:space="preserve"> mediante vínculos con sistemas de alerta temprana, previsiones meteorológicas y otros tipos de información y servicios, especialmente importantes en zonas en las que el océano está experimentando cambios. Los Estados Miembros solicitaron un compromiso sostenido entre la secretaría y los Estados Miembros a lo largo de la reforma.</w:t>
      </w:r>
    </w:p>
    <w:p w14:paraId="3D953CC4" w14:textId="0CE6812F" w:rsidR="00162999" w:rsidRPr="006C41C4"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Varios Estados Miembros señalaron su apoyo al GOOS mediante despliegues regionales y la participación en redes del GOOS, entre ellas </w:t>
      </w:r>
      <w:proofErr w:type="spellStart"/>
      <w:r>
        <w:rPr>
          <w:rFonts w:ascii="Arial" w:hAnsi="Arial" w:cs="Arial"/>
          <w:sz w:val="22"/>
          <w:szCs w:val="22"/>
          <w:lang w:val="es"/>
        </w:rPr>
        <w:t>Argo</w:t>
      </w:r>
      <w:proofErr w:type="spellEnd"/>
      <w:r>
        <w:rPr>
          <w:rFonts w:ascii="Arial" w:hAnsi="Arial" w:cs="Arial"/>
          <w:sz w:val="22"/>
          <w:szCs w:val="22"/>
          <w:lang w:val="es"/>
        </w:rPr>
        <w:t xml:space="preserve">, boyas a la deriva y boyas fijas y buques de observación voluntaria, así como la </w:t>
      </w:r>
      <w:proofErr w:type="gramStart"/>
      <w:r>
        <w:rPr>
          <w:rFonts w:ascii="Arial" w:hAnsi="Arial" w:cs="Arial"/>
          <w:sz w:val="22"/>
          <w:szCs w:val="22"/>
          <w:lang w:val="es"/>
        </w:rPr>
        <w:t>participación activa</w:t>
      </w:r>
      <w:proofErr w:type="gramEnd"/>
      <w:r>
        <w:rPr>
          <w:rFonts w:ascii="Arial" w:hAnsi="Arial" w:cs="Arial"/>
          <w:sz w:val="22"/>
          <w:szCs w:val="22"/>
          <w:lang w:val="es"/>
        </w:rPr>
        <w:t xml:space="preserve">. Algunos Estados Miembros también reconocieron la importancia del compromiso del sector privado, por </w:t>
      </w:r>
      <w:proofErr w:type="gramStart"/>
      <w:r>
        <w:rPr>
          <w:rFonts w:ascii="Arial" w:hAnsi="Arial" w:cs="Arial"/>
          <w:sz w:val="22"/>
          <w:szCs w:val="22"/>
          <w:lang w:val="es"/>
        </w:rPr>
        <w:t>ejemplo</w:t>
      </w:r>
      <w:proofErr w:type="gramEnd"/>
      <w:r>
        <w:rPr>
          <w:rFonts w:ascii="Arial" w:hAnsi="Arial" w:cs="Arial"/>
          <w:sz w:val="22"/>
          <w:szCs w:val="22"/>
          <w:lang w:val="es"/>
        </w:rPr>
        <w:t xml:space="preserve"> a través de la iniciativa 10 000 buques, lanzada recientemente.</w:t>
      </w:r>
    </w:p>
    <w:p w14:paraId="2148FE60" w14:textId="77777777" w:rsidR="00162999" w:rsidRPr="006C41C4"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Muchos Estados Miembros y la OMM expresaron su apoyo al GOOS como infraestructura oceánica crítica y señalaron la actual fragilidad de las fuentes y modelos de financiación. Se instó al GOOS a seguir abogando por la observación de los océanos.</w:t>
      </w:r>
    </w:p>
    <w:p w14:paraId="672CA7C8" w14:textId="081EC422" w:rsidR="00162999" w:rsidRPr="006C41C4"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respuesta, la Sra. Joanna Post, </w:t>
      </w:r>
      <w:proofErr w:type="gramStart"/>
      <w:r>
        <w:rPr>
          <w:rFonts w:ascii="Arial" w:hAnsi="Arial" w:cs="Arial"/>
          <w:sz w:val="22"/>
          <w:szCs w:val="22"/>
          <w:lang w:val="es"/>
        </w:rPr>
        <w:t>Jefa</w:t>
      </w:r>
      <w:proofErr w:type="gramEnd"/>
      <w:r>
        <w:rPr>
          <w:rFonts w:ascii="Arial" w:hAnsi="Arial" w:cs="Arial"/>
          <w:sz w:val="22"/>
          <w:szCs w:val="22"/>
          <w:lang w:val="es"/>
        </w:rPr>
        <w:t xml:space="preserve"> de la Sección de Observaciones y Servicios Oceánicos, dio las gracias a los Estados Miembros por su apoyo y sus contribuciones al GOOS. Hizo hincapié en el reconocimiento por el GOOS de sus patrocinadores, la COI, la OMM, el PNUMA y el ISC, señalando su participación en el actual sistema de gobierno del GOOS y que forman parte naturalmente del proceso de reforma del sistema de gobierno. Reafirmó que el proceso de reforma no seguiría un enfoque descendente y se basaría en una amplia consulta con los Estados Miembros, el Comité de Dirección del GOOS, los patrocinadores y otros expertos pertinentes. Destacó las dificultades impuestas por la escasez de recursos para iniciar este proceso y el consiguiente retraso. También destacó la invitación que figura en el punto 4.5.2 para que los Estados Miembros consideren la posibilidad de acoger una futura reunión de consulta de las partes interesadas del GOOS para hacer avanzar el proceso de reforma.</w:t>
      </w:r>
    </w:p>
    <w:p w14:paraId="50957609" w14:textId="55B0CE6E" w:rsidR="00B71C76" w:rsidRPr="006C41C4" w:rsidRDefault="00B71C7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y observadores han optado por </w:t>
      </w:r>
      <w:r>
        <w:rPr>
          <w:rFonts w:ascii="Arial" w:hAnsi="Arial" w:cs="Arial"/>
          <w:color w:val="000000"/>
          <w:sz w:val="22"/>
          <w:szCs w:val="22"/>
          <w:lang w:val="es"/>
        </w:rPr>
        <w:t>dejar constancia</w:t>
      </w:r>
      <w:r>
        <w:rPr>
          <w:rFonts w:ascii="Arial" w:hAnsi="Arial" w:cs="Arial"/>
          <w:sz w:val="22"/>
          <w:szCs w:val="22"/>
          <w:lang w:val="es"/>
        </w:rPr>
        <w:t xml:space="preserve"> de su intervención en el Pleno sobre este punto del orden del día para el anexo informativo del informe de la reunión: </w:t>
      </w:r>
      <w:hyperlink w:anchor="cot451" w:history="1">
        <w:r>
          <w:rPr>
            <w:rStyle w:val="Hyperlink"/>
            <w:rFonts w:ascii="Arial" w:hAnsi="Arial" w:cs="Arial"/>
            <w:sz w:val="22"/>
            <w:szCs w:val="22"/>
            <w:lang w:val="es"/>
          </w:rPr>
          <w:t>Costa de Marfil</w:t>
        </w:r>
      </w:hyperlink>
      <w:r>
        <w:rPr>
          <w:rFonts w:ascii="Arial" w:hAnsi="Arial" w:cs="Arial"/>
          <w:sz w:val="22"/>
          <w:szCs w:val="22"/>
          <w:lang w:val="es"/>
        </w:rPr>
        <w:t xml:space="preserve">, </w:t>
      </w:r>
      <w:hyperlink w:anchor="india451" w:history="1">
        <w:r>
          <w:rPr>
            <w:rStyle w:val="Hyperlink"/>
            <w:rFonts w:ascii="Arial" w:hAnsi="Arial" w:cs="Arial"/>
            <w:sz w:val="22"/>
            <w:szCs w:val="22"/>
            <w:lang w:val="es"/>
          </w:rPr>
          <w:t>India</w:t>
        </w:r>
      </w:hyperlink>
      <w:r>
        <w:rPr>
          <w:rFonts w:ascii="Arial" w:hAnsi="Arial" w:cs="Arial"/>
          <w:sz w:val="22"/>
          <w:szCs w:val="22"/>
          <w:lang w:val="es"/>
        </w:rPr>
        <w:t xml:space="preserve">, </w:t>
      </w:r>
      <w:hyperlink w:anchor="irel451" w:history="1">
        <w:r>
          <w:rPr>
            <w:rStyle w:val="Hyperlink"/>
            <w:rFonts w:ascii="Arial" w:hAnsi="Arial" w:cs="Arial"/>
            <w:sz w:val="22"/>
            <w:szCs w:val="22"/>
            <w:lang w:val="es"/>
          </w:rPr>
          <w:t>Irlanda</w:t>
        </w:r>
      </w:hyperlink>
      <w:r>
        <w:rPr>
          <w:rFonts w:ascii="Arial" w:hAnsi="Arial" w:cs="Arial"/>
          <w:sz w:val="22"/>
          <w:szCs w:val="22"/>
          <w:lang w:val="es"/>
        </w:rPr>
        <w:t xml:space="preserve">, </w:t>
      </w:r>
      <w:hyperlink w:anchor="malay451" w:history="1">
        <w:r>
          <w:rPr>
            <w:rStyle w:val="Hyperlink"/>
            <w:rFonts w:ascii="Arial" w:hAnsi="Arial" w:cs="Arial"/>
            <w:sz w:val="22"/>
            <w:szCs w:val="22"/>
            <w:lang w:val="es"/>
          </w:rPr>
          <w:t>Malasia</w:t>
        </w:r>
      </w:hyperlink>
      <w:r>
        <w:rPr>
          <w:rFonts w:ascii="Arial" w:hAnsi="Arial" w:cs="Arial"/>
          <w:sz w:val="22"/>
          <w:szCs w:val="22"/>
          <w:lang w:val="es"/>
        </w:rPr>
        <w:t xml:space="preserve">, </w:t>
      </w:r>
      <w:hyperlink w:anchor="col451" w:history="1">
        <w:r>
          <w:rPr>
            <w:rStyle w:val="Hyperlink"/>
            <w:rFonts w:ascii="Arial" w:hAnsi="Arial" w:cs="Arial"/>
            <w:sz w:val="22"/>
            <w:szCs w:val="22"/>
            <w:lang w:val="es"/>
          </w:rPr>
          <w:t>Colombia</w:t>
        </w:r>
      </w:hyperlink>
      <w:r>
        <w:rPr>
          <w:rFonts w:ascii="Arial" w:hAnsi="Arial" w:cs="Arial"/>
          <w:sz w:val="22"/>
          <w:szCs w:val="22"/>
          <w:lang w:val="es"/>
        </w:rPr>
        <w:t xml:space="preserve">, </w:t>
      </w:r>
      <w:hyperlink w:anchor="fra451" w:history="1">
        <w:r>
          <w:rPr>
            <w:rStyle w:val="Hyperlink"/>
            <w:rFonts w:ascii="Arial" w:hAnsi="Arial" w:cs="Arial"/>
            <w:sz w:val="22"/>
            <w:szCs w:val="22"/>
            <w:lang w:val="es"/>
          </w:rPr>
          <w:t>Francia</w:t>
        </w:r>
      </w:hyperlink>
      <w:r>
        <w:rPr>
          <w:rFonts w:ascii="Arial" w:hAnsi="Arial" w:cs="Arial"/>
          <w:sz w:val="22"/>
          <w:szCs w:val="22"/>
          <w:lang w:val="es"/>
        </w:rPr>
        <w:t xml:space="preserve">, </w:t>
      </w:r>
      <w:hyperlink w:anchor="jap451"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rus451"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a451" w:history="1">
        <w:r>
          <w:rPr>
            <w:rStyle w:val="Hyperlink"/>
            <w:rFonts w:ascii="Arial" w:hAnsi="Arial" w:cs="Arial"/>
            <w:sz w:val="22"/>
            <w:szCs w:val="22"/>
            <w:lang w:val="es"/>
          </w:rPr>
          <w:t>Sudáfrica</w:t>
        </w:r>
      </w:hyperlink>
      <w:r>
        <w:rPr>
          <w:rFonts w:ascii="Arial" w:hAnsi="Arial" w:cs="Arial"/>
          <w:sz w:val="22"/>
          <w:szCs w:val="22"/>
          <w:lang w:val="es"/>
        </w:rPr>
        <w:t xml:space="preserve">, </w:t>
      </w:r>
      <w:hyperlink w:anchor="usa451" w:history="1">
        <w:r>
          <w:rPr>
            <w:rStyle w:val="Hyperlink"/>
            <w:rFonts w:ascii="Arial" w:hAnsi="Arial" w:cs="Arial"/>
            <w:sz w:val="22"/>
            <w:szCs w:val="22"/>
            <w:lang w:val="es"/>
          </w:rPr>
          <w:t>Estados Unidos de América</w:t>
        </w:r>
      </w:hyperlink>
      <w:r>
        <w:rPr>
          <w:rFonts w:ascii="Arial" w:hAnsi="Arial" w:cs="Arial"/>
          <w:sz w:val="22"/>
          <w:szCs w:val="22"/>
          <w:lang w:val="es"/>
        </w:rPr>
        <w:t xml:space="preserve">, </w:t>
      </w:r>
      <w:hyperlink w:anchor="wmo451" w:history="1">
        <w:r>
          <w:rPr>
            <w:rStyle w:val="Hyperlink"/>
            <w:rFonts w:ascii="Arial" w:hAnsi="Arial" w:cs="Arial"/>
            <w:sz w:val="22"/>
            <w:szCs w:val="22"/>
            <w:lang w:val="es"/>
          </w:rPr>
          <w:t>OMM</w:t>
        </w:r>
      </w:hyperlink>
      <w:r>
        <w:rPr>
          <w:rFonts w:ascii="Arial" w:hAnsi="Arial" w:cs="Arial"/>
          <w:sz w:val="22"/>
          <w:szCs w:val="22"/>
          <w:lang w:val="es"/>
        </w:rPr>
        <w:t xml:space="preserve"> y </w:t>
      </w:r>
      <w:hyperlink w:anchor="soos451" w:history="1">
        <w:r>
          <w:rPr>
            <w:rStyle w:val="Hyperlink"/>
            <w:rFonts w:ascii="Arial" w:hAnsi="Arial" w:cs="Arial"/>
            <w:sz w:val="22"/>
            <w:szCs w:val="22"/>
            <w:lang w:val="es"/>
          </w:rPr>
          <w:t>SOOS</w:t>
        </w:r>
      </w:hyperlink>
      <w:r>
        <w:rPr>
          <w:rFonts w:ascii="Arial" w:hAnsi="Arial" w:cs="Arial"/>
          <w:sz w:val="22"/>
          <w:szCs w:val="22"/>
          <w:lang w:val="es"/>
        </w:rPr>
        <w:t>.</w:t>
      </w:r>
    </w:p>
    <w:p w14:paraId="7B99C936" w14:textId="785122D2"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A-33/4.5.1</w:t>
      </w:r>
      <w:r>
        <w:rPr>
          <w:rFonts w:asciiTheme="minorBidi" w:hAnsiTheme="minorBidi" w:cstheme="minorBidi"/>
          <w:sz w:val="22"/>
          <w:szCs w:val="22"/>
          <w:lang w:val="es"/>
        </w:rPr>
        <w:t>.</w:t>
      </w:r>
    </w:p>
    <w:p w14:paraId="10DE0799" w14:textId="33C2426A" w:rsidR="00E11C55" w:rsidRPr="006C41C4" w:rsidRDefault="00E03B32" w:rsidP="00547D9B">
      <w:pPr>
        <w:pStyle w:val="Heading3"/>
        <w:numPr>
          <w:ilvl w:val="2"/>
          <w:numId w:val="19"/>
        </w:numPr>
        <w:tabs>
          <w:tab w:val="clear" w:pos="709"/>
        </w:tabs>
        <w:rPr>
          <w:b/>
          <w:sz w:val="20"/>
          <w:lang w:val="es-ES"/>
        </w:rPr>
      </w:pPr>
      <w:bookmarkStart w:id="256" w:name="_Toc197955131"/>
      <w:bookmarkStart w:id="257" w:name="_Toc212133527"/>
      <w:bookmarkStart w:id="258" w:name="_Hlk132805760"/>
      <w:bookmarkEnd w:id="254"/>
      <w:r>
        <w:rPr>
          <w:rStyle w:val="Heading3Char"/>
          <w:b/>
          <w:bCs/>
          <w:lang w:val="es"/>
        </w:rPr>
        <w:t xml:space="preserve">Plan de trabajo del </w:t>
      </w:r>
      <w:bookmarkStart w:id="259" w:name="_Hlk198732569"/>
      <w:r>
        <w:rPr>
          <w:rStyle w:val="Heading3Char"/>
          <w:b/>
          <w:bCs/>
          <w:lang w:val="es"/>
        </w:rPr>
        <w:t>Comité de Dirección</w:t>
      </w:r>
      <w:bookmarkEnd w:id="259"/>
      <w:r>
        <w:rPr>
          <w:rStyle w:val="Heading3Char"/>
          <w:b/>
          <w:bCs/>
          <w:lang w:val="es"/>
        </w:rPr>
        <w:t xml:space="preserve"> del GOOS</w:t>
      </w:r>
      <w:bookmarkEnd w:id="256"/>
      <w:bookmarkEnd w:id="257"/>
    </w:p>
    <w:p w14:paraId="5DBDDB1B" w14:textId="5A460B65" w:rsidR="00944FCA" w:rsidRPr="006C41C4"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Copresidente del Comité de Dirección del GOOS (CD), </w:t>
      </w:r>
      <w:proofErr w:type="spellStart"/>
      <w:r>
        <w:rPr>
          <w:rFonts w:ascii="Arial" w:hAnsi="Arial" w:cs="Arial"/>
          <w:sz w:val="22"/>
          <w:szCs w:val="22"/>
          <w:lang w:val="es"/>
        </w:rPr>
        <w:t>Balakrishnan</w:t>
      </w:r>
      <w:proofErr w:type="spellEnd"/>
      <w:r>
        <w:rPr>
          <w:rFonts w:ascii="Arial" w:hAnsi="Arial" w:cs="Arial"/>
          <w:sz w:val="22"/>
          <w:szCs w:val="22"/>
          <w:lang w:val="es"/>
        </w:rPr>
        <w:t xml:space="preserve"> Nair, presentó este punto. Informó a la Asamblea de los resultados de la 14ª reunión del CD del GOOS (CD-14) que se celebró en la sede de la COI, París, del 19 al 21 de febrero de 2025. El Copresidente del GOOS informó a los Estados Miembros del enfoque del CD para dirigir el avance del GOOS y proporcionó una actualización de los resultados del SC-14 y del Plan de Trabajo del GOOS 2025-2027.</w:t>
      </w:r>
    </w:p>
    <w:p w14:paraId="578B7565" w14:textId="6AE4FEA4" w:rsidR="00944FCA" w:rsidRPr="006C41C4"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copresidente destacó que, de acuerdo con su mandato, el CD se centrará, en el próximo bienio y más allá, en dirigir la toma de decisiones claras y la identificación de acciones estratégicas hacia un sistema de observación polivalente y sostenido, incluyendo mejoras y cambios organizativos y de procesos transparentes, para apoyar a los Estados Miembros y a la comunidad de usuarios múltiples del GOOS. </w:t>
      </w:r>
    </w:p>
    <w:p w14:paraId="1C2394B0" w14:textId="08653CE5" w:rsidR="00944FCA" w:rsidRPr="006C41C4"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lastRenderedPageBreak/>
        <w:t xml:space="preserve">Las necesidades actuales de recursos no permiten al GOOS avanzar al ritmo que necesitan y exigen los Estados Miembros, la sociedad o las partes interesadas del sector privado. Sin embargo, el Comité de Dirección también reconoce que es necesario implantar y construir una gestión más clara y transparente, una colaboración más sólida y centrada y unos procesos bien definidos, así como gestionar el cambio (que se está produciendo en el marco del proceso de reforma de la gobernanza del GOOS).  </w:t>
      </w:r>
    </w:p>
    <w:p w14:paraId="1C0BD41E" w14:textId="54517CF1" w:rsidR="00944FCA" w:rsidRPr="006C41C4"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Sr. Nair destacó que los debates del CD-14 se centraron en los productos y resultados orientados a la acción y el conocimiento, con el objetivo a largo plazo de que el GOOS pase a un nuevo paradigma en el que sea más duradero en sus operaciones, con un componente complementario de I+D; </w:t>
      </w:r>
      <w:proofErr w:type="gramStart"/>
      <w:r>
        <w:rPr>
          <w:rFonts w:ascii="Arial" w:hAnsi="Arial" w:cs="Arial"/>
          <w:sz w:val="22"/>
          <w:szCs w:val="22"/>
          <w:lang w:val="es"/>
        </w:rPr>
        <w:t>más decisorio y más transparente</w:t>
      </w:r>
      <w:proofErr w:type="gramEnd"/>
      <w:r>
        <w:rPr>
          <w:rFonts w:ascii="Arial" w:hAnsi="Arial" w:cs="Arial"/>
          <w:sz w:val="22"/>
          <w:szCs w:val="22"/>
          <w:lang w:val="es"/>
        </w:rPr>
        <w:t xml:space="preserve"> en sus deliberaciones, procesos y decisiones; más integrado tanto en la COI como en la OMM y con otras comunidades, como la de los satélites y el sector privado. El CD seguirá dirigiendo el GOOS para apoyar un sistema sólido impulsado por las necesidades de los Estados Miembros y otras partes interesadas pertinentes que esté alineado para una eficacia estratégica, así como para apoyar los debates sobre los mecanismos de financiación del GOOS. </w:t>
      </w:r>
    </w:p>
    <w:p w14:paraId="0CD554E0" w14:textId="373E5E7A" w:rsidR="00944FCA" w:rsidRPr="006C41C4"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El copresidente explicó que el CD-14 debatió las áreas temáticas prioritarias para orientar el posterior Plan de Trabajo del GOOS 2025-2027. El Plan de Trabajo tiene las siguientes secciones que responden a la Estrategia GOOS 2030: (i) coordinación y gestión; (</w:t>
      </w:r>
      <w:proofErr w:type="spellStart"/>
      <w:r>
        <w:rPr>
          <w:rFonts w:ascii="Arial" w:hAnsi="Arial" w:cs="Arial"/>
          <w:sz w:val="22"/>
          <w:szCs w:val="22"/>
          <w:lang w:val="es"/>
        </w:rPr>
        <w:t>ii</w:t>
      </w:r>
      <w:proofErr w:type="spellEnd"/>
      <w:r>
        <w:rPr>
          <w:rFonts w:ascii="Arial" w:hAnsi="Arial" w:cs="Arial"/>
          <w:sz w:val="22"/>
          <w:szCs w:val="22"/>
          <w:lang w:val="es"/>
        </w:rPr>
        <w:t>) integración, diseño, desarrollo y entrega del sistema de observación; (</w:t>
      </w:r>
      <w:proofErr w:type="spellStart"/>
      <w:r>
        <w:rPr>
          <w:rFonts w:ascii="Arial" w:hAnsi="Arial" w:cs="Arial"/>
          <w:sz w:val="22"/>
          <w:szCs w:val="22"/>
          <w:lang w:val="es"/>
        </w:rPr>
        <w:t>iii</w:t>
      </w:r>
      <w:proofErr w:type="spellEnd"/>
      <w:r>
        <w:rPr>
          <w:rFonts w:ascii="Arial" w:hAnsi="Arial" w:cs="Arial"/>
          <w:sz w:val="22"/>
          <w:szCs w:val="22"/>
          <w:lang w:val="es"/>
        </w:rPr>
        <w:t>) mantener y fortalecer la integración y entrega de datos; (</w:t>
      </w:r>
      <w:proofErr w:type="spellStart"/>
      <w:r>
        <w:rPr>
          <w:rFonts w:ascii="Arial" w:hAnsi="Arial" w:cs="Arial"/>
          <w:sz w:val="22"/>
          <w:szCs w:val="22"/>
          <w:lang w:val="es"/>
        </w:rPr>
        <w:t>iv</w:t>
      </w:r>
      <w:proofErr w:type="spellEnd"/>
      <w:r>
        <w:rPr>
          <w:rFonts w:ascii="Arial" w:hAnsi="Arial" w:cs="Arial"/>
          <w:sz w:val="22"/>
          <w:szCs w:val="22"/>
          <w:lang w:val="es"/>
        </w:rPr>
        <w:t xml:space="preserve">) ejecución del sistema: (a) a nivel nacional y regional, (b) y aplicaciones; (v) Divulgación: proyectos, socios y comunicaciones; y (vi) Reforma del GOOS. </w:t>
      </w:r>
    </w:p>
    <w:p w14:paraId="6F25BDE9" w14:textId="214DA442" w:rsidR="00944FCA" w:rsidRPr="006C41C4"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copresidente informó sobre tres temas del CD-14 relacionados con otros puntos del orden del día debatidos en la Asamblea. En primer lugar, el CD-14 acogió con beneplácito los resultados del Taller sobre Datos IODE-GOOS y la propuesta de elaborar una arquitectura de datos de la COI (punto 3.4.3 del orden del día) </w:t>
      </w:r>
      <w:proofErr w:type="gramStart"/>
      <w:r>
        <w:rPr>
          <w:rFonts w:ascii="Arial" w:hAnsi="Arial" w:cs="Arial"/>
          <w:sz w:val="22"/>
          <w:szCs w:val="22"/>
          <w:lang w:val="es"/>
        </w:rPr>
        <w:t>conjuntamente con</w:t>
      </w:r>
      <w:proofErr w:type="gramEnd"/>
      <w:r>
        <w:rPr>
          <w:rFonts w:ascii="Arial" w:hAnsi="Arial" w:cs="Arial"/>
          <w:sz w:val="22"/>
          <w:szCs w:val="22"/>
          <w:lang w:val="es"/>
        </w:rPr>
        <w:t xml:space="preserve"> el GOOS, y tomó nota de que los "productos" de demostración contribuirán a hacer visibles los beneficios de la observación de los océanos y la gestión y el intercambio de datos conexos. En segundo lugar, el CD-14 adoptó un cambio de enfoque de los proyectos del GOOS, pasando a un sistema de proyectos aprobados por el GOOS. En este contexto, el CD consideró y acordó que el Proyecto OBPS IODE-GOOS debería convertirse en un Sistema de Mejores Prácticas Oceánicas transversal a la COI, con una base de financiación más amplia apoyada por todas las secciones de la COI (punto 3.4.4 del orden del día). En tercer lugar, el Comité Científico del GOOS participa activamente en el proceso de reforma del sistema de gobierno del GOOS (punto 4.5.1 del orden del día) y organizó un taller específico en la 14ª reunión del Comité Científico para orientar el proceso.</w:t>
      </w:r>
    </w:p>
    <w:p w14:paraId="15F377C0" w14:textId="3AA34707" w:rsidR="00944FCA" w:rsidRPr="006C41C4"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7 Estados Miembros y 1 observador. </w:t>
      </w:r>
    </w:p>
    <w:p w14:paraId="3845CE00" w14:textId="6EAC39C1" w:rsidR="00944FCA" w:rsidRPr="006C41C4"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Los Estados Miembros apoyaron ampliamente el plan de trabajo del GOOS para 2025-2027, destacando el papel esencial de la coordinación entre las diversas partes interesadas y la necesidad de una mayor integración y colaboración con organizaciones afines, como el IODE y la OMM. Varios insistieron en la importancia de una mayor conexión con las Alianzas Regionales del GOOS y los Puntos Focales Nacionales, la adaptación a las necesidades de los Estados Miembros y la adopción de estrategias que engloben las necesidades de la sociedad y de los usuarios. Varios Estados Miembros destacaron la importancia de los ámbitos de aplicación en los que las observaciones oceánicas pueden prestar apoyo, entre ellos la reducción del riesgo climático y de catástrofes, los sistemas de alerta temprana y la economía azul sostenible. Hubo un fuerte apoyo a un sistema de observación integrado de extremo a extremo y un reconocimiento de OceanOPS por permitir el seguimiento y la coordinación en tiempo real.</w:t>
      </w:r>
    </w:p>
    <w:p w14:paraId="68FCBA40" w14:textId="77777777" w:rsidR="00944FCA" w:rsidRPr="006C41C4"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preocupación por el persistente déficit de recursos llevó a algunos Estados Miembros a recomendar que el GOOS estudiara la posibilidad de establecer asociaciones estratégicas y </w:t>
      </w:r>
      <w:r>
        <w:rPr>
          <w:rFonts w:ascii="Arial" w:hAnsi="Arial" w:cs="Arial"/>
          <w:sz w:val="22"/>
          <w:szCs w:val="22"/>
          <w:lang w:val="es"/>
        </w:rPr>
        <w:lastRenderedPageBreak/>
        <w:t xml:space="preserve">diversificar la financiación, incluyendo la participación del sector privado, la filantropía y la financiación mixta. </w:t>
      </w:r>
    </w:p>
    <w:p w14:paraId="42822ACD" w14:textId="77777777" w:rsidR="00944FCA" w:rsidRPr="006C41C4"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Se reconoció el riesgo actual para el sistema de observación de los océanos y se señaló la necesidad de priorizar cuidadosamente las acciones en el plan de trabajo. Los Estados Miembros también señalaron que la Arquitectura de Datos de la COI puede contribuir a que los beneficios de los datos del GOOS sean visibles y estén equitativamente disponibles para todos.</w:t>
      </w:r>
    </w:p>
    <w:p w14:paraId="1F73F15E" w14:textId="7DF0F2C4" w:rsidR="002107FD" w:rsidRPr="006C41C4"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El Sr. Nair acogió con satisfacción el apoyo expresado por los Estados Miembros al Equipo y al Comité de Dirección del GOOS, y reiteró el enfoque impulsado por los Estados Miembros para lograr que el sistema mundial de observación de los océanos sea reconocido como una infraestructura esencial para las naciones. Subrayó la necesidad de profundizar en la cooperación regional y ofrecer un sistema integral para garantizar que las observaciones oceánicas beneficien a los Estados Miembros y apoyen iniciativas como Alertas tempranas para todos (UN EW4ALL), centrada en los productos, los servicios, el clima y la economía azul.</w:t>
      </w:r>
    </w:p>
    <w:p w14:paraId="32A876D3" w14:textId="24E8A339" w:rsidR="002107FD" w:rsidRPr="006C41C4" w:rsidRDefault="002107FD"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y un observador optaron por dejar constancia de su intervención en el pleno sobre este punto del orden del día para el anexo informativo del informe de la reunión: </w:t>
      </w:r>
      <w:hyperlink w:anchor="chil452" w:history="1">
        <w:r>
          <w:rPr>
            <w:rStyle w:val="Hyperlink"/>
            <w:rFonts w:ascii="Arial" w:hAnsi="Arial" w:cs="Arial"/>
            <w:sz w:val="22"/>
            <w:szCs w:val="22"/>
            <w:lang w:val="es"/>
          </w:rPr>
          <w:t>Chile</w:t>
        </w:r>
      </w:hyperlink>
      <w:r>
        <w:rPr>
          <w:rFonts w:ascii="Arial" w:hAnsi="Arial" w:cs="Arial"/>
          <w:sz w:val="22"/>
          <w:szCs w:val="22"/>
          <w:lang w:val="es"/>
        </w:rPr>
        <w:t xml:space="preserve">, </w:t>
      </w:r>
      <w:hyperlink w:anchor="chin452"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fra452" w:history="1">
        <w:r>
          <w:rPr>
            <w:rStyle w:val="Hyperlink"/>
            <w:rFonts w:ascii="Arial" w:hAnsi="Arial" w:cs="Arial"/>
            <w:sz w:val="22"/>
            <w:szCs w:val="22"/>
            <w:lang w:val="es"/>
          </w:rPr>
          <w:t>Francia</w:t>
        </w:r>
      </w:hyperlink>
      <w:r>
        <w:rPr>
          <w:rFonts w:ascii="Arial" w:hAnsi="Arial" w:cs="Arial"/>
          <w:sz w:val="22"/>
          <w:szCs w:val="22"/>
          <w:lang w:val="es"/>
        </w:rPr>
        <w:t xml:space="preserve">, </w:t>
      </w:r>
      <w:hyperlink w:anchor="jap452" w:history="1">
        <w:r>
          <w:rPr>
            <w:rStyle w:val="Hyperlink"/>
            <w:rFonts w:ascii="Arial" w:hAnsi="Arial" w:cs="Arial"/>
            <w:sz w:val="22"/>
            <w:szCs w:val="22"/>
            <w:lang w:val="es"/>
          </w:rPr>
          <w:t>Japón</w:t>
        </w:r>
      </w:hyperlink>
      <w:r>
        <w:rPr>
          <w:rFonts w:ascii="Arial" w:hAnsi="Arial" w:cs="Arial"/>
          <w:sz w:val="22"/>
          <w:szCs w:val="22"/>
          <w:lang w:val="es"/>
        </w:rPr>
        <w:t xml:space="preserve"> y </w:t>
      </w:r>
      <w:hyperlink w:anchor="wmo452" w:history="1">
        <w:r>
          <w:rPr>
            <w:rStyle w:val="Hyperlink"/>
            <w:rFonts w:ascii="Arial" w:hAnsi="Arial" w:cs="Arial"/>
            <w:sz w:val="22"/>
            <w:szCs w:val="22"/>
            <w:lang w:val="es"/>
          </w:rPr>
          <w:t>OMM</w:t>
        </w:r>
      </w:hyperlink>
      <w:r>
        <w:rPr>
          <w:rFonts w:ascii="Arial" w:hAnsi="Arial" w:cs="Arial"/>
          <w:sz w:val="22"/>
          <w:szCs w:val="22"/>
          <w:lang w:val="es"/>
        </w:rPr>
        <w:t>.</w:t>
      </w:r>
    </w:p>
    <w:p w14:paraId="6580961B" w14:textId="323EF614"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A-33/4.5.2</w:t>
      </w:r>
      <w:r>
        <w:rPr>
          <w:rFonts w:asciiTheme="minorBidi" w:hAnsiTheme="minorBidi" w:cstheme="minorBidi"/>
          <w:sz w:val="22"/>
          <w:szCs w:val="22"/>
          <w:lang w:val="es"/>
        </w:rPr>
        <w:t>.</w:t>
      </w:r>
    </w:p>
    <w:p w14:paraId="520307B1" w14:textId="50EB2531" w:rsidR="00E03B32" w:rsidRPr="006C41C4" w:rsidRDefault="00761346" w:rsidP="00B21807">
      <w:pPr>
        <w:pStyle w:val="Heading3"/>
        <w:numPr>
          <w:ilvl w:val="2"/>
          <w:numId w:val="19"/>
        </w:numPr>
        <w:tabs>
          <w:tab w:val="clear" w:pos="709"/>
        </w:tabs>
        <w:rPr>
          <w:rStyle w:val="Heading3Char"/>
          <w:b/>
          <w:lang w:val="es-ES"/>
        </w:rPr>
      </w:pPr>
      <w:bookmarkStart w:id="260" w:name="_Toc190766991"/>
      <w:bookmarkStart w:id="261" w:name="_Toc197955132"/>
      <w:bookmarkStart w:id="262" w:name="_Toc212133528"/>
      <w:bookmarkEnd w:id="258"/>
      <w:r>
        <w:rPr>
          <w:rStyle w:val="Heading3Char"/>
          <w:b/>
          <w:bCs/>
          <w:lang w:val="es"/>
        </w:rPr>
        <w:t>Informe del grupo de trabajo entre reuniones sobre observaciones</w:t>
      </w:r>
      <w:r>
        <w:rPr>
          <w:rStyle w:val="Heading3Char"/>
          <w:lang w:val="es"/>
        </w:rPr>
        <w:br/>
      </w:r>
      <w:r>
        <w:rPr>
          <w:rStyle w:val="Heading3Char"/>
          <w:b/>
          <w:bCs/>
          <w:lang w:val="es"/>
        </w:rPr>
        <w:t xml:space="preserve"> oceánicas en zonas bajo jurisdicción nacional</w:t>
      </w:r>
      <w:bookmarkEnd w:id="260"/>
      <w:bookmarkEnd w:id="261"/>
      <w:bookmarkEnd w:id="262"/>
    </w:p>
    <w:p w14:paraId="0649EAF0" w14:textId="0A2C8D0B" w:rsidR="002107FD" w:rsidRPr="006C41C4"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sz w:val="22"/>
          <w:lang w:val="es-ES"/>
        </w:rPr>
      </w:pPr>
      <w:bookmarkStart w:id="263" w:name="_Hlk198720152"/>
      <w:r>
        <w:rPr>
          <w:rFonts w:ascii="Arial" w:hAnsi="Arial"/>
          <w:sz w:val="22"/>
          <w:szCs w:val="22"/>
          <w:lang w:val="es"/>
        </w:rPr>
        <w:t>La Dra. Suzan Mohamed El-Gharabawy,</w:t>
      </w:r>
      <w:r>
        <w:rPr>
          <w:rFonts w:ascii="Arial" w:hAnsi="Arial"/>
          <w:sz w:val="22"/>
          <w:lang w:val="es"/>
        </w:rPr>
        <w:t xml:space="preserve"> Copresidenta del Grupo de Trabajo entre reuniones</w:t>
      </w:r>
      <w:r>
        <w:rPr>
          <w:rFonts w:ascii="Arial" w:hAnsi="Arial"/>
          <w:sz w:val="22"/>
          <w:szCs w:val="22"/>
          <w:lang w:val="es"/>
        </w:rPr>
        <w:t xml:space="preserve"> sobre Observaciones Oceánicas bajo Jurisdicción Nacional,</w:t>
      </w:r>
      <w:r>
        <w:rPr>
          <w:rFonts w:ascii="Arial" w:hAnsi="Arial"/>
          <w:sz w:val="22"/>
          <w:lang w:val="es"/>
        </w:rPr>
        <w:t xml:space="preserve"> presenta este punto del orden del día. Recordó que la Asamblea, en su 32ª reunión, mediante la Decisión A-32/4.8.2, creó un Grupo de Trabajo ad hoc entre reuniones, cuyo mandato figura en el Anexo de dicha decisión. Se recordó además que el grupo de trabajo presentó un informe provisional (</w:t>
      </w:r>
      <w:hyperlink r:id="rId79">
        <w:r>
          <w:rPr>
            <w:rFonts w:ascii="Arial" w:hAnsi="Arial"/>
            <w:lang w:val="es"/>
          </w:rPr>
          <w:t>IOC/EC-57/4.</w:t>
        </w:r>
        <w:proofErr w:type="gramStart"/>
        <w:r>
          <w:rPr>
            <w:rFonts w:ascii="Arial" w:hAnsi="Arial"/>
            <w:lang w:val="es"/>
          </w:rPr>
          <w:t>2.Doc</w:t>
        </w:r>
        <w:proofErr w:type="gramEnd"/>
        <w:r>
          <w:rPr>
            <w:rFonts w:ascii="Arial" w:hAnsi="Arial"/>
            <w:lang w:val="es"/>
          </w:rPr>
          <w:t>(1)</w:t>
        </w:r>
      </w:hyperlink>
      <w:r>
        <w:rPr>
          <w:rFonts w:ascii="Arial" w:hAnsi="Arial"/>
          <w:sz w:val="22"/>
          <w:lang w:val="es"/>
        </w:rPr>
        <w:t>) a la 57ª reunión del Consejo Ejecutivo, que alentó al grupo de trabajo a proseguir su labor (</w:t>
      </w:r>
      <w:hyperlink r:id="rId80">
        <w:r>
          <w:rPr>
            <w:rFonts w:ascii="Arial" w:hAnsi="Arial"/>
            <w:lang w:val="es"/>
          </w:rPr>
          <w:t>Decisión EC-57/4.2</w:t>
        </w:r>
      </w:hyperlink>
      <w:r>
        <w:rPr>
          <w:rFonts w:ascii="Arial" w:hAnsi="Arial"/>
          <w:sz w:val="22"/>
          <w:lang w:val="es"/>
        </w:rPr>
        <w:t xml:space="preserve">). </w:t>
      </w:r>
    </w:p>
    <w:p w14:paraId="5CC6BF3E" w14:textId="77777777" w:rsidR="002107FD" w:rsidRPr="006C41C4"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sz w:val="22"/>
          <w:lang w:val="es-ES"/>
        </w:rPr>
      </w:pPr>
      <w:r>
        <w:rPr>
          <w:rFonts w:ascii="Arial" w:hAnsi="Arial"/>
          <w:sz w:val="22"/>
          <w:lang w:val="es"/>
        </w:rPr>
        <w:t xml:space="preserve">El mandato del grupo de trabajo consistía en revisar el material de referencia, debatir casos concretos y sus espacios de solución, preparar recomendaciones sobre posibles acciones y presentar los resultados de estos debates, con cualquier recomendación de acción sobre este tema, a la COI en esta Asamblea. </w:t>
      </w:r>
    </w:p>
    <w:p w14:paraId="4FA3A75B" w14:textId="0D2A32A4" w:rsidR="002107FD" w:rsidRPr="006C41C4"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sz w:val="22"/>
          <w:lang w:val="es-ES"/>
        </w:rPr>
      </w:pPr>
      <w:r>
        <w:rPr>
          <w:rFonts w:ascii="Arial" w:hAnsi="Arial"/>
          <w:sz w:val="22"/>
          <w:szCs w:val="22"/>
          <w:lang w:val="es"/>
        </w:rPr>
        <w:t>El Dr. El-Gharabawy</w:t>
      </w:r>
      <w:r>
        <w:rPr>
          <w:rFonts w:ascii="Arial" w:hAnsi="Arial"/>
          <w:sz w:val="22"/>
          <w:lang w:val="es"/>
        </w:rPr>
        <w:t xml:space="preserve"> destacó los principales resultados de los debates y las posibles acciones identificadas que se describen en el documento IOC/A-33/4.5.</w:t>
      </w:r>
      <w:proofErr w:type="gramStart"/>
      <w:r>
        <w:rPr>
          <w:rFonts w:ascii="Arial" w:hAnsi="Arial"/>
          <w:sz w:val="22"/>
          <w:lang w:val="es"/>
        </w:rPr>
        <w:t>3.Doc</w:t>
      </w:r>
      <w:proofErr w:type="gramEnd"/>
      <w:r>
        <w:rPr>
          <w:rFonts w:ascii="Arial" w:hAnsi="Arial"/>
          <w:sz w:val="22"/>
          <w:lang w:val="es"/>
        </w:rPr>
        <w:t xml:space="preserve">(1). </w:t>
      </w:r>
      <w:r>
        <w:rPr>
          <w:rFonts w:ascii="Arial" w:hAnsi="Arial"/>
          <w:sz w:val="22"/>
          <w:szCs w:val="22"/>
          <w:lang w:val="es"/>
        </w:rPr>
        <w:t>Ella</w:t>
      </w:r>
      <w:r>
        <w:rPr>
          <w:rFonts w:ascii="Arial" w:hAnsi="Arial"/>
          <w:sz w:val="22"/>
          <w:lang w:val="es"/>
        </w:rPr>
        <w:t xml:space="preserve"> identificó que se debería seguir trabajando sobre las observaciones oceánicas en las Zonas bajo Jurisdicción Nacional de acuerdo con las recomendaciones del grupo de trabajo</w:t>
      </w:r>
      <w:r>
        <w:rPr>
          <w:rFonts w:ascii="Arial" w:hAnsi="Arial"/>
          <w:sz w:val="22"/>
          <w:szCs w:val="22"/>
          <w:lang w:val="es"/>
        </w:rPr>
        <w:t xml:space="preserve"> y</w:t>
      </w:r>
      <w:r>
        <w:rPr>
          <w:rFonts w:ascii="Arial" w:hAnsi="Arial"/>
          <w:sz w:val="22"/>
          <w:lang w:val="es"/>
        </w:rPr>
        <w:t xml:space="preserve"> concluyó que el grupo de trabajo entre reuniones había concluido su labor.</w:t>
      </w:r>
    </w:p>
    <w:p w14:paraId="5458353C" w14:textId="26E56E95" w:rsidR="002107FD" w:rsidRPr="006C41C4"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14 Estados Miembros y 1 observador. </w:t>
      </w:r>
    </w:p>
    <w:p w14:paraId="56FF1D35" w14:textId="325D9E0D" w:rsidR="002107FD" w:rsidRPr="006C41C4"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Estados Miembros acogieron con satisfacción el informe del Grupo de Trabajo sobre la Observación de los Océanos en las Zonas bajo Jurisdicción Nacional (GT-OONJ) y reconocieron el valor del trabajo realizado para determinar vías prácticas para mejorar la coordinación de las observaciones oceánicas en las zonas bajo jurisdicción nacional. Los Estados Miembros subrayaron la importancia de equilibrar los intereses de los Estados costeros con la mejora de la función del sistema mundial de observación de los océanos y sus redes, de conformidad y en consonancia con la Convención de las Naciones Unidas sobre el Derecho del Mar (CNUDM). </w:t>
      </w:r>
    </w:p>
    <w:p w14:paraId="14104F00" w14:textId="77777777" w:rsidR="002107FD" w:rsidRPr="006C41C4"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lastRenderedPageBreak/>
        <w:t>Los Estados Miembros acogieron con satisfacción las cinco acciones propuestas en el informe, así como la identificación de las lecciones aprendidas sobre la toma de observaciones en la jurisdicción nacional y la identificación de las mejores prácticas. Varios Estados Miembros expresaron su voluntad de apoyar los trabajos que se llevarán a cabo para responder a las acciones propuestas.</w:t>
      </w:r>
    </w:p>
    <w:p w14:paraId="50B3772F" w14:textId="13B34271" w:rsidR="002107FD" w:rsidRPr="006C41C4"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Varios Estados Miembros reconocieron los desafíos relacionados con la complejidad de los procedimientos para la autorización de la investigación científica marina (MSR) en la jurisdicción nacional e instaron a la armonización de los procesos nacionales para la toma de observaciones en apoyo del GOOS. La transparencia, el intercambio equitativo de datos y el desarrollo de capacidades específicas, especialmente para los países en desarrollo, fueron subrayados en repetidas ocasiones, junto con un fuerte apoyo a la continuación del diálogo y la orientación sobre esta cuestión. La OMM señaló que la Política Unificada de Datos de la OMM designa los EOV físicos del GOOS y las EOV físicas del SMOC como "datos básicos" que deben ser compartidos por los miembros de la OMM.</w:t>
      </w:r>
    </w:p>
    <w:p w14:paraId="3FA62BCB" w14:textId="51D6986F" w:rsidR="00E91F23" w:rsidRPr="006C41C4"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 Sra. El-Gharabawy dio las gracias a los Estados Miembros y a la OMM por sus contribuciones e hizo hincapié en que en el futuro debía proseguir la coordinación entre los Estados Miembros, en particular con el apoyo de las Alianzas Regionales del GOOS y los órganos subsidiarios regionales de la COI, para respaldar la realización de observaciones oceánicas en las jurisdicciones nacionales. También tomó nota de la acción identificada para la orientación sobre el Programa de Buques que Colaboran Ocasionalmente (SOOP) y animó a los Estados Miembros a seguir aportando información sobre este asunto como parte de la evolución de este trabajo.</w:t>
      </w:r>
    </w:p>
    <w:bookmarkEnd w:id="263"/>
    <w:p w14:paraId="63657668" w14:textId="4AD01C06" w:rsidR="000F564E" w:rsidRPr="006C41C4" w:rsidRDefault="00E91F23"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y un observador optaron por dejar constancia de su intervención en el pleno sobre este punto del orden del día para el anexo informativo del informe de la reunión: </w:t>
      </w:r>
      <w:hyperlink w:anchor="arg453" w:history="1">
        <w:r>
          <w:rPr>
            <w:rStyle w:val="Hyperlink"/>
            <w:rFonts w:ascii="Arial" w:hAnsi="Arial" w:cs="Arial"/>
            <w:sz w:val="22"/>
            <w:szCs w:val="22"/>
            <w:lang w:val="es"/>
          </w:rPr>
          <w:t>Argentina</w:t>
        </w:r>
      </w:hyperlink>
      <w:r>
        <w:rPr>
          <w:rFonts w:ascii="Arial" w:hAnsi="Arial" w:cs="Arial"/>
          <w:sz w:val="22"/>
          <w:szCs w:val="22"/>
          <w:lang w:val="es"/>
        </w:rPr>
        <w:t xml:space="preserve">, </w:t>
      </w:r>
      <w:hyperlink w:anchor="bra453" w:history="1">
        <w:r>
          <w:rPr>
            <w:rStyle w:val="Hyperlink"/>
            <w:rFonts w:ascii="Arial" w:hAnsi="Arial" w:cs="Arial"/>
            <w:sz w:val="22"/>
            <w:szCs w:val="22"/>
            <w:lang w:val="es"/>
          </w:rPr>
          <w:t>Brasil</w:t>
        </w:r>
      </w:hyperlink>
      <w:r>
        <w:rPr>
          <w:rFonts w:ascii="Arial" w:hAnsi="Arial" w:cs="Arial"/>
          <w:sz w:val="22"/>
          <w:szCs w:val="22"/>
          <w:lang w:val="es"/>
        </w:rPr>
        <w:t xml:space="preserve">, </w:t>
      </w:r>
      <w:hyperlink w:anchor="chil453" w:history="1">
        <w:r>
          <w:rPr>
            <w:rStyle w:val="Hyperlink"/>
            <w:rFonts w:ascii="Arial" w:hAnsi="Arial" w:cs="Arial"/>
            <w:sz w:val="22"/>
            <w:szCs w:val="22"/>
            <w:lang w:val="es"/>
          </w:rPr>
          <w:t>Chile</w:t>
        </w:r>
      </w:hyperlink>
      <w:r>
        <w:rPr>
          <w:rFonts w:ascii="Arial" w:hAnsi="Arial" w:cs="Arial"/>
          <w:sz w:val="22"/>
          <w:szCs w:val="22"/>
          <w:lang w:val="es"/>
        </w:rPr>
        <w:t xml:space="preserve">, </w:t>
      </w:r>
      <w:hyperlink w:anchor="chin453"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fra453" w:history="1">
        <w:r>
          <w:rPr>
            <w:rStyle w:val="Hyperlink"/>
            <w:rFonts w:ascii="Arial" w:hAnsi="Arial" w:cs="Arial"/>
            <w:sz w:val="22"/>
            <w:szCs w:val="22"/>
            <w:lang w:val="es"/>
          </w:rPr>
          <w:t>Francia</w:t>
        </w:r>
      </w:hyperlink>
      <w:r>
        <w:rPr>
          <w:rFonts w:ascii="Arial" w:hAnsi="Arial" w:cs="Arial"/>
          <w:sz w:val="22"/>
          <w:szCs w:val="22"/>
          <w:lang w:val="es"/>
        </w:rPr>
        <w:t xml:space="preserve">, </w:t>
      </w:r>
      <w:hyperlink w:anchor="jap453"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malay453" w:history="1">
        <w:r>
          <w:rPr>
            <w:rStyle w:val="Hyperlink"/>
            <w:rFonts w:ascii="Arial" w:hAnsi="Arial" w:cs="Arial"/>
            <w:sz w:val="22"/>
            <w:szCs w:val="22"/>
            <w:lang w:val="es"/>
          </w:rPr>
          <w:t>Malasia</w:t>
        </w:r>
      </w:hyperlink>
      <w:r>
        <w:rPr>
          <w:rFonts w:ascii="Arial" w:hAnsi="Arial" w:cs="Arial"/>
          <w:sz w:val="22"/>
          <w:szCs w:val="22"/>
          <w:lang w:val="es"/>
        </w:rPr>
        <w:t xml:space="preserve">, </w:t>
      </w:r>
      <w:hyperlink w:anchor="port453" w:history="1">
        <w:r>
          <w:rPr>
            <w:rStyle w:val="Hyperlink"/>
            <w:rFonts w:ascii="Arial" w:hAnsi="Arial" w:cs="Arial"/>
            <w:sz w:val="22"/>
            <w:szCs w:val="22"/>
            <w:lang w:val="es"/>
          </w:rPr>
          <w:t>Portugal</w:t>
        </w:r>
      </w:hyperlink>
      <w:r>
        <w:rPr>
          <w:rFonts w:ascii="Arial" w:hAnsi="Arial" w:cs="Arial"/>
          <w:sz w:val="22"/>
          <w:szCs w:val="22"/>
          <w:lang w:val="es"/>
        </w:rPr>
        <w:t xml:space="preserve">, </w:t>
      </w:r>
      <w:hyperlink w:anchor="rus453"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pain453"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turk453" w:history="1">
        <w:r>
          <w:rPr>
            <w:rStyle w:val="Hyperlink"/>
            <w:rFonts w:ascii="Arial" w:hAnsi="Arial" w:cs="Arial"/>
            <w:sz w:val="22"/>
            <w:szCs w:val="22"/>
            <w:lang w:val="es"/>
          </w:rPr>
          <w:t>Turquía</w:t>
        </w:r>
      </w:hyperlink>
      <w:r>
        <w:rPr>
          <w:rFonts w:ascii="Arial" w:hAnsi="Arial" w:cs="Arial"/>
          <w:sz w:val="22"/>
          <w:szCs w:val="22"/>
          <w:lang w:val="es"/>
        </w:rPr>
        <w:t xml:space="preserve">, </w:t>
      </w:r>
      <w:hyperlink w:anchor="uk453" w:history="1">
        <w:r>
          <w:rPr>
            <w:rStyle w:val="Hyperlink"/>
            <w:rFonts w:ascii="Arial" w:hAnsi="Arial" w:cs="Arial"/>
            <w:sz w:val="22"/>
            <w:szCs w:val="22"/>
            <w:lang w:val="es"/>
          </w:rPr>
          <w:t>Reino Unido de Gran Bretaña e Irlanda del Norte</w:t>
        </w:r>
      </w:hyperlink>
      <w:r>
        <w:rPr>
          <w:rFonts w:ascii="Arial" w:hAnsi="Arial" w:cs="Arial"/>
          <w:sz w:val="22"/>
          <w:szCs w:val="22"/>
          <w:lang w:val="es"/>
        </w:rPr>
        <w:t xml:space="preserve"> y </w:t>
      </w:r>
      <w:hyperlink w:anchor="wmo453" w:history="1">
        <w:r>
          <w:rPr>
            <w:rStyle w:val="Hyperlink"/>
            <w:rFonts w:ascii="Arial" w:hAnsi="Arial" w:cs="Arial"/>
            <w:sz w:val="22"/>
            <w:szCs w:val="22"/>
            <w:lang w:val="es"/>
          </w:rPr>
          <w:t>OMM</w:t>
        </w:r>
      </w:hyperlink>
      <w:r>
        <w:rPr>
          <w:rFonts w:ascii="Arial" w:hAnsi="Arial" w:cs="Arial"/>
          <w:sz w:val="22"/>
          <w:szCs w:val="22"/>
          <w:lang w:val="es"/>
        </w:rPr>
        <w:t>.</w:t>
      </w:r>
    </w:p>
    <w:p w14:paraId="41248EDB" w14:textId="4BBE9DE7"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A-33/4.5.3</w:t>
      </w:r>
      <w:r>
        <w:rPr>
          <w:rFonts w:asciiTheme="minorBidi" w:hAnsiTheme="minorBidi" w:cstheme="minorBidi"/>
          <w:sz w:val="22"/>
          <w:szCs w:val="22"/>
          <w:lang w:val="es"/>
        </w:rPr>
        <w:t>.</w:t>
      </w:r>
    </w:p>
    <w:p w14:paraId="421328E5" w14:textId="198644D3" w:rsidR="00BD3985" w:rsidRPr="006C41C4" w:rsidRDefault="005B13F7" w:rsidP="00AE1A0F">
      <w:pPr>
        <w:pStyle w:val="Heading2"/>
        <w:tabs>
          <w:tab w:val="clear" w:pos="737"/>
        </w:tabs>
        <w:ind w:left="851" w:hanging="851"/>
        <w:rPr>
          <w:b/>
          <w:lang w:val="es-ES"/>
        </w:rPr>
      </w:pPr>
      <w:bookmarkStart w:id="264" w:name="_Toc212133529"/>
      <w:bookmarkStart w:id="265" w:name="_Toc190766992"/>
      <w:bookmarkStart w:id="266" w:name="_Toc197955133"/>
      <w:r>
        <w:rPr>
          <w:bCs w:val="0"/>
          <w:lang w:val="es"/>
        </w:rPr>
        <w:t>4.6</w:t>
      </w:r>
      <w:r>
        <w:rPr>
          <w:bCs w:val="0"/>
          <w:lang w:val="es"/>
        </w:rPr>
        <w:tab/>
      </w:r>
      <w:bookmarkStart w:id="267" w:name="_Hlk207963085"/>
      <w:r>
        <w:rPr>
          <w:bCs w:val="0"/>
          <w:lang w:val="es"/>
        </w:rPr>
        <w:t xml:space="preserve">ASESORAMIENTO ESTRATÉGICO DEL CONSEJO DE COLABORACIÓN MIXTO OMM-IOC (CCM) </w:t>
      </w:r>
      <w:r>
        <w:rPr>
          <w:bCs w:val="0"/>
          <w:lang w:val="es"/>
        </w:rPr>
        <w:br/>
        <w:t>SOBRE EL TRABAJO CONJUNTO PARA ALCANZAR OBJETIVOS COMUNES</w:t>
      </w:r>
      <w:bookmarkEnd w:id="264"/>
      <w:bookmarkEnd w:id="267"/>
      <w:r>
        <w:rPr>
          <w:b/>
          <w:lang w:val="es"/>
        </w:rPr>
        <w:t>  </w:t>
      </w:r>
      <w:bookmarkEnd w:id="265"/>
      <w:bookmarkEnd w:id="266"/>
    </w:p>
    <w:p w14:paraId="49E73FC3" w14:textId="77777777" w:rsidR="00E91F23" w:rsidRPr="006C41C4" w:rsidRDefault="00E91F23" w:rsidP="00B21807">
      <w:pPr>
        <w:pStyle w:val="ListParagraph1"/>
        <w:widowControl/>
        <w:numPr>
          <w:ilvl w:val="0"/>
          <w:numId w:val="8"/>
        </w:numPr>
        <w:tabs>
          <w:tab w:val="left" w:pos="851"/>
        </w:tabs>
        <w:snapToGrid w:val="0"/>
        <w:spacing w:after="240"/>
        <w:ind w:left="0" w:firstLine="0"/>
        <w:contextualSpacing w:val="0"/>
        <w:rPr>
          <w:sz w:val="22"/>
          <w:lang w:val="es-ES"/>
        </w:rPr>
      </w:pPr>
      <w:r>
        <w:rPr>
          <w:rFonts w:ascii="Arial" w:hAnsi="Arial"/>
          <w:sz w:val="22"/>
          <w:lang w:val="es"/>
        </w:rPr>
        <w:t xml:space="preserve">El Prof. Yutaka Michida, </w:t>
      </w:r>
      <w:proofErr w:type="gramStart"/>
      <w:r>
        <w:rPr>
          <w:rFonts w:ascii="Arial" w:hAnsi="Arial"/>
          <w:sz w:val="22"/>
          <w:lang w:val="es"/>
        </w:rPr>
        <w:t>Presidente</w:t>
      </w:r>
      <w:proofErr w:type="gramEnd"/>
      <w:r>
        <w:rPr>
          <w:rFonts w:ascii="Arial" w:hAnsi="Arial"/>
          <w:sz w:val="22"/>
          <w:lang w:val="es"/>
        </w:rPr>
        <w:t xml:space="preserve"> de la COI y Copresidente en funciones del CCM, presentó este punto del orden del día. Recordó a los Estados Miembros que el Consejo de Colaboración Mixto OMM-COI fue creado por la Resolución XXX-2 (2019) de la Asamblea de la COI y se rige por su mandato, así como por la </w:t>
      </w:r>
      <w:hyperlink r:id="rId81" w:history="1">
        <w:r>
          <w:rPr>
            <w:rStyle w:val="Hyperlink"/>
            <w:rFonts w:ascii="Arial" w:eastAsiaTheme="minorEastAsia" w:hAnsi="Arial"/>
            <w:i/>
            <w:iCs/>
            <w:sz w:val="22"/>
            <w:lang w:val="es"/>
          </w:rPr>
          <w:t>Estrategia de colaboración OMM-COI</w:t>
        </w:r>
      </w:hyperlink>
      <w:r>
        <w:rPr>
          <w:rFonts w:ascii="Arial" w:hAnsi="Arial"/>
          <w:sz w:val="22"/>
          <w:lang w:val="es"/>
        </w:rPr>
        <w:t xml:space="preserve">. </w:t>
      </w:r>
    </w:p>
    <w:p w14:paraId="4785E81E" w14:textId="579F0EE6" w:rsidR="00E91F23" w:rsidRPr="006C41C4" w:rsidRDefault="00E91F23" w:rsidP="00B21807">
      <w:pPr>
        <w:pStyle w:val="ListParagraph1"/>
        <w:widowControl/>
        <w:numPr>
          <w:ilvl w:val="0"/>
          <w:numId w:val="8"/>
        </w:numPr>
        <w:tabs>
          <w:tab w:val="left" w:pos="851"/>
        </w:tabs>
        <w:snapToGrid w:val="0"/>
        <w:spacing w:after="240"/>
        <w:ind w:left="0" w:firstLine="0"/>
        <w:contextualSpacing w:val="0"/>
        <w:rPr>
          <w:sz w:val="22"/>
          <w:lang w:val="es-ES"/>
        </w:rPr>
      </w:pPr>
      <w:r>
        <w:rPr>
          <w:rFonts w:ascii="Arial" w:hAnsi="Arial"/>
          <w:sz w:val="22"/>
          <w:lang w:val="es"/>
        </w:rPr>
        <w:t>El Prof. Michida señaló que el CCM ha realizado importantes progresos (IOC/A-33/4.</w:t>
      </w:r>
      <w:proofErr w:type="gramStart"/>
      <w:r>
        <w:rPr>
          <w:rFonts w:ascii="Arial" w:hAnsi="Arial"/>
          <w:sz w:val="22"/>
          <w:lang w:val="es"/>
        </w:rPr>
        <w:t>6.Doc</w:t>
      </w:r>
      <w:proofErr w:type="gramEnd"/>
      <w:r>
        <w:rPr>
          <w:rFonts w:ascii="Arial" w:hAnsi="Arial"/>
          <w:sz w:val="22"/>
          <w:lang w:val="es"/>
        </w:rPr>
        <w:t xml:space="preserve">(1)) durante el último año. </w:t>
      </w:r>
      <w:r>
        <w:rPr>
          <w:rFonts w:ascii="Arial" w:hAnsi="Arial"/>
          <w:sz w:val="22"/>
          <w:szCs w:val="22"/>
          <w:lang w:val="es"/>
        </w:rPr>
        <w:t>Presentó los resultados de la reunión del Consejo de Colaboración Mixto OMM-COI (CCM-3) de septiembre de 2024, así como las actividades conjuntas realizadas desde la reunión. El CCM ha identificado cuatro áreas prioritarias iniciales: (i) Red Básica Mundial de Observación de los Océanos (GBON); (</w:t>
      </w:r>
      <w:proofErr w:type="spellStart"/>
      <w:r>
        <w:rPr>
          <w:rFonts w:ascii="Arial" w:hAnsi="Arial"/>
          <w:sz w:val="22"/>
          <w:szCs w:val="22"/>
          <w:lang w:val="es"/>
        </w:rPr>
        <w:t>ii</w:t>
      </w:r>
      <w:proofErr w:type="spellEnd"/>
      <w:r>
        <w:rPr>
          <w:rFonts w:ascii="Arial" w:hAnsi="Arial"/>
          <w:sz w:val="22"/>
          <w:szCs w:val="22"/>
          <w:lang w:val="es"/>
        </w:rPr>
        <w:t>) Gestión de datos e interoperabilidad; (</w:t>
      </w:r>
      <w:proofErr w:type="spellStart"/>
      <w:r>
        <w:rPr>
          <w:rFonts w:ascii="Arial" w:hAnsi="Arial"/>
          <w:sz w:val="22"/>
          <w:szCs w:val="22"/>
          <w:lang w:val="es"/>
        </w:rPr>
        <w:t>iii</w:t>
      </w:r>
      <w:proofErr w:type="spellEnd"/>
      <w:r>
        <w:rPr>
          <w:rFonts w:ascii="Arial" w:hAnsi="Arial"/>
          <w:sz w:val="22"/>
          <w:szCs w:val="22"/>
          <w:lang w:val="es"/>
        </w:rPr>
        <w:t>) Resiliencia costera y marítima; y (</w:t>
      </w:r>
      <w:proofErr w:type="spellStart"/>
      <w:r>
        <w:rPr>
          <w:rFonts w:ascii="Arial" w:hAnsi="Arial"/>
          <w:sz w:val="22"/>
          <w:szCs w:val="22"/>
          <w:lang w:val="es"/>
        </w:rPr>
        <w:t>iv</w:t>
      </w:r>
      <w:proofErr w:type="spellEnd"/>
      <w:r>
        <w:rPr>
          <w:rFonts w:ascii="Arial" w:hAnsi="Arial"/>
          <w:sz w:val="22"/>
          <w:szCs w:val="22"/>
          <w:lang w:val="es"/>
        </w:rPr>
        <w:t xml:space="preserve">) Desarrollo de capacidades. Las acciones incluyen un subgrupo sobre GBON y otro sobre gestión de datos e interoperabilidad. El mandato de ambos subgrupos se ha acordado con los copresidentes del CCM. En cuanto a la resiliencia costera y marítima, expertos de la COI y de la OMM contribuyeron al informe </w:t>
      </w:r>
      <w:proofErr w:type="spellStart"/>
      <w:r>
        <w:rPr>
          <w:rFonts w:ascii="Arial" w:hAnsi="Arial"/>
          <w:i/>
          <w:iCs/>
          <w:sz w:val="22"/>
          <w:szCs w:val="22"/>
          <w:lang w:val="es"/>
        </w:rPr>
        <w:t>Meteotsunamis</w:t>
      </w:r>
      <w:proofErr w:type="spellEnd"/>
      <w:r>
        <w:rPr>
          <w:rFonts w:ascii="Arial" w:hAnsi="Arial"/>
          <w:i/>
          <w:iCs/>
          <w:sz w:val="22"/>
          <w:szCs w:val="22"/>
          <w:lang w:val="es"/>
        </w:rPr>
        <w:t xml:space="preserve">: </w:t>
      </w:r>
      <w:proofErr w:type="spellStart"/>
      <w:r>
        <w:rPr>
          <w:rFonts w:ascii="Arial" w:hAnsi="Arial"/>
          <w:i/>
          <w:iCs/>
          <w:sz w:val="22"/>
          <w:szCs w:val="22"/>
          <w:lang w:val="es"/>
        </w:rPr>
        <w:t>definition</w:t>
      </w:r>
      <w:proofErr w:type="spellEnd"/>
      <w:r>
        <w:rPr>
          <w:rFonts w:ascii="Arial" w:hAnsi="Arial"/>
          <w:i/>
          <w:iCs/>
          <w:sz w:val="22"/>
          <w:szCs w:val="22"/>
          <w:lang w:val="es"/>
        </w:rPr>
        <w:t xml:space="preserve">, </w:t>
      </w:r>
      <w:proofErr w:type="spellStart"/>
      <w:r>
        <w:rPr>
          <w:rFonts w:ascii="Arial" w:hAnsi="Arial"/>
          <w:i/>
          <w:iCs/>
          <w:sz w:val="22"/>
          <w:szCs w:val="22"/>
          <w:lang w:val="es"/>
        </w:rPr>
        <w:t>detection</w:t>
      </w:r>
      <w:proofErr w:type="spellEnd"/>
      <w:r>
        <w:rPr>
          <w:rFonts w:ascii="Arial" w:hAnsi="Arial"/>
          <w:i/>
          <w:iCs/>
          <w:sz w:val="22"/>
          <w:szCs w:val="22"/>
          <w:lang w:val="es"/>
        </w:rPr>
        <w:t xml:space="preserve"> and </w:t>
      </w:r>
      <w:proofErr w:type="spellStart"/>
      <w:r>
        <w:rPr>
          <w:rFonts w:ascii="Arial" w:hAnsi="Arial"/>
          <w:i/>
          <w:iCs/>
          <w:sz w:val="22"/>
          <w:szCs w:val="22"/>
          <w:lang w:val="es"/>
        </w:rPr>
        <w:t>alerting</w:t>
      </w:r>
      <w:proofErr w:type="spellEnd"/>
      <w:r>
        <w:rPr>
          <w:rFonts w:ascii="Arial" w:hAnsi="Arial"/>
          <w:i/>
          <w:iCs/>
          <w:sz w:val="22"/>
          <w:szCs w:val="22"/>
          <w:lang w:val="es"/>
        </w:rPr>
        <w:t xml:space="preserve"> </w:t>
      </w:r>
      <w:proofErr w:type="spellStart"/>
      <w:r>
        <w:rPr>
          <w:rFonts w:ascii="Arial" w:hAnsi="Arial"/>
          <w:i/>
          <w:iCs/>
          <w:sz w:val="22"/>
          <w:szCs w:val="22"/>
          <w:lang w:val="es"/>
        </w:rPr>
        <w:t>services</w:t>
      </w:r>
      <w:proofErr w:type="spellEnd"/>
      <w:r>
        <w:rPr>
          <w:rFonts w:ascii="Arial" w:hAnsi="Arial"/>
          <w:i/>
          <w:iCs/>
          <w:sz w:val="22"/>
          <w:szCs w:val="22"/>
          <w:lang w:val="es"/>
        </w:rPr>
        <w:t xml:space="preserve"> </w:t>
      </w:r>
      <w:proofErr w:type="spellStart"/>
      <w:r>
        <w:rPr>
          <w:rFonts w:ascii="Arial" w:hAnsi="Arial"/>
          <w:i/>
          <w:iCs/>
          <w:sz w:val="22"/>
          <w:szCs w:val="22"/>
          <w:lang w:val="es"/>
        </w:rPr>
        <w:t>investigation</w:t>
      </w:r>
      <w:proofErr w:type="spellEnd"/>
      <w:r>
        <w:rPr>
          <w:rFonts w:ascii="Arial" w:hAnsi="Arial"/>
          <w:sz w:val="22"/>
          <w:szCs w:val="22"/>
          <w:lang w:val="es"/>
        </w:rPr>
        <w:t xml:space="preserve"> (IOC </w:t>
      </w:r>
      <w:proofErr w:type="spellStart"/>
      <w:r>
        <w:rPr>
          <w:rFonts w:ascii="Arial" w:hAnsi="Arial"/>
          <w:sz w:val="22"/>
          <w:szCs w:val="22"/>
          <w:lang w:val="es"/>
        </w:rPr>
        <w:t>Technical</w:t>
      </w:r>
      <w:proofErr w:type="spellEnd"/>
      <w:r>
        <w:rPr>
          <w:rFonts w:ascii="Arial" w:hAnsi="Arial"/>
          <w:sz w:val="22"/>
          <w:szCs w:val="22"/>
          <w:lang w:val="es"/>
        </w:rPr>
        <w:t xml:space="preserve"> Series </w:t>
      </w:r>
      <w:hyperlink r:id="rId82" w:history="1">
        <w:r>
          <w:rPr>
            <w:rStyle w:val="Hyperlink"/>
            <w:rFonts w:ascii="Arial" w:hAnsi="Arial" w:cs="Arial"/>
            <w:sz w:val="22"/>
            <w:szCs w:val="22"/>
            <w:lang w:val="es"/>
          </w:rPr>
          <w:t>200</w:t>
        </w:r>
      </w:hyperlink>
      <w:r>
        <w:rPr>
          <w:rFonts w:ascii="Arial" w:hAnsi="Arial"/>
          <w:sz w:val="22"/>
          <w:szCs w:val="22"/>
          <w:lang w:val="es"/>
        </w:rPr>
        <w:t>, 2025). Con respecto al desarrollo de capacidades, el representante del CCM de la COI se unió formalmente al Panel de Desarrollo de Capacidades del Consejo Ejecutivo de la OMM. El Prof. Michida dio detalles sobre los próximos pasos, incluida una invitación a los Estados Miembros para que hagan aportaciones al trabajo y la intención de que el CCM informe sobre los avances en la próxima reunión del órgano rector de la COI.</w:t>
      </w:r>
    </w:p>
    <w:p w14:paraId="77269D4A" w14:textId="254662F9" w:rsidR="00E91F23" w:rsidRPr="006C41C4" w:rsidRDefault="00E91F23" w:rsidP="00B21807">
      <w:pPr>
        <w:pStyle w:val="ListParagraph1"/>
        <w:widowControl/>
        <w:numPr>
          <w:ilvl w:val="0"/>
          <w:numId w:val="8"/>
        </w:numPr>
        <w:tabs>
          <w:tab w:val="left" w:pos="851"/>
        </w:tabs>
        <w:snapToGrid w:val="0"/>
        <w:spacing w:after="240"/>
        <w:ind w:left="0" w:firstLine="0"/>
        <w:contextualSpacing w:val="0"/>
        <w:rPr>
          <w:rFonts w:eastAsiaTheme="minorEastAsia"/>
          <w:lang w:val="es-ES"/>
        </w:rPr>
      </w:pPr>
      <w:r>
        <w:rPr>
          <w:rFonts w:ascii="Arial" w:hAnsi="Arial"/>
          <w:sz w:val="22"/>
          <w:lang w:val="es"/>
        </w:rPr>
        <w:lastRenderedPageBreak/>
        <w:t xml:space="preserve">El Prof. Michida </w:t>
      </w:r>
      <w:r>
        <w:rPr>
          <w:rFonts w:ascii="Arial" w:hAnsi="Arial"/>
          <w:sz w:val="22"/>
          <w:szCs w:val="22"/>
          <w:lang w:val="es"/>
        </w:rPr>
        <w:t>concluyó</w:t>
      </w:r>
      <w:r>
        <w:rPr>
          <w:rFonts w:ascii="Arial" w:hAnsi="Arial"/>
          <w:sz w:val="22"/>
          <w:lang w:val="es"/>
        </w:rPr>
        <w:t xml:space="preserve"> confirmando que </w:t>
      </w:r>
      <w:r>
        <w:rPr>
          <w:rFonts w:ascii="Arial" w:hAnsi="Arial"/>
          <w:sz w:val="22"/>
          <w:szCs w:val="22"/>
          <w:lang w:val="es"/>
        </w:rPr>
        <w:t xml:space="preserve">el </w:t>
      </w:r>
      <w:r>
        <w:rPr>
          <w:rFonts w:ascii="Arial" w:hAnsi="Arial"/>
          <w:sz w:val="22"/>
          <w:lang w:val="es"/>
        </w:rPr>
        <w:t xml:space="preserve">COI y la OMM </w:t>
      </w:r>
      <w:r>
        <w:rPr>
          <w:rFonts w:ascii="Arial" w:hAnsi="Arial"/>
          <w:sz w:val="22"/>
          <w:szCs w:val="22"/>
          <w:lang w:val="es"/>
        </w:rPr>
        <w:t>estaban firmemente comprometidos a</w:t>
      </w:r>
      <w:r>
        <w:rPr>
          <w:rFonts w:ascii="Arial" w:hAnsi="Arial"/>
          <w:sz w:val="22"/>
          <w:lang w:val="es"/>
        </w:rPr>
        <w:t xml:space="preserve"> apoyar al CCM en el cumplimiento de su mandato</w:t>
      </w:r>
      <w:r>
        <w:rPr>
          <w:rFonts w:ascii="Arial" w:hAnsi="Arial"/>
          <w:sz w:val="22"/>
          <w:szCs w:val="22"/>
          <w:lang w:val="es"/>
        </w:rPr>
        <w:t>.</w:t>
      </w:r>
      <w:r>
        <w:rPr>
          <w:rFonts w:ascii="Arial" w:hAnsi="Arial"/>
          <w:sz w:val="22"/>
          <w:lang w:val="es"/>
        </w:rPr>
        <w:t xml:space="preserve"> </w:t>
      </w:r>
    </w:p>
    <w:p w14:paraId="1F6D0A49" w14:textId="184FA56E" w:rsidR="00E91F23" w:rsidRPr="006C41C4"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8 Estados Miembros y 1 observador. </w:t>
      </w:r>
    </w:p>
    <w:p w14:paraId="3530434D" w14:textId="24A309F0" w:rsidR="00E91F23" w:rsidRPr="006C41C4"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En general, los Estados Miembros acogieron con satisfacción los cuatro ámbitos prioritarios definidos por el CCM y apreciaron los avances y los éxitos logrados en el fortalecimiento de la colaboración entre la OMM y la COI gracias a la labor del CCM. Los Estados Miembros destacaron la importancia de contar con mecanismos prácticos para traducir esta cooperación a escala mundial en actividades nacionales y regionales concretas en las cuatro áreas prioritarias.</w:t>
      </w:r>
    </w:p>
    <w:p w14:paraId="17929DF8" w14:textId="3C9179FF" w:rsidR="00E91F23" w:rsidRPr="006C41C4"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Australia presentó enmiendas a la propuesta de decisión que reflejaban el consenso del Consejo Ejecutivo de la OMM sobre este tema y alineaban la decisión de los dos órganos. Si bien la OMM reiteró su apoyo a los ámbitos prioritarios del CCM, algunos Estados Miembros subrayaron la importancia de la próxima encuesta de los Estados Miembros resultante de esta decisión para configurar la estrategia revisada de colaboración COI-OMM.</w:t>
      </w:r>
    </w:p>
    <w:p w14:paraId="1959C204" w14:textId="05CACAAD" w:rsidR="00604387" w:rsidRPr="006C41C4" w:rsidRDefault="00E91F23" w:rsidP="00547D9B">
      <w:pPr>
        <w:pStyle w:val="ListParagraph"/>
        <w:numPr>
          <w:ilvl w:val="0"/>
          <w:numId w:val="8"/>
        </w:numPr>
        <w:tabs>
          <w:tab w:val="clear" w:pos="567"/>
          <w:tab w:val="left" w:pos="851"/>
        </w:tabs>
        <w:spacing w:after="240"/>
        <w:ind w:left="0" w:firstLine="0"/>
        <w:contextualSpacing w:val="0"/>
        <w:jc w:val="both"/>
        <w:rPr>
          <w:rFonts w:eastAsia="Arial" w:cs="Arial"/>
          <w:color w:val="000000" w:themeColor="text1"/>
          <w:szCs w:val="22"/>
          <w:lang w:val="es-ES"/>
        </w:rPr>
      </w:pPr>
      <w:r>
        <w:rPr>
          <w:rFonts w:cs="Arial"/>
          <w:szCs w:val="22"/>
          <w:lang w:val="es"/>
        </w:rPr>
        <w:t xml:space="preserve">El Prof. Michida </w:t>
      </w:r>
      <w:r>
        <w:rPr>
          <w:rFonts w:cs="Arial"/>
          <w:snapToGrid/>
          <w:szCs w:val="22"/>
          <w:lang w:val="es"/>
        </w:rPr>
        <w:t>dio las gracias a</w:t>
      </w:r>
      <w:r>
        <w:rPr>
          <w:rFonts w:cs="Arial"/>
          <w:szCs w:val="22"/>
          <w:lang w:val="es"/>
        </w:rPr>
        <w:t xml:space="preserve"> los Estados Miembros por su firme apoyo y reafirmó el compromiso de la COI de intensificar la cooperación con la OMM por conducto del CCM y adaptar los esfuerzos en curso a las necesidades de los Estados Miembros.</w:t>
      </w:r>
    </w:p>
    <w:p w14:paraId="32A5A043" w14:textId="428A1E90" w:rsidR="00604387" w:rsidRPr="006C41C4" w:rsidRDefault="1540BB5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y un observador optaron por dejar constancia de su intervención en el pleno sobre este punto del orden del día para el anexo informativo del informe de la reunión: </w:t>
      </w:r>
      <w:hyperlink w:anchor="aus46" w:history="1">
        <w:r>
          <w:rPr>
            <w:rStyle w:val="Hyperlink"/>
            <w:rFonts w:ascii="Arial" w:hAnsi="Arial" w:cs="Arial"/>
            <w:sz w:val="22"/>
            <w:szCs w:val="22"/>
            <w:lang w:val="es"/>
          </w:rPr>
          <w:t>Australia</w:t>
        </w:r>
      </w:hyperlink>
      <w:r>
        <w:rPr>
          <w:rFonts w:ascii="Arial" w:hAnsi="Arial" w:cs="Arial"/>
          <w:sz w:val="22"/>
          <w:szCs w:val="22"/>
          <w:lang w:val="es"/>
        </w:rPr>
        <w:t xml:space="preserve">, </w:t>
      </w:r>
      <w:hyperlink w:anchor="chin46"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jap46"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rok46" w:history="1">
        <w:r>
          <w:rPr>
            <w:rStyle w:val="Hyperlink"/>
            <w:rFonts w:ascii="Arial" w:hAnsi="Arial" w:cs="Arial"/>
            <w:sz w:val="22"/>
            <w:szCs w:val="22"/>
            <w:lang w:val="es"/>
          </w:rPr>
          <w:t>República de Corea</w:t>
        </w:r>
      </w:hyperlink>
      <w:r>
        <w:rPr>
          <w:rFonts w:ascii="Arial" w:hAnsi="Arial" w:cs="Arial"/>
          <w:sz w:val="22"/>
          <w:szCs w:val="22"/>
          <w:lang w:val="es"/>
        </w:rPr>
        <w:t xml:space="preserve">, </w:t>
      </w:r>
      <w:hyperlink w:anchor="rus46"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pain46" w:history="1">
        <w:r>
          <w:rPr>
            <w:rStyle w:val="Hyperlink"/>
            <w:rFonts w:ascii="Arial" w:hAnsi="Arial" w:cs="Arial"/>
            <w:sz w:val="22"/>
            <w:szCs w:val="22"/>
            <w:lang w:val="es"/>
          </w:rPr>
          <w:t>España</w:t>
        </w:r>
      </w:hyperlink>
      <w:r>
        <w:rPr>
          <w:rFonts w:ascii="Arial" w:hAnsi="Arial" w:cs="Arial"/>
          <w:sz w:val="22"/>
          <w:szCs w:val="22"/>
          <w:lang w:val="es"/>
        </w:rPr>
        <w:t xml:space="preserve"> y </w:t>
      </w:r>
      <w:hyperlink w:anchor="wmo46" w:history="1">
        <w:r>
          <w:rPr>
            <w:rStyle w:val="Hyperlink"/>
            <w:rFonts w:ascii="Arial" w:hAnsi="Arial" w:cs="Arial"/>
            <w:sz w:val="22"/>
            <w:szCs w:val="22"/>
            <w:lang w:val="es"/>
          </w:rPr>
          <w:t>OMM</w:t>
        </w:r>
      </w:hyperlink>
      <w:r>
        <w:rPr>
          <w:rFonts w:ascii="Arial" w:hAnsi="Arial" w:cs="Arial"/>
          <w:sz w:val="22"/>
          <w:szCs w:val="22"/>
          <w:lang w:val="es"/>
        </w:rPr>
        <w:t>.</w:t>
      </w:r>
    </w:p>
    <w:p w14:paraId="5FDA7F29" w14:textId="3ED1E75E"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A-33/4.6</w:t>
      </w:r>
      <w:r>
        <w:rPr>
          <w:rFonts w:asciiTheme="minorBidi" w:hAnsiTheme="minorBidi" w:cstheme="minorBidi"/>
          <w:sz w:val="22"/>
          <w:szCs w:val="22"/>
          <w:lang w:val="es"/>
        </w:rPr>
        <w:t>.</w:t>
      </w:r>
    </w:p>
    <w:p w14:paraId="17020216" w14:textId="7288AC27" w:rsidR="00BD3985" w:rsidRPr="006C41C4" w:rsidRDefault="005B13F7" w:rsidP="00AE1A0F">
      <w:pPr>
        <w:pStyle w:val="Heading2"/>
        <w:tabs>
          <w:tab w:val="clear" w:pos="737"/>
        </w:tabs>
        <w:ind w:left="851" w:hanging="851"/>
        <w:rPr>
          <w:lang w:val="es-ES"/>
        </w:rPr>
      </w:pPr>
      <w:bookmarkStart w:id="268" w:name="_Toc197955134"/>
      <w:bookmarkStart w:id="269" w:name="_Toc212133530"/>
      <w:bookmarkStart w:id="270" w:name="_Hlk199261027"/>
      <w:bookmarkStart w:id="271" w:name="_Hlk136015553"/>
      <w:bookmarkStart w:id="272" w:name="_Hlk132891612"/>
      <w:r>
        <w:rPr>
          <w:bCs w:val="0"/>
          <w:lang w:val="es"/>
        </w:rPr>
        <w:t>4.7</w:t>
      </w:r>
      <w:r>
        <w:rPr>
          <w:bCs w:val="0"/>
          <w:lang w:val="es"/>
        </w:rPr>
        <w:tab/>
      </w:r>
      <w:bookmarkStart w:id="273" w:name="_Hlk207963692"/>
      <w:r>
        <w:rPr>
          <w:bCs w:val="0"/>
          <w:lang w:val="es"/>
        </w:rPr>
        <w:t>CONTRIBUCIONES DE LA COI A LOS PROCESOS DE GOBERNANZA DE LA ONU</w:t>
      </w:r>
      <w:bookmarkEnd w:id="268"/>
      <w:bookmarkEnd w:id="269"/>
      <w:bookmarkEnd w:id="273"/>
    </w:p>
    <w:bookmarkEnd w:id="270"/>
    <w:p w14:paraId="065932A6" w14:textId="2C64DDBF" w:rsidR="35DE0109" w:rsidRPr="006C41C4"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de la COI presentó este punto del orden del día. Reconociendo su papel en el sistema de las Naciones Unidas, de conformidad con sus Estatutos, como organización internacional competente en los campos de la investigación científica marina y la transferencia de tecnología marina, la COI contribuye a diversos procesos de las Naciones Unidas relacionados con el océano.</w:t>
      </w:r>
    </w:p>
    <w:p w14:paraId="4C66747D" w14:textId="74E39276" w:rsidR="35DE0109" w:rsidRPr="006C41C4"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Destacó los resultados de la reciente Conferencia de las Naciones Unidas sobre los Océanos y los mensajes clave transmitidos por la COI en la Conferencia, a saber, hacer avanzar la ciencia y el conocimiento de los océanos como base de acción para alcanzar el ODS 14 y la Agenda 2030, en consonancia con el mandato y las prioridades estratégicas de la COI. </w:t>
      </w:r>
    </w:p>
    <w:p w14:paraId="34B68A00" w14:textId="0239487D" w:rsidR="35DE0109" w:rsidRPr="006C41C4"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compromiso y los mensajes clave de la COI en la UNOC se centraron en: i) cumplir las prioridades críticas en materia de conocimientos mediante el Decenio del Océano, tal como se definen en la </w:t>
      </w:r>
      <w:hyperlink r:id="rId83" w:history="1">
        <w:r>
          <w:rPr>
            <w:rStyle w:val="Hyperlink"/>
            <w:rFonts w:ascii="Arial" w:hAnsi="Arial" w:cs="Arial"/>
            <w:i/>
            <w:iCs/>
            <w:sz w:val="22"/>
            <w:szCs w:val="22"/>
            <w:lang w:val="es"/>
          </w:rPr>
          <w:t>Declaración de Barcelona</w:t>
        </w:r>
      </w:hyperlink>
      <w:r>
        <w:rPr>
          <w:rFonts w:ascii="Arial" w:hAnsi="Arial" w:cs="Arial"/>
          <w:i/>
          <w:iCs/>
          <w:sz w:val="22"/>
          <w:szCs w:val="22"/>
          <w:lang w:val="es"/>
        </w:rPr>
        <w:t>;</w:t>
      </w:r>
      <w:r>
        <w:rPr>
          <w:rFonts w:ascii="Arial" w:hAnsi="Arial" w:cs="Arial"/>
          <w:sz w:val="22"/>
          <w:szCs w:val="22"/>
          <w:lang w:val="es"/>
        </w:rPr>
        <w:t xml:space="preserve"> </w:t>
      </w:r>
      <w:proofErr w:type="spellStart"/>
      <w:r>
        <w:rPr>
          <w:rFonts w:ascii="Arial" w:hAnsi="Arial" w:cs="Arial"/>
          <w:sz w:val="22"/>
          <w:szCs w:val="22"/>
          <w:lang w:val="es"/>
        </w:rPr>
        <w:t>ii</w:t>
      </w:r>
      <w:proofErr w:type="spellEnd"/>
      <w:r>
        <w:rPr>
          <w:rFonts w:ascii="Arial" w:hAnsi="Arial" w:cs="Arial"/>
          <w:sz w:val="22"/>
          <w:szCs w:val="22"/>
          <w:lang w:val="es"/>
        </w:rPr>
        <w:t xml:space="preserve">) aumentar la inversión sostenida en actividades de ciencias oceánicas e infraestructuras para observaciones y datos; </w:t>
      </w:r>
      <w:proofErr w:type="spellStart"/>
      <w:r>
        <w:rPr>
          <w:rFonts w:ascii="Arial" w:hAnsi="Arial" w:cs="Arial"/>
          <w:sz w:val="22"/>
          <w:szCs w:val="22"/>
          <w:lang w:val="es"/>
        </w:rPr>
        <w:t>iii</w:t>
      </w:r>
      <w:proofErr w:type="spellEnd"/>
      <w:r>
        <w:rPr>
          <w:rFonts w:ascii="Arial" w:hAnsi="Arial" w:cs="Arial"/>
          <w:sz w:val="22"/>
          <w:szCs w:val="22"/>
          <w:lang w:val="es"/>
        </w:rPr>
        <w:t xml:space="preserve">) acelerar los planes oceánicos sostenibles basados en la ciencia; </w:t>
      </w:r>
      <w:proofErr w:type="spellStart"/>
      <w:r>
        <w:rPr>
          <w:rFonts w:ascii="Arial" w:hAnsi="Arial" w:cs="Arial"/>
          <w:sz w:val="22"/>
          <w:szCs w:val="22"/>
          <w:lang w:val="es"/>
        </w:rPr>
        <w:t>iv</w:t>
      </w:r>
      <w:proofErr w:type="spellEnd"/>
      <w:r>
        <w:rPr>
          <w:rFonts w:ascii="Arial" w:hAnsi="Arial" w:cs="Arial"/>
          <w:sz w:val="22"/>
          <w:szCs w:val="22"/>
          <w:lang w:val="es"/>
        </w:rPr>
        <w:t xml:space="preserve">) aumentar la generación de datos, conocimientos y capacidades para apoyar el cumplimiento de los compromisos contraídos en el marco de la BBNJ y el GBF; v) así como llevar a cabo actividades de colaboración para la reducción de los riesgos de catástrofe y la preparación ante los peligros oceánicos. </w:t>
      </w:r>
    </w:p>
    <w:p w14:paraId="325EC45C" w14:textId="42E3DD9F" w:rsidR="35DE0109" w:rsidRPr="006C41C4"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Secretaría también participó activamente en la 16ª Conferencia de las Partes (COP16) del Convenio sobre la Diversidad Biológica (Cali, Colombia, 21 de octubre-1 de noviembre de 2024) como contribución al Marco Mundial de la Biodiversidad de Kunming-Montreal, que identificó 23 objetivos mundiales orientados a la acción para frenar la pérdida de biodiversidad y restaurar el ecosistema para 2050.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informó de que varios de los objetivos del marco dependen del suministro y acceso a datos mensurables, por lo que </w:t>
      </w:r>
      <w:r>
        <w:rPr>
          <w:rFonts w:ascii="Arial" w:hAnsi="Arial" w:cs="Arial"/>
          <w:sz w:val="22"/>
          <w:szCs w:val="22"/>
          <w:lang w:val="es"/>
        </w:rPr>
        <w:lastRenderedPageBreak/>
        <w:t xml:space="preserve">las observaciones oceánicas sostenidas y los datos accesibles son vitales para una toma de decisiones informada. Por consiguiente, el GOOS y el OBIS desempeñan un papel fundamental en el apoyo a varios objetivos e indicadores de dicho marco al proporcionar datos oceánicos esenciales y observaciones biológicas y ecosistémicas marinas coordinadas, estructuradas en torno a un conjunto de Variables Oceánicas Esenciales (EOV). Además, OBIS se añadió a la lista de herramientas diseñadas para ayudar a los países a vigilar la biodiversidad y seguir los avances en la protección de los océanos, las especies y los ecosistemas. A este respecto, </w:t>
      </w:r>
      <w:r>
        <w:rPr>
          <w:rFonts w:ascii="Arial" w:hAnsi="Arial" w:cs="Arial"/>
          <w:i/>
          <w:iCs/>
          <w:sz w:val="22"/>
          <w:szCs w:val="22"/>
          <w:lang w:val="es"/>
        </w:rPr>
        <w:t>las Orientaciones revisadas de la COP16 del CBD sobre las necesidades relacionadas con la aplicación del marco de seguimiento del Marco Mundial sobre la Diversidad Biológica de Kunming-Montreal</w:t>
      </w:r>
      <w:r>
        <w:rPr>
          <w:rFonts w:ascii="Arial" w:hAnsi="Arial" w:cs="Arial"/>
          <w:sz w:val="22"/>
          <w:szCs w:val="22"/>
          <w:lang w:val="es"/>
        </w:rPr>
        <w:t xml:space="preserve"> (CBD/COP/16/INF/4) hacen referencia específica al GOOS y al OBIS. </w:t>
      </w:r>
    </w:p>
    <w:p w14:paraId="076AE653" w14:textId="47C35D98" w:rsidR="35DE0109" w:rsidRPr="006C41C4"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el marco del Acuerdo de la Convención de las Naciones Unidas sobre el Derecho del Mar relativo a la conservación y la utilización sostenible de la diversidad biológica marina de las zonas situadas fuera de las jurisdicciones nacionales, la Secretaría de la COI participó en la 1ª Comisión Preparatoria para la Entrada en Vigor del Acuerdo y la Convocatoria de la Primera Reunión de la Conferencia de las Partes del Acuerdo (abril de 2025). Es importante para la Comisión que el Acuerdo haga referencia a la posible cooperación con la COI de la UNESCO en la aplicación del mecanismo de intercambio de información que se creará bajo los auspicios del nuevo tratado, abriendo potencialmente una vía para desplegar las plataformas y programas probados y plenamente operativos de la COI en el desarrollo de capacidades y la transferencia de tecnología marina en beneficio de todos los países. </w:t>
      </w:r>
    </w:p>
    <w:p w14:paraId="02B49B21" w14:textId="4E8C1A55" w:rsidR="008508D4" w:rsidRPr="006C41C4"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Recordó que en la 1ª reunión de la Comisión Preparatoria se empezaron a debatir las modalidades del Mecanismo de Intercambio de Información y que se reconoció ampliamente la necesidad de un análisis técnico en profundidad y de una propuesta de creación de un grupo de expertos técnicos que la Comisión Preparatoria estudiaría en su segunda reunión (18-29 de agosto de 2025).</w:t>
      </w:r>
    </w:p>
    <w:p w14:paraId="6725BB1B" w14:textId="38B1AABC" w:rsidR="008508D4" w:rsidRPr="006C41C4" w:rsidRDefault="008508D4" w:rsidP="00D634BE">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destacó además la contribución de la COI a la Convención Marco de las Naciones Unidas sobre el Cambio Climático y a la Evaluación Mundial de los Océanos. Por último, pidió que se reforzara la actuación de la COI en ámbitos pertinentes para los procesos de las Naciones Unidas, como la biodiversidad, el cambio climático y la resiliencia de las zonas costeras, facilitando el acceso a datos actualizados y fiables y a productos del conocimiento para orientar las decisiones políticas, y centrándose en la mejora de la capacidad técnica de los Estados Miembros para aplicar medidas nacionales en apoyo del Fondo Mundial para la Diversidad Biológica, la Convención Marco de las Naciones Unidas sobre el Cambio Climático y el Acuerdo de las Naciones Unidas sobre la Conservación y el Uso Sostenible de la Biodiversidad Marina fuera de la Jurisdicción Nacional (BBNJ), mediante la estrategia de desarrollo de capacidades de la COI y un conjunto específico de medidas de asistencia y apoyo.</w:t>
      </w:r>
    </w:p>
    <w:p w14:paraId="394D68EB" w14:textId="5B5BF2CF" w:rsidR="008508D4" w:rsidRPr="006C41C4" w:rsidRDefault="008508D4" w:rsidP="00D634BE">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Tomaron la palabra los representantes de 15 Estados Miembros y 1 observador (UN-DOALOS).</w:t>
      </w:r>
    </w:p>
    <w:p w14:paraId="4FA50E16" w14:textId="3DA3C66A" w:rsidR="008508D4" w:rsidRPr="006C41C4"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Varios Estados Miembros expresaron su apoyo al papel de la COI en los procesos de las Naciones Unidas, entre ellos la Conferencia de las Naciones Unidas sobre los Océanos (UNOC), el Acuerdo sobre la Diversidad Biológica fuera de las Jurisdicciones Nacionales (BBNJ), el Marco Mundial sobre la Diversidad Biológica de Kunming-Montreal (relacionado con el CDB) y la CMNUCC, y elogiaron a la Secretaría de la COI por sus importantes contribuciones a diversos procesos de gobernanza de las Naciones Unidas, en particular en el avance de las ciencias y los conocimientos oceánicos para alcanzar el ODS 14 y la Agenda 2030, como se demostró recientemente durante la Conferencia de las Naciones Unidas sobre los Océanos.</w:t>
      </w:r>
    </w:p>
    <w:p w14:paraId="7D41F5C7" w14:textId="77777777" w:rsidR="008508D4" w:rsidRPr="006C41C4"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Algunos Estados Miembros reconocieron la importante función que desempeñan programas de la COI como el GOOS y el OBIS en el suministro permanente de observaciones y datos oceanográficos, así como el programa </w:t>
      </w:r>
      <w:proofErr w:type="spellStart"/>
      <w:r>
        <w:rPr>
          <w:rFonts w:ascii="Arial" w:hAnsi="Arial" w:cs="Arial"/>
          <w:sz w:val="22"/>
          <w:szCs w:val="22"/>
          <w:lang w:val="es"/>
        </w:rPr>
        <w:t>MSPGlobal</w:t>
      </w:r>
      <w:proofErr w:type="spellEnd"/>
      <w:r>
        <w:rPr>
          <w:rFonts w:ascii="Arial" w:hAnsi="Arial" w:cs="Arial"/>
          <w:sz w:val="22"/>
          <w:szCs w:val="22"/>
          <w:lang w:val="es"/>
        </w:rPr>
        <w:t xml:space="preserve">, que apoyan varios objetivos del Marco Mundial para la Diversidad Biológica de Kunming-Montreal, haciendo hincapié en su importancia </w:t>
      </w:r>
      <w:r>
        <w:rPr>
          <w:rFonts w:ascii="Arial" w:hAnsi="Arial" w:cs="Arial"/>
          <w:sz w:val="22"/>
          <w:szCs w:val="22"/>
          <w:lang w:val="es"/>
        </w:rPr>
        <w:lastRenderedPageBreak/>
        <w:t xml:space="preserve">crítica para la adopción de decisiones basadas en datos empíricos y la vigilancia de la biodiversidad. Reconociendo la necesidad de una aplicación eficaz del Acuerdo de la BBNJ, incluido su Mecanismo de Intercambio de Información, varios Estados Miembros afirmaron que el compromiso continuo de la COI será indispensable. </w:t>
      </w:r>
    </w:p>
    <w:p w14:paraId="71A99C21" w14:textId="77777777" w:rsidR="008508D4" w:rsidRPr="006C41C4"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Algunos Estados Miembros señalaron una posible laguna, sugiriendo la necesidad de un análisis más profundo de la eficacia con que los programas científicos de la COI responden a las demandas de estas iniciativas mundiales. </w:t>
      </w:r>
    </w:p>
    <w:p w14:paraId="107A3B5A" w14:textId="77777777" w:rsidR="008508D4" w:rsidRPr="006C41C4"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Estados Miembros alentaron además a la Comisión a contribuir a tres aspectos adicionales de la BBNJ, a saber, el proceso de Creación de Capacidades y Transferencia de Tecnología Marina, la organización del Órgano Científico y Técnico (STB) de la BBNJ y el fortalecimiento de la coordinación entre los Estados Miembros por conducto de los órganos subsidiarios de la COI. </w:t>
      </w:r>
    </w:p>
    <w:p w14:paraId="46C0774A" w14:textId="03CE1E6B" w:rsidR="35DE0109" w:rsidRPr="006C41C4"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Chile propuso la creación de un grupo de trabajo ad hoc de la COI encargado de prestar asesoramiento técnico y científico a la COI sobre su compromiso de apoyo a la aplicación del Acuerdo sobre la BBNJ.</w:t>
      </w:r>
    </w:p>
    <w:p w14:paraId="663F87A7" w14:textId="77777777" w:rsidR="00B629F4" w:rsidRPr="006C41C4" w:rsidRDefault="00B629F4" w:rsidP="00B629F4">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Arial" w:hAnsi="Arial" w:cs="Arial"/>
          <w:sz w:val="22"/>
          <w:szCs w:val="22"/>
          <w:lang w:val="es"/>
        </w:rPr>
        <w:t>Argentina decidió desvincularse de los párrafos 2 y 8 de la decisión.</w:t>
      </w:r>
    </w:p>
    <w:p w14:paraId="533250C9" w14:textId="15719876" w:rsidR="00B629F4" w:rsidRPr="006C41C4" w:rsidRDefault="00B629F4" w:rsidP="00B629F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Estados Unidos de América declaró su intención de desvincularse de la decisión. </w:t>
      </w:r>
    </w:p>
    <w:p w14:paraId="16E273A2" w14:textId="717ECF54" w:rsidR="00F334B4" w:rsidRPr="006C41C4" w:rsidRDefault="00F334B4"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han optado por dejar constancia de su intervención en el pleno sobre este punto del orden del día para el anexo informativo del informe de la reunión: </w:t>
      </w:r>
      <w:hyperlink w:anchor="arg47" w:history="1">
        <w:r>
          <w:rPr>
            <w:rStyle w:val="Hyperlink"/>
            <w:rFonts w:ascii="Arial" w:hAnsi="Arial" w:cs="Arial"/>
            <w:sz w:val="22"/>
            <w:szCs w:val="22"/>
            <w:lang w:val="es"/>
          </w:rPr>
          <w:t>Argentina</w:t>
        </w:r>
      </w:hyperlink>
      <w:r>
        <w:rPr>
          <w:rFonts w:ascii="Arial" w:hAnsi="Arial" w:cs="Arial"/>
          <w:sz w:val="22"/>
          <w:szCs w:val="22"/>
          <w:lang w:val="es"/>
        </w:rPr>
        <w:t xml:space="preserve">, </w:t>
      </w:r>
      <w:hyperlink w:anchor="bel47" w:history="1">
        <w:r>
          <w:rPr>
            <w:rStyle w:val="Hyperlink"/>
            <w:rFonts w:ascii="Arial" w:hAnsi="Arial" w:cs="Arial"/>
            <w:sz w:val="22"/>
            <w:szCs w:val="22"/>
            <w:lang w:val="es"/>
          </w:rPr>
          <w:t>Bélgica</w:t>
        </w:r>
      </w:hyperlink>
      <w:r>
        <w:rPr>
          <w:rFonts w:ascii="Arial" w:hAnsi="Arial" w:cs="Arial"/>
          <w:sz w:val="22"/>
          <w:szCs w:val="22"/>
          <w:lang w:val="es"/>
        </w:rPr>
        <w:t xml:space="preserve">, </w:t>
      </w:r>
      <w:hyperlink w:anchor="chil47" w:history="1">
        <w:r>
          <w:rPr>
            <w:rStyle w:val="Hyperlink"/>
            <w:rFonts w:ascii="Arial" w:hAnsi="Arial" w:cs="Arial"/>
            <w:sz w:val="22"/>
            <w:szCs w:val="22"/>
            <w:lang w:val="es"/>
          </w:rPr>
          <w:t>Chile</w:t>
        </w:r>
      </w:hyperlink>
      <w:r>
        <w:rPr>
          <w:rFonts w:ascii="Arial" w:hAnsi="Arial" w:cs="Arial"/>
          <w:sz w:val="22"/>
          <w:szCs w:val="22"/>
          <w:lang w:val="es"/>
        </w:rPr>
        <w:t xml:space="preserve">, </w:t>
      </w:r>
      <w:hyperlink w:anchor="chin47"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jap47"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norw47" w:history="1">
        <w:r>
          <w:rPr>
            <w:rStyle w:val="Hyperlink"/>
            <w:rFonts w:ascii="Arial" w:hAnsi="Arial" w:cs="Arial"/>
            <w:sz w:val="22"/>
            <w:szCs w:val="22"/>
            <w:lang w:val="es"/>
          </w:rPr>
          <w:t>Noruega</w:t>
        </w:r>
      </w:hyperlink>
      <w:r>
        <w:rPr>
          <w:rFonts w:ascii="Arial" w:hAnsi="Arial" w:cs="Arial"/>
          <w:sz w:val="22"/>
          <w:szCs w:val="22"/>
          <w:lang w:val="es"/>
        </w:rPr>
        <w:t xml:space="preserve">, </w:t>
      </w:r>
      <w:hyperlink w:anchor="rok47" w:history="1">
        <w:r>
          <w:rPr>
            <w:rStyle w:val="Hyperlink"/>
            <w:rFonts w:ascii="Arial" w:hAnsi="Arial" w:cs="Arial"/>
            <w:sz w:val="22"/>
            <w:szCs w:val="22"/>
            <w:lang w:val="es"/>
          </w:rPr>
          <w:t>República de Corea</w:t>
        </w:r>
      </w:hyperlink>
      <w:r>
        <w:rPr>
          <w:rFonts w:ascii="Arial" w:hAnsi="Arial" w:cs="Arial"/>
          <w:sz w:val="22"/>
          <w:szCs w:val="22"/>
          <w:lang w:val="es"/>
        </w:rPr>
        <w:t xml:space="preserve">, </w:t>
      </w:r>
      <w:hyperlink w:anchor="spain47"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turk47" w:history="1">
        <w:r>
          <w:rPr>
            <w:rStyle w:val="Hyperlink"/>
            <w:rFonts w:ascii="Arial" w:hAnsi="Arial" w:cs="Arial"/>
            <w:sz w:val="22"/>
            <w:szCs w:val="22"/>
            <w:lang w:val="es"/>
          </w:rPr>
          <w:t>Turquía</w:t>
        </w:r>
      </w:hyperlink>
      <w:r>
        <w:rPr>
          <w:rFonts w:ascii="Arial" w:hAnsi="Arial" w:cs="Arial"/>
          <w:sz w:val="22"/>
          <w:szCs w:val="22"/>
          <w:lang w:val="es"/>
        </w:rPr>
        <w:t xml:space="preserve">, </w:t>
      </w:r>
      <w:hyperlink w:anchor="usa47" w:history="1">
        <w:r>
          <w:rPr>
            <w:rStyle w:val="Hyperlink"/>
            <w:rFonts w:ascii="Arial" w:hAnsi="Arial" w:cs="Arial"/>
            <w:sz w:val="22"/>
            <w:szCs w:val="22"/>
            <w:lang w:val="es"/>
          </w:rPr>
          <w:t>Estados Unidos de América</w:t>
        </w:r>
      </w:hyperlink>
      <w:r>
        <w:rPr>
          <w:rFonts w:ascii="Arial" w:hAnsi="Arial" w:cs="Arial"/>
          <w:sz w:val="22"/>
          <w:szCs w:val="22"/>
          <w:lang w:val="es"/>
        </w:rPr>
        <w:t>.</w:t>
      </w:r>
    </w:p>
    <w:p w14:paraId="1476289D" w14:textId="7D41B708" w:rsidR="008158AA" w:rsidRPr="006C41C4"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A-33/4.7</w:t>
      </w:r>
      <w:r>
        <w:rPr>
          <w:rFonts w:asciiTheme="minorBidi" w:hAnsiTheme="minorBidi" w:cstheme="minorBidi"/>
          <w:sz w:val="22"/>
          <w:szCs w:val="22"/>
          <w:lang w:val="es"/>
        </w:rPr>
        <w:t>.</w:t>
      </w:r>
    </w:p>
    <w:p w14:paraId="48BA5D14" w14:textId="49F9572B" w:rsidR="00BD3985" w:rsidRPr="006C41C4" w:rsidRDefault="005B13F7" w:rsidP="00AE1A0F">
      <w:pPr>
        <w:pStyle w:val="Heading2"/>
        <w:tabs>
          <w:tab w:val="clear" w:pos="737"/>
        </w:tabs>
        <w:ind w:left="851" w:hanging="851"/>
        <w:rPr>
          <w:lang w:val="es-ES"/>
        </w:rPr>
      </w:pPr>
      <w:bookmarkStart w:id="274" w:name="_Toc197955135"/>
      <w:bookmarkStart w:id="275" w:name="_Toc212133531"/>
      <w:bookmarkStart w:id="276" w:name="_Hlk136016212"/>
      <w:bookmarkEnd w:id="271"/>
      <w:bookmarkEnd w:id="272"/>
      <w:r>
        <w:rPr>
          <w:bCs w:val="0"/>
          <w:lang w:val="es"/>
        </w:rPr>
        <w:t>4.8</w:t>
      </w:r>
      <w:r>
        <w:rPr>
          <w:bCs w:val="0"/>
          <w:lang w:val="es"/>
        </w:rPr>
        <w:tab/>
      </w:r>
      <w:bookmarkStart w:id="277" w:name="_Hlk207964705"/>
      <w:r>
        <w:rPr>
          <w:bCs w:val="0"/>
          <w:lang w:val="es"/>
        </w:rPr>
        <w:t>INFORME SOBRE EL PLAN DE EJECUCIÓN DEL DECENIO DEL OCÉANO DE LAS NACIONES UNIDAS 2021-2030 Y RESULTADOS DE LA EVALUACIÓN INTERMEDIA</w:t>
      </w:r>
      <w:bookmarkEnd w:id="274"/>
      <w:bookmarkEnd w:id="275"/>
      <w:bookmarkEnd w:id="277"/>
    </w:p>
    <w:p w14:paraId="3FDE87E3" w14:textId="03E648BD"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Este punto del orden del día fue presentado por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quien recordó a los Estados Miembros los importantes logros del Decenio en sus primeros cinco años de aplicación. Subrayó que los logros del Decenio hasta la fecha han sido posibles gracias al apoyo de los Estados Miembros y los socios. Recordó a los Estados Miembros que el Decenio está iniciando la segunda mitad de su ejecución y que, tras la Conferencia del Decenio del Océano de 2024, es necesario reorientar las actividades, afinar las prioridades y poner en marcha las medidas necesarias para consolidar y mantener su impacto. Informó a los Estados Miembros de que están surgiendo nuevas oportunidades que podrían reforzar el impacto del Decenio en sus cinco años restantes y catalizar iniciativas a largo plazo, posteriores al Decenio, para fortalecer la labor programática de la COI. </w:t>
      </w:r>
    </w:p>
    <w:p w14:paraId="570FE721" w14:textId="503C9493"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Destacó que la Evaluación Intermedia del Decenio del Océano proporciona una hoja de ruta para el camino a seguir hasta 2030 y más allá, con el fin de alcanzar todo el potencial del Decenio. Sin embargo, subrayó que el apoyo financiero y en especie de los Estados Miembros al Decenio ha ido disminuyendo y que la Secretaría no dispone de los recursos necesarios para coordinar el Decenio y aplicar las conclusiones de la evaluación intermedia. Imploró a los Estados Miembros que mantuvieran e incrementaran su compromiso con el Decenio a nivel nacional y que contribuyeran a su coordinación y ejecución a nivel regional y mundial.   </w:t>
      </w:r>
    </w:p>
    <w:p w14:paraId="1822CAC3" w14:textId="4C452DFE"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Tras la intervención del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el Sr. Julian Barbière, en su calidad de Coordinador del Decenio del Océano de la COI, presentó información actualizada sobre la ejecución del Decenio del Océano durante el último periodo. Dos procesos clave han configurado </w:t>
      </w:r>
      <w:r>
        <w:rPr>
          <w:rFonts w:ascii="Arial" w:hAnsi="Arial" w:cs="Arial"/>
          <w:sz w:val="22"/>
          <w:szCs w:val="22"/>
          <w:lang w:val="es"/>
        </w:rPr>
        <w:lastRenderedPageBreak/>
        <w:t>y seguirán configurando el trabajo de la Unidad de Coordinación del Decenio (UCD): las prioridades contenidas en la</w:t>
      </w:r>
      <w:r>
        <w:rPr>
          <w:rFonts w:ascii="Arial" w:hAnsi="Arial" w:cs="Arial"/>
          <w:i/>
          <w:iCs/>
          <w:sz w:val="22"/>
          <w:szCs w:val="22"/>
          <w:lang w:val="es"/>
        </w:rPr>
        <w:t xml:space="preserve"> Declaración de Barcelona</w:t>
      </w:r>
      <w:r>
        <w:rPr>
          <w:rFonts w:ascii="Arial" w:hAnsi="Arial" w:cs="Arial"/>
          <w:sz w:val="22"/>
          <w:szCs w:val="22"/>
          <w:lang w:val="es"/>
        </w:rPr>
        <w:t xml:space="preserve"> y el proceso de evaluación intermedia. Las cuatro convocatorias de Acciones del Decenio en el último periodo han elevado a 60 el número total de programas del Decenio, con más de 500 proyectos. Se han creado tres nuevos Comités Nacionales del Decenio (CND) en Seychelles, Tanzania y el Reino de los Países Bajos y se han formalizado los nuevos miembros de la Alianza para el Decenio del Océano. Destacó la labor del Mecanismo de Desarrollo de Capacidades, apoyado por el Gobierno de Flandes (Reino de Bélgica), como herramienta de emparejamiento para iniciativas de desarrollo de capacidades y el trabajo sobre productos de conocimiento en torno a los beneficios de la inversión en ciencias oceánicas. </w:t>
      </w:r>
    </w:p>
    <w:p w14:paraId="09C9524A" w14:textId="64C0ECF7"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Sr. Barbière recordó a los Estados Miembros la justificación y el proceso de la evaluación intermedia dirigida por el Servicio de Supervisión Interna (IOS) de la UNESCO. Destacó varias recomendaciones clave del informe, entre las que se incluyen: un mayor compromiso de los organismos de la ONU; un papel estratégico reforzado para la Junta Consultiva del Decenio, como se refleja en el mandato revisado propuesto para este grupo; una coordinación mundial, regional y nacional más fuerte; la consolidación del impacto de las Acciones del Decenio; y la necesidad de un marco consolidado de movilización de recursos. </w:t>
      </w:r>
    </w:p>
    <w:p w14:paraId="0B66A43F" w14:textId="602771F2"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También destacó una última recomendación crucial de la Evaluación sobre las formas en que el Decenio podría contribuir a fortalecer la COI después de 2030. Señaló que varios procesos, entre ellos la evaluación intermedia, las prioridades de la</w:t>
      </w:r>
      <w:r>
        <w:rPr>
          <w:rFonts w:ascii="Arial" w:hAnsi="Arial" w:cs="Arial"/>
          <w:i/>
          <w:iCs/>
          <w:sz w:val="22"/>
          <w:szCs w:val="22"/>
          <w:lang w:val="es"/>
        </w:rPr>
        <w:t xml:space="preserve"> Declaración de Barcelona</w:t>
      </w:r>
      <w:r>
        <w:rPr>
          <w:rFonts w:ascii="Arial" w:hAnsi="Arial" w:cs="Arial"/>
          <w:sz w:val="22"/>
          <w:szCs w:val="22"/>
          <w:lang w:val="es"/>
        </w:rPr>
        <w:t xml:space="preserve">, la Estrategia de Planificación y Gestión Sostenibles de los Océanos de la COI, el nuevo Marco de Resultados para la Estrategia a Plazo Medio de la COI y el proceso de consulta "La COI y el Futuro del Océano" están generando opciones para los ámbitos prioritarios de intervención de la COI en el futuro. Señaló asimismo que existe una convergencia en torno a un grupo de cuestiones surgidas a través de estos procesos, que podrían contribuir a orientar las futuras actividades del Decenio del Océano. </w:t>
      </w:r>
    </w:p>
    <w:p w14:paraId="7BB7C3AC" w14:textId="634716D1"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Sr. Barbière volvió a hacer hincapié en las necesidades críticas de recursos para la coordinación del Decenio, indicando que solo se había asegurado el 40 % de las necesidades de financiación para 2026 para la dotación de personal de la Unidad de Coordinación del Decenio y que, combinadas, las tres Oficinas de Coordinación del Decenio (OCD) en los Órganos Regionales Subsidiarios (ORS) de la COI, necesitaban 530 000 USD adicionales al año para ser plenamente operativas. </w:t>
      </w:r>
    </w:p>
    <w:p w14:paraId="53DAA5EE" w14:textId="0B749E87"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A </w:t>
      </w:r>
      <w:proofErr w:type="gramStart"/>
      <w:r>
        <w:rPr>
          <w:rFonts w:ascii="Arial" w:hAnsi="Arial" w:cs="Arial"/>
          <w:sz w:val="22"/>
          <w:szCs w:val="22"/>
          <w:lang w:val="es"/>
        </w:rPr>
        <w:t>continuación</w:t>
      </w:r>
      <w:proofErr w:type="gramEnd"/>
      <w:r>
        <w:rPr>
          <w:rFonts w:ascii="Arial" w:hAnsi="Arial" w:cs="Arial"/>
          <w:sz w:val="22"/>
          <w:szCs w:val="22"/>
          <w:lang w:val="es"/>
        </w:rPr>
        <w:t xml:space="preserve"> presentó la información sobre la Plataforma Internacional para la Sostenibilidad de los Océanos (IPOS) e indicó que la Secretaría había estado colaborando con el equipo técnico que dirige el desarrollo de la IPOS para determinar las posibilidades de que la IPOS contribuya a los mandatos de la COI y del Decenio del Océano relacionados con la interfaz ciencia-política. Recordó a los Estados Miembros las tres opciones señaladas por la Secretaría para una posible fase de prueba de la IPOS, dirigida por la COI, en el marco del Decenio. </w:t>
      </w:r>
    </w:p>
    <w:p w14:paraId="061C6C76" w14:textId="5502A892"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Por último, recordó a los Estados Miembros el proceso de selección del anfitrión de la Conferencia del Decenio del Océano 2027 y la importancia de esta Conferencia para configurar el resto del Decenio y el legado posterior al mismo. A continuación, anunció que Brasil había sido seleccionado como país anfitrión de la Conferencia, que se celebrará en Río de Janeiro. Felicita y agradece a Brasil su compromiso con el Decenio y da las gracias a los otros dos </w:t>
      </w:r>
      <w:proofErr w:type="gramStart"/>
      <w:r>
        <w:rPr>
          <w:rFonts w:ascii="Arial" w:hAnsi="Arial" w:cs="Arial"/>
          <w:sz w:val="22"/>
          <w:szCs w:val="22"/>
          <w:lang w:val="es"/>
        </w:rPr>
        <w:t>Estados  Miembros</w:t>
      </w:r>
      <w:proofErr w:type="gramEnd"/>
      <w:r>
        <w:rPr>
          <w:rFonts w:ascii="Arial" w:hAnsi="Arial" w:cs="Arial"/>
          <w:sz w:val="22"/>
          <w:szCs w:val="22"/>
          <w:lang w:val="es"/>
        </w:rPr>
        <w:t xml:space="preserve"> que han presentado candidaturas para acoger la Conferencia por la gran calidad de sus propuestas.</w:t>
      </w:r>
    </w:p>
    <w:p w14:paraId="6815D8F2" w14:textId="2CC23530" w:rsidR="003E0195" w:rsidRPr="006C41C4" w:rsidRDefault="003E019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27 Estados Miembros y 2 observadores. </w:t>
      </w:r>
    </w:p>
    <w:p w14:paraId="0B79ABE9" w14:textId="4D9BABAD"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Mónaco presentó un proyecto de resolución para este punto del orden del día. </w:t>
      </w:r>
    </w:p>
    <w:p w14:paraId="55C4B03B" w14:textId="478C1DC0"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lastRenderedPageBreak/>
        <w:t xml:space="preserve">Los Estados Miembros felicitaron a Brasil por haber sido seleccionado para acoger la Conferencia del Decenio del Océano 2027 y expresaron su firme y constante apoyo al Decenio del Océano. Numerosos Estados Miembros destacaron la necesidad y pertinencia constantes del Decenio del Océano para mejorar el uso de la ciencia en la formulación de políticas y señalaron la concordancia con el mandato de la COI a este respecto. </w:t>
      </w:r>
    </w:p>
    <w:p w14:paraId="75A9B62D" w14:textId="7CB179C8"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Numerosos Estados Miembros facilitaron información sobre las amplias y variadas actividades llevadas a cabo a escala nacional, en particular a través de los Comités Nacionales del Decenio y mediante el liderazgo o la participación en las Acciones del Decenio. Los Estados Miembros reconocieron la importancia de las conclusiones y recomendaciones de la evaluación intermedia y dieron las gracias al IOS de la UNESCO por dirigir este proceso. En varias intervenciones se reconoció la escasez de recursos a la que se enfrenta la Secretaría de la COI para la coordinación del Decenio y se instó a todos los Estados Miembros a que actuaran para permitir la plena aplicación de las recomendaciones de la evaluación intermedia, garantizando así una segunda mitad del Decenio fructífera. </w:t>
      </w:r>
    </w:p>
    <w:p w14:paraId="0ABEC806" w14:textId="695A064B"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Se formularon preguntas sobre las medidas para aumentar la participación de los organismos de la ONU en el Decenio, incluida la aplicación de las recomendaciones contenidas en un análisis previo, no publicado, sobre esta cuestión. También se plantearon preguntas sobre la forma en que el Decenio seguirá midiendo el impacto de las Acciones del Decenio para fundamentar las políticas y la toma de decisiones, y sobre la forma de seguir simplificando y racionalizando los procesos del Decenio. </w:t>
      </w:r>
    </w:p>
    <w:p w14:paraId="540C4267" w14:textId="655E1E8C" w:rsidR="00BA2174" w:rsidRPr="006C41C4" w:rsidRDefault="009863A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Varios Estados Miembros plantearon preguntas o expresaron su preocupación en relación con la IPOS y los apartados correspondientes del proyecto de resolución propuesto. Se plantearon cuestiones específicas en relación con la duplicación con las actividades de la COI, el alcance de la fase de prueba propuesta y las implicaciones en materia de recursos para la COI. Se creó un grupo de redacción, presidido por Alemania, para debatir estos apartados concretos. </w:t>
      </w:r>
    </w:p>
    <w:p w14:paraId="755C5A68" w14:textId="4F5C34D2"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y Alison Clausen presentaron la respuesta de la Secretaría a las intervenciones de los Estados Miembros. Agradecieron a los Estados Miembros y a los socios su apoyo al Decenio y a la labor de la Secretaría, en particular mediante recursos financieros y en especie destinados a la UCD, los OCD y los CCD. También agradecieron a los Estados Miembros su constante compromiso y sus actividades a escala nacional, que constituyen la base del impacto del Decenio. La Secretaría animó a los Estados Miembros que aún no lo hayan hecho a crear Comités Nacionales del Decenio y se congratuló de la inminente creación de un Comité Nacional del Decenio en Australia. </w:t>
      </w:r>
    </w:p>
    <w:p w14:paraId="380BCA7E" w14:textId="4D992368"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Agradecieron a los Estados Miembros su reconocimiento de que es necesario seguir prestando apoyo, incluidos recursos para la coordinación por parte de la Unidad de Coordinación del Decenio y las OCD temáticas y regionales dirigidas por la COI, incluso en sus órganos subsidiarios regionales. Citaron las contribuciones al trabajo del Fondo de Desarrollo de Capacidades como mecanismo de apoyo colectivo de los Estados Miembros y destacaron la importancia de las comisiones de servicio y los préstamos de personal, así como de los puestos de oficiales profesionales jóvenes. </w:t>
      </w:r>
    </w:p>
    <w:p w14:paraId="13082D4B" w14:textId="73877915"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En cuanto a la mayor participación de los organismos de las Naciones Unidas en el Decenio, la Secretaría señaló que, debido a los retrasos en la publicación del informe mencionado anteriormente como documento independiente, las recomendaciones de dicho análisis se incorporaron al proceso de evaluación intermedia y se complementaron con consultas adicionales y actualizadas. El Plan de Acción que preparará la Secretaría para aplicar las recomendaciones de la evaluación intermedia contendrá acciones específicas relacionadas con la participación de los organismos de las Naciones Unidas. Este Plan de Acción también abordará</w:t>
      </w:r>
      <w:r>
        <w:rPr>
          <w:rFonts w:ascii="Arial" w:hAnsi="Arial" w:cs="Arial"/>
          <w:i/>
          <w:iCs/>
          <w:sz w:val="22"/>
          <w:szCs w:val="22"/>
          <w:lang w:val="es"/>
        </w:rPr>
        <w:t xml:space="preserve">, </w:t>
      </w:r>
      <w:r>
        <w:rPr>
          <w:rFonts w:ascii="Arial" w:hAnsi="Arial" w:cs="Arial"/>
          <w:sz w:val="22"/>
          <w:szCs w:val="22"/>
          <w:lang w:val="es"/>
        </w:rPr>
        <w:t xml:space="preserve">entre otras cosas, medidas para aumentar la rendición de cuentas y la presentación </w:t>
      </w:r>
      <w:r>
        <w:rPr>
          <w:rFonts w:ascii="Arial" w:hAnsi="Arial" w:cs="Arial"/>
          <w:sz w:val="22"/>
          <w:szCs w:val="22"/>
          <w:lang w:val="es"/>
        </w:rPr>
        <w:lastRenderedPageBreak/>
        <w:t xml:space="preserve">de informes sobre las Acciones del Decenio y sus repercusiones, especialmente en lo que respecta al uso de la ciencia para fundamentar la toma de decisiones. </w:t>
      </w:r>
    </w:p>
    <w:p w14:paraId="0F35E356" w14:textId="3FAACF6A" w:rsidR="00BA2174"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La Secretaría tomó nota de los comentarios y opiniones formulados por los Estados Miembros en relación con la IPOS, en particular las preocupaciones planteadas sobre el alcance de la fase de prueba propuesta y las repercusiones en materia de recursos para la COI. La Secretaría recordó a los Estados Miembros los análisis que figuraban en la documentación relativa a este punto del orden del día, en los que se determinaban posibles opciones para que la IPOS contribuyera a los mandatos de la COI y del Decenio del Océano. La Secretaría se refirió a los trabajos del grupo de redacción presidido por Alemania dedicado a esta cuestión durante la reunión.</w:t>
      </w:r>
    </w:p>
    <w:p w14:paraId="41F11D99" w14:textId="2CF36D39" w:rsidR="5900B1FC" w:rsidRPr="006C41C4"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Para concluir, la Secretaría se unió a los Estados Miembros para reiterar su felicitación y agradecimiento a Brasil como anfitrión de la Conferencia del Decenio del Océano 2027 y pidió a todos los Estados Miembros que participasen y apoyasen el proceso preparatorio de la Conferencia. </w:t>
      </w:r>
    </w:p>
    <w:p w14:paraId="482C4B37" w14:textId="317F2C82" w:rsidR="00635358" w:rsidRPr="006C41C4" w:rsidRDefault="006705F0" w:rsidP="00547D9B">
      <w:pPr>
        <w:pStyle w:val="ListParagraph1"/>
        <w:widowControl/>
        <w:numPr>
          <w:ilvl w:val="0"/>
          <w:numId w:val="8"/>
        </w:numPr>
        <w:tabs>
          <w:tab w:val="left" w:pos="851"/>
        </w:tabs>
        <w:snapToGrid w:val="0"/>
        <w:spacing w:after="240"/>
        <w:ind w:left="0" w:firstLine="0"/>
        <w:contextualSpacing w:val="0"/>
        <w:rPr>
          <w:lang w:val="es-ES"/>
        </w:rPr>
      </w:pPr>
      <w:r>
        <w:rPr>
          <w:rFonts w:ascii="Arial" w:hAnsi="Arial" w:cs="Arial"/>
          <w:sz w:val="22"/>
          <w:szCs w:val="22"/>
          <w:lang w:val="es"/>
        </w:rPr>
        <w:t xml:space="preserve">Los siguientes Estados Miembros y dos observadores decidieron dejar constancia de su intervención en el pleno sobre este punto del orden del día para información: </w:t>
      </w:r>
      <w:hyperlink w:anchor="bel48" w:history="1">
        <w:r>
          <w:rPr>
            <w:rStyle w:val="Hyperlink"/>
            <w:rFonts w:ascii="Arial" w:hAnsi="Arial" w:cs="Arial"/>
            <w:sz w:val="22"/>
            <w:szCs w:val="22"/>
            <w:lang w:val="es"/>
          </w:rPr>
          <w:t>Bélgica</w:t>
        </w:r>
      </w:hyperlink>
      <w:r>
        <w:rPr>
          <w:rFonts w:ascii="Arial" w:hAnsi="Arial" w:cs="Arial"/>
          <w:sz w:val="22"/>
          <w:szCs w:val="22"/>
          <w:lang w:val="es"/>
        </w:rPr>
        <w:t xml:space="preserve">, </w:t>
      </w:r>
      <w:hyperlink w:anchor="bra48" w:history="1">
        <w:r>
          <w:rPr>
            <w:rStyle w:val="Hyperlink"/>
            <w:rFonts w:ascii="Arial" w:hAnsi="Arial" w:cs="Arial"/>
            <w:sz w:val="22"/>
            <w:szCs w:val="22"/>
            <w:lang w:val="es"/>
          </w:rPr>
          <w:t>Brasil</w:t>
        </w:r>
      </w:hyperlink>
      <w:r>
        <w:rPr>
          <w:rFonts w:ascii="Arial" w:hAnsi="Arial" w:cs="Arial"/>
          <w:sz w:val="22"/>
          <w:szCs w:val="22"/>
          <w:lang w:val="es"/>
        </w:rPr>
        <w:t xml:space="preserve">, </w:t>
      </w:r>
      <w:hyperlink w:anchor="chil48" w:history="1">
        <w:r>
          <w:rPr>
            <w:rStyle w:val="Hyperlink"/>
            <w:rFonts w:ascii="Arial" w:hAnsi="Arial" w:cs="Arial"/>
            <w:sz w:val="22"/>
            <w:szCs w:val="22"/>
            <w:lang w:val="es"/>
          </w:rPr>
          <w:t>Chile</w:t>
        </w:r>
      </w:hyperlink>
      <w:r>
        <w:rPr>
          <w:rFonts w:ascii="Arial" w:hAnsi="Arial" w:cs="Arial"/>
          <w:sz w:val="22"/>
          <w:szCs w:val="22"/>
          <w:lang w:val="es"/>
        </w:rPr>
        <w:t xml:space="preserve">, </w:t>
      </w:r>
      <w:hyperlink w:anchor="chin48" w:history="1">
        <w:r>
          <w:rPr>
            <w:rStyle w:val="Hyperlink"/>
            <w:rFonts w:ascii="Arial" w:hAnsi="Arial" w:cs="Arial"/>
            <w:sz w:val="22"/>
            <w:szCs w:val="22"/>
            <w:lang w:val="es"/>
          </w:rPr>
          <w:t>China</w:t>
        </w:r>
      </w:hyperlink>
      <w:r>
        <w:rPr>
          <w:rFonts w:ascii="Arial" w:hAnsi="Arial" w:cs="Arial"/>
          <w:sz w:val="22"/>
          <w:szCs w:val="22"/>
          <w:lang w:val="es"/>
        </w:rPr>
        <w:t xml:space="preserve">, </w:t>
      </w:r>
      <w:hyperlink w:anchor="col48" w:history="1">
        <w:r>
          <w:rPr>
            <w:rStyle w:val="Hyperlink"/>
            <w:rFonts w:ascii="Arial" w:hAnsi="Arial" w:cs="Arial"/>
            <w:sz w:val="22"/>
            <w:szCs w:val="22"/>
            <w:lang w:val="es"/>
          </w:rPr>
          <w:t>Colombia</w:t>
        </w:r>
      </w:hyperlink>
      <w:r>
        <w:rPr>
          <w:rFonts w:ascii="Arial" w:hAnsi="Arial" w:cs="Arial"/>
          <w:sz w:val="22"/>
          <w:szCs w:val="22"/>
          <w:lang w:val="es"/>
        </w:rPr>
        <w:t xml:space="preserve">, </w:t>
      </w:r>
      <w:hyperlink w:anchor="india48" w:history="1">
        <w:r>
          <w:rPr>
            <w:rStyle w:val="Hyperlink"/>
            <w:rFonts w:ascii="Arial" w:hAnsi="Arial" w:cs="Arial"/>
            <w:sz w:val="22"/>
            <w:szCs w:val="22"/>
            <w:lang w:val="es"/>
          </w:rPr>
          <w:t>India</w:t>
        </w:r>
      </w:hyperlink>
      <w:r>
        <w:rPr>
          <w:rFonts w:ascii="Arial" w:hAnsi="Arial" w:cs="Arial"/>
          <w:sz w:val="22"/>
          <w:szCs w:val="22"/>
          <w:lang w:val="es"/>
        </w:rPr>
        <w:t xml:space="preserve">, </w:t>
      </w:r>
      <w:hyperlink w:anchor="jap48" w:history="1">
        <w:r>
          <w:rPr>
            <w:rStyle w:val="Hyperlink"/>
            <w:rFonts w:ascii="Arial" w:hAnsi="Arial" w:cs="Arial"/>
            <w:sz w:val="22"/>
            <w:szCs w:val="22"/>
            <w:lang w:val="es"/>
          </w:rPr>
          <w:t>Japón</w:t>
        </w:r>
      </w:hyperlink>
      <w:r>
        <w:rPr>
          <w:rFonts w:ascii="Arial" w:hAnsi="Arial" w:cs="Arial"/>
          <w:sz w:val="22"/>
          <w:szCs w:val="22"/>
          <w:lang w:val="es"/>
        </w:rPr>
        <w:t xml:space="preserve">, </w:t>
      </w:r>
      <w:hyperlink w:anchor="malay48" w:history="1">
        <w:r>
          <w:rPr>
            <w:rStyle w:val="Hyperlink"/>
            <w:rFonts w:ascii="Arial" w:hAnsi="Arial" w:cs="Arial"/>
            <w:sz w:val="22"/>
            <w:szCs w:val="22"/>
            <w:lang w:val="es"/>
          </w:rPr>
          <w:t>Malasia</w:t>
        </w:r>
      </w:hyperlink>
      <w:r>
        <w:rPr>
          <w:rFonts w:ascii="Arial" w:hAnsi="Arial" w:cs="Arial"/>
          <w:sz w:val="22"/>
          <w:szCs w:val="22"/>
          <w:lang w:val="es"/>
        </w:rPr>
        <w:t xml:space="preserve">, </w:t>
      </w:r>
      <w:hyperlink w:anchor="mon48" w:history="1">
        <w:r>
          <w:rPr>
            <w:rStyle w:val="Hyperlink"/>
            <w:rFonts w:ascii="Arial" w:hAnsi="Arial" w:cs="Arial"/>
            <w:sz w:val="22"/>
            <w:szCs w:val="22"/>
            <w:lang w:val="es"/>
          </w:rPr>
          <w:t>Mónaco</w:t>
        </w:r>
      </w:hyperlink>
      <w:r>
        <w:rPr>
          <w:rFonts w:ascii="Arial" w:hAnsi="Arial" w:cs="Arial"/>
          <w:sz w:val="22"/>
          <w:szCs w:val="22"/>
          <w:lang w:val="es"/>
        </w:rPr>
        <w:t xml:space="preserve">, </w:t>
      </w:r>
      <w:hyperlink w:anchor="norw48" w:history="1">
        <w:r>
          <w:rPr>
            <w:rStyle w:val="Hyperlink"/>
            <w:rFonts w:ascii="Arial" w:hAnsi="Arial" w:cs="Arial"/>
            <w:sz w:val="22"/>
            <w:szCs w:val="22"/>
            <w:lang w:val="es"/>
          </w:rPr>
          <w:t>Noruega</w:t>
        </w:r>
      </w:hyperlink>
      <w:r>
        <w:rPr>
          <w:rFonts w:ascii="Arial" w:hAnsi="Arial" w:cs="Arial"/>
          <w:sz w:val="22"/>
          <w:szCs w:val="22"/>
          <w:lang w:val="es"/>
        </w:rPr>
        <w:t xml:space="preserve">, </w:t>
      </w:r>
      <w:hyperlink w:anchor="port48" w:history="1">
        <w:r>
          <w:rPr>
            <w:rStyle w:val="Hyperlink"/>
            <w:rFonts w:ascii="Arial" w:hAnsi="Arial" w:cs="Arial"/>
            <w:sz w:val="22"/>
            <w:szCs w:val="22"/>
            <w:lang w:val="es"/>
          </w:rPr>
          <w:t>Portugal</w:t>
        </w:r>
      </w:hyperlink>
      <w:r>
        <w:rPr>
          <w:rFonts w:ascii="Arial" w:hAnsi="Arial" w:cs="Arial"/>
          <w:sz w:val="22"/>
          <w:szCs w:val="22"/>
          <w:lang w:val="es"/>
        </w:rPr>
        <w:t xml:space="preserve">, </w:t>
      </w:r>
      <w:hyperlink w:anchor="rok48" w:history="1">
        <w:r>
          <w:rPr>
            <w:rStyle w:val="Hyperlink"/>
            <w:rFonts w:ascii="Arial" w:hAnsi="Arial" w:cs="Arial"/>
            <w:sz w:val="22"/>
            <w:szCs w:val="22"/>
            <w:lang w:val="es"/>
          </w:rPr>
          <w:t>República de Corea</w:t>
        </w:r>
      </w:hyperlink>
      <w:r>
        <w:rPr>
          <w:rFonts w:ascii="Arial" w:hAnsi="Arial" w:cs="Arial"/>
          <w:sz w:val="22"/>
          <w:szCs w:val="22"/>
          <w:lang w:val="es"/>
        </w:rPr>
        <w:t xml:space="preserve">, </w:t>
      </w:r>
      <w:hyperlink w:anchor="rus48"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a48" w:history="1">
        <w:r>
          <w:rPr>
            <w:rStyle w:val="Hyperlink"/>
            <w:rFonts w:ascii="Arial" w:hAnsi="Arial" w:cs="Arial"/>
            <w:sz w:val="22"/>
            <w:szCs w:val="22"/>
            <w:lang w:val="es"/>
          </w:rPr>
          <w:t>Sudáfrica</w:t>
        </w:r>
      </w:hyperlink>
      <w:r>
        <w:rPr>
          <w:rFonts w:ascii="Arial" w:hAnsi="Arial" w:cs="Arial"/>
          <w:sz w:val="22"/>
          <w:szCs w:val="22"/>
          <w:lang w:val="es"/>
        </w:rPr>
        <w:t xml:space="preserve">, </w:t>
      </w:r>
      <w:hyperlink w:anchor="spain48"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thai48" w:history="1">
        <w:r>
          <w:rPr>
            <w:rStyle w:val="Hyperlink"/>
            <w:rFonts w:ascii="Arial" w:hAnsi="Arial" w:cs="Arial"/>
            <w:sz w:val="22"/>
            <w:szCs w:val="22"/>
            <w:lang w:val="es"/>
          </w:rPr>
          <w:t>Tailandia</w:t>
        </w:r>
      </w:hyperlink>
      <w:r>
        <w:rPr>
          <w:rFonts w:ascii="Arial" w:hAnsi="Arial" w:cs="Arial"/>
          <w:sz w:val="22"/>
          <w:szCs w:val="22"/>
          <w:lang w:val="es"/>
        </w:rPr>
        <w:t xml:space="preserve">, </w:t>
      </w:r>
      <w:hyperlink w:anchor="turk48" w:history="1">
        <w:r>
          <w:rPr>
            <w:rStyle w:val="Hyperlink"/>
            <w:rFonts w:ascii="Arial" w:hAnsi="Arial" w:cs="Arial"/>
            <w:sz w:val="22"/>
            <w:szCs w:val="22"/>
            <w:lang w:val="es"/>
          </w:rPr>
          <w:t>Turquía</w:t>
        </w:r>
      </w:hyperlink>
      <w:r>
        <w:rPr>
          <w:rFonts w:ascii="Arial" w:hAnsi="Arial" w:cs="Arial"/>
          <w:sz w:val="22"/>
          <w:szCs w:val="22"/>
          <w:lang w:val="es"/>
        </w:rPr>
        <w:t xml:space="preserve">, </w:t>
      </w:r>
      <w:hyperlink w:anchor="uk48" w:history="1">
        <w:r>
          <w:rPr>
            <w:rStyle w:val="Hyperlink"/>
            <w:rFonts w:ascii="Arial" w:hAnsi="Arial" w:cs="Arial"/>
            <w:sz w:val="22"/>
            <w:szCs w:val="22"/>
            <w:lang w:val="es"/>
          </w:rPr>
          <w:t>Reino Unido de Gran Bretaña e Irlanda del Norte</w:t>
        </w:r>
      </w:hyperlink>
      <w:r>
        <w:rPr>
          <w:rFonts w:ascii="Arial" w:hAnsi="Arial" w:cs="Arial"/>
          <w:sz w:val="22"/>
          <w:szCs w:val="22"/>
          <w:lang w:val="es"/>
        </w:rPr>
        <w:t xml:space="preserve">, </w:t>
      </w:r>
      <w:hyperlink w:anchor="usa48" w:history="1">
        <w:r>
          <w:rPr>
            <w:rStyle w:val="Hyperlink"/>
            <w:rFonts w:ascii="Arial" w:hAnsi="Arial" w:cs="Arial"/>
            <w:sz w:val="22"/>
            <w:szCs w:val="22"/>
            <w:lang w:val="es"/>
          </w:rPr>
          <w:t>Estados Unidos de América</w:t>
        </w:r>
      </w:hyperlink>
      <w:r>
        <w:rPr>
          <w:rFonts w:ascii="Arial" w:hAnsi="Arial" w:cs="Arial"/>
          <w:sz w:val="22"/>
          <w:szCs w:val="22"/>
          <w:lang w:val="es"/>
        </w:rPr>
        <w:t xml:space="preserve">, </w:t>
      </w:r>
      <w:hyperlink w:anchor="pices48" w:history="1">
        <w:r>
          <w:rPr>
            <w:rStyle w:val="Hyperlink"/>
            <w:rFonts w:ascii="Arial" w:hAnsi="Arial" w:cs="Arial"/>
            <w:sz w:val="22"/>
            <w:szCs w:val="22"/>
            <w:lang w:val="es"/>
          </w:rPr>
          <w:t>PICES</w:t>
        </w:r>
      </w:hyperlink>
      <w:r>
        <w:rPr>
          <w:rFonts w:ascii="Arial" w:hAnsi="Arial" w:cs="Arial"/>
          <w:sz w:val="22"/>
          <w:szCs w:val="22"/>
          <w:lang w:val="es"/>
        </w:rPr>
        <w:t xml:space="preserve"> y </w:t>
      </w:r>
      <w:hyperlink w:anchor="scor48" w:history="1">
        <w:r>
          <w:rPr>
            <w:rStyle w:val="Hyperlink"/>
            <w:rFonts w:ascii="Arial" w:hAnsi="Arial" w:cs="Arial"/>
            <w:sz w:val="22"/>
            <w:szCs w:val="22"/>
            <w:lang w:val="es"/>
          </w:rPr>
          <w:t>SCOR</w:t>
        </w:r>
      </w:hyperlink>
      <w:r>
        <w:rPr>
          <w:rFonts w:ascii="Arial" w:hAnsi="Arial" w:cs="Arial"/>
          <w:sz w:val="22"/>
          <w:szCs w:val="22"/>
          <w:lang w:val="es"/>
        </w:rPr>
        <w:t>.</w:t>
      </w:r>
      <w:bookmarkStart w:id="278" w:name="_Hlk136016605"/>
      <w:bookmarkEnd w:id="276"/>
    </w:p>
    <w:p w14:paraId="6FE400E6" w14:textId="0AD310B3" w:rsidR="008158AA" w:rsidRPr="006C41C4" w:rsidRDefault="008D7C7D" w:rsidP="00547D9B">
      <w:pPr>
        <w:pStyle w:val="ListParagraph1"/>
        <w:widowControl/>
        <w:numPr>
          <w:ilvl w:val="0"/>
          <w:numId w:val="8"/>
        </w:numPr>
        <w:tabs>
          <w:tab w:val="left" w:pos="851"/>
        </w:tabs>
        <w:snapToGrid w:val="0"/>
        <w:ind w:left="0" w:firstLine="0"/>
        <w:contextualSpacing w:val="0"/>
        <w:rPr>
          <w:sz w:val="22"/>
          <w:szCs w:val="22"/>
          <w:lang w:val="es-ES"/>
        </w:rPr>
      </w:pPr>
      <w:r>
        <w:rPr>
          <w:rFonts w:asciiTheme="minorBidi" w:hAnsiTheme="minorBidi" w:cstheme="minorBidi"/>
          <w:sz w:val="22"/>
          <w:szCs w:val="22"/>
          <w:lang w:val="es"/>
        </w:rPr>
        <w:t xml:space="preserve">La Asamblea aprobó la </w:t>
      </w:r>
      <w:r>
        <w:rPr>
          <w:rFonts w:asciiTheme="minorBidi" w:hAnsiTheme="minorBidi" w:cstheme="minorBidi"/>
          <w:sz w:val="22"/>
          <w:szCs w:val="22"/>
          <w:u w:val="single"/>
          <w:lang w:val="es"/>
        </w:rPr>
        <w:t>Resolución A-33/2 de la COI</w:t>
      </w:r>
      <w:r>
        <w:rPr>
          <w:rFonts w:asciiTheme="minorBidi" w:hAnsiTheme="minorBidi" w:cstheme="minorBidi"/>
          <w:sz w:val="22"/>
          <w:szCs w:val="22"/>
          <w:lang w:val="es"/>
        </w:rPr>
        <w:t xml:space="preserve"> "</w:t>
      </w:r>
      <w:r>
        <w:rPr>
          <w:rFonts w:asciiTheme="minorBidi" w:hAnsiTheme="minorBidi" w:cstheme="minorBidi"/>
          <w:i/>
          <w:iCs/>
          <w:sz w:val="22"/>
          <w:szCs w:val="22"/>
          <w:lang w:val="es"/>
        </w:rPr>
        <w:t>Ejecución del Decenio de las Naciones Unidas de las Ciencias Oceánicas para el Desarrollo Sostenible (2021-2030)"</w:t>
      </w:r>
      <w:r>
        <w:rPr>
          <w:rFonts w:asciiTheme="minorBidi" w:hAnsiTheme="minorBidi" w:cstheme="minorBidi"/>
          <w:sz w:val="22"/>
          <w:szCs w:val="22"/>
          <w:lang w:val="es"/>
        </w:rPr>
        <w:t xml:space="preserve"> presentada por Mónaco, Marruecos, Portugal y España.</w:t>
      </w:r>
    </w:p>
    <w:p w14:paraId="263A12CA" w14:textId="557179FA" w:rsidR="00DF2EE7" w:rsidRPr="00AE71B5" w:rsidRDefault="00BD3985" w:rsidP="00B21807">
      <w:pPr>
        <w:pStyle w:val="Heading1"/>
        <w:numPr>
          <w:ilvl w:val="0"/>
          <w:numId w:val="21"/>
        </w:numPr>
        <w:tabs>
          <w:tab w:val="clear" w:pos="567"/>
        </w:tabs>
        <w:spacing w:before="360"/>
        <w:ind w:left="851" w:hanging="851"/>
        <w:rPr>
          <w:b w:val="0"/>
          <w:bCs w:val="0"/>
          <w:sz w:val="20"/>
          <w:szCs w:val="20"/>
        </w:rPr>
      </w:pPr>
      <w:bookmarkStart w:id="279" w:name="_Toc197955136"/>
      <w:bookmarkStart w:id="280" w:name="_Toc190766993"/>
      <w:bookmarkStart w:id="281" w:name="_Toc134002396"/>
      <w:bookmarkStart w:id="282" w:name="_Toc134002222"/>
      <w:bookmarkStart w:id="283" w:name="_Toc131777767"/>
      <w:bookmarkStart w:id="284" w:name="_Toc212133532"/>
      <w:bookmarkEnd w:id="278"/>
      <w:r>
        <w:rPr>
          <w:lang w:val="es"/>
        </w:rPr>
        <w:t>GOBERNANZA, PROGRAMACIÓN Y PRESUPUESTACIÓN</w:t>
      </w:r>
      <w:bookmarkEnd w:id="279"/>
      <w:bookmarkEnd w:id="280"/>
      <w:bookmarkEnd w:id="281"/>
      <w:bookmarkEnd w:id="282"/>
      <w:bookmarkEnd w:id="283"/>
      <w:bookmarkEnd w:id="284"/>
    </w:p>
    <w:p w14:paraId="1CEF9704" w14:textId="06AF1DDB" w:rsidR="004156F9" w:rsidRPr="006C41C4" w:rsidRDefault="00761346" w:rsidP="00547D9B">
      <w:pPr>
        <w:pStyle w:val="Heading2"/>
        <w:numPr>
          <w:ilvl w:val="1"/>
          <w:numId w:val="13"/>
        </w:numPr>
        <w:tabs>
          <w:tab w:val="clear" w:pos="737"/>
        </w:tabs>
        <w:ind w:left="851" w:hanging="851"/>
        <w:rPr>
          <w:lang w:val="es-ES"/>
        </w:rPr>
      </w:pPr>
      <w:bookmarkStart w:id="285" w:name="_Toc190766994"/>
      <w:bookmarkStart w:id="286" w:name="_Toc197955137"/>
      <w:bookmarkStart w:id="287" w:name="_Toc212133533"/>
      <w:r>
        <w:rPr>
          <w:rFonts w:cs="Arial"/>
          <w:bCs w:val="0"/>
          <w:color w:val="000000"/>
          <w:szCs w:val="22"/>
          <w:lang w:val="es"/>
        </w:rPr>
        <w:t xml:space="preserve">PROYECTO DE PROGRAMA Y PRESUPUESTO PARA 2026-2029 </w:t>
      </w:r>
      <w:r>
        <w:rPr>
          <w:rFonts w:cs="Arial"/>
          <w:bCs w:val="0"/>
          <w:color w:val="000000"/>
          <w:szCs w:val="22"/>
          <w:lang w:val="es"/>
        </w:rPr>
        <w:br/>
        <w:t>(PROYECTO 43 C/5, PRIMER BIENIO DEL CUATRIENIO 2026-2029)</w:t>
      </w:r>
      <w:bookmarkEnd w:id="285"/>
      <w:bookmarkEnd w:id="286"/>
      <w:bookmarkEnd w:id="287"/>
    </w:p>
    <w:p w14:paraId="135497E3" w14:textId="7D615B16" w:rsidR="00C71E70" w:rsidRPr="006C41C4" w:rsidRDefault="00E579F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presentó este punto junto con su informe a la Asamblea (ver el resumen de los debates en el punto 3.2 del orden del día). </w:t>
      </w:r>
    </w:p>
    <w:p w14:paraId="0CA28D04" w14:textId="7CA9D07D" w:rsidR="00A370E4" w:rsidRPr="006C41C4"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destacó que, al elaborar sus propuestas de planes de trabajo detallados para el primer bienio del último cuatrienio de su actual Estrategia a Plazo Medio (2022-2029), la Secretaría se guiaba por la declaración de misión, la visión y los objetivos de alto nivel de la Comisión y las Resoluciones A-32/4 y EC-57/4 de la COI sobre las prioridades presupuestarias. </w:t>
      </w:r>
    </w:p>
    <w:p w14:paraId="53087A8A" w14:textId="4789B43B" w:rsidR="00A370E4" w:rsidRPr="006C41C4"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Este programa se sitúa en un momento crítico de la segunda mitad de la ejecución del Decenio del Océano y la línea de meta de los ODS de la Agenda 2030. Se basa en los resultados iniciales de la Fase 1 del proceso de consulta en curso "La COI y el Futuro del Océano", que está determinando la evolución de las necesidades de los Estados Miembros en respuesta a los rápidos cambios en el estado de los océanos, la dinámica gobernanza mundial de los océanos y el panorama político, y una mayor atención de la COI a la aplicación de la ciencia y el conocimiento para la toma de decisiones. </w:t>
      </w:r>
    </w:p>
    <w:p w14:paraId="6B298B5C" w14:textId="644006FE" w:rsidR="00A370E4" w:rsidRPr="006C41C4" w:rsidRDefault="00A370E4" w:rsidP="00547D9B">
      <w:pPr>
        <w:pStyle w:val="ListParagraph1"/>
        <w:widowControl/>
        <w:numPr>
          <w:ilvl w:val="0"/>
          <w:numId w:val="8"/>
        </w:numPr>
        <w:tabs>
          <w:tab w:val="left" w:pos="868"/>
        </w:tabs>
        <w:snapToGrid w:val="0"/>
        <w:spacing w:after="120"/>
        <w:ind w:left="0" w:firstLine="0"/>
        <w:contextualSpacing w:val="0"/>
        <w:rPr>
          <w:rFonts w:ascii="Arial" w:hAnsi="Arial" w:cs="Arial"/>
          <w:sz w:val="22"/>
          <w:szCs w:val="22"/>
          <w:lang w:val="es-ES"/>
        </w:rPr>
      </w:pPr>
      <w:r>
        <w:rPr>
          <w:rFonts w:ascii="Arial" w:hAnsi="Arial" w:cs="Arial"/>
          <w:sz w:val="22"/>
          <w:szCs w:val="22"/>
          <w:lang w:val="es"/>
        </w:rPr>
        <w:t xml:space="preserve">En este contexto, y a la espera del resultado de la consulta antes mencionada que aportará más información al proceso y podrá introducir ajustes en las futuras reuniones de los órganos rectores, se propone que la labor de la COI en el primer bienio del 43 C/5 se centre en la consecución de los resultados de la COI: </w:t>
      </w:r>
    </w:p>
    <w:p w14:paraId="6D6C87EA" w14:textId="09DD80AB" w:rsidR="00A370E4" w:rsidRPr="006C41C4" w:rsidRDefault="00A370E4" w:rsidP="00547D9B">
      <w:pPr>
        <w:pStyle w:val="ListParagraph1"/>
        <w:numPr>
          <w:ilvl w:val="0"/>
          <w:numId w:val="15"/>
        </w:numPr>
        <w:spacing w:after="120"/>
        <w:ind w:left="1418" w:hanging="567"/>
        <w:contextualSpacing w:val="0"/>
        <w:rPr>
          <w:rFonts w:ascii="Arial" w:hAnsi="Arial" w:cs="Arial"/>
          <w:sz w:val="22"/>
          <w:szCs w:val="22"/>
          <w:lang w:val="es-ES"/>
        </w:rPr>
      </w:pPr>
      <w:r>
        <w:rPr>
          <w:rFonts w:ascii="Arial" w:hAnsi="Arial" w:cs="Arial"/>
          <w:sz w:val="22"/>
          <w:szCs w:val="22"/>
          <w:lang w:val="es"/>
        </w:rPr>
        <w:t xml:space="preserve">los Estados miembros reciben un apoyo crítico para reforzar su capacidad de realizar investigaciones científicas marinas, generar conocimientos y desarrollar y </w:t>
      </w:r>
      <w:r>
        <w:rPr>
          <w:rFonts w:ascii="Arial" w:hAnsi="Arial" w:cs="Arial"/>
          <w:sz w:val="22"/>
          <w:szCs w:val="22"/>
          <w:lang w:val="es"/>
        </w:rPr>
        <w:lastRenderedPageBreak/>
        <w:t>aplicar herramientas, servicios y políticas de base científica con el fin de invertir la tendencia al deterioro de la salud de los océanos y acelerar la transición hacia una gestión sostenible de los riesgos y oportunidades relacionados con los océanos",</w:t>
      </w:r>
    </w:p>
    <w:p w14:paraId="77A7008F" w14:textId="1F643573" w:rsidR="00A370E4" w:rsidRPr="006C41C4" w:rsidRDefault="00B051AD" w:rsidP="00B21807">
      <w:pPr>
        <w:pStyle w:val="ListParagraph1"/>
        <w:widowControl/>
        <w:numPr>
          <w:ilvl w:val="0"/>
          <w:numId w:val="8"/>
        </w:numPr>
        <w:tabs>
          <w:tab w:val="left" w:pos="851"/>
        </w:tabs>
        <w:snapToGrid w:val="0"/>
        <w:spacing w:after="120"/>
        <w:ind w:left="0" w:firstLine="0"/>
        <w:contextualSpacing w:val="0"/>
        <w:rPr>
          <w:rFonts w:ascii="Arial" w:hAnsi="Arial" w:cs="Arial"/>
          <w:sz w:val="22"/>
          <w:szCs w:val="22"/>
          <w:lang w:val="es-ES"/>
        </w:rPr>
      </w:pPr>
      <w:r>
        <w:rPr>
          <w:rFonts w:ascii="Arial" w:hAnsi="Arial" w:cs="Arial"/>
          <w:sz w:val="22"/>
          <w:szCs w:val="22"/>
          <w:lang w:val="es"/>
        </w:rPr>
        <w:t>Y dar prioridad a las áreas de acción clave:</w:t>
      </w:r>
    </w:p>
    <w:p w14:paraId="4EAEAF6F" w14:textId="77777777" w:rsidR="00A370E4" w:rsidRPr="006C41C4" w:rsidRDefault="00A370E4" w:rsidP="00547D9B">
      <w:pPr>
        <w:pStyle w:val="ListParagraph1"/>
        <w:numPr>
          <w:ilvl w:val="0"/>
          <w:numId w:val="15"/>
        </w:numPr>
        <w:spacing w:after="120"/>
        <w:ind w:left="1418" w:hanging="567"/>
        <w:contextualSpacing w:val="0"/>
        <w:rPr>
          <w:rFonts w:ascii="Arial" w:hAnsi="Arial" w:cs="Arial"/>
          <w:sz w:val="22"/>
          <w:szCs w:val="22"/>
          <w:lang w:val="es-ES"/>
        </w:rPr>
      </w:pPr>
      <w:r>
        <w:rPr>
          <w:rFonts w:ascii="Arial" w:hAnsi="Arial" w:cs="Arial"/>
          <w:sz w:val="22"/>
          <w:szCs w:val="22"/>
          <w:lang w:val="es"/>
        </w:rPr>
        <w:t xml:space="preserve">Ampliar y mantener la infraestructura del Sistema Mundial de Observación de los Océanos (GOOS) para responder a las necesidades de los usuarios, incluidas las de los propios Estados Miembros, y proporcionar datos e información en apoyo de la aplicación de los convenios y marcos de las Naciones Unidas, en particular en relación con el clima, la biodiversidad y la salud de los océanos. </w:t>
      </w:r>
    </w:p>
    <w:p w14:paraId="1E8D117D" w14:textId="77777777" w:rsidR="00A370E4" w:rsidRPr="006C41C4" w:rsidRDefault="00A370E4" w:rsidP="00547D9B">
      <w:pPr>
        <w:pStyle w:val="ListParagraph1"/>
        <w:numPr>
          <w:ilvl w:val="0"/>
          <w:numId w:val="15"/>
        </w:numPr>
        <w:spacing w:after="120"/>
        <w:ind w:left="1418" w:hanging="567"/>
        <w:contextualSpacing w:val="0"/>
        <w:rPr>
          <w:rFonts w:ascii="Arial" w:hAnsi="Arial" w:cs="Arial"/>
          <w:sz w:val="22"/>
          <w:szCs w:val="22"/>
          <w:lang w:val="es-ES"/>
        </w:rPr>
      </w:pPr>
      <w:r>
        <w:rPr>
          <w:rFonts w:ascii="Arial" w:hAnsi="Arial" w:cs="Arial"/>
          <w:sz w:val="22"/>
          <w:szCs w:val="22"/>
          <w:lang w:val="es"/>
        </w:rPr>
        <w:t xml:space="preserve">Ampliar el Sistema de Datos e Información Oceanográficos (ODIS) para lograr una cobertura mundial, y poner en funcionamiento una arquitectura coordinada de datos de la COI. </w:t>
      </w:r>
    </w:p>
    <w:p w14:paraId="24E4ABEC" w14:textId="77777777" w:rsidR="00A370E4" w:rsidRPr="006C41C4" w:rsidRDefault="00A370E4" w:rsidP="00547D9B">
      <w:pPr>
        <w:pStyle w:val="ListParagraph1"/>
        <w:numPr>
          <w:ilvl w:val="0"/>
          <w:numId w:val="15"/>
        </w:numPr>
        <w:spacing w:after="120"/>
        <w:ind w:left="1418" w:hanging="567"/>
        <w:contextualSpacing w:val="0"/>
        <w:rPr>
          <w:rFonts w:ascii="Arial" w:hAnsi="Arial" w:cs="Arial"/>
          <w:sz w:val="22"/>
          <w:szCs w:val="22"/>
          <w:lang w:val="es-ES"/>
        </w:rPr>
      </w:pPr>
      <w:r>
        <w:rPr>
          <w:rFonts w:ascii="Arial" w:hAnsi="Arial" w:cs="Arial"/>
          <w:sz w:val="22"/>
          <w:szCs w:val="22"/>
          <w:lang w:val="es"/>
        </w:rPr>
        <w:t xml:space="preserve">Fortalecer la coordinación en relación con la biodiversidad marina para prestar un mejor apoyo a los Estados Miembros en el cumplimiento de los compromisos de aplicación del Marco Mundial sobre Biodiversidad de Kunming-Montreal y el Acuerdo BBNJ, así como los marcos políticos regionales. </w:t>
      </w:r>
    </w:p>
    <w:p w14:paraId="73A44975" w14:textId="7FCE3E33" w:rsidR="00A370E4" w:rsidRPr="006C41C4" w:rsidRDefault="00A370E4" w:rsidP="00547D9B">
      <w:pPr>
        <w:pStyle w:val="ListParagraph1"/>
        <w:numPr>
          <w:ilvl w:val="0"/>
          <w:numId w:val="15"/>
        </w:numPr>
        <w:spacing w:after="120"/>
        <w:ind w:left="1418" w:hanging="567"/>
        <w:contextualSpacing w:val="0"/>
        <w:rPr>
          <w:rFonts w:ascii="Arial" w:hAnsi="Arial" w:cs="Arial"/>
          <w:sz w:val="22"/>
          <w:szCs w:val="22"/>
          <w:lang w:val="es-ES"/>
        </w:rPr>
      </w:pPr>
      <w:r>
        <w:rPr>
          <w:rFonts w:ascii="Arial" w:hAnsi="Arial" w:cs="Arial"/>
          <w:sz w:val="22"/>
          <w:szCs w:val="22"/>
          <w:lang w:val="es"/>
        </w:rPr>
        <w:t>Fomentar el logro del objetivo del Programa de Tsunamis de que el 100% de las comunidades en riesgo estén preparadas para los tsunamis e iniciar la planificación y aplicación de sistemas más amplios de alerta temprana de riesgos múltiples para apoyar la resiliencia climática, la gestión sostenible de la biodiversidad y los ecosistemas, y la seguridad alimentaria.</w:t>
      </w:r>
    </w:p>
    <w:p w14:paraId="00A30DB6" w14:textId="77777777" w:rsidR="00A370E4" w:rsidRPr="006C41C4" w:rsidRDefault="00A370E4" w:rsidP="00547D9B">
      <w:pPr>
        <w:pStyle w:val="ListParagraph1"/>
        <w:numPr>
          <w:ilvl w:val="0"/>
          <w:numId w:val="15"/>
        </w:numPr>
        <w:spacing w:after="120"/>
        <w:ind w:left="1418" w:hanging="567"/>
        <w:contextualSpacing w:val="0"/>
        <w:rPr>
          <w:rFonts w:ascii="Arial" w:hAnsi="Arial" w:cs="Arial"/>
          <w:sz w:val="22"/>
          <w:szCs w:val="22"/>
          <w:lang w:val="es-ES"/>
        </w:rPr>
      </w:pPr>
      <w:r>
        <w:rPr>
          <w:rFonts w:ascii="Arial" w:hAnsi="Arial" w:cs="Arial"/>
          <w:sz w:val="22"/>
          <w:szCs w:val="22"/>
          <w:lang w:val="es"/>
        </w:rPr>
        <w:t xml:space="preserve">Apoyar la planificación y gestión sostenibles de los océanos, entre otras cosas reforzando los mecanismos regionales de ejecución y actuando como socio mundial en materia de conocimientos para cumplir los compromisos de los Estados Miembros de elaborar y aplicar planes oceánicos sostenibles. </w:t>
      </w:r>
    </w:p>
    <w:p w14:paraId="0A51AA81" w14:textId="38CB7EA4" w:rsidR="00A370E4" w:rsidRPr="006C41C4" w:rsidRDefault="00A370E4" w:rsidP="00547D9B">
      <w:pPr>
        <w:pStyle w:val="ListParagraph1"/>
        <w:numPr>
          <w:ilvl w:val="0"/>
          <w:numId w:val="15"/>
        </w:numPr>
        <w:spacing w:after="120"/>
        <w:ind w:left="1418" w:hanging="567"/>
        <w:contextualSpacing w:val="0"/>
        <w:rPr>
          <w:rFonts w:ascii="Arial" w:hAnsi="Arial" w:cs="Arial"/>
          <w:sz w:val="22"/>
          <w:szCs w:val="22"/>
          <w:lang w:val="es-ES"/>
        </w:rPr>
      </w:pPr>
      <w:r>
        <w:rPr>
          <w:rFonts w:ascii="Arial" w:hAnsi="Arial" w:cs="Arial"/>
          <w:sz w:val="22"/>
          <w:szCs w:val="22"/>
          <w:lang w:val="es"/>
        </w:rPr>
        <w:t>Aumentar la capacidad de los Estados Miembros para participar en los programas de la COI y beneficiarse de ellos, con especial atención a África y los PEID.</w:t>
      </w:r>
    </w:p>
    <w:p w14:paraId="7A06D0DB" w14:textId="77777777" w:rsidR="00A370E4" w:rsidRPr="006C41C4" w:rsidRDefault="00A370E4" w:rsidP="00547D9B">
      <w:pPr>
        <w:pStyle w:val="ListParagraph1"/>
        <w:widowControl/>
        <w:numPr>
          <w:ilvl w:val="0"/>
          <w:numId w:val="15"/>
        </w:numPr>
        <w:spacing w:after="120"/>
        <w:ind w:left="1418" w:hanging="567"/>
        <w:contextualSpacing w:val="0"/>
        <w:rPr>
          <w:rFonts w:ascii="Arial" w:hAnsi="Arial" w:cs="Arial"/>
          <w:sz w:val="22"/>
          <w:szCs w:val="22"/>
          <w:lang w:val="es-ES"/>
        </w:rPr>
      </w:pPr>
      <w:r>
        <w:rPr>
          <w:rFonts w:ascii="Arial" w:hAnsi="Arial" w:cs="Arial"/>
          <w:sz w:val="22"/>
          <w:szCs w:val="22"/>
          <w:lang w:val="es"/>
        </w:rPr>
        <w:t xml:space="preserve">Mejorar la ejecución del Decenio del Océano para reforzar la repercusión colectiva de los programas y proyectos del Decenio dirigidos por la COI y sus asociados a fin de fundamentar la toma de decisiones de la sociedad a todas las escalas y sentar las bases del legado del Decenio después de 2030. </w:t>
      </w:r>
    </w:p>
    <w:p w14:paraId="72875D86" w14:textId="77777777" w:rsidR="00A370E4" w:rsidRPr="006C41C4" w:rsidRDefault="00A370E4" w:rsidP="00547D9B">
      <w:pPr>
        <w:pStyle w:val="ListParagraph1"/>
        <w:numPr>
          <w:ilvl w:val="0"/>
          <w:numId w:val="15"/>
        </w:numPr>
        <w:spacing w:after="240"/>
        <w:ind w:left="1418" w:hanging="567"/>
        <w:contextualSpacing w:val="0"/>
        <w:rPr>
          <w:rFonts w:ascii="Arial" w:hAnsi="Arial" w:cs="Arial"/>
          <w:sz w:val="22"/>
          <w:szCs w:val="22"/>
          <w:lang w:val="es-ES"/>
        </w:rPr>
      </w:pPr>
      <w:r>
        <w:rPr>
          <w:rFonts w:ascii="Arial" w:hAnsi="Arial" w:cs="Arial"/>
          <w:sz w:val="22"/>
          <w:szCs w:val="22"/>
          <w:lang w:val="es"/>
        </w:rPr>
        <w:t>contribución a los resultados intersectoriales de la UNESCO sobre educación medioambiental y alerta temprana para todos, con especial atención a los PEID.</w:t>
      </w:r>
    </w:p>
    <w:p w14:paraId="3A0047A9" w14:textId="2745D300" w:rsidR="00A370E4" w:rsidRPr="006C41C4"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trabajo en estos ámbitos de acción se basará en datos sobre los beneficios sociales y económicos de la inversión en ciencias oceánicas y se apoyará en acciones transversales de desarrollo de capacidades, alfabetización oceánica y comunicaciones estratégicas. Los productos de evaluación y síntesis de conocimientos dirigidos por la COI, así como las contribuciones de la COI a productos dirigidos por socios, serán elementos clave del trabajo para suministrar información mundial y regional a través de la interfaz ciencia-política-sociedad. Las acciones se adaptarán a las necesidades regionales y se centrarán específicamente en grupos prioritarios como África, los PEID y los profesionales de los océanos que inician su carrera. Se seguirán reforzando las asociaciones dentro y fuera del sistema de las Naciones Unidas para garantizar una ejecución eficaz de la labor de la COI. </w:t>
      </w:r>
    </w:p>
    <w:p w14:paraId="37C9EDBF" w14:textId="5A1733E8" w:rsidR="00A370E4" w:rsidRPr="006C41C4" w:rsidRDefault="00A370E4" w:rsidP="00547D9B">
      <w:pPr>
        <w:pStyle w:val="ListParagraph1"/>
        <w:widowControl/>
        <w:numPr>
          <w:ilvl w:val="0"/>
          <w:numId w:val="8"/>
        </w:numPr>
        <w:tabs>
          <w:tab w:val="left" w:pos="851"/>
        </w:tabs>
        <w:snapToGrid w:val="0"/>
        <w:spacing w:after="120"/>
        <w:ind w:left="0" w:firstLine="0"/>
        <w:contextualSpacing w:val="0"/>
        <w:rPr>
          <w:rFonts w:ascii="Arial" w:hAnsi="Arial" w:cs="Arial"/>
          <w:sz w:val="22"/>
          <w:szCs w:val="22"/>
          <w:lang w:val="es-ES"/>
        </w:rPr>
      </w:pPr>
      <w:r>
        <w:rPr>
          <w:rFonts w:ascii="Arial" w:hAnsi="Arial" w:cs="Arial"/>
          <w:sz w:val="22"/>
          <w:szCs w:val="22"/>
          <w:lang w:val="es"/>
        </w:rPr>
        <w:t xml:space="preserve">En relación con el proyecto de presupuesto 43 C/5,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explicó que el proyecto de presupuesto ordinario de la UNESCO 43 C/5 (contribuciones asignadas a los Estados Miembros) debe tener en cuenta los costes fijos adicionales derivados de decisiones específicas del Consejo Ejecutivo de la UNESCO y de la Conferencia General, así como los ajustes derivados de la inflación, incluidos los aumentos de los costes de personal. Teniendo en cuenta estos costes fijos y la solicitud del Consejo Ejecutivo de la UNESCO de opciones </w:t>
      </w:r>
      <w:r>
        <w:rPr>
          <w:rFonts w:ascii="Arial" w:hAnsi="Arial" w:cs="Arial"/>
          <w:sz w:val="22"/>
          <w:szCs w:val="22"/>
          <w:lang w:val="es"/>
        </w:rPr>
        <w:lastRenderedPageBreak/>
        <w:t>presupuestarias, la UNESCO presentó tres hipótesis para su límite máximo del presupuesto ordinario:</w:t>
      </w:r>
    </w:p>
    <w:p w14:paraId="51EED74A" w14:textId="51255BA4" w:rsidR="00A370E4" w:rsidRPr="006C41C4" w:rsidRDefault="00A370E4" w:rsidP="00547D9B">
      <w:pPr>
        <w:pStyle w:val="ListParagraph1"/>
        <w:numPr>
          <w:ilvl w:val="0"/>
          <w:numId w:val="16"/>
        </w:numPr>
        <w:tabs>
          <w:tab w:val="left" w:pos="709"/>
        </w:tabs>
        <w:spacing w:after="120"/>
        <w:ind w:left="1358" w:hanging="584"/>
        <w:contextualSpacing w:val="0"/>
        <w:rPr>
          <w:rFonts w:ascii="Arial" w:hAnsi="Arial" w:cs="Arial"/>
          <w:sz w:val="22"/>
          <w:szCs w:val="22"/>
          <w:lang w:val="es-ES"/>
        </w:rPr>
      </w:pPr>
      <w:r>
        <w:rPr>
          <w:rFonts w:ascii="Arial" w:hAnsi="Arial" w:cs="Arial"/>
          <w:b/>
          <w:bCs/>
          <w:sz w:val="22"/>
          <w:szCs w:val="22"/>
          <w:lang w:val="es"/>
        </w:rPr>
        <w:t>Escenario 1: Crecimiento Real Cero (CRC)</w:t>
      </w:r>
      <w:r>
        <w:rPr>
          <w:rFonts w:ascii="Arial" w:hAnsi="Arial" w:cs="Arial"/>
          <w:sz w:val="22"/>
          <w:szCs w:val="22"/>
          <w:lang w:val="es"/>
        </w:rPr>
        <w:t xml:space="preserve">, manteniendo un planteamiento fiscal prudente, permitiendo un ajuste parcial para la inflación, al tiempo que se mantiene la restricción presupuestaria general: límite máximo global de la UNESCO de </w:t>
      </w:r>
      <w:r>
        <w:rPr>
          <w:rFonts w:ascii="Arial" w:hAnsi="Arial" w:cs="Arial"/>
          <w:sz w:val="22"/>
          <w:szCs w:val="22"/>
          <w:u w:val="single"/>
          <w:lang w:val="es"/>
        </w:rPr>
        <w:t>719,7 millones de dólares, asignación de la COI de 21 874 400 dólares</w:t>
      </w:r>
      <w:r>
        <w:rPr>
          <w:rFonts w:ascii="Arial" w:hAnsi="Arial" w:cs="Arial"/>
          <w:sz w:val="22"/>
          <w:szCs w:val="22"/>
          <w:lang w:val="es"/>
        </w:rPr>
        <w:t>.</w:t>
      </w:r>
    </w:p>
    <w:p w14:paraId="52C61862" w14:textId="213985B6" w:rsidR="00A370E4" w:rsidRPr="006C41C4" w:rsidRDefault="00A370E4" w:rsidP="00547D9B">
      <w:pPr>
        <w:pStyle w:val="ListParagraph1"/>
        <w:widowControl/>
        <w:numPr>
          <w:ilvl w:val="0"/>
          <w:numId w:val="16"/>
        </w:numPr>
        <w:tabs>
          <w:tab w:val="left" w:pos="709"/>
        </w:tabs>
        <w:spacing w:after="120"/>
        <w:ind w:left="1361" w:hanging="584"/>
        <w:contextualSpacing w:val="0"/>
        <w:rPr>
          <w:rFonts w:ascii="Arial" w:hAnsi="Arial" w:cs="Arial"/>
          <w:sz w:val="22"/>
          <w:szCs w:val="22"/>
          <w:lang w:val="es-ES"/>
        </w:rPr>
      </w:pPr>
      <w:r>
        <w:rPr>
          <w:rFonts w:ascii="Arial" w:hAnsi="Arial" w:cs="Arial"/>
          <w:b/>
          <w:bCs/>
          <w:sz w:val="22"/>
          <w:szCs w:val="22"/>
          <w:lang w:val="es"/>
        </w:rPr>
        <w:t>Escenario 2: Crecimiento nominal cero (CNC1</w:t>
      </w:r>
      <w:r>
        <w:rPr>
          <w:rFonts w:ascii="Arial" w:hAnsi="Arial" w:cs="Arial"/>
          <w:sz w:val="22"/>
          <w:szCs w:val="22"/>
          <w:lang w:val="es"/>
        </w:rPr>
        <w:t xml:space="preserve">), manteniendo el nivel nominal del presupuesto ordinario del 42 C/5 con todos los costes fijos y las decisiones de financiación adicionales absorbidas -límite global de la UNESCO de </w:t>
      </w:r>
      <w:r>
        <w:rPr>
          <w:rFonts w:ascii="Arial" w:hAnsi="Arial" w:cs="Arial"/>
          <w:sz w:val="22"/>
          <w:szCs w:val="22"/>
          <w:u w:val="single"/>
          <w:lang w:val="es"/>
        </w:rPr>
        <w:t>685,4 millones de dólares, consignación de la COI de 20 707 320 dólares</w:t>
      </w:r>
      <w:r>
        <w:rPr>
          <w:rFonts w:ascii="Arial" w:hAnsi="Arial" w:cs="Arial"/>
          <w:sz w:val="22"/>
          <w:szCs w:val="22"/>
          <w:lang w:val="es"/>
        </w:rPr>
        <w:t>.</w:t>
      </w:r>
    </w:p>
    <w:p w14:paraId="14A25407" w14:textId="68ED4F00" w:rsidR="00A370E4" w:rsidRPr="006C41C4" w:rsidRDefault="00A370E4" w:rsidP="00547D9B">
      <w:pPr>
        <w:pStyle w:val="ListParagraph1"/>
        <w:numPr>
          <w:ilvl w:val="0"/>
          <w:numId w:val="16"/>
        </w:numPr>
        <w:tabs>
          <w:tab w:val="left" w:pos="709"/>
        </w:tabs>
        <w:spacing w:after="240"/>
        <w:ind w:left="1361" w:hanging="584"/>
        <w:contextualSpacing w:val="0"/>
        <w:rPr>
          <w:rFonts w:ascii="Arial" w:hAnsi="Arial" w:cs="Arial"/>
          <w:sz w:val="22"/>
          <w:szCs w:val="22"/>
          <w:lang w:val="es-ES"/>
        </w:rPr>
      </w:pPr>
      <w:r>
        <w:rPr>
          <w:rFonts w:ascii="Arial" w:hAnsi="Arial" w:cs="Arial"/>
          <w:b/>
          <w:bCs/>
          <w:sz w:val="22"/>
          <w:szCs w:val="22"/>
          <w:lang w:val="es"/>
        </w:rPr>
        <w:t>Escenario 3: Crecimiento nominal cero (CNC2</w:t>
      </w:r>
      <w:r>
        <w:rPr>
          <w:rFonts w:ascii="Arial" w:hAnsi="Arial" w:cs="Arial"/>
          <w:sz w:val="22"/>
          <w:szCs w:val="22"/>
          <w:lang w:val="es"/>
        </w:rPr>
        <w:t xml:space="preserve">), preservando el nivel nominal del presupuesto ordinario del 42 C/5 con aplazamiento parcial de algunos costes -límite global de la UNESCO de </w:t>
      </w:r>
      <w:r>
        <w:rPr>
          <w:rFonts w:ascii="Arial" w:hAnsi="Arial" w:cs="Arial"/>
          <w:sz w:val="22"/>
          <w:szCs w:val="22"/>
          <w:u w:val="single"/>
          <w:lang w:val="es"/>
        </w:rPr>
        <w:t>685,4 millones de dólares, consignación de la COI de 20 983,999 dólares</w:t>
      </w:r>
      <w:r>
        <w:rPr>
          <w:rFonts w:ascii="Arial" w:hAnsi="Arial" w:cs="Arial"/>
          <w:sz w:val="22"/>
          <w:szCs w:val="22"/>
          <w:lang w:val="es"/>
        </w:rPr>
        <w:t>.</w:t>
      </w:r>
    </w:p>
    <w:p w14:paraId="6E897D17" w14:textId="5E381FD4" w:rsidR="00A370E4" w:rsidRPr="006C41C4"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Dado que las tres hipótesis no prevén nuevos puestos financiados con cargo al presupuesto ordinario, sino que se limitan a cubrir el aumento de los costes de personal estatutario para el mismo número de puestos que en el 42 C/5, muchos ámbitos críticos del trabajo de la Comisión siguen careciendo de personal suficiente, lo que en última instancia afecta a su capacidad para cumplir las expectativas de los Estados Miembros. </w:t>
      </w:r>
    </w:p>
    <w:p w14:paraId="6E80577D" w14:textId="240F5D21" w:rsidR="00A370E4" w:rsidRPr="006C41C4"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El impacto del personal estatutario aumenta con la disminución del presupuesto de actividades en comparación con el 42 C/5, del 4,5 % en la hipótesis CRC, del 17,4% en la CNC1 y del 14,3% en la CNC2.</w:t>
      </w:r>
    </w:p>
    <w:p w14:paraId="146759A6" w14:textId="536211A4" w:rsidR="00A370E4" w:rsidRPr="006C41C4"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Al preparar sus propuestas para las asignaciones del Proyecto de Programa y Presupuesto (43 C/5), la Secretaría se guio por la definición de las prioridades por parte de los Estados Miembros, tal como se refleja en las Resoluciones de la COI </w:t>
      </w:r>
      <w:hyperlink r:id="rId84" w:history="1">
        <w:r>
          <w:rPr>
            <w:rStyle w:val="Hyperlink"/>
            <w:rFonts w:ascii="Arial" w:hAnsi="Arial" w:cs="Arial"/>
            <w:sz w:val="22"/>
            <w:szCs w:val="22"/>
            <w:lang w:val="es"/>
          </w:rPr>
          <w:t>A-32/4</w:t>
        </w:r>
      </w:hyperlink>
      <w:r>
        <w:rPr>
          <w:rFonts w:ascii="Arial" w:hAnsi="Arial" w:cs="Arial"/>
          <w:sz w:val="22"/>
          <w:szCs w:val="22"/>
          <w:lang w:val="es"/>
        </w:rPr>
        <w:t xml:space="preserve"> y </w:t>
      </w:r>
      <w:hyperlink r:id="rId85" w:history="1">
        <w:r>
          <w:rPr>
            <w:rStyle w:val="Hyperlink"/>
            <w:rFonts w:ascii="Arial" w:hAnsi="Arial" w:cs="Arial"/>
            <w:sz w:val="22"/>
            <w:szCs w:val="22"/>
            <w:lang w:val="es"/>
          </w:rPr>
          <w:t>EC-57/2</w:t>
        </w:r>
      </w:hyperlink>
      <w:r>
        <w:rPr>
          <w:rFonts w:ascii="Arial" w:hAnsi="Arial" w:cs="Arial"/>
          <w:sz w:val="22"/>
          <w:szCs w:val="22"/>
          <w:lang w:val="es"/>
        </w:rPr>
        <w:t xml:space="preserve">. </w:t>
      </w:r>
    </w:p>
    <w:p w14:paraId="45EA21E7" w14:textId="3E37585D" w:rsidR="00A370E4" w:rsidRPr="006C41C4"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Dado que todos los escenarios propuestos implican una reducción de la parte del presupuesto no correspondiente al personal (actividades), el recorte generalizado en los dos escenarios de crecimiento nominal cero de la UNESCO mantiene los aumentos proporcionales para el GOOS, el IODE, el Desarrollo de Capacidades y los órganos subsidiarios regionales ya acordados en el 42 C/5 aprobado. </w:t>
      </w:r>
    </w:p>
    <w:p w14:paraId="42238205" w14:textId="03ADFB9C" w:rsidR="00A370E4" w:rsidRPr="006C41C4"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hipótesis de crecimiento real cero permite mantener esos ámbitos "críticamente vulnerables" al mismo nivel presupuestario que en el 42 C/5 aprobado y destinar algunos fondos a la planificación del diseño, el desarrollo y la aplicación de sistemas de alerta contra peligros múltiples coordinados por la COI y a la evolución del Sistema de Mejores Prácticas Oceánicas de la COI, de una actividad basada en proyectos GOOS-IODE a un programa transversal de la COI.  </w:t>
      </w:r>
    </w:p>
    <w:p w14:paraId="39DC7EA0" w14:textId="4D0AA81B" w:rsidR="00A967B2" w:rsidRPr="006C41C4"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también explicó que la Secretaría proyecta 22,3 millones de dólares en contribuciones voluntarias en 2026-2027, es decir, un 18,7 % menos que en el bienio anterior. Esta proyección refleja una evaluación realista de los recursos disponibles y de las capacidades de ejecución de la Secretaría.</w:t>
      </w:r>
    </w:p>
    <w:p w14:paraId="7153F568" w14:textId="1063504C" w:rsidR="00F334B4" w:rsidRPr="006C41C4" w:rsidRDefault="00F334B4"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han optado por dejar constancia de su intervención en el Pleno sobre este punto del orden del día para información: </w:t>
      </w:r>
      <w:hyperlink w:anchor="mon32" w:history="1">
        <w:r>
          <w:rPr>
            <w:rStyle w:val="Hyperlink"/>
            <w:rFonts w:ascii="Arial" w:hAnsi="Arial" w:cs="Arial"/>
            <w:sz w:val="22"/>
            <w:szCs w:val="22"/>
            <w:lang w:val="es"/>
          </w:rPr>
          <w:t>Mónaco</w:t>
        </w:r>
      </w:hyperlink>
      <w:r>
        <w:rPr>
          <w:rFonts w:ascii="Arial" w:hAnsi="Arial" w:cs="Arial"/>
          <w:sz w:val="22"/>
          <w:szCs w:val="22"/>
          <w:lang w:val="es"/>
        </w:rPr>
        <w:t xml:space="preserve">, </w:t>
      </w:r>
      <w:hyperlink w:anchor="norw32" w:history="1">
        <w:r>
          <w:rPr>
            <w:rStyle w:val="Hyperlink"/>
            <w:rFonts w:ascii="Arial" w:hAnsi="Arial" w:cs="Arial"/>
            <w:sz w:val="22"/>
            <w:szCs w:val="22"/>
            <w:lang w:val="es"/>
          </w:rPr>
          <w:t>Noruega</w:t>
        </w:r>
      </w:hyperlink>
      <w:r>
        <w:rPr>
          <w:rFonts w:ascii="Arial" w:hAnsi="Arial" w:cs="Arial"/>
          <w:sz w:val="22"/>
          <w:szCs w:val="22"/>
          <w:lang w:val="es"/>
        </w:rPr>
        <w:t xml:space="preserve">, </w:t>
      </w:r>
      <w:hyperlink w:anchor="port32" w:history="1">
        <w:r>
          <w:rPr>
            <w:rStyle w:val="Hyperlink"/>
            <w:rFonts w:ascii="Arial" w:hAnsi="Arial" w:cs="Arial"/>
            <w:sz w:val="22"/>
            <w:szCs w:val="22"/>
            <w:lang w:val="es"/>
          </w:rPr>
          <w:t>Portugal</w:t>
        </w:r>
      </w:hyperlink>
      <w:r>
        <w:rPr>
          <w:rFonts w:ascii="Arial" w:hAnsi="Arial" w:cs="Arial"/>
          <w:sz w:val="22"/>
          <w:szCs w:val="22"/>
          <w:lang w:val="es"/>
        </w:rPr>
        <w:t xml:space="preserve">, </w:t>
      </w:r>
      <w:hyperlink w:anchor="rus51"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pain32"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thai32" w:history="1">
        <w:r>
          <w:rPr>
            <w:rStyle w:val="Hyperlink"/>
            <w:rFonts w:ascii="Arial" w:hAnsi="Arial" w:cs="Arial"/>
            <w:sz w:val="22"/>
            <w:szCs w:val="22"/>
            <w:lang w:val="es"/>
          </w:rPr>
          <w:t>Tailandia</w:t>
        </w:r>
      </w:hyperlink>
      <w:r>
        <w:rPr>
          <w:rFonts w:ascii="Arial" w:hAnsi="Arial" w:cs="Arial"/>
          <w:sz w:val="22"/>
          <w:szCs w:val="22"/>
          <w:lang w:val="es"/>
        </w:rPr>
        <w:t>.</w:t>
      </w:r>
    </w:p>
    <w:p w14:paraId="320B86F5" w14:textId="083BB9CC" w:rsidR="006A5DB7" w:rsidRPr="006C41C4"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A-33/5.1</w:t>
      </w:r>
      <w:r>
        <w:rPr>
          <w:rFonts w:asciiTheme="minorBidi" w:hAnsiTheme="minorBidi" w:cstheme="minorBidi"/>
          <w:sz w:val="22"/>
          <w:szCs w:val="22"/>
          <w:lang w:val="es"/>
        </w:rPr>
        <w:t>.</w:t>
      </w:r>
    </w:p>
    <w:p w14:paraId="70CF6ACE" w14:textId="38C77399" w:rsidR="00607FF0" w:rsidRPr="006C41C4" w:rsidRDefault="00607FF0" w:rsidP="00547D9B">
      <w:pPr>
        <w:pStyle w:val="Heading2"/>
        <w:numPr>
          <w:ilvl w:val="1"/>
          <w:numId w:val="13"/>
        </w:numPr>
        <w:tabs>
          <w:tab w:val="clear" w:pos="737"/>
        </w:tabs>
        <w:ind w:left="851" w:hanging="851"/>
        <w:rPr>
          <w:rFonts w:cs="Arial"/>
          <w:sz w:val="20"/>
          <w:szCs w:val="20"/>
          <w:lang w:val="es-ES"/>
        </w:rPr>
      </w:pPr>
      <w:bookmarkStart w:id="288" w:name="_Toc212133534"/>
      <w:bookmarkStart w:id="289" w:name="_Toc190766996"/>
      <w:bookmarkStart w:id="290" w:name="_Toc197955139"/>
      <w:bookmarkStart w:id="291" w:name="_Toc131777770"/>
      <w:r>
        <w:rPr>
          <w:rFonts w:cs="Arial"/>
          <w:bCs w:val="0"/>
          <w:szCs w:val="22"/>
          <w:lang w:val="es"/>
        </w:rPr>
        <w:lastRenderedPageBreak/>
        <w:t xml:space="preserve">EVALUACIÓN DE LOS PROCESOS DE GOBERNANZA </w:t>
      </w:r>
      <w:r>
        <w:rPr>
          <w:rFonts w:cs="Arial"/>
          <w:bCs w:val="0"/>
          <w:szCs w:val="22"/>
          <w:lang w:val="es"/>
        </w:rPr>
        <w:br/>
        <w:t>Y GESTIÓN DE LA COI</w:t>
      </w:r>
      <w:bookmarkEnd w:id="288"/>
      <w:r>
        <w:rPr>
          <w:rFonts w:cs="Arial"/>
          <w:bCs w:val="0"/>
          <w:szCs w:val="22"/>
          <w:lang w:val="es"/>
        </w:rPr>
        <w:t xml:space="preserve"> </w:t>
      </w:r>
      <w:bookmarkEnd w:id="289"/>
      <w:bookmarkEnd w:id="290"/>
    </w:p>
    <w:p w14:paraId="3B0F9ABC" w14:textId="4D0C39E4" w:rsidR="007C4712" w:rsidRPr="006C41C4"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presentó brevemente este punto junto con su informe a la Asamblea (ver el resumen de los debates en el punto 3.2 del orden del día). </w:t>
      </w:r>
    </w:p>
    <w:p w14:paraId="2BC6FFE0" w14:textId="6913E39B" w:rsidR="00863E20" w:rsidRPr="006C41C4"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Recordó que el Consejo Ejecutivo de la COI, mediante la Resolución de la COI </w:t>
      </w:r>
      <w:hyperlink r:id="rId86" w:history="1">
        <w:r>
          <w:rPr>
            <w:rStyle w:val="Hyperlink"/>
            <w:rFonts w:ascii="Arial" w:hAnsi="Arial" w:cs="Arial"/>
            <w:sz w:val="22"/>
            <w:szCs w:val="22"/>
            <w:lang w:val="es"/>
          </w:rPr>
          <w:t>EC-57/2</w:t>
        </w:r>
      </w:hyperlink>
      <w:r>
        <w:rPr>
          <w:rFonts w:ascii="Arial" w:hAnsi="Arial" w:cs="Arial"/>
          <w:sz w:val="22"/>
          <w:szCs w:val="22"/>
          <w:lang w:val="es"/>
        </w:rPr>
        <w:t xml:space="preserve"> pidió </w:t>
      </w:r>
      <w:r>
        <w:rPr>
          <w:rFonts w:ascii="Arial" w:hAnsi="Arial" w:cs="Arial"/>
          <w:i/>
          <w:iCs/>
          <w:sz w:val="22"/>
          <w:szCs w:val="22"/>
          <w:lang w:val="es"/>
        </w:rPr>
        <w:t>"al Secretario Ejecutivo de la COI que, en consulta con la Mesa de la Comisión, emprendiera una evaluación externa de los procesos de gobernanza y gestión de la COI, con miras a racionalizar las operaciones y optimizar el uso de los recursos a fin de adecuarlos verdaderamente a los objetivos en respuesta a la rápida evolución del programa relativo a los océanos y a las crecientes demandas de los Estados Miembros y los procesos multilaterales".</w:t>
      </w:r>
    </w:p>
    <w:p w14:paraId="0C52FD22" w14:textId="2D6CC400" w:rsidR="00863E20" w:rsidRPr="006C41C4"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recordó que esta petición de los Estados Miembros debía considerarse en el contexto del aumento considerable del presupuesto ordinario de la COI y de la necesidad de garantizar una ejecución eficiente, eficaz y responsable del mandato y las responsabilidades de la COI, en plena conformidad con los Estatutos de la Comisión.</w:t>
      </w:r>
    </w:p>
    <w:p w14:paraId="4BDC01FC" w14:textId="77777777" w:rsidR="00863E20" w:rsidRPr="006C41C4" w:rsidRDefault="00863E20" w:rsidP="00547D9B">
      <w:pPr>
        <w:pStyle w:val="ListParagraph1"/>
        <w:widowControl/>
        <w:numPr>
          <w:ilvl w:val="0"/>
          <w:numId w:val="8"/>
        </w:numPr>
        <w:tabs>
          <w:tab w:val="left" w:pos="851"/>
        </w:tabs>
        <w:snapToGrid w:val="0"/>
        <w:spacing w:after="240"/>
        <w:ind w:left="0" w:firstLine="0"/>
        <w:contextualSpacing w:val="0"/>
        <w:rPr>
          <w:rFonts w:asciiTheme="minorBidi" w:hAnsiTheme="minorBidi" w:cstheme="minorBidi"/>
          <w:sz w:val="22"/>
          <w:szCs w:val="22"/>
          <w:lang w:val="es-ES"/>
        </w:rPr>
      </w:pPr>
      <w:r>
        <w:rPr>
          <w:rFonts w:ascii="Arial" w:hAnsi="Arial"/>
          <w:sz w:val="22"/>
          <w:szCs w:val="22"/>
          <w:lang w:val="es"/>
        </w:rPr>
        <w:t xml:space="preserve">El alcance de la evaluación llevada a cabo por </w:t>
      </w:r>
      <w:proofErr w:type="spellStart"/>
      <w:r>
        <w:rPr>
          <w:rFonts w:ascii="Arial" w:hAnsi="Arial"/>
          <w:sz w:val="22"/>
          <w:szCs w:val="22"/>
          <w:lang w:val="es"/>
        </w:rPr>
        <w:t>Farman</w:t>
      </w:r>
      <w:proofErr w:type="spellEnd"/>
      <w:r>
        <w:rPr>
          <w:rFonts w:ascii="Arial" w:hAnsi="Arial"/>
          <w:sz w:val="22"/>
          <w:szCs w:val="22"/>
          <w:lang w:val="es"/>
        </w:rPr>
        <w:t xml:space="preserve"> &amp; </w:t>
      </w:r>
      <w:proofErr w:type="spellStart"/>
      <w:r>
        <w:rPr>
          <w:rFonts w:ascii="Arial" w:hAnsi="Arial"/>
          <w:sz w:val="22"/>
          <w:szCs w:val="22"/>
          <w:lang w:val="es"/>
        </w:rPr>
        <w:t>Partners</w:t>
      </w:r>
      <w:proofErr w:type="spellEnd"/>
      <w:r>
        <w:rPr>
          <w:rFonts w:ascii="Arial" w:hAnsi="Arial"/>
          <w:sz w:val="22"/>
          <w:szCs w:val="22"/>
          <w:lang w:val="es"/>
        </w:rPr>
        <w:t xml:space="preserve"> y presentada a la</w:t>
      </w:r>
      <w:r>
        <w:rPr>
          <w:rFonts w:asciiTheme="minorBidi" w:hAnsiTheme="minorBidi"/>
          <w:sz w:val="22"/>
          <w:szCs w:val="22"/>
          <w:lang w:val="es"/>
        </w:rPr>
        <w:t xml:space="preserve"> Asamblea como documento IOC/A-33/5.</w:t>
      </w:r>
      <w:proofErr w:type="gramStart"/>
      <w:r>
        <w:rPr>
          <w:rFonts w:asciiTheme="minorBidi" w:hAnsiTheme="minorBidi"/>
          <w:sz w:val="22"/>
          <w:szCs w:val="22"/>
          <w:lang w:val="es"/>
        </w:rPr>
        <w:t>2.Doc</w:t>
      </w:r>
      <w:proofErr w:type="gramEnd"/>
      <w:r>
        <w:rPr>
          <w:rFonts w:asciiTheme="minorBidi" w:hAnsiTheme="minorBidi"/>
          <w:sz w:val="22"/>
          <w:szCs w:val="22"/>
          <w:lang w:val="es"/>
        </w:rPr>
        <w:t>(1), abarcaba la estructura y los procesos de gobernanza, los procesos de gestión y funcionamiento, el compromiso y la colaboración de las partes interesadas, y la optimización y sostenibilidad de los recursos.</w:t>
      </w:r>
    </w:p>
    <w:p w14:paraId="5E6BE018" w14:textId="097024D7" w:rsidR="00607FF0" w:rsidRPr="006C41C4"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Además de analizar la documentación pertinente, el contratista entrevistó a un grupo geográficamente representativo de 25 cargos electos actuales y pasados de la COI, puntos focales de los Estados Miembros y socios. El informe y sus conclusiones se debatieron en la reunión de la Mesa de la COI de enero de 2025 y fueron discutidos por el Grupo de Asesores Financieros entre reuniones en su tercera reunión en línea del 16 de abril de 2025 y en la reunión presencial del 23 de junio de 2025. El trabajo de IFAG sobre este asunto se comunica a la Asamblea en el Informe del </w:t>
      </w:r>
      <w:proofErr w:type="gramStart"/>
      <w:r>
        <w:rPr>
          <w:rFonts w:asciiTheme="minorBidi" w:hAnsiTheme="minorBidi" w:cstheme="minorBidi"/>
          <w:sz w:val="22"/>
          <w:szCs w:val="22"/>
          <w:lang w:val="es"/>
        </w:rPr>
        <w:t>Presidente</w:t>
      </w:r>
      <w:proofErr w:type="gramEnd"/>
      <w:r>
        <w:rPr>
          <w:rFonts w:asciiTheme="minorBidi" w:hAnsiTheme="minorBidi" w:cstheme="minorBidi"/>
          <w:sz w:val="22"/>
          <w:szCs w:val="22"/>
          <w:lang w:val="es"/>
        </w:rPr>
        <w:t xml:space="preserve"> de IFAG (periodo entre reuniones 2024-2025), documento IOC/A-33/5.</w:t>
      </w:r>
      <w:proofErr w:type="gramStart"/>
      <w:r>
        <w:rPr>
          <w:rFonts w:asciiTheme="minorBidi" w:hAnsiTheme="minorBidi" w:cstheme="minorBidi"/>
          <w:sz w:val="22"/>
          <w:szCs w:val="22"/>
          <w:lang w:val="es"/>
        </w:rPr>
        <w:t>1.Doc</w:t>
      </w:r>
      <w:proofErr w:type="gramEnd"/>
      <w:r>
        <w:rPr>
          <w:rFonts w:asciiTheme="minorBidi" w:hAnsiTheme="minorBidi" w:cstheme="minorBidi"/>
          <w:sz w:val="22"/>
          <w:szCs w:val="22"/>
          <w:lang w:val="es"/>
        </w:rPr>
        <w:t>(2).</w:t>
      </w:r>
    </w:p>
    <w:p w14:paraId="11DC0A96" w14:textId="03AE4DB5" w:rsidR="00607FF0" w:rsidRPr="006C41C4" w:rsidRDefault="00607FF0"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han optado por dejar constancia de su intervención en el pleno sobre este punto del orden del día para el anexo informativo del informe de la reunión: </w:t>
      </w:r>
      <w:hyperlink w:anchor="mon32" w:history="1">
        <w:r>
          <w:rPr>
            <w:rStyle w:val="Hyperlink"/>
            <w:rFonts w:ascii="Arial" w:hAnsi="Arial" w:cs="Arial"/>
            <w:sz w:val="22"/>
            <w:szCs w:val="22"/>
            <w:lang w:val="es"/>
          </w:rPr>
          <w:t>Mónaco</w:t>
        </w:r>
      </w:hyperlink>
      <w:r>
        <w:rPr>
          <w:rFonts w:ascii="Arial" w:hAnsi="Arial" w:cs="Arial"/>
          <w:sz w:val="22"/>
          <w:szCs w:val="22"/>
          <w:lang w:val="es"/>
        </w:rPr>
        <w:t xml:space="preserve">, </w:t>
      </w:r>
      <w:hyperlink w:anchor="norw32" w:history="1">
        <w:r>
          <w:rPr>
            <w:rStyle w:val="Hyperlink"/>
            <w:rFonts w:ascii="Arial" w:hAnsi="Arial" w:cs="Arial"/>
            <w:sz w:val="22"/>
            <w:szCs w:val="22"/>
            <w:lang w:val="es"/>
          </w:rPr>
          <w:t>Noruega</w:t>
        </w:r>
      </w:hyperlink>
      <w:r>
        <w:rPr>
          <w:rFonts w:ascii="Arial" w:hAnsi="Arial" w:cs="Arial"/>
          <w:sz w:val="22"/>
          <w:szCs w:val="22"/>
          <w:lang w:val="es"/>
        </w:rPr>
        <w:t xml:space="preserve">, </w:t>
      </w:r>
      <w:hyperlink w:anchor="port32" w:history="1">
        <w:r>
          <w:rPr>
            <w:rStyle w:val="Hyperlink"/>
            <w:rFonts w:ascii="Arial" w:hAnsi="Arial" w:cs="Arial"/>
            <w:sz w:val="22"/>
            <w:szCs w:val="22"/>
            <w:lang w:val="es"/>
          </w:rPr>
          <w:t>Portugal</w:t>
        </w:r>
      </w:hyperlink>
      <w:r>
        <w:rPr>
          <w:rFonts w:ascii="Arial" w:hAnsi="Arial" w:cs="Arial"/>
          <w:sz w:val="22"/>
          <w:szCs w:val="22"/>
          <w:lang w:val="es"/>
        </w:rPr>
        <w:t xml:space="preserve">, </w:t>
      </w:r>
      <w:hyperlink w:anchor="spain32"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thai32" w:history="1">
        <w:r>
          <w:rPr>
            <w:rStyle w:val="Hyperlink"/>
            <w:rFonts w:ascii="Arial" w:hAnsi="Arial" w:cs="Arial"/>
            <w:sz w:val="22"/>
            <w:szCs w:val="22"/>
            <w:lang w:val="es"/>
          </w:rPr>
          <w:t>Tailandia</w:t>
        </w:r>
      </w:hyperlink>
      <w:r>
        <w:rPr>
          <w:rFonts w:ascii="Arial" w:hAnsi="Arial" w:cs="Arial"/>
          <w:sz w:val="22"/>
          <w:szCs w:val="22"/>
          <w:lang w:val="es"/>
        </w:rPr>
        <w:t>.</w:t>
      </w:r>
    </w:p>
    <w:p w14:paraId="3B9EC88D" w14:textId="3CBC610E" w:rsidR="003B056F" w:rsidRPr="006C41C4" w:rsidRDefault="003B056F"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A-33/5.2</w:t>
      </w:r>
      <w:r>
        <w:rPr>
          <w:rFonts w:asciiTheme="minorBidi" w:hAnsiTheme="minorBidi" w:cstheme="minorBidi"/>
          <w:sz w:val="22"/>
          <w:szCs w:val="22"/>
          <w:lang w:val="es"/>
        </w:rPr>
        <w:t>.</w:t>
      </w:r>
    </w:p>
    <w:p w14:paraId="19B9C5F8" w14:textId="5D04866E" w:rsidR="00C46DBB" w:rsidRPr="006C41C4" w:rsidRDefault="00C46DBB" w:rsidP="00547D9B">
      <w:pPr>
        <w:pStyle w:val="Heading2"/>
        <w:numPr>
          <w:ilvl w:val="1"/>
          <w:numId w:val="13"/>
        </w:numPr>
        <w:tabs>
          <w:tab w:val="clear" w:pos="737"/>
        </w:tabs>
        <w:ind w:left="851" w:hanging="851"/>
        <w:rPr>
          <w:rFonts w:cs="Arial"/>
          <w:sz w:val="20"/>
          <w:szCs w:val="20"/>
          <w:lang w:val="es-ES"/>
        </w:rPr>
      </w:pPr>
      <w:bookmarkStart w:id="292" w:name="_Hlk190357033"/>
      <w:bookmarkStart w:id="293" w:name="_Toc190766998"/>
      <w:bookmarkStart w:id="294" w:name="_Toc212133535"/>
      <w:bookmarkStart w:id="295" w:name="_Hlk199261115"/>
      <w:bookmarkStart w:id="296" w:name="_Toc531253870"/>
      <w:bookmarkStart w:id="297" w:name="_Toc2766699"/>
      <w:bookmarkStart w:id="298" w:name="_Toc67921003"/>
      <w:bookmarkStart w:id="299" w:name="_Toc134002401"/>
      <w:bookmarkStart w:id="300" w:name="_Toc134002227"/>
      <w:bookmarkStart w:id="301" w:name="_Toc131777771"/>
      <w:bookmarkStart w:id="302" w:name="_Toc68180577"/>
      <w:bookmarkEnd w:id="291"/>
      <w:r>
        <w:rPr>
          <w:rFonts w:cs="Arial"/>
          <w:bCs w:val="0"/>
          <w:szCs w:val="22"/>
          <w:lang w:val="es"/>
        </w:rPr>
        <w:t>LA COI Y EL FUTURO DEL PROCESO DE CONSULTA SOBRE LOS OCÉANOS</w:t>
      </w:r>
      <w:bookmarkEnd w:id="292"/>
      <w:bookmarkEnd w:id="293"/>
      <w:bookmarkEnd w:id="294"/>
    </w:p>
    <w:bookmarkEnd w:id="295"/>
    <w:p w14:paraId="137739D7" w14:textId="50E7D1EC" w:rsidR="007C4712" w:rsidRPr="006C41C4"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presentó este punto del orden del día junto con su informe a la Asamblea (ver el resumen de los debates en el punto 3.2 del orden del día).</w:t>
      </w:r>
    </w:p>
    <w:p w14:paraId="4D67E460" w14:textId="5156A0CB" w:rsidR="00077578" w:rsidRPr="006C41C4" w:rsidRDefault="007C471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Recordó que una combinación única de factores externos e internos justifica el proceso de consulta sobre la COI y el Futuro del Océano. Destacó que los rápidos cambios en el estado de los océanos provocados por la aceleración de las presiones y la competencia por los recursos oceánicos y el espacio marítimo, junto con un marco político y de gobernanza mundial reforzado que está surgiendo, hacen que las prioridades y necesidades de los Estados Miembros en materia de ciencias y conocimientos oceánicos estén evolucionando. Recordó asimismo que los estatutos de la COI se refieren tanto a la generación de conocimientos como a la aplicación de </w:t>
      </w:r>
      <w:proofErr w:type="gramStart"/>
      <w:r>
        <w:rPr>
          <w:rFonts w:ascii="Arial" w:hAnsi="Arial" w:cs="Arial"/>
          <w:sz w:val="22"/>
          <w:szCs w:val="22"/>
          <w:lang w:val="es"/>
        </w:rPr>
        <w:t>los mismos</w:t>
      </w:r>
      <w:proofErr w:type="gramEnd"/>
      <w:r>
        <w:rPr>
          <w:rFonts w:ascii="Arial" w:hAnsi="Arial" w:cs="Arial"/>
          <w:sz w:val="22"/>
          <w:szCs w:val="22"/>
          <w:lang w:val="es"/>
        </w:rPr>
        <w:t xml:space="preserve">, y que, si bien se han realizado importantes inversiones y logros en relación con la primera parte de los estatutos, hasta la fecha se ha prestado menos atención a la aplicación de los conocimientos según la segunda parte del mandato de la COI. Por lo tanto, el proceso de consulta es necesario para garantizar que los servicios y el apoyo que la COI ofrece a los Estados Miembros responden a sus necesidades cambiantes y optimizan la aplicación de ambas partes de los estatutos de la COI. </w:t>
      </w:r>
    </w:p>
    <w:p w14:paraId="25B10F38" w14:textId="158B202A" w:rsidR="00077578" w:rsidRPr="006C41C4"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lastRenderedPageBreak/>
        <w:t xml:space="preserve">Recordó que el proceso de consulta se estaba llevando a cabo en tres fases y sobre la base del </w:t>
      </w:r>
      <w:r>
        <w:rPr>
          <w:rFonts w:ascii="Arial" w:hAnsi="Arial"/>
          <w:color w:val="000000" w:themeColor="text1"/>
          <w:sz w:val="22"/>
          <w:szCs w:val="22"/>
          <w:lang w:val="es"/>
        </w:rPr>
        <w:t xml:space="preserve">Plan de Acción en respuesta a la </w:t>
      </w:r>
      <w:bookmarkStart w:id="303" w:name="_Hlk199960278"/>
      <w:r>
        <w:rPr>
          <w:rFonts w:ascii="Arial" w:hAnsi="Arial"/>
          <w:i/>
          <w:iCs/>
          <w:color w:val="000000" w:themeColor="text1"/>
          <w:sz w:val="22"/>
          <w:szCs w:val="22"/>
          <w:lang w:val="es"/>
        </w:rPr>
        <w:t xml:space="preserve">Evaluación del posicionamiento estratégico del IOS </w:t>
      </w:r>
      <w:bookmarkEnd w:id="303"/>
      <w:r>
        <w:fldChar w:fldCharType="begin"/>
      </w:r>
      <w:r w:rsidRPr="006C41C4">
        <w:rPr>
          <w:lang w:val="es-ES"/>
        </w:rPr>
        <w:instrText>HYPERLINK "https://unesdoc.unesco.org/ark:/48223/pf0000379054.locale=fr"</w:instrText>
      </w:r>
      <w:r>
        <w:fldChar w:fldCharType="separate"/>
      </w:r>
      <w:r>
        <w:rPr>
          <w:rStyle w:val="Hyperlink"/>
          <w:rFonts w:ascii="Arial" w:hAnsi="Arial" w:cs="Arial"/>
          <w:sz w:val="22"/>
          <w:szCs w:val="22"/>
          <w:lang w:val="es"/>
        </w:rPr>
        <w:t>IOS/EVS/PI/197</w:t>
      </w:r>
      <w:r>
        <w:fldChar w:fldCharType="end"/>
      </w:r>
      <w:r>
        <w:rPr>
          <w:rFonts w:ascii="Arial" w:hAnsi="Arial"/>
          <w:color w:val="000000" w:themeColor="text1"/>
          <w:sz w:val="22"/>
          <w:szCs w:val="22"/>
          <w:lang w:val="es"/>
        </w:rPr>
        <w:t xml:space="preserve"> y la </w:t>
      </w:r>
      <w:r>
        <w:rPr>
          <w:rFonts w:ascii="Arial" w:hAnsi="Arial"/>
          <w:i/>
          <w:iCs/>
          <w:color w:val="000000" w:themeColor="text1"/>
          <w:sz w:val="22"/>
          <w:szCs w:val="22"/>
          <w:lang w:val="es"/>
        </w:rPr>
        <w:t>Estrategia a Plazo Medio de la COI (2022-2029)</w:t>
      </w:r>
      <w:r>
        <w:rPr>
          <w:rFonts w:ascii="Arial" w:hAnsi="Arial"/>
          <w:color w:val="000000" w:themeColor="text1"/>
          <w:sz w:val="22"/>
          <w:szCs w:val="22"/>
          <w:lang w:val="es"/>
        </w:rPr>
        <w:t xml:space="preserve">. </w:t>
      </w:r>
      <w:r>
        <w:rPr>
          <w:rFonts w:ascii="Arial" w:hAnsi="Arial"/>
          <w:sz w:val="22"/>
          <w:szCs w:val="22"/>
          <w:lang w:val="es"/>
        </w:rPr>
        <w:t>La primera fase, de la que se informa a la 33</w:t>
      </w:r>
      <w:r>
        <w:rPr>
          <w:rFonts w:ascii="Arial" w:hAnsi="Arial"/>
          <w:sz w:val="22"/>
          <w:szCs w:val="22"/>
          <w:vertAlign w:val="superscript"/>
          <w:lang w:val="es"/>
        </w:rPr>
        <w:t>ª</w:t>
      </w:r>
      <w:r>
        <w:rPr>
          <w:rFonts w:ascii="Arial" w:hAnsi="Arial"/>
          <w:sz w:val="22"/>
          <w:szCs w:val="22"/>
          <w:lang w:val="es"/>
        </w:rPr>
        <w:t xml:space="preserve"> reunión de la Asamblea, se centra en una evaluación de la demanda para determinar las necesidades insuficientemente atendidas de los Estados Miembros en relación con el cumplimiento de los compromisos nacionales contraídos en virtud de los convenios y marcos de las Naciones Unidas, las acciones existentes y emergentes en relación con la planificación sostenible de los océanos y los objetivos nacionales de desarrollo económico sostenible basado en los océanos. Recordó a los Estados Miembros que la segunda fase de la consulta (2025-2026) se centraría en una evaluación de la oferta, y la tercera fase (2026-2027) sería una evaluación integrada, cuyos resultados fundamentarían las propuestas de programación y presupuesto para la COI en los dos próximos bienios y orientarían la elaboración de la próxima Estrategia a Plazo Medio. </w:t>
      </w:r>
    </w:p>
    <w:p w14:paraId="153A81BF" w14:textId="77777777" w:rsidR="00077578" w:rsidRPr="006C41C4"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informó a los Estados Miembros de que la consulta de la Fase 1 había incluido una encuesta a los Estados Miembros, unas 20 entrevistas a informadores clave, cinco debates de grupos de discusión (incluidos los cuatro órganos subsidiarios regionales y el Grupo de Trabajo sobre Planificación y Gestión Sostenibles de los Océanos) y consultas con el IFAG. Agradeció a todos los Estados Miembros su </w:t>
      </w:r>
      <w:proofErr w:type="gramStart"/>
      <w:r>
        <w:rPr>
          <w:rFonts w:ascii="Arial" w:hAnsi="Arial" w:cs="Arial"/>
          <w:sz w:val="22"/>
          <w:szCs w:val="22"/>
          <w:lang w:val="es"/>
        </w:rPr>
        <w:t>participación activa</w:t>
      </w:r>
      <w:proofErr w:type="gramEnd"/>
      <w:r>
        <w:rPr>
          <w:rFonts w:ascii="Arial" w:hAnsi="Arial" w:cs="Arial"/>
          <w:sz w:val="22"/>
          <w:szCs w:val="22"/>
          <w:lang w:val="es"/>
        </w:rPr>
        <w:t xml:space="preserve"> en el proceso de consulta. </w:t>
      </w:r>
    </w:p>
    <w:p w14:paraId="396BC1B9" w14:textId="47653884" w:rsidR="00077578" w:rsidRPr="006C41C4"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Resumió las principales conclusiones del proceso de consulta de la Fase 1, entre ellas la necesidad de productos de evaluación y síntesis de conocimientos temáticos y regionales adaptados; una mayor coordinación de las actividades de desarrollo de capacidades, incluso en el plano regional; una mayor atención a los servicios y aplicaciones derivados de las observaciones y los datos, incluidos los datos sobre biodiversidad, que podrían ser utilizados por los Estados Miembros para cumplir los compromisos nacionales con los marcos políticos mundiales; una mayor atención al apoyo a la coordinación científica sobre nuevas cuestiones, incluidos los datos y la información necesarios para apoyar los aspectos económicos y sociales de la planificación sostenible de los océanos; y una expansión de la infraestructura de observaciones y datos con una mayor coordinación entre los sistemas de observaciones y datos de la COI. Sobre este último punto, señaló el punto separado del orden del día de la Asamblea sobre una Arquitectura de Datos de la COI (punto 3.4.3). También señaló que había necesidades específicas identificadas a nivel regional, en particular por los PEID y los PMA. </w:t>
      </w:r>
    </w:p>
    <w:p w14:paraId="51DBDAB5" w14:textId="7BB49164" w:rsidR="00347C83" w:rsidRPr="006C41C4" w:rsidRDefault="00077578"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Concluyó esbozando la metodología propuesta para la segunda fase de la consulta, que incluiría un inventario detallado de los asociados de las Naciones Unidas y ajenos a la Organización y consultas con ellos para determinar los medios más eficaces de satisfacer las necesidades identificadas de los Estados Miembros, entre otras cosas mediante iniciativas dirigidas por la COI, un mayor apoyo a la participación de los Estados Miembros en marcos multilaterales y/o mediante colaboraciones con asociados de las Naciones Unidas y ajenos a la Organización. Confirmó que los resultados de la segunda fase de la consulta se comunicarían al Consejo Ejecutivo del COI en su 59</w:t>
      </w:r>
      <w:r>
        <w:rPr>
          <w:rFonts w:ascii="Arial" w:hAnsi="Arial" w:cs="Arial"/>
          <w:sz w:val="22"/>
          <w:szCs w:val="22"/>
          <w:vertAlign w:val="superscript"/>
          <w:lang w:val="es"/>
        </w:rPr>
        <w:t>ª</w:t>
      </w:r>
      <w:r>
        <w:rPr>
          <w:rFonts w:ascii="Arial" w:hAnsi="Arial" w:cs="Arial"/>
          <w:sz w:val="22"/>
          <w:szCs w:val="22"/>
          <w:lang w:val="es"/>
        </w:rPr>
        <w:t xml:space="preserve"> reunión, en junio de 2026.</w:t>
      </w:r>
    </w:p>
    <w:p w14:paraId="4D7BFCCB" w14:textId="5E217966" w:rsidR="00F334B4" w:rsidRPr="006C41C4" w:rsidRDefault="003C0F7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Los siguientes Estados Miembros han optado por dejar constancia de su intervención en el pleno sobre este punto del orden del día para el anexo informativo del informe de la reunión: Irlanda, </w:t>
      </w:r>
      <w:hyperlink w:anchor="mon32" w:history="1">
        <w:r>
          <w:rPr>
            <w:rStyle w:val="Hyperlink"/>
            <w:rFonts w:ascii="Arial" w:hAnsi="Arial" w:cs="Arial"/>
            <w:sz w:val="22"/>
            <w:szCs w:val="22"/>
            <w:lang w:val="es"/>
          </w:rPr>
          <w:t>Mónaco</w:t>
        </w:r>
      </w:hyperlink>
      <w:r>
        <w:rPr>
          <w:rFonts w:ascii="Arial" w:hAnsi="Arial" w:cs="Arial"/>
          <w:sz w:val="22"/>
          <w:szCs w:val="22"/>
          <w:lang w:val="es"/>
        </w:rPr>
        <w:t xml:space="preserve">, </w:t>
      </w:r>
      <w:hyperlink w:anchor="norw32" w:history="1">
        <w:r>
          <w:rPr>
            <w:rStyle w:val="Hyperlink"/>
            <w:rFonts w:ascii="Arial" w:hAnsi="Arial" w:cs="Arial"/>
            <w:sz w:val="22"/>
            <w:szCs w:val="22"/>
            <w:lang w:val="es"/>
          </w:rPr>
          <w:t>Noruega</w:t>
        </w:r>
      </w:hyperlink>
      <w:r>
        <w:rPr>
          <w:rFonts w:ascii="Arial" w:hAnsi="Arial" w:cs="Arial"/>
          <w:sz w:val="22"/>
          <w:szCs w:val="22"/>
          <w:lang w:val="es"/>
        </w:rPr>
        <w:t xml:space="preserve">, </w:t>
      </w:r>
      <w:hyperlink w:anchor="port32" w:history="1">
        <w:r>
          <w:rPr>
            <w:rStyle w:val="Hyperlink"/>
            <w:rFonts w:ascii="Arial" w:hAnsi="Arial" w:cs="Arial"/>
            <w:sz w:val="22"/>
            <w:szCs w:val="22"/>
            <w:lang w:val="es"/>
          </w:rPr>
          <w:t>Portugal</w:t>
        </w:r>
      </w:hyperlink>
      <w:r>
        <w:rPr>
          <w:rFonts w:ascii="Arial" w:hAnsi="Arial" w:cs="Arial"/>
          <w:sz w:val="22"/>
          <w:szCs w:val="22"/>
          <w:lang w:val="es"/>
        </w:rPr>
        <w:t xml:space="preserve">, </w:t>
      </w:r>
      <w:hyperlink w:anchor="rus32" w:history="1">
        <w:r>
          <w:rPr>
            <w:rStyle w:val="Hyperlink"/>
            <w:rFonts w:ascii="Arial" w:hAnsi="Arial" w:cs="Arial"/>
            <w:sz w:val="22"/>
            <w:szCs w:val="22"/>
            <w:lang w:val="es"/>
          </w:rPr>
          <w:t>Federación Rusa</w:t>
        </w:r>
      </w:hyperlink>
      <w:r>
        <w:rPr>
          <w:rFonts w:ascii="Arial" w:hAnsi="Arial" w:cs="Arial"/>
          <w:sz w:val="22"/>
          <w:szCs w:val="22"/>
          <w:lang w:val="es"/>
        </w:rPr>
        <w:t xml:space="preserve">, </w:t>
      </w:r>
      <w:hyperlink w:anchor="spain32" w:history="1">
        <w:r>
          <w:rPr>
            <w:rStyle w:val="Hyperlink"/>
            <w:rFonts w:ascii="Arial" w:hAnsi="Arial" w:cs="Arial"/>
            <w:sz w:val="22"/>
            <w:szCs w:val="22"/>
            <w:lang w:val="es"/>
          </w:rPr>
          <w:t>España</w:t>
        </w:r>
      </w:hyperlink>
      <w:r>
        <w:rPr>
          <w:rFonts w:ascii="Arial" w:hAnsi="Arial" w:cs="Arial"/>
          <w:sz w:val="22"/>
          <w:szCs w:val="22"/>
          <w:lang w:val="es"/>
        </w:rPr>
        <w:t xml:space="preserve">, </w:t>
      </w:r>
      <w:hyperlink w:anchor="thai32" w:history="1">
        <w:r>
          <w:rPr>
            <w:rStyle w:val="Hyperlink"/>
            <w:rFonts w:ascii="Arial" w:hAnsi="Arial" w:cs="Arial"/>
            <w:sz w:val="22"/>
            <w:szCs w:val="22"/>
            <w:lang w:val="es"/>
          </w:rPr>
          <w:t>Tailandia</w:t>
        </w:r>
      </w:hyperlink>
      <w:r>
        <w:rPr>
          <w:rFonts w:ascii="Arial" w:hAnsi="Arial" w:cs="Arial"/>
          <w:sz w:val="22"/>
          <w:szCs w:val="22"/>
          <w:lang w:val="es"/>
        </w:rPr>
        <w:t xml:space="preserve">. </w:t>
      </w:r>
    </w:p>
    <w:p w14:paraId="7A144F5C" w14:textId="2D86B74C" w:rsidR="006A5DB7" w:rsidRPr="006C41C4"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A-33/5.3</w:t>
      </w:r>
      <w:r>
        <w:rPr>
          <w:rFonts w:asciiTheme="minorBidi" w:hAnsiTheme="minorBidi" w:cstheme="minorBidi"/>
          <w:sz w:val="22"/>
          <w:szCs w:val="22"/>
          <w:lang w:val="es"/>
        </w:rPr>
        <w:t>.</w:t>
      </w:r>
    </w:p>
    <w:p w14:paraId="443AFEBE" w14:textId="3AB265C4" w:rsidR="00220468" w:rsidRPr="006C41C4" w:rsidRDefault="00761346" w:rsidP="00547D9B">
      <w:pPr>
        <w:pStyle w:val="Heading2"/>
        <w:numPr>
          <w:ilvl w:val="1"/>
          <w:numId w:val="13"/>
        </w:numPr>
        <w:tabs>
          <w:tab w:val="clear" w:pos="737"/>
        </w:tabs>
        <w:ind w:left="851" w:hanging="851"/>
        <w:rPr>
          <w:sz w:val="20"/>
          <w:szCs w:val="20"/>
          <w:lang w:val="es-ES"/>
        </w:rPr>
      </w:pPr>
      <w:bookmarkStart w:id="304" w:name="_Toc190767000"/>
      <w:bookmarkStart w:id="305" w:name="_Toc197955143"/>
      <w:bookmarkStart w:id="306" w:name="_Toc212133536"/>
      <w:r>
        <w:rPr>
          <w:rFonts w:cs="Arial"/>
          <w:bCs w:val="0"/>
          <w:szCs w:val="22"/>
          <w:lang w:val="es"/>
        </w:rPr>
        <w:t>INFORME DEL PRESIDENTE DE LA COMISIÓN FINANCIERA</w:t>
      </w:r>
      <w:bookmarkEnd w:id="296"/>
      <w:bookmarkEnd w:id="297"/>
      <w:bookmarkEnd w:id="298"/>
      <w:bookmarkEnd w:id="299"/>
      <w:bookmarkEnd w:id="300"/>
      <w:bookmarkEnd w:id="301"/>
      <w:bookmarkEnd w:id="302"/>
      <w:bookmarkEnd w:id="304"/>
      <w:bookmarkEnd w:id="305"/>
      <w:bookmarkEnd w:id="306"/>
    </w:p>
    <w:p w14:paraId="07E2B5DF" w14:textId="13B0F009" w:rsidR="00576134" w:rsidRPr="006C41C4" w:rsidRDefault="0057613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Presidente</w:t>
      </w:r>
      <w:proofErr w:type="gramEnd"/>
      <w:r>
        <w:rPr>
          <w:rFonts w:ascii="Arial" w:hAnsi="Arial" w:cs="Arial"/>
          <w:sz w:val="22"/>
          <w:szCs w:val="22"/>
          <w:lang w:val="es"/>
        </w:rPr>
        <w:t xml:space="preserve"> de la Comisión Financiero, el </w:t>
      </w:r>
      <w:proofErr w:type="gramStart"/>
      <w:r>
        <w:rPr>
          <w:rFonts w:ascii="Arial" w:hAnsi="Arial" w:cs="Arial"/>
          <w:sz w:val="22"/>
          <w:szCs w:val="22"/>
          <w:lang w:val="es"/>
        </w:rPr>
        <w:t>Vicepresidente</w:t>
      </w:r>
      <w:proofErr w:type="gramEnd"/>
      <w:r>
        <w:rPr>
          <w:rFonts w:ascii="Arial" w:hAnsi="Arial" w:cs="Arial"/>
          <w:sz w:val="22"/>
          <w:szCs w:val="22"/>
          <w:lang w:val="es"/>
        </w:rPr>
        <w:t xml:space="preserve"> de la COI Juan Forero </w:t>
      </w:r>
      <w:proofErr w:type="spellStart"/>
      <w:r>
        <w:rPr>
          <w:rFonts w:ascii="Arial" w:hAnsi="Arial" w:cs="Arial"/>
          <w:sz w:val="22"/>
          <w:szCs w:val="22"/>
          <w:lang w:val="es"/>
        </w:rPr>
        <w:t>Hauzeur</w:t>
      </w:r>
      <w:proofErr w:type="spellEnd"/>
      <w:r>
        <w:rPr>
          <w:rFonts w:ascii="Arial" w:hAnsi="Arial" w:cs="Arial"/>
          <w:sz w:val="22"/>
          <w:szCs w:val="22"/>
          <w:lang w:val="es"/>
        </w:rPr>
        <w:t xml:space="preserve"> (Colombia), informó a la Asamblea de los resultados del examen por la Comisión de los puntos que le había encomendado el Pleno, además de los previstos en el artículo 45.1 (c) del Reglamento. Presentó el proyecto de Resolución sobre "Cuestiones de Gobernanza, </w:t>
      </w:r>
      <w:r>
        <w:rPr>
          <w:rFonts w:ascii="Arial" w:hAnsi="Arial" w:cs="Arial"/>
          <w:sz w:val="22"/>
          <w:szCs w:val="22"/>
          <w:lang w:val="es"/>
        </w:rPr>
        <w:lastRenderedPageBreak/>
        <w:t xml:space="preserve">Programación y Presupuestación de la Comisión", resultado de los trabajos del Comité Financiero. </w:t>
      </w:r>
    </w:p>
    <w:p w14:paraId="3D0BE9C5" w14:textId="6E469BF4" w:rsidR="00220468" w:rsidRPr="006C41C4" w:rsidRDefault="0057613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nombre del Consejo Ejecutivo, el </w:t>
      </w:r>
      <w:proofErr w:type="gramStart"/>
      <w:r>
        <w:rPr>
          <w:rFonts w:ascii="Arial" w:hAnsi="Arial" w:cs="Arial"/>
          <w:sz w:val="22"/>
          <w:szCs w:val="22"/>
          <w:lang w:val="es"/>
        </w:rPr>
        <w:t>Presidente</w:t>
      </w:r>
      <w:proofErr w:type="gramEnd"/>
      <w:r>
        <w:rPr>
          <w:rFonts w:ascii="Arial" w:hAnsi="Arial" w:cs="Arial"/>
          <w:sz w:val="22"/>
          <w:szCs w:val="22"/>
          <w:lang w:val="es"/>
        </w:rPr>
        <w:t xml:space="preserve"> dio las gracias al </w:t>
      </w:r>
      <w:proofErr w:type="gramStart"/>
      <w:r>
        <w:rPr>
          <w:rFonts w:ascii="Arial" w:hAnsi="Arial" w:cs="Arial"/>
          <w:sz w:val="22"/>
          <w:szCs w:val="22"/>
          <w:lang w:val="es"/>
        </w:rPr>
        <w:t>Vicepresidente</w:t>
      </w:r>
      <w:proofErr w:type="gramEnd"/>
      <w:r>
        <w:rPr>
          <w:rFonts w:ascii="Arial" w:hAnsi="Arial" w:cs="Arial"/>
          <w:sz w:val="22"/>
          <w:szCs w:val="22"/>
          <w:lang w:val="es"/>
        </w:rPr>
        <w:t xml:space="preserve"> Juan Camilo Forero </w:t>
      </w:r>
      <w:proofErr w:type="spellStart"/>
      <w:r>
        <w:rPr>
          <w:rFonts w:ascii="Arial" w:hAnsi="Arial" w:cs="Arial"/>
          <w:sz w:val="22"/>
          <w:szCs w:val="22"/>
          <w:lang w:val="es"/>
        </w:rPr>
        <w:t>Hauzeur</w:t>
      </w:r>
      <w:proofErr w:type="spellEnd"/>
      <w:r>
        <w:rPr>
          <w:rFonts w:ascii="Arial" w:hAnsi="Arial" w:cs="Arial"/>
          <w:sz w:val="22"/>
          <w:szCs w:val="22"/>
          <w:lang w:val="es"/>
        </w:rPr>
        <w:t xml:space="preserve"> por su liderazgo y a todos los que participaron en los trabajos del Comité Financiero por su compromiso y sus contribuciones.</w:t>
      </w:r>
    </w:p>
    <w:p w14:paraId="46B5DE26" w14:textId="7C40AC93" w:rsidR="006A5DB7" w:rsidRPr="006C41C4" w:rsidRDefault="008D7C7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t xml:space="preserve">La Asamblea aprobó la </w:t>
      </w:r>
      <w:r>
        <w:rPr>
          <w:rFonts w:ascii="Arial" w:hAnsi="Arial"/>
          <w:sz w:val="22"/>
          <w:szCs w:val="22"/>
          <w:u w:val="single"/>
          <w:lang w:val="es"/>
        </w:rPr>
        <w:t>Resolución del COI A-33/3</w:t>
      </w:r>
      <w:r>
        <w:rPr>
          <w:rFonts w:ascii="Arial" w:hAnsi="Arial"/>
          <w:sz w:val="22"/>
          <w:szCs w:val="22"/>
          <w:lang w:val="es"/>
        </w:rPr>
        <w:t xml:space="preserve"> </w:t>
      </w:r>
      <w:r>
        <w:rPr>
          <w:rFonts w:asciiTheme="minorBidi" w:hAnsiTheme="minorBidi"/>
          <w:sz w:val="22"/>
          <w:szCs w:val="22"/>
          <w:lang w:val="es"/>
        </w:rPr>
        <w:t>"</w:t>
      </w:r>
      <w:r>
        <w:rPr>
          <w:rFonts w:asciiTheme="minorBidi" w:hAnsiTheme="minorBidi"/>
          <w:i/>
          <w:iCs/>
          <w:sz w:val="22"/>
          <w:szCs w:val="22"/>
          <w:lang w:val="es"/>
        </w:rPr>
        <w:t>Cuestiones de gobernanza, programación y presupuestación de la Comisión</w:t>
      </w:r>
      <w:r>
        <w:rPr>
          <w:rFonts w:asciiTheme="minorBidi" w:hAnsiTheme="minorBidi"/>
          <w:sz w:val="22"/>
          <w:szCs w:val="22"/>
          <w:lang w:val="es"/>
        </w:rPr>
        <w:t>"</w:t>
      </w:r>
      <w:r>
        <w:rPr>
          <w:rFonts w:ascii="Arial" w:hAnsi="Arial"/>
          <w:sz w:val="22"/>
          <w:szCs w:val="22"/>
          <w:lang w:val="es"/>
        </w:rPr>
        <w:t xml:space="preserve"> presentada por </w:t>
      </w:r>
      <w:r>
        <w:rPr>
          <w:rFonts w:ascii="Arial" w:hAnsi="Arial"/>
          <w:color w:val="000000"/>
          <w:sz w:val="22"/>
          <w:szCs w:val="22"/>
          <w:lang w:val="es"/>
        </w:rPr>
        <w:t>Alemania, Argentina, Australia, Bélgica, Brasil, Canadá, Chile, China, Colombia, España, Estados Unidos de América, Federación de Rusia, Francia, Granada, India, Irlanda, Islandia, Italia, Japón, Kenia, Malasia, Marruecos, Nigeria, Noruega, Portugal, Reino Unido de Gran Bretaña e Irlanda del Norte, República de Corea, Sudáfrica, Tailandia, Togo y Turquía.</w:t>
      </w:r>
    </w:p>
    <w:p w14:paraId="6D27E665" w14:textId="14052E1B" w:rsidR="004156F9" w:rsidRPr="006C41C4" w:rsidRDefault="00761346" w:rsidP="00547D9B">
      <w:pPr>
        <w:pStyle w:val="Heading2"/>
        <w:numPr>
          <w:ilvl w:val="1"/>
          <w:numId w:val="13"/>
        </w:numPr>
        <w:tabs>
          <w:tab w:val="clear" w:pos="737"/>
        </w:tabs>
        <w:ind w:left="851" w:hanging="851"/>
        <w:rPr>
          <w:sz w:val="20"/>
          <w:szCs w:val="20"/>
          <w:lang w:val="es-ES"/>
        </w:rPr>
      </w:pPr>
      <w:bookmarkStart w:id="307" w:name="_Toc212133537"/>
      <w:bookmarkStart w:id="308" w:name="_Toc531253872"/>
      <w:bookmarkStart w:id="309" w:name="_Toc2766701"/>
      <w:bookmarkStart w:id="310" w:name="_Toc67921004"/>
      <w:bookmarkStart w:id="311" w:name="_Toc68180578"/>
      <w:bookmarkStart w:id="312" w:name="_Toc131777772"/>
      <w:bookmarkStart w:id="313" w:name="_Toc134002228"/>
      <w:bookmarkStart w:id="314" w:name="_Toc134002402"/>
      <w:bookmarkStart w:id="315" w:name="_Toc190767001"/>
      <w:bookmarkStart w:id="316" w:name="_Toc197955144"/>
      <w:r>
        <w:rPr>
          <w:bCs w:val="0"/>
          <w:szCs w:val="22"/>
          <w:lang w:val="es"/>
        </w:rPr>
        <w:t xml:space="preserve">ELECCIÓN DE LOS MIEMBROS DE LA COMISIÓN </w:t>
      </w:r>
      <w:r>
        <w:rPr>
          <w:bCs w:val="0"/>
          <w:szCs w:val="22"/>
          <w:lang w:val="es"/>
        </w:rPr>
        <w:br/>
        <w:t>Y MIEMBROS DEL CONSEJO EJECUTIVO</w:t>
      </w:r>
      <w:bookmarkEnd w:id="307"/>
      <w:r>
        <w:rPr>
          <w:bCs w:val="0"/>
          <w:lang w:val="es"/>
        </w:rPr>
        <w:t xml:space="preserve"> </w:t>
      </w:r>
      <w:bookmarkEnd w:id="308"/>
      <w:bookmarkEnd w:id="309"/>
      <w:bookmarkEnd w:id="310"/>
      <w:bookmarkEnd w:id="311"/>
      <w:bookmarkEnd w:id="312"/>
      <w:bookmarkEnd w:id="313"/>
      <w:bookmarkEnd w:id="314"/>
      <w:bookmarkEnd w:id="315"/>
      <w:bookmarkEnd w:id="316"/>
    </w:p>
    <w:p w14:paraId="049113FE" w14:textId="688DD08E" w:rsidR="00C9596C" w:rsidRPr="006C41C4" w:rsidRDefault="00C95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w:t>
      </w:r>
      <w:proofErr w:type="gramStart"/>
      <w:r>
        <w:rPr>
          <w:rFonts w:ascii="Arial" w:hAnsi="Arial" w:cs="Arial"/>
          <w:sz w:val="22"/>
          <w:szCs w:val="22"/>
          <w:lang w:val="es"/>
        </w:rPr>
        <w:t>Presidenta</w:t>
      </w:r>
      <w:proofErr w:type="gramEnd"/>
      <w:r>
        <w:rPr>
          <w:rFonts w:ascii="Arial" w:hAnsi="Arial" w:cs="Arial"/>
          <w:sz w:val="22"/>
          <w:szCs w:val="22"/>
          <w:lang w:val="es"/>
        </w:rPr>
        <w:t xml:space="preserve"> del Comité de Candidaturas, Marie-Alexandrine Sicre (</w:t>
      </w:r>
      <w:proofErr w:type="gramStart"/>
      <w:r>
        <w:rPr>
          <w:rFonts w:ascii="Arial" w:hAnsi="Arial" w:cs="Arial"/>
          <w:sz w:val="22"/>
          <w:szCs w:val="22"/>
          <w:lang w:val="es"/>
        </w:rPr>
        <w:t>Vicepresidenta</w:t>
      </w:r>
      <w:proofErr w:type="gramEnd"/>
      <w:r>
        <w:rPr>
          <w:rFonts w:ascii="Arial" w:hAnsi="Arial" w:cs="Arial"/>
          <w:sz w:val="22"/>
          <w:szCs w:val="22"/>
          <w:lang w:val="es"/>
        </w:rPr>
        <w:t xml:space="preserve"> Grupo I), informó sobre este punto. </w:t>
      </w:r>
    </w:p>
    <w:p w14:paraId="0FA4B5EB" w14:textId="0CD54F0F" w:rsidR="004E0C86" w:rsidRPr="006C41C4"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El Comité de Candidaturas se reunió dos veces durante la reunión, el 27 de junio y el 1 de julio de 2025. Dieciocho Estados Miembros asistieron a las reuniones del Comité de Candidaturas, en representación de los cinco grupos electorales de la COI.</w:t>
      </w:r>
    </w:p>
    <w:p w14:paraId="617E9050" w14:textId="77777777" w:rsidR="004156F9" w:rsidRPr="006C41C4" w:rsidRDefault="004156F9" w:rsidP="00547D9B">
      <w:pPr>
        <w:pStyle w:val="Heading3"/>
        <w:numPr>
          <w:ilvl w:val="2"/>
          <w:numId w:val="13"/>
        </w:numPr>
        <w:ind w:left="709" w:hanging="709"/>
        <w:rPr>
          <w:b/>
          <w:lang w:val="es-ES"/>
        </w:rPr>
      </w:pPr>
      <w:bookmarkStart w:id="317" w:name="_Toc531253873"/>
      <w:bookmarkStart w:id="318" w:name="_Toc2766702"/>
      <w:bookmarkStart w:id="319" w:name="_Toc67921005"/>
      <w:bookmarkStart w:id="320" w:name="_Toc68180579"/>
      <w:bookmarkStart w:id="321" w:name="_Toc131777773"/>
      <w:bookmarkStart w:id="322" w:name="_Toc134002229"/>
      <w:bookmarkStart w:id="323" w:name="_Toc134002403"/>
      <w:bookmarkStart w:id="324" w:name="_Toc190767002"/>
      <w:bookmarkStart w:id="325" w:name="_Toc197955145"/>
      <w:bookmarkStart w:id="326" w:name="_Toc212133538"/>
      <w:r>
        <w:rPr>
          <w:b/>
          <w:lang w:val="es"/>
        </w:rPr>
        <w:t xml:space="preserve">Elección del </w:t>
      </w:r>
      <w:proofErr w:type="gramStart"/>
      <w:r>
        <w:rPr>
          <w:b/>
          <w:lang w:val="es"/>
        </w:rPr>
        <w:t>Presidente</w:t>
      </w:r>
      <w:proofErr w:type="gramEnd"/>
      <w:r>
        <w:rPr>
          <w:b/>
          <w:lang w:val="es"/>
        </w:rPr>
        <w:t xml:space="preserve"> de la Comisión</w:t>
      </w:r>
      <w:bookmarkEnd w:id="317"/>
      <w:bookmarkEnd w:id="318"/>
      <w:bookmarkEnd w:id="319"/>
      <w:bookmarkEnd w:id="320"/>
      <w:bookmarkEnd w:id="321"/>
      <w:bookmarkEnd w:id="322"/>
      <w:bookmarkEnd w:id="323"/>
      <w:bookmarkEnd w:id="324"/>
      <w:bookmarkEnd w:id="325"/>
      <w:bookmarkEnd w:id="326"/>
    </w:p>
    <w:p w14:paraId="1CF62B99" w14:textId="77777777" w:rsidR="004E0C86" w:rsidRPr="006C41C4"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bCs/>
          <w:iCs/>
          <w:sz w:val="22"/>
          <w:szCs w:val="22"/>
          <w:lang w:val="es-ES"/>
        </w:rPr>
      </w:pPr>
      <w:r>
        <w:rPr>
          <w:rFonts w:ascii="Arial" w:hAnsi="Arial" w:cs="Arial"/>
          <w:sz w:val="22"/>
          <w:szCs w:val="22"/>
          <w:lang w:val="es"/>
        </w:rPr>
        <w:t xml:space="preserve">La Asamblea tomó nota de que solo había un candidato para el puesto de </w:t>
      </w:r>
      <w:proofErr w:type="gramStart"/>
      <w:r>
        <w:rPr>
          <w:rFonts w:ascii="Arial" w:hAnsi="Arial" w:cs="Arial"/>
          <w:sz w:val="22"/>
          <w:szCs w:val="22"/>
          <w:lang w:val="es"/>
        </w:rPr>
        <w:t>Presidente</w:t>
      </w:r>
      <w:proofErr w:type="gramEnd"/>
      <w:r>
        <w:rPr>
          <w:rFonts w:ascii="Arial" w:hAnsi="Arial" w:cs="Arial"/>
          <w:sz w:val="22"/>
          <w:szCs w:val="22"/>
          <w:lang w:val="es"/>
        </w:rPr>
        <w:t xml:space="preserve">. </w:t>
      </w:r>
    </w:p>
    <w:p w14:paraId="4F7326FA" w14:textId="77777777" w:rsidR="004156F9" w:rsidRPr="006C41C4" w:rsidRDefault="004156F9" w:rsidP="00547D9B">
      <w:pPr>
        <w:pStyle w:val="Heading3"/>
        <w:numPr>
          <w:ilvl w:val="2"/>
          <w:numId w:val="13"/>
        </w:numPr>
        <w:ind w:left="709" w:hanging="709"/>
        <w:rPr>
          <w:b/>
          <w:lang w:val="es-ES"/>
        </w:rPr>
      </w:pPr>
      <w:bookmarkStart w:id="327" w:name="_Toc531253874"/>
      <w:bookmarkStart w:id="328" w:name="_Toc2766703"/>
      <w:bookmarkStart w:id="329" w:name="_Toc67921006"/>
      <w:bookmarkStart w:id="330" w:name="_Toc68180580"/>
      <w:bookmarkStart w:id="331" w:name="_Toc131777774"/>
      <w:bookmarkStart w:id="332" w:name="_Toc134002230"/>
      <w:bookmarkStart w:id="333" w:name="_Toc134002404"/>
      <w:bookmarkStart w:id="334" w:name="_Toc190767003"/>
      <w:bookmarkStart w:id="335" w:name="_Toc197955146"/>
      <w:bookmarkStart w:id="336" w:name="_Toc212133539"/>
      <w:r>
        <w:rPr>
          <w:b/>
          <w:lang w:val="es"/>
        </w:rPr>
        <w:t xml:space="preserve">Elección de los </w:t>
      </w:r>
      <w:proofErr w:type="gramStart"/>
      <w:r>
        <w:rPr>
          <w:b/>
          <w:lang w:val="es"/>
        </w:rPr>
        <w:t>Vicepresidentes</w:t>
      </w:r>
      <w:proofErr w:type="gramEnd"/>
      <w:r>
        <w:rPr>
          <w:b/>
          <w:lang w:val="es"/>
        </w:rPr>
        <w:t xml:space="preserve"> de la Comisión</w:t>
      </w:r>
      <w:bookmarkEnd w:id="327"/>
      <w:bookmarkEnd w:id="328"/>
      <w:bookmarkEnd w:id="329"/>
      <w:bookmarkEnd w:id="330"/>
      <w:bookmarkEnd w:id="331"/>
      <w:bookmarkEnd w:id="332"/>
      <w:bookmarkEnd w:id="333"/>
      <w:bookmarkEnd w:id="334"/>
      <w:bookmarkEnd w:id="335"/>
      <w:bookmarkEnd w:id="336"/>
    </w:p>
    <w:p w14:paraId="105E86C5" w14:textId="72388C06" w:rsidR="004E0C86" w:rsidRPr="006C41C4"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bCs/>
          <w:iCs/>
          <w:sz w:val="22"/>
          <w:szCs w:val="22"/>
          <w:lang w:val="es-ES"/>
        </w:rPr>
      </w:pPr>
      <w:r>
        <w:rPr>
          <w:rFonts w:ascii="Arial" w:hAnsi="Arial" w:cs="Arial"/>
          <w:sz w:val="22"/>
          <w:szCs w:val="22"/>
          <w:lang w:val="es"/>
        </w:rPr>
        <w:t xml:space="preserve">La Asamblea tomó nota de que solo había un candidato por cada uno de los Grupos Electorales I, II, III, IV y V para los cargos de </w:t>
      </w:r>
      <w:proofErr w:type="gramStart"/>
      <w:r>
        <w:rPr>
          <w:rFonts w:ascii="Arial" w:hAnsi="Arial" w:cs="Arial"/>
          <w:sz w:val="22"/>
          <w:szCs w:val="22"/>
          <w:lang w:val="es"/>
        </w:rPr>
        <w:t>Vicepresidente</w:t>
      </w:r>
      <w:proofErr w:type="gramEnd"/>
      <w:r>
        <w:rPr>
          <w:rFonts w:ascii="Arial" w:hAnsi="Arial" w:cs="Arial"/>
          <w:sz w:val="22"/>
          <w:szCs w:val="22"/>
          <w:lang w:val="es"/>
        </w:rPr>
        <w:t>.</w:t>
      </w:r>
    </w:p>
    <w:p w14:paraId="0FAB1D77" w14:textId="77777777" w:rsidR="004156F9" w:rsidRPr="006C41C4" w:rsidRDefault="004156F9" w:rsidP="00547D9B">
      <w:pPr>
        <w:pStyle w:val="Heading3"/>
        <w:numPr>
          <w:ilvl w:val="2"/>
          <w:numId w:val="13"/>
        </w:numPr>
        <w:ind w:left="709" w:hanging="709"/>
        <w:rPr>
          <w:b/>
          <w:lang w:val="es-ES"/>
        </w:rPr>
      </w:pPr>
      <w:bookmarkStart w:id="337" w:name="_Toc531253875"/>
      <w:bookmarkStart w:id="338" w:name="_Toc2766704"/>
      <w:bookmarkStart w:id="339" w:name="_Toc67921007"/>
      <w:bookmarkStart w:id="340" w:name="_Toc68180581"/>
      <w:bookmarkStart w:id="341" w:name="_Toc131777775"/>
      <w:bookmarkStart w:id="342" w:name="_Toc134002231"/>
      <w:bookmarkStart w:id="343" w:name="_Toc134002405"/>
      <w:bookmarkStart w:id="344" w:name="_Toc190767004"/>
      <w:bookmarkStart w:id="345" w:name="_Toc197955147"/>
      <w:bookmarkStart w:id="346" w:name="_Toc212133540"/>
      <w:r>
        <w:rPr>
          <w:b/>
          <w:lang w:val="es"/>
        </w:rPr>
        <w:t>Elección de los miembros del Consejo Ejecutivo</w:t>
      </w:r>
      <w:bookmarkEnd w:id="337"/>
      <w:bookmarkEnd w:id="338"/>
      <w:bookmarkEnd w:id="339"/>
      <w:bookmarkEnd w:id="340"/>
      <w:bookmarkEnd w:id="341"/>
      <w:bookmarkEnd w:id="342"/>
      <w:bookmarkEnd w:id="343"/>
      <w:bookmarkEnd w:id="344"/>
      <w:bookmarkEnd w:id="345"/>
      <w:bookmarkEnd w:id="346"/>
    </w:p>
    <w:p w14:paraId="05DF0FB6" w14:textId="041746F4" w:rsidR="004E0C86" w:rsidRPr="006C41C4"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tomó nota de que había 10 candidatos para los escaños restantes de los Estados Miembros en el Consejo Ejecutivo para el </w:t>
      </w:r>
      <w:r>
        <w:rPr>
          <w:rFonts w:ascii="Arial" w:hAnsi="Arial" w:cs="Arial"/>
          <w:sz w:val="22"/>
          <w:szCs w:val="22"/>
          <w:u w:val="single"/>
          <w:lang w:val="es"/>
        </w:rPr>
        <w:t>Grupo Electoral I</w:t>
      </w:r>
      <w:r>
        <w:rPr>
          <w:rFonts w:ascii="Arial" w:hAnsi="Arial" w:cs="Arial"/>
          <w:sz w:val="22"/>
          <w:szCs w:val="22"/>
          <w:lang w:val="es"/>
        </w:rPr>
        <w:t xml:space="preserve">, y que el número de esos escaños restantes era de 9, por lo que era necesaria una votación para el Grupo Electoral I. </w:t>
      </w:r>
    </w:p>
    <w:p w14:paraId="596A76DB" w14:textId="0854F4B8" w:rsidR="004E0C86" w:rsidRPr="006C41C4"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tomó nota de que había 3 candidatos para los escaños restantes de los Estados Miembros en el Consejo Ejecutivo para el </w:t>
      </w:r>
      <w:r>
        <w:rPr>
          <w:rFonts w:ascii="Arial" w:hAnsi="Arial" w:cs="Arial"/>
          <w:sz w:val="22"/>
          <w:szCs w:val="22"/>
          <w:u w:val="single"/>
          <w:lang w:val="es"/>
        </w:rPr>
        <w:t>Grupo Electoral II</w:t>
      </w:r>
      <w:r>
        <w:rPr>
          <w:rFonts w:ascii="Arial" w:hAnsi="Arial" w:cs="Arial"/>
          <w:sz w:val="22"/>
          <w:szCs w:val="22"/>
          <w:lang w:val="es"/>
        </w:rPr>
        <w:t>, mientras que el número máximo de esos escaños era de 2 y, en consecuencia, era necesaria una votación para el Grupo Electoral II.</w:t>
      </w:r>
    </w:p>
    <w:p w14:paraId="645EA32C" w14:textId="77777777" w:rsidR="004E0C86" w:rsidRPr="006C41C4"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tomó nota de que había 8 candidatos para los puestos restantes de los Estados Miembros en el Consejo Ejecutivo para el </w:t>
      </w:r>
      <w:r>
        <w:rPr>
          <w:rFonts w:ascii="Arial" w:hAnsi="Arial" w:cs="Arial"/>
          <w:sz w:val="22"/>
          <w:szCs w:val="22"/>
          <w:u w:val="single"/>
          <w:lang w:val="es"/>
        </w:rPr>
        <w:t>Grupo Electoral III</w:t>
      </w:r>
      <w:r>
        <w:rPr>
          <w:rFonts w:ascii="Arial" w:hAnsi="Arial" w:cs="Arial"/>
          <w:sz w:val="22"/>
          <w:szCs w:val="22"/>
          <w:lang w:val="es"/>
        </w:rPr>
        <w:t>. Por lo tanto, los Estados Miembros candidatos se declararon elegidos.</w:t>
      </w:r>
    </w:p>
    <w:p w14:paraId="1DA6B33E" w14:textId="77777777" w:rsidR="004E0C86" w:rsidRPr="006C41C4"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tomó nota de que había 8 candidatos para los puestos restantes de los Estados Miembros en el Consejo Ejecutivo para el </w:t>
      </w:r>
      <w:r>
        <w:rPr>
          <w:rFonts w:ascii="Arial" w:hAnsi="Arial" w:cs="Arial"/>
          <w:sz w:val="22"/>
          <w:szCs w:val="22"/>
          <w:u w:val="single"/>
          <w:lang w:val="es"/>
        </w:rPr>
        <w:t>Grupo Electoral IV</w:t>
      </w:r>
      <w:r>
        <w:rPr>
          <w:rFonts w:ascii="Arial" w:hAnsi="Arial" w:cs="Arial"/>
          <w:sz w:val="22"/>
          <w:szCs w:val="22"/>
          <w:lang w:val="es"/>
        </w:rPr>
        <w:t>. Por lo tanto, los Estados Miembros candidatos se declararon elegidos.</w:t>
      </w:r>
    </w:p>
    <w:p w14:paraId="1F37065A" w14:textId="77777777" w:rsidR="004E0C86" w:rsidRPr="006C41C4"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Asamblea tomó nota de que había 8 candidatos para los puestos restantes de los Estados Miembros en el Consejo Ejecutivo para el </w:t>
      </w:r>
      <w:r>
        <w:rPr>
          <w:rFonts w:ascii="Arial" w:hAnsi="Arial" w:cs="Arial"/>
          <w:sz w:val="22"/>
          <w:szCs w:val="22"/>
          <w:u w:val="single"/>
          <w:lang w:val="es"/>
        </w:rPr>
        <w:t>Grupo Electoral V</w:t>
      </w:r>
      <w:r>
        <w:rPr>
          <w:rFonts w:ascii="Arial" w:hAnsi="Arial" w:cs="Arial"/>
          <w:sz w:val="22"/>
          <w:szCs w:val="22"/>
          <w:lang w:val="es"/>
        </w:rPr>
        <w:t xml:space="preserve"> y de que había 8 puestos. Por lo tanto, los Estados Miembros candidatos se declararon elegidos.</w:t>
      </w:r>
    </w:p>
    <w:p w14:paraId="1CFB6059" w14:textId="6094B96C" w:rsidR="004E0C86" w:rsidRPr="006C41C4"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lastRenderedPageBreak/>
        <w:t>Tras una votación para elegir a los representantes en el Consejo Ejecutivo de los Grupos Electorales I y II, la composición del Consejo Ejecutivo para el próximo periodo entre reuniones figura en la siguiente decisión.</w:t>
      </w:r>
    </w:p>
    <w:p w14:paraId="55321436" w14:textId="30AC0B56" w:rsidR="003C0F7F" w:rsidRPr="006C41C4" w:rsidRDefault="003C0F7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El siguiente Estado Miembro ha optado por dejar constancia de su intervención en el Pleno sobre este punto del orden del día para el anexo informativo del informe de la reunión: Costa de Marfil.</w:t>
      </w:r>
    </w:p>
    <w:p w14:paraId="1B9F6960" w14:textId="36BCA47D" w:rsidR="006A5DB7" w:rsidRPr="006C41C4"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A-33/5.5.3</w:t>
      </w:r>
      <w:r>
        <w:rPr>
          <w:rFonts w:asciiTheme="minorBidi" w:hAnsiTheme="minorBidi" w:cstheme="minorBidi"/>
          <w:sz w:val="22"/>
          <w:szCs w:val="22"/>
          <w:lang w:val="es"/>
        </w:rPr>
        <w:t>.</w:t>
      </w:r>
    </w:p>
    <w:p w14:paraId="527F8491" w14:textId="284C9932" w:rsidR="004156F9" w:rsidRPr="006C41C4" w:rsidRDefault="00761346" w:rsidP="00547D9B">
      <w:pPr>
        <w:pStyle w:val="Heading2"/>
        <w:numPr>
          <w:ilvl w:val="1"/>
          <w:numId w:val="13"/>
        </w:numPr>
        <w:tabs>
          <w:tab w:val="clear" w:pos="737"/>
        </w:tabs>
        <w:ind w:left="851" w:hanging="851"/>
        <w:rPr>
          <w:rFonts w:cs="Arial"/>
          <w:sz w:val="20"/>
          <w:szCs w:val="20"/>
          <w:lang w:val="es-ES"/>
        </w:rPr>
      </w:pPr>
      <w:bookmarkStart w:id="347" w:name="_Toc190767005"/>
      <w:bookmarkStart w:id="348" w:name="_Toc197955148"/>
      <w:bookmarkStart w:id="349" w:name="_Toc212133541"/>
      <w:r>
        <w:rPr>
          <w:rFonts w:cs="Arial"/>
          <w:bCs w:val="0"/>
          <w:szCs w:val="22"/>
          <w:lang w:val="es"/>
        </w:rPr>
        <w:t xml:space="preserve">34ª REUNIÓN DE LA ASAMBLEA </w:t>
      </w:r>
      <w:r>
        <w:rPr>
          <w:rFonts w:cs="Arial"/>
          <w:bCs w:val="0"/>
          <w:szCs w:val="22"/>
          <w:lang w:val="es"/>
        </w:rPr>
        <w:br/>
        <w:t>Y 59ª REUNIÓN DEL CONSEJO EJECUTIVO</w:t>
      </w:r>
      <w:bookmarkEnd w:id="347"/>
      <w:bookmarkEnd w:id="348"/>
      <w:bookmarkEnd w:id="349"/>
    </w:p>
    <w:p w14:paraId="010D93E8" w14:textId="3AA8F68B" w:rsidR="00DF793D" w:rsidRPr="006C41C4" w:rsidRDefault="00A94C8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recordó a la Asamblea las recomendaciones de la 58</w:t>
      </w:r>
      <w:r>
        <w:rPr>
          <w:rFonts w:ascii="Arial" w:hAnsi="Arial" w:cs="Arial"/>
          <w:sz w:val="22"/>
          <w:szCs w:val="22"/>
          <w:vertAlign w:val="superscript"/>
          <w:lang w:val="es"/>
        </w:rPr>
        <w:t>ª</w:t>
      </w:r>
      <w:r>
        <w:rPr>
          <w:rFonts w:ascii="Arial" w:hAnsi="Arial" w:cs="Arial"/>
          <w:sz w:val="22"/>
          <w:szCs w:val="22"/>
          <w:lang w:val="es"/>
        </w:rPr>
        <w:t xml:space="preserve"> reunión del Consejo Ejecutivo, que actúa como Comité Directivo de esta Asamblea, sobre las fechas y la duración de la 59ª reunión del Consejo en 2026 durante 3,5 días y la duración de la 34ª reunión de la Asamblea en 2027 durante 6,5 días (decisión EC-58/4). </w:t>
      </w:r>
    </w:p>
    <w:p w14:paraId="532588CE" w14:textId="7F06F541" w:rsidR="007C5B97" w:rsidRPr="006C41C4" w:rsidRDefault="007C5B9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indicó que la Secretaría había hecho reservas de salas para esas próximas reuniones de los órganos rectores sobre esta base. Las fechas propuestas también se eligieron para que no coincidieran con las del Consejo Ejecutivo de la OMM de 2026.</w:t>
      </w:r>
    </w:p>
    <w:p w14:paraId="00EFEDF9" w14:textId="53D5B130" w:rsidR="00220468" w:rsidRPr="006C41C4" w:rsidRDefault="007C5B9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No obstante,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también recordó </w:t>
      </w:r>
      <w:proofErr w:type="gramStart"/>
      <w:r>
        <w:rPr>
          <w:rFonts w:ascii="Arial" w:hAnsi="Arial" w:cs="Arial"/>
          <w:sz w:val="22"/>
          <w:szCs w:val="22"/>
          <w:lang w:val="es"/>
        </w:rPr>
        <w:t>que</w:t>
      </w:r>
      <w:proofErr w:type="gramEnd"/>
      <w:r>
        <w:rPr>
          <w:rFonts w:ascii="Arial" w:hAnsi="Arial" w:cs="Arial"/>
          <w:sz w:val="22"/>
          <w:szCs w:val="22"/>
          <w:lang w:val="es"/>
        </w:rPr>
        <w:t xml:space="preserve"> en su proyecto de resolución sobre asuntos presupuestarios, la Asamblea le pidió que, en consulta con los Estados Miembros, revisara los métodos de trabajo de los órganos rectores de la COI para ganar en eficacia y presentara recomendaciones concretas al Consejo Ejecutivo en 2026 con vistas a su aplicación en la Asamblea de 2027. Por lo tanto, es posible que las fechas y la duración de la 34ª Asamblea se revisen tras este ejercicio entre reuniones, que llevará a cabo el Grupo Asesor Financiero entre reuniones. </w:t>
      </w:r>
    </w:p>
    <w:p w14:paraId="2145471C" w14:textId="130E6F98" w:rsidR="007D2467" w:rsidRPr="006C41C4" w:rsidRDefault="007D246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En respuesta a una pregunta, 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añadió que la celebración de un Día de las Ciencias Oceánicas durante la próxima reunión de la Asamblea formaría parte de las deliberaciones de la IFAG sobre los métodos de trabajo de los órganos rectores.</w:t>
      </w:r>
    </w:p>
    <w:p w14:paraId="53394588" w14:textId="2B6ECBD4" w:rsidR="00B40D27" w:rsidRPr="006C41C4" w:rsidRDefault="00220468"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Tomaron la palabra los representantes de 2 Estados Miembros. </w:t>
      </w:r>
    </w:p>
    <w:p w14:paraId="4187E64B" w14:textId="68D6CD70" w:rsidR="006A5DB7" w:rsidRPr="006C41C4" w:rsidRDefault="006A5DB7" w:rsidP="00547D9B">
      <w:pPr>
        <w:pStyle w:val="ListParagraph1"/>
        <w:widowControl/>
        <w:numPr>
          <w:ilvl w:val="0"/>
          <w:numId w:val="8"/>
        </w:numPr>
        <w:tabs>
          <w:tab w:val="left" w:pos="851"/>
        </w:tabs>
        <w:snapToGrid w:val="0"/>
        <w:spacing w:after="360"/>
        <w:ind w:left="0" w:firstLine="0"/>
        <w:contextualSpacing w:val="0"/>
        <w:rPr>
          <w:rFonts w:ascii="Arial" w:hAnsi="Arial" w:cs="Arial"/>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A-33/5.6</w:t>
      </w:r>
      <w:r>
        <w:rPr>
          <w:rFonts w:asciiTheme="minorBidi" w:hAnsiTheme="minorBidi" w:cstheme="minorBidi"/>
          <w:sz w:val="22"/>
          <w:szCs w:val="22"/>
          <w:lang w:val="es"/>
        </w:rPr>
        <w:t>.</w:t>
      </w:r>
    </w:p>
    <w:p w14:paraId="572D50E4" w14:textId="38FADFE4" w:rsidR="00DF2EE7" w:rsidRPr="006C41C4" w:rsidRDefault="00BE7B1B" w:rsidP="00547D9B">
      <w:pPr>
        <w:pStyle w:val="Heading1"/>
        <w:numPr>
          <w:ilvl w:val="0"/>
          <w:numId w:val="17"/>
        </w:numPr>
        <w:tabs>
          <w:tab w:val="clear" w:pos="567"/>
        </w:tabs>
        <w:ind w:left="851" w:hanging="851"/>
        <w:rPr>
          <w:rFonts w:cs="Arial"/>
          <w:b w:val="0"/>
          <w:bCs w:val="0"/>
          <w:sz w:val="20"/>
          <w:szCs w:val="20"/>
          <w:lang w:val="es-ES"/>
        </w:rPr>
      </w:pPr>
      <w:bookmarkStart w:id="350" w:name="_Toc197955149"/>
      <w:bookmarkStart w:id="351" w:name="_Toc190767006"/>
      <w:bookmarkStart w:id="352" w:name="_Toc134002407"/>
      <w:bookmarkStart w:id="353" w:name="_Toc134002233"/>
      <w:bookmarkStart w:id="354" w:name="_Toc131777777"/>
      <w:bookmarkStart w:id="355" w:name="_Toc68180583"/>
      <w:bookmarkStart w:id="356" w:name="_Toc67921009"/>
      <w:bookmarkStart w:id="357" w:name="_Toc141510531"/>
      <w:bookmarkStart w:id="358" w:name="_Toc212133542"/>
      <w:r>
        <w:rPr>
          <w:lang w:val="es"/>
        </w:rPr>
        <w:t xml:space="preserve">ADOPCIÓN DE RESOLUCIONES Y MODALIDADES </w:t>
      </w:r>
      <w:r>
        <w:rPr>
          <w:b w:val="0"/>
          <w:bCs w:val="0"/>
          <w:lang w:val="es"/>
        </w:rPr>
        <w:br/>
      </w:r>
      <w:r>
        <w:rPr>
          <w:lang w:val="es"/>
        </w:rPr>
        <w:t>PARA LA FINALIZACIÓN DEL INFORME</w:t>
      </w:r>
      <w:bookmarkEnd w:id="350"/>
      <w:bookmarkEnd w:id="351"/>
      <w:bookmarkEnd w:id="352"/>
      <w:bookmarkEnd w:id="353"/>
      <w:bookmarkEnd w:id="354"/>
      <w:bookmarkEnd w:id="355"/>
      <w:bookmarkEnd w:id="356"/>
      <w:bookmarkEnd w:id="357"/>
      <w:bookmarkEnd w:id="358"/>
    </w:p>
    <w:p w14:paraId="4F601B52" w14:textId="6BB4BADB" w:rsidR="005914EE" w:rsidRPr="006C41C4" w:rsidRDefault="005914EE"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sz w:val="22"/>
          <w:szCs w:val="22"/>
          <w:lang w:val="es"/>
        </w:rPr>
        <w:t xml:space="preserve">El </w:t>
      </w:r>
      <w:proofErr w:type="gramStart"/>
      <w:r>
        <w:rPr>
          <w:rFonts w:ascii="Arial" w:hAnsi="Arial"/>
          <w:sz w:val="22"/>
          <w:szCs w:val="22"/>
          <w:lang w:val="es"/>
        </w:rPr>
        <w:t>Presidente</w:t>
      </w:r>
      <w:proofErr w:type="gramEnd"/>
      <w:r>
        <w:rPr>
          <w:rFonts w:ascii="Arial" w:hAnsi="Arial"/>
          <w:sz w:val="22"/>
          <w:szCs w:val="22"/>
          <w:lang w:val="es"/>
        </w:rPr>
        <w:t xml:space="preserve"> de la COI dio las gracias al Relator</w:t>
      </w:r>
      <w:r>
        <w:rPr>
          <w:lang w:val="es"/>
        </w:rPr>
        <w:t xml:space="preserve"> </w:t>
      </w:r>
      <w:r>
        <w:rPr>
          <w:rFonts w:ascii="Arial" w:hAnsi="Arial"/>
          <w:sz w:val="22"/>
          <w:szCs w:val="22"/>
          <w:lang w:val="es"/>
        </w:rPr>
        <w:t xml:space="preserve">Sr. </w:t>
      </w:r>
      <w:proofErr w:type="spellStart"/>
      <w:r>
        <w:rPr>
          <w:rFonts w:ascii="Arial" w:hAnsi="Arial"/>
          <w:sz w:val="22"/>
          <w:szCs w:val="22"/>
          <w:lang w:val="es"/>
        </w:rPr>
        <w:t>Mitsutaku</w:t>
      </w:r>
      <w:proofErr w:type="spellEnd"/>
      <w:r>
        <w:rPr>
          <w:rFonts w:ascii="Arial" w:hAnsi="Arial"/>
          <w:sz w:val="22"/>
          <w:szCs w:val="22"/>
          <w:lang w:val="es"/>
        </w:rPr>
        <w:t xml:space="preserve"> MAKINO (Japón) por su apoyo a los trabajos de la reunión. </w:t>
      </w:r>
    </w:p>
    <w:p w14:paraId="6B5F3A8F" w14:textId="3AE7F909" w:rsidR="00DE7B5F" w:rsidRPr="006C41C4" w:rsidRDefault="00B16E9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indicó que la Secretaría se había esforzado por redactar el informe narrativo de los debates de cada punto durante la reunión, pero que no había podido finalizar con todo el esmero debido esta tarea en esta fase.</w:t>
      </w:r>
    </w:p>
    <w:p w14:paraId="3504E631" w14:textId="70499F44" w:rsidR="005914EE" w:rsidRPr="006C41C4" w:rsidRDefault="005914E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La </w:t>
      </w:r>
      <w:proofErr w:type="gramStart"/>
      <w:r>
        <w:rPr>
          <w:rFonts w:ascii="Arial" w:hAnsi="Arial" w:cs="Arial"/>
          <w:sz w:val="22"/>
          <w:szCs w:val="22"/>
          <w:lang w:val="es"/>
        </w:rPr>
        <w:t>Secretaria Técnica</w:t>
      </w:r>
      <w:proofErr w:type="gramEnd"/>
      <w:r>
        <w:rPr>
          <w:rFonts w:ascii="Arial" w:hAnsi="Arial" w:cs="Arial"/>
          <w:sz w:val="22"/>
          <w:szCs w:val="22"/>
          <w:lang w:val="es"/>
        </w:rPr>
        <w:t xml:space="preserve"> del Comité de Resoluciones, Sra. Alison Clausen, informó a la Asamblea sobre los trabajos del Comité durante la reunión en nombre del </w:t>
      </w:r>
      <w:proofErr w:type="gramStart"/>
      <w:r>
        <w:rPr>
          <w:rFonts w:ascii="Arial" w:hAnsi="Arial" w:cs="Arial"/>
          <w:sz w:val="22"/>
          <w:szCs w:val="22"/>
          <w:lang w:val="es"/>
        </w:rPr>
        <w:t>Presidente</w:t>
      </w:r>
      <w:proofErr w:type="gramEnd"/>
      <w:r>
        <w:rPr>
          <w:rFonts w:ascii="Arial" w:hAnsi="Arial" w:cs="Arial"/>
          <w:sz w:val="22"/>
          <w:szCs w:val="22"/>
          <w:lang w:val="es"/>
        </w:rPr>
        <w:t xml:space="preserve"> del Comité, Sr. Luís Menezes Pinheiro. La Comisión se reunió en tres ocasiones, los días 27 y 30 de junio y 2 de julio, y estudió tres proyectos de resolución sobre "Fortalecimiento de la Secretaría de IOCAFRICA"; "Ejecución del Decenio de las Naciones Unidas de las Ciencias Oceánicas para el Desarrollo Sostenible (2021-2030)"; y "Cuestiones de gobernanza, programación y presupuestación de la Comisión".</w:t>
      </w:r>
    </w:p>
    <w:p w14:paraId="0812F6B9" w14:textId="536FDB1A" w:rsidR="00D61658" w:rsidRPr="006C41C4" w:rsidRDefault="005914EE" w:rsidP="00547D9B">
      <w:pPr>
        <w:pStyle w:val="ListParagraph1"/>
        <w:widowControl/>
        <w:numPr>
          <w:ilvl w:val="0"/>
          <w:numId w:val="8"/>
        </w:numPr>
        <w:tabs>
          <w:tab w:val="left" w:pos="851"/>
        </w:tabs>
        <w:snapToGrid w:val="0"/>
        <w:spacing w:after="240"/>
        <w:ind w:left="0" w:firstLine="0"/>
        <w:contextualSpacing w:val="0"/>
        <w:rPr>
          <w:rFonts w:ascii="Arial" w:hAnsi="Arial" w:cs="Arial"/>
          <w:i/>
          <w:sz w:val="22"/>
          <w:szCs w:val="22"/>
          <w:lang w:val="es-ES"/>
        </w:rPr>
      </w:pPr>
      <w:r>
        <w:rPr>
          <w:rFonts w:ascii="Arial" w:hAnsi="Arial" w:cs="Arial"/>
          <w:sz w:val="22"/>
          <w:szCs w:val="22"/>
          <w:lang w:val="es"/>
        </w:rPr>
        <w:lastRenderedPageBreak/>
        <w:t xml:space="preserve">A continuación, el </w:t>
      </w:r>
      <w:proofErr w:type="gramStart"/>
      <w:r>
        <w:rPr>
          <w:rFonts w:ascii="Arial" w:hAnsi="Arial" w:cs="Arial"/>
          <w:sz w:val="22"/>
          <w:szCs w:val="22"/>
          <w:lang w:val="es"/>
        </w:rPr>
        <w:t>Presidente</w:t>
      </w:r>
      <w:proofErr w:type="gramEnd"/>
      <w:r>
        <w:rPr>
          <w:rFonts w:ascii="Arial" w:hAnsi="Arial" w:cs="Arial"/>
          <w:sz w:val="22"/>
          <w:szCs w:val="22"/>
          <w:lang w:val="es"/>
        </w:rPr>
        <w:t xml:space="preserve"> de la COI invitó a la Asamblea a aprobar los proyectos de resolución relativos a los puntos 3.3.1, 4.8 y 5.4. </w:t>
      </w:r>
    </w:p>
    <w:p w14:paraId="269B5A97" w14:textId="2FAE4C97" w:rsidR="00B16E9B" w:rsidRPr="006C41C4" w:rsidRDefault="00B16E9B" w:rsidP="00547D9B">
      <w:pPr>
        <w:pStyle w:val="ListParagraph1"/>
        <w:widowControl/>
        <w:numPr>
          <w:ilvl w:val="0"/>
          <w:numId w:val="8"/>
        </w:numPr>
        <w:tabs>
          <w:tab w:val="left" w:pos="851"/>
        </w:tabs>
        <w:snapToGrid w:val="0"/>
        <w:spacing w:after="240"/>
        <w:ind w:left="0" w:firstLine="0"/>
        <w:contextualSpacing w:val="0"/>
        <w:rPr>
          <w:rFonts w:ascii="Arial" w:hAnsi="Arial" w:cs="Arial"/>
          <w:iCs/>
          <w:sz w:val="22"/>
          <w:szCs w:val="22"/>
          <w:lang w:val="es-ES"/>
        </w:rPr>
      </w:pPr>
      <w:r>
        <w:rPr>
          <w:rFonts w:ascii="Arial" w:hAnsi="Arial" w:cs="Arial"/>
          <w:sz w:val="22"/>
          <w:szCs w:val="22"/>
          <w:lang w:val="es"/>
        </w:rPr>
        <w:t xml:space="preserve">Antes del examen del proyecto de resolución sobre el Decenio del Océano, el representante de Alemania, que presidía el grupo de redacción de los párrafos relativos a la cooperación entre la COI y la IPOS, indicó que el grupo, que se había reunido dos veces, había decidido no proponer ninguna formulación sobre esta cuestión en el proyecto de resolución. Por consiguiente, se suprimieron los apartados en cuestión. Francia solicitó que su </w:t>
      </w:r>
      <w:hyperlink w:anchor="fra6" w:history="1">
        <w:r>
          <w:rPr>
            <w:rStyle w:val="Hyperlink"/>
            <w:rFonts w:ascii="Arial" w:hAnsi="Arial" w:cs="Arial"/>
            <w:sz w:val="22"/>
            <w:szCs w:val="22"/>
            <w:lang w:val="es"/>
          </w:rPr>
          <w:t>declaración</w:t>
        </w:r>
      </w:hyperlink>
      <w:r>
        <w:rPr>
          <w:rFonts w:ascii="Arial" w:hAnsi="Arial" w:cs="Arial"/>
          <w:sz w:val="22"/>
          <w:szCs w:val="22"/>
          <w:lang w:val="es"/>
        </w:rPr>
        <w:t xml:space="preserve"> sobre la IPOS se añada al informe de esta asamblea.</w:t>
      </w:r>
    </w:p>
    <w:p w14:paraId="6A4F4B2D" w14:textId="5F0DAFC3" w:rsidR="005D2272" w:rsidRPr="006C41C4" w:rsidRDefault="005D2272" w:rsidP="00547D9B">
      <w:pPr>
        <w:pStyle w:val="ListParagraph1"/>
        <w:widowControl/>
        <w:numPr>
          <w:ilvl w:val="0"/>
          <w:numId w:val="8"/>
        </w:numPr>
        <w:tabs>
          <w:tab w:val="left" w:pos="851"/>
        </w:tabs>
        <w:snapToGrid w:val="0"/>
        <w:spacing w:after="240"/>
        <w:ind w:left="0" w:firstLine="0"/>
        <w:contextualSpacing w:val="0"/>
        <w:rPr>
          <w:rFonts w:ascii="Arial" w:hAnsi="Arial" w:cs="Arial"/>
          <w:iCs/>
          <w:sz w:val="22"/>
          <w:szCs w:val="22"/>
          <w:lang w:val="es-ES"/>
        </w:rPr>
      </w:pPr>
      <w:r>
        <w:rPr>
          <w:rFonts w:ascii="Arial" w:hAnsi="Arial" w:cs="Arial"/>
          <w:sz w:val="22"/>
          <w:szCs w:val="22"/>
          <w:lang w:val="es"/>
        </w:rPr>
        <w:t xml:space="preserve">Sobre la misma resolución, y como mencionó en su declaración inicial ante la Asamblea en el punto 3.2, los </w:t>
      </w:r>
      <w:hyperlink w:anchor="usa6" w:history="1">
        <w:r>
          <w:rPr>
            <w:rStyle w:val="Hyperlink"/>
            <w:rFonts w:ascii="Arial" w:hAnsi="Arial" w:cs="Arial"/>
            <w:sz w:val="22"/>
            <w:szCs w:val="22"/>
            <w:lang w:val="es"/>
          </w:rPr>
          <w:t>Estados Unidos de América</w:t>
        </w:r>
      </w:hyperlink>
      <w:r>
        <w:rPr>
          <w:rFonts w:ascii="Arial" w:hAnsi="Arial" w:cs="Arial"/>
          <w:sz w:val="22"/>
          <w:szCs w:val="22"/>
          <w:lang w:val="es"/>
        </w:rPr>
        <w:t xml:space="preserve"> expresan su deseo de desvincularse del texto del párrafo 5 que reafirma la </w:t>
      </w:r>
      <w:r>
        <w:rPr>
          <w:rFonts w:ascii="Arial" w:hAnsi="Arial" w:cs="Arial"/>
          <w:i/>
          <w:iCs/>
          <w:sz w:val="22"/>
          <w:szCs w:val="22"/>
          <w:lang w:val="es"/>
        </w:rPr>
        <w:t>Declaración de</w:t>
      </w:r>
      <w:r>
        <w:rPr>
          <w:rFonts w:ascii="Arial" w:hAnsi="Arial" w:cs="Arial"/>
          <w:sz w:val="22"/>
          <w:szCs w:val="22"/>
          <w:lang w:val="es"/>
        </w:rPr>
        <w:t xml:space="preserve"> </w:t>
      </w:r>
      <w:r>
        <w:rPr>
          <w:rFonts w:ascii="Arial" w:hAnsi="Arial" w:cs="Arial"/>
          <w:i/>
          <w:iCs/>
          <w:sz w:val="22"/>
          <w:szCs w:val="22"/>
          <w:lang w:val="es"/>
        </w:rPr>
        <w:t>Barcelona</w:t>
      </w:r>
      <w:r>
        <w:rPr>
          <w:rFonts w:ascii="Arial" w:hAnsi="Arial" w:cs="Arial"/>
          <w:sz w:val="22"/>
          <w:szCs w:val="22"/>
          <w:lang w:val="es"/>
        </w:rPr>
        <w:t xml:space="preserve"> y del párrafo 14 relativo al mandato del Consejo Asesor del Decenio. </w:t>
      </w:r>
    </w:p>
    <w:p w14:paraId="74D8426C" w14:textId="053567C4" w:rsidR="004C5516" w:rsidRPr="006C41C4" w:rsidRDefault="004C5516" w:rsidP="00547D9B">
      <w:pPr>
        <w:pStyle w:val="ListParagraph1"/>
        <w:widowControl/>
        <w:numPr>
          <w:ilvl w:val="0"/>
          <w:numId w:val="8"/>
        </w:numPr>
        <w:tabs>
          <w:tab w:val="left" w:pos="851"/>
        </w:tabs>
        <w:snapToGrid w:val="0"/>
        <w:spacing w:after="240"/>
        <w:ind w:left="0" w:firstLine="0"/>
        <w:contextualSpacing w:val="0"/>
        <w:rPr>
          <w:rFonts w:ascii="Arial" w:hAnsi="Arial" w:cs="Arial"/>
          <w:iCs/>
          <w:sz w:val="22"/>
          <w:szCs w:val="22"/>
          <w:lang w:val="es-ES"/>
        </w:rPr>
      </w:pPr>
      <w:r>
        <w:rPr>
          <w:rFonts w:ascii="Arial" w:hAnsi="Arial" w:cs="Arial"/>
          <w:sz w:val="22"/>
          <w:szCs w:val="22"/>
          <w:lang w:val="es"/>
        </w:rPr>
        <w:t>En cuanto a la resolución sobre el "Fortalecimiento de la Secretaría de IOCAFRICA", los Estados Unidos de América expresaron su deseo de desvincularse del texto del párrafo 3 que recuerda la Agenda 2030 y optaron por dejar constancia de su intervención plenaria en el anexo informativo del informe de la reunión.</w:t>
      </w:r>
    </w:p>
    <w:p w14:paraId="720F509B" w14:textId="506B8218" w:rsidR="00F559D5" w:rsidRPr="006C41C4" w:rsidRDefault="00F559D5" w:rsidP="00547D9B">
      <w:pPr>
        <w:pStyle w:val="ListParagraph1"/>
        <w:widowControl/>
        <w:numPr>
          <w:ilvl w:val="0"/>
          <w:numId w:val="8"/>
        </w:numPr>
        <w:tabs>
          <w:tab w:val="left" w:pos="851"/>
        </w:tabs>
        <w:snapToGrid w:val="0"/>
        <w:spacing w:after="240"/>
        <w:ind w:left="0" w:firstLine="0"/>
        <w:contextualSpacing w:val="0"/>
        <w:rPr>
          <w:rFonts w:ascii="Arial" w:hAnsi="Arial" w:cs="Arial"/>
          <w:i/>
          <w:sz w:val="22"/>
          <w:szCs w:val="22"/>
          <w:lang w:val="es-ES"/>
        </w:rPr>
      </w:pPr>
      <w:r>
        <w:rPr>
          <w:rFonts w:ascii="Arial" w:hAnsi="Arial"/>
          <w:sz w:val="22"/>
          <w:szCs w:val="22"/>
          <w:lang w:val="es"/>
        </w:rPr>
        <w:t xml:space="preserve">Poco después de la clausura de la Asamblea, todas las decisiones y resoluciones adoptadas se publicaron en un documento único </w:t>
      </w:r>
      <w:hyperlink r:id="rId87" w:history="1">
        <w:r>
          <w:rPr>
            <w:rStyle w:val="Hyperlink"/>
            <w:rFonts w:ascii="Arial" w:hAnsi="Arial" w:cs="Arial"/>
            <w:sz w:val="22"/>
            <w:szCs w:val="22"/>
            <w:lang w:val="es"/>
          </w:rPr>
          <w:t>IOC/A-33/</w:t>
        </w:r>
        <w:proofErr w:type="spellStart"/>
        <w:r>
          <w:rPr>
            <w:rStyle w:val="Hyperlink"/>
            <w:rFonts w:ascii="Arial" w:hAnsi="Arial" w:cs="Arial"/>
            <w:sz w:val="22"/>
            <w:szCs w:val="22"/>
            <w:lang w:val="es"/>
          </w:rPr>
          <w:t>Decisions</w:t>
        </w:r>
        <w:proofErr w:type="spellEnd"/>
      </w:hyperlink>
      <w:r>
        <w:rPr>
          <w:rFonts w:ascii="Arial" w:hAnsi="Arial"/>
          <w:sz w:val="22"/>
          <w:szCs w:val="22"/>
          <w:lang w:val="es"/>
        </w:rPr>
        <w:t xml:space="preserve"> en las lenguas de la Comisión.</w:t>
      </w:r>
      <w:r>
        <w:rPr>
          <w:rFonts w:ascii="Arial" w:hAnsi="Arial"/>
          <w:sz w:val="22"/>
          <w:lang w:val="es"/>
        </w:rPr>
        <w:t xml:space="preserve"> </w:t>
      </w:r>
    </w:p>
    <w:p w14:paraId="39C4B898" w14:textId="72F5474A" w:rsidR="006A5DB7" w:rsidRPr="006C41C4"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i/>
          <w:sz w:val="20"/>
          <w:szCs w:val="20"/>
          <w:lang w:val="es-ES"/>
        </w:rPr>
      </w:pPr>
      <w:r>
        <w:rPr>
          <w:rFonts w:asciiTheme="minorBidi" w:hAnsiTheme="minorBidi" w:cstheme="minorBidi"/>
          <w:sz w:val="22"/>
          <w:szCs w:val="22"/>
          <w:lang w:val="es"/>
        </w:rPr>
        <w:t xml:space="preserve">La Asamblea adoptó la </w:t>
      </w:r>
      <w:r>
        <w:rPr>
          <w:rFonts w:asciiTheme="minorBidi" w:hAnsiTheme="minorBidi" w:cstheme="minorBidi"/>
          <w:sz w:val="22"/>
          <w:szCs w:val="22"/>
          <w:u w:val="single"/>
          <w:lang w:val="es"/>
        </w:rPr>
        <w:t>Decisión A-33/6</w:t>
      </w:r>
      <w:r>
        <w:rPr>
          <w:rFonts w:asciiTheme="minorBidi" w:hAnsiTheme="minorBidi" w:cstheme="minorBidi"/>
          <w:sz w:val="22"/>
          <w:szCs w:val="22"/>
          <w:lang w:val="es"/>
        </w:rPr>
        <w:t>.</w:t>
      </w:r>
    </w:p>
    <w:p w14:paraId="3CA5AE98" w14:textId="77777777" w:rsidR="004156F9" w:rsidRPr="00AE71B5" w:rsidRDefault="004156F9" w:rsidP="00B21807">
      <w:pPr>
        <w:pStyle w:val="Heading1"/>
        <w:numPr>
          <w:ilvl w:val="0"/>
          <w:numId w:val="17"/>
        </w:numPr>
        <w:tabs>
          <w:tab w:val="clear" w:pos="567"/>
        </w:tabs>
        <w:spacing w:before="120"/>
        <w:ind w:left="851" w:hanging="851"/>
      </w:pPr>
      <w:bookmarkStart w:id="359" w:name="_Toc197955150"/>
      <w:bookmarkStart w:id="360" w:name="_Toc190767007"/>
      <w:bookmarkStart w:id="361" w:name="_Toc134002408"/>
      <w:bookmarkStart w:id="362" w:name="_Toc134002234"/>
      <w:bookmarkStart w:id="363" w:name="_Toc131777778"/>
      <w:bookmarkStart w:id="364" w:name="_Toc68180584"/>
      <w:bookmarkStart w:id="365" w:name="_Toc67921010"/>
      <w:bookmarkStart w:id="366" w:name="_Toc2766707"/>
      <w:bookmarkStart w:id="367" w:name="_Toc531253879"/>
      <w:bookmarkStart w:id="368" w:name="_Toc212133543"/>
      <w:r>
        <w:rPr>
          <w:lang w:val="es"/>
        </w:rPr>
        <w:t>CIERRE</w:t>
      </w:r>
      <w:bookmarkEnd w:id="359"/>
      <w:bookmarkEnd w:id="360"/>
      <w:bookmarkEnd w:id="361"/>
      <w:bookmarkEnd w:id="362"/>
      <w:bookmarkEnd w:id="363"/>
      <w:bookmarkEnd w:id="364"/>
      <w:bookmarkEnd w:id="365"/>
      <w:bookmarkEnd w:id="366"/>
      <w:bookmarkEnd w:id="367"/>
      <w:bookmarkEnd w:id="368"/>
    </w:p>
    <w:p w14:paraId="3494EA19" w14:textId="1ABE32FF" w:rsidR="00855D27" w:rsidRPr="006C41C4" w:rsidRDefault="00B9576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Para concluir la reunión, el </w:t>
      </w:r>
      <w:proofErr w:type="gramStart"/>
      <w:r>
        <w:rPr>
          <w:rFonts w:ascii="Arial" w:hAnsi="Arial" w:cs="Arial"/>
          <w:sz w:val="22"/>
          <w:szCs w:val="22"/>
          <w:lang w:val="es"/>
        </w:rPr>
        <w:t>Presidente</w:t>
      </w:r>
      <w:proofErr w:type="gramEnd"/>
      <w:r>
        <w:rPr>
          <w:rFonts w:ascii="Arial" w:hAnsi="Arial" w:cs="Arial"/>
          <w:sz w:val="22"/>
          <w:szCs w:val="22"/>
          <w:lang w:val="es"/>
        </w:rPr>
        <w:t xml:space="preserve"> expresó su agradecimiento a los Estados Miembros por su apoyo a su reelección como </w:t>
      </w:r>
      <w:proofErr w:type="gramStart"/>
      <w:r>
        <w:rPr>
          <w:rFonts w:ascii="Arial" w:hAnsi="Arial" w:cs="Arial"/>
          <w:sz w:val="22"/>
          <w:szCs w:val="22"/>
          <w:lang w:val="es"/>
        </w:rPr>
        <w:t>Presidente</w:t>
      </w:r>
      <w:proofErr w:type="gramEnd"/>
      <w:r>
        <w:rPr>
          <w:rFonts w:ascii="Arial" w:hAnsi="Arial" w:cs="Arial"/>
          <w:sz w:val="22"/>
          <w:szCs w:val="22"/>
          <w:lang w:val="es"/>
        </w:rPr>
        <w:t xml:space="preserve"> e invitó a todos los miembros de la Mesa recién elegidos a trabajar en equipo. También dio las gracias a los intérpretes y a todos los servicios que trabajan entre bastidores, así como al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y a su personal. </w:t>
      </w:r>
    </w:p>
    <w:p w14:paraId="1653B4C6" w14:textId="1CA07BC1" w:rsidR="003678D9" w:rsidRPr="006C41C4" w:rsidRDefault="003F2C1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pidió una colaboración aún más eficaz para responder a los cambios drásticos que se están acelerando en el 95 % de la biosfera que es el océano. La COI se enfrenta a una creciente demanda de observaciones de los océanos, datos, equidad, conocimientos y preparación frente a los múltiples riesgos oceánicos, todo lo cual forma parte de su mandato y constituye una base necesaria para mejorar las políticas, las decisiones y las acciones. </w:t>
      </w:r>
    </w:p>
    <w:p w14:paraId="243DCA0F" w14:textId="537DE492" w:rsidR="00855D27" w:rsidRPr="006C41C4" w:rsidRDefault="00855D2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hAnsi="Arial" w:cs="Arial"/>
          <w:sz w:val="22"/>
          <w:szCs w:val="22"/>
          <w:lang w:val="es"/>
        </w:rPr>
        <w:t xml:space="preserve">El </w:t>
      </w:r>
      <w:proofErr w:type="gramStart"/>
      <w:r>
        <w:rPr>
          <w:rFonts w:ascii="Arial" w:hAnsi="Arial" w:cs="Arial"/>
          <w:sz w:val="22"/>
          <w:szCs w:val="22"/>
          <w:lang w:val="es"/>
        </w:rPr>
        <w:t>Presidente</w:t>
      </w:r>
      <w:proofErr w:type="gramEnd"/>
      <w:r>
        <w:rPr>
          <w:rFonts w:ascii="Arial" w:hAnsi="Arial" w:cs="Arial"/>
          <w:sz w:val="22"/>
          <w:szCs w:val="22"/>
          <w:lang w:val="es"/>
        </w:rPr>
        <w:t xml:space="preserve"> de la Comisión, el Profesor Yutaka Michida, clausuró la 33ª reunión de la Asamblea a las 12:10 del jueves 3 de julio de 2025.</w:t>
      </w:r>
    </w:p>
    <w:p w14:paraId="67DACB63" w14:textId="663F91AC" w:rsidR="006C41C4" w:rsidRPr="006C41C4" w:rsidRDefault="006C41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es-ES"/>
        </w:rPr>
      </w:pPr>
      <w:r>
        <w:rPr>
          <w:rFonts w:ascii="Arial" w:eastAsia="Arial" w:hAnsi="Arial" w:cs="Arial"/>
          <w:sz w:val="22"/>
          <w:szCs w:val="22"/>
          <w:lang w:val="es"/>
        </w:rPr>
        <w:t>La Asamblea se reunió en sesión plenaria durante 6,5 días, incluido un Día de las Ciencias Oceánicas, del 25 de junio al 3 de julio, examinó 32 puntos de su orden del día y aprobó 28 decisiones y 3 resoluciones. La sesión plenaria contó con el apoyo de 4 reuniones preparatorias, 5 actos paralelos, 4 reuniones regionales de información y 15 reuniones de comités y grupos de redacción.</w:t>
      </w:r>
    </w:p>
    <w:bookmarkEnd w:id="100"/>
    <w:bookmarkEnd w:id="101"/>
    <w:bookmarkEnd w:id="102"/>
    <w:bookmarkEnd w:id="103"/>
    <w:bookmarkEnd w:id="104"/>
    <w:p w14:paraId="0083D0C1" w14:textId="23113589" w:rsidR="00A65F27" w:rsidRPr="006C41C4" w:rsidRDefault="00A65F27" w:rsidP="00B21807">
      <w:pPr>
        <w:pStyle w:val="ListParagraph1"/>
        <w:widowControl/>
        <w:tabs>
          <w:tab w:val="left" w:pos="851"/>
        </w:tabs>
        <w:snapToGrid w:val="0"/>
        <w:spacing w:after="240"/>
        <w:ind w:left="0"/>
        <w:rPr>
          <w:lang w:val="es-ES"/>
        </w:rPr>
      </w:pPr>
    </w:p>
    <w:p w14:paraId="508CF788" w14:textId="77777777" w:rsidR="00724568" w:rsidRPr="006C41C4" w:rsidRDefault="00724568" w:rsidP="00CC01ED">
      <w:pPr>
        <w:pStyle w:val="ListParagraph1"/>
        <w:rPr>
          <w:lang w:val="es-ES"/>
        </w:rPr>
      </w:pPr>
    </w:p>
    <w:p w14:paraId="7E8054A8" w14:textId="77777777" w:rsidR="00724568" w:rsidRPr="006C41C4" w:rsidRDefault="00724568" w:rsidP="00CC01ED">
      <w:pPr>
        <w:pStyle w:val="ListParagraph1"/>
        <w:rPr>
          <w:lang w:val="es-ES"/>
        </w:rPr>
        <w:sectPr w:rsidR="00724568" w:rsidRPr="006C41C4" w:rsidSect="0078063F">
          <w:headerReference w:type="even" r:id="rId88"/>
          <w:headerReference w:type="default" r:id="rId89"/>
          <w:headerReference w:type="first" r:id="rId90"/>
          <w:type w:val="oddPage"/>
          <w:pgSz w:w="11907" w:h="16840" w:code="9"/>
          <w:pgMar w:top="1304" w:right="1268" w:bottom="1134" w:left="1288" w:header="851" w:footer="737" w:gutter="0"/>
          <w:pgNumType w:start="1"/>
          <w:cols w:space="708"/>
          <w:titlePg/>
          <w:docGrid w:linePitch="360"/>
        </w:sectPr>
      </w:pPr>
    </w:p>
    <w:p w14:paraId="627A58B1" w14:textId="62B16F41" w:rsidR="006C41C4" w:rsidRPr="006C41C4" w:rsidRDefault="006C41C4" w:rsidP="006C41C4">
      <w:pPr>
        <w:pStyle w:val="ListParagraph1"/>
        <w:ind w:left="0"/>
        <w:jc w:val="center"/>
        <w:rPr>
          <w:rFonts w:ascii="Arial" w:hAnsi="Arial" w:cs="Arial"/>
          <w:b/>
          <w:bCs/>
          <w:lang w:val="es-ES"/>
        </w:rPr>
      </w:pPr>
      <w:bookmarkStart w:id="369" w:name="InfAnnex"/>
      <w:r w:rsidRPr="006C41C4">
        <w:rPr>
          <w:rFonts w:ascii="Arial" w:hAnsi="Arial" w:cs="Arial"/>
          <w:b/>
          <w:bCs/>
          <w:lang w:val="es-ES"/>
        </w:rPr>
        <w:lastRenderedPageBreak/>
        <w:t>ANEX</w:t>
      </w:r>
      <w:bookmarkEnd w:id="369"/>
      <w:r w:rsidRPr="006C41C4">
        <w:rPr>
          <w:rFonts w:ascii="Arial" w:hAnsi="Arial" w:cs="Arial"/>
          <w:b/>
          <w:bCs/>
          <w:lang w:val="es-ES"/>
        </w:rPr>
        <w:t>O</w:t>
      </w:r>
    </w:p>
    <w:p w14:paraId="0AA976CA" w14:textId="77777777" w:rsidR="006C41C4" w:rsidRPr="006C41C4" w:rsidRDefault="006C41C4" w:rsidP="006C41C4">
      <w:pPr>
        <w:pStyle w:val="ListParagraph1"/>
        <w:ind w:left="0"/>
        <w:jc w:val="center"/>
        <w:rPr>
          <w:rFonts w:ascii="Arial" w:hAnsi="Arial" w:cs="Arial"/>
          <w:lang w:val="es-ES"/>
        </w:rPr>
      </w:pPr>
    </w:p>
    <w:p w14:paraId="223ED9DC" w14:textId="77777777" w:rsidR="006C41C4" w:rsidRPr="006C41C4" w:rsidRDefault="006C41C4" w:rsidP="006C41C4">
      <w:pPr>
        <w:pStyle w:val="ListParagraph1"/>
        <w:ind w:left="0"/>
        <w:jc w:val="center"/>
        <w:rPr>
          <w:rFonts w:ascii="Arial" w:hAnsi="Arial" w:cs="Arial"/>
          <w:lang w:val="es-ES"/>
        </w:rPr>
      </w:pPr>
    </w:p>
    <w:p w14:paraId="6038826B" w14:textId="77777777" w:rsidR="006C41C4" w:rsidRPr="006C41C4" w:rsidRDefault="006C41C4" w:rsidP="006C41C4">
      <w:pPr>
        <w:pStyle w:val="ListParagraph1"/>
        <w:ind w:left="0"/>
        <w:jc w:val="center"/>
        <w:rPr>
          <w:rFonts w:ascii="Arial" w:hAnsi="Arial" w:cs="Arial"/>
          <w:lang w:val="es-ES"/>
        </w:rPr>
      </w:pPr>
    </w:p>
    <w:p w14:paraId="72F0373B" w14:textId="77777777" w:rsidR="006C41C4" w:rsidRPr="006C41C4" w:rsidRDefault="006C41C4" w:rsidP="006C41C4">
      <w:pPr>
        <w:pStyle w:val="ListParagraph1"/>
        <w:ind w:left="0"/>
        <w:jc w:val="center"/>
        <w:rPr>
          <w:rFonts w:ascii="Arial" w:hAnsi="Arial" w:cs="Arial"/>
          <w:lang w:val="es-ES"/>
        </w:rPr>
      </w:pPr>
    </w:p>
    <w:p w14:paraId="0483D603" w14:textId="3C3F1D31" w:rsidR="006C41C4" w:rsidRPr="00AE71B5" w:rsidRDefault="006C41C4" w:rsidP="006C41C4">
      <w:pPr>
        <w:pStyle w:val="ListParagraph1"/>
        <w:pBdr>
          <w:top w:val="single" w:sz="4" w:space="1" w:color="auto"/>
          <w:left w:val="single" w:sz="4" w:space="4" w:color="auto"/>
          <w:bottom w:val="single" w:sz="4" w:space="1" w:color="auto"/>
          <w:right w:val="single" w:sz="4" w:space="4" w:color="auto"/>
        </w:pBdr>
        <w:ind w:left="0"/>
        <w:rPr>
          <w:rFonts w:ascii="Arial" w:hAnsi="Arial" w:cs="Arial"/>
        </w:rPr>
      </w:pPr>
      <w:r w:rsidRPr="006C41C4">
        <w:rPr>
          <w:rFonts w:ascii="Arial" w:hAnsi="Arial" w:cs="Arial"/>
          <w:lang w:val="es-ES"/>
        </w:rPr>
        <w:t xml:space="preserve">Registro de las intervenciones realizadas en la 33ª reunión de la Asamblea de la COI que fueron facilitadas a la Secretaría de la COI por los Estados Miembros y los observadores. </w:t>
      </w:r>
      <w:r w:rsidRPr="006C41C4">
        <w:rPr>
          <w:rFonts w:ascii="Arial" w:hAnsi="Arial" w:cs="Arial"/>
        </w:rPr>
        <w:t xml:space="preserve">Las </w:t>
      </w:r>
      <w:proofErr w:type="spellStart"/>
      <w:r w:rsidRPr="006C41C4">
        <w:rPr>
          <w:rFonts w:ascii="Arial" w:hAnsi="Arial" w:cs="Arial"/>
        </w:rPr>
        <w:t>intervenciones</w:t>
      </w:r>
      <w:proofErr w:type="spellEnd"/>
      <w:r w:rsidRPr="006C41C4">
        <w:rPr>
          <w:rFonts w:ascii="Arial" w:hAnsi="Arial" w:cs="Arial"/>
        </w:rPr>
        <w:t xml:space="preserve"> se </w:t>
      </w:r>
      <w:proofErr w:type="spellStart"/>
      <w:r w:rsidRPr="006C41C4">
        <w:rPr>
          <w:rFonts w:ascii="Arial" w:hAnsi="Arial" w:cs="Arial"/>
        </w:rPr>
        <w:t>reproducen</w:t>
      </w:r>
      <w:proofErr w:type="spellEnd"/>
      <w:r w:rsidRPr="006C41C4">
        <w:rPr>
          <w:rFonts w:ascii="Arial" w:hAnsi="Arial" w:cs="Arial"/>
        </w:rPr>
        <w:t xml:space="preserve"> sin </w:t>
      </w:r>
      <w:proofErr w:type="spellStart"/>
      <w:r w:rsidRPr="006C41C4">
        <w:rPr>
          <w:rFonts w:ascii="Arial" w:hAnsi="Arial" w:cs="Arial"/>
        </w:rPr>
        <w:t>revisión</w:t>
      </w:r>
      <w:proofErr w:type="spellEnd"/>
      <w:r w:rsidRPr="006C41C4">
        <w:rPr>
          <w:rFonts w:ascii="Arial" w:hAnsi="Arial" w:cs="Arial"/>
        </w:rPr>
        <w:t xml:space="preserve"> </w:t>
      </w:r>
      <w:proofErr w:type="spellStart"/>
      <w:r w:rsidRPr="006C41C4">
        <w:rPr>
          <w:rFonts w:ascii="Arial" w:hAnsi="Arial" w:cs="Arial"/>
        </w:rPr>
        <w:t>ni</w:t>
      </w:r>
      <w:proofErr w:type="spellEnd"/>
      <w:r w:rsidRPr="006C41C4">
        <w:rPr>
          <w:rFonts w:ascii="Arial" w:hAnsi="Arial" w:cs="Arial"/>
        </w:rPr>
        <w:t xml:space="preserve"> </w:t>
      </w:r>
      <w:proofErr w:type="spellStart"/>
      <w:r w:rsidRPr="006C41C4">
        <w:rPr>
          <w:rFonts w:ascii="Arial" w:hAnsi="Arial" w:cs="Arial"/>
        </w:rPr>
        <w:t>verificación</w:t>
      </w:r>
      <w:proofErr w:type="spellEnd"/>
      <w:r w:rsidRPr="006C41C4">
        <w:rPr>
          <w:rFonts w:ascii="Arial" w:hAnsi="Arial" w:cs="Arial"/>
        </w:rPr>
        <w:t>.</w:t>
      </w:r>
    </w:p>
    <w:p w14:paraId="50B5E311" w14:textId="77777777" w:rsidR="006C41C4" w:rsidRPr="00AE71B5" w:rsidRDefault="006C41C4" w:rsidP="006C41C4">
      <w:pPr>
        <w:pStyle w:val="ListParagraph1"/>
        <w:ind w:left="0"/>
        <w:rPr>
          <w:rFonts w:ascii="Arial" w:hAnsi="Arial" w:cs="Arial"/>
        </w:rPr>
      </w:pPr>
    </w:p>
    <w:p w14:paraId="6CD4E2EF" w14:textId="77777777" w:rsidR="006C41C4" w:rsidRPr="00AE71B5" w:rsidRDefault="006C41C4" w:rsidP="006C41C4">
      <w:pPr>
        <w:shd w:val="clear" w:color="auto" w:fill="D0CECE"/>
        <w:spacing w:before="240" w:after="120"/>
        <w:rPr>
          <w:rFonts w:ascii="Arial" w:hAnsi="Arial" w:cs="Arial"/>
          <w:b/>
          <w:sz w:val="22"/>
          <w:szCs w:val="22"/>
        </w:rPr>
      </w:pPr>
      <w:r w:rsidRPr="00AE71B5">
        <w:rPr>
          <w:rFonts w:ascii="Arial" w:hAnsi="Arial" w:cs="Arial"/>
          <w:b/>
          <w:sz w:val="22"/>
          <w:szCs w:val="22"/>
        </w:rPr>
        <w:t>3.1</w:t>
      </w:r>
      <w:r w:rsidRPr="00AE71B5">
        <w:rPr>
          <w:rFonts w:ascii="Arial" w:hAnsi="Arial" w:cs="Arial"/>
          <w:b/>
          <w:sz w:val="22"/>
          <w:szCs w:val="22"/>
        </w:rPr>
        <w:tab/>
        <w:t>Statement of the Chairperson</w:t>
      </w:r>
    </w:p>
    <w:p w14:paraId="3E12C9E9" w14:textId="77777777" w:rsidR="006C41C4" w:rsidRPr="00AE71B5" w:rsidRDefault="006C41C4" w:rsidP="006C41C4">
      <w:pPr>
        <w:keepNext/>
        <w:snapToGrid/>
        <w:spacing w:after="120"/>
        <w:rPr>
          <w:rFonts w:ascii="Arial" w:hAnsi="Arial" w:cs="Arial"/>
          <w:b/>
          <w:sz w:val="22"/>
          <w:szCs w:val="22"/>
        </w:rPr>
      </w:pPr>
      <w:bookmarkStart w:id="370" w:name="Australia_3_2"/>
      <w:bookmarkStart w:id="371" w:name="lib31"/>
      <w:r w:rsidRPr="00AE71B5">
        <w:rPr>
          <w:rFonts w:ascii="Arial" w:hAnsi="Arial" w:cs="Arial"/>
          <w:b/>
          <w:sz w:val="22"/>
          <w:szCs w:val="22"/>
        </w:rPr>
        <w:t>Liberia</w:t>
      </w:r>
    </w:p>
    <w:bookmarkEnd w:id="370"/>
    <w:bookmarkEnd w:id="371"/>
    <w:p w14:paraId="71D8B673"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It is with profound gratitude and joy that I stand before you today on behalf of Liberia, to express our heartfelt appreciation for admitting our nation as the 151st member of this respected global community. This milestone marks a significant chapter in Liberia’s journey toward contributing meaningfully to the sustenance and stewardship of our world’s oceans. Your recognition of Liberia's commitment to oceanographic collaboration and conservation honors not only our aspirations but also our unwavering resolve to advance our shared goals.</w:t>
      </w:r>
    </w:p>
    <w:p w14:paraId="21DC4C92"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oceans are central to the survival and prosperity of all nations, and Liberia, with its rich maritime heritage, understands deeply the necessity of collective action in preserving these vital ecosystems. We believe that the work carried out by the IOC is indispensable, and we are eager to lend our voice and resources to its important mission. I am also pleased to inform this assembly that Liberia has ratified the Biodiversity Beyond National Jurisdiction (BBNJ) Agreement, underscoring our dedication to safeguarding biodiversity in areas beyond national jurisdiction. This act of ratification is a testament to Liberia’s alignment with the principles of sustainable development and international cooperation. We recognize the agreement as a cornerstone in addressing the pressing challenges facing our oceans, and we reaffirm our commitment to implement its provisions with vigor and responsibility.</w:t>
      </w:r>
    </w:p>
    <w:p w14:paraId="1B723B02"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Liberia stands ready to support the work of the IOC, not merely as a member in name, but as an active participant in initiatives that promote scientific research, capacity building, and the sustainable management of marine resources. We pledge to bring our perspectives, energy, and collaboration to the table, assisting in the realization of the IOC’s strategic objectives and driving forward the international agenda for ocean health and resilience. </w:t>
      </w:r>
    </w:p>
    <w:p w14:paraId="084E7786"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Once again, allow me to convey Liberia’s heartfelt thanks for this honor. We are proud to join this esteemed body and are determined to contribute to its legacy of excellence in oceanographic science and governance.</w:t>
      </w:r>
    </w:p>
    <w:p w14:paraId="454C0135" w14:textId="77777777" w:rsidR="006C41C4" w:rsidRPr="00AE71B5" w:rsidRDefault="006C41C4" w:rsidP="006C41C4">
      <w:pPr>
        <w:keepNext/>
        <w:snapToGrid/>
        <w:spacing w:after="120"/>
        <w:rPr>
          <w:rFonts w:ascii="Arial" w:hAnsi="Arial" w:cs="Arial"/>
          <w:b/>
          <w:sz w:val="22"/>
          <w:szCs w:val="22"/>
          <w:lang w:val="en-US"/>
        </w:rPr>
      </w:pPr>
      <w:bookmarkStart w:id="372" w:name="rus31"/>
      <w:r w:rsidRPr="00AE71B5">
        <w:rPr>
          <w:rFonts w:ascii="Arial" w:hAnsi="Arial" w:cs="Arial"/>
          <w:b/>
          <w:sz w:val="22"/>
          <w:szCs w:val="22"/>
          <w:lang w:val="en-US"/>
        </w:rPr>
        <w:t>Russian Federation</w:t>
      </w:r>
    </w:p>
    <w:bookmarkEnd w:id="372"/>
    <w:p w14:paraId="0FD72A92"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Russian Federation approves the work of the IOC Chairman Dr. Yutaka Michida (Japan). We also stress that Russian Federation continuously supports all IOC flagship programs, including ocean observing systems, data management, tsunami warning, ocean mapping, training, capacity building and others.</w:t>
      </w:r>
    </w:p>
    <w:p w14:paraId="4C88CE1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acknowledge the key role of the IOC regional </w:t>
      </w:r>
      <w:proofErr w:type="spellStart"/>
      <w:r w:rsidRPr="00AE71B5">
        <w:rPr>
          <w:rFonts w:ascii="Arial" w:eastAsia="Simsun (Founder Extended)" w:hAnsi="Arial" w:cs="Arial"/>
          <w:snapToGrid/>
          <w:sz w:val="22"/>
          <w:szCs w:val="22"/>
          <w:lang w:val="en-US"/>
        </w:rPr>
        <w:t>subcommissions</w:t>
      </w:r>
      <w:proofErr w:type="spellEnd"/>
      <w:r w:rsidRPr="00AE71B5">
        <w:rPr>
          <w:rFonts w:ascii="Arial" w:eastAsia="Simsun (Founder Extended)" w:hAnsi="Arial" w:cs="Arial"/>
          <w:snapToGrid/>
          <w:sz w:val="22"/>
          <w:szCs w:val="22"/>
          <w:lang w:val="en-US"/>
        </w:rPr>
        <w:t>, specifically WESTPAC, IOCINDIO, IOCAFRICA, IOCARIBE, in the implementation of the Commission's programs and in the development and maintenance of scientific and technical infrastructure in coastal states. These are very formats and platforms where the long-term partnership is formed along with carrying ocean observations, transfer of technology and capacity building.</w:t>
      </w:r>
    </w:p>
    <w:p w14:paraId="3758661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Information about the contribution to the main programs by Russia will be presented during the Assembly, and submitted in written form:</w:t>
      </w:r>
    </w:p>
    <w:p w14:paraId="55521AC2"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Specifically, these include:</w:t>
      </w:r>
    </w:p>
    <w:p w14:paraId="49D97578" w14:textId="77777777" w:rsidR="006C41C4" w:rsidRPr="00AE71B5" w:rsidRDefault="006C41C4" w:rsidP="006C41C4">
      <w:pPr>
        <w:autoSpaceDE w:val="0"/>
        <w:autoSpaceDN w:val="0"/>
        <w:adjustRightInd w:val="0"/>
        <w:rPr>
          <w:rFonts w:ascii="Arial" w:hAnsi="Arial" w:cs="Arial"/>
          <w:sz w:val="22"/>
          <w:szCs w:val="22"/>
          <w:lang w:val="en-US"/>
        </w:rPr>
      </w:pPr>
      <w:r w:rsidRPr="00AE71B5">
        <w:rPr>
          <w:rFonts w:ascii="Arial" w:hAnsi="Arial" w:cs="Arial"/>
          <w:sz w:val="22"/>
          <w:szCs w:val="22"/>
          <w:lang w:val="en-US"/>
        </w:rPr>
        <w:lastRenderedPageBreak/>
        <w:t>a) Development of observational scientific infrastructure in the Arctic Ocean (contribution to the Global Ocean Observing System, GOOS).</w:t>
      </w:r>
    </w:p>
    <w:p w14:paraId="367C5323" w14:textId="77777777" w:rsidR="006C41C4" w:rsidRPr="00AE71B5" w:rsidRDefault="006C41C4" w:rsidP="006C41C4">
      <w:pPr>
        <w:autoSpaceDE w:val="0"/>
        <w:autoSpaceDN w:val="0"/>
        <w:adjustRightInd w:val="0"/>
        <w:rPr>
          <w:rFonts w:ascii="Arial" w:hAnsi="Arial" w:cs="Arial"/>
          <w:sz w:val="22"/>
          <w:szCs w:val="22"/>
          <w:lang w:val="en-US"/>
        </w:rPr>
      </w:pPr>
      <w:r w:rsidRPr="00AE71B5">
        <w:rPr>
          <w:rFonts w:ascii="Arial" w:hAnsi="Arial" w:cs="Arial"/>
          <w:sz w:val="22"/>
          <w:szCs w:val="22"/>
          <w:lang w:val="en-US"/>
        </w:rPr>
        <w:t>b) Development of the marine observing systems in the Arctic (contribution to GOOS).</w:t>
      </w:r>
    </w:p>
    <w:p w14:paraId="5A8E37AF" w14:textId="77777777" w:rsidR="006C41C4" w:rsidRPr="00AE71B5" w:rsidRDefault="006C41C4" w:rsidP="006C41C4">
      <w:pPr>
        <w:autoSpaceDE w:val="0"/>
        <w:autoSpaceDN w:val="0"/>
        <w:adjustRightInd w:val="0"/>
        <w:rPr>
          <w:rFonts w:ascii="Arial" w:hAnsi="Arial" w:cs="Arial"/>
          <w:sz w:val="22"/>
          <w:szCs w:val="22"/>
          <w:lang w:val="en-US"/>
        </w:rPr>
      </w:pPr>
      <w:r w:rsidRPr="00AE71B5">
        <w:rPr>
          <w:rFonts w:ascii="Arial" w:hAnsi="Arial" w:cs="Arial"/>
          <w:sz w:val="22"/>
          <w:szCs w:val="22"/>
          <w:lang w:val="en-US"/>
        </w:rPr>
        <w:t>c) Development of satellite observing systems in the Arctic (contribution to the GOOS space subsystem).</w:t>
      </w:r>
    </w:p>
    <w:p w14:paraId="1CFB29D7" w14:textId="77777777" w:rsidR="006C41C4" w:rsidRPr="00AE71B5" w:rsidRDefault="006C41C4" w:rsidP="006C41C4">
      <w:pPr>
        <w:autoSpaceDE w:val="0"/>
        <w:autoSpaceDN w:val="0"/>
        <w:adjustRightInd w:val="0"/>
        <w:rPr>
          <w:rFonts w:ascii="Arial" w:hAnsi="Arial" w:cs="Arial"/>
          <w:sz w:val="22"/>
          <w:szCs w:val="22"/>
          <w:lang w:val="en-US"/>
        </w:rPr>
      </w:pPr>
      <w:r w:rsidRPr="00AE71B5">
        <w:rPr>
          <w:rFonts w:ascii="Arial" w:hAnsi="Arial" w:cs="Arial"/>
          <w:sz w:val="22"/>
          <w:szCs w:val="22"/>
          <w:lang w:val="en-US"/>
        </w:rPr>
        <w:t>d) Intensifying the Floating Universities program (contribution to capacity building).</w:t>
      </w:r>
    </w:p>
    <w:p w14:paraId="6A80DAD8" w14:textId="77777777" w:rsidR="006C41C4" w:rsidRPr="00AE71B5" w:rsidRDefault="006C41C4" w:rsidP="006C41C4">
      <w:pPr>
        <w:autoSpaceDE w:val="0"/>
        <w:autoSpaceDN w:val="0"/>
        <w:adjustRightInd w:val="0"/>
        <w:rPr>
          <w:rFonts w:ascii="Arial" w:hAnsi="Arial" w:cs="Arial"/>
          <w:sz w:val="22"/>
          <w:szCs w:val="22"/>
          <w:lang w:val="en-US"/>
        </w:rPr>
      </w:pPr>
      <w:r w:rsidRPr="00AE71B5">
        <w:rPr>
          <w:rFonts w:ascii="Arial" w:hAnsi="Arial" w:cs="Arial"/>
          <w:sz w:val="22"/>
          <w:szCs w:val="22"/>
          <w:lang w:val="en-US"/>
        </w:rPr>
        <w:t>e) the status of implementation of international projects within the Decades in which the Russian Federation participates.</w:t>
      </w:r>
    </w:p>
    <w:p w14:paraId="6C588415" w14:textId="77777777" w:rsidR="006C41C4" w:rsidRPr="00AE71B5" w:rsidRDefault="006C41C4" w:rsidP="006C41C4">
      <w:pPr>
        <w:autoSpaceDE w:val="0"/>
        <w:autoSpaceDN w:val="0"/>
        <w:adjustRightInd w:val="0"/>
        <w:rPr>
          <w:rFonts w:ascii="Arial" w:hAnsi="Arial" w:cs="Arial"/>
          <w:sz w:val="22"/>
          <w:szCs w:val="22"/>
          <w:lang w:val="en-US"/>
        </w:rPr>
      </w:pPr>
      <w:r w:rsidRPr="00AE71B5">
        <w:rPr>
          <w:rFonts w:ascii="Arial" w:hAnsi="Arial" w:cs="Arial"/>
          <w:sz w:val="22"/>
          <w:szCs w:val="22"/>
          <w:lang w:val="en-US"/>
        </w:rPr>
        <w:t>e) Development of cooperation with Africa.</w:t>
      </w:r>
    </w:p>
    <w:p w14:paraId="1ACFFDE3" w14:textId="77777777" w:rsidR="006C41C4" w:rsidRPr="00AE71B5" w:rsidRDefault="006C41C4" w:rsidP="006C41C4">
      <w:pPr>
        <w:autoSpaceDE w:val="0"/>
        <w:autoSpaceDN w:val="0"/>
        <w:adjustRightInd w:val="0"/>
        <w:rPr>
          <w:rFonts w:ascii="Arial" w:hAnsi="Arial" w:cs="Arial"/>
          <w:sz w:val="22"/>
          <w:szCs w:val="22"/>
          <w:lang w:val="en-US"/>
        </w:rPr>
      </w:pPr>
      <w:r w:rsidRPr="00AE71B5">
        <w:rPr>
          <w:rFonts w:ascii="Arial" w:hAnsi="Arial" w:cs="Arial"/>
          <w:sz w:val="22"/>
          <w:szCs w:val="22"/>
          <w:lang w:val="en-US"/>
        </w:rPr>
        <w:t>g) Road map for the active participation in the WESTPAC, IOCINDIO, IOCAFRICA, NEARGOOS programs and other regional projects under the auspices of the IOC (contribution to GOOS, IODE and other programs).</w:t>
      </w:r>
    </w:p>
    <w:p w14:paraId="384BA271"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hAnsi="Arial" w:cs="Arial"/>
          <w:sz w:val="22"/>
          <w:szCs w:val="22"/>
          <w:lang w:val="en-US"/>
        </w:rPr>
        <w:t>g) Training of foreign students in marine disciplines.in Russian universities (contribution to capacity building).</w:t>
      </w:r>
    </w:p>
    <w:p w14:paraId="48A38CA3" w14:textId="77777777" w:rsidR="006C41C4" w:rsidRPr="00AE71B5" w:rsidRDefault="006C41C4" w:rsidP="006C41C4">
      <w:pPr>
        <w:shd w:val="clear" w:color="auto" w:fill="D0CECE"/>
        <w:spacing w:before="240" w:after="120"/>
        <w:rPr>
          <w:rFonts w:ascii="Arial" w:hAnsi="Arial" w:cs="Arial"/>
          <w:bCs/>
          <w:sz w:val="22"/>
          <w:szCs w:val="22"/>
        </w:rPr>
      </w:pPr>
      <w:r w:rsidRPr="00AE71B5">
        <w:rPr>
          <w:rFonts w:ascii="Arial" w:hAnsi="Arial" w:cs="Arial"/>
          <w:b/>
          <w:sz w:val="22"/>
          <w:szCs w:val="22"/>
        </w:rPr>
        <w:t>3.2</w:t>
      </w:r>
      <w:r w:rsidRPr="00AE71B5">
        <w:rPr>
          <w:rFonts w:ascii="Arial" w:hAnsi="Arial" w:cs="Arial"/>
          <w:b/>
          <w:sz w:val="22"/>
          <w:szCs w:val="22"/>
        </w:rPr>
        <w:tab/>
        <w:t xml:space="preserve">Report of the Executive Secretary </w:t>
      </w:r>
      <w:r w:rsidRPr="00AE71B5">
        <w:rPr>
          <w:rFonts w:ascii="Arial" w:hAnsi="Arial" w:cs="Arial"/>
          <w:bCs/>
          <w:sz w:val="22"/>
          <w:szCs w:val="22"/>
        </w:rPr>
        <w:t>[include statements on items 5.1 (Draft C/5), 5.2 (assessment of governance and management &amp; 5.3 (IOC and the Future of the Ocean)]</w:t>
      </w:r>
    </w:p>
    <w:p w14:paraId="45571CE9" w14:textId="77777777" w:rsidR="006C41C4" w:rsidRPr="00AE71B5" w:rsidRDefault="006C41C4" w:rsidP="006C41C4">
      <w:pPr>
        <w:keepNext/>
        <w:snapToGrid/>
        <w:spacing w:after="120"/>
        <w:rPr>
          <w:rFonts w:ascii="Arial" w:hAnsi="Arial" w:cs="Arial"/>
          <w:b/>
          <w:sz w:val="22"/>
          <w:szCs w:val="22"/>
          <w:lang w:val="en-US"/>
        </w:rPr>
      </w:pPr>
      <w:bookmarkStart w:id="373" w:name="bra32"/>
      <w:r w:rsidRPr="00AE71B5">
        <w:rPr>
          <w:rFonts w:ascii="Arial" w:hAnsi="Arial" w:cs="Arial"/>
          <w:b/>
          <w:sz w:val="22"/>
          <w:szCs w:val="22"/>
          <w:lang w:val="en-US"/>
        </w:rPr>
        <w:t>Brazil</w:t>
      </w:r>
    </w:p>
    <w:bookmarkEnd w:id="373"/>
    <w:p w14:paraId="39FCEC5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with satisfaction the convergence between the work of the IOC and the objectives of the Decade of the Ocean Science for Sustainable Development. The mid-term evaluation of the Decade, which we will discuss later, is fundamental to the achievement of its goals. Through the engagement of its government and society, Brazil continues to demonstrate the importance that it attaches to the Ocean Decade implementation, coordinated by the IOC. </w:t>
      </w:r>
    </w:p>
    <w:p w14:paraId="37047DD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With the support of the IOC, Brazil was the first country to officially make a commitment to include ocean literacy in school curricula. Also, we have the largest number of Blue Schools in the world, contributing to 25% of the network. This agenda is part of an important work by the Commission in ocean literacy and education. It makes sense to work on science and education at UNESCO, and it makes sense to explore synergies between the IOC and other sectors of this Organization. These possible connections are mirrored in the IOC’s Medium-Term Strategy. It reflects UNESCO’s global priorities, on Africa and Gender Equality, and the need for the IOC to cooperate with other UNESCO programmes. Work on these subjects converges with the priorities identified at the Ocean Decade Conference in Barcelona, and with the Ocean Decade Implementation Plan, particularly on the importance of embracing local and indigenous knowledge, including both less developed and developed countries and striving for generational, gender and geographic diversity. In the light of that, we consider that some observations in the external assessment may not have captured the nature of IOC as a body of UNESCO. We understand this will be discussed in the Financial Committee. </w:t>
      </w:r>
    </w:p>
    <w:p w14:paraId="425C2A3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All these themes contribute to stepping up our efforts to achieve the SDGs and fight climate change. For the COP30 this year, the Brazilian Presidency has created the role of a Special Envoy for the Ocean, which means that the ocean will be central to the debate. The IOC has been instrumental in generating knowledge to support decisions, and the Special Envoy herself will be attending this Assembly as part of the Brazilian Delegation. </w:t>
      </w:r>
    </w:p>
    <w:p w14:paraId="64CD92D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Commission also helps us to implement UNCLOS, which created an international regime for governing the maritime space, enshrining the concept of “common heritage of humankind” while respecting sovereignty. The IOC has had a key role in the consolidation of that </w:t>
      </w:r>
      <w:proofErr w:type="gramStart"/>
      <w:r w:rsidRPr="00AE71B5">
        <w:rPr>
          <w:rFonts w:ascii="Arial" w:eastAsia="Simsun (Founder Extended)" w:hAnsi="Arial" w:cs="Arial"/>
          <w:snapToGrid/>
          <w:sz w:val="22"/>
          <w:szCs w:val="22"/>
        </w:rPr>
        <w:t>regime</w:t>
      </w:r>
      <w:proofErr w:type="gramEnd"/>
      <w:r w:rsidRPr="00AE71B5">
        <w:rPr>
          <w:rFonts w:ascii="Arial" w:eastAsia="Simsun (Founder Extended)" w:hAnsi="Arial" w:cs="Arial"/>
          <w:snapToGrid/>
          <w:sz w:val="22"/>
          <w:szCs w:val="22"/>
        </w:rPr>
        <w:t xml:space="preserve"> and we all should be proud of that.</w:t>
      </w:r>
    </w:p>
    <w:p w14:paraId="3D8842A3" w14:textId="77777777" w:rsidR="006C41C4" w:rsidRPr="00AE71B5" w:rsidRDefault="006C41C4" w:rsidP="006C41C4">
      <w:pPr>
        <w:keepNext/>
        <w:snapToGrid/>
        <w:spacing w:after="120"/>
        <w:rPr>
          <w:rFonts w:ascii="Arial" w:hAnsi="Arial" w:cs="Arial"/>
          <w:b/>
          <w:sz w:val="22"/>
          <w:szCs w:val="22"/>
        </w:rPr>
      </w:pPr>
      <w:bookmarkStart w:id="374" w:name="can32"/>
      <w:r w:rsidRPr="00AE71B5">
        <w:rPr>
          <w:rFonts w:ascii="Arial" w:hAnsi="Arial" w:cs="Arial"/>
          <w:b/>
          <w:sz w:val="22"/>
          <w:szCs w:val="22"/>
        </w:rPr>
        <w:t>Canada</w:t>
      </w:r>
    </w:p>
    <w:bookmarkEnd w:id="374"/>
    <w:p w14:paraId="2F7147F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appreciate the enhanced engagement of Member States through the various consultation processes that took place, providing meaningful opportunities for input into key aspects of the IOC’s activities. </w:t>
      </w:r>
    </w:p>
    <w:p w14:paraId="27E1FBD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look forward to </w:t>
      </w:r>
      <w:proofErr w:type="gramStart"/>
      <w:r w:rsidRPr="00AE71B5">
        <w:rPr>
          <w:rFonts w:ascii="Arial" w:eastAsia="Simsun (Founder Extended)" w:hAnsi="Arial" w:cs="Arial"/>
          <w:snapToGrid/>
          <w:sz w:val="22"/>
          <w:szCs w:val="22"/>
        </w:rPr>
        <w:t>continued</w:t>
      </w:r>
      <w:proofErr w:type="gramEnd"/>
      <w:r w:rsidRPr="00AE71B5">
        <w:rPr>
          <w:rFonts w:ascii="Arial" w:eastAsia="Simsun (Founder Extended)" w:hAnsi="Arial" w:cs="Arial"/>
          <w:snapToGrid/>
          <w:sz w:val="22"/>
          <w:szCs w:val="22"/>
        </w:rPr>
        <w:t xml:space="preserve"> productive work during the upcoming intersessional period. Canada suggests further emphasis on bridging the science – policy gap by further mainstreaming the use of ocean science data into actionable information to complete the value chain.</w:t>
      </w:r>
    </w:p>
    <w:p w14:paraId="238804CF" w14:textId="77777777" w:rsidR="006C41C4" w:rsidRPr="00E647B1" w:rsidRDefault="006C41C4" w:rsidP="006C41C4">
      <w:pPr>
        <w:keepNext/>
        <w:snapToGrid/>
        <w:spacing w:after="120"/>
        <w:rPr>
          <w:rFonts w:ascii="Arial" w:hAnsi="Arial" w:cs="Arial"/>
          <w:b/>
          <w:sz w:val="22"/>
          <w:szCs w:val="22"/>
          <w:lang w:val="es-ES"/>
        </w:rPr>
      </w:pPr>
      <w:bookmarkStart w:id="375" w:name="chil32"/>
      <w:r w:rsidRPr="00E647B1">
        <w:rPr>
          <w:rFonts w:ascii="Arial" w:hAnsi="Arial" w:cs="Arial"/>
          <w:b/>
          <w:sz w:val="22"/>
          <w:szCs w:val="22"/>
          <w:lang w:val="es-ES"/>
        </w:rPr>
        <w:t>Chile</w:t>
      </w:r>
    </w:p>
    <w:bookmarkEnd w:id="375"/>
    <w:p w14:paraId="342D4387"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Para Chile, el océano es parte de nuestro ADN. Lo dejan claramente demostrado nuestros más de 4.000 km de costa; una presencia tricontinental que nos lleva a contar con la undécima Zona Económica Exclusiva más grande del mundo; y una vibrante economía oceánica.</w:t>
      </w:r>
    </w:p>
    <w:p w14:paraId="47847313"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Hoy, nos encontramos en un momento crítico para todos aquellos que habitamos este planeta; los océanos, que cubren más del 70% de la Tierra y por lo tanto albergan y promueven vida, están amenazados, debemos por lo tanto concretar medidas eficientes, realistas y aunar esfuerzos para movilizar recursos e implementar soluciones efectivas para protegerlo.</w:t>
      </w:r>
    </w:p>
    <w:p w14:paraId="3F3F825C"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Chile ha consolidado una política de conservación y uso sostenible del océano como una Política de Estado, a través de la cual hemos llegado a declarar el 43% de nuestras aguas jurisdiccionales bajo alguna categoría de conservación, y hemos avanzado en el desarrollo de una pesca sostenible como base de nuestra actividad económica. </w:t>
      </w:r>
    </w:p>
    <w:p w14:paraId="0278D0D4"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El trabajo de nuestra extensa red de monitoreo del océano y el de nuestros científicos ha sido reconocido internacionalmente y contribuye activamente a la búsqueda de soluciones a los problemas más acuciantes de nuestro tiempo. Nuestro país se enorgullece de contar con la presencia de destacadas y destacados investigadores en diversas instancias internacionales que contribuyen a una mejor comprensión del océano, como es el caso de la bióloga marina Pilar Muñoz, </w:t>
      </w:r>
      <w:proofErr w:type="gramStart"/>
      <w:r w:rsidRPr="00AE71B5">
        <w:rPr>
          <w:rFonts w:ascii="Arial" w:eastAsia="Simsun (Founder Extended)" w:hAnsi="Arial" w:cs="Arial"/>
          <w:snapToGrid/>
          <w:sz w:val="22"/>
          <w:szCs w:val="22"/>
          <w:lang w:val="es-CL"/>
        </w:rPr>
        <w:t>una</w:t>
      </w:r>
      <w:proofErr w:type="gramEnd"/>
      <w:r w:rsidRPr="00AE71B5">
        <w:rPr>
          <w:rFonts w:ascii="Arial" w:eastAsia="Simsun (Founder Extended)" w:hAnsi="Arial" w:cs="Arial"/>
          <w:snapToGrid/>
          <w:sz w:val="22"/>
          <w:szCs w:val="22"/>
          <w:lang w:val="es-CL"/>
        </w:rPr>
        <w:t xml:space="preserve"> de los 20 expertos mundiales del Grupo Internacional de Cultura Oceánica de COI-UNESCO.</w:t>
      </w:r>
    </w:p>
    <w:p w14:paraId="6FEFFA7A"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Esta vocación la hemos proyectado en los diversos procesos multilaterales, posicionando un mensaje sobre la necesidad de avanzar en acciones concretas para asegurar la salud del océano a largo plazo. Ejemplos de esto son muchos, y me permito destacar solo dos, el primero es el rol de nuestro país en el marco de la Organización Marítima Internacional, en donde esperamos continuar aportando a través de nuestra membresía en el Consejo Ejecutivo. El segundo ejemplo, es el hecho que fuimos el segundo país del mundo en ratificar el Acuerdos de BBNJ, el cual representa una nueva era para la gobernanza oceánica global, y nuestro país está firmemente comprometido con su pronta entrada en vigor y efectiva implementación. </w:t>
      </w:r>
    </w:p>
    <w:p w14:paraId="646913A1"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Chile ha propuesto a la ciudad de Valparaíso como sede de la Secretaría del Acuerdo BBNJ con la firme convicción que esta propuesta no es sólo un lugar físico, sino que también todo este capital científico extraordinario en nuestro país está al servicio del Acuerdo, proveyendo capacidades y soporte técnico de primer nivel a la futura Secretaría. </w:t>
      </w:r>
    </w:p>
    <w:p w14:paraId="2E22FB41"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Nos anima el deseo de contribuir, desde el Sur Global, a una Secretaría inclusiva, transparente, con rendición de cuentas, eficiente y dirigida por los países, que nos permita construir una gobernanza oceánica global robusta. </w:t>
      </w:r>
    </w:p>
    <w:p w14:paraId="0F0DB872"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Quisiera concluir destacando que nuestro país, junto a Corea del Sur, ambos con una importante vocación oceánica, hemos expresado nuestro interés para asumir como </w:t>
      </w:r>
      <w:proofErr w:type="spellStart"/>
      <w:proofErr w:type="gramStart"/>
      <w:r w:rsidRPr="00AE71B5">
        <w:rPr>
          <w:rFonts w:ascii="Arial" w:eastAsia="Simsun (Founder Extended)" w:hAnsi="Arial" w:cs="Arial"/>
          <w:snapToGrid/>
          <w:sz w:val="22"/>
          <w:szCs w:val="22"/>
          <w:lang w:val="es-CL"/>
        </w:rPr>
        <w:t>Co-presidentes</w:t>
      </w:r>
      <w:proofErr w:type="spellEnd"/>
      <w:proofErr w:type="gramEnd"/>
      <w:r w:rsidRPr="00AE71B5">
        <w:rPr>
          <w:rFonts w:ascii="Arial" w:eastAsia="Simsun (Founder Extended)" w:hAnsi="Arial" w:cs="Arial"/>
          <w:snapToGrid/>
          <w:sz w:val="22"/>
          <w:szCs w:val="22"/>
          <w:lang w:val="es-CL"/>
        </w:rPr>
        <w:t xml:space="preserve"> de la Cuarta Conferencia de Naciones Unidas para el Océano (UNOC 4) en 2028. Ambos países, representando distintos hemisferios y culturas, pero unidos en una mirada de sostenibilidad, queremos liderar el trabajo necesario para el cumplimiento de las metas para el océano, en especial, para asegurar su buena salud a largo plazo.</w:t>
      </w:r>
    </w:p>
    <w:p w14:paraId="1C699A00" w14:textId="77777777" w:rsidR="006C41C4" w:rsidRPr="00AE71B5" w:rsidRDefault="006C41C4" w:rsidP="006C41C4">
      <w:pPr>
        <w:keepNext/>
        <w:snapToGrid/>
        <w:spacing w:after="120"/>
        <w:rPr>
          <w:rFonts w:ascii="Arial" w:hAnsi="Arial" w:cs="Arial"/>
          <w:b/>
          <w:sz w:val="22"/>
          <w:szCs w:val="22"/>
        </w:rPr>
      </w:pPr>
      <w:bookmarkStart w:id="376" w:name="chin32"/>
      <w:r w:rsidRPr="00AE71B5">
        <w:rPr>
          <w:rFonts w:ascii="Arial" w:hAnsi="Arial" w:cs="Arial"/>
          <w:b/>
          <w:sz w:val="22"/>
          <w:szCs w:val="22"/>
        </w:rPr>
        <w:t>China</w:t>
      </w:r>
    </w:p>
    <w:bookmarkEnd w:id="376"/>
    <w:p w14:paraId="1A45A86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has always engaged in the most work of IOC, particularly, in IOC-WESTPAC, we sent a large and capable delegation to WESPTAC Intergovernmental Session, to share our views and insights on each topic with the Member States, as well as our proposal of establishing a new Working Group on Blue Carbon Ecosystem Restoration focusing on mangroves.</w:t>
      </w:r>
    </w:p>
    <w:p w14:paraId="7D5A25F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Thanks to the cooperation platforms and communication mechanisms that WESTPAC provided, Chinese institutions and universities have deeply engaged in several WESTPAC-led Ocean </w:t>
      </w:r>
      <w:r w:rsidRPr="00AE71B5">
        <w:rPr>
          <w:rFonts w:ascii="Arial" w:eastAsia="Simsun (Founder Extended)" w:hAnsi="Arial" w:cs="Arial"/>
          <w:snapToGrid/>
          <w:sz w:val="22"/>
          <w:szCs w:val="22"/>
        </w:rPr>
        <w:lastRenderedPageBreak/>
        <w:t>Decade Actions, including “Accelerate MSP in the Westpac Region”, “Advancing the 2nd Cooperative Study of Kuroshio and its Adjacent Regions”, and “Stem the tide of Asia's riverine plastic emission into the ocean”. China now is hosting three Training and Research Centres (RTRCs) under the IOC/WESTPAC’s Regional RTRC Network and host the several thematic training courses on a year basis as an essential endeavour to contribute to the implementation of the IOC Capacity Development Strategy (2023–2030).</w:t>
      </w:r>
    </w:p>
    <w:p w14:paraId="066EAD6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Meanwhile, China actively participates in the UN Oceans Decade and plays a constructive role by establishment of one Decade Collaborative Centre on Ocean and Climate, 7 Decade Programs, 5 Decade Implementing Partners, 19 Decade Projects, which are led or co-developed by Chinese institutes and Universities. We sent a high-level delegation, led by Vice-Minister of Ministry of Natural Resources of China to attend the UN Ocean Decade International Conference in Barcelona, Spain last year (in 2024). </w:t>
      </w:r>
    </w:p>
    <w:p w14:paraId="5EFEFEE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recent years, tsunami early warning is also one of our priorities, China hosted the 31st Session of the Intergovernmental Coordination Group for the ICG/PTWS in Beijing in April this year, during which the expert from China was elected as the Chair of PTWS. We are strengthening our coordination with regional partners through South China Sea Tsunami Advisory Centre (SCSTAC) to provide with </w:t>
      </w:r>
      <w:proofErr w:type="gramStart"/>
      <w:r w:rsidRPr="00AE71B5">
        <w:rPr>
          <w:rFonts w:ascii="Arial" w:eastAsia="Simsun (Founder Extended)" w:hAnsi="Arial" w:cs="Arial"/>
          <w:snapToGrid/>
          <w:sz w:val="22"/>
          <w:szCs w:val="22"/>
        </w:rPr>
        <w:t>more and more</w:t>
      </w:r>
      <w:proofErr w:type="gramEnd"/>
      <w:r w:rsidRPr="00AE71B5">
        <w:rPr>
          <w:rFonts w:ascii="Arial" w:eastAsia="Simsun (Founder Extended)" w:hAnsi="Arial" w:cs="Arial"/>
          <w:snapToGrid/>
          <w:sz w:val="22"/>
          <w:szCs w:val="22"/>
        </w:rPr>
        <w:t xml:space="preserve"> public service and knowledge products for the countries in this region. Also, our experts made their due contribution in relevant process and programs of MSP, IPHAB, Capacity Development, Ocean Literacy, etc. </w:t>
      </w:r>
    </w:p>
    <w:p w14:paraId="77854CB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terms of finance and human resource, China continuously gives support to IOC as much as we can. Although we are facing the pressure in domestic budget issue, we still contribute 100,000 US dollars annually in 2023 and 2024, and add 10,000 more US dollars this year, totalling 110,000 US dollars in 2025. We welcome the budget increase for IOC, while we encourage IOC also could strengthen its support to WESTPAC, and one of the most active regional subsidiary bodies of IOC. Another information we would like to share is that we are selecting our candidates of new IOC secondment expert, with the support of Ministry of Human Resources and Civil affairs of China, an extra budget for the program has been endorsed.</w:t>
      </w:r>
    </w:p>
    <w:p w14:paraId="4FDBF04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general, China encourages and supports IOC to play its critical role in the process of international ocean governance. As we know, the international community is looking forward to our ideas, our contributions, and our leadership, IOC could not </w:t>
      </w:r>
      <w:proofErr w:type="gramStart"/>
      <w:r w:rsidRPr="00AE71B5">
        <w:rPr>
          <w:rFonts w:ascii="Arial" w:eastAsia="Simsun (Founder Extended)" w:hAnsi="Arial" w:cs="Arial"/>
          <w:snapToGrid/>
          <w:sz w:val="22"/>
          <w:szCs w:val="22"/>
        </w:rPr>
        <w:t>lag behind</w:t>
      </w:r>
      <w:proofErr w:type="gramEnd"/>
      <w:r w:rsidRPr="00AE71B5">
        <w:rPr>
          <w:rFonts w:ascii="Arial" w:eastAsia="Simsun (Founder Extended)" w:hAnsi="Arial" w:cs="Arial"/>
          <w:snapToGrid/>
          <w:sz w:val="22"/>
          <w:szCs w:val="22"/>
        </w:rPr>
        <w:t xml:space="preserve"> in this process, in which </w:t>
      </w:r>
      <w:proofErr w:type="gramStart"/>
      <w:r w:rsidRPr="00AE71B5">
        <w:rPr>
          <w:rFonts w:ascii="Arial" w:eastAsia="Simsun (Founder Extended)" w:hAnsi="Arial" w:cs="Arial"/>
          <w:snapToGrid/>
          <w:sz w:val="22"/>
          <w:szCs w:val="22"/>
        </w:rPr>
        <w:t>more and more</w:t>
      </w:r>
      <w:proofErr w:type="gramEnd"/>
      <w:r w:rsidRPr="00AE71B5">
        <w:rPr>
          <w:rFonts w:ascii="Arial" w:eastAsia="Simsun (Founder Extended)" w:hAnsi="Arial" w:cs="Arial"/>
          <w:snapToGrid/>
          <w:sz w:val="22"/>
          <w:szCs w:val="22"/>
        </w:rPr>
        <w:t xml:space="preserve"> emerging International Organizations and processes engaged.</w:t>
      </w:r>
    </w:p>
    <w:p w14:paraId="439E9742" w14:textId="77777777" w:rsidR="006C41C4" w:rsidRPr="00AE71B5" w:rsidRDefault="006C41C4" w:rsidP="006C41C4">
      <w:pPr>
        <w:keepNext/>
        <w:snapToGrid/>
        <w:spacing w:after="120"/>
        <w:rPr>
          <w:rFonts w:ascii="Arial" w:hAnsi="Arial" w:cs="Arial"/>
          <w:b/>
          <w:sz w:val="22"/>
          <w:szCs w:val="22"/>
          <w:lang w:val="fr-FR"/>
        </w:rPr>
      </w:pPr>
      <w:bookmarkStart w:id="377" w:name="cot32"/>
      <w:r w:rsidRPr="00AE71B5">
        <w:rPr>
          <w:rFonts w:ascii="Arial" w:hAnsi="Arial" w:cs="Arial"/>
          <w:b/>
          <w:sz w:val="22"/>
          <w:szCs w:val="22"/>
          <w:lang w:val="fr-FR"/>
        </w:rPr>
        <w:t>Côte d’Ivoire</w:t>
      </w:r>
      <w:bookmarkEnd w:id="377"/>
    </w:p>
    <w:p w14:paraId="361D9E49"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Côte d’Ivoire a suivi avec beaucoup d’attention et d’intérêt le rapport du Secrétaire exécutif. En réalité, ce rapport n’est pas nouveau pour la Côte d’Ivoire car son représentant a eu l’occasion d’y réagir lors de la réunion d’information que le secrétaire exécutif a organisée il y a quelques semaines. Nous avions salué cette initiative unique prise, et noté que c’est une bonne pratique que le secrétaire exécutif a initié et souhaitons sa perpétuation. </w:t>
      </w:r>
    </w:p>
    <w:p w14:paraId="294E3229"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Ayant pris la parole à l’occasion de l’assemblée, la Côte d’Ivoire, félicite de façon solennelle le Secrétaire exécutif pour sa position claire en faveur de la prise d’action concrète pour donner sens au slogan proclamé de tout temps à savoir : « accorder la priorité à l’AFRIQUE ». Car a-t-il indiqué à juste titre, l’Afrique souffre encore plus des changements globaux.</w:t>
      </w:r>
    </w:p>
    <w:p w14:paraId="37E707FE"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Au niveau du système d’observation des océans la Côte d’Ivoire se félicite de ce qu’une réforme a été proposée au niveau de la structure de gouvernance de GOOS-AFRICA pour mieux répondre aux attentes des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w:t>
      </w:r>
    </w:p>
    <w:p w14:paraId="352A5E7C" w14:textId="77777777" w:rsidR="006C41C4" w:rsidRPr="00AE71B5" w:rsidRDefault="006C41C4" w:rsidP="006C41C4">
      <w:pPr>
        <w:keepNext/>
        <w:snapToGrid/>
        <w:spacing w:after="120"/>
        <w:rPr>
          <w:rFonts w:ascii="Arial" w:hAnsi="Arial" w:cs="Arial"/>
          <w:b/>
          <w:sz w:val="22"/>
          <w:szCs w:val="22"/>
          <w:lang w:val="en-US"/>
        </w:rPr>
      </w:pPr>
      <w:bookmarkStart w:id="378" w:name="india32"/>
      <w:r w:rsidRPr="00AE71B5">
        <w:rPr>
          <w:rFonts w:ascii="Arial" w:hAnsi="Arial" w:cs="Arial"/>
          <w:b/>
          <w:sz w:val="22"/>
          <w:szCs w:val="22"/>
          <w:lang w:val="en-US"/>
        </w:rPr>
        <w:t>India</w:t>
      </w:r>
    </w:p>
    <w:bookmarkEnd w:id="378"/>
    <w:p w14:paraId="35779244"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been a key partner to the IOC in the full spectrum of activities spanning the end-to-end ocean value chain of Ocean Observations; Ocean Data &amp; Information Services; Ocean Modelling &amp; Forecasting; Tsunami and other Ocean &amp; Coastal Hazards; Capacity Building and will continue these important engagements with the other Member States. India, through its Decade Collaborative Centre for the IOR is glad to have associated with IOC in successfully conducting </w:t>
      </w:r>
      <w:r w:rsidRPr="00AE71B5">
        <w:rPr>
          <w:rFonts w:ascii="Arial" w:eastAsia="Simsun (Founder Extended)" w:hAnsi="Arial" w:cs="Arial"/>
          <w:snapToGrid/>
          <w:sz w:val="22"/>
          <w:szCs w:val="22"/>
          <w:lang w:val="en-US"/>
        </w:rPr>
        <w:lastRenderedPageBreak/>
        <w:t>many capacity building activities focusing Early Career Ocean Professionals, IOCCG’s Summer Lecture series and IO-Predict 2024 in partnership with IOGOOS.</w:t>
      </w:r>
    </w:p>
    <w:p w14:paraId="4732FEAA"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compliments the IOC for its efforts in progressing the activities of the new IOCINDIO sub-commission and by holding the first session of IOC Sub-Commission for the Central Indian Ocean (IOCINDIO) at Ras Al Khaimah, United Arab Emirates during 21–23 May 2025, which was very fruitful. </w:t>
      </w:r>
    </w:p>
    <w:p w14:paraId="0A608FE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would like to appreciate IOC for supporting the capacity building activities to Member States with more focus on SIDS, LDCs and ECOPs. India specifically thank UNESCO and IOC for renewing the Category 2 Status of the </w:t>
      </w:r>
      <w:proofErr w:type="spellStart"/>
      <w:proofErr w:type="gramStart"/>
      <w:r w:rsidRPr="00AE71B5">
        <w:rPr>
          <w:rFonts w:ascii="Arial" w:eastAsia="Simsun (Founder Extended)" w:hAnsi="Arial" w:cs="Arial"/>
          <w:snapToGrid/>
          <w:sz w:val="22"/>
          <w:szCs w:val="22"/>
          <w:lang w:val="en-US"/>
        </w:rPr>
        <w:t>centre.The</w:t>
      </w:r>
      <w:proofErr w:type="spellEnd"/>
      <w:proofErr w:type="gramEnd"/>
      <w:r w:rsidRPr="00AE71B5">
        <w:rPr>
          <w:rFonts w:ascii="Arial" w:eastAsia="Simsun (Founder Extended)" w:hAnsi="Arial" w:cs="Arial"/>
          <w:snapToGrid/>
          <w:sz w:val="22"/>
          <w:szCs w:val="22"/>
          <w:lang w:val="en-US"/>
        </w:rPr>
        <w:t xml:space="preserve"> International Training Centre for Operational Oceanography (ITCO-Ocean) </w:t>
      </w:r>
      <w:proofErr w:type="spellStart"/>
      <w:r w:rsidRPr="00AE71B5">
        <w:rPr>
          <w:rFonts w:ascii="Arial" w:eastAsia="Simsun (Founder Extended)" w:hAnsi="Arial" w:cs="Arial"/>
          <w:snapToGrid/>
          <w:sz w:val="22"/>
          <w:szCs w:val="22"/>
          <w:lang w:val="en-US"/>
        </w:rPr>
        <w:t>organised</w:t>
      </w:r>
      <w:proofErr w:type="spellEnd"/>
      <w:r w:rsidRPr="00AE71B5">
        <w:rPr>
          <w:rFonts w:ascii="Arial" w:eastAsia="Simsun (Founder Extended)" w:hAnsi="Arial" w:cs="Arial"/>
          <w:snapToGrid/>
          <w:sz w:val="22"/>
          <w:szCs w:val="22"/>
          <w:lang w:val="en-US"/>
        </w:rPr>
        <w:t xml:space="preserve"> 19 International and 21 national training courses of 1 to 2-weeks duration. About 1535 from 34 countries were trained during June 2023- June 2025.</w:t>
      </w:r>
    </w:p>
    <w:p w14:paraId="357E84F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is happy to share that 26 villages from the state of Odisha, India were successfully recognized as Tsunami Ready communities and gearing towards covering another 17 villages from 6 coastal states of India. Thanks to IOC.</w:t>
      </w:r>
    </w:p>
    <w:p w14:paraId="51BEBF1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appreciates and works towards IOC’s Medium-Term Strategy that aligns with the objectives of United Nations Decade of Ocean Science for Sustainable Development (2021–2030). </w:t>
      </w:r>
    </w:p>
    <w:p w14:paraId="1DB6596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wished to see increased engagement of IOC and its allied organizations with member states and playing a pivotal role in translational and operational oceanography for the benefit of member states.</w:t>
      </w:r>
    </w:p>
    <w:p w14:paraId="7791BD01" w14:textId="77777777" w:rsidR="006C41C4" w:rsidRPr="00AE71B5" w:rsidRDefault="006C41C4" w:rsidP="006C41C4">
      <w:pPr>
        <w:keepNext/>
        <w:snapToGrid/>
        <w:spacing w:after="120"/>
        <w:rPr>
          <w:rFonts w:ascii="Arial" w:hAnsi="Arial" w:cs="Arial"/>
          <w:b/>
          <w:sz w:val="22"/>
          <w:szCs w:val="22"/>
        </w:rPr>
      </w:pPr>
      <w:bookmarkStart w:id="379" w:name="Jap32"/>
      <w:r w:rsidRPr="00AE71B5">
        <w:rPr>
          <w:rFonts w:ascii="Arial" w:hAnsi="Arial" w:cs="Arial"/>
          <w:b/>
          <w:sz w:val="22"/>
          <w:szCs w:val="22"/>
        </w:rPr>
        <w:t>Japan</w:t>
      </w:r>
    </w:p>
    <w:bookmarkEnd w:id="379"/>
    <w:p w14:paraId="2D0CCCB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reported, achievements and efforts on ocean observation, data integration, and capacity development are essential as the demand for ocean-based knowledge grows alongside pressing global challenges. Japan has been contributed to IOC programs such as GOOS, OBIS, GEBCO, Regional Early Warning Systems, through in-kind contributions and sending experts to the programs as well as preparing data. These programs and activities are essential to support best decision making for tackling and solving emergent issues we are facing based on science, and to realize the ocean we want. Japan will continue the efforts with the collaboration of member states. At the same time, Japan acknowledges the challenging budgetary circumstances of the IOC and share the idea that IOC need to consider worst-case scenarios as financially resilient organization. It is crucial that freezing budgets do not compromise key initiatives such as GOOS, IODE, and regional capacity-building efforts, especially those supporting SIDS and Early Career Ocean Professionals. Japan expects and encourages the further efforts of IOC Secretariat's, with collaboration with member states, to mitigate the extent of budgetary reductions.</w:t>
      </w:r>
    </w:p>
    <w:p w14:paraId="5F16845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echoes United Kingdom and reaffirms the significance of IOC’s functional autonomy as defined in its Statutes. This autonomy has enabled the IOC to operate effectively as an intergovernmental body within UNESCO. The 221EX/20 decision adopted at UNESCO Executive Board Session in this April reaffirmed this principle, and Japan was pleased to support its inclusion. Upholding this autonomy is critical to ensuring the IOC’s continued impact and credibility, the acceptance of independent voluntary contributions, and strategic planning such as IOC’s </w:t>
      </w:r>
      <w:proofErr w:type="gramStart"/>
      <w:r w:rsidRPr="00AE71B5">
        <w:rPr>
          <w:rFonts w:ascii="Arial" w:eastAsia="Simsun (Founder Extended)" w:hAnsi="Arial" w:cs="Arial"/>
          <w:snapToGrid/>
          <w:sz w:val="22"/>
          <w:szCs w:val="22"/>
        </w:rPr>
        <w:t>High Level</w:t>
      </w:r>
      <w:proofErr w:type="gramEnd"/>
      <w:r w:rsidRPr="00AE71B5">
        <w:rPr>
          <w:rFonts w:ascii="Arial" w:eastAsia="Simsun (Founder Extended)" w:hAnsi="Arial" w:cs="Arial"/>
          <w:snapToGrid/>
          <w:sz w:val="22"/>
          <w:szCs w:val="22"/>
        </w:rPr>
        <w:t xml:space="preserve"> Objectives and Subobjectives.</w:t>
      </w:r>
    </w:p>
    <w:p w14:paraId="7DDFBABE" w14:textId="77777777" w:rsidR="006C41C4" w:rsidRPr="00AE71B5" w:rsidRDefault="006C41C4" w:rsidP="006C41C4">
      <w:pPr>
        <w:keepNext/>
        <w:snapToGrid/>
        <w:spacing w:after="120"/>
        <w:rPr>
          <w:rFonts w:ascii="Arial" w:hAnsi="Arial" w:cs="Arial"/>
          <w:b/>
          <w:sz w:val="22"/>
          <w:szCs w:val="22"/>
        </w:rPr>
      </w:pPr>
      <w:bookmarkStart w:id="380" w:name="mau32"/>
      <w:r w:rsidRPr="00AE71B5">
        <w:rPr>
          <w:rFonts w:ascii="Arial" w:hAnsi="Arial" w:cs="Arial"/>
          <w:b/>
          <w:sz w:val="22"/>
          <w:szCs w:val="22"/>
        </w:rPr>
        <w:t>Mauritius</w:t>
      </w:r>
    </w:p>
    <w:bookmarkEnd w:id="380"/>
    <w:p w14:paraId="0B0C139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As a Small Island Developing State, Mauritius remains steadfast in its commitment to advancing ocean science, regional cooperation, and sustainable marine governance.</w:t>
      </w:r>
    </w:p>
    <w:p w14:paraId="69597355"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are pleased to announce our formal decision to join the IOC Sub-Commission for the Central Indian Ocean, IOCINDIO. This reflects our deepening engagement in regional ocean initiatives and our alignment with the goals of the UN Decade of Ocean Science for Sustainable Development.</w:t>
      </w:r>
    </w:p>
    <w:p w14:paraId="27AA630A"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Mauritius also reaffirms its support for the Global Ocean Observing System. Hosting the 20th IOGOOS Annual Meeting this year marked a significant milestone. We thank the Government of </w:t>
      </w:r>
      <w:r w:rsidRPr="00AE71B5">
        <w:rPr>
          <w:rFonts w:ascii="Arial" w:eastAsia="Simsun (Founder Extended)" w:hAnsi="Arial" w:cs="Arial"/>
          <w:snapToGrid/>
          <w:sz w:val="22"/>
          <w:szCs w:val="22"/>
          <w:lang w:val="en-US"/>
        </w:rPr>
        <w:lastRenderedPageBreak/>
        <w:t>India and INCOIS for their invaluable support, including the deployment of a wave rider buoy in our port, strengthening the ocean monitoring capabilities for the whole Indian Ocean.</w:t>
      </w:r>
    </w:p>
    <w:p w14:paraId="4EA64455"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further commend the IODE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for its essential work in ocean data management. Following the re-establishment of our National Oceanographic Data Center, Mauritius stands ready to contribute meaningfully to global data-sharing and capacity-building efforts. </w:t>
      </w:r>
    </w:p>
    <w:p w14:paraId="5B985894"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Additionally, we strongly support GEBCO and the Seabed 2030 initiative. We view enhanced seabed mapping as a vital enabler of Marine Spatial Planning and disaster risk reduction and look forward to formalizing our collaboration through </w:t>
      </w:r>
      <w:proofErr w:type="gramStart"/>
      <w:r w:rsidRPr="00AE71B5">
        <w:rPr>
          <w:rFonts w:ascii="Arial" w:eastAsia="Simsun (Founder Extended)" w:hAnsi="Arial" w:cs="Arial"/>
          <w:snapToGrid/>
          <w:sz w:val="22"/>
          <w:szCs w:val="22"/>
          <w:lang w:val="en-US"/>
        </w:rPr>
        <w:t>an</w:t>
      </w:r>
      <w:proofErr w:type="gramEnd"/>
      <w:r w:rsidRPr="00AE71B5">
        <w:rPr>
          <w:rFonts w:ascii="Arial" w:eastAsia="Simsun (Founder Extended)" w:hAnsi="Arial" w:cs="Arial"/>
          <w:snapToGrid/>
          <w:sz w:val="22"/>
          <w:szCs w:val="22"/>
          <w:lang w:val="en-US"/>
        </w:rPr>
        <w:t xml:space="preserve"> MoU.</w:t>
      </w:r>
    </w:p>
    <w:p w14:paraId="7E8B0E96" w14:textId="77777777" w:rsidR="006C41C4" w:rsidRPr="00AE71B5" w:rsidRDefault="006C41C4" w:rsidP="006C41C4">
      <w:pPr>
        <w:keepNext/>
        <w:snapToGrid/>
        <w:spacing w:after="120"/>
        <w:rPr>
          <w:rFonts w:ascii="Arial" w:hAnsi="Arial" w:cs="Arial"/>
          <w:b/>
          <w:sz w:val="22"/>
          <w:szCs w:val="22"/>
          <w:lang w:val="fr-FR"/>
        </w:rPr>
      </w:pPr>
      <w:bookmarkStart w:id="381" w:name="mon32"/>
      <w:r w:rsidRPr="00AE71B5">
        <w:rPr>
          <w:rFonts w:ascii="Arial" w:hAnsi="Arial" w:cs="Arial"/>
          <w:b/>
          <w:sz w:val="22"/>
          <w:szCs w:val="22"/>
          <w:lang w:val="fr-FR"/>
        </w:rPr>
        <w:t>Monaco</w:t>
      </w:r>
    </w:p>
    <w:bookmarkEnd w:id="381"/>
    <w:p w14:paraId="37BB951E"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J’ai quelques questions sur la gouvernance financière de la Commission. En effet, même s’il y a 2ans l’UNESCO a augmenté le budget dévolu à la COI, la Principauté note que de nombreux programmes restent fortement tributaires de contributions extraordinaires. Aussi - et je pense que d’autres de mes collègues sont dans les mêmes questionnements - il serait opportun de connaître le niveau d’impact des récentes mesures prises par l’UNESCO en matière de restrictions budgétaires ? </w:t>
      </w:r>
    </w:p>
    <w:p w14:paraId="325466DB"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Dans ce contexte, quelle stratégie la COI envisage-t-elle pour renforcer ses financements récurrents et ainsi renforcer son autonomie financière ?</w:t>
      </w:r>
    </w:p>
    <w:p w14:paraId="6AFAB9EB"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Vos réponses concernant la stratégie financière à long terme, serait très précieuse pour éclairer notre réflexion collective et ainsi lever nos préoccupations. </w:t>
      </w:r>
    </w:p>
    <w:p w14:paraId="2FBB6ED3"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Vous le savez l’engagement de Monaco s’inscrit dans la durée :</w:t>
      </w:r>
    </w:p>
    <w:p w14:paraId="44975145" w14:textId="77777777" w:rsidR="006C41C4" w:rsidRPr="00AE71B5" w:rsidRDefault="006C41C4" w:rsidP="006C41C4">
      <w:pPr>
        <w:snapToGrid/>
        <w:spacing w:after="120"/>
        <w:ind w:left="720"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Premièrement, la Principauté finance le programme d’alerte précoce aux tsunamis, un soutien constant depuis de nombreuses années.</w:t>
      </w:r>
    </w:p>
    <w:p w14:paraId="7C159BE1" w14:textId="77777777" w:rsidR="006C41C4" w:rsidRPr="00AE71B5" w:rsidRDefault="006C41C4" w:rsidP="006C41C4">
      <w:pPr>
        <w:snapToGrid/>
        <w:spacing w:after="120"/>
        <w:ind w:left="720"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Ensuite, Monaco, aux côtés de la France, soutient par l’intermédiaire de la Société des Explorations de Monaco, les Missions de coordination régionale de la COI en méditerranée qui concentre ses efforts autour de deux axes principaux :</w:t>
      </w:r>
    </w:p>
    <w:p w14:paraId="640A0271" w14:textId="77777777" w:rsidR="006C41C4" w:rsidRPr="00AE71B5" w:rsidRDefault="006C41C4" w:rsidP="006C41C4">
      <w:pPr>
        <w:snapToGrid/>
        <w:spacing w:after="120"/>
        <w:ind w:left="1176"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 xml:space="preserve">Assurer la coordination et la gestion du programme international </w:t>
      </w:r>
      <w:proofErr w:type="spellStart"/>
      <w:r w:rsidRPr="00AE71B5">
        <w:rPr>
          <w:rFonts w:ascii="Arial" w:eastAsia="Simsun (Founder Extended)" w:hAnsi="Arial" w:cs="Arial"/>
          <w:snapToGrid/>
          <w:sz w:val="22"/>
          <w:szCs w:val="22"/>
          <w:lang w:val="fr-FR"/>
        </w:rPr>
        <w:t>Argo</w:t>
      </w:r>
      <w:proofErr w:type="spellEnd"/>
    </w:p>
    <w:p w14:paraId="6F0CA50E" w14:textId="77777777" w:rsidR="006C41C4" w:rsidRPr="00AE71B5" w:rsidRDefault="006C41C4" w:rsidP="006C41C4">
      <w:pPr>
        <w:snapToGrid/>
        <w:spacing w:after="120"/>
        <w:ind w:left="1176"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Représenter la COI/UNESCO pour la région Méditerranée et superviser les différents réseaux d’observation déployés dans le bassin méditerranéen</w:t>
      </w:r>
    </w:p>
    <w:p w14:paraId="5324FB87" w14:textId="77777777" w:rsidR="006C41C4" w:rsidRPr="00AE71B5" w:rsidRDefault="006C41C4" w:rsidP="006C41C4">
      <w:pPr>
        <w:snapToGrid/>
        <w:spacing w:after="120"/>
        <w:ind w:left="720"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Enfin Monaco s’est engagée, dès l’origine, dans la Décennie des Sciences océaniques pour le développement durable. À ce titre, cette année, la Principauté de Monaco soumet à votre approbation la résolution 4.8 qui a été distribuée vendredi dernier. Cette résolution arrive à mi-parcours de la décennie et permet de dresser un bilan et de se projeter avec un nouvel élan sur les 5 prochaines années</w:t>
      </w:r>
    </w:p>
    <w:p w14:paraId="4CD2442E"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Enfin, je relaye les annonces formulées précédemment en vous invitant cordialement à participer à la projection du documentaire Ocean with David Attenborough qui aura lieu demain soir à 18h30, coorganisé par la Principauté de Monaco et la COI. Cette projection sera suivie d’une table ronde de personnalités scientifiques de renom - Dr Sylvie </w:t>
      </w:r>
      <w:proofErr w:type="spellStart"/>
      <w:r w:rsidRPr="00AE71B5">
        <w:rPr>
          <w:rFonts w:ascii="Arial" w:eastAsia="Simsun (Founder Extended)" w:hAnsi="Arial" w:cs="Arial"/>
          <w:snapToGrid/>
          <w:sz w:val="22"/>
          <w:szCs w:val="22"/>
          <w:lang w:val="fr-FR"/>
        </w:rPr>
        <w:t>Tambutté</w:t>
      </w:r>
      <w:proofErr w:type="spellEnd"/>
      <w:r w:rsidRPr="00AE71B5">
        <w:rPr>
          <w:rFonts w:ascii="Arial" w:eastAsia="Simsun (Founder Extended)" w:hAnsi="Arial" w:cs="Arial"/>
          <w:snapToGrid/>
          <w:sz w:val="22"/>
          <w:szCs w:val="22"/>
          <w:lang w:val="fr-FR"/>
        </w:rPr>
        <w:t>, directrice scientifique du Centre Scientifique de Monaco, Dr Valérie Masson</w:t>
      </w:r>
      <w:r w:rsidRPr="00AE71B5">
        <w:rPr>
          <w:rFonts w:ascii="Cambria Math" w:eastAsia="Simsun (Founder Extended)" w:hAnsi="Cambria Math" w:cs="Cambria Math"/>
          <w:snapToGrid/>
          <w:sz w:val="22"/>
          <w:szCs w:val="22"/>
          <w:lang w:val="fr-FR"/>
        </w:rPr>
        <w:t>‑</w:t>
      </w:r>
      <w:r w:rsidRPr="00AE71B5">
        <w:rPr>
          <w:rFonts w:ascii="Arial" w:eastAsia="Simsun (Founder Extended)" w:hAnsi="Arial" w:cs="Arial"/>
          <w:snapToGrid/>
          <w:sz w:val="22"/>
          <w:szCs w:val="22"/>
          <w:lang w:val="fr-FR"/>
        </w:rPr>
        <w:t>Delmotte, paléoclimatologue française et directrice de recherche du laboratoire des sciences du climat et de l’environnement (LSCE) du Commissariat à l’énergie atomique et aux énergies alternatives (CEA) et Dr Rafael González</w:t>
      </w:r>
      <w:r w:rsidRPr="00AE71B5">
        <w:rPr>
          <w:rFonts w:ascii="Cambria Math" w:eastAsia="Simsun (Founder Extended)" w:hAnsi="Cambria Math" w:cs="Cambria Math"/>
          <w:snapToGrid/>
          <w:sz w:val="22"/>
          <w:szCs w:val="22"/>
          <w:lang w:val="fr-FR"/>
        </w:rPr>
        <w:t>‑</w:t>
      </w:r>
      <w:r w:rsidRPr="00AE71B5">
        <w:rPr>
          <w:rFonts w:ascii="Arial" w:eastAsia="Simsun (Founder Extended)" w:hAnsi="Arial" w:cs="Arial"/>
          <w:snapToGrid/>
          <w:sz w:val="22"/>
          <w:szCs w:val="22"/>
          <w:lang w:val="fr-FR"/>
        </w:rPr>
        <w:t xml:space="preserve">Quirós océanographe et directeur du Centro </w:t>
      </w:r>
      <w:proofErr w:type="spellStart"/>
      <w:r w:rsidRPr="00AE71B5">
        <w:rPr>
          <w:rFonts w:ascii="Arial" w:eastAsia="Simsun (Founder Extended)" w:hAnsi="Arial" w:cs="Arial"/>
          <w:snapToGrid/>
          <w:sz w:val="22"/>
          <w:szCs w:val="22"/>
          <w:lang w:val="fr-FR"/>
        </w:rPr>
        <w:t>Oceanografico</w:t>
      </w:r>
      <w:proofErr w:type="spellEnd"/>
      <w:r w:rsidRPr="00AE71B5">
        <w:rPr>
          <w:rFonts w:ascii="Arial" w:eastAsia="Simsun (Founder Extended)" w:hAnsi="Arial" w:cs="Arial"/>
          <w:snapToGrid/>
          <w:sz w:val="22"/>
          <w:szCs w:val="22"/>
          <w:lang w:val="fr-FR"/>
        </w:rPr>
        <w:t xml:space="preserve"> de </w:t>
      </w:r>
      <w:proofErr w:type="spellStart"/>
      <w:r w:rsidRPr="00AE71B5">
        <w:rPr>
          <w:rFonts w:ascii="Arial" w:eastAsia="Simsun (Founder Extended)" w:hAnsi="Arial" w:cs="Arial"/>
          <w:snapToGrid/>
          <w:sz w:val="22"/>
          <w:szCs w:val="22"/>
          <w:lang w:val="fr-FR"/>
        </w:rPr>
        <w:t>Gijon</w:t>
      </w:r>
      <w:proofErr w:type="spellEnd"/>
      <w:r w:rsidRPr="00AE71B5">
        <w:rPr>
          <w:rFonts w:ascii="Arial" w:eastAsia="Simsun (Founder Extended)" w:hAnsi="Arial" w:cs="Arial"/>
          <w:snapToGrid/>
          <w:sz w:val="22"/>
          <w:szCs w:val="22"/>
          <w:lang w:val="fr-FR"/>
        </w:rPr>
        <w:t>, il seront aux côtés de M. Keith Scholey, réalisateur et producteur du film venu spécialement de Londres.</w:t>
      </w:r>
    </w:p>
    <w:p w14:paraId="398E8642" w14:textId="77777777" w:rsidR="006C41C4" w:rsidRPr="00AE71B5" w:rsidRDefault="006C41C4" w:rsidP="006C41C4">
      <w:pPr>
        <w:keepNext/>
        <w:snapToGrid/>
        <w:spacing w:after="120"/>
        <w:rPr>
          <w:rFonts w:ascii="Arial" w:hAnsi="Arial" w:cs="Arial"/>
          <w:b/>
          <w:sz w:val="22"/>
          <w:szCs w:val="22"/>
        </w:rPr>
      </w:pPr>
      <w:bookmarkStart w:id="382" w:name="norw32"/>
      <w:r w:rsidRPr="00AE71B5">
        <w:rPr>
          <w:rFonts w:ascii="Arial" w:hAnsi="Arial" w:cs="Arial"/>
          <w:b/>
          <w:sz w:val="22"/>
          <w:szCs w:val="22"/>
        </w:rPr>
        <w:t>Norway</w:t>
      </w:r>
    </w:p>
    <w:bookmarkEnd w:id="382"/>
    <w:p w14:paraId="2BC15AE2"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Norway commends the forward-looking and necessary initiatives being undertaken—particularly the “IOC and the Future of the Ocean” project, and the focus on securing </w:t>
      </w:r>
      <w:proofErr w:type="gramStart"/>
      <w:r w:rsidRPr="00AE71B5">
        <w:rPr>
          <w:rFonts w:ascii="Arial" w:eastAsia="Simsun (Founder Extended)" w:hAnsi="Arial" w:cs="Arial"/>
          <w:snapToGrid/>
          <w:sz w:val="22"/>
          <w:szCs w:val="22"/>
          <w:lang w:val="en-US"/>
        </w:rPr>
        <w:t>a lasting legacy</w:t>
      </w:r>
      <w:proofErr w:type="gramEnd"/>
      <w:r w:rsidRPr="00AE71B5">
        <w:rPr>
          <w:rFonts w:ascii="Arial" w:eastAsia="Simsun (Founder Extended)" w:hAnsi="Arial" w:cs="Arial"/>
          <w:snapToGrid/>
          <w:sz w:val="22"/>
          <w:szCs w:val="22"/>
          <w:lang w:val="en-US"/>
        </w:rPr>
        <w:t xml:space="preserve"> from the Ocean Decade to further strengthen IOC’s role and relevance.</w:t>
      </w:r>
    </w:p>
    <w:p w14:paraId="33C85FD4"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Furthermore, we strongly support IOC’s contributions to other UN processes, which help maximize the return on our collective investments in observation, data sharing, and scientific knowledge.</w:t>
      </w:r>
    </w:p>
    <w:p w14:paraId="291105A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budget documents clearly illustrate that the IOC is navigating challenging financial waters. While we certainly welcome the increased share of UNESCO’s regular budget, this positive development may be overshadowed by changing circumstances. </w:t>
      </w:r>
    </w:p>
    <w:p w14:paraId="0D13D0D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welcome the alignment of the IOC Results Framework with the High-Level Objectives of the Medium-Term Strategy, which facilitates a more effective assessment of its implementation.</w:t>
      </w:r>
    </w:p>
    <w:p w14:paraId="4C4049E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Furthermore, the renewed focus on fully implementing the IOC Statutes - including the implications of the functional autonomy they describe - will help free up time, resources, and capacity to advance the High-Level Objectives of the Medium-Term Strategy.</w:t>
      </w:r>
    </w:p>
    <w:p w14:paraId="596130A3"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Norway continues to view IOC as a trusted and essential partner—in advancing science, shaping policy, and promoting a sustainable ocean economy on a global scale, and we remain a steadfast supporter of the IOC.</w:t>
      </w:r>
    </w:p>
    <w:p w14:paraId="0093BCC1" w14:textId="77777777" w:rsidR="006C41C4" w:rsidRPr="00E647B1" w:rsidRDefault="006C41C4" w:rsidP="006C41C4">
      <w:pPr>
        <w:keepNext/>
        <w:snapToGrid/>
        <w:spacing w:after="120"/>
        <w:rPr>
          <w:rFonts w:ascii="Arial" w:hAnsi="Arial" w:cs="Arial"/>
          <w:b/>
          <w:sz w:val="22"/>
          <w:szCs w:val="22"/>
          <w:lang w:val="es-ES"/>
        </w:rPr>
      </w:pPr>
      <w:bookmarkStart w:id="383" w:name="pana32"/>
      <w:r w:rsidRPr="00E647B1">
        <w:rPr>
          <w:rFonts w:ascii="Arial" w:hAnsi="Arial" w:cs="Arial"/>
          <w:b/>
          <w:sz w:val="22"/>
          <w:szCs w:val="22"/>
          <w:lang w:val="es-ES"/>
        </w:rPr>
        <w:t xml:space="preserve">Panama </w:t>
      </w:r>
    </w:p>
    <w:bookmarkEnd w:id="383"/>
    <w:p w14:paraId="3EBCDBEE" w14:textId="77777777" w:rsidR="006C41C4" w:rsidRPr="00AE71B5" w:rsidRDefault="006C41C4" w:rsidP="006C41C4">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Acogemos los avances significativos realizados desde la trigésima segunda reunión de esta Asamblea. Destacamos, en particular, la consolidación del Decenio de las Naciones Unidas de las Ciencias Oceánicas para el Desarrollo Sostenible (2021-2030) como una iniciativa mundial sin precedencia para lograr “la ciencia que necesitamos para el océano que queremos”. </w:t>
      </w:r>
    </w:p>
    <w:p w14:paraId="6E4E0C8E" w14:textId="77777777" w:rsidR="006C41C4" w:rsidRPr="00AE71B5" w:rsidRDefault="006C41C4" w:rsidP="006C41C4">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Desde Panamá refirmamos nuestro compromiso con la protección de los océanos y la promoción de la gestión sostenible del océano. Hemos implementado políticas innovadoras para reducir las emisiones de carbono y proteger nuestros ecosistemas marinos. </w:t>
      </w:r>
    </w:p>
    <w:p w14:paraId="434499BF" w14:textId="77777777" w:rsidR="006C41C4" w:rsidRPr="00AE71B5" w:rsidRDefault="006C41C4" w:rsidP="006C41C4">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En 2023, albergamos la Conferencia Nuestros Océanos comprometiendo $137 millones de dólares para proyectos de resiliencia marina. En este mismo año, establecimos nuestro Centro Nacional de Datos Oceanográficos (NODC), el cual ha sido incorporado oficialmente a la red IODE, convirtiéndose en un avance significativo para Panamá en su integración a los esfuerzos internacionales de gestión e intercambio de datos marinos.</w:t>
      </w:r>
    </w:p>
    <w:p w14:paraId="39CB1F76" w14:textId="77777777" w:rsidR="006C41C4" w:rsidRPr="00AE71B5" w:rsidRDefault="006C41C4" w:rsidP="006C41C4">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Asimismo, hemos prohibido la utilización de plásticos de un solo uso para reducir la contaminación costera. Y través de nuestra Política Nacional de Océanos hemos logrado la protección de más del 54.33% de la superficie marina de nuestro país.</w:t>
      </w:r>
    </w:p>
    <w:p w14:paraId="4082BAFF" w14:textId="77777777" w:rsidR="006C41C4" w:rsidRPr="00AE71B5" w:rsidRDefault="006C41C4" w:rsidP="006C41C4">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En este sentido, aplaudimos todos los esfuerzos de se llevan a cabo desde la COI, para la conservación, restauración y gestión sostenible de los ecosistemas costeros de carbono azul, los cuales son fundamentales para mitigar el cambio climático, proteger la biodiversidad y promover economías sostenibles. </w:t>
      </w:r>
    </w:p>
    <w:p w14:paraId="724CAD43" w14:textId="77777777" w:rsidR="006C41C4" w:rsidRPr="00AE71B5" w:rsidRDefault="006C41C4" w:rsidP="006C41C4">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Respaldamos la cooperación con organizaciones como la OMM, el PNUMA y el Consejo Internacional de Ciencias ya que son esenciales para potenciar y mejorar las actividades de la COI y valoramos el Sistema Mundial de Observación del Océano (GOOS) y el Sistema de Datos e Información Oceanográficos (ODIS) como pilares fundamentales de la infraestructura oceánica mundial. </w:t>
      </w:r>
    </w:p>
    <w:p w14:paraId="029FE160" w14:textId="77777777" w:rsidR="006C41C4" w:rsidRPr="00AE71B5" w:rsidRDefault="006C41C4" w:rsidP="006C41C4">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Distinguidos Estados Miembros: La ciencia del océano nos da las respuestas, pero es nuestra voluntad colectiva la que marcará la diferencia. Panamá como líder azul y carbono cero negativos, reafirma su compromiso con los océanos y su voluntad de trabajar junto a la COI para garantizar que nuestros océanos sigan siendo una fuente de vida, prosperidad y bienestar para las presentes y generaciones futuras.</w:t>
      </w:r>
    </w:p>
    <w:p w14:paraId="4A95C111" w14:textId="77777777" w:rsidR="006C41C4" w:rsidRPr="00AE71B5" w:rsidRDefault="006C41C4" w:rsidP="006C41C4">
      <w:pPr>
        <w:keepNext/>
        <w:snapToGrid/>
        <w:spacing w:after="120"/>
        <w:rPr>
          <w:rFonts w:ascii="Arial" w:hAnsi="Arial" w:cs="Arial"/>
          <w:b/>
          <w:sz w:val="22"/>
          <w:szCs w:val="22"/>
        </w:rPr>
      </w:pPr>
      <w:bookmarkStart w:id="384" w:name="port32"/>
      <w:r w:rsidRPr="00AE71B5">
        <w:rPr>
          <w:rFonts w:ascii="Arial" w:hAnsi="Arial" w:cs="Arial"/>
          <w:b/>
          <w:sz w:val="22"/>
          <w:szCs w:val="22"/>
        </w:rPr>
        <w:t>Portugal</w:t>
      </w:r>
    </w:p>
    <w:bookmarkEnd w:id="384"/>
    <w:p w14:paraId="6E1C94E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IOC is a major driving force in advancing Ocean science, global ocean observation and early warning systems to protect coastal communities, fostering international cooperation and capacity building, and connecting science and policy. We also take also this opportunity to welcome Liberia to the IOC.</w:t>
      </w:r>
    </w:p>
    <w:p w14:paraId="598A1A3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As concerns the future of the IOC, we wish to reaffirm the critical importance of the IOC’s mandate as the UN body responsible for marine science and ocean services and for its key role in coordinating global ocean science. Its functional autonomy status within UNESCO is essential to ensure the Commission’s responsiveness, credibility, and efficiency. </w:t>
      </w:r>
    </w:p>
    <w:p w14:paraId="221CB32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It is also fundamental to ensure that the IOC member states </w:t>
      </w:r>
      <w:proofErr w:type="gramStart"/>
      <w:r w:rsidRPr="00AE71B5">
        <w:rPr>
          <w:rFonts w:ascii="Arial" w:eastAsia="Simsun (Founder Extended)" w:hAnsi="Arial" w:cs="Arial"/>
          <w:snapToGrid/>
          <w:sz w:val="22"/>
          <w:szCs w:val="22"/>
        </w:rPr>
        <w:t>vision</w:t>
      </w:r>
      <w:proofErr w:type="gramEnd"/>
      <w:r w:rsidRPr="00AE71B5">
        <w:rPr>
          <w:rFonts w:ascii="Arial" w:eastAsia="Simsun (Founder Extended)" w:hAnsi="Arial" w:cs="Arial"/>
          <w:snapToGrid/>
          <w:sz w:val="22"/>
          <w:szCs w:val="22"/>
        </w:rPr>
        <w:t xml:space="preserve"> and priorities are adequately represented by their Executive Secretary at major international meetings, avoiding the absence of IOC representation at the adequate level. It should be stressed that IOC member states are not necessarily the same members as those of UNESCO. </w:t>
      </w:r>
    </w:p>
    <w:p w14:paraId="4212C79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is therefore essential that proper credit is given to IOC actions, results and deliverables, including the coordination of the UN Ocean Decade, and that IOC’s image is maintained with the integrity of the original IOC logo, which should be consistently used in all forms of documentation and materials, avoiding its adulteration observed in the past few years, without the consent of IOC member states.</w:t>
      </w:r>
    </w:p>
    <w:p w14:paraId="657F206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congratulate IOC for the coordination of the UN Decade of Ocean Science for Sustainable Development, to which Portugal is strongly committed. In this context, the Portuguese National Committee for the Ocean Decade is playing a key role in </w:t>
      </w:r>
      <w:proofErr w:type="spellStart"/>
      <w:r w:rsidRPr="00AE71B5">
        <w:rPr>
          <w:rFonts w:ascii="Arial" w:eastAsia="Simsun (Founder Extended)" w:hAnsi="Arial" w:cs="Arial"/>
          <w:snapToGrid/>
          <w:sz w:val="22"/>
          <w:szCs w:val="22"/>
        </w:rPr>
        <w:t>catalyzing</w:t>
      </w:r>
      <w:proofErr w:type="spellEnd"/>
      <w:r w:rsidRPr="00AE71B5">
        <w:rPr>
          <w:rFonts w:ascii="Arial" w:eastAsia="Simsun (Founder Extended)" w:hAnsi="Arial" w:cs="Arial"/>
          <w:snapToGrid/>
          <w:sz w:val="22"/>
          <w:szCs w:val="22"/>
        </w:rPr>
        <w:t xml:space="preserve"> national engagement, promoting research, innovation, ocean literacy and cooperation across all sectors, </w:t>
      </w:r>
      <w:proofErr w:type="gramStart"/>
      <w:r w:rsidRPr="00AE71B5">
        <w:rPr>
          <w:rFonts w:ascii="Arial" w:eastAsia="Simsun (Founder Extended)" w:hAnsi="Arial" w:cs="Arial"/>
          <w:snapToGrid/>
          <w:sz w:val="22"/>
          <w:szCs w:val="22"/>
        </w:rPr>
        <w:t xml:space="preserve">from universities and research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and public administration,</w:t>
      </w:r>
      <w:proofErr w:type="gramEnd"/>
      <w:r w:rsidRPr="00AE71B5">
        <w:rPr>
          <w:rFonts w:ascii="Arial" w:eastAsia="Simsun (Founder Extended)" w:hAnsi="Arial" w:cs="Arial"/>
          <w:snapToGrid/>
          <w:sz w:val="22"/>
          <w:szCs w:val="22"/>
        </w:rPr>
        <w:t xml:space="preserve"> to civil society and the private sector. </w:t>
      </w:r>
    </w:p>
    <w:p w14:paraId="590AECA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deeply committed to contribute to the IOC initiatives in capacity building, through our Ocean Teacher Global Academy Regional Training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that has been promoting courses directed to developing states. We are also contributing to IOC </w:t>
      </w:r>
      <w:proofErr w:type="gramStart"/>
      <w:r w:rsidRPr="00AE71B5">
        <w:rPr>
          <w:rFonts w:ascii="Arial" w:eastAsia="Simsun (Founder Extended)" w:hAnsi="Arial" w:cs="Arial"/>
          <w:snapToGrid/>
          <w:sz w:val="22"/>
          <w:szCs w:val="22"/>
        </w:rPr>
        <w:t>initiatives  in</w:t>
      </w:r>
      <w:proofErr w:type="gramEnd"/>
      <w:r w:rsidRPr="00AE71B5">
        <w:rPr>
          <w:rFonts w:ascii="Arial" w:eastAsia="Simsun (Founder Extended)" w:hAnsi="Arial" w:cs="Arial"/>
          <w:snapToGrid/>
          <w:sz w:val="22"/>
          <w:szCs w:val="22"/>
        </w:rPr>
        <w:t xml:space="preserve"> Ocean literacy, </w:t>
      </w:r>
      <w:proofErr w:type="gramStart"/>
      <w:r w:rsidRPr="00AE71B5">
        <w:rPr>
          <w:rFonts w:ascii="Arial" w:eastAsia="Simsun (Founder Extended)" w:hAnsi="Arial" w:cs="Arial"/>
          <w:snapToGrid/>
          <w:sz w:val="22"/>
          <w:szCs w:val="22"/>
        </w:rPr>
        <w:t>in particular through</w:t>
      </w:r>
      <w:proofErr w:type="gramEnd"/>
      <w:r w:rsidRPr="00AE71B5">
        <w:rPr>
          <w:rFonts w:ascii="Arial" w:eastAsia="Simsun (Founder Extended)" w:hAnsi="Arial" w:cs="Arial"/>
          <w:snapToGrid/>
          <w:sz w:val="22"/>
          <w:szCs w:val="22"/>
        </w:rPr>
        <w:t xml:space="preserve"> the Blue Schools Program initiative first established in Portugal.</w:t>
      </w:r>
    </w:p>
    <w:p w14:paraId="1324B4D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a member of the Ocean Decade Alliance, our President of the republic being one of the Alliance patrons, Portugal </w:t>
      </w:r>
      <w:proofErr w:type="gramStart"/>
      <w:r w:rsidRPr="00AE71B5">
        <w:rPr>
          <w:rFonts w:ascii="Arial" w:eastAsia="Simsun (Founder Extended)" w:hAnsi="Arial" w:cs="Arial"/>
          <w:snapToGrid/>
          <w:sz w:val="22"/>
          <w:szCs w:val="22"/>
        </w:rPr>
        <w:t>is fully supports</w:t>
      </w:r>
      <w:proofErr w:type="gramEnd"/>
      <w:r w:rsidRPr="00AE71B5">
        <w:rPr>
          <w:rFonts w:ascii="Arial" w:eastAsia="Simsun (Founder Extended)" w:hAnsi="Arial" w:cs="Arial"/>
          <w:snapToGrid/>
          <w:sz w:val="22"/>
          <w:szCs w:val="22"/>
        </w:rPr>
        <w:t xml:space="preserve"> the Alliance’s Call to Action on Deep-Sea Mapping presented in Nice. As a nation with one of the largest maritime zones in Europe, we understand the immense value of mapping the seabed, namely for climate research, habitat mapping and hazard monitoring and early warning.</w:t>
      </w:r>
    </w:p>
    <w:p w14:paraId="023A08C7" w14:textId="77777777" w:rsidR="006C41C4" w:rsidRPr="00AE71B5" w:rsidRDefault="006C41C4" w:rsidP="006C41C4">
      <w:pPr>
        <w:keepNext/>
        <w:snapToGrid/>
        <w:spacing w:after="120"/>
        <w:rPr>
          <w:rFonts w:ascii="Arial" w:hAnsi="Arial" w:cs="Arial"/>
          <w:b/>
          <w:sz w:val="22"/>
          <w:szCs w:val="22"/>
        </w:rPr>
      </w:pPr>
      <w:bookmarkStart w:id="385" w:name="rok32"/>
      <w:r w:rsidRPr="00AE71B5">
        <w:rPr>
          <w:rFonts w:ascii="Arial" w:hAnsi="Arial" w:cs="Arial"/>
          <w:b/>
          <w:sz w:val="22"/>
          <w:szCs w:val="22"/>
        </w:rPr>
        <w:t>Republic of Korea</w:t>
      </w:r>
      <w:bookmarkEnd w:id="385"/>
    </w:p>
    <w:p w14:paraId="076F730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Since the last session, Korea has remained fully engaged in international efforts aligned with the IOC’s mission. A few weeks ago, Korea participated in the 2025 UN Ocean Conference and contributed to the global momentum for advancing the goals of the UN Ocean Decade.</w:t>
      </w:r>
    </w:p>
    <w:p w14:paraId="599C273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Through both financial and personnel support to the IOC Ocean Science Section, Korea has contributed to the development and publication of the 2024 State of the Ocean Report. In line with our continued engagement with the UN Ocean Decade, Korea is pleased to contribute to the Decade’s objectives, including through voluntary support and collaboration. </w:t>
      </w:r>
    </w:p>
    <w:p w14:paraId="569838E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Following Korea’s ratification of the BBNJ Agreement as the 21st country, we are actively participating in the Preparatory Commission and working to support its effective implementation.</w:t>
      </w:r>
    </w:p>
    <w:p w14:paraId="28CB52E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Earlier this year, Korea successfully hosted the 10th Our Ocean Conference in Busan. It was a valuable opportunity to reflect on a decade of global ocean commitments and to launch new actions for the years ahead.</w:t>
      </w:r>
    </w:p>
    <w:p w14:paraId="1B392E9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ahead, we are pleased to announce that Korea and Chile are jointly proposing to co-host the 4th United Nations Ocean Conference (UNOC4) in 2028. As the final UNOC before the 2030 SDG deadline, it will be a critical opportunity to take stock of global progress and shape the post-Decade agenda.</w:t>
      </w:r>
    </w:p>
    <w:p w14:paraId="7BBDC85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look forward to working closely with the IOC and all Member States to ensure UNOC4 is a success and to continue advancing our shared vision for a sustainable and resilient ocean.  </w:t>
      </w:r>
    </w:p>
    <w:p w14:paraId="3ABBE895" w14:textId="77777777" w:rsidR="006C41C4" w:rsidRPr="00AE71B5" w:rsidRDefault="006C41C4" w:rsidP="006C41C4">
      <w:pPr>
        <w:keepNext/>
        <w:snapToGrid/>
        <w:spacing w:after="120"/>
        <w:rPr>
          <w:rFonts w:ascii="Arial" w:hAnsi="Arial" w:cs="Arial"/>
          <w:b/>
          <w:sz w:val="22"/>
          <w:szCs w:val="22"/>
        </w:rPr>
      </w:pPr>
      <w:bookmarkStart w:id="386" w:name="rus32"/>
      <w:r w:rsidRPr="00AE71B5">
        <w:rPr>
          <w:rFonts w:ascii="Arial" w:hAnsi="Arial" w:cs="Arial"/>
          <w:b/>
          <w:sz w:val="22"/>
          <w:szCs w:val="22"/>
        </w:rPr>
        <w:t>Russian Federation</w:t>
      </w:r>
    </w:p>
    <w:bookmarkEnd w:id="386"/>
    <w:p w14:paraId="55D6657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support the activities of the Secretariat in developing cooperation with UN structures, other international organizations and the private sector.</w:t>
      </w:r>
    </w:p>
    <w:p w14:paraId="1D001938"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Given the declining stability of funding sources and the amount of available funds, it is extremely important to strengthen the institutional structure and financial capabilities of the IOC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keep IOC obligations to Member States continuously doable which is </w:t>
      </w:r>
      <w:proofErr w:type="spellStart"/>
      <w:proofErr w:type="gramStart"/>
      <w:r w:rsidRPr="00AE71B5">
        <w:rPr>
          <w:rFonts w:ascii="Arial" w:eastAsia="Simsun (Founder Extended)" w:hAnsi="Arial" w:cs="Arial"/>
          <w:snapToGrid/>
          <w:sz w:val="22"/>
          <w:szCs w:val="22"/>
          <w:lang w:val="en-US"/>
        </w:rPr>
        <w:t>inline</w:t>
      </w:r>
      <w:proofErr w:type="spellEnd"/>
      <w:proofErr w:type="gramEnd"/>
      <w:r w:rsidRPr="00AE71B5">
        <w:rPr>
          <w:rFonts w:ascii="Arial" w:eastAsia="Simsun (Founder Extended)" w:hAnsi="Arial" w:cs="Arial"/>
          <w:snapToGrid/>
          <w:sz w:val="22"/>
          <w:szCs w:val="22"/>
          <w:lang w:val="en-US"/>
        </w:rPr>
        <w:t xml:space="preserve"> with the Statute of the Commission and the principles of functional autonomy within the UNESCO structure.</w:t>
      </w:r>
    </w:p>
    <w:p w14:paraId="27D444A6"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stress that Regional </w:t>
      </w:r>
      <w:proofErr w:type="spellStart"/>
      <w:r w:rsidRPr="00AE71B5">
        <w:rPr>
          <w:rFonts w:ascii="Arial" w:eastAsia="Simsun (Founder Extended)" w:hAnsi="Arial" w:cs="Arial"/>
          <w:snapToGrid/>
          <w:sz w:val="22"/>
          <w:szCs w:val="22"/>
          <w:lang w:val="en-US"/>
        </w:rPr>
        <w:t>Subcommissions</w:t>
      </w:r>
      <w:proofErr w:type="spellEnd"/>
      <w:r w:rsidRPr="00AE71B5">
        <w:rPr>
          <w:rFonts w:ascii="Arial" w:eastAsia="Simsun (Founder Extended)" w:hAnsi="Arial" w:cs="Arial"/>
          <w:snapToGrid/>
          <w:sz w:val="22"/>
          <w:szCs w:val="22"/>
          <w:lang w:val="en-US"/>
        </w:rPr>
        <w:t xml:space="preserve"> form in fact the infrastructural skeleton of the IOC and stand as the main platform for implementing the initiatives of the Ocean Decade. Thus, insufficient funding of their functioning (</w:t>
      </w:r>
      <w:proofErr w:type="gramStart"/>
      <w:r w:rsidRPr="00AE71B5">
        <w:rPr>
          <w:rFonts w:ascii="Arial" w:eastAsia="Simsun (Founder Extended)" w:hAnsi="Arial" w:cs="Arial"/>
          <w:snapToGrid/>
          <w:sz w:val="22"/>
          <w:szCs w:val="22"/>
          <w:lang w:val="en-US"/>
        </w:rPr>
        <w:t>as it</w:t>
      </w:r>
      <w:proofErr w:type="gramEnd"/>
      <w:r w:rsidRPr="00AE71B5">
        <w:rPr>
          <w:rFonts w:ascii="Arial" w:eastAsia="Simsun (Founder Extended)" w:hAnsi="Arial" w:cs="Arial"/>
          <w:snapToGrid/>
          <w:sz w:val="22"/>
          <w:szCs w:val="22"/>
          <w:lang w:val="en-US"/>
        </w:rPr>
        <w:t xml:space="preserve"> is the case for the time being) puts the existing plans </w:t>
      </w:r>
      <w:proofErr w:type="gramStart"/>
      <w:r w:rsidRPr="00AE71B5">
        <w:rPr>
          <w:rFonts w:ascii="Arial" w:eastAsia="Simsun (Founder Extended)" w:hAnsi="Arial" w:cs="Arial"/>
          <w:snapToGrid/>
          <w:sz w:val="22"/>
          <w:szCs w:val="22"/>
          <w:lang w:val="en-US"/>
        </w:rPr>
        <w:t>on</w:t>
      </w:r>
      <w:proofErr w:type="gramEnd"/>
      <w:r w:rsidRPr="00AE71B5">
        <w:rPr>
          <w:rFonts w:ascii="Arial" w:eastAsia="Simsun (Founder Extended)" w:hAnsi="Arial" w:cs="Arial"/>
          <w:snapToGrid/>
          <w:sz w:val="22"/>
          <w:szCs w:val="22"/>
          <w:lang w:val="en-US"/>
        </w:rPr>
        <w:t xml:space="preserve"> risk.</w:t>
      </w:r>
    </w:p>
    <w:p w14:paraId="155A5CD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stress and want the Assembly to be aware about </w:t>
      </w:r>
      <w:proofErr w:type="spellStart"/>
      <w:r w:rsidRPr="00AE71B5">
        <w:rPr>
          <w:rFonts w:ascii="Arial" w:eastAsia="Simsun (Founder Extended)" w:hAnsi="Arial" w:cs="Arial"/>
          <w:snapToGrid/>
          <w:sz w:val="22"/>
          <w:szCs w:val="22"/>
          <w:lang w:val="en-US"/>
        </w:rPr>
        <w:t>continous</w:t>
      </w:r>
      <w:proofErr w:type="spellEnd"/>
      <w:r w:rsidRPr="00AE71B5">
        <w:rPr>
          <w:rFonts w:ascii="Arial" w:eastAsia="Simsun (Founder Extended)" w:hAnsi="Arial" w:cs="Arial"/>
          <w:snapToGrid/>
          <w:sz w:val="22"/>
          <w:szCs w:val="22"/>
          <w:lang w:val="en-US"/>
        </w:rPr>
        <w:t xml:space="preserve"> support for the IOC flagship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by Russian Federation, including ocean observing systems, data management, tsunami warning systems, ocean mapping, training activities and capacity building.</w:t>
      </w:r>
    </w:p>
    <w:p w14:paraId="46A850FD"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Among the important contributions to GOOS, we particularly stress the development of the Arctic Ocean observational scientific infrastructure. This includes (while not </w:t>
      </w:r>
      <w:proofErr w:type="spellStart"/>
      <w:r w:rsidRPr="00AE71B5">
        <w:rPr>
          <w:rFonts w:ascii="Arial" w:eastAsia="Simsun (Founder Extended)" w:hAnsi="Arial" w:cs="Arial"/>
          <w:snapToGrid/>
          <w:sz w:val="22"/>
          <w:szCs w:val="22"/>
          <w:lang w:val="en-US"/>
        </w:rPr>
        <w:t>llimited</w:t>
      </w:r>
      <w:proofErr w:type="spellEnd"/>
      <w:r w:rsidRPr="00AE71B5">
        <w:rPr>
          <w:rFonts w:ascii="Arial" w:eastAsia="Simsun (Founder Extended)" w:hAnsi="Arial" w:cs="Arial"/>
          <w:snapToGrid/>
          <w:sz w:val="22"/>
          <w:szCs w:val="22"/>
          <w:lang w:val="en-US"/>
        </w:rPr>
        <w:t xml:space="preserve"> to):</w:t>
      </w:r>
    </w:p>
    <w:p w14:paraId="4237CC2E"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the “North Pole” drifting station operating on board of a specially designed platform capable to operate in any ice </w:t>
      </w:r>
      <w:proofErr w:type="gramStart"/>
      <w:r w:rsidRPr="00AE71B5">
        <w:rPr>
          <w:rFonts w:ascii="Arial" w:eastAsia="Simsun (Founder Extended)" w:hAnsi="Arial" w:cs="Arial"/>
          <w:snapToGrid/>
          <w:sz w:val="22"/>
          <w:szCs w:val="22"/>
          <w:lang w:val="en-US"/>
        </w:rPr>
        <w:t>conditions;</w:t>
      </w:r>
      <w:proofErr w:type="gramEnd"/>
    </w:p>
    <w:p w14:paraId="71A0EB7B"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deploying a network of 47 drifting buoys in the eastern Arctic </w:t>
      </w:r>
      <w:proofErr w:type="gramStart"/>
      <w:r w:rsidRPr="00AE71B5">
        <w:rPr>
          <w:rFonts w:ascii="Arial" w:eastAsia="Simsun (Founder Extended)" w:hAnsi="Arial" w:cs="Arial"/>
          <w:snapToGrid/>
          <w:sz w:val="22"/>
          <w:szCs w:val="22"/>
          <w:lang w:val="en-US"/>
        </w:rPr>
        <w:t>Ocean;</w:t>
      </w:r>
      <w:proofErr w:type="gramEnd"/>
    </w:p>
    <w:p w14:paraId="4576C7AB"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launching of the only in the World hydrometeorological spacecrafts Arktika-M – 1 and Arktika-M – 2 forming a dual system at highly elliptic orbit, thus providing now continuous observations across the pan-Arctic area north of 60° N.</w:t>
      </w:r>
    </w:p>
    <w:p w14:paraId="78D6B9DE"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Russia actively participates in the regional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such as WESTPAC and NEARGOOS and in investing in the IOC-related potential of developing countries. </w:t>
      </w:r>
      <w:proofErr w:type="gramStart"/>
      <w:r w:rsidRPr="00AE71B5">
        <w:rPr>
          <w:rFonts w:ascii="Arial" w:eastAsia="Simsun (Founder Extended)" w:hAnsi="Arial" w:cs="Arial"/>
          <w:snapToGrid/>
          <w:sz w:val="22"/>
          <w:szCs w:val="22"/>
          <w:lang w:val="en-US"/>
        </w:rPr>
        <w:t>A large number of</w:t>
      </w:r>
      <w:proofErr w:type="gramEnd"/>
      <w:r w:rsidRPr="00AE71B5">
        <w:rPr>
          <w:rFonts w:ascii="Arial" w:eastAsia="Simsun (Founder Extended)" w:hAnsi="Arial" w:cs="Arial"/>
          <w:snapToGrid/>
          <w:sz w:val="22"/>
          <w:szCs w:val="22"/>
          <w:lang w:val="en-US"/>
        </w:rPr>
        <w:t xml:space="preserve"> foreign students graduate form Russian universities, including also those funded by scholarships from the Russian Government. The Floating Universities program is successfully developing with a profound international participation.</w:t>
      </w:r>
    </w:p>
    <w:p w14:paraId="60A5762D" w14:textId="77777777" w:rsidR="006C41C4" w:rsidRPr="00AE71B5" w:rsidRDefault="006C41C4" w:rsidP="006C41C4">
      <w:pPr>
        <w:snapToGrid/>
        <w:spacing w:after="120"/>
        <w:jc w:val="both"/>
        <w:rPr>
          <w:rFonts w:ascii="Arial" w:eastAsia="Simsun (Founder Extended)" w:hAnsi="Arial" w:cs="Arial"/>
          <w:snapToGrid/>
          <w:sz w:val="22"/>
          <w:szCs w:val="22"/>
          <w:u w:val="single"/>
          <w:lang w:val="en-US"/>
        </w:rPr>
      </w:pPr>
      <w:r w:rsidRPr="00AE71B5">
        <w:rPr>
          <w:rFonts w:ascii="Arial" w:eastAsia="Simsun (Founder Extended)" w:hAnsi="Arial" w:cs="Arial"/>
          <w:snapToGrid/>
          <w:sz w:val="22"/>
          <w:szCs w:val="22"/>
          <w:u w:val="single"/>
          <w:lang w:val="en-US"/>
        </w:rPr>
        <w:t>IOC and the Future of the Ocean</w:t>
      </w:r>
    </w:p>
    <w:p w14:paraId="46B3985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Russia expresses its support for the actions of the IOC to improve the future of the ocean. We note the active participation of Russia in the relevant inter-sessional working groups of the IOC, in particular, the WG on Sustainable Ocean Planning and Management. </w:t>
      </w:r>
    </w:p>
    <w:p w14:paraId="72E8A622"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Russia supports the current activities of the IOC to ensure a healthy and better future for the oceans, as well as proposals for the development of the IOC to maintain its position in the future, </w:t>
      </w:r>
      <w:proofErr w:type="gramStart"/>
      <w:r w:rsidRPr="00AE71B5">
        <w:rPr>
          <w:rFonts w:ascii="Arial" w:eastAsia="Simsun (Founder Extended)" w:hAnsi="Arial" w:cs="Arial"/>
          <w:snapToGrid/>
          <w:sz w:val="22"/>
          <w:szCs w:val="22"/>
          <w:lang w:val="en-US"/>
        </w:rPr>
        <w:t>taking into account</w:t>
      </w:r>
      <w:proofErr w:type="gramEnd"/>
      <w:r w:rsidRPr="00AE71B5">
        <w:rPr>
          <w:rFonts w:ascii="Arial" w:eastAsia="Simsun (Founder Extended)" w:hAnsi="Arial" w:cs="Arial"/>
          <w:snapToGrid/>
          <w:sz w:val="22"/>
          <w:szCs w:val="22"/>
          <w:lang w:val="en-US"/>
        </w:rPr>
        <w:t xml:space="preserve"> the emerging problems of ocean exploration and development. Here we would like to suggest a geological and geophysical area in which there is currently a gap in the activities of the </w:t>
      </w:r>
      <w:proofErr w:type="gramStart"/>
      <w:r w:rsidRPr="00AE71B5">
        <w:rPr>
          <w:rFonts w:ascii="Arial" w:eastAsia="Simsun (Founder Extended)" w:hAnsi="Arial" w:cs="Arial"/>
          <w:snapToGrid/>
          <w:sz w:val="22"/>
          <w:szCs w:val="22"/>
          <w:lang w:val="en-US"/>
        </w:rPr>
        <w:t>IOC as a whole</w:t>
      </w:r>
      <w:proofErr w:type="gramEnd"/>
      <w:r w:rsidRPr="00AE71B5">
        <w:rPr>
          <w:rFonts w:ascii="Arial" w:eastAsia="Simsun (Founder Extended)" w:hAnsi="Arial" w:cs="Arial"/>
          <w:snapToGrid/>
          <w:sz w:val="22"/>
          <w:szCs w:val="22"/>
          <w:lang w:val="en-US"/>
        </w:rPr>
        <w:t xml:space="preserve">. In this regard, it is important to develop cooperation with experts from related bodies, such as the Ministry of Ecology, which are leading the way in providing background environmental assessments in areas of deep-sea exploration of mineral resources. </w:t>
      </w:r>
    </w:p>
    <w:p w14:paraId="623A66B4"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Russia also offers to organize consultations among young scientists to get their opinion and take their voice into account in the aspect of the "Future of the Ocean."</w:t>
      </w:r>
    </w:p>
    <w:p w14:paraId="7582E712"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like to note once again that cooperation between the IOC regional sub-commissions is very important for achieving the Sustainable Development Goals, and this is important for the future of the IOC.</w:t>
      </w:r>
    </w:p>
    <w:p w14:paraId="39E79C05" w14:textId="77777777" w:rsidR="006C41C4" w:rsidRPr="00AE71B5" w:rsidRDefault="006C41C4" w:rsidP="006C41C4">
      <w:pPr>
        <w:keepNext/>
        <w:snapToGrid/>
        <w:spacing w:after="120"/>
        <w:rPr>
          <w:rFonts w:ascii="Arial" w:hAnsi="Arial" w:cs="Arial"/>
          <w:b/>
          <w:sz w:val="22"/>
          <w:szCs w:val="22"/>
        </w:rPr>
      </w:pPr>
      <w:bookmarkStart w:id="387" w:name="sa32"/>
      <w:r w:rsidRPr="00AE71B5">
        <w:rPr>
          <w:rFonts w:ascii="Arial" w:hAnsi="Arial" w:cs="Arial"/>
          <w:b/>
          <w:sz w:val="22"/>
          <w:szCs w:val="22"/>
        </w:rPr>
        <w:t>South Africa</w:t>
      </w:r>
    </w:p>
    <w:bookmarkEnd w:id="387"/>
    <w:p w14:paraId="055936A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appreciate the proposed planning process that ensures that the programmes and priorities of the subsidiary bodies, particularly IOCAFRICA are aligned and can have a meaningful input towards the planning process of the IOC. South Africa appreciates the Executive Secretary’s efforts to attend the IOCAFRICA 8th Session, this indicates the efforts to understand the achievements and challenges of the IOCAFRICA at first hand.</w:t>
      </w:r>
    </w:p>
    <w:p w14:paraId="4A93299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believe that IOC’s leadership in implementing and executing several long-term and short-term programmes such as Ocean Decade, UN Ocean Conference which was attended by South Africa’s Minister of Forestry, Fisheries and the Environment, demonstrates the IOC’s ability to </w:t>
      </w:r>
      <w:r w:rsidRPr="00AE71B5">
        <w:rPr>
          <w:rFonts w:ascii="Arial" w:eastAsia="Simsun (Founder Extended)" w:hAnsi="Arial" w:cs="Arial"/>
          <w:snapToGrid/>
          <w:sz w:val="22"/>
          <w:szCs w:val="22"/>
        </w:rPr>
        <w:lastRenderedPageBreak/>
        <w:t>carry its mandate of ocean science and governance, we believe this reflects well on the Secretariat’s ability to deliver on desired outcomes.</w:t>
      </w:r>
    </w:p>
    <w:p w14:paraId="0AAE8BA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Lastly, South Africa welcomes Liberia to the IOC family and by extension to </w:t>
      </w:r>
      <w:proofErr w:type="gramStart"/>
      <w:r w:rsidRPr="00AE71B5">
        <w:rPr>
          <w:rFonts w:ascii="Arial" w:eastAsia="Simsun (Founder Extended)" w:hAnsi="Arial" w:cs="Arial"/>
          <w:snapToGrid/>
          <w:sz w:val="22"/>
          <w:szCs w:val="22"/>
        </w:rPr>
        <w:t>IOCAFRICA, and</w:t>
      </w:r>
      <w:proofErr w:type="gramEnd"/>
      <w:r w:rsidRPr="00AE71B5">
        <w:rPr>
          <w:rFonts w:ascii="Arial" w:eastAsia="Simsun (Founder Extended)" w:hAnsi="Arial" w:cs="Arial"/>
          <w:snapToGrid/>
          <w:sz w:val="22"/>
          <w:szCs w:val="22"/>
        </w:rPr>
        <w:t xml:space="preserve"> looks forward to future engagements.</w:t>
      </w:r>
    </w:p>
    <w:p w14:paraId="65302F53" w14:textId="77777777" w:rsidR="006C41C4" w:rsidRPr="009863A3" w:rsidRDefault="006C41C4" w:rsidP="006C41C4">
      <w:pPr>
        <w:keepNext/>
        <w:snapToGrid/>
        <w:spacing w:after="120"/>
        <w:rPr>
          <w:rFonts w:ascii="Arial" w:hAnsi="Arial" w:cs="Arial"/>
          <w:b/>
          <w:sz w:val="22"/>
          <w:szCs w:val="22"/>
          <w:lang w:val="es-ES"/>
        </w:rPr>
      </w:pPr>
      <w:bookmarkStart w:id="388" w:name="spain32"/>
      <w:proofErr w:type="spellStart"/>
      <w:r w:rsidRPr="009863A3">
        <w:rPr>
          <w:rFonts w:ascii="Arial" w:hAnsi="Arial" w:cs="Arial"/>
          <w:b/>
          <w:sz w:val="22"/>
          <w:szCs w:val="22"/>
          <w:lang w:val="es-ES"/>
        </w:rPr>
        <w:t>Spain</w:t>
      </w:r>
      <w:proofErr w:type="spellEnd"/>
    </w:p>
    <w:bookmarkEnd w:id="388"/>
    <w:p w14:paraId="0494830F"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agradece al </w:t>
      </w:r>
      <w:proofErr w:type="gramStart"/>
      <w:r w:rsidRPr="00AE71B5">
        <w:rPr>
          <w:rFonts w:ascii="Arial" w:eastAsia="Simsun (Founder Extended)" w:hAnsi="Arial" w:cs="Arial"/>
          <w:snapToGrid/>
          <w:sz w:val="22"/>
          <w:szCs w:val="22"/>
          <w:lang w:val="es-ES"/>
        </w:rPr>
        <w:t>Presidente</w:t>
      </w:r>
      <w:proofErr w:type="gramEnd"/>
      <w:r w:rsidRPr="00AE71B5">
        <w:rPr>
          <w:rFonts w:ascii="Arial" w:eastAsia="Simsun (Founder Extended)" w:hAnsi="Arial" w:cs="Arial"/>
          <w:snapToGrid/>
          <w:sz w:val="22"/>
          <w:szCs w:val="22"/>
          <w:lang w:val="es-ES"/>
        </w:rPr>
        <w:t xml:space="preserve"> y al </w:t>
      </w:r>
      <w:proofErr w:type="gramStart"/>
      <w:r w:rsidRPr="00AE71B5">
        <w:rPr>
          <w:rFonts w:ascii="Arial" w:eastAsia="Simsun (Founder Extended)" w:hAnsi="Arial" w:cs="Arial"/>
          <w:snapToGrid/>
          <w:sz w:val="22"/>
          <w:szCs w:val="22"/>
          <w:lang w:val="es-ES"/>
        </w:rPr>
        <w:t>Secretario Ejecutivo</w:t>
      </w:r>
      <w:proofErr w:type="gramEnd"/>
      <w:r w:rsidRPr="00AE71B5">
        <w:rPr>
          <w:rFonts w:ascii="Arial" w:eastAsia="Simsun (Founder Extended)" w:hAnsi="Arial" w:cs="Arial"/>
          <w:snapToGrid/>
          <w:sz w:val="22"/>
          <w:szCs w:val="22"/>
          <w:lang w:val="es-ES"/>
        </w:rPr>
        <w:t xml:space="preserve"> su excelente exposición y las memorias presentadas, que reflejan la importante e intensa labor desarrollada por el Secretariado durante estos dos años y un análisis de los retos e incertidumbres para el futuro a corto y medio plazo. Hacemos este agradecimiento extensivo a todos los vicepresidentes y sobre todo a toda la Secretaría de la COI. Damos también la bienvenida y más sincero agradecimiento a Liberia por su incorporación a la COI.</w:t>
      </w:r>
    </w:p>
    <w:p w14:paraId="50748C3F"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El número de asuntos incluidos en su intervención y más aún en los documentos que la acompañan es muy extenso y en estos 3 minutos es imposible responder a todos los asuntos tratados. Respaldamos lo ya comentado por otros estados miembros sobre la importancia de GOOS, de la gestión y coordinación de datos y del desarrollo de capacidades en general, y solo nos centraremos en algunos otros que también consideramos más importantes o críticos.</w:t>
      </w:r>
    </w:p>
    <w:p w14:paraId="223536C3"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1) Actividades de España</w:t>
      </w:r>
    </w:p>
    <w:p w14:paraId="6E82A390"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Comenzamos destacando el compromiso de España  con esta comisión, con su mandato y su trabajo, y prueba de ello son la celebración de la Segunda Conferencia de la Década del Océano en Barcelona en 2024, la propuesta recientemente aprobada del Centro Colaborador de la Década sobre Economía Oceánica Sostenible en esta misma ciudad, nuestra continuada implicación en el Consejo Asesor del Informe sobre Estado del Océano, el Proyecto sobre el Gran Ecosistema Marino de la Corriente de Canarias financiado a través del Fondo Fiduciario de la Agencia Española de Cooperación al Desarrollo, por el reconocimiento de Chipiona como una ciudad </w:t>
      </w:r>
      <w:proofErr w:type="spellStart"/>
      <w:r w:rsidRPr="00AE71B5">
        <w:rPr>
          <w:rFonts w:ascii="Arial" w:eastAsia="Simsun (Founder Extended)" w:hAnsi="Arial" w:cs="Arial"/>
          <w:snapToGrid/>
          <w:sz w:val="22"/>
          <w:szCs w:val="22"/>
          <w:lang w:val="es-ES"/>
        </w:rPr>
        <w:t>Tsunamy</w:t>
      </w:r>
      <w:proofErr w:type="spellEnd"/>
      <w:r w:rsidRPr="00AE71B5">
        <w:rPr>
          <w:rFonts w:ascii="Arial" w:eastAsia="Simsun (Founder Extended)" w:hAnsi="Arial" w:cs="Arial"/>
          <w:snapToGrid/>
          <w:sz w:val="22"/>
          <w:szCs w:val="22"/>
          <w:lang w:val="es-ES"/>
        </w:rPr>
        <w:t xml:space="preserve"> Ready y por el trabajo que estamos ya realizando de recopilación de datos para el Informe  Mundial sobre las Ciencias Oceánicas, respaldando la llamada del Secretario Ejecutivo para que todos los países participemos en esta iniciativa.</w:t>
      </w:r>
    </w:p>
    <w:p w14:paraId="24C9CB84"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2) Autonomía Funcional.</w:t>
      </w:r>
    </w:p>
    <w:p w14:paraId="6C9158B3"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quiere destacar la importancia de la autonomía funcional de la COI dentro de la UNESCO y sus importantes consecuencias sobre la toma de decisiones sobre las funciones y actividad de la COI, así como que la COI tenga la visibilidad y correcta identificación en difusión de las actividades que realiza. </w:t>
      </w:r>
    </w:p>
    <w:p w14:paraId="1F04AB63"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3) Situación económica</w:t>
      </w:r>
    </w:p>
    <w:p w14:paraId="112FBF39"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ve con preocupación la situación económica de bloqueo presupuestario debido a la incertidumbre sobre la posición de </w:t>
      </w:r>
      <w:proofErr w:type="gramStart"/>
      <w:r w:rsidRPr="00AE71B5">
        <w:rPr>
          <w:rFonts w:ascii="Arial" w:eastAsia="Simsun (Founder Extended)" w:hAnsi="Arial" w:cs="Arial"/>
          <w:snapToGrid/>
          <w:sz w:val="22"/>
          <w:szCs w:val="22"/>
          <w:lang w:val="es-ES"/>
        </w:rPr>
        <w:t>EEUU</w:t>
      </w:r>
      <w:proofErr w:type="gramEnd"/>
      <w:r w:rsidRPr="00AE71B5">
        <w:rPr>
          <w:rFonts w:ascii="Arial" w:eastAsia="Simsun (Founder Extended)" w:hAnsi="Arial" w:cs="Arial"/>
          <w:snapToGrid/>
          <w:sz w:val="22"/>
          <w:szCs w:val="22"/>
          <w:lang w:val="es-ES"/>
        </w:rPr>
        <w:t xml:space="preserve"> en la COI y en la UNESCO. España no está de acuerdo con que la Secretaría de </w:t>
      </w:r>
      <w:proofErr w:type="gramStart"/>
      <w:r w:rsidRPr="00AE71B5">
        <w:rPr>
          <w:rFonts w:ascii="Arial" w:eastAsia="Simsun (Founder Extended)" w:hAnsi="Arial" w:cs="Arial"/>
          <w:snapToGrid/>
          <w:sz w:val="22"/>
          <w:szCs w:val="22"/>
          <w:lang w:val="es-ES"/>
        </w:rPr>
        <w:t>UNESCO</w:t>
      </w:r>
      <w:proofErr w:type="gramEnd"/>
      <w:r w:rsidRPr="00AE71B5">
        <w:rPr>
          <w:rFonts w:ascii="Arial" w:eastAsia="Simsun (Founder Extended)" w:hAnsi="Arial" w:cs="Arial"/>
          <w:snapToGrid/>
          <w:sz w:val="22"/>
          <w:szCs w:val="22"/>
          <w:lang w:val="es-ES"/>
        </w:rPr>
        <w:t xml:space="preserve"> haya aplicado un porcentaje de bloqueo del presupuesto de la COI mayor al que le corresponde según su proporcionalidad en el presupuesto del total de la UNESCO. Agradecemos las gestiones de la </w:t>
      </w:r>
      <w:proofErr w:type="gramStart"/>
      <w:r w:rsidRPr="00AE71B5">
        <w:rPr>
          <w:rFonts w:ascii="Arial" w:eastAsia="Simsun (Founder Extended)" w:hAnsi="Arial" w:cs="Arial"/>
          <w:snapToGrid/>
          <w:sz w:val="22"/>
          <w:szCs w:val="22"/>
          <w:lang w:val="es-ES"/>
        </w:rPr>
        <w:t>Secretaria</w:t>
      </w:r>
      <w:proofErr w:type="gramEnd"/>
      <w:r w:rsidRPr="00AE71B5">
        <w:rPr>
          <w:rFonts w:ascii="Arial" w:eastAsia="Simsun (Founder Extended)" w:hAnsi="Arial" w:cs="Arial"/>
          <w:snapToGrid/>
          <w:sz w:val="22"/>
          <w:szCs w:val="22"/>
          <w:lang w:val="es-ES"/>
        </w:rPr>
        <w:t xml:space="preserve"> de la COI y a la Secretaría de la UNESCO para corregir esa situación e insistimos en que se siga avanzando para corregir o compensar ese desequilibrio. Nuestra mayor preocupación, sin embargo, está en las consecuencias que de esta situación tenga en las actividades de la COI, entre ellas la coordinación sobre los sistemas de observación del océano a los que </w:t>
      </w:r>
      <w:proofErr w:type="gramStart"/>
      <w:r w:rsidRPr="00AE71B5">
        <w:rPr>
          <w:rFonts w:ascii="Arial" w:eastAsia="Simsun (Founder Extended)" w:hAnsi="Arial" w:cs="Arial"/>
          <w:snapToGrid/>
          <w:sz w:val="22"/>
          <w:szCs w:val="22"/>
          <w:lang w:val="es-ES"/>
        </w:rPr>
        <w:t>EEUU</w:t>
      </w:r>
      <w:proofErr w:type="gramEnd"/>
      <w:r w:rsidRPr="00AE71B5">
        <w:rPr>
          <w:rFonts w:ascii="Arial" w:eastAsia="Simsun (Founder Extended)" w:hAnsi="Arial" w:cs="Arial"/>
          <w:snapToGrid/>
          <w:sz w:val="22"/>
          <w:szCs w:val="22"/>
          <w:lang w:val="es-ES"/>
        </w:rPr>
        <w:t xml:space="preserve"> contribuye de forma muy significativa y que queremos agradecer una vez más.</w:t>
      </w:r>
    </w:p>
    <w:p w14:paraId="6FC7A168"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3)  Importancia de Sección de Ciencia.</w:t>
      </w:r>
    </w:p>
    <w:p w14:paraId="5887F95B"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celebra el reciente nombramiento de la nueva </w:t>
      </w:r>
      <w:proofErr w:type="gramStart"/>
      <w:r w:rsidRPr="00AE71B5">
        <w:rPr>
          <w:rFonts w:ascii="Arial" w:eastAsia="Simsun (Founder Extended)" w:hAnsi="Arial" w:cs="Arial"/>
          <w:snapToGrid/>
          <w:sz w:val="22"/>
          <w:szCs w:val="22"/>
          <w:lang w:val="es-ES"/>
        </w:rPr>
        <w:t>Jefa</w:t>
      </w:r>
      <w:proofErr w:type="gramEnd"/>
      <w:r w:rsidRPr="00AE71B5">
        <w:rPr>
          <w:rFonts w:ascii="Arial" w:eastAsia="Simsun (Founder Extended)" w:hAnsi="Arial" w:cs="Arial"/>
          <w:snapToGrid/>
          <w:sz w:val="22"/>
          <w:szCs w:val="22"/>
          <w:lang w:val="es-ES"/>
        </w:rPr>
        <w:t xml:space="preserve"> de la Sección de Ciencias del Océano, la Doctora Karen Evans, a quien damos nuestra más sincera enhorabuena y bienvenida. España considera que, tal como establece en el Artículo 2.1 de sus estatutos, las Ciencias del Océano son el eje fundamental del mandato de la COI. El extraordinario y sólido </w:t>
      </w:r>
      <w:proofErr w:type="spellStart"/>
      <w:r w:rsidRPr="00AE71B5">
        <w:rPr>
          <w:rFonts w:ascii="Arial" w:eastAsia="Simsun (Founder Extended)" w:hAnsi="Arial" w:cs="Arial"/>
          <w:snapToGrid/>
          <w:sz w:val="22"/>
          <w:szCs w:val="22"/>
          <w:lang w:val="es-ES"/>
        </w:rPr>
        <w:t>curriculum</w:t>
      </w:r>
      <w:proofErr w:type="spellEnd"/>
      <w:r w:rsidRPr="00AE71B5">
        <w:rPr>
          <w:rFonts w:ascii="Arial" w:eastAsia="Simsun (Founder Extended)" w:hAnsi="Arial" w:cs="Arial"/>
          <w:snapToGrid/>
          <w:sz w:val="22"/>
          <w:szCs w:val="22"/>
          <w:lang w:val="es-ES"/>
        </w:rPr>
        <w:t xml:space="preserve"> científico de la Doctora Evan es una garantía para consolidar y reforzar el trabajo de esta sección. Agradecer una vez más excelente trabajo realizado hasta ahora por el Señor Henrik </w:t>
      </w:r>
      <w:proofErr w:type="spellStart"/>
      <w:r w:rsidRPr="00AE71B5">
        <w:rPr>
          <w:rFonts w:ascii="Arial" w:eastAsia="Simsun (Founder Extended)" w:hAnsi="Arial" w:cs="Arial"/>
          <w:snapToGrid/>
          <w:sz w:val="22"/>
          <w:szCs w:val="22"/>
          <w:lang w:val="es-ES"/>
        </w:rPr>
        <w:lastRenderedPageBreak/>
        <w:t>Enelvoldsen</w:t>
      </w:r>
      <w:proofErr w:type="spellEnd"/>
      <w:r w:rsidRPr="00AE71B5">
        <w:rPr>
          <w:rFonts w:ascii="Arial" w:eastAsia="Simsun (Founder Extended)" w:hAnsi="Arial" w:cs="Arial"/>
          <w:snapToGrid/>
          <w:sz w:val="22"/>
          <w:szCs w:val="22"/>
          <w:lang w:val="es-ES"/>
        </w:rPr>
        <w:t xml:space="preserve"> y de todo el personal de esta sección que han conseguido mantener la actividad a pesar de los continuados retrasos en la contratación de la jefatura de sección.  Tal como ha destacado el Secretario Ejecutivo entender el funcionamiento de los ecosistemas marinos es determinante para definir las estrategias de observación del océano, identificar las variables oceanográficas esenciales, determinar los estándares de la calidad de los datos y en último término, abordar una Planificación Oceánica Sostenible, las actividades de gestión asociadas al Tratado sobre Biodiversidad en Aguas fuera de la Jurisdicción Nacional o para la generación de modelos y gemelos digitales. Los ecosistemas no se definen simplemente por el conjunto de variables independientes, del medio físico y químico y de las especies que los forman, sino que presentan propiedades emergentes de sus interrelaciones que es necesario entender, más aún en un contexto de profundos cambios forzados por el cambio climático. Esto requiere de una importante coordinación de los actuales programas de la Sección de Ciencia, identificar lagunas y establecer una estrategia flexible que se pueda adaptar a distintos escenarios presupuestarios.</w:t>
      </w:r>
    </w:p>
    <w:p w14:paraId="73760B85" w14:textId="77777777" w:rsidR="006C41C4" w:rsidRPr="00AE71B5" w:rsidRDefault="006C41C4" w:rsidP="006C41C4">
      <w:pPr>
        <w:keepNext/>
        <w:snapToGrid/>
        <w:spacing w:after="120"/>
        <w:rPr>
          <w:rFonts w:ascii="Arial" w:hAnsi="Arial" w:cs="Arial"/>
          <w:b/>
          <w:sz w:val="22"/>
          <w:szCs w:val="22"/>
        </w:rPr>
      </w:pPr>
      <w:bookmarkStart w:id="389" w:name="thai32"/>
      <w:r w:rsidRPr="00AE71B5">
        <w:rPr>
          <w:rFonts w:ascii="Arial" w:hAnsi="Arial" w:cs="Arial"/>
          <w:b/>
          <w:sz w:val="22"/>
          <w:szCs w:val="22"/>
        </w:rPr>
        <w:t>Thailand</w:t>
      </w:r>
    </w:p>
    <w:bookmarkEnd w:id="389"/>
    <w:p w14:paraId="12A4EA0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Thailand commends the Executive Secretary for the comprehensive report and the significant progress made across IOC’s core functions. We particularly appreciate the attention given to ocean observing systems, data architecture, capacity development, and the Ocean Decade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w:t>
      </w:r>
    </w:p>
    <w:p w14:paraId="5BB1BF11"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are pleased to note the growing regional and global cooperation through IOC and its subsidiary bodies. Thailand continues to support the work of the IOC Sub-Commission for the Western Pacific particularly in advancing ocean science, biodiversity monitoring, and early warning systems. </w:t>
      </w:r>
    </w:p>
    <w:p w14:paraId="4CFBCA7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At the same time, we remain concerned about the resource constraints affecting regional subsidiary bodies. Ensuring predictable and sustainable funding is essential to maintaining momentum and achieving long-term impact.</w:t>
      </w:r>
    </w:p>
    <w:p w14:paraId="72920DAA"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Thailand reaffirms our commitment to the IOC and the UN Decade of Ocean Science for </w:t>
      </w:r>
      <w:proofErr w:type="spellStart"/>
      <w:r w:rsidRPr="00AE71B5">
        <w:rPr>
          <w:rFonts w:ascii="Arial" w:eastAsia="Simsun (Founder Extended)" w:hAnsi="Arial" w:cs="Arial"/>
          <w:snapToGrid/>
          <w:sz w:val="22"/>
          <w:szCs w:val="22"/>
          <w:lang w:val="en-US"/>
        </w:rPr>
        <w:t>sutainable</w:t>
      </w:r>
      <w:proofErr w:type="spellEnd"/>
      <w:r w:rsidRPr="00AE71B5">
        <w:rPr>
          <w:rFonts w:ascii="Arial" w:eastAsia="Simsun (Founder Extended)" w:hAnsi="Arial" w:cs="Arial"/>
          <w:snapToGrid/>
          <w:sz w:val="22"/>
          <w:szCs w:val="22"/>
          <w:lang w:val="en-US"/>
        </w:rPr>
        <w:t xml:space="preserve"> development, and looks forward to continued collaboration towards inclusive, science-based ocean governance.</w:t>
      </w:r>
    </w:p>
    <w:p w14:paraId="682330EF" w14:textId="77777777" w:rsidR="006C41C4" w:rsidRPr="00AE71B5" w:rsidRDefault="006C41C4" w:rsidP="006C41C4">
      <w:pPr>
        <w:keepNext/>
        <w:snapToGrid/>
        <w:spacing w:after="120"/>
        <w:rPr>
          <w:rFonts w:ascii="Arial" w:hAnsi="Arial" w:cs="Arial"/>
          <w:b/>
          <w:sz w:val="22"/>
          <w:szCs w:val="22"/>
        </w:rPr>
      </w:pPr>
      <w:bookmarkStart w:id="390" w:name="uk32"/>
      <w:r w:rsidRPr="00AE71B5">
        <w:rPr>
          <w:rFonts w:ascii="Arial" w:hAnsi="Arial" w:cs="Arial"/>
          <w:b/>
          <w:sz w:val="22"/>
          <w:szCs w:val="22"/>
        </w:rPr>
        <w:t>United Kingdom of Great Britain and Northern Ireland</w:t>
      </w:r>
    </w:p>
    <w:bookmarkEnd w:id="390"/>
    <w:p w14:paraId="29193C8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significant portfolio of activities that have taken place over the past two years, and the significant progress made in establishing ways of working that will consolidate the role of the IOC into the future. We will make interventions on </w:t>
      </w:r>
      <w:proofErr w:type="gramStart"/>
      <w:r w:rsidRPr="00AE71B5">
        <w:rPr>
          <w:rFonts w:ascii="Arial" w:eastAsia="Simsun (Founder Extended)" w:hAnsi="Arial" w:cs="Arial"/>
          <w:snapToGrid/>
          <w:sz w:val="22"/>
          <w:szCs w:val="22"/>
        </w:rPr>
        <w:t>particular activities</w:t>
      </w:r>
      <w:proofErr w:type="gramEnd"/>
      <w:r w:rsidRPr="00AE71B5">
        <w:rPr>
          <w:rFonts w:ascii="Arial" w:eastAsia="Simsun (Founder Extended)" w:hAnsi="Arial" w:cs="Arial"/>
          <w:snapToGrid/>
          <w:sz w:val="22"/>
          <w:szCs w:val="22"/>
        </w:rPr>
        <w:t xml:space="preserve"> throughout this session, and how these have been funded as reflected in the 2024-25 budget implementation report (IOC/A-33/3.</w:t>
      </w:r>
      <w:proofErr w:type="gramStart"/>
      <w:r w:rsidRPr="00AE71B5">
        <w:rPr>
          <w:rFonts w:ascii="Arial" w:eastAsia="Simsun (Founder Extended)" w:hAnsi="Arial" w:cs="Arial"/>
          <w:snapToGrid/>
          <w:sz w:val="22"/>
          <w:szCs w:val="22"/>
        </w:rPr>
        <w:t>2.Doc</w:t>
      </w:r>
      <w:proofErr w:type="gramEnd"/>
      <w:r w:rsidRPr="00AE71B5">
        <w:rPr>
          <w:rFonts w:ascii="Arial" w:eastAsia="Simsun (Founder Extended)" w:hAnsi="Arial" w:cs="Arial"/>
          <w:snapToGrid/>
          <w:sz w:val="22"/>
          <w:szCs w:val="22"/>
        </w:rPr>
        <w:t xml:space="preserve">(2)).  </w:t>
      </w:r>
    </w:p>
    <w:p w14:paraId="483402F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critical need, in light of ongoing financial and resource constraints as well as a continued trend in a shortfall in voluntary contributions for the most part, with the exception of Function E where we note such funding supports the Decade mostly, to either harmonize, rationalize or even adapt IOCs services in support of its dual regime, namely to first promote and coordinate research, services and capacity development and, second, to apply that knowledge.  </w:t>
      </w:r>
    </w:p>
    <w:p w14:paraId="0E62F4E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 this end the UK welcomes the consultation on the IOC and the Future of the Ocean, which we will discuss further under agenda item 5.3. Since the development of the Action Plan the UK has been consistent is voicing concerns in relation to any expansion of IOC activities </w:t>
      </w:r>
      <w:proofErr w:type="gramStart"/>
      <w:r w:rsidRPr="00AE71B5">
        <w:rPr>
          <w:rFonts w:ascii="Arial" w:eastAsia="Simsun (Founder Extended)" w:hAnsi="Arial" w:cs="Arial"/>
          <w:snapToGrid/>
          <w:sz w:val="22"/>
          <w:szCs w:val="22"/>
        </w:rPr>
        <w:t>at this time</w:t>
      </w:r>
      <w:proofErr w:type="gramEnd"/>
      <w:r w:rsidRPr="00AE71B5">
        <w:rPr>
          <w:rFonts w:ascii="Arial" w:eastAsia="Simsun (Founder Extended)" w:hAnsi="Arial" w:cs="Arial"/>
          <w:snapToGrid/>
          <w:sz w:val="22"/>
          <w:szCs w:val="22"/>
        </w:rPr>
        <w:t xml:space="preserve">, always supporting the prioritisation of funds to first ensure a stabilization and firm foundation to deliver IOC core functions. </w:t>
      </w:r>
    </w:p>
    <w:p w14:paraId="055B2C9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parallel the United Kingdom also welcomes the findings of the external assessment of IOC governance and management, that we will discuss further under agenda item 5.2, where we believe a key component to improve the IOCs ability to deliver meaningful support to its Member Sates is through the application of its Statutes, </w:t>
      </w:r>
      <w:proofErr w:type="gramStart"/>
      <w:r w:rsidRPr="00AE71B5">
        <w:rPr>
          <w:rFonts w:ascii="Arial" w:eastAsia="Simsun (Founder Extended)" w:hAnsi="Arial" w:cs="Arial"/>
          <w:snapToGrid/>
          <w:sz w:val="22"/>
          <w:szCs w:val="22"/>
        </w:rPr>
        <w:t>in particular in</w:t>
      </w:r>
      <w:proofErr w:type="gramEnd"/>
      <w:r w:rsidRPr="00AE71B5">
        <w:rPr>
          <w:rFonts w:ascii="Arial" w:eastAsia="Simsun (Founder Extended)" w:hAnsi="Arial" w:cs="Arial"/>
          <w:snapToGrid/>
          <w:sz w:val="22"/>
          <w:szCs w:val="22"/>
        </w:rPr>
        <w:t xml:space="preserve"> implementing IOCs functional autonomy. It was encouraging to see the recommendations of this report reflecting a parallel info paper the UK </w:t>
      </w:r>
      <w:proofErr w:type="gramStart"/>
      <w:r w:rsidRPr="00AE71B5">
        <w:rPr>
          <w:rFonts w:ascii="Arial" w:eastAsia="Simsun (Founder Extended)" w:hAnsi="Arial" w:cs="Arial"/>
          <w:snapToGrid/>
          <w:sz w:val="22"/>
          <w:szCs w:val="22"/>
        </w:rPr>
        <w:t>presented,</w:t>
      </w:r>
      <w:proofErr w:type="gramEnd"/>
      <w:r w:rsidRPr="00AE71B5">
        <w:rPr>
          <w:rFonts w:ascii="Arial" w:eastAsia="Simsun (Founder Extended)" w:hAnsi="Arial" w:cs="Arial"/>
          <w:snapToGrid/>
          <w:sz w:val="22"/>
          <w:szCs w:val="22"/>
        </w:rPr>
        <w:t xml:space="preserve"> on behalf of Group 1, at the Intersession Finance Advisory Group (IFAG) in April 2025.  </w:t>
      </w:r>
    </w:p>
    <w:p w14:paraId="15C9BC4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note in the Executive Secretary’s report the progress report presented to the 221st session of the UNESCO Executive Board. However as articulated in the info paper presented at the IFAG, such reporting was highlighted as being inconsistent with IOCs Statutes. We therefore welcome agenda item 3.5 on the report to be submitted to the UNESCO General Conference. </w:t>
      </w:r>
    </w:p>
    <w:p w14:paraId="77489E18" w14:textId="77777777" w:rsidR="006C41C4" w:rsidRPr="00AE71B5" w:rsidRDefault="006C41C4" w:rsidP="006C41C4">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In light of</w:t>
      </w:r>
      <w:proofErr w:type="gramEnd"/>
      <w:r w:rsidRPr="00AE71B5">
        <w:rPr>
          <w:rFonts w:ascii="Arial" w:eastAsia="Simsun (Founder Extended)" w:hAnsi="Arial" w:cs="Arial"/>
          <w:snapToGrid/>
          <w:sz w:val="22"/>
          <w:szCs w:val="22"/>
        </w:rPr>
        <w:t xml:space="preserve"> the above, which will be discussed during this Assemblies Financial Committee, UK Delegation members will support efforts to bring about necessary changes required in IOC current practices to help improve efficiencies and more strategic planning to safeguard the IOC as a relevant, impactful and financially resilient organization.</w:t>
      </w:r>
    </w:p>
    <w:p w14:paraId="37E608AA" w14:textId="77777777" w:rsidR="006C41C4" w:rsidRPr="00AE71B5" w:rsidRDefault="006C41C4" w:rsidP="006C41C4">
      <w:pPr>
        <w:keepNext/>
        <w:snapToGrid/>
        <w:spacing w:after="120"/>
        <w:rPr>
          <w:rFonts w:ascii="Arial" w:hAnsi="Arial" w:cs="Arial"/>
          <w:b/>
          <w:sz w:val="22"/>
          <w:szCs w:val="22"/>
        </w:rPr>
      </w:pPr>
      <w:bookmarkStart w:id="391" w:name="us32"/>
      <w:r w:rsidRPr="00AE71B5">
        <w:rPr>
          <w:rFonts w:ascii="Arial" w:hAnsi="Arial" w:cs="Arial"/>
          <w:b/>
          <w:sz w:val="22"/>
          <w:szCs w:val="22"/>
        </w:rPr>
        <w:t>United States of America</w:t>
      </w:r>
    </w:p>
    <w:bookmarkEnd w:id="391"/>
    <w:p w14:paraId="0EE724A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Promoting international cooperation and coordination in ocean research and services – IOC's mission since it was established in 1960 – allows us to leverage our strengths to protect lives, support economies, and increase maritime safety.</w:t>
      </w:r>
    </w:p>
    <w:p w14:paraId="547695D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with urgent needs and limited resources, we cannot do it all. We must prioritize and focus on the areas that deliver concrete results. </w:t>
      </w:r>
    </w:p>
    <w:p w14:paraId="645EBA7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Along these lines, the United States has concerns with the widespread reaffirmation of the 2030 Agenda and the Sustainable Development Goals (SDGs) throughout the IOC Assembly Action Paper and supporting documentation.  </w:t>
      </w:r>
    </w:p>
    <w:p w14:paraId="21240F8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These are the same concerns that were voiced by the United States in April at the UNESCO Executive Board meeting.</w:t>
      </w:r>
    </w:p>
    <w:p w14:paraId="7F7516B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That is, that the 2030 Agenda and the SDGs advance a program of soft global governance that is inconsistent with the principles of national sovereignty.   </w:t>
      </w:r>
    </w:p>
    <w:p w14:paraId="49F4844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It is, therefore, the policy of the United States that we should focus on “responsible” and “long-term” development and we will no longer reaffirm Agenda 2030 and the SDGs as a matter of course.  </w:t>
      </w:r>
    </w:p>
    <w:p w14:paraId="44837AE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Additionally, the United States as a matter of policy does not support general references to climate </w:t>
      </w:r>
      <w:proofErr w:type="gramStart"/>
      <w:r w:rsidRPr="00AE71B5">
        <w:rPr>
          <w:rFonts w:ascii="Arial" w:eastAsia="Simsun (Founder Extended)" w:hAnsi="Arial" w:cs="Arial"/>
          <w:snapToGrid/>
          <w:sz w:val="22"/>
          <w:szCs w:val="22"/>
        </w:rPr>
        <w:t>change, but</w:t>
      </w:r>
      <w:proofErr w:type="gramEnd"/>
      <w:r w:rsidRPr="00AE71B5">
        <w:rPr>
          <w:rFonts w:ascii="Arial" w:eastAsia="Simsun (Founder Extended)" w:hAnsi="Arial" w:cs="Arial"/>
          <w:snapToGrid/>
          <w:sz w:val="22"/>
          <w:szCs w:val="22"/>
        </w:rPr>
        <w:t xml:space="preserve"> rather encourages the IOC to utilize its remit as the world’s leader in ocean science to focus on specific environmental threats, such as ocean acidification and sea-level rise, and on enhancing resilience and disaster planning.  </w:t>
      </w:r>
    </w:p>
    <w:p w14:paraId="030F957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Our statements and actions at this meeting will reflect these positions.  At this time, we anticipate one vote will be necessary on agenda item 4.1 the Sustainable Ocean Planning and Management Strategy on Friday. </w:t>
      </w:r>
    </w:p>
    <w:p w14:paraId="07E6A98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asks, if the Chair deems that it would be useful, to provide a short primer on the IOC voting procedures.</w:t>
      </w:r>
    </w:p>
    <w:p w14:paraId="3701DCE9" w14:textId="77777777" w:rsidR="006C41C4" w:rsidRPr="00AE71B5" w:rsidRDefault="006C41C4" w:rsidP="006C41C4">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At this time</w:t>
      </w:r>
      <w:proofErr w:type="gramEnd"/>
      <w:r w:rsidRPr="00AE71B5">
        <w:rPr>
          <w:rFonts w:ascii="Arial" w:eastAsia="Simsun (Founder Extended)" w:hAnsi="Arial" w:cs="Arial"/>
          <w:snapToGrid/>
          <w:sz w:val="22"/>
          <w:szCs w:val="22"/>
        </w:rPr>
        <w:t xml:space="preserve">, we expect to have edits to the draft decision text for agenda items: 3.4.2, 3.4.4, 4.7, and 4.4. We have submitted these edits to the Secretariat. </w:t>
      </w:r>
    </w:p>
    <w:p w14:paraId="5D84AAB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continues to support the critical, substantive work of the IOC, and the much-needed transparency and excellence in governance that we are all aiming to achieve.  </w:t>
      </w:r>
    </w:p>
    <w:p w14:paraId="4595A4A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look forward to engaging constructively in this meeting, in line with overarching U.S. principles on safety, security, and prosperity, to ensure that the IOC delivers results that advance our shared priorities such as ocean observations, tsunami early warning services, respects sovereignty, and serves all our interests.</w:t>
      </w:r>
    </w:p>
    <w:p w14:paraId="18DAEF78" w14:textId="77777777" w:rsidR="006C41C4" w:rsidRPr="00AE71B5" w:rsidRDefault="006C41C4" w:rsidP="006C41C4">
      <w:pPr>
        <w:keepNext/>
        <w:snapToGrid/>
        <w:spacing w:after="120"/>
        <w:rPr>
          <w:rFonts w:ascii="Arial" w:hAnsi="Arial" w:cs="Arial"/>
          <w:b/>
          <w:sz w:val="22"/>
          <w:szCs w:val="22"/>
        </w:rPr>
      </w:pPr>
      <w:bookmarkStart w:id="392" w:name="vn32"/>
      <w:r w:rsidRPr="00AE71B5">
        <w:rPr>
          <w:rFonts w:ascii="Arial" w:hAnsi="Arial" w:cs="Arial"/>
          <w:b/>
          <w:sz w:val="22"/>
          <w:szCs w:val="22"/>
        </w:rPr>
        <w:t>Viet Nam</w:t>
      </w:r>
    </w:p>
    <w:bookmarkEnd w:id="392"/>
    <w:p w14:paraId="22217CA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My delegation concurs with the Executive Secretary that ocean has been getting higher on the agenda of the international community. International conferences had mentioned science extensively, particularly ocean science as a basis for policy and decision making. That in fact proves the indispensable role of the IOC in ocean governance for sustainable development.  </w:t>
      </w:r>
    </w:p>
    <w:p w14:paraId="79B8C78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commend the IOC for actively coordinating important initiatives, particularly the Ocean Decade, the Ocean Literacy, Capacity Development Strategy, just to name a few. Viet Nam supports an enhanced role of IOC in promoting international cooperation in marine sciences, their advancement and application in ocean governance. </w:t>
      </w:r>
    </w:p>
    <w:p w14:paraId="40CB2EE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Viet Nam has been active in the IOC-WESTPAC activities. Projects we are leading - the WESTPAC Project on Marine Toxins and Seafood </w:t>
      </w:r>
      <w:proofErr w:type="gramStart"/>
      <w:r w:rsidRPr="00AE71B5">
        <w:rPr>
          <w:rFonts w:ascii="Arial" w:eastAsia="Simsun (Founder Extended)" w:hAnsi="Arial" w:cs="Arial"/>
          <w:snapToGrid/>
          <w:sz w:val="22"/>
          <w:szCs w:val="22"/>
        </w:rPr>
        <w:t>Safety;</w:t>
      </w:r>
      <w:proofErr w:type="gramEnd"/>
      <w:r w:rsidRPr="00AE71B5">
        <w:rPr>
          <w:rFonts w:ascii="Arial" w:eastAsia="Simsun (Founder Extended)" w:hAnsi="Arial" w:cs="Arial"/>
          <w:snapToGrid/>
          <w:sz w:val="22"/>
          <w:szCs w:val="22"/>
        </w:rPr>
        <w:t xml:space="preserve"> IOC Regional Training and Research Centre on Marine Toxin and Food Safety. </w:t>
      </w:r>
    </w:p>
    <w:p w14:paraId="4DD2476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Viet Nam is intensifying its efforts in addressing ocean-based challenges and developing sustainable ocean economy. Recognizing the ocean-climate-biodiversity nexus, our National Strategy on Climate Change by 2050 emphasizes the need to further invest in ocean observation and ocean forecasting, enhance marine protected areas and promote research and develop ocean-based renewable energy. Our Strategy for the development of a Sustainable Ocean Economy also identified ocean science and international cooperation in this field as one of the key solutions to sustainable development. </w:t>
      </w:r>
    </w:p>
    <w:p w14:paraId="170B0AB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like the IOC, are also facing shortage of human and financial resources. We count on the IOC for its leadership in coordinating international and regional projects of marine research and capacity building. Therefore, we call for stronger support for the IOC, further international cross-sectoral cooperation and coordination at all levels, </w:t>
      </w:r>
      <w:proofErr w:type="gramStart"/>
      <w:r w:rsidRPr="00AE71B5">
        <w:rPr>
          <w:rFonts w:ascii="Arial" w:eastAsia="Simsun (Founder Extended)" w:hAnsi="Arial" w:cs="Arial"/>
          <w:snapToGrid/>
          <w:sz w:val="22"/>
          <w:szCs w:val="22"/>
        </w:rPr>
        <w:t>taking into account</w:t>
      </w:r>
      <w:proofErr w:type="gramEnd"/>
      <w:r w:rsidRPr="00AE71B5">
        <w:rPr>
          <w:rFonts w:ascii="Arial" w:eastAsia="Simsun (Founder Extended)" w:hAnsi="Arial" w:cs="Arial"/>
          <w:snapToGrid/>
          <w:sz w:val="22"/>
          <w:szCs w:val="22"/>
        </w:rPr>
        <w:t xml:space="preserve"> the needs of developing countries, particularly the vulnerable coastal States.</w:t>
      </w:r>
    </w:p>
    <w:p w14:paraId="1DA6304C"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w:t>
      </w:r>
      <w:r w:rsidRPr="00AE71B5">
        <w:rPr>
          <w:rFonts w:ascii="Arial" w:hAnsi="Arial" w:cs="Arial"/>
          <w:b/>
          <w:sz w:val="22"/>
          <w:szCs w:val="22"/>
        </w:rPr>
        <w:tab/>
        <w:t>Reports of the IOC Sub-Commissions and Regional Committees</w:t>
      </w:r>
    </w:p>
    <w:p w14:paraId="0B97A117" w14:textId="77777777" w:rsidR="006C41C4" w:rsidRPr="00AE71B5" w:rsidRDefault="006C41C4" w:rsidP="006C41C4">
      <w:pPr>
        <w:keepNext/>
        <w:snapToGrid/>
        <w:spacing w:after="120"/>
        <w:rPr>
          <w:rFonts w:ascii="Arial" w:hAnsi="Arial" w:cs="Arial"/>
          <w:b/>
          <w:sz w:val="22"/>
          <w:szCs w:val="22"/>
        </w:rPr>
      </w:pPr>
      <w:bookmarkStart w:id="393" w:name="us33"/>
      <w:r w:rsidRPr="00AE71B5">
        <w:rPr>
          <w:rFonts w:ascii="Arial" w:hAnsi="Arial" w:cs="Arial"/>
          <w:b/>
          <w:sz w:val="22"/>
          <w:szCs w:val="22"/>
        </w:rPr>
        <w:t>United States of America</w:t>
      </w:r>
    </w:p>
    <w:bookmarkEnd w:id="393"/>
    <w:p w14:paraId="530B9BCA"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The Regional Sub-Commissions are vital to the success of the IOC, and we would like to commend the regional leadership for the significant amount of work that has taken place during this past inter-sessional period.</w:t>
      </w:r>
    </w:p>
    <w:p w14:paraId="7F646334"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3.3.1</w:t>
      </w:r>
      <w:r w:rsidRPr="00AE71B5">
        <w:rPr>
          <w:rFonts w:ascii="Arial" w:hAnsi="Arial" w:cs="Arial"/>
          <w:b/>
          <w:sz w:val="22"/>
          <w:szCs w:val="22"/>
        </w:rPr>
        <w:tab/>
        <w:t xml:space="preserve">IOC Sub-Commission for Africa and the Adjacent Island States:  </w:t>
      </w:r>
      <w:r w:rsidRPr="00AE71B5">
        <w:rPr>
          <w:rFonts w:ascii="Arial" w:hAnsi="Arial" w:cs="Arial"/>
          <w:b/>
          <w:sz w:val="22"/>
          <w:szCs w:val="22"/>
        </w:rPr>
        <w:br/>
        <w:t>8th Session of IOCAFRICA, Mombasa, Kenya, 7–9 May 2025</w:t>
      </w:r>
    </w:p>
    <w:p w14:paraId="493EC564" w14:textId="77777777" w:rsidR="006C41C4" w:rsidRPr="00AE71B5" w:rsidRDefault="006C41C4" w:rsidP="006C41C4">
      <w:pPr>
        <w:keepNext/>
        <w:snapToGrid/>
        <w:spacing w:after="120"/>
        <w:rPr>
          <w:rFonts w:ascii="Arial" w:hAnsi="Arial" w:cs="Arial"/>
          <w:b/>
          <w:sz w:val="22"/>
          <w:szCs w:val="22"/>
          <w:lang w:val="en-US"/>
        </w:rPr>
      </w:pPr>
      <w:bookmarkStart w:id="394" w:name="china331"/>
      <w:r w:rsidRPr="00AE71B5">
        <w:rPr>
          <w:rFonts w:ascii="Arial" w:hAnsi="Arial" w:cs="Arial"/>
          <w:b/>
          <w:sz w:val="22"/>
          <w:szCs w:val="22"/>
          <w:lang w:val="en-US"/>
        </w:rPr>
        <w:t>China</w:t>
      </w:r>
    </w:p>
    <w:bookmarkEnd w:id="394"/>
    <w:p w14:paraId="08275EC7"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China always respects and pays high attention to the collaboration with IOCAFRICA and its Member States in terms of marine science and technology, blue economy and capacity development. A stable part of our contribution to IOC is allocated to promote the capacity development of IOCAFRICA. We work together with IOCAFRICA to hold the Sino-Africa Forum on Marine Science and Technology every two years since 2013. Based on the outcomes and consensus of this Forum, the China-Africa Cooperation Centre for Marine Science and Blue Economy was launched during the 5th China-Africa Forum held in Egypt last year.</w:t>
      </w:r>
    </w:p>
    <w:p w14:paraId="696BBCC6"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Meanwhile, the training courses focusing on marine science and technology and marine integrated management hosted by China extend the invitations to African ECOPS and exerts. The Chinese Government Marine Scholarship Programme gave the priority to recruit the students from African countries.</w:t>
      </w:r>
    </w:p>
    <w:p w14:paraId="6535F8E1"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China would like to continue and deepen the cooperation with IOCAFRICA and its Member States. Meanwhile, China would like to encourage IOCAFRICA, together with other IOC Subsidiary Bodies, particularly IOCWESTPAC to play more constructive and pragmatic roles to support the implementation of IOC’s responsibility in global and regional level.</w:t>
      </w:r>
    </w:p>
    <w:p w14:paraId="6299C0BA" w14:textId="77777777" w:rsidR="006C41C4" w:rsidRPr="00AE71B5" w:rsidRDefault="006C41C4" w:rsidP="006C41C4">
      <w:pPr>
        <w:keepNext/>
        <w:snapToGrid/>
        <w:spacing w:after="120"/>
        <w:rPr>
          <w:rFonts w:ascii="Arial" w:hAnsi="Arial" w:cs="Arial"/>
          <w:b/>
          <w:sz w:val="22"/>
          <w:szCs w:val="22"/>
          <w:lang w:val="fr-FR"/>
        </w:rPr>
      </w:pPr>
      <w:bookmarkStart w:id="395" w:name="cot331"/>
      <w:r w:rsidRPr="00AE71B5">
        <w:rPr>
          <w:rFonts w:ascii="Arial" w:hAnsi="Arial" w:cs="Arial"/>
          <w:b/>
          <w:sz w:val="22"/>
          <w:szCs w:val="22"/>
          <w:lang w:val="fr-FR"/>
        </w:rPr>
        <w:t>Côte d’Ivoire</w:t>
      </w:r>
    </w:p>
    <w:bookmarkEnd w:id="395"/>
    <w:p w14:paraId="3F839C7A"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La côte d’Ivoire a apprécié la présence du secrétaire Exécutif à l’assemblée de IOCAFRICA ce qui met en exergue son vœux de traduire en action la PRIORITE AFRIQUE plusieurs fois proclamé dans les instances de l’la COI et l’UNESCO</w:t>
      </w:r>
    </w:p>
    <w:p w14:paraId="3716C64B"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lastRenderedPageBreak/>
        <w:t xml:space="preserve">La Côte d’Ivoire fait partie des pays qui ont proposé la création de la sous-commission et par voie de conséquence soutient de façon continue les actions de IOCAFRICA. La Côte d’Ivoire se félicite de ce qu’un de ses ressortissants ait conduit avec succès les activités de IOCAFRICA les 4 dernières années et en particulier les activités qui conduit à l’atteinte des résultats qui viennent d’être présentés au cours de cette assemblée. </w:t>
      </w:r>
    </w:p>
    <w:p w14:paraId="7FC1FA24"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Dans le rapport il a été mentionné qu’il y a eu un accroissement important du budget au cours du biennium dernier. Certes il y a eu une forte augmentation du budget. Mais si on omet de faire quelques précisions, l’assemblée risque de perdre la réalité des faits. En effet, il y a lieu de préciser que le budget de IOCAFRICA 7 adopté par l’assemblée de la COI en 2023 était 1.950 000 USD. Cependant après l’arbitrage du comité des finances le budget validé a été 1.094.500, soit presque une diminution de moitié du budget originel.</w:t>
      </w:r>
    </w:p>
    <w:p w14:paraId="4FA6418C"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 xml:space="preserve">Nous devons aussi préciser les collaborations fructueuses que nous avions eue au cours de ce biennium avec certains pays tel que la Chine, </w:t>
      </w:r>
    </w:p>
    <w:p w14:paraId="382D651C"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Malgré ses bons résultats la Côte d’Ivoire se doit de relever certaines faiblesses :</w:t>
      </w:r>
    </w:p>
    <w:p w14:paraId="408CC76D" w14:textId="77777777" w:rsidR="006C41C4" w:rsidRPr="00AE71B5" w:rsidRDefault="006C41C4" w:rsidP="006C41C4">
      <w:pPr>
        <w:snapToGrid/>
        <w:spacing w:after="120"/>
        <w:ind w:leftChars="129" w:left="790" w:hangingChars="218" w:hanging="480"/>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w:t>
      </w:r>
      <w:r w:rsidRPr="00AE71B5">
        <w:rPr>
          <w:rFonts w:ascii="Arial" w:eastAsia="Simsun (Founder Extended)" w:hAnsi="Arial" w:cs="Arial"/>
          <w:bCs/>
          <w:snapToGrid/>
          <w:sz w:val="22"/>
          <w:szCs w:val="22"/>
          <w:lang w:val="fr-FR"/>
        </w:rPr>
        <w:tab/>
        <w:t>Le temps trop long (presqu’une année) mis pour désigner le coordonnateur de IOCAFRICA devant succéder au coordonnateur sortant a été préjudiciable à IOCAFRICA.</w:t>
      </w:r>
    </w:p>
    <w:p w14:paraId="73CB7BC8" w14:textId="77777777" w:rsidR="006C41C4" w:rsidRPr="00AE71B5" w:rsidRDefault="006C41C4" w:rsidP="006C41C4">
      <w:pPr>
        <w:snapToGrid/>
        <w:spacing w:after="120"/>
        <w:ind w:leftChars="129" w:left="790" w:hangingChars="218" w:hanging="480"/>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w:t>
      </w:r>
      <w:r w:rsidRPr="00AE71B5">
        <w:rPr>
          <w:rFonts w:ascii="Arial" w:eastAsia="Simsun (Founder Extended)" w:hAnsi="Arial" w:cs="Arial"/>
          <w:bCs/>
          <w:snapToGrid/>
          <w:sz w:val="22"/>
          <w:szCs w:val="22"/>
          <w:lang w:val="fr-FR"/>
        </w:rPr>
        <w:tab/>
        <w:t>L’insuffisance de ressource humaine doit aussi être signalée.</w:t>
      </w:r>
    </w:p>
    <w:p w14:paraId="6058AA08" w14:textId="77777777" w:rsidR="006C41C4" w:rsidRPr="00AE71B5" w:rsidRDefault="006C41C4" w:rsidP="006C41C4">
      <w:pPr>
        <w:snapToGrid/>
        <w:spacing w:after="120"/>
        <w:ind w:leftChars="123" w:left="777" w:hangingChars="219" w:hanging="48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w:t>
      </w:r>
      <w:r w:rsidRPr="00AE71B5">
        <w:rPr>
          <w:rFonts w:ascii="Arial" w:eastAsia="Simsun (Founder Extended)" w:hAnsi="Arial" w:cs="Arial"/>
          <w:bCs/>
          <w:snapToGrid/>
          <w:sz w:val="22"/>
          <w:szCs w:val="22"/>
          <w:lang w:val="fr-FR"/>
        </w:rPr>
        <w:tab/>
        <w:t xml:space="preserve">La faiblesse de la communication : aujourd’hui aucun membre de la </w:t>
      </w:r>
      <w:proofErr w:type="spellStart"/>
      <w:r w:rsidRPr="00AE71B5">
        <w:rPr>
          <w:rFonts w:ascii="Arial" w:eastAsia="Simsun (Founder Extended)" w:hAnsi="Arial" w:cs="Arial"/>
          <w:bCs/>
          <w:snapToGrid/>
          <w:sz w:val="22"/>
          <w:szCs w:val="22"/>
          <w:lang w:val="fr-FR"/>
        </w:rPr>
        <w:t>sous commission</w:t>
      </w:r>
      <w:proofErr w:type="spellEnd"/>
      <w:r w:rsidRPr="00AE71B5">
        <w:rPr>
          <w:rFonts w:ascii="Arial" w:eastAsia="Simsun (Founder Extended)" w:hAnsi="Arial" w:cs="Arial"/>
          <w:bCs/>
          <w:snapToGrid/>
          <w:sz w:val="22"/>
          <w:szCs w:val="22"/>
          <w:lang w:val="fr-FR"/>
        </w:rPr>
        <w:t xml:space="preserve"> ne parle couramment les deux langues de travail de l’UNESCO (l’anglais et le Français)</w:t>
      </w:r>
    </w:p>
    <w:p w14:paraId="447FD0D8" w14:textId="77777777" w:rsidR="006C41C4" w:rsidRPr="00AE71B5" w:rsidRDefault="006C41C4" w:rsidP="006C41C4">
      <w:pPr>
        <w:keepNext/>
        <w:snapToGrid/>
        <w:spacing w:after="120"/>
        <w:rPr>
          <w:rFonts w:ascii="Arial" w:hAnsi="Arial" w:cs="Arial"/>
          <w:b/>
          <w:sz w:val="22"/>
          <w:szCs w:val="22"/>
        </w:rPr>
      </w:pPr>
      <w:bookmarkStart w:id="396" w:name="india331"/>
      <w:r w:rsidRPr="00AE71B5">
        <w:rPr>
          <w:rFonts w:ascii="Arial" w:hAnsi="Arial" w:cs="Arial"/>
          <w:b/>
          <w:sz w:val="22"/>
          <w:szCs w:val="22"/>
        </w:rPr>
        <w:t>India</w:t>
      </w:r>
    </w:p>
    <w:bookmarkEnd w:id="396"/>
    <w:p w14:paraId="767BC36F"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India appreciates the vibrant activities and plans of IOC-AFRICA. India also looks forward for increased collaboration and partnership with IOC-INDIO for the betterment of maritime member states.</w:t>
      </w:r>
    </w:p>
    <w:p w14:paraId="050578C8"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India </w:t>
      </w:r>
      <w:proofErr w:type="gramStart"/>
      <w:r w:rsidRPr="00AE71B5">
        <w:rPr>
          <w:rFonts w:ascii="Arial" w:eastAsia="Simsun (Founder Extended)" w:hAnsi="Arial" w:cs="Arial"/>
          <w:bCs/>
          <w:snapToGrid/>
          <w:sz w:val="22"/>
          <w:szCs w:val="22"/>
        </w:rPr>
        <w:t>offer</w:t>
      </w:r>
      <w:proofErr w:type="gramEnd"/>
      <w:r w:rsidRPr="00AE71B5">
        <w:rPr>
          <w:rFonts w:ascii="Arial" w:eastAsia="Simsun (Founder Extended)" w:hAnsi="Arial" w:cs="Arial"/>
          <w:bCs/>
          <w:snapToGrid/>
          <w:sz w:val="22"/>
          <w:szCs w:val="22"/>
        </w:rPr>
        <w:t xml:space="preserve"> to share its best practices in translational and operational Oceanography for developing better practices and products for disaster risk reduction, blue economy and Ocean policy.</w:t>
      </w:r>
    </w:p>
    <w:p w14:paraId="3DF74315" w14:textId="77777777" w:rsidR="006C41C4" w:rsidRPr="00AE71B5" w:rsidRDefault="006C41C4" w:rsidP="006C41C4">
      <w:pPr>
        <w:keepNext/>
        <w:snapToGrid/>
        <w:spacing w:after="120"/>
        <w:rPr>
          <w:rFonts w:ascii="Arial" w:hAnsi="Arial" w:cs="Arial"/>
          <w:b/>
          <w:sz w:val="22"/>
          <w:szCs w:val="22"/>
        </w:rPr>
      </w:pPr>
      <w:bookmarkStart w:id="397" w:name="indo331"/>
      <w:r w:rsidRPr="00AE71B5">
        <w:rPr>
          <w:rFonts w:ascii="Arial" w:hAnsi="Arial" w:cs="Arial"/>
          <w:b/>
          <w:sz w:val="22"/>
          <w:szCs w:val="22"/>
        </w:rPr>
        <w:t>Indonesia</w:t>
      </w:r>
    </w:p>
    <w:bookmarkEnd w:id="397"/>
    <w:p w14:paraId="51D55FD5"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Indonesia has long enjoyed warm and cooperative relations with the Africa region, and we view the IOC of UNESCO as an important platform to deepen these ties and advance our shared goals. Through IOC Africa, Indonesia is keen to explore collaborative opportunities, particularly in ocean observation, tsunami mitigation, and early warning systems; to ensure mutual benefit and sustainable ocean governance. </w:t>
      </w:r>
    </w:p>
    <w:p w14:paraId="01CA5B1B"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We propose joint initiatives in capacity building, training, and technology transfer, empowering African nations with enhanced capabilities to address ocean-related challenges. By pooling our expertise and resources, we can foster resilient marine ecosystems, mitigate hazards, and cultivate a culture of shared knowledge and innovation. In these times of global economic uncertainty, South-South cooperation is more crucial than ever. Indonesia is ready to share our experience in ocean forecasting and tsunami early warning systems, building on our successful collaborations with Indian Ocean nations, including African coastal states. At the same time, we are eager to learn from Africa’s leadership in marine biodiversity conservation, particularly in coral reef management and marine protected areas. Together, we can forge a sustainable future for our oceans; one that balances ecological preservation with socio-economic resilience. We firmly believe that collective action is the cornerstone of sustainable development. By uniting our strengths, we can mitigate ocean-related risks, safeguard marine ecosystems, and secure a prosperous future for generations to come. Indonesia looks forward to fruitful discussions and concrete collaborations with African partners through IOC Africa, ensuring that our shared waters remain a source of life, opportunity, and harmony.</w:t>
      </w:r>
    </w:p>
    <w:p w14:paraId="4B15BD6D" w14:textId="77777777" w:rsidR="006C41C4" w:rsidRPr="00AE71B5" w:rsidRDefault="006C41C4" w:rsidP="006C41C4">
      <w:pPr>
        <w:keepNext/>
        <w:snapToGrid/>
        <w:spacing w:after="120"/>
        <w:rPr>
          <w:rFonts w:ascii="Arial" w:hAnsi="Arial" w:cs="Arial"/>
          <w:b/>
          <w:sz w:val="22"/>
          <w:szCs w:val="22"/>
        </w:rPr>
      </w:pPr>
      <w:bookmarkStart w:id="398" w:name="rus331"/>
      <w:r w:rsidRPr="00AE71B5">
        <w:rPr>
          <w:rFonts w:ascii="Arial" w:hAnsi="Arial" w:cs="Arial"/>
          <w:b/>
          <w:sz w:val="22"/>
          <w:szCs w:val="22"/>
        </w:rPr>
        <w:lastRenderedPageBreak/>
        <w:t xml:space="preserve">Russian Federation </w:t>
      </w:r>
    </w:p>
    <w:bookmarkEnd w:id="398"/>
    <w:p w14:paraId="1C10D54B"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We note that cooperation between Russia and African countries </w:t>
      </w:r>
      <w:proofErr w:type="gramStart"/>
      <w:r w:rsidRPr="00AE71B5">
        <w:rPr>
          <w:rFonts w:ascii="Arial" w:eastAsia="Simsun (Founder Extended)" w:hAnsi="Arial" w:cs="Arial"/>
          <w:bCs/>
          <w:snapToGrid/>
          <w:sz w:val="22"/>
          <w:szCs w:val="22"/>
        </w:rPr>
        <w:t>in the area of</w:t>
      </w:r>
      <w:proofErr w:type="gramEnd"/>
      <w:r w:rsidRPr="00AE71B5">
        <w:rPr>
          <w:rFonts w:ascii="Arial" w:eastAsia="Simsun (Founder Extended)" w:hAnsi="Arial" w:cs="Arial"/>
          <w:bCs/>
          <w:snapToGrid/>
          <w:sz w:val="22"/>
          <w:szCs w:val="22"/>
        </w:rPr>
        <w:t xml:space="preserve"> education and science is getting stronger every year. The number of African students graduating in Russian universities is increasing, Russian language educational </w:t>
      </w:r>
      <w:proofErr w:type="spellStart"/>
      <w:r w:rsidRPr="00AE71B5">
        <w:rPr>
          <w:rFonts w:ascii="Arial" w:eastAsia="Simsun (Founder Extended)" w:hAnsi="Arial" w:cs="Arial"/>
          <w:bCs/>
          <w:snapToGrid/>
          <w:sz w:val="22"/>
          <w:szCs w:val="22"/>
        </w:rPr>
        <w:t>centers</w:t>
      </w:r>
      <w:proofErr w:type="spellEnd"/>
      <w:r w:rsidRPr="00AE71B5">
        <w:rPr>
          <w:rFonts w:ascii="Arial" w:eastAsia="Simsun (Founder Extended)" w:hAnsi="Arial" w:cs="Arial"/>
          <w:bCs/>
          <w:snapToGrid/>
          <w:sz w:val="22"/>
          <w:szCs w:val="22"/>
        </w:rPr>
        <w:t xml:space="preserve"> in African countries are growing up increasing their capacity, productive international and bi-lateral science cooperation international does not stop. About 35 thousand students are currently studying at Russian universities. Many are specialized in marine sciences and related areas - meteorology, natural resources, remote sensing of the Earth from space and others. </w:t>
      </w:r>
      <w:proofErr w:type="gramStart"/>
      <w:r w:rsidRPr="00AE71B5">
        <w:rPr>
          <w:rFonts w:ascii="Arial" w:eastAsia="Simsun (Founder Extended)" w:hAnsi="Arial" w:cs="Arial"/>
          <w:bCs/>
          <w:snapToGrid/>
          <w:sz w:val="22"/>
          <w:szCs w:val="22"/>
        </w:rPr>
        <w:t>Thus</w:t>
      </w:r>
      <w:proofErr w:type="gramEnd"/>
      <w:r w:rsidRPr="00AE71B5">
        <w:rPr>
          <w:rFonts w:ascii="Arial" w:eastAsia="Simsun (Founder Extended)" w:hAnsi="Arial" w:cs="Arial"/>
          <w:bCs/>
          <w:snapToGrid/>
          <w:sz w:val="22"/>
          <w:szCs w:val="22"/>
        </w:rPr>
        <w:t xml:space="preserve"> we are significantly contributing to the capacity building and literacy. </w:t>
      </w:r>
    </w:p>
    <w:p w14:paraId="4CD36ECB"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Since 2024, we launched cooperation with the University of Toliara and the Institute of Fisheries and Marine Sciences of the Republic of Madagascar. This cooperation is conducted within the framework of an interregional scientific project related to the assessment of greenhouse gas fluxes and their association with ecosystems and climate. We are also conducting </w:t>
      </w:r>
      <w:proofErr w:type="gramStart"/>
      <w:r w:rsidRPr="00AE71B5">
        <w:rPr>
          <w:rFonts w:ascii="Arial" w:eastAsia="Simsun (Founder Extended)" w:hAnsi="Arial" w:cs="Arial"/>
          <w:bCs/>
          <w:snapToGrid/>
          <w:sz w:val="22"/>
          <w:szCs w:val="22"/>
        </w:rPr>
        <w:t>a joint research</w:t>
      </w:r>
      <w:proofErr w:type="gramEnd"/>
      <w:r w:rsidRPr="00AE71B5">
        <w:rPr>
          <w:rFonts w:ascii="Arial" w:eastAsia="Simsun (Founder Extended)" w:hAnsi="Arial" w:cs="Arial"/>
          <w:bCs/>
          <w:snapToGrid/>
          <w:sz w:val="22"/>
          <w:szCs w:val="22"/>
        </w:rPr>
        <w:t xml:space="preserve"> with Cabo Verde within the framework of the project of the Decade of Ocean Science. Within the framework of the BRICS Working Group on Oceanic and Polar Research we established cooperation targeting key aspects of ocean science for sustainable development with South Africa, Egypt and other member-states of the African continent. Russian delegation supports the project solutions presented by the Chairman of the IOCAFRICA and is looking forward to further successful development of this sub-</w:t>
      </w:r>
      <w:proofErr w:type="spellStart"/>
      <w:r w:rsidRPr="00AE71B5">
        <w:rPr>
          <w:rFonts w:ascii="Arial" w:eastAsia="Simsun (Founder Extended)" w:hAnsi="Arial" w:cs="Arial"/>
          <w:bCs/>
          <w:snapToGrid/>
          <w:sz w:val="22"/>
          <w:szCs w:val="22"/>
        </w:rPr>
        <w:t>comission</w:t>
      </w:r>
      <w:proofErr w:type="spellEnd"/>
      <w:r w:rsidRPr="00AE71B5">
        <w:rPr>
          <w:rFonts w:ascii="Arial" w:eastAsia="Simsun (Founder Extended)" w:hAnsi="Arial" w:cs="Arial"/>
          <w:bCs/>
          <w:snapToGrid/>
          <w:sz w:val="22"/>
          <w:szCs w:val="22"/>
        </w:rPr>
        <w:t>.</w:t>
      </w:r>
    </w:p>
    <w:p w14:paraId="664E45B3" w14:textId="77777777" w:rsidR="006C41C4" w:rsidRPr="00AE71B5" w:rsidRDefault="006C41C4" w:rsidP="006C41C4">
      <w:pPr>
        <w:keepNext/>
        <w:snapToGrid/>
        <w:spacing w:after="120"/>
        <w:rPr>
          <w:rFonts w:ascii="Arial" w:hAnsi="Arial" w:cs="Arial"/>
          <w:b/>
          <w:sz w:val="22"/>
          <w:szCs w:val="22"/>
        </w:rPr>
      </w:pPr>
      <w:bookmarkStart w:id="399" w:name="sa331"/>
      <w:r w:rsidRPr="00AE71B5">
        <w:rPr>
          <w:rFonts w:ascii="Arial" w:hAnsi="Arial" w:cs="Arial"/>
          <w:b/>
          <w:sz w:val="22"/>
          <w:szCs w:val="22"/>
        </w:rPr>
        <w:t>South Africa</w:t>
      </w:r>
      <w:bookmarkEnd w:id="399"/>
    </w:p>
    <w:p w14:paraId="63D4C9B4"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Despite being understaffed, in fact having only one staff member IOCAFRICA has achieve majority of its activities with regards to ocean science and ocean governance. With in-kind resources provided by the Government of Kenya, the IOCAFRICA Secretariat managed to organise a successful 8th Session of IOC </w:t>
      </w:r>
      <w:proofErr w:type="spellStart"/>
      <w:r w:rsidRPr="00AE71B5">
        <w:rPr>
          <w:rFonts w:ascii="Arial" w:eastAsia="Simsun (Founder Extended)" w:hAnsi="Arial" w:cs="Arial"/>
          <w:bCs/>
          <w:snapToGrid/>
          <w:sz w:val="22"/>
          <w:szCs w:val="22"/>
        </w:rPr>
        <w:t>Subcommission</w:t>
      </w:r>
      <w:proofErr w:type="spellEnd"/>
      <w:r w:rsidRPr="00AE71B5">
        <w:rPr>
          <w:rFonts w:ascii="Arial" w:eastAsia="Simsun (Founder Extended)" w:hAnsi="Arial" w:cs="Arial"/>
          <w:bCs/>
          <w:snapToGrid/>
          <w:sz w:val="22"/>
          <w:szCs w:val="22"/>
        </w:rPr>
        <w:t xml:space="preserve"> for Africa and the Adjacent Island States. This Session was preceded by the first African Scientific Conference on Advancing the Blue Economy in Africa, which was also co-organised by the </w:t>
      </w:r>
      <w:proofErr w:type="spellStart"/>
      <w:r w:rsidRPr="00AE71B5">
        <w:rPr>
          <w:rFonts w:ascii="Arial" w:eastAsia="Simsun (Founder Extended)" w:hAnsi="Arial" w:cs="Arial"/>
          <w:bCs/>
          <w:snapToGrid/>
          <w:sz w:val="22"/>
          <w:szCs w:val="22"/>
        </w:rPr>
        <w:t>IOCAfrica</w:t>
      </w:r>
      <w:proofErr w:type="spellEnd"/>
      <w:r w:rsidRPr="00AE71B5">
        <w:rPr>
          <w:rFonts w:ascii="Arial" w:eastAsia="Simsun (Founder Extended)" w:hAnsi="Arial" w:cs="Arial"/>
          <w:bCs/>
          <w:snapToGrid/>
          <w:sz w:val="22"/>
          <w:szCs w:val="22"/>
        </w:rPr>
        <w:t xml:space="preserve"> Secretariat. The commitment from the IOCAFRICA Member States at the end of the 8th Session and Scientific Conference was to undertake initiatives in ensuring that priorities outlined on the Ocean Decade Africa Roadmap will be implemented. </w:t>
      </w:r>
    </w:p>
    <w:p w14:paraId="754AEAE2"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South Africa would like to commend and thank the IOCAFRICA for their support in making the Capacity Development initiatives in African region a reality through providing resources to ECOPS to attend technical and scientific workshops towards enhancing skills in the different discipline ranging from Ocean science, data and information management and ocean governance. </w:t>
      </w:r>
    </w:p>
    <w:p w14:paraId="5621E0E7"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South Africa would like to particularly thank the </w:t>
      </w:r>
      <w:proofErr w:type="spellStart"/>
      <w:r w:rsidRPr="00AE71B5">
        <w:rPr>
          <w:rFonts w:ascii="Arial" w:eastAsia="Simsun (Founder Extended)" w:hAnsi="Arial" w:cs="Arial"/>
          <w:bCs/>
          <w:snapToGrid/>
          <w:sz w:val="22"/>
          <w:szCs w:val="22"/>
        </w:rPr>
        <w:t>Subcommission</w:t>
      </w:r>
      <w:proofErr w:type="spellEnd"/>
      <w:r w:rsidRPr="00AE71B5">
        <w:rPr>
          <w:rFonts w:ascii="Arial" w:eastAsia="Simsun (Founder Extended)" w:hAnsi="Arial" w:cs="Arial"/>
          <w:bCs/>
          <w:snapToGrid/>
          <w:sz w:val="22"/>
          <w:szCs w:val="22"/>
        </w:rPr>
        <w:t xml:space="preserve"> for supporting one of the experts who is an IODE </w:t>
      </w:r>
      <w:proofErr w:type="spellStart"/>
      <w:r w:rsidRPr="00AE71B5">
        <w:rPr>
          <w:rFonts w:ascii="Arial" w:eastAsia="Simsun (Founder Extended)" w:hAnsi="Arial" w:cs="Arial"/>
          <w:bCs/>
          <w:snapToGrid/>
          <w:sz w:val="22"/>
          <w:szCs w:val="22"/>
        </w:rPr>
        <w:t>AfrOBIS</w:t>
      </w:r>
      <w:proofErr w:type="spellEnd"/>
      <w:r w:rsidRPr="00AE71B5">
        <w:rPr>
          <w:rFonts w:ascii="Arial" w:eastAsia="Simsun (Founder Extended)" w:hAnsi="Arial" w:cs="Arial"/>
          <w:bCs/>
          <w:snapToGrid/>
          <w:sz w:val="22"/>
          <w:szCs w:val="22"/>
        </w:rPr>
        <w:t xml:space="preserve"> Node and Data Manager to attend the 12th Session of the IODE Steering Committee of OBIS in </w:t>
      </w:r>
      <w:proofErr w:type="spellStart"/>
      <w:r w:rsidRPr="00AE71B5">
        <w:rPr>
          <w:rFonts w:ascii="Arial" w:eastAsia="Simsun (Founder Extended)" w:hAnsi="Arial" w:cs="Arial"/>
          <w:bCs/>
          <w:snapToGrid/>
          <w:sz w:val="22"/>
          <w:szCs w:val="22"/>
        </w:rPr>
        <w:t>Gunsan</w:t>
      </w:r>
      <w:proofErr w:type="spellEnd"/>
      <w:r w:rsidRPr="00AE71B5">
        <w:rPr>
          <w:rFonts w:ascii="Arial" w:eastAsia="Simsun (Founder Extended)" w:hAnsi="Arial" w:cs="Arial"/>
          <w:bCs/>
          <w:snapToGrid/>
          <w:sz w:val="22"/>
          <w:szCs w:val="22"/>
        </w:rPr>
        <w:t xml:space="preserve">, South Korea in March 2024. Furthermore,  the </w:t>
      </w:r>
      <w:proofErr w:type="spellStart"/>
      <w:r w:rsidRPr="00AE71B5">
        <w:rPr>
          <w:rFonts w:ascii="Arial" w:eastAsia="Simsun (Founder Extended)" w:hAnsi="Arial" w:cs="Arial"/>
          <w:bCs/>
          <w:snapToGrid/>
          <w:sz w:val="22"/>
          <w:szCs w:val="22"/>
        </w:rPr>
        <w:t>Subcommission</w:t>
      </w:r>
      <w:proofErr w:type="spellEnd"/>
      <w:r w:rsidRPr="00AE71B5">
        <w:rPr>
          <w:rFonts w:ascii="Arial" w:eastAsia="Simsun (Founder Extended)" w:hAnsi="Arial" w:cs="Arial"/>
          <w:bCs/>
          <w:snapToGrid/>
          <w:sz w:val="22"/>
          <w:szCs w:val="22"/>
        </w:rPr>
        <w:t xml:space="preserve"> in its intention to develop capacity and enhance skills to local technical personnel to be able to manage their data and information systems, a junior Database Administrator for South Africa’s Marine Information Management System to a training workshop labelled “Implementation of FAIR Principles to African Marine and Coastal Data” co-hosted by the IOC and Ocean Teacher Global Academy (OTGA) and held in Mombasa, Kenya in September 2024. </w:t>
      </w:r>
    </w:p>
    <w:p w14:paraId="6CBDE10C"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Chair, lastly, the IOCAFRICA has recently supported two ECOPs and 1 Expert, to attend a “</w:t>
      </w:r>
      <w:proofErr w:type="spellStart"/>
      <w:r w:rsidRPr="00AE71B5">
        <w:rPr>
          <w:rFonts w:ascii="Arial" w:eastAsia="Simsun (Founder Extended)" w:hAnsi="Arial" w:cs="Arial"/>
          <w:bCs/>
          <w:snapToGrid/>
          <w:sz w:val="22"/>
          <w:szCs w:val="22"/>
        </w:rPr>
        <w:t>SeaMester</w:t>
      </w:r>
      <w:proofErr w:type="spellEnd"/>
      <w:r w:rsidRPr="00AE71B5">
        <w:rPr>
          <w:rFonts w:ascii="Arial" w:eastAsia="Simsun (Founder Extended)" w:hAnsi="Arial" w:cs="Arial"/>
          <w:bCs/>
          <w:snapToGrid/>
          <w:sz w:val="22"/>
          <w:szCs w:val="22"/>
        </w:rPr>
        <w:t>, floating Class” onboard South Africa’s SA Agulhas II research vessel. Although one ECOP could not attend due to unforeseen logistics challenges, the aim was to encourage collaboration, enhance skills as well as enhance Ocean Literacy in the African continent. The vessel is expected to dock in Cape Town tomorrow, 27 June 2025, with well-trained students and content experts.</w:t>
      </w:r>
    </w:p>
    <w:p w14:paraId="4B6F6F1D" w14:textId="77777777" w:rsidR="006C41C4" w:rsidRPr="009863A3" w:rsidRDefault="006C41C4" w:rsidP="006C41C4">
      <w:pPr>
        <w:keepNext/>
        <w:snapToGrid/>
        <w:spacing w:after="120"/>
        <w:rPr>
          <w:rFonts w:ascii="Arial" w:hAnsi="Arial" w:cs="Arial"/>
          <w:b/>
          <w:sz w:val="22"/>
          <w:szCs w:val="22"/>
          <w:lang w:val="es-ES"/>
        </w:rPr>
      </w:pPr>
      <w:bookmarkStart w:id="400" w:name="spa331"/>
      <w:proofErr w:type="spellStart"/>
      <w:r w:rsidRPr="009863A3">
        <w:rPr>
          <w:rFonts w:ascii="Arial" w:hAnsi="Arial" w:cs="Arial"/>
          <w:b/>
          <w:sz w:val="22"/>
          <w:szCs w:val="22"/>
          <w:lang w:val="es-ES"/>
        </w:rPr>
        <w:t>Spain</w:t>
      </w:r>
      <w:proofErr w:type="spellEnd"/>
    </w:p>
    <w:bookmarkEnd w:id="400"/>
    <w:p w14:paraId="0D0678CA"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 xml:space="preserve">España agradece los informes presentados por la Embajadora Hellen Gichuhi, </w:t>
      </w:r>
      <w:proofErr w:type="gramStart"/>
      <w:r w:rsidRPr="00AE71B5">
        <w:rPr>
          <w:rFonts w:ascii="Arial" w:eastAsia="Simsun (Founder Extended)" w:hAnsi="Arial" w:cs="Arial"/>
          <w:bCs/>
          <w:snapToGrid/>
          <w:sz w:val="22"/>
          <w:szCs w:val="22"/>
          <w:lang w:val="es-ES"/>
        </w:rPr>
        <w:t>Presidenta</w:t>
      </w:r>
      <w:proofErr w:type="gramEnd"/>
      <w:r w:rsidRPr="00AE71B5">
        <w:rPr>
          <w:rFonts w:ascii="Arial" w:eastAsia="Simsun (Founder Extended)" w:hAnsi="Arial" w:cs="Arial"/>
          <w:bCs/>
          <w:snapToGrid/>
          <w:sz w:val="22"/>
          <w:szCs w:val="22"/>
          <w:lang w:val="es-ES"/>
        </w:rPr>
        <w:t xml:space="preserve"> de la Subcomisión IOC-</w:t>
      </w:r>
      <w:proofErr w:type="spellStart"/>
      <w:r w:rsidRPr="00AE71B5">
        <w:rPr>
          <w:rFonts w:ascii="Arial" w:eastAsia="Simsun (Founder Extended)" w:hAnsi="Arial" w:cs="Arial"/>
          <w:bCs/>
          <w:snapToGrid/>
          <w:sz w:val="22"/>
          <w:szCs w:val="22"/>
          <w:lang w:val="es-ES"/>
        </w:rPr>
        <w:t>Africa</w:t>
      </w:r>
      <w:proofErr w:type="spellEnd"/>
      <w:r w:rsidRPr="00AE71B5">
        <w:rPr>
          <w:rFonts w:ascii="Arial" w:eastAsia="Simsun (Founder Extended)" w:hAnsi="Arial" w:cs="Arial"/>
          <w:bCs/>
          <w:snapToGrid/>
          <w:sz w:val="22"/>
          <w:szCs w:val="22"/>
          <w:lang w:val="es-ES"/>
        </w:rPr>
        <w:t xml:space="preserve"> y quisiera destacar su compromiso con la investigación oceánica y el </w:t>
      </w:r>
      <w:r w:rsidRPr="00AE71B5">
        <w:rPr>
          <w:rFonts w:ascii="Arial" w:eastAsia="Simsun (Founder Extended)" w:hAnsi="Arial" w:cs="Arial"/>
          <w:bCs/>
          <w:snapToGrid/>
          <w:sz w:val="22"/>
          <w:szCs w:val="22"/>
          <w:lang w:val="es-ES"/>
        </w:rPr>
        <w:lastRenderedPageBreak/>
        <w:t xml:space="preserve">desarrollo de capacidades, particularmente en el Mediterráneo y la Corriente de Canarias. Durante más de 10 años, la Agencia Española de Cooperación Internacional para el Desarrollo (AECID) financió una serie de proyectos implementados por la COI destinados a reforzar las capacidades en ciencias del océano en los países de la región del Gran Ecosistema Marino de la Corriente de Canarias (el CCLME). España está muy satisfecha con el trabajo realizada por la COI en </w:t>
      </w:r>
      <w:proofErr w:type="spellStart"/>
      <w:proofErr w:type="gramStart"/>
      <w:r w:rsidRPr="00AE71B5">
        <w:rPr>
          <w:rFonts w:ascii="Arial" w:eastAsia="Simsun (Founder Extended)" w:hAnsi="Arial" w:cs="Arial"/>
          <w:bCs/>
          <w:snapToGrid/>
          <w:sz w:val="22"/>
          <w:szCs w:val="22"/>
          <w:lang w:val="es-ES"/>
        </w:rPr>
        <w:t>el</w:t>
      </w:r>
      <w:proofErr w:type="spellEnd"/>
      <w:r w:rsidRPr="00AE71B5">
        <w:rPr>
          <w:rFonts w:ascii="Arial" w:eastAsia="Simsun (Founder Extended)" w:hAnsi="Arial" w:cs="Arial"/>
          <w:bCs/>
          <w:snapToGrid/>
          <w:sz w:val="22"/>
          <w:szCs w:val="22"/>
          <w:lang w:val="es-ES"/>
        </w:rPr>
        <w:t xml:space="preserve">  estos</w:t>
      </w:r>
      <w:proofErr w:type="gramEnd"/>
      <w:r w:rsidRPr="00AE71B5">
        <w:rPr>
          <w:rFonts w:ascii="Arial" w:eastAsia="Simsun (Founder Extended)" w:hAnsi="Arial" w:cs="Arial"/>
          <w:bCs/>
          <w:snapToGrid/>
          <w:sz w:val="22"/>
          <w:szCs w:val="22"/>
          <w:lang w:val="es-ES"/>
        </w:rPr>
        <w:t xml:space="preserve"> proyectos que nos han permitido incrementar la colaboración y coordinación científica en la zona.</w:t>
      </w:r>
    </w:p>
    <w:p w14:paraId="4C549B46"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El cuarto de esta serie de proyectos, que finalizó en enero de 2024, impulsó la cooperación de investigadores para la identificación y gestión de especies alóctonas invasoras.</w:t>
      </w:r>
    </w:p>
    <w:p w14:paraId="64D5A79E"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 xml:space="preserve">A partir de las decisiones tomadas en 7 talleres, se preparó una base de datos georreferenciada de ocurrencias de especies alóctonas en el CCLME. El IEO contribuyó a este esfuerzo colectivo con el 80% de los registros de ocurrencias, las cuales fueron extraídas de la revisión de aproximadamente 140 publicaciones científicas y literatura gris. Esta base de datos se integró en una herramienta que fue diseñada siguiendo las recomendaciones de los expertos, e integrada en el CCLME Eco-GIS </w:t>
      </w:r>
      <w:proofErr w:type="spellStart"/>
      <w:r w:rsidRPr="00AE71B5">
        <w:rPr>
          <w:rFonts w:ascii="Arial" w:eastAsia="Simsun (Founder Extended)" w:hAnsi="Arial" w:cs="Arial"/>
          <w:bCs/>
          <w:snapToGrid/>
          <w:sz w:val="22"/>
          <w:szCs w:val="22"/>
          <w:lang w:val="es-ES"/>
        </w:rPr>
        <w:t>Viewer</w:t>
      </w:r>
      <w:proofErr w:type="spellEnd"/>
      <w:r w:rsidRPr="00AE71B5">
        <w:rPr>
          <w:rFonts w:ascii="Arial" w:eastAsia="Simsun (Founder Extended)" w:hAnsi="Arial" w:cs="Arial"/>
          <w:bCs/>
          <w:snapToGrid/>
          <w:sz w:val="22"/>
          <w:szCs w:val="22"/>
          <w:lang w:val="es-ES"/>
        </w:rPr>
        <w:t xml:space="preserve">, visor dinámico hospedado en los servidores del IEO. </w:t>
      </w:r>
    </w:p>
    <w:p w14:paraId="738C3468" w14:textId="77777777" w:rsidR="006C41C4" w:rsidRPr="00E647B1" w:rsidRDefault="006C41C4" w:rsidP="006C41C4">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A pesar de la ausencia de financiación para el mantenimiento de los productos resultantes de esta colaboración, el Instituto Español de Oceanografía (IEO-CSIC) se compromete a migrar los dos portales desarrollados a sus nuevos servidores para el uso y beneficio de los</w:t>
      </w:r>
      <w:r w:rsidRPr="00E647B1">
        <w:rPr>
          <w:rFonts w:ascii="Arial" w:eastAsia="Simsun (Founder Extended)" w:hAnsi="Arial" w:cs="Arial"/>
          <w:bCs/>
          <w:snapToGrid/>
          <w:sz w:val="22"/>
          <w:szCs w:val="22"/>
          <w:lang w:val="es-ES"/>
        </w:rPr>
        <w:t xml:space="preserve"> científicos y estudiantes de la región.</w:t>
      </w:r>
    </w:p>
    <w:p w14:paraId="64C37C14" w14:textId="77777777" w:rsidR="006C41C4" w:rsidRPr="00AE71B5" w:rsidRDefault="006C41C4" w:rsidP="006C41C4">
      <w:pPr>
        <w:keepNext/>
        <w:snapToGrid/>
        <w:spacing w:after="120"/>
        <w:rPr>
          <w:rFonts w:ascii="Arial" w:hAnsi="Arial" w:cs="Arial"/>
          <w:b/>
          <w:sz w:val="22"/>
          <w:szCs w:val="22"/>
        </w:rPr>
      </w:pPr>
      <w:bookmarkStart w:id="401" w:name="uk331"/>
      <w:r w:rsidRPr="00AE71B5">
        <w:rPr>
          <w:rFonts w:ascii="Arial" w:hAnsi="Arial" w:cs="Arial"/>
          <w:b/>
          <w:sz w:val="22"/>
          <w:szCs w:val="22"/>
        </w:rPr>
        <w:t>United Kingdom of Great Britain and Northern Ireland</w:t>
      </w:r>
    </w:p>
    <w:bookmarkEnd w:id="401"/>
    <w:p w14:paraId="3A7C06AC"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We also note the revised draft resolution to strengthen the IOCAFRICA Secretariat.  </w:t>
      </w:r>
    </w:p>
    <w:p w14:paraId="4318D48B"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Reflecting on the comments by the delegate from Cote d’Ivoire, and recognising the increase in funding, as reflected by the distinguished presenter, IOCAFRICA, specifically, was identified as a priority area to receive such extra funding following the increase of IOCs Regular Programme allocation in 2023, as reflected in IOC Resolution A-32/4.</w:t>
      </w:r>
    </w:p>
    <w:p w14:paraId="2A9EAD17"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IOCAFRICA further benefits from the increase through a prioritisation of all regional offices.</w:t>
      </w:r>
    </w:p>
    <w:p w14:paraId="246327F8"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Whilst being supportive of the ambitions of IOCAFRICA, the UK is mindful of the consequences on IOCs budget in implementing the draft Resolution as submitted by Kenya.</w:t>
      </w:r>
    </w:p>
    <w:p w14:paraId="0B011C0E" w14:textId="77777777" w:rsidR="006C41C4" w:rsidRPr="00AE71B5" w:rsidRDefault="006C41C4" w:rsidP="006C41C4">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As a result, the budget consequences of the resolution must be considered by the Financial Committee, especially in the context of the wider budgetary situation of the IOC.</w:t>
      </w:r>
    </w:p>
    <w:p w14:paraId="449DF916"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3.3.2</w:t>
      </w:r>
      <w:r w:rsidRPr="00AE71B5">
        <w:rPr>
          <w:rFonts w:ascii="Arial" w:hAnsi="Arial" w:cs="Arial"/>
          <w:b/>
          <w:sz w:val="22"/>
          <w:szCs w:val="22"/>
        </w:rPr>
        <w:tab/>
        <w:t>IOC Sub-Commission for the Western Pacific:</w:t>
      </w:r>
      <w:r w:rsidRPr="00AE71B5">
        <w:rPr>
          <w:rFonts w:ascii="Arial" w:hAnsi="Arial" w:cs="Arial"/>
          <w:b/>
          <w:sz w:val="22"/>
          <w:szCs w:val="22"/>
        </w:rPr>
        <w:br/>
        <w:t>15th Session of WESTPAC, Tokyo, Japan, 11–13 March 2025</w:t>
      </w:r>
    </w:p>
    <w:p w14:paraId="7B699D13" w14:textId="77777777" w:rsidR="006C41C4" w:rsidRPr="00AE71B5" w:rsidRDefault="006C41C4" w:rsidP="006C41C4">
      <w:pPr>
        <w:keepNext/>
        <w:snapToGrid/>
        <w:spacing w:after="120"/>
        <w:rPr>
          <w:rFonts w:ascii="Arial" w:hAnsi="Arial" w:cs="Arial"/>
          <w:b/>
          <w:sz w:val="22"/>
          <w:szCs w:val="22"/>
        </w:rPr>
      </w:pPr>
      <w:bookmarkStart w:id="402" w:name="china332"/>
      <w:r w:rsidRPr="00AE71B5">
        <w:rPr>
          <w:rFonts w:ascii="Arial" w:hAnsi="Arial" w:cs="Arial"/>
          <w:b/>
          <w:sz w:val="22"/>
          <w:szCs w:val="22"/>
        </w:rPr>
        <w:t>China</w:t>
      </w:r>
    </w:p>
    <w:bookmarkEnd w:id="402"/>
    <w:p w14:paraId="1DBBEB2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rPr>
        <w:t xml:space="preserve">China would like to join the other Member States to express our appreciation and support to the IOC WESTPAC’s great progress in last years, particularly the Fifteenth Intergovernmental Session in TOKYO in this March. The occasion of the session is </w:t>
      </w:r>
      <w:proofErr w:type="gramStart"/>
      <w:r w:rsidRPr="00AE71B5">
        <w:rPr>
          <w:rFonts w:ascii="Arial" w:eastAsia="Simsun (Founder Extended)" w:hAnsi="Arial" w:cs="Arial"/>
          <w:snapToGrid/>
          <w:sz w:val="22"/>
          <w:szCs w:val="22"/>
        </w:rPr>
        <w:t>really important</w:t>
      </w:r>
      <w:proofErr w:type="gramEnd"/>
      <w:r w:rsidRPr="00AE71B5">
        <w:rPr>
          <w:rFonts w:ascii="Arial" w:eastAsia="Simsun (Founder Extended)" w:hAnsi="Arial" w:cs="Arial"/>
          <w:snapToGrid/>
          <w:sz w:val="22"/>
          <w:szCs w:val="22"/>
        </w:rPr>
        <w:t>, not only because it’s just before the 33rd Session of IOC Assembly, but also the key time of preparation of UNOC3.</w:t>
      </w:r>
    </w:p>
    <w:p w14:paraId="4D39C7D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its effective and efficient session, China worked with other WESTPAC Member States to summary the current work, strengthen the regional coordination in and beyond IOC framework, to push forward to the cooperation of ocean science and support to the global big agenda. The experts from China engaged the discussion and made their contributions in the agenda of Ocean Decade, BBNJ, RTRCs, Marine Spatial Planning, CSK-2, etc. We recommended our representatives to the Intersessional Task Force of BBNJ and Ocean Literacy. Also, one of new established Working Group, the Working Group on Blue Carbon Ecosystem Restoration with an initial focus on mangroves was proposed and lead by Chinese expert, Meanwhile, more programs and working group proposals are being prepared by our colleagues </w:t>
      </w:r>
      <w:proofErr w:type="spellStart"/>
      <w:r w:rsidRPr="00AE71B5">
        <w:rPr>
          <w:rFonts w:ascii="Arial" w:eastAsia="Simsun (Founder Extended)" w:hAnsi="Arial" w:cs="Arial"/>
          <w:snapToGrid/>
          <w:sz w:val="22"/>
          <w:szCs w:val="22"/>
        </w:rPr>
        <w:t>intersessionally</w:t>
      </w:r>
      <w:proofErr w:type="spellEnd"/>
      <w:r w:rsidRPr="00AE71B5">
        <w:rPr>
          <w:rFonts w:ascii="Arial" w:eastAsia="Simsun (Founder Extended)" w:hAnsi="Arial" w:cs="Arial"/>
          <w:snapToGrid/>
          <w:sz w:val="22"/>
          <w:szCs w:val="22"/>
        </w:rPr>
        <w:t>. Although the financial pressure is huge, we tried our best to make our donation to IOC every year, a part of which was allocated to WESTPAC.</w:t>
      </w:r>
    </w:p>
    <w:p w14:paraId="3CB40FD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China shares the same views with other WESTPAC Member States, the IOC WESTPAC, strongly lead by our chairpersons and coordinated by Wenxi, is not only the important regional platform of ocean science cooperation, the important implementation vehicle of IOC mission in the rim of Pacific Ocean, but also the robust regime of pushing forward to the global ocean related agendas.  Obviously, we would like to express our will to work with Member States in WESTPAC continuously. We appreciate the important views given by Executive Secretary yesterday to emphasize the key roles of regional Subsidiary </w:t>
      </w:r>
      <w:proofErr w:type="gramStart"/>
      <w:r w:rsidRPr="00AE71B5">
        <w:rPr>
          <w:rFonts w:ascii="Arial" w:eastAsia="Simsun (Founder Extended)" w:hAnsi="Arial" w:cs="Arial"/>
          <w:snapToGrid/>
          <w:sz w:val="22"/>
          <w:szCs w:val="22"/>
        </w:rPr>
        <w:t>Body,</w:t>
      </w:r>
      <w:proofErr w:type="gramEnd"/>
      <w:r w:rsidRPr="00AE71B5">
        <w:rPr>
          <w:rFonts w:ascii="Arial" w:eastAsia="Simsun (Founder Extended)" w:hAnsi="Arial" w:cs="Arial"/>
          <w:snapToGrid/>
          <w:sz w:val="22"/>
          <w:szCs w:val="22"/>
        </w:rPr>
        <w:t xml:space="preserve"> thus we also call on IOC and the Secretariat to enhance the financial and human resources support to WESTPAC regional office.</w:t>
      </w:r>
    </w:p>
    <w:p w14:paraId="62D0A6A9" w14:textId="77777777" w:rsidR="006C41C4" w:rsidRPr="00AE71B5" w:rsidRDefault="006C41C4" w:rsidP="006C41C4">
      <w:pPr>
        <w:keepNext/>
        <w:snapToGrid/>
        <w:spacing w:after="120"/>
        <w:rPr>
          <w:rFonts w:ascii="Arial" w:hAnsi="Arial" w:cs="Arial"/>
          <w:b/>
          <w:sz w:val="22"/>
          <w:szCs w:val="22"/>
        </w:rPr>
      </w:pPr>
      <w:bookmarkStart w:id="403" w:name="indo332"/>
      <w:r w:rsidRPr="00AE71B5">
        <w:rPr>
          <w:rFonts w:ascii="Arial" w:hAnsi="Arial" w:cs="Arial"/>
          <w:b/>
          <w:sz w:val="22"/>
          <w:szCs w:val="22"/>
        </w:rPr>
        <w:t>Indonesia</w:t>
      </w:r>
    </w:p>
    <w:bookmarkEnd w:id="403"/>
    <w:p w14:paraId="79968F6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Under their guidance, WESTPAC has become an important platform for promoting the conservation and sustainable use of our shared ocean resources, in alignment with SDG 14 and the UN Ocean Decade objectives.</w:t>
      </w:r>
    </w:p>
    <w:p w14:paraId="2007BBA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extend our sincere gratitude to the outgoing leadership team: Chair Kentaro Ando from Japan, Vice-Chairs Aileen Tan Shau </w:t>
      </w:r>
      <w:proofErr w:type="spellStart"/>
      <w:r w:rsidRPr="00AE71B5">
        <w:rPr>
          <w:rFonts w:ascii="Arial" w:eastAsia="Simsun (Founder Extended)" w:hAnsi="Arial" w:cs="Arial"/>
          <w:snapToGrid/>
          <w:sz w:val="22"/>
          <w:szCs w:val="22"/>
        </w:rPr>
        <w:t>Hwai</w:t>
      </w:r>
      <w:proofErr w:type="spellEnd"/>
      <w:r w:rsidRPr="00AE71B5">
        <w:rPr>
          <w:rFonts w:ascii="Arial" w:eastAsia="Simsun (Founder Extended)" w:hAnsi="Arial" w:cs="Arial"/>
          <w:snapToGrid/>
          <w:sz w:val="22"/>
          <w:szCs w:val="22"/>
        </w:rPr>
        <w:t xml:space="preserve"> from Malaysia, and our own </w:t>
      </w:r>
      <w:proofErr w:type="spellStart"/>
      <w:r w:rsidRPr="00AE71B5">
        <w:rPr>
          <w:rFonts w:ascii="Arial" w:eastAsia="Simsun (Founder Extended)" w:hAnsi="Arial" w:cs="Arial"/>
          <w:snapToGrid/>
          <w:sz w:val="22"/>
          <w:szCs w:val="22"/>
        </w:rPr>
        <w:t>Faldi</w:t>
      </w:r>
      <w:proofErr w:type="spellEnd"/>
      <w:r w:rsidRPr="00AE71B5">
        <w:rPr>
          <w:rFonts w:ascii="Arial" w:eastAsia="Simsun (Founder Extended)" w:hAnsi="Arial" w:cs="Arial"/>
          <w:snapToGrid/>
          <w:sz w:val="22"/>
          <w:szCs w:val="22"/>
        </w:rPr>
        <w:t xml:space="preserve"> </w:t>
      </w:r>
      <w:proofErr w:type="spellStart"/>
      <w:r w:rsidRPr="00AE71B5">
        <w:rPr>
          <w:rFonts w:ascii="Arial" w:eastAsia="Simsun (Founder Extended)" w:hAnsi="Arial" w:cs="Arial"/>
          <w:snapToGrid/>
          <w:sz w:val="22"/>
          <w:szCs w:val="22"/>
        </w:rPr>
        <w:t>Syamsudin</w:t>
      </w:r>
      <w:proofErr w:type="spellEnd"/>
      <w:r w:rsidRPr="00AE71B5">
        <w:rPr>
          <w:rFonts w:ascii="Arial" w:eastAsia="Simsun (Founder Extended)" w:hAnsi="Arial" w:cs="Arial"/>
          <w:snapToGrid/>
          <w:sz w:val="22"/>
          <w:szCs w:val="22"/>
        </w:rPr>
        <w:t xml:space="preserve"> from Indonesia, for their tireless dedication. Their efforts have strengthened regional collaboration, including through Indonesia’s active participation in initiatives such as the WESTPAC Ocean Decade Collaborative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on Coral Reef Restoration and the Marine Biodiversity Observation Network. </w:t>
      </w:r>
    </w:p>
    <w:p w14:paraId="63B7DFA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warmly congratulate the newly elected officers: Chairperson Aileen Tan Shau </w:t>
      </w:r>
      <w:proofErr w:type="spellStart"/>
      <w:r w:rsidRPr="00AE71B5">
        <w:rPr>
          <w:rFonts w:ascii="Arial" w:eastAsia="Simsun (Founder Extended)" w:hAnsi="Arial" w:cs="Arial"/>
          <w:snapToGrid/>
          <w:sz w:val="22"/>
          <w:szCs w:val="22"/>
        </w:rPr>
        <w:t>Hwai</w:t>
      </w:r>
      <w:proofErr w:type="spellEnd"/>
      <w:r w:rsidRPr="00AE71B5">
        <w:rPr>
          <w:rFonts w:ascii="Arial" w:eastAsia="Simsun (Founder Extended)" w:hAnsi="Arial" w:cs="Arial"/>
          <w:snapToGrid/>
          <w:sz w:val="22"/>
          <w:szCs w:val="22"/>
        </w:rPr>
        <w:t xml:space="preserve"> from Malaysia and Vice-Chairs Vyacheslav Lobanov from the Russian Federation, Sung Hyun </w:t>
      </w:r>
      <w:proofErr w:type="gramStart"/>
      <w:r w:rsidRPr="00AE71B5">
        <w:rPr>
          <w:rFonts w:ascii="Arial" w:eastAsia="Simsun (Founder Extended)" w:hAnsi="Arial" w:cs="Arial"/>
          <w:snapToGrid/>
          <w:sz w:val="22"/>
          <w:szCs w:val="22"/>
        </w:rPr>
        <w:t>Nam  from</w:t>
      </w:r>
      <w:proofErr w:type="gramEnd"/>
      <w:r w:rsidRPr="00AE71B5">
        <w:rPr>
          <w:rFonts w:ascii="Arial" w:eastAsia="Simsun (Founder Extended)" w:hAnsi="Arial" w:cs="Arial"/>
          <w:snapToGrid/>
          <w:sz w:val="22"/>
          <w:szCs w:val="22"/>
        </w:rPr>
        <w:t xml:space="preserve"> the Republic of Korea, and Aletta Yñiguez from the Philippines. </w:t>
      </w:r>
    </w:p>
    <w:p w14:paraId="200BAA3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Indonesia looks forward to deepening partnerships under their leadership, particularly in areas such as marine pollution mitigation, blue economy development, and capacity-building for small island developing states (SIDS); priorities that resonate with our national Ocean Policy 2021–2025.</w:t>
      </w:r>
    </w:p>
    <w:p w14:paraId="7A8CC6D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Indonesia highly values WESTPAC’s dual role as both the IOC’s regional arm and the Ocean Decade Coordination Office (DCO) for the Western Pacific. Your work in harmonizing UN agency efforts; exemplified by the Regional Working Group on Harmful Algal Blooms (HABs) and the Joint Cruise Program, has been critical. </w:t>
      </w:r>
    </w:p>
    <w:p w14:paraId="05B4B99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we share concerns about the Office’s limited capacity relative to its expanding mandate. Without adequate resources, UNESCO/IOC risks ceding its leadership in ocean science coordination, particularly as the UN Ocean Decade enters its implementation phase.</w:t>
      </w:r>
    </w:p>
    <w:p w14:paraId="0140920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Despite challenge, funding constraints, and rising demands; Indonesia remains committed to supporting WESTPAC. As a regional hub for maritime cooperation, we stand ready to share expertise in mangrove restoration and marine spatial </w:t>
      </w:r>
      <w:proofErr w:type="gramStart"/>
      <w:r w:rsidRPr="00AE71B5">
        <w:rPr>
          <w:rFonts w:ascii="Arial" w:eastAsia="Simsun (Founder Extended)" w:hAnsi="Arial" w:cs="Arial"/>
          <w:snapToGrid/>
          <w:sz w:val="22"/>
          <w:szCs w:val="22"/>
        </w:rPr>
        <w:t>planning, and</w:t>
      </w:r>
      <w:proofErr w:type="gramEnd"/>
      <w:r w:rsidRPr="00AE71B5">
        <w:rPr>
          <w:rFonts w:ascii="Arial" w:eastAsia="Simsun (Founder Extended)" w:hAnsi="Arial" w:cs="Arial"/>
          <w:snapToGrid/>
          <w:sz w:val="22"/>
          <w:szCs w:val="22"/>
        </w:rPr>
        <w:t xml:space="preserve"> continue partnership with WESTPAC.</w:t>
      </w:r>
    </w:p>
    <w:p w14:paraId="252EC48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Indonesia takes pride in WESTPAC’s achievements and reaffirms our partnership to preserve the Western Pacific’s marine environment for the benefit of present and future generations.</w:t>
      </w:r>
    </w:p>
    <w:p w14:paraId="0E371CEF" w14:textId="77777777" w:rsidR="006C41C4" w:rsidRPr="00AE71B5" w:rsidRDefault="006C41C4" w:rsidP="006C41C4">
      <w:pPr>
        <w:keepNext/>
        <w:snapToGrid/>
        <w:spacing w:after="120"/>
        <w:rPr>
          <w:rFonts w:ascii="Arial" w:hAnsi="Arial" w:cs="Arial"/>
          <w:b/>
          <w:sz w:val="22"/>
          <w:szCs w:val="22"/>
        </w:rPr>
      </w:pPr>
      <w:bookmarkStart w:id="404" w:name="malay332"/>
      <w:r w:rsidRPr="00AE71B5">
        <w:rPr>
          <w:rFonts w:ascii="Arial" w:hAnsi="Arial" w:cs="Arial"/>
          <w:b/>
          <w:sz w:val="22"/>
          <w:szCs w:val="22"/>
        </w:rPr>
        <w:t>Malaysia</w:t>
      </w:r>
    </w:p>
    <w:bookmarkEnd w:id="404"/>
    <w:p w14:paraId="735DB54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especially appreciate WESTPAC’s continued commitment to capacity building through the Regional Training and Research Centres (RTRCs), which have greatly benefited young researchers, including from Malaysia.</w:t>
      </w:r>
    </w:p>
    <w:p w14:paraId="6D00730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Malaysia is concern with the reduction in funding support impacting the staffing.  This will surely impact the execution of activities as well as sustaining engagement and communication with member states, mostly from the developing countries.</w:t>
      </w:r>
    </w:p>
    <w:p w14:paraId="454A542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also wishes to express sincere gratitude to fellow Member States for their support in the election of the Chairperson from Malaysia at the 15th Session of the Sub-Commission.</w:t>
      </w:r>
    </w:p>
    <w:p w14:paraId="4F8BFA78" w14:textId="77777777" w:rsidR="006C41C4" w:rsidRPr="00AE71B5" w:rsidRDefault="006C41C4" w:rsidP="006C41C4">
      <w:pPr>
        <w:keepNext/>
        <w:snapToGrid/>
        <w:spacing w:after="120"/>
        <w:rPr>
          <w:rFonts w:ascii="Arial" w:hAnsi="Arial" w:cs="Arial"/>
          <w:b/>
          <w:sz w:val="22"/>
          <w:szCs w:val="22"/>
        </w:rPr>
      </w:pPr>
      <w:bookmarkStart w:id="405" w:name="rok332"/>
      <w:r w:rsidRPr="00AE71B5">
        <w:rPr>
          <w:rFonts w:ascii="Arial" w:hAnsi="Arial" w:cs="Arial"/>
          <w:b/>
          <w:sz w:val="22"/>
          <w:szCs w:val="22"/>
        </w:rPr>
        <w:lastRenderedPageBreak/>
        <w:t>Republic of Korea</w:t>
      </w:r>
    </w:p>
    <w:bookmarkEnd w:id="405"/>
    <w:p w14:paraId="4814A94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Korea has supported IOC/WESTPAC activities through existing and new programs, projects, working groups, WESTPAC-led UN Decade Actions, and regional GOOS alliances, all aimed at advancing ocean science and fostering international cooperation to address national and international challenges. We highly recognize the indispensable role of the WESTPAC Office, which also serves as the Decade Coordination Office. We also express deep concern at the critically limited human resources and budget available to manage WESTPAC's increasing activities.</w:t>
      </w:r>
    </w:p>
    <w:p w14:paraId="5BAFFBC3" w14:textId="77777777" w:rsidR="006C41C4" w:rsidRPr="00AE71B5" w:rsidRDefault="006C41C4" w:rsidP="006C41C4">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In particular, Korea</w:t>
      </w:r>
      <w:proofErr w:type="gramEnd"/>
      <w:r w:rsidRPr="00AE71B5">
        <w:rPr>
          <w:rFonts w:ascii="Arial" w:eastAsia="Simsun (Founder Extended)" w:hAnsi="Arial" w:cs="Arial"/>
          <w:snapToGrid/>
          <w:sz w:val="22"/>
          <w:szCs w:val="22"/>
        </w:rPr>
        <w:t xml:space="preserve"> has been actively contributing to the 2nd Cooperative Study of Kuroshio and Adjacent Regions (CSK-2), recognizing the vital importance of long-term monitoring of the Kuroshio for enhancing regional climate prediction, sustainable fisheries, and marine ecosystem conservation. With strong backing from the Ministry of Oceans and Fisheries, Korean researchers from leading institutions—including KIOST, Seoul National University, Pusan National University, and Inha University—are collaborating closely with Japanese scientists on long-term observations in the East China Sea. This joint effort enhances scientific understanding of how Kuroshio variability impacts the marine environment around the Korean Peninsula. The Korean government allocates approximately 1.2 million dollars annually to CSK-2-related research, helping to ensure rapid and informed responses to ocean-related disasters and ecological crises. Korea firmly believes that CSK-2 will deliver critical scientific insights at both regional and global </w:t>
      </w:r>
      <w:proofErr w:type="gramStart"/>
      <w:r w:rsidRPr="00AE71B5">
        <w:rPr>
          <w:rFonts w:ascii="Arial" w:eastAsia="Simsun (Founder Extended)" w:hAnsi="Arial" w:cs="Arial"/>
          <w:snapToGrid/>
          <w:sz w:val="22"/>
          <w:szCs w:val="22"/>
        </w:rPr>
        <w:t>levels, and</w:t>
      </w:r>
      <w:proofErr w:type="gramEnd"/>
      <w:r w:rsidRPr="00AE71B5">
        <w:rPr>
          <w:rFonts w:ascii="Arial" w:eastAsia="Simsun (Founder Extended)" w:hAnsi="Arial" w:cs="Arial"/>
          <w:snapToGrid/>
          <w:sz w:val="22"/>
          <w:szCs w:val="22"/>
        </w:rPr>
        <w:t xml:space="preserve"> remains committed to its continued success.</w:t>
      </w:r>
    </w:p>
    <w:p w14:paraId="095A4D4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Korea is more than willing to continuously provide professional support and advice for future WESTPAC activities, particularly in these areas:</w:t>
      </w:r>
    </w:p>
    <w:p w14:paraId="68540DD6" w14:textId="77777777" w:rsidR="006C41C4" w:rsidRPr="00AE71B5" w:rsidRDefault="006C41C4" w:rsidP="006C41C4">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 xml:space="preserve">Leveraging the power of Artificial Intelligence and standardized data networks for ocean research and sustainability. </w:t>
      </w:r>
    </w:p>
    <w:p w14:paraId="7BA3B18A" w14:textId="77777777" w:rsidR="006C41C4" w:rsidRPr="00AE71B5" w:rsidRDefault="006C41C4" w:rsidP="006C41C4">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Advancing marine spatial planning for sustainable use.</w:t>
      </w:r>
    </w:p>
    <w:p w14:paraId="51DF036D" w14:textId="77777777" w:rsidR="006C41C4" w:rsidRPr="00AE71B5" w:rsidRDefault="006C41C4" w:rsidP="006C41C4">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Supporting science-based governance.</w:t>
      </w:r>
    </w:p>
    <w:p w14:paraId="73935605" w14:textId="77777777" w:rsidR="006C41C4" w:rsidRPr="00AE71B5" w:rsidRDefault="006C41C4" w:rsidP="006C41C4">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Actively engaging relevant stakeholders in the development and implementation of tangible solutions in the region.</w:t>
      </w:r>
    </w:p>
    <w:p w14:paraId="7657ED75" w14:textId="77777777" w:rsidR="006C41C4" w:rsidRPr="00AE71B5" w:rsidRDefault="006C41C4" w:rsidP="006C41C4">
      <w:pPr>
        <w:keepNext/>
        <w:snapToGrid/>
        <w:spacing w:after="120"/>
        <w:rPr>
          <w:rFonts w:ascii="Arial" w:hAnsi="Arial" w:cs="Arial"/>
          <w:b/>
          <w:sz w:val="22"/>
          <w:szCs w:val="22"/>
        </w:rPr>
      </w:pPr>
      <w:bookmarkStart w:id="406" w:name="rus332"/>
      <w:r w:rsidRPr="00AE71B5">
        <w:rPr>
          <w:rFonts w:ascii="Arial" w:hAnsi="Arial" w:cs="Arial"/>
          <w:b/>
          <w:sz w:val="22"/>
          <w:szCs w:val="22"/>
        </w:rPr>
        <w:t>Russian Federation</w:t>
      </w:r>
    </w:p>
    <w:bookmarkEnd w:id="406"/>
    <w:p w14:paraId="263D943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highly appreciate the proactive and successful actions undertaken by WESTPAC to achieve the main goals of the IOC. We would especially like to note the excellent work of WESTPAC for implementing all the Commission's flagship programs in the region, developing cooperation between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It is particularly important that a lot of work is being done to support young researchers and develop regional training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(RTCs). </w:t>
      </w:r>
    </w:p>
    <w:p w14:paraId="236C05C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underline the active participation of the Russian delegation in all activities specified by the agenda of the Fifteenth Intergovernmental Session (WESTPAC-XV) from 11 to 13 March 2025. By courtesy of Russian </w:t>
      </w:r>
      <w:proofErr w:type="gramStart"/>
      <w:r w:rsidRPr="00AE71B5">
        <w:rPr>
          <w:rFonts w:ascii="Arial" w:eastAsia="Simsun (Founder Extended)" w:hAnsi="Arial" w:cs="Arial"/>
          <w:snapToGrid/>
          <w:sz w:val="22"/>
          <w:szCs w:val="22"/>
        </w:rPr>
        <w:t>initiative</w:t>
      </w:r>
      <w:proofErr w:type="gramEnd"/>
      <w:r w:rsidRPr="00AE71B5">
        <w:rPr>
          <w:rFonts w:ascii="Arial" w:eastAsia="Simsun (Founder Extended)" w:hAnsi="Arial" w:cs="Arial"/>
          <w:snapToGrid/>
          <w:sz w:val="22"/>
          <w:szCs w:val="22"/>
        </w:rPr>
        <w:t xml:space="preserve"> a new international multilateral project “Methane Fluxes and Their Impacts on Climate and Ecosystem in the Indo-Pacific Region (2025–2029)” has been established. This project already includes 10 IOC Member States. The design of the project has become a natural evolution of the previous WESTPAC Working Group on the Integrated Study on Gas Hydrates and Methane Fluxes in the Indo-Pacific Region. We invite Member States to participate in this project, that can become a remarkable example of successful cooperation between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We have already conducted the first marine expedition under this project in </w:t>
      </w:r>
      <w:proofErr w:type="gramStart"/>
      <w:r w:rsidRPr="00AE71B5">
        <w:rPr>
          <w:rFonts w:ascii="Arial" w:eastAsia="Simsun (Founder Extended)" w:hAnsi="Arial" w:cs="Arial"/>
          <w:snapToGrid/>
          <w:sz w:val="22"/>
          <w:szCs w:val="22"/>
        </w:rPr>
        <w:t>the Japan</w:t>
      </w:r>
      <w:proofErr w:type="gramEnd"/>
      <w:r w:rsidRPr="00AE71B5">
        <w:rPr>
          <w:rFonts w:ascii="Arial" w:eastAsia="Simsun (Founder Extended)" w:hAnsi="Arial" w:cs="Arial"/>
          <w:snapToGrid/>
          <w:sz w:val="22"/>
          <w:szCs w:val="22"/>
        </w:rPr>
        <w:t xml:space="preserve">, East China and South China Seas and we are planning a second international expedition at the end of this year, to be funded by Russian side. We welcome new leadership of WESTPAC and confirm our intention to actively participate in the upcoming events of the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We also thank Philippines for hosting the next WESTPAC conference and association session of the </w:t>
      </w:r>
      <w:proofErr w:type="spellStart"/>
      <w:r w:rsidRPr="00AE71B5">
        <w:rPr>
          <w:rFonts w:ascii="Arial" w:eastAsia="Simsun (Founder Extended)" w:hAnsi="Arial" w:cs="Arial"/>
          <w:snapToGrid/>
          <w:sz w:val="22"/>
          <w:szCs w:val="22"/>
        </w:rPr>
        <w:t>subcomission</w:t>
      </w:r>
      <w:proofErr w:type="spellEnd"/>
      <w:r w:rsidRPr="00AE71B5">
        <w:rPr>
          <w:rFonts w:ascii="Arial" w:eastAsia="Simsun (Founder Extended)" w:hAnsi="Arial" w:cs="Arial"/>
          <w:snapToGrid/>
          <w:sz w:val="22"/>
          <w:szCs w:val="22"/>
        </w:rPr>
        <w:t>. We emphasize the need for further strengthening the human and financial resources of WESTPAC, as these contributions are critical for the activities of the Commission.</w:t>
      </w:r>
    </w:p>
    <w:p w14:paraId="0226908B" w14:textId="77777777" w:rsidR="006C41C4" w:rsidRPr="00AE71B5" w:rsidRDefault="006C41C4" w:rsidP="006C41C4">
      <w:pPr>
        <w:keepNext/>
        <w:snapToGrid/>
        <w:spacing w:after="120"/>
        <w:rPr>
          <w:rFonts w:ascii="Arial" w:hAnsi="Arial" w:cs="Arial"/>
          <w:b/>
          <w:sz w:val="22"/>
          <w:szCs w:val="22"/>
        </w:rPr>
      </w:pPr>
      <w:bookmarkStart w:id="407" w:name="thai332"/>
      <w:r w:rsidRPr="00AE71B5">
        <w:rPr>
          <w:rFonts w:ascii="Arial" w:hAnsi="Arial" w:cs="Arial"/>
          <w:b/>
          <w:sz w:val="22"/>
          <w:szCs w:val="22"/>
        </w:rPr>
        <w:lastRenderedPageBreak/>
        <w:t>Thailand</w:t>
      </w:r>
    </w:p>
    <w:bookmarkEnd w:id="407"/>
    <w:p w14:paraId="1C83D18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commend WESTPAC’s continued leadership in promoting ocean science and regional cooperation.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appreciate its efforts to advance the science-policy interface, accelerate marine spatial planning, and support Member States in implementing the UN Ocean Decade. We also welcome its alignment with global frameworks such as the BBNJ Agreement and the Kunming-Montreal Global Biodiversity Framework.</w:t>
      </w:r>
    </w:p>
    <w:p w14:paraId="080A084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past intersessional period has seen notable progress—from the development of marine spatial planning frameworks to initiatives on biodiversity, plastic pollution, and blue carbon restoration. Thailand was </w:t>
      </w:r>
      <w:proofErr w:type="spellStart"/>
      <w:r w:rsidRPr="00AE71B5">
        <w:rPr>
          <w:rFonts w:ascii="Arial" w:eastAsia="Simsun (Founder Extended)" w:hAnsi="Arial" w:cs="Arial"/>
          <w:snapToGrid/>
          <w:sz w:val="22"/>
          <w:szCs w:val="22"/>
        </w:rPr>
        <w:t>honored</w:t>
      </w:r>
      <w:proofErr w:type="spellEnd"/>
      <w:r w:rsidRPr="00AE71B5">
        <w:rPr>
          <w:rFonts w:ascii="Arial" w:eastAsia="Simsun (Founder Extended)" w:hAnsi="Arial" w:cs="Arial"/>
          <w:snapToGrid/>
          <w:sz w:val="22"/>
          <w:szCs w:val="22"/>
        </w:rPr>
        <w:t xml:space="preserve"> to host the 2nd UN Ocean Decade Regional Conference and the 11th WESTPAC International Marine Science Conference in Bangkok in 2024, which brought together over 1,200 participants from 40 countries and generated renewed momentum for regional action.</w:t>
      </w:r>
    </w:p>
    <w:p w14:paraId="03EB78C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recognize the expansion of WESTPAC-led Decade Actions and the continued development of Regional Training and Research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which are vital for strengthening regional capacity, especially for developing countries. We appreciate WESTPAC’s promotion of innovative tools such as eDNA and ocean forecasting, and its attention to emerging themes like blue carbon and ecosystem restoration.</w:t>
      </w:r>
    </w:p>
    <w:p w14:paraId="7B85825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At the same time, we acknowledge the increasing responsibilities entrusted to the WESTPAC Office and recognize the challenges posed by its limited human resources. To ensure the continued effectiveness and responsiveness of the Office, we kindly encourage all Member States and partners to consider enhancing their technical and financial support in a spirit of shared responsibility and regional solidarity.</w:t>
      </w:r>
    </w:p>
    <w:p w14:paraId="4BE572AF" w14:textId="77777777" w:rsidR="006C41C4" w:rsidRPr="00AE71B5" w:rsidRDefault="006C41C4" w:rsidP="006C41C4">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Last but not least</w:t>
      </w:r>
      <w:proofErr w:type="gramEnd"/>
      <w:r w:rsidRPr="00AE71B5">
        <w:rPr>
          <w:rFonts w:ascii="Arial" w:eastAsia="Simsun (Founder Extended)" w:hAnsi="Arial" w:cs="Arial"/>
          <w:snapToGrid/>
          <w:sz w:val="22"/>
          <w:szCs w:val="22"/>
        </w:rPr>
        <w:t xml:space="preserve">, we wish to express our sincere appreciation to Professor Kentaro Ando for his dedicated and thoughtful leadership as Chair of WESTPAC. We also extend our warm congratulations and a heartfelt welcome to Professor Aileen Tan Shau </w:t>
      </w:r>
      <w:proofErr w:type="spellStart"/>
      <w:r w:rsidRPr="00AE71B5">
        <w:rPr>
          <w:rFonts w:ascii="Arial" w:eastAsia="Simsun (Founder Extended)" w:hAnsi="Arial" w:cs="Arial"/>
          <w:snapToGrid/>
          <w:sz w:val="22"/>
          <w:szCs w:val="22"/>
        </w:rPr>
        <w:t>Hwai</w:t>
      </w:r>
      <w:proofErr w:type="spellEnd"/>
      <w:r w:rsidRPr="00AE71B5">
        <w:rPr>
          <w:rFonts w:ascii="Arial" w:eastAsia="Simsun (Founder Extended)" w:hAnsi="Arial" w:cs="Arial"/>
          <w:snapToGrid/>
          <w:sz w:val="22"/>
          <w:szCs w:val="22"/>
        </w:rPr>
        <w:t xml:space="preserve"> on her appointment as the new Chair. We look forward to working closely under her guidance in the years ahead.</w:t>
      </w:r>
    </w:p>
    <w:p w14:paraId="3C6D76D2"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3.3.3</w:t>
      </w:r>
      <w:r w:rsidRPr="00AE71B5">
        <w:rPr>
          <w:rFonts w:ascii="Arial" w:hAnsi="Arial" w:cs="Arial"/>
          <w:b/>
          <w:sz w:val="22"/>
          <w:szCs w:val="22"/>
        </w:rPr>
        <w:tab/>
        <w:t xml:space="preserve">IOC Sub-Commission for the Caribbean and Adjacent Regions:   </w:t>
      </w:r>
      <w:r w:rsidRPr="00AE71B5">
        <w:rPr>
          <w:rFonts w:ascii="Arial" w:hAnsi="Arial" w:cs="Arial"/>
          <w:b/>
          <w:sz w:val="22"/>
          <w:szCs w:val="22"/>
        </w:rPr>
        <w:br/>
        <w:t>18th Session of IOCARIBE, Brasilia, Brazil, 23–25 April 2025</w:t>
      </w:r>
    </w:p>
    <w:p w14:paraId="4E74288F" w14:textId="77777777" w:rsidR="006C41C4" w:rsidRPr="00E647B1" w:rsidRDefault="006C41C4" w:rsidP="006C41C4">
      <w:pPr>
        <w:keepNext/>
        <w:snapToGrid/>
        <w:spacing w:after="120"/>
        <w:rPr>
          <w:rFonts w:ascii="Arial" w:hAnsi="Arial" w:cs="Arial"/>
          <w:b/>
          <w:sz w:val="22"/>
          <w:szCs w:val="22"/>
          <w:lang w:val="en-US"/>
        </w:rPr>
      </w:pPr>
      <w:bookmarkStart w:id="408" w:name="Bra333"/>
      <w:r w:rsidRPr="00E647B1">
        <w:rPr>
          <w:rFonts w:ascii="Arial" w:hAnsi="Arial" w:cs="Arial"/>
          <w:b/>
          <w:sz w:val="22"/>
          <w:szCs w:val="22"/>
          <w:lang w:val="en-US"/>
        </w:rPr>
        <w:t>Brazil</w:t>
      </w:r>
    </w:p>
    <w:bookmarkEnd w:id="408"/>
    <w:p w14:paraId="5944E0B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join the chair in expressing our gratitude to Dr. John Cortinas from the United States for his dedicated service to the Board and for his lifelong career dedicated to our common ocean.  His contributions to Ocean science and technology have had impact at the local, regional and global levels, saving lives, and making sure science is a welcoming space for the talent it needs to thrive.</w:t>
      </w:r>
    </w:p>
    <w:p w14:paraId="426DECD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take this opportunity to welcome Dr. Rahanna Juman from Trinidad and Tobago as a newly elected Vice-Chair. The value of her expertise for IOCARIBE is already showing in this time of need.</w:t>
      </w:r>
    </w:p>
    <w:p w14:paraId="0E234FC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were honoured to facilitate the hosting of the 18th Session of IOCARIBE at the UNESCO Offices in Brasilia. The change in previous arrangements for the hosting, required group thinking and open collaboration for finding a solution to having a meeting that proved extremely helpful in times of shifting conditions. It is a model for us moving forward. We thank the support of the UNESCO Brasilia office which did not hesitate to answer our call for having the meeting here.  </w:t>
      </w:r>
    </w:p>
    <w:p w14:paraId="7BB7E85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with satisfaction the continued role of IOCARIBE in Regional Ocean Observations, Forecasting &amp; Data Systems and Advance Sustainable Ocean Management &amp; Integrated Governance, as well as the recent focus on Blue Carbon, Ocean Literacy and the Ocean Decade.</w:t>
      </w:r>
    </w:p>
    <w:p w14:paraId="595A5A0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Among the direct results of the meeting, Brazil will work with IOCARIBE to explore opportunities for greater synergies and collaboration of its observation initiatives with IOCARIBE-GOOS.</w:t>
      </w:r>
    </w:p>
    <w:p w14:paraId="7A3BBBF1" w14:textId="77777777" w:rsidR="006C41C4" w:rsidRPr="00AE71B5" w:rsidRDefault="006C41C4" w:rsidP="006C41C4">
      <w:pPr>
        <w:keepNext/>
        <w:snapToGrid/>
        <w:spacing w:after="120"/>
        <w:rPr>
          <w:rFonts w:ascii="Arial" w:hAnsi="Arial" w:cs="Arial"/>
          <w:b/>
          <w:sz w:val="22"/>
          <w:szCs w:val="22"/>
          <w:lang w:val="es-ES"/>
        </w:rPr>
      </w:pPr>
      <w:bookmarkStart w:id="409" w:name="col333"/>
      <w:r w:rsidRPr="00AE71B5">
        <w:rPr>
          <w:rFonts w:ascii="Arial" w:hAnsi="Arial" w:cs="Arial"/>
          <w:b/>
          <w:sz w:val="22"/>
          <w:szCs w:val="22"/>
          <w:lang w:val="es-ES"/>
        </w:rPr>
        <w:lastRenderedPageBreak/>
        <w:t>Colombia</w:t>
      </w:r>
    </w:p>
    <w:bookmarkEnd w:id="409"/>
    <w:p w14:paraId="60A5F5C0"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Así mismo, agradecer el informe presentado por la Presidencia de IOCARIBE y desea expresar su reconocimiento a los esfuerzos colectivos y el compromiso que los Estados miembro de la Subcomisión han demostrado en el avance de las ciencias oceánicas en nuestra región y en otras áreas clave, buscando que las iniciativas no sean aisladas. En la reunión No. 18 de la Subcomisión aprobamos decisiones para avanzar en la gestión sostenible del océano, alineándonos con las nuevas prioridades. Sin embargo, para fortalecer nuestros programas y proyectos, es fundamental que estas discusiones partan de una planificación amplia, abierta y oportuna para definir claramente los objetivos y las acciones a adelantar. </w:t>
      </w:r>
    </w:p>
    <w:p w14:paraId="59D1A17D"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Estamos conscientes de que en el ámbito de IOCARIBE se requieren más y mayores esfuerzos para apoyar a los Estados miembro para abordar sus desafíos de desarrollo oceánico.  </w:t>
      </w:r>
    </w:p>
    <w:p w14:paraId="5A2D10F9"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Colombia desea visibilizar el desarrollo del proyecto ADAPT adelantado a través del Sistema de Buenas Prácticas del Océano - OBPS (IODE/GOOS) como muestra de colaboración exitosa en torno a las necesidades de la región.  De la misma forma, deseo agradecer la consideración de la ciudad de Cartagena como </w:t>
      </w:r>
      <w:proofErr w:type="spellStart"/>
      <w:r w:rsidRPr="00AE71B5">
        <w:rPr>
          <w:rFonts w:ascii="Arial" w:eastAsia="Simsun (Founder Extended)" w:hAnsi="Arial" w:cs="Arial"/>
          <w:snapToGrid/>
          <w:sz w:val="22"/>
          <w:szCs w:val="22"/>
          <w:lang w:val="es-ES"/>
        </w:rPr>
        <w:t>pilot</w:t>
      </w:r>
      <w:proofErr w:type="spellEnd"/>
      <w:r w:rsidRPr="00AE71B5">
        <w:rPr>
          <w:rFonts w:ascii="Arial" w:eastAsia="Simsun (Founder Extended)" w:hAnsi="Arial" w:cs="Arial"/>
          <w:snapToGrid/>
          <w:sz w:val="22"/>
          <w:szCs w:val="22"/>
          <w:lang w:val="es-ES"/>
        </w:rPr>
        <w:t xml:space="preserve"> site para la implementación de la iniciativa </w:t>
      </w:r>
      <w:proofErr w:type="spellStart"/>
      <w:r w:rsidRPr="00AE71B5">
        <w:rPr>
          <w:rFonts w:ascii="Arial" w:eastAsia="Simsun (Founder Extended)" w:hAnsi="Arial" w:cs="Arial"/>
          <w:snapToGrid/>
          <w:sz w:val="22"/>
          <w:szCs w:val="22"/>
          <w:lang w:val="es-ES"/>
        </w:rPr>
        <w:t>Coast</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Predict</w:t>
      </w:r>
      <w:proofErr w:type="spellEnd"/>
      <w:r w:rsidRPr="00AE71B5">
        <w:rPr>
          <w:rFonts w:ascii="Arial" w:eastAsia="Simsun (Founder Extended)" w:hAnsi="Arial" w:cs="Arial"/>
          <w:snapToGrid/>
          <w:sz w:val="22"/>
          <w:szCs w:val="22"/>
          <w:lang w:val="es-ES"/>
        </w:rPr>
        <w:t xml:space="preserve"> en el Caribe, como un marco de colaboración para mejorar la resiliencia costera, desarrollar soluciones científicas y tecnológicas innovadoras y facilitar estrategias de gestión multirriesgo para el océano. Colombia invita a los estados miembros a apoyar esta iniciativa. </w:t>
      </w:r>
    </w:p>
    <w:p w14:paraId="0DF11520"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Por último, en reconocimiento a la reducción presupuestaria que afecta sensiblemente a la COI y consecuentemente a sus Subcomisiones, Colombia reitera la invitación a los Estados miembro de IOCARIBE a considerar el apoyo con personal, como lo ha gestionado nuestro Gobierno a través del apoyo con dos oceanógrafos de la Armada Nacional, en la sede de la subcomisión, con el propósito de fortalecer su funcionamiento y mejorar la continuidad y el impacto de sus labores.</w:t>
      </w:r>
    </w:p>
    <w:p w14:paraId="74C418FB" w14:textId="77777777" w:rsidR="006C41C4" w:rsidRPr="00E647B1" w:rsidRDefault="006C41C4" w:rsidP="006C41C4">
      <w:pPr>
        <w:keepNext/>
        <w:snapToGrid/>
        <w:spacing w:after="120"/>
        <w:rPr>
          <w:rFonts w:ascii="Arial" w:hAnsi="Arial" w:cs="Arial"/>
          <w:b/>
          <w:sz w:val="22"/>
          <w:szCs w:val="22"/>
          <w:lang w:val="en-US"/>
        </w:rPr>
      </w:pPr>
      <w:bookmarkStart w:id="410" w:name="nethe333"/>
      <w:r w:rsidRPr="00E647B1">
        <w:rPr>
          <w:rFonts w:ascii="Arial" w:hAnsi="Arial" w:cs="Arial"/>
          <w:b/>
          <w:sz w:val="22"/>
          <w:szCs w:val="22"/>
          <w:lang w:val="en-US"/>
        </w:rPr>
        <w:t>Kingdom of the Netherlands</w:t>
      </w:r>
    </w:p>
    <w:bookmarkEnd w:id="410"/>
    <w:p w14:paraId="21FF4368"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commend IOCARIBE’s strong contributions to advancing ocean science, regional cooperation, and the implementation of the UN Decade of Ocean Science in the Tropical Americas and Caribbean region.</w:t>
      </w:r>
    </w:p>
    <w:p w14:paraId="58C9A7C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particularly welcome the progress made in establishing the TAC Decade Coordination Office, the development of the TAC Roadmap, and the uptake of endorsed Decade Actions. The inclusive design of regional mechanisms, such as the Regional Decade Committee, reflects a strong commitment to the needs of Small Island Developing States.</w:t>
      </w:r>
    </w:p>
    <w:p w14:paraId="4B3548B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As a Kingdom with both European and Caribbean parts, we value the </w:t>
      </w:r>
      <w:proofErr w:type="gramStart"/>
      <w:r w:rsidRPr="00AE71B5">
        <w:rPr>
          <w:rFonts w:ascii="Arial" w:eastAsia="Simsun (Founder Extended)" w:hAnsi="Arial" w:cs="Arial"/>
          <w:snapToGrid/>
          <w:sz w:val="22"/>
          <w:szCs w:val="22"/>
          <w:lang w:val="en-US"/>
        </w:rPr>
        <w:t>integrative</w:t>
      </w:r>
      <w:proofErr w:type="gramEnd"/>
      <w:r w:rsidRPr="00AE71B5">
        <w:rPr>
          <w:rFonts w:ascii="Arial" w:eastAsia="Simsun (Founder Extended)" w:hAnsi="Arial" w:cs="Arial"/>
          <w:snapToGrid/>
          <w:sz w:val="22"/>
          <w:szCs w:val="22"/>
          <w:lang w:val="en-US"/>
        </w:rPr>
        <w:t xml:space="preserve"> approach of IOCARIBE. We are pleased to highlight:</w:t>
      </w:r>
    </w:p>
    <w:p w14:paraId="563377C2"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The 2024 establishment of the Kingdom of the Netherlands National Decade Committee, bringing together all parts of the Kingdom for coordinated Decade action.</w:t>
      </w:r>
    </w:p>
    <w:p w14:paraId="0F86412B"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The Chairmanship of IOCARIBE by Aruba, reinforcing our commitment to regional leadership.</w:t>
      </w:r>
    </w:p>
    <w:p w14:paraId="2C7ED37B"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Joint efforts such as the Climate Atlas, developed with Dutch and island partners.</w:t>
      </w:r>
    </w:p>
    <w:p w14:paraId="1883ECC1"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Our continued support for initiatives like the Blue Schools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including the appointment of a national coordinator in Aruba.</w:t>
      </w:r>
    </w:p>
    <w:p w14:paraId="181E5E24"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reaffirm our strong support for IOCARIBE and urge the international community to sustain the Decade Coordination Office. We are also exploring the possibility of hosting the next IOCARIBE 2026 meeting in Aruba or Curaçao. Curaçao intends to host the next ICG-Tsunami meeting in 2026.</w:t>
      </w:r>
    </w:p>
    <w:p w14:paraId="600E3D21" w14:textId="77777777" w:rsidR="006C41C4" w:rsidRPr="00AE71B5" w:rsidRDefault="006C41C4" w:rsidP="006C41C4">
      <w:pPr>
        <w:keepNext/>
        <w:snapToGrid/>
        <w:spacing w:after="120"/>
        <w:rPr>
          <w:rFonts w:ascii="Arial" w:hAnsi="Arial" w:cs="Arial"/>
          <w:b/>
          <w:sz w:val="22"/>
          <w:szCs w:val="22"/>
          <w:lang w:val="es-ES"/>
        </w:rPr>
      </w:pPr>
      <w:bookmarkStart w:id="411" w:name="pana333"/>
      <w:r w:rsidRPr="00AE71B5">
        <w:rPr>
          <w:rFonts w:ascii="Arial" w:hAnsi="Arial" w:cs="Arial"/>
          <w:b/>
          <w:sz w:val="22"/>
          <w:szCs w:val="22"/>
          <w:lang w:val="es-ES"/>
        </w:rPr>
        <w:lastRenderedPageBreak/>
        <w:t>Panama</w:t>
      </w:r>
    </w:p>
    <w:bookmarkEnd w:id="411"/>
    <w:p w14:paraId="1D4C01B8"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De igual manera, manifestamos nuestro agradecimiento a Brasil por su colaboración en la acogida la Decimoctava Reunión de la Subcomisión de la COI para el Caribe y Regiones Adyacentes y a Colombia por acoger la Secretaría de COI-CARIBE en Cartagena.</w:t>
      </w:r>
    </w:p>
    <w:p w14:paraId="07EAA472"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Como se refleja en este informe, el rol de la secretaria ha sido fundamental para promover la cooperación internacional en la investigación, los servicios y el desarrollo de capacidades oceánicas en nuestra región. </w:t>
      </w:r>
    </w:p>
    <w:p w14:paraId="4FB37085"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Panamá aplaude el fortalecimiento de la gobernanza regional de los océanos y la coordinación científica, a través de la expansión de la red COI-CARIBE-ANCA sobre Floraciones de Algas Nocivas.  Así mismo, acogemos el impulso de la cultura oceánica mediante la creación del Equipo de Trabajo de Cultura Oceánica de COI-CARIBE y el despliegue de la Red COI-CARIBE de escuelas azules en toda la región. </w:t>
      </w:r>
    </w:p>
    <w:p w14:paraId="31F0869E"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Consideramos imperativo que abordemos con determinación los desafíos y oportunidades que se presentan en nuestra región, incluyendo el avance de la ciencia y la exploración de los fondos marinos, y el creciente llamado a la protección de nuestros océanos. </w:t>
      </w:r>
    </w:p>
    <w:p w14:paraId="73692F3E"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este sentido, en septiembre de 2023, Panamá se convirtió en el primer país de América Latina y el Caribe, en adherirse a la Convención del agua, y en 2024 dio un paso trascendental al ratificar el Acuerdo en el Marco de la Convención de las Naciones Unidas sobre el Derecho del Mar Relativo a la Conservación y el Uso Sostenible de la Diversidad Biológica Marina de las Zonas Situadas Fuera de la Jurisdicción Nacional.</w:t>
      </w:r>
    </w:p>
    <w:p w14:paraId="2546412E"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También destacamos, la reciente ratificación del Acuerdo sobre Subvenciones a la Pesca de la Organización Mundial del Comercio, (Marrakech, 1994) uniéndose al esfuerzo global para enfrentar y eliminar la sobrepesca, la pesca ilegal y la pesca no declarada y no reglamentada. </w:t>
      </w:r>
    </w:p>
    <w:p w14:paraId="133F4BAB"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Asimismo, Panamá propuso en la pasada Conferencia de las Naciones Unidas sobre los Océanos (UNOC3), que se llevó a cabo en Niza, la creación de la primera reserva marina transnacional de alta mar, y una red latinoamericana que incluya a los jóvenes en la gobernanza y educación sobre los océanos. </w:t>
      </w:r>
    </w:p>
    <w:p w14:paraId="7E469D4F"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Con estas acciones concretas, Panamá como líder azul, refirma su compromiso con la región de América Latina y el Caribe, y se suma a todos los esfuerzos globales para la conservación y uso sostenible de la biodiversidad marina.</w:t>
      </w:r>
    </w:p>
    <w:p w14:paraId="760DD6C2"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3.3.4</w:t>
      </w:r>
      <w:r w:rsidRPr="00AE71B5">
        <w:rPr>
          <w:rFonts w:ascii="Arial" w:hAnsi="Arial" w:cs="Arial"/>
          <w:b/>
          <w:sz w:val="22"/>
          <w:szCs w:val="22"/>
        </w:rPr>
        <w:tab/>
        <w:t xml:space="preserve">IOC Sub-Commission for the Central Indian Ocean:  1st Session of IOCINDIO, </w:t>
      </w:r>
      <w:r w:rsidRPr="00AE71B5">
        <w:rPr>
          <w:rFonts w:ascii="Arial" w:hAnsi="Arial" w:cs="Arial"/>
          <w:b/>
          <w:sz w:val="22"/>
          <w:szCs w:val="22"/>
        </w:rPr>
        <w:br/>
        <w:t>Ras Al Khaimah, United Arab Emirates, 21–23 May 2025</w:t>
      </w:r>
    </w:p>
    <w:p w14:paraId="0BF4C272" w14:textId="77777777" w:rsidR="006C41C4" w:rsidRPr="00AE71B5" w:rsidRDefault="006C41C4" w:rsidP="006C41C4">
      <w:pPr>
        <w:keepNext/>
        <w:snapToGrid/>
        <w:spacing w:after="120"/>
        <w:rPr>
          <w:rFonts w:ascii="Arial" w:hAnsi="Arial" w:cs="Arial"/>
          <w:b/>
          <w:sz w:val="22"/>
          <w:szCs w:val="22"/>
        </w:rPr>
      </w:pPr>
      <w:bookmarkStart w:id="412" w:name="india334"/>
      <w:r w:rsidRPr="00AE71B5">
        <w:rPr>
          <w:rFonts w:ascii="Arial" w:hAnsi="Arial" w:cs="Arial"/>
          <w:b/>
          <w:sz w:val="22"/>
          <w:szCs w:val="22"/>
        </w:rPr>
        <w:t>India</w:t>
      </w:r>
    </w:p>
    <w:bookmarkEnd w:id="412"/>
    <w:p w14:paraId="47D44D8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thank IOC for its continuous support to IOCINDIO and congratulates the member states of IOCINDIO for successfully conducting the first session of IOCINDIO in conjunction with a Workshop on Strengthening Ocean Sustainability at UAE. India also congratulates the newly elected Chair Dr. Saif </w:t>
      </w:r>
      <w:proofErr w:type="spellStart"/>
      <w:r w:rsidRPr="00AE71B5">
        <w:rPr>
          <w:rFonts w:ascii="Arial" w:eastAsia="Simsun (Founder Extended)" w:hAnsi="Arial" w:cs="Arial"/>
          <w:snapToGrid/>
          <w:sz w:val="22"/>
          <w:szCs w:val="22"/>
        </w:rPr>
        <w:t>AlGhais</w:t>
      </w:r>
      <w:proofErr w:type="spellEnd"/>
      <w:r w:rsidRPr="00AE71B5">
        <w:rPr>
          <w:rFonts w:ascii="Arial" w:eastAsia="Simsun (Founder Extended)" w:hAnsi="Arial" w:cs="Arial"/>
          <w:snapToGrid/>
          <w:sz w:val="22"/>
          <w:szCs w:val="22"/>
        </w:rPr>
        <w:t xml:space="preserve"> and Vice-Chairs Dr. Maryam Ghaemi and Dr. Balakrishnan Nair TM of IOCINDIO and look forward to work together to plan and implement workplans in the region.</w:t>
      </w:r>
    </w:p>
    <w:p w14:paraId="36AF242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expresses its gratitude to Rear Admiral Md Khurshed Alam, Bangladesh, Dr. M.A. </w:t>
      </w:r>
      <w:proofErr w:type="spellStart"/>
      <w:r w:rsidRPr="00AE71B5">
        <w:rPr>
          <w:rFonts w:ascii="Arial" w:eastAsia="Simsun (Founder Extended)" w:hAnsi="Arial" w:cs="Arial"/>
          <w:snapToGrid/>
          <w:sz w:val="22"/>
          <w:szCs w:val="22"/>
        </w:rPr>
        <w:t>Atamanand</w:t>
      </w:r>
      <w:proofErr w:type="spellEnd"/>
      <w:r w:rsidRPr="00AE71B5">
        <w:rPr>
          <w:rFonts w:ascii="Arial" w:eastAsia="Simsun (Founder Extended)" w:hAnsi="Arial" w:cs="Arial"/>
          <w:snapToGrid/>
          <w:sz w:val="22"/>
          <w:szCs w:val="22"/>
        </w:rPr>
        <w:t xml:space="preserve">, India and </w:t>
      </w:r>
      <w:proofErr w:type="spellStart"/>
      <w:proofErr w:type="gramStart"/>
      <w:r w:rsidRPr="00AE71B5">
        <w:rPr>
          <w:rFonts w:ascii="Arial" w:eastAsia="Simsun (Founder Extended)" w:hAnsi="Arial" w:cs="Arial"/>
          <w:snapToGrid/>
          <w:sz w:val="22"/>
          <w:szCs w:val="22"/>
        </w:rPr>
        <w:t>Mr.Justin</w:t>
      </w:r>
      <w:proofErr w:type="spellEnd"/>
      <w:proofErr w:type="gramEnd"/>
      <w:r w:rsidRPr="00AE71B5">
        <w:rPr>
          <w:rFonts w:ascii="Arial" w:eastAsia="Simsun (Founder Extended)" w:hAnsi="Arial" w:cs="Arial"/>
          <w:snapToGrid/>
          <w:sz w:val="22"/>
          <w:szCs w:val="22"/>
        </w:rPr>
        <w:t xml:space="preserve"> Ahanhanzo retiree IOC-UNESCO program specialist for their pivotal role towards the formation of sub-commission.</w:t>
      </w:r>
    </w:p>
    <w:p w14:paraId="780A225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supported the capacity building activities of IOCINDIO and played significant role in developing the coastal vulnerability methodologies and approaches through focussed training activities organised at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xml:space="preserve"> at INCOIS, India. India supported the workplan of IOCINDIO to organize a World Conference on Coastal Vulnerability and offered its support to be part of this and co-organize this with DCC-IOR and with Ministry of Earth Sciences (MoES) of India that was </w:t>
      </w:r>
      <w:r w:rsidRPr="00AE71B5">
        <w:rPr>
          <w:rFonts w:ascii="Arial" w:eastAsia="Simsun (Founder Extended)" w:hAnsi="Arial" w:cs="Arial"/>
          <w:snapToGrid/>
          <w:sz w:val="22"/>
          <w:szCs w:val="22"/>
        </w:rPr>
        <w:lastRenderedPageBreak/>
        <w:t>not planned due to the uncertainties in transitional phase of IOCINDIO from Regional Committee to Sub-Commission. India would like to reiterate its support towards this activity.</w:t>
      </w:r>
    </w:p>
    <w:p w14:paraId="37D526D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Mr. Chair, India appreciates the discussions at IOCINDIO first session towards synergizing its activities through integration with other regional programmes, through appropriative collaborative mechanisms with IOC-GOOS through Indian Ocean GOOS; International Training Centre for Operational Oceanography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xml:space="preserve">) of UNESCO; IIOE-2, Indian Ocean Regional Panel, UN Ocean Decade Actions and programs, IOCAFRICA, ICG/IOTWMS, etc. With the formulation of four sessional groups working towards development of workplans for next biennium 2026-2027, it is expected to bring out concrete plans towards development of the capacity in the region as well as improving the observations from the region. </w:t>
      </w:r>
    </w:p>
    <w:p w14:paraId="07401D6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Mr. Chair, it is a pertinent to note that the success is linked to the budget allocated to IOCINDIO and Secretariat strength and we look forward for the continuous support of IOC through dedicated regular budget towards the activities of IOCINDIO, as the case with other regional sub-commissions.</w:t>
      </w:r>
    </w:p>
    <w:p w14:paraId="41B42E8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Conclusion, Mr. Chair, India happy to extend its </w:t>
      </w:r>
      <w:proofErr w:type="gramStart"/>
      <w:r w:rsidRPr="00AE71B5">
        <w:rPr>
          <w:rFonts w:ascii="Arial" w:eastAsia="Simsun (Founder Extended)" w:hAnsi="Arial" w:cs="Arial"/>
          <w:snapToGrid/>
          <w:sz w:val="22"/>
          <w:szCs w:val="22"/>
        </w:rPr>
        <w:t>whole hearted</w:t>
      </w:r>
      <w:proofErr w:type="gramEnd"/>
      <w:r w:rsidRPr="00AE71B5">
        <w:rPr>
          <w:rFonts w:ascii="Arial" w:eastAsia="Simsun (Founder Extended)" w:hAnsi="Arial" w:cs="Arial"/>
          <w:snapToGrid/>
          <w:sz w:val="22"/>
          <w:szCs w:val="22"/>
        </w:rPr>
        <w:t xml:space="preserve"> support to the IOCINDIO activities in the region.</w:t>
      </w:r>
    </w:p>
    <w:p w14:paraId="386A3A3A" w14:textId="77777777" w:rsidR="006C41C4" w:rsidRPr="00AE71B5" w:rsidRDefault="006C41C4" w:rsidP="006C41C4">
      <w:pPr>
        <w:keepNext/>
        <w:snapToGrid/>
        <w:spacing w:after="120"/>
        <w:rPr>
          <w:rFonts w:ascii="Arial" w:hAnsi="Arial" w:cs="Arial"/>
          <w:b/>
          <w:sz w:val="22"/>
          <w:szCs w:val="22"/>
        </w:rPr>
      </w:pPr>
      <w:bookmarkStart w:id="413" w:name="indo334"/>
      <w:r w:rsidRPr="00AE71B5">
        <w:rPr>
          <w:rFonts w:ascii="Arial" w:hAnsi="Arial" w:cs="Arial"/>
          <w:b/>
          <w:sz w:val="22"/>
          <w:szCs w:val="22"/>
        </w:rPr>
        <w:t>Indonesia</w:t>
      </w:r>
    </w:p>
    <w:bookmarkEnd w:id="413"/>
    <w:p w14:paraId="5E48919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Indonesia is committed to being an active and collaborative member of IOC INDIO. We are eager to strengthen partnerships in oceanography with fellow Member </w:t>
      </w:r>
      <w:proofErr w:type="gramStart"/>
      <w:r w:rsidRPr="00AE71B5">
        <w:rPr>
          <w:rFonts w:ascii="Arial" w:eastAsia="Simsun (Founder Extended)" w:hAnsi="Arial" w:cs="Arial"/>
          <w:snapToGrid/>
          <w:sz w:val="22"/>
          <w:szCs w:val="22"/>
        </w:rPr>
        <w:t>States, and</w:t>
      </w:r>
      <w:proofErr w:type="gramEnd"/>
      <w:r w:rsidRPr="00AE71B5">
        <w:rPr>
          <w:rFonts w:ascii="Arial" w:eastAsia="Simsun (Founder Extended)" w:hAnsi="Arial" w:cs="Arial"/>
          <w:snapToGrid/>
          <w:sz w:val="22"/>
          <w:szCs w:val="22"/>
        </w:rPr>
        <w:t xml:space="preserve"> are pleased to offer our support in hosting the Second IOC INDIO Meeting and/or related activities in 2026. In addition, Indonesia expresses strong interest in hosting the Indian Ocean Decade Regional Conference in the same year — an initiative that would represent a significant milestone in our shared pursuit of sustainable ocean </w:t>
      </w:r>
      <w:proofErr w:type="spellStart"/>
      <w:proofErr w:type="gramStart"/>
      <w:r w:rsidRPr="00AE71B5">
        <w:rPr>
          <w:rFonts w:ascii="Arial" w:eastAsia="Simsun (Founder Extended)" w:hAnsi="Arial" w:cs="Arial"/>
          <w:snapToGrid/>
          <w:sz w:val="22"/>
          <w:szCs w:val="22"/>
        </w:rPr>
        <w:t>governance.The</w:t>
      </w:r>
      <w:proofErr w:type="spellEnd"/>
      <w:proofErr w:type="gramEnd"/>
      <w:r w:rsidRPr="00AE71B5">
        <w:rPr>
          <w:rFonts w:ascii="Arial" w:eastAsia="Simsun (Founder Extended)" w:hAnsi="Arial" w:cs="Arial"/>
          <w:snapToGrid/>
          <w:sz w:val="22"/>
          <w:szCs w:val="22"/>
        </w:rPr>
        <w:t xml:space="preserve"> IOC INDIO is uniquely positioned with its expertise, institutional capacity, and marine infrastructure. We must harness these strengths to transform the Indian Ocean into a well-observed, predictable, safe, and sustainably managed ocean; aligned with the principles of the Blue Economy. To this end, we call for strategic collaboration among the training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in this region hosted by India, Indonesia and Iran.</w:t>
      </w:r>
    </w:p>
    <w:p w14:paraId="21065BD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spirit, Indonesia suggests that IOC INDIO develop a joint proposal for capacity-building initiatives in the Indian Ocean; particularly for developing countries, small island developing states (SIDS), and least developed countries (LDCs). Through cooperation and synergy, we can realize our shared vision of a sustainable and prosperous Indian Ocean for all.</w:t>
      </w:r>
    </w:p>
    <w:p w14:paraId="0BFE4F5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Moving forward, we support the initiative to conduct joint ocean observation cruise to utilize data collected for mutual benefits. Strengthening ocean observation networks and marine disaster mitigation remains a priority, and we view Indian Ocean nations as indispensable partners in this </w:t>
      </w:r>
      <w:proofErr w:type="spellStart"/>
      <w:r w:rsidRPr="00AE71B5">
        <w:rPr>
          <w:rFonts w:ascii="Arial" w:eastAsia="Simsun (Founder Extended)" w:hAnsi="Arial" w:cs="Arial"/>
          <w:snapToGrid/>
          <w:sz w:val="22"/>
          <w:szCs w:val="22"/>
        </w:rPr>
        <w:t>endeavor</w:t>
      </w:r>
      <w:proofErr w:type="spellEnd"/>
      <w:r w:rsidRPr="00AE71B5">
        <w:rPr>
          <w:rFonts w:ascii="Arial" w:eastAsia="Simsun (Founder Extended)" w:hAnsi="Arial" w:cs="Arial"/>
          <w:snapToGrid/>
          <w:sz w:val="22"/>
          <w:szCs w:val="22"/>
        </w:rPr>
        <w:t>. Indonesia looks forward to deepening collaboration with IOC INDIO member states to advance our common goals in ocean science, management, and resilience.</w:t>
      </w:r>
    </w:p>
    <w:p w14:paraId="36360589" w14:textId="77777777" w:rsidR="006C41C4" w:rsidRPr="00AE71B5" w:rsidRDefault="006C41C4" w:rsidP="006C41C4">
      <w:pPr>
        <w:keepNext/>
        <w:snapToGrid/>
        <w:spacing w:after="120"/>
        <w:rPr>
          <w:rFonts w:ascii="Arial" w:hAnsi="Arial" w:cs="Arial"/>
          <w:b/>
          <w:sz w:val="22"/>
          <w:szCs w:val="22"/>
        </w:rPr>
      </w:pPr>
      <w:bookmarkStart w:id="414" w:name="kuw334"/>
      <w:r w:rsidRPr="00AE71B5">
        <w:rPr>
          <w:rFonts w:ascii="Arial" w:hAnsi="Arial" w:cs="Arial"/>
          <w:b/>
          <w:sz w:val="22"/>
          <w:szCs w:val="22"/>
        </w:rPr>
        <w:t>Kuwait</w:t>
      </w:r>
    </w:p>
    <w:bookmarkEnd w:id="414"/>
    <w:p w14:paraId="517F1F3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Kuwait's Commitment to Ocean Sustainability: A Regional Hub for Marine Science and Collaboration</w:t>
      </w:r>
    </w:p>
    <w:p w14:paraId="14DCDDD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 would like to thank President and IOC executive secretary for their efforts towards the conservation and sustainability of oceans</w:t>
      </w:r>
    </w:p>
    <w:p w14:paraId="783753AC"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Over the past three decades, Kuwait has sustained:</w:t>
      </w:r>
    </w:p>
    <w:p w14:paraId="7D91F421"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Characterization of hydrographic variability, biogeochemical fluxes, and ecosystem trends</w:t>
      </w:r>
    </w:p>
    <w:p w14:paraId="634F7F8F"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Development of science-based marine management approaches</w:t>
      </w:r>
    </w:p>
    <w:p w14:paraId="7BDD8E9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Evaluation of environmental conditions in Kuwait’s first Marine Protected Area</w:t>
      </w:r>
    </w:p>
    <w:p w14:paraId="7DB49B3C"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Our growing infrastructure includes:</w:t>
      </w:r>
    </w:p>
    <w:p w14:paraId="14B43F37"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       The R/V </w:t>
      </w:r>
      <w:proofErr w:type="spellStart"/>
      <w:r w:rsidRPr="00AE71B5">
        <w:rPr>
          <w:rFonts w:ascii="Arial" w:eastAsia="Simsun (Founder Extended)" w:hAnsi="Arial" w:cs="Arial"/>
          <w:snapToGrid/>
          <w:sz w:val="22"/>
          <w:szCs w:val="22"/>
        </w:rPr>
        <w:t>AlMostakshif</w:t>
      </w:r>
      <w:proofErr w:type="spellEnd"/>
      <w:r w:rsidRPr="00AE71B5">
        <w:rPr>
          <w:rFonts w:ascii="Arial" w:eastAsia="Simsun (Founder Extended)" w:hAnsi="Arial" w:cs="Arial"/>
          <w:snapToGrid/>
          <w:sz w:val="22"/>
          <w:szCs w:val="22"/>
        </w:rPr>
        <w:t>, a modern, multidisciplinary 55 m oceanographic research vessel</w:t>
      </w:r>
    </w:p>
    <w:p w14:paraId="61E9E28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Advanced platforms supporting physical, chemical, and biological oceanography</w:t>
      </w:r>
    </w:p>
    <w:p w14:paraId="64A4C5DC"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KISR welcomes joint programs and partnerships with regional and international institutions, particularly in:</w:t>
      </w:r>
    </w:p>
    <w:p w14:paraId="2047812F"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Climate change and carbon cycle research</w:t>
      </w:r>
    </w:p>
    <w:p w14:paraId="7233B001"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Marine pollution assessment</w:t>
      </w:r>
    </w:p>
    <w:p w14:paraId="43F3FE97"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Plankton dynamics and (HABs)</w:t>
      </w:r>
    </w:p>
    <w:p w14:paraId="027AB3D0"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Biodiversity and habitat mapping</w:t>
      </w:r>
    </w:p>
    <w:p w14:paraId="3850D49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Fishery stock assessment</w:t>
      </w:r>
    </w:p>
    <w:p w14:paraId="0FF81D71"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Kuwait strongly supports the mission of the IOC Sub-Commission for the Central Indian Ocean (IOCINDIO). IOCINDIO’s regional platform offers:</w:t>
      </w:r>
    </w:p>
    <w:p w14:paraId="3C8E4334"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Facilitation of regional coordination</w:t>
      </w:r>
    </w:p>
    <w:p w14:paraId="38B502D9"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Promotion of data sharing and interoperability</w:t>
      </w:r>
    </w:p>
    <w:p w14:paraId="133B1A53"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Strengthening of capacity building and training programs</w:t>
      </w:r>
    </w:p>
    <w:p w14:paraId="5D6D8D4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Advancing collective progress toward SDG-14 (Life Below Water)</w:t>
      </w:r>
    </w:p>
    <w:p w14:paraId="4ED30184"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Kuwait invites IOCINDIO and IOC-UNESCO member states to:</w:t>
      </w:r>
    </w:p>
    <w:p w14:paraId="0FEDFB6C"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Support regional scientific collaboration and joint cruises in the Persian /Arabian Gulf and Indian Ocean marginal seas</w:t>
      </w:r>
    </w:p>
    <w:p w14:paraId="37D3293D"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Promote the exchange of marine data, best practices, and training opportunities</w:t>
      </w:r>
    </w:p>
    <w:p w14:paraId="3AE1DC2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Enhance the visibility of national contributions through IOC-endorsed research programs</w:t>
      </w:r>
    </w:p>
    <w:p w14:paraId="05C8B472" w14:textId="77777777" w:rsidR="006C41C4" w:rsidRPr="00AE71B5" w:rsidRDefault="006C41C4" w:rsidP="006C41C4">
      <w:pPr>
        <w:keepNext/>
        <w:snapToGrid/>
        <w:spacing w:after="120"/>
        <w:rPr>
          <w:rFonts w:ascii="Arial" w:hAnsi="Arial" w:cs="Arial"/>
          <w:b/>
          <w:sz w:val="22"/>
          <w:szCs w:val="22"/>
        </w:rPr>
      </w:pPr>
      <w:bookmarkStart w:id="415" w:name="oman334"/>
      <w:r w:rsidRPr="00AE71B5">
        <w:rPr>
          <w:rFonts w:ascii="Arial" w:hAnsi="Arial" w:cs="Arial"/>
          <w:b/>
          <w:sz w:val="22"/>
          <w:szCs w:val="22"/>
        </w:rPr>
        <w:t>Oman</w:t>
      </w:r>
    </w:p>
    <w:bookmarkEnd w:id="415"/>
    <w:p w14:paraId="7FBF23D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Sultanate of Oman welcomes the creation of the IOC Sub-Commission for the Central Indian Ocean (IOCINDIO) and fully supports its mission and workplan. We congratulate IOCINDIO on successfully holding its first session and thank the Government of the United Arab Emirates for hosting this important meeting.</w:t>
      </w:r>
    </w:p>
    <w:p w14:paraId="62CE282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appreciate IOCINDIO’s efforts to strengthen regional cooperation in ocean science, data sharing, and capacity building across the Central Indian Ocean.</w:t>
      </w:r>
    </w:p>
    <w:p w14:paraId="19E7133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Oman values the Sub-Commission’s ambitious and well-structured workplan, especially its alignment with the goals of the UN Ocean Decade and IOC’s Medium-Term Strategy. Its focus on capacity development, operational oceanography, and regional integration comes at the right time.</w:t>
      </w:r>
    </w:p>
    <w:p w14:paraId="50D8336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that IOCINDIO represents a strong and Comprehensive platform to address regional ocean challenges, and Oman looks forward to active participation in its initiatives, including hosting a workshop or training course on ocean acidification in the Indian Ocean region.</w:t>
      </w:r>
    </w:p>
    <w:p w14:paraId="11384F15" w14:textId="77777777" w:rsidR="006C41C4" w:rsidRPr="00AE71B5" w:rsidRDefault="006C41C4" w:rsidP="006C41C4">
      <w:pPr>
        <w:keepNext/>
        <w:snapToGrid/>
        <w:spacing w:after="120"/>
        <w:rPr>
          <w:rFonts w:ascii="Arial" w:hAnsi="Arial" w:cs="Arial"/>
          <w:b/>
          <w:sz w:val="22"/>
          <w:szCs w:val="22"/>
        </w:rPr>
      </w:pPr>
      <w:bookmarkStart w:id="416" w:name="rus334"/>
      <w:r w:rsidRPr="00AE71B5">
        <w:rPr>
          <w:rFonts w:ascii="Arial" w:hAnsi="Arial" w:cs="Arial"/>
          <w:b/>
          <w:sz w:val="22"/>
          <w:szCs w:val="22"/>
        </w:rPr>
        <w:t>Russian Federation</w:t>
      </w:r>
    </w:p>
    <w:bookmarkEnd w:id="416"/>
    <w:p w14:paraId="383EA49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Russian Federation welcomes the establishment of the IOCINDIO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and extends congratulations on the commencement of its work and thanks for the informative report. Russia has a long history of cooperation with the countries in this region on the study of the Indian Ocean and water resources, including also within the framework of the second International Indian Ocean Expedition (IIOE-2) under the Scientific Committee on Oceanic Research (SCOR) and the Intergovernmental Oceanographic Commission of UNESCO. </w:t>
      </w:r>
    </w:p>
    <w:p w14:paraId="563DAF3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May of this year, the Russian delegation took an active part in the first session of the IOCINDIO. Within the remit of the working group "Ocean science, biodiversity, pollution, assessments and management", we proposed two new topics for multilateral research: "Macro and micro litter - harm to the ecosystems of the Central Indian Ocean» " and "Numerical </w:t>
      </w:r>
      <w:proofErr w:type="spellStart"/>
      <w:r w:rsidRPr="00AE71B5">
        <w:rPr>
          <w:rFonts w:ascii="Arial" w:eastAsia="Simsun (Founder Extended)" w:hAnsi="Arial" w:cs="Arial"/>
          <w:snapToGrid/>
          <w:sz w:val="22"/>
          <w:szCs w:val="22"/>
        </w:rPr>
        <w:t>modeling</w:t>
      </w:r>
      <w:proofErr w:type="spellEnd"/>
      <w:r w:rsidRPr="00AE71B5">
        <w:rPr>
          <w:rFonts w:ascii="Arial" w:eastAsia="Simsun (Founder Extended)" w:hAnsi="Arial" w:cs="Arial"/>
          <w:snapToGrid/>
          <w:sz w:val="22"/>
          <w:szCs w:val="22"/>
        </w:rPr>
        <w:t xml:space="preserve"> of ocean circulation of the Central Indian Ocean (including Persian Gulf)”. </w:t>
      </w:r>
    </w:p>
    <w:p w14:paraId="1776BF5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thank the IOCINDIO for their support. In turn, we will participate in other new projects of the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which reflect the priorities of international initiatives as part of the UN Ocean Decade. </w:t>
      </w:r>
    </w:p>
    <w:p w14:paraId="4196826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ready to further develop cooperation with the IOCINDIO and be involved in program activities, including cooperation with WESTPAC. We wish the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successful development and success.</w:t>
      </w:r>
    </w:p>
    <w:p w14:paraId="4616A767" w14:textId="77777777" w:rsidR="006C41C4" w:rsidRPr="00AE71B5" w:rsidRDefault="006C41C4" w:rsidP="006C41C4">
      <w:pPr>
        <w:keepNext/>
        <w:snapToGrid/>
        <w:spacing w:after="120"/>
        <w:rPr>
          <w:rFonts w:ascii="Arial" w:hAnsi="Arial" w:cs="Arial"/>
          <w:b/>
          <w:sz w:val="22"/>
          <w:szCs w:val="22"/>
        </w:rPr>
      </w:pPr>
      <w:bookmarkStart w:id="417" w:name="sa334"/>
      <w:r w:rsidRPr="00AE71B5">
        <w:rPr>
          <w:rFonts w:ascii="Arial" w:hAnsi="Arial" w:cs="Arial"/>
          <w:b/>
          <w:sz w:val="22"/>
          <w:szCs w:val="22"/>
        </w:rPr>
        <w:lastRenderedPageBreak/>
        <w:t>South Africa</w:t>
      </w:r>
    </w:p>
    <w:bookmarkEnd w:id="417"/>
    <w:p w14:paraId="6E20F46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South Africa would like to commend the comprehensive report presented by the Vice Chair of IOC Sub-Commission for the Central Indian Ocean (IOCINDIO). South Africa joins other delegates in congratulating IOCINDIO for being a fully-fledged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within the IOC structure and for holding its first successful Session. This is indeed a remarkable </w:t>
      </w:r>
      <w:proofErr w:type="gramStart"/>
      <w:r w:rsidRPr="00AE71B5">
        <w:rPr>
          <w:rFonts w:ascii="Arial" w:eastAsia="Simsun (Founder Extended)" w:hAnsi="Arial" w:cs="Arial"/>
          <w:snapToGrid/>
          <w:sz w:val="22"/>
          <w:szCs w:val="22"/>
        </w:rPr>
        <w:t>milestone</w:t>
      </w:r>
      <w:proofErr w:type="gramEnd"/>
      <w:r w:rsidRPr="00AE71B5">
        <w:rPr>
          <w:rFonts w:ascii="Arial" w:eastAsia="Simsun (Founder Extended)" w:hAnsi="Arial" w:cs="Arial"/>
          <w:snapToGrid/>
          <w:sz w:val="22"/>
          <w:szCs w:val="22"/>
        </w:rPr>
        <w:t xml:space="preserve"> and we hope its establishment will assist in achieving its </w:t>
      </w:r>
      <w:proofErr w:type="gramStart"/>
      <w:r w:rsidRPr="00AE71B5">
        <w:rPr>
          <w:rFonts w:ascii="Arial" w:eastAsia="Simsun (Founder Extended)" w:hAnsi="Arial" w:cs="Arial"/>
          <w:snapToGrid/>
          <w:sz w:val="22"/>
          <w:szCs w:val="22"/>
        </w:rPr>
        <w:t>future plans</w:t>
      </w:r>
      <w:proofErr w:type="gramEnd"/>
      <w:r w:rsidRPr="00AE71B5">
        <w:rPr>
          <w:rFonts w:ascii="Arial" w:eastAsia="Simsun (Founder Extended)" w:hAnsi="Arial" w:cs="Arial"/>
          <w:snapToGrid/>
          <w:sz w:val="22"/>
          <w:szCs w:val="22"/>
        </w:rPr>
        <w:t xml:space="preserve"> and implementing the priority areas of the region as identified by the Member States of the IOCINDIO. South Africa also commends Mr Justin Ahanhanzo in doing the interim work to make the subcommittee into being converted into a full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t>
      </w:r>
    </w:p>
    <w:p w14:paraId="014D1965"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3.4.1</w:t>
      </w:r>
      <w:r w:rsidRPr="00AE71B5">
        <w:rPr>
          <w:rFonts w:ascii="Arial" w:hAnsi="Arial" w:cs="Arial"/>
          <w:b/>
          <w:sz w:val="22"/>
          <w:szCs w:val="22"/>
        </w:rPr>
        <w:tab/>
        <w:t>Warning and Mitigation Systems for Ocean Hazards</w:t>
      </w:r>
    </w:p>
    <w:p w14:paraId="05D3E27B" w14:textId="77777777" w:rsidR="006C41C4" w:rsidRPr="009863A3" w:rsidRDefault="006C41C4" w:rsidP="006C41C4">
      <w:pPr>
        <w:keepNext/>
        <w:snapToGrid/>
        <w:spacing w:after="120"/>
        <w:rPr>
          <w:rFonts w:ascii="Arial" w:hAnsi="Arial" w:cs="Arial"/>
          <w:b/>
          <w:sz w:val="22"/>
          <w:szCs w:val="22"/>
          <w:lang w:val="es-ES"/>
        </w:rPr>
      </w:pPr>
      <w:bookmarkStart w:id="418" w:name="arg341"/>
      <w:r w:rsidRPr="009863A3">
        <w:rPr>
          <w:rFonts w:ascii="Arial" w:hAnsi="Arial" w:cs="Arial"/>
          <w:b/>
          <w:sz w:val="22"/>
          <w:szCs w:val="22"/>
          <w:lang w:val="es-ES"/>
        </w:rPr>
        <w:t>Argentina</w:t>
      </w:r>
    </w:p>
    <w:bookmarkEnd w:id="418"/>
    <w:p w14:paraId="2CA4314C"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Argentina desea agradecer al Grupo Intergubernamental de Coordinación del Sistema de Alerta contra los Tsunamis y Atenuación de sus Efectos en el Pacífico por la invitación a participar como Estado observador durante su Trigésima Primera Reunión, celebrada en el mes de abril de este año. En especial, agradecer al </w:t>
      </w:r>
      <w:proofErr w:type="gramStart"/>
      <w:r w:rsidRPr="00AE71B5">
        <w:rPr>
          <w:rFonts w:ascii="Arial" w:eastAsia="Simsun (Founder Extended)" w:hAnsi="Arial" w:cs="Arial"/>
          <w:snapToGrid/>
          <w:sz w:val="22"/>
          <w:szCs w:val="22"/>
          <w:lang w:val="es-ES"/>
        </w:rPr>
        <w:t>Secretario Técnico</w:t>
      </w:r>
      <w:proofErr w:type="gramEnd"/>
      <w:r w:rsidRPr="00AE71B5">
        <w:rPr>
          <w:rFonts w:ascii="Arial" w:eastAsia="Simsun (Founder Extended)" w:hAnsi="Arial" w:cs="Arial"/>
          <w:snapToGrid/>
          <w:sz w:val="22"/>
          <w:szCs w:val="22"/>
          <w:lang w:val="es-ES"/>
        </w:rPr>
        <w:t xml:space="preserve"> del mencionado grupo, señor Ocal Necmioglu, por las gestiones y coordinaciones realizadas para la participación de nuestro país. </w:t>
      </w:r>
    </w:p>
    <w:p w14:paraId="320400D1"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concordancia con el informe de la referida reunión del PTWS, la República Argentina desea destacar que, como responsable del área de búsqueda y salvamento marítimo del océano Atlántico Sudoccidental y coordinador del NAVAREA VI para la seguridad náutica, participó de manera activa en el ejercicio PacWave24 y, en el futuro, desea poder mantener estas acciones con la presencia de sus representantes técnicos. </w:t>
      </w:r>
    </w:p>
    <w:p w14:paraId="5EA0220F"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Con relación a lo establecido en el punto 7 del informe de la última reunión del PTWS, actualmente puesto a consideración de esta Asamblea, la República Argentina desea manifestar su especial interés en participar activamente en todas las instancias organizativas del taller científico que eventualmente se lleve a cabo para evaluar el potencial riesgo </w:t>
      </w:r>
      <w:proofErr w:type="spellStart"/>
      <w:r w:rsidRPr="00AE71B5">
        <w:rPr>
          <w:rFonts w:ascii="Arial" w:eastAsia="Simsun (Founder Extended)" w:hAnsi="Arial" w:cs="Arial"/>
          <w:snapToGrid/>
          <w:sz w:val="22"/>
          <w:szCs w:val="22"/>
          <w:lang w:val="es-ES"/>
        </w:rPr>
        <w:t>tsunamigénico</w:t>
      </w:r>
      <w:proofErr w:type="spellEnd"/>
      <w:r w:rsidRPr="00AE71B5">
        <w:rPr>
          <w:rFonts w:ascii="Arial" w:eastAsia="Simsun (Founder Extended)" w:hAnsi="Arial" w:cs="Arial"/>
          <w:snapToGrid/>
          <w:sz w:val="22"/>
          <w:szCs w:val="22"/>
          <w:lang w:val="es-ES"/>
        </w:rPr>
        <w:t xml:space="preserve"> del Arco de </w:t>
      </w:r>
      <w:proofErr w:type="spellStart"/>
      <w:r w:rsidRPr="00AE71B5">
        <w:rPr>
          <w:rFonts w:ascii="Arial" w:eastAsia="Simsun (Founder Extended)" w:hAnsi="Arial" w:cs="Arial"/>
          <w:snapToGrid/>
          <w:sz w:val="22"/>
          <w:szCs w:val="22"/>
          <w:lang w:val="es-ES"/>
        </w:rPr>
        <w:t>Scotia</w:t>
      </w:r>
      <w:proofErr w:type="spellEnd"/>
      <w:r w:rsidRPr="00AE71B5">
        <w:rPr>
          <w:rFonts w:ascii="Arial" w:eastAsia="Simsun (Founder Extended)" w:hAnsi="Arial" w:cs="Arial"/>
          <w:snapToGrid/>
          <w:sz w:val="22"/>
          <w:szCs w:val="22"/>
          <w:lang w:val="es-ES"/>
        </w:rPr>
        <w:t xml:space="preserve"> y su posible impacto en el Área de Cobertura del PTWS.</w:t>
      </w:r>
    </w:p>
    <w:p w14:paraId="4047909F"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Este interés se fundamenta en que dicha región se encuentra comprendida dentro de las zonas de responsabilidad de la República Argentina en el marco del sistema SAR y de la NAVAREA VI. Asimismo, nuestro país cuenta con investigadores y capacidades técnicas que podrían aportar significativamente al desarrollo de estudios en la región.</w:t>
      </w:r>
    </w:p>
    <w:p w14:paraId="14840CF7"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Asimismo, la República Argentina considera pertinente que se extienda una invitación al Grupo Intergubernamental de Coordinación para el Sistema de Alerta contra los Tsunamis y otras Amenazas Costeras en el Caribe y Regiones Adyacentes, dado que el área en cuestión también se encuentra dentro de su ámbito de monitoreo, </w:t>
      </w:r>
      <w:proofErr w:type="gramStart"/>
      <w:r w:rsidRPr="00AE71B5">
        <w:rPr>
          <w:rFonts w:ascii="Arial" w:eastAsia="Simsun (Founder Extended)" w:hAnsi="Arial" w:cs="Arial"/>
          <w:snapToGrid/>
          <w:sz w:val="22"/>
          <w:szCs w:val="22"/>
          <w:lang w:val="es-ES"/>
        </w:rPr>
        <w:t>de acuerdo a</w:t>
      </w:r>
      <w:proofErr w:type="gramEnd"/>
      <w:r w:rsidRPr="00AE71B5">
        <w:rPr>
          <w:rFonts w:ascii="Arial" w:eastAsia="Simsun (Founder Extended)" w:hAnsi="Arial" w:cs="Arial"/>
          <w:snapToGrid/>
          <w:sz w:val="22"/>
          <w:szCs w:val="22"/>
          <w:lang w:val="es-ES"/>
        </w:rPr>
        <w:t xml:space="preserve"> lo establecido en el Tsunami </w:t>
      </w:r>
      <w:proofErr w:type="spellStart"/>
      <w:r w:rsidRPr="00AE71B5">
        <w:rPr>
          <w:rFonts w:ascii="Arial" w:eastAsia="Simsun (Founder Extended)" w:hAnsi="Arial" w:cs="Arial"/>
          <w:snapToGrid/>
          <w:sz w:val="22"/>
          <w:szCs w:val="22"/>
          <w:lang w:val="es-ES"/>
        </w:rPr>
        <w:t>Watch</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Operations</w:t>
      </w:r>
      <w:proofErr w:type="spellEnd"/>
      <w:r w:rsidRPr="00AE71B5">
        <w:rPr>
          <w:rFonts w:ascii="Arial" w:eastAsia="Simsun (Founder Extended)" w:hAnsi="Arial" w:cs="Arial"/>
          <w:snapToGrid/>
          <w:sz w:val="22"/>
          <w:szCs w:val="22"/>
          <w:lang w:val="es-ES"/>
        </w:rPr>
        <w:t xml:space="preserve">, Global Service </w:t>
      </w:r>
      <w:proofErr w:type="spellStart"/>
      <w:r w:rsidRPr="00AE71B5">
        <w:rPr>
          <w:rFonts w:ascii="Arial" w:eastAsia="Simsun (Founder Extended)" w:hAnsi="Arial" w:cs="Arial"/>
          <w:snapToGrid/>
          <w:sz w:val="22"/>
          <w:szCs w:val="22"/>
          <w:lang w:val="es-ES"/>
        </w:rPr>
        <w:t>Definition</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Document</w:t>
      </w:r>
      <w:proofErr w:type="spellEnd"/>
      <w:r w:rsidRPr="00AE71B5">
        <w:rPr>
          <w:rFonts w:ascii="Arial" w:eastAsia="Simsun (Founder Extended)" w:hAnsi="Arial" w:cs="Arial"/>
          <w:snapToGrid/>
          <w:sz w:val="22"/>
          <w:szCs w:val="22"/>
          <w:lang w:val="es-ES"/>
        </w:rPr>
        <w:t xml:space="preserve"> 130, punto 6.1.</w:t>
      </w:r>
    </w:p>
    <w:p w14:paraId="28F2141B"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consecuencia, la República Argentina desearía que en la decisión que se adopte para este punto de agenda se incluya una mención específica a ello. En este sentido, esta Delegación hizo llegar oportunamente a la Secretaría el proyecto de texto a ser incluido en la decisión.  </w:t>
      </w:r>
    </w:p>
    <w:p w14:paraId="69FA285F"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Por último, la República Argentina desea igualmente expresar que comparte la preocupación por los riesgos que los eventos </w:t>
      </w:r>
      <w:proofErr w:type="spellStart"/>
      <w:r w:rsidRPr="00AE71B5">
        <w:rPr>
          <w:rFonts w:ascii="Arial" w:eastAsia="Simsun (Founder Extended)" w:hAnsi="Arial" w:cs="Arial"/>
          <w:snapToGrid/>
          <w:sz w:val="22"/>
          <w:szCs w:val="22"/>
          <w:lang w:val="es-ES"/>
        </w:rPr>
        <w:t>tsunamigénicos</w:t>
      </w:r>
      <w:proofErr w:type="spellEnd"/>
      <w:r w:rsidRPr="00AE71B5">
        <w:rPr>
          <w:rFonts w:ascii="Arial" w:eastAsia="Simsun (Founder Extended)" w:hAnsi="Arial" w:cs="Arial"/>
          <w:snapToGrid/>
          <w:sz w:val="22"/>
          <w:szCs w:val="22"/>
          <w:lang w:val="es-ES"/>
        </w:rPr>
        <w:t xml:space="preserve"> representan tanto para las poblaciones costeras como para las embarcaciones que operan en las regiones potencialmente afectadas. En este marco, destaca la importancia de contar con información temprana y confiable que permita advertir a los navegantes con la mayor antelación posible sobre la eventual ocurrencia de un tsunami, así como asegurar la oportuna difusión de dicha información en las áreas de interés.</w:t>
      </w:r>
    </w:p>
    <w:p w14:paraId="3CEBB92D"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El compromiso y la activa participación de la República Argentina en esta materia se evidencian en la vigilancia y el análisis constante que lleva adelante el Servicio de Hidrografía Naval, tal como ocurrió durante el evento sísmico registrado el pasado 2 de mayo en el Pasaje Drake, con una magnitud de 7,5 en la escala de Richter, el cual, si bien no generó un tsunami, fue monitoreado estrechamente desde el primer momento.</w:t>
      </w:r>
    </w:p>
    <w:p w14:paraId="3A2BC612" w14:textId="77777777" w:rsidR="006C41C4" w:rsidRPr="00AE71B5" w:rsidRDefault="006C41C4" w:rsidP="006C41C4">
      <w:pPr>
        <w:keepNext/>
        <w:snapToGrid/>
        <w:spacing w:after="120"/>
        <w:rPr>
          <w:rFonts w:ascii="Arial" w:hAnsi="Arial" w:cs="Arial"/>
          <w:b/>
          <w:sz w:val="22"/>
          <w:szCs w:val="22"/>
          <w:lang w:val="es-ES"/>
        </w:rPr>
      </w:pPr>
      <w:bookmarkStart w:id="419" w:name="chil341"/>
      <w:r w:rsidRPr="00AE71B5">
        <w:rPr>
          <w:rFonts w:ascii="Arial" w:hAnsi="Arial" w:cs="Arial"/>
          <w:b/>
          <w:sz w:val="22"/>
          <w:szCs w:val="22"/>
          <w:lang w:val="es-ES"/>
        </w:rPr>
        <w:lastRenderedPageBreak/>
        <w:t>Chile</w:t>
      </w:r>
    </w:p>
    <w:bookmarkEnd w:id="419"/>
    <w:p w14:paraId="3C5A6865"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Chile, miembro permanente del TOWS, reafirma su compromiso con la seguridad de las comunidades costeras frente a los riesgos oceánicos. Durante años, hemos avanzado en la investigación, desarrollo e implementación de estrategias que optimizan la detección, el monitoreo y la respuesta ante eventos críticos. Además, promovemos la educación y la concientización de nuestras comunidades, dotándolas de las herramientas esenciales para el autocuidado y la preparación ante emergencias, en coordinación con instituciones locales e internacionales.</w:t>
      </w:r>
    </w:p>
    <w:p w14:paraId="7363CBF2"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Como muestra de lo anterior, Chile albergó el Programa Internacional de Entrenamiento en Tsunamis (ITP) en 2024, reuniendo a representantes de 18 países para evaluar capacidades y capacitarse en tecnología y concientización contra tsunamis. La exitosa experiencia ha llevado a confirmar su realización nuevamente en 2026, evidenciando el excelente trabajo del sistema chileno en detección, respuesta, pronóstico y preparación. Paralelamente, anunciamos que se encuentra en etapa de evaluación la instalación de un cable submarino antártico en el cual se busca que este cuente con tecnología SMART, es decir, que integre sensores avanzados objeto optimizar la alerta temprana y la capacidad operativa frente a los fenómenos oceánicos.</w:t>
      </w:r>
    </w:p>
    <w:p w14:paraId="5693FA46" w14:textId="77777777" w:rsidR="006C41C4" w:rsidRPr="00E647B1" w:rsidRDefault="006C41C4" w:rsidP="006C41C4">
      <w:pPr>
        <w:keepNext/>
        <w:snapToGrid/>
        <w:spacing w:after="120"/>
        <w:rPr>
          <w:rFonts w:ascii="Arial" w:hAnsi="Arial" w:cs="Arial"/>
          <w:b/>
          <w:sz w:val="22"/>
          <w:szCs w:val="22"/>
          <w:lang w:val="en-US"/>
        </w:rPr>
      </w:pPr>
      <w:bookmarkStart w:id="420" w:name="chin341"/>
      <w:r w:rsidRPr="00E647B1">
        <w:rPr>
          <w:rFonts w:ascii="Arial" w:hAnsi="Arial" w:cs="Arial"/>
          <w:b/>
          <w:sz w:val="22"/>
          <w:szCs w:val="22"/>
          <w:lang w:val="en-US"/>
        </w:rPr>
        <w:t>China</w:t>
      </w:r>
    </w:p>
    <w:bookmarkEnd w:id="420"/>
    <w:p w14:paraId="05F536E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the recent decades, China attaches great important to and engages into the relevant work of the Warning&amp; Mitigation Systems for Ocean Hazards in IOC, particularly the process of PTWS. Since its full operation in 2019, the South China Sea Tsunami Advisory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(SCSTAC) has provided timely and stable tsunami services with ongoing efforts to continuously enhance its service capabilities. As mentioned by Carlos, In March 2023, the Backup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operated by the Hong Kong Observatory, entered hot standby operational status, enabling seamless takeover of tsunami warning services at any time. Furthermore, the scientists from SCSTAC Member States, through International Staff Programme, were invited to work with their Chinese colleagues to operate the SCSTAC in Beijing in the past several years. China would like to reiterate our commitment to make more contribution to regional capacity development and human resources exchange through SCSTAC.</w:t>
      </w:r>
    </w:p>
    <w:p w14:paraId="2B48363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31st Session of ICG/PTWS was hosted by China in Beijing in this April, it is really our great </w:t>
      </w:r>
      <w:proofErr w:type="spellStart"/>
      <w:r w:rsidRPr="00AE71B5">
        <w:rPr>
          <w:rFonts w:ascii="Arial" w:eastAsia="Simsun (Founder Extended)" w:hAnsi="Arial" w:cs="Arial"/>
          <w:snapToGrid/>
          <w:sz w:val="22"/>
          <w:szCs w:val="22"/>
        </w:rPr>
        <w:t>honor</w:t>
      </w:r>
      <w:proofErr w:type="spellEnd"/>
      <w:r w:rsidRPr="00AE71B5">
        <w:rPr>
          <w:rFonts w:ascii="Arial" w:eastAsia="Simsun (Founder Extended)" w:hAnsi="Arial" w:cs="Arial"/>
          <w:snapToGrid/>
          <w:sz w:val="22"/>
          <w:szCs w:val="22"/>
        </w:rPr>
        <w:t xml:space="preserve"> to make our special contribution to the 60 </w:t>
      </w:r>
      <w:proofErr w:type="gramStart"/>
      <w:r w:rsidRPr="00AE71B5">
        <w:rPr>
          <w:rFonts w:ascii="Arial" w:eastAsia="Simsun (Founder Extended)" w:hAnsi="Arial" w:cs="Arial"/>
          <w:snapToGrid/>
          <w:sz w:val="22"/>
          <w:szCs w:val="22"/>
        </w:rPr>
        <w:t>anniversary</w:t>
      </w:r>
      <w:proofErr w:type="gramEnd"/>
      <w:r w:rsidRPr="00AE71B5">
        <w:rPr>
          <w:rFonts w:ascii="Arial" w:eastAsia="Simsun (Founder Extended)" w:hAnsi="Arial" w:cs="Arial"/>
          <w:snapToGrid/>
          <w:sz w:val="22"/>
          <w:szCs w:val="22"/>
        </w:rPr>
        <w:t xml:space="preserve"> of PTWS. During the session, Dr. Wang Dakui from the National Marine Environmental Forecasting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of China was elected as the Chair of PTWS. China will provide full support to Dr to </w:t>
      </w:r>
      <w:proofErr w:type="spellStart"/>
      <w:r w:rsidRPr="00AE71B5">
        <w:rPr>
          <w:rFonts w:ascii="Arial" w:eastAsia="Simsun (Founder Extended)" w:hAnsi="Arial" w:cs="Arial"/>
          <w:snapToGrid/>
          <w:sz w:val="22"/>
          <w:szCs w:val="22"/>
        </w:rPr>
        <w:t>fulfill</w:t>
      </w:r>
      <w:proofErr w:type="spellEnd"/>
      <w:r w:rsidRPr="00AE71B5">
        <w:rPr>
          <w:rFonts w:ascii="Arial" w:eastAsia="Simsun (Founder Extended)" w:hAnsi="Arial" w:cs="Arial"/>
          <w:snapToGrid/>
          <w:sz w:val="22"/>
          <w:szCs w:val="22"/>
        </w:rPr>
        <w:t xml:space="preserve"> his responsibilities as the </w:t>
      </w:r>
      <w:proofErr w:type="gramStart"/>
      <w:r w:rsidRPr="00AE71B5">
        <w:rPr>
          <w:rFonts w:ascii="Arial" w:eastAsia="Simsun (Founder Extended)" w:hAnsi="Arial" w:cs="Arial"/>
          <w:snapToGrid/>
          <w:sz w:val="22"/>
          <w:szCs w:val="22"/>
        </w:rPr>
        <w:t>chair, and</w:t>
      </w:r>
      <w:proofErr w:type="gramEnd"/>
      <w:r w:rsidRPr="00AE71B5">
        <w:rPr>
          <w:rFonts w:ascii="Arial" w:eastAsia="Simsun (Founder Extended)" w:hAnsi="Arial" w:cs="Arial"/>
          <w:snapToGrid/>
          <w:sz w:val="22"/>
          <w:szCs w:val="22"/>
        </w:rPr>
        <w:t xml:space="preserve"> will work with all Member States to continuously improve work of the PTWS and collaboratively enhance the capacity to respond to tsunami risks.</w:t>
      </w:r>
    </w:p>
    <w:p w14:paraId="0C542D2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will allocate more resources to advance the implementation of the "UN Ocean Decade Tsunami Programme," the "Tsunami Ready Recognition Programme," and relevant initiatives. A training workshop related to the indicators in the Tsunami Ready Recognition Programme is planned for the second half of 2025, aiming to facilitate greater participation and execution of the programme by the Member States of ICG/PTWS. More initiatives are being prepared by China, working with colleagues from other Member States.</w:t>
      </w:r>
    </w:p>
    <w:p w14:paraId="1454F6D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Furthermore, China sent our experts to attend the 18th Session of TOWS-WG and the Tsunami Warning Operational Task Team (TT-TWO) meeting in Paris in this February. We </w:t>
      </w:r>
      <w:proofErr w:type="gramStart"/>
      <w:r w:rsidRPr="00AE71B5">
        <w:rPr>
          <w:rFonts w:ascii="Arial" w:eastAsia="Simsun (Founder Extended)" w:hAnsi="Arial" w:cs="Arial"/>
          <w:snapToGrid/>
          <w:sz w:val="22"/>
          <w:szCs w:val="22"/>
        </w:rPr>
        <w:t>acknowledges</w:t>
      </w:r>
      <w:proofErr w:type="gramEnd"/>
      <w:r w:rsidRPr="00AE71B5">
        <w:rPr>
          <w:rFonts w:ascii="Arial" w:eastAsia="Simsun (Founder Extended)" w:hAnsi="Arial" w:cs="Arial"/>
          <w:snapToGrid/>
          <w:sz w:val="22"/>
          <w:szCs w:val="22"/>
        </w:rPr>
        <w:t xml:space="preserve"> the releases of two Technical Series—No. 183 (Monitoring and Warning for Tsunamis Generated by Volcanoes) and No. 200 (</w:t>
      </w:r>
      <w:proofErr w:type="spellStart"/>
      <w:r w:rsidRPr="00AE71B5">
        <w:rPr>
          <w:rFonts w:ascii="Arial" w:eastAsia="Simsun (Founder Extended)" w:hAnsi="Arial" w:cs="Arial"/>
          <w:snapToGrid/>
          <w:sz w:val="22"/>
          <w:szCs w:val="22"/>
        </w:rPr>
        <w:t>Meteotsunamis</w:t>
      </w:r>
      <w:proofErr w:type="spellEnd"/>
      <w:r w:rsidRPr="00AE71B5">
        <w:rPr>
          <w:rFonts w:ascii="Arial" w:eastAsia="Simsun (Founder Extended)" w:hAnsi="Arial" w:cs="Arial"/>
          <w:snapToGrid/>
          <w:sz w:val="22"/>
          <w:szCs w:val="22"/>
        </w:rPr>
        <w:t xml:space="preserve">: definition, detection and alerting services investigation), which offer the workable guidance for enhancing non-seismic tsunami warning operations. China commends the launch of the IOC Tsunami Awareness and Tsunami Ready Online Training by OTGA. We also </w:t>
      </w:r>
      <w:proofErr w:type="gramStart"/>
      <w:r w:rsidRPr="00AE71B5">
        <w:rPr>
          <w:rFonts w:ascii="Arial" w:eastAsia="Simsun (Founder Extended)" w:hAnsi="Arial" w:cs="Arial"/>
          <w:snapToGrid/>
          <w:sz w:val="22"/>
          <w:szCs w:val="22"/>
        </w:rPr>
        <w:t>expresses</w:t>
      </w:r>
      <w:proofErr w:type="gramEnd"/>
      <w:r w:rsidRPr="00AE71B5">
        <w:rPr>
          <w:rFonts w:ascii="Arial" w:eastAsia="Simsun (Founder Extended)" w:hAnsi="Arial" w:cs="Arial"/>
          <w:snapToGrid/>
          <w:sz w:val="22"/>
          <w:szCs w:val="22"/>
        </w:rPr>
        <w:t xml:space="preserve"> appreciation to the TT-TWO for including tsunamis generated by submarine and subaerial landslides into its work programme.</w:t>
      </w:r>
    </w:p>
    <w:p w14:paraId="1A8EE031" w14:textId="77777777" w:rsidR="006C41C4" w:rsidRPr="00AE71B5" w:rsidRDefault="006C41C4" w:rsidP="006C41C4">
      <w:pPr>
        <w:keepNext/>
        <w:snapToGrid/>
        <w:spacing w:after="120"/>
        <w:rPr>
          <w:rFonts w:ascii="Arial" w:hAnsi="Arial" w:cs="Arial"/>
          <w:b/>
          <w:sz w:val="22"/>
          <w:szCs w:val="22"/>
          <w:lang w:val="fr-FR"/>
        </w:rPr>
      </w:pPr>
      <w:bookmarkStart w:id="421" w:name="fra341"/>
      <w:r w:rsidRPr="00AE71B5">
        <w:rPr>
          <w:rFonts w:ascii="Arial" w:hAnsi="Arial" w:cs="Arial"/>
          <w:b/>
          <w:sz w:val="22"/>
          <w:szCs w:val="22"/>
          <w:lang w:val="fr-FR"/>
        </w:rPr>
        <w:t>France</w:t>
      </w:r>
    </w:p>
    <w:bookmarkEnd w:id="421"/>
    <w:p w14:paraId="763B66DA"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les présidents des groupes intergouvernementaux de coordination des zones Nord-Atlantique-Méditerranée, Pacifique, océan Indien et Caraïbes ainsi que leurs régions </w:t>
      </w:r>
      <w:r w:rsidRPr="00AE71B5">
        <w:rPr>
          <w:rFonts w:ascii="Arial" w:eastAsia="Simsun (Founder Extended)" w:hAnsi="Arial" w:cs="Arial"/>
          <w:snapToGrid/>
          <w:sz w:val="22"/>
          <w:szCs w:val="22"/>
          <w:lang w:val="fr-FR"/>
        </w:rPr>
        <w:lastRenderedPageBreak/>
        <w:t>adjacentes, pour leurs rapports très complets, ainsi que pour les travaux des différents groupes de travail des GIC et apprécie le support du secrétariat de la Commission Océanographique Intergouvernementale de l’Unesco dans chacun des GIC.</w:t>
      </w:r>
    </w:p>
    <w:p w14:paraId="5FE5BC18"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a un centre d’alerte opérationnel pour l’alerte montante depuis 2012 pour l’Hexagone (le </w:t>
      </w:r>
      <w:proofErr w:type="spellStart"/>
      <w:r w:rsidRPr="00AE71B5">
        <w:rPr>
          <w:rFonts w:ascii="Arial" w:eastAsia="Simsun (Founder Extended)" w:hAnsi="Arial" w:cs="Arial"/>
          <w:snapToGrid/>
          <w:sz w:val="22"/>
          <w:szCs w:val="22"/>
          <w:lang w:val="fr-FR"/>
        </w:rPr>
        <w:t>Cenalt</w:t>
      </w:r>
      <w:proofErr w:type="spellEnd"/>
      <w:r w:rsidRPr="00AE71B5">
        <w:rPr>
          <w:rFonts w:ascii="Arial" w:eastAsia="Simsun (Founder Extended)" w:hAnsi="Arial" w:cs="Arial"/>
          <w:snapToGrid/>
          <w:sz w:val="22"/>
          <w:szCs w:val="22"/>
          <w:lang w:val="fr-FR"/>
        </w:rPr>
        <w:t xml:space="preserve">), et participe aux efforts communs du GIC NEAM. La session XIX du GIC NEAM a également rappelé les engagements des collectivités pour obtenir les reconnaissances Tsunami Ready, comme ce fut le cas pour Cannes (Alpes-Maritimes) en 2024. La participation de la France (université de Montpellier) à la phase 2 du projet </w:t>
      </w:r>
      <w:proofErr w:type="spellStart"/>
      <w:r w:rsidRPr="00AE71B5">
        <w:rPr>
          <w:rFonts w:ascii="Arial" w:eastAsia="Simsun (Founder Extended)" w:hAnsi="Arial" w:cs="Arial"/>
          <w:snapToGrid/>
          <w:sz w:val="22"/>
          <w:szCs w:val="22"/>
          <w:lang w:val="fr-FR"/>
        </w:rPr>
        <w:t>Coastwave</w:t>
      </w:r>
      <w:proofErr w:type="spellEnd"/>
      <w:r w:rsidRPr="00AE71B5">
        <w:rPr>
          <w:rFonts w:ascii="Arial" w:eastAsia="Simsun (Founder Extended)" w:hAnsi="Arial" w:cs="Arial"/>
          <w:snapToGrid/>
          <w:sz w:val="22"/>
          <w:szCs w:val="22"/>
          <w:lang w:val="fr-FR"/>
        </w:rPr>
        <w:t xml:space="preserve"> coordonné par la COI est une opportunité qui devrait permettre d’accentuer ces efforts, et proposer d’autres candidatures.</w:t>
      </w:r>
    </w:p>
    <w:p w14:paraId="0B6DCB26"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 GIC CARIBE-EWS pour son engagement dans la prise en compte des tsunamis non sismiques et les travaux en cours sur la mise en place de procédures opérationnelles pour les tsunamis volcaniques. La France apprécie l’engagement renouvelé lors du GIC CARIBE-EWS 2025 du Service National Météorologique des Etats-Unis de continuer la fourniture de services aux tsunamis à travers son Centre d’Alerte au Tsunami du Pacifique (PTWC) et son Centre International d’Information sur les Tsunamis (ITIC) pour l’ensemble des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de la Caraïbe. La France remercie le GIC CARIBE-EWS de poursuivre ses efforts de préparation de l’ensemble des communautés à travers le travail de la </w:t>
      </w:r>
      <w:proofErr w:type="spellStart"/>
      <w:r w:rsidRPr="00AE71B5">
        <w:rPr>
          <w:rFonts w:ascii="Arial" w:eastAsia="Simsun (Founder Extended)" w:hAnsi="Arial" w:cs="Arial"/>
          <w:snapToGrid/>
          <w:sz w:val="22"/>
          <w:szCs w:val="22"/>
          <w:lang w:val="fr-FR"/>
        </w:rPr>
        <w:t>Task</w:t>
      </w:r>
      <w:proofErr w:type="spellEnd"/>
      <w:r w:rsidRPr="00AE71B5">
        <w:rPr>
          <w:rFonts w:ascii="Arial" w:eastAsia="Simsun (Founder Extended)" w:hAnsi="Arial" w:cs="Arial"/>
          <w:snapToGrid/>
          <w:sz w:val="22"/>
          <w:szCs w:val="22"/>
          <w:lang w:val="fr-FR"/>
        </w:rPr>
        <w:t xml:space="preserve"> Team Tsunami Ready et rappelle la reconnaissance Tsunami Ready de la commune de Deshayes (Guadeloupe) en 2023. D'autres communes des Antilles françaises se préparent à candidater. La France salue le travail constant du bureau caribéen de l’ITIC (ITIC-CAR), du PTWC et de la </w:t>
      </w:r>
      <w:proofErr w:type="spellStart"/>
      <w:r w:rsidRPr="00AE71B5">
        <w:rPr>
          <w:rFonts w:ascii="Arial" w:eastAsia="Simsun (Founder Extended)" w:hAnsi="Arial" w:cs="Arial"/>
          <w:snapToGrid/>
          <w:sz w:val="22"/>
          <w:szCs w:val="22"/>
          <w:lang w:val="fr-FR"/>
        </w:rPr>
        <w:t>Task</w:t>
      </w:r>
      <w:proofErr w:type="spellEnd"/>
      <w:r w:rsidRPr="00AE71B5">
        <w:rPr>
          <w:rFonts w:ascii="Arial" w:eastAsia="Simsun (Founder Extended)" w:hAnsi="Arial" w:cs="Arial"/>
          <w:snapToGrid/>
          <w:sz w:val="22"/>
          <w:szCs w:val="22"/>
          <w:lang w:val="fr-FR"/>
        </w:rPr>
        <w:t xml:space="preserve"> Team en charge de la préparation et l’organisation de l’exercice annuel CARIBE WAVE. Cet exercice est largement suivi dans les Antilles françaises et est devenu un outil primordial dans la préparation des communautés au risque tsunami.</w:t>
      </w:r>
    </w:p>
    <w:p w14:paraId="0E172FE6"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 GIC Pacifique d’avoir salué l’investissement national depuis 60 ans pour les activités tsunami dans la région, la France gérant un centre d’alerte en Polynésie française depuis 1965 (Centre Polynésien de Prévention des Tsunamis). La France remercie également l’ancien président </w:t>
      </w:r>
      <w:proofErr w:type="spellStart"/>
      <w:r w:rsidRPr="00AE71B5">
        <w:rPr>
          <w:rFonts w:ascii="Arial" w:eastAsia="Simsun (Founder Extended)" w:hAnsi="Arial" w:cs="Arial"/>
          <w:snapToGrid/>
          <w:sz w:val="22"/>
          <w:szCs w:val="22"/>
          <w:lang w:val="fr-FR"/>
        </w:rPr>
        <w:t>Yuji</w:t>
      </w:r>
      <w:proofErr w:type="spellEnd"/>
      <w:r w:rsidRPr="00AE71B5">
        <w:rPr>
          <w:rFonts w:ascii="Arial" w:eastAsia="Simsun (Founder Extended)" w:hAnsi="Arial" w:cs="Arial"/>
          <w:snapToGrid/>
          <w:sz w:val="22"/>
          <w:szCs w:val="22"/>
          <w:lang w:val="fr-FR"/>
        </w:rPr>
        <w:t xml:space="preserve"> </w:t>
      </w:r>
      <w:proofErr w:type="spellStart"/>
      <w:r w:rsidRPr="00AE71B5">
        <w:rPr>
          <w:rFonts w:ascii="Arial" w:eastAsia="Simsun (Founder Extended)" w:hAnsi="Arial" w:cs="Arial"/>
          <w:snapToGrid/>
          <w:sz w:val="22"/>
          <w:szCs w:val="22"/>
          <w:lang w:val="fr-FR"/>
        </w:rPr>
        <w:t>Nishimae</w:t>
      </w:r>
      <w:proofErr w:type="spellEnd"/>
      <w:r w:rsidRPr="00AE71B5">
        <w:rPr>
          <w:rFonts w:ascii="Arial" w:eastAsia="Simsun (Founder Extended)" w:hAnsi="Arial" w:cs="Arial"/>
          <w:snapToGrid/>
          <w:sz w:val="22"/>
          <w:szCs w:val="22"/>
          <w:lang w:val="fr-FR"/>
        </w:rPr>
        <w:t xml:space="preserve"> (Japon) pour ses actions pour le groupe et salue la nomination du nouveau président Dakui Wang (Chine). Pour les territoires français, la situation en Nouvelle-Calédonie est à considérer pour pouvoir poursuivre les efforts de préparation à la gestion de l’alerte tsunami. C’est précisément dans cette région que l’un des premiers SMART </w:t>
      </w:r>
      <w:proofErr w:type="spellStart"/>
      <w:r w:rsidRPr="00AE71B5">
        <w:rPr>
          <w:rFonts w:ascii="Arial" w:eastAsia="Simsun (Founder Extended)" w:hAnsi="Arial" w:cs="Arial"/>
          <w:snapToGrid/>
          <w:sz w:val="22"/>
          <w:szCs w:val="22"/>
          <w:lang w:val="fr-FR"/>
        </w:rPr>
        <w:t>cables</w:t>
      </w:r>
      <w:proofErr w:type="spellEnd"/>
      <w:r w:rsidRPr="00AE71B5">
        <w:rPr>
          <w:rFonts w:ascii="Arial" w:eastAsia="Simsun (Founder Extended)" w:hAnsi="Arial" w:cs="Arial"/>
          <w:snapToGrid/>
          <w:sz w:val="22"/>
          <w:szCs w:val="22"/>
          <w:lang w:val="fr-FR"/>
        </w:rPr>
        <w:t xml:space="preserve"> va être déployé, le câble TAM </w:t>
      </w:r>
      <w:proofErr w:type="spellStart"/>
      <w:r w:rsidRPr="00AE71B5">
        <w:rPr>
          <w:rFonts w:ascii="Arial" w:eastAsia="Simsun (Founder Extended)" w:hAnsi="Arial" w:cs="Arial"/>
          <w:snapToGrid/>
          <w:sz w:val="22"/>
          <w:szCs w:val="22"/>
          <w:lang w:val="fr-FR"/>
        </w:rPr>
        <w:t>TAM</w:t>
      </w:r>
      <w:proofErr w:type="spellEnd"/>
      <w:r w:rsidRPr="00AE71B5">
        <w:rPr>
          <w:rFonts w:ascii="Arial" w:eastAsia="Simsun (Founder Extended)" w:hAnsi="Arial" w:cs="Arial"/>
          <w:snapToGrid/>
          <w:sz w:val="22"/>
          <w:szCs w:val="22"/>
          <w:lang w:val="fr-FR"/>
        </w:rPr>
        <w:t xml:space="preserve"> entre Vanuatu et la Nouvelle-Calédonie, coordonné par la France (Ifremer, Pacific </w:t>
      </w:r>
      <w:proofErr w:type="spellStart"/>
      <w:r w:rsidRPr="00AE71B5">
        <w:rPr>
          <w:rFonts w:ascii="Arial" w:eastAsia="Simsun (Founder Extended)" w:hAnsi="Arial" w:cs="Arial"/>
          <w:snapToGrid/>
          <w:sz w:val="22"/>
          <w:szCs w:val="22"/>
          <w:lang w:val="fr-FR"/>
        </w:rPr>
        <w:t>Peering</w:t>
      </w:r>
      <w:proofErr w:type="spellEnd"/>
      <w:r w:rsidRPr="00AE71B5">
        <w:rPr>
          <w:rFonts w:ascii="Arial" w:eastAsia="Simsun (Founder Extended)" w:hAnsi="Arial" w:cs="Arial"/>
          <w:snapToGrid/>
          <w:sz w:val="22"/>
          <w:szCs w:val="22"/>
          <w:lang w:val="fr-FR"/>
        </w:rPr>
        <w:t xml:space="preserve"> et ASN). Ce câble offre une perspective scientifique qui intéressera toutes les communautés des sciences océaniques, et sera essentiel pour les centres d’alerte tsunami en ajoutant de nouveaux points de mesures en temps réel.</w:t>
      </w:r>
    </w:p>
    <w:p w14:paraId="2A953BC9"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souligne les travaux du groupe de travail mondial TOWS qui permet d’harmoniser les pratiques entre tous les bassins concernés par le risque tsunami, la France ayant des territoires dans les quatre bassins.</w:t>
      </w:r>
    </w:p>
    <w:p w14:paraId="3A234E75" w14:textId="77777777" w:rsidR="006C41C4" w:rsidRPr="00AE71B5" w:rsidRDefault="006C41C4" w:rsidP="006C41C4">
      <w:pPr>
        <w:keepNext/>
        <w:snapToGrid/>
        <w:spacing w:after="120"/>
        <w:rPr>
          <w:rFonts w:ascii="Arial" w:hAnsi="Arial" w:cs="Arial"/>
          <w:b/>
          <w:sz w:val="22"/>
          <w:szCs w:val="22"/>
        </w:rPr>
      </w:pPr>
      <w:bookmarkStart w:id="422" w:name="ind341"/>
      <w:r w:rsidRPr="00AE71B5">
        <w:rPr>
          <w:rFonts w:ascii="Arial" w:hAnsi="Arial" w:cs="Arial"/>
          <w:b/>
          <w:sz w:val="22"/>
          <w:szCs w:val="22"/>
        </w:rPr>
        <w:t>India</w:t>
      </w:r>
    </w:p>
    <w:bookmarkEnd w:id="422"/>
    <w:p w14:paraId="7785C06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and congratulate the Chairs of the ICGs of the IOTWMS, CARIBE-EWS, NEAMTWS, PTWS and the TOWS WG for providing reports of the excellent progress made during the intersessional period on the regional tsunami warning and mitigation systems spearheaded by the IOC. </w:t>
      </w:r>
    </w:p>
    <w:p w14:paraId="61344BA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is an integral part of the Intergovernmental Coordination Group for the Indian Ocean Tsunami warning and Mitigation System (ICG/IOTWMS) and continues to provide services to the region as one of the Tsunami Service Provider (TSP), together with Australia and Indonesia. During the inter-sessional period, India sustained its observational networks (Seismic, </w:t>
      </w:r>
      <w:proofErr w:type="spellStart"/>
      <w:r w:rsidRPr="00AE71B5">
        <w:rPr>
          <w:rFonts w:ascii="Arial" w:eastAsia="Simsun (Founder Extended)" w:hAnsi="Arial" w:cs="Arial"/>
          <w:snapToGrid/>
          <w:sz w:val="22"/>
          <w:szCs w:val="22"/>
        </w:rPr>
        <w:t>Tsunameter</w:t>
      </w:r>
      <w:proofErr w:type="spellEnd"/>
      <w:r w:rsidRPr="00AE71B5">
        <w:rPr>
          <w:rFonts w:ascii="Arial" w:eastAsia="Simsun (Founder Extended)" w:hAnsi="Arial" w:cs="Arial"/>
          <w:snapToGrid/>
          <w:sz w:val="22"/>
          <w:szCs w:val="22"/>
        </w:rPr>
        <w:t xml:space="preserve">, Tide Gauges and GNSS networks), participated in 4 COMMS Tests, </w:t>
      </w:r>
      <w:proofErr w:type="spellStart"/>
      <w:r w:rsidRPr="00AE71B5">
        <w:rPr>
          <w:rFonts w:ascii="Arial" w:eastAsia="Simsun (Founder Extended)" w:hAnsi="Arial" w:cs="Arial"/>
          <w:snapToGrid/>
          <w:sz w:val="22"/>
          <w:szCs w:val="22"/>
        </w:rPr>
        <w:t>IOWave</w:t>
      </w:r>
      <w:proofErr w:type="spellEnd"/>
      <w:r w:rsidRPr="00AE71B5">
        <w:rPr>
          <w:rFonts w:ascii="Arial" w:eastAsia="Simsun (Founder Extended)" w:hAnsi="Arial" w:cs="Arial"/>
          <w:snapToGrid/>
          <w:sz w:val="22"/>
          <w:szCs w:val="22"/>
        </w:rPr>
        <w:t xml:space="preserve"> Exercises, conducted World Tsunami Awareness Day with various outreach activities and national tsunami mock exercise, conducted a Conclave on 20 years commemoration of 2004 Indian Ocean Tsunami. To witness the commemoration conclave and TR villages, India hosted the visit of UNESCO Press Team at INCOIS as well as to the Tsunami Ready Villages in Odisha. India’s 3 Proposals (i) UK-India </w:t>
      </w:r>
      <w:proofErr w:type="gramStart"/>
      <w:r w:rsidRPr="00AE71B5">
        <w:rPr>
          <w:rFonts w:ascii="Arial" w:eastAsia="Simsun (Founder Extended)" w:hAnsi="Arial" w:cs="Arial"/>
          <w:snapToGrid/>
          <w:sz w:val="22"/>
          <w:szCs w:val="22"/>
        </w:rPr>
        <w:t>PCTWIN,(</w:t>
      </w:r>
      <w:proofErr w:type="gramEnd"/>
      <w:r w:rsidRPr="00AE71B5">
        <w:rPr>
          <w:rFonts w:ascii="Arial" w:eastAsia="Simsun (Founder Extended)" w:hAnsi="Arial" w:cs="Arial"/>
          <w:snapToGrid/>
          <w:sz w:val="22"/>
          <w:szCs w:val="22"/>
        </w:rPr>
        <w:t xml:space="preserve">ii) INCOIS Submarine Cabled Multi-Parameter </w:t>
      </w:r>
      <w:r w:rsidRPr="00AE71B5">
        <w:rPr>
          <w:rFonts w:ascii="Arial" w:eastAsia="Simsun (Founder Extended)" w:hAnsi="Arial" w:cs="Arial"/>
          <w:snapToGrid/>
          <w:sz w:val="22"/>
          <w:szCs w:val="22"/>
        </w:rPr>
        <w:lastRenderedPageBreak/>
        <w:t xml:space="preserve">Observatory (ISCO)and (iii) Tsunami Ready Odisha - Tsunami Ready Recognition Programme Implementation in Odisha were endorsed under ODTP programme. India actively engaged IOTWMS and in the PCTWIN meetings at Kochi. Indian scientists are making significant contributions in various capacities to the activities of ICG-IOTWMS including the contributions of Dr. Tummala Srinivasa Kumar from India as Head, ICG-IOTWMS Secretariat, Mr. E. </w:t>
      </w:r>
      <w:proofErr w:type="spellStart"/>
      <w:r w:rsidRPr="00AE71B5">
        <w:rPr>
          <w:rFonts w:ascii="Arial" w:eastAsia="Simsun (Founder Extended)" w:hAnsi="Arial" w:cs="Arial"/>
          <w:snapToGrid/>
          <w:sz w:val="22"/>
          <w:szCs w:val="22"/>
        </w:rPr>
        <w:t>Pattabhi</w:t>
      </w:r>
      <w:proofErr w:type="spellEnd"/>
      <w:r w:rsidRPr="00AE71B5">
        <w:rPr>
          <w:rFonts w:ascii="Arial" w:eastAsia="Simsun (Founder Extended)" w:hAnsi="Arial" w:cs="Arial"/>
          <w:snapToGrid/>
          <w:sz w:val="22"/>
          <w:szCs w:val="22"/>
        </w:rPr>
        <w:t xml:space="preserve"> Rama Rao ad Chair of ICG-IOTWMS and others in its Working Groups and Task Teams.</w:t>
      </w:r>
    </w:p>
    <w:p w14:paraId="2E47EE4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successfully hosted a training Workshop on Tsunami Evacuation Maps, Plans, and Procedures (TEMPP) and the UNESCO-IOC Tsunami Ready Recognition Programme (TRRP) for the Indian Ocean Member States” at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India continued its efforts towards contributing to the ambitious goal of IOC to cover all at risk communities by 2030 through Tsunami Ready programme and26 villages in the coastal state of Odisha, India have been recognized by IOC as Tsunami Ready Villages and in the next biennium it is planned to cover another 17villages from 06 coastal states of India.</w:t>
      </w:r>
    </w:p>
    <w:p w14:paraId="188E2AF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supports the key decisions taken by ICG/IOTWMS, appreciates the support extended by IOTIC, IOTWMS Secretariat in coordinating key activities and TSPs for extending the services and requests IOC for prioritizing the recruitments to several critical posts dealing with Ocean Observations, ocean disasters, etc. </w:t>
      </w:r>
    </w:p>
    <w:p w14:paraId="2112E62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Mr. Chair, India is happy to inform that India is hosting the International Tsunami Symposium (ITS)-2025 at INCOIS, Hyderabad, India along with the First Conference of the Ocean Decade Tsunami Programme (ODTP) with theme on “Building Resilient Coasts: Accelerating Actions to ODTP Challenge 6”. India is also offered to host the next Standard Operating Procedures (SOP) Workshop and intersessional meetings in 2026 at INCOIS, Hyderabad.</w:t>
      </w:r>
    </w:p>
    <w:p w14:paraId="6D1518C6" w14:textId="77777777" w:rsidR="006C41C4" w:rsidRPr="00AE71B5" w:rsidRDefault="006C41C4" w:rsidP="006C41C4">
      <w:pPr>
        <w:keepNext/>
        <w:snapToGrid/>
        <w:spacing w:after="120"/>
        <w:rPr>
          <w:rFonts w:ascii="Arial" w:hAnsi="Arial" w:cs="Arial"/>
          <w:b/>
          <w:sz w:val="22"/>
          <w:szCs w:val="22"/>
        </w:rPr>
      </w:pPr>
      <w:bookmarkStart w:id="423" w:name="indo341"/>
      <w:r w:rsidRPr="00AE71B5">
        <w:rPr>
          <w:rFonts w:ascii="Arial" w:hAnsi="Arial" w:cs="Arial"/>
          <w:b/>
          <w:sz w:val="22"/>
          <w:szCs w:val="22"/>
        </w:rPr>
        <w:t>Indonesia</w:t>
      </w:r>
    </w:p>
    <w:bookmarkEnd w:id="423"/>
    <w:p w14:paraId="5D64484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Indonesia deeply commends the comprehensive progress of the Intergovernmental Coordination Group for the Indian Ocean Tsunami Warning and Mitigation System (ICG/IOTWMS). We extend heartfelt appreciation to the outgoing leadership—Prof. </w:t>
      </w:r>
      <w:proofErr w:type="spellStart"/>
      <w:r w:rsidRPr="00AE71B5">
        <w:rPr>
          <w:rFonts w:ascii="Arial" w:eastAsia="Simsun (Founder Extended)" w:hAnsi="Arial" w:cs="Arial"/>
          <w:snapToGrid/>
          <w:sz w:val="22"/>
          <w:szCs w:val="22"/>
        </w:rPr>
        <w:t>Dwikorita</w:t>
      </w:r>
      <w:proofErr w:type="spellEnd"/>
      <w:r w:rsidRPr="00AE71B5">
        <w:rPr>
          <w:rFonts w:ascii="Arial" w:eastAsia="Simsun (Founder Extended)" w:hAnsi="Arial" w:cs="Arial"/>
          <w:snapToGrid/>
          <w:sz w:val="22"/>
          <w:szCs w:val="22"/>
        </w:rPr>
        <w:t xml:space="preserve"> Karnawati, Dr. </w:t>
      </w:r>
      <w:proofErr w:type="spellStart"/>
      <w:r w:rsidRPr="00AE71B5">
        <w:rPr>
          <w:rFonts w:ascii="Arial" w:eastAsia="Simsun (Founder Extended)" w:hAnsi="Arial" w:cs="Arial"/>
          <w:snapToGrid/>
          <w:sz w:val="22"/>
          <w:szCs w:val="22"/>
        </w:rPr>
        <w:t>Yuelong</w:t>
      </w:r>
      <w:proofErr w:type="spellEnd"/>
      <w:r w:rsidRPr="00AE71B5">
        <w:rPr>
          <w:rFonts w:ascii="Arial" w:eastAsia="Simsun (Founder Extended)" w:hAnsi="Arial" w:cs="Arial"/>
          <w:snapToGrid/>
          <w:sz w:val="22"/>
          <w:szCs w:val="22"/>
        </w:rPr>
        <w:t xml:space="preserve"> Miao, and Dr. </w:t>
      </w:r>
      <w:proofErr w:type="spellStart"/>
      <w:r w:rsidRPr="00AE71B5">
        <w:rPr>
          <w:rFonts w:ascii="Arial" w:eastAsia="Simsun (Founder Extended)" w:hAnsi="Arial" w:cs="Arial"/>
          <w:snapToGrid/>
          <w:sz w:val="22"/>
          <w:szCs w:val="22"/>
        </w:rPr>
        <w:t>Pattabi</w:t>
      </w:r>
      <w:proofErr w:type="spellEnd"/>
      <w:r w:rsidRPr="00AE71B5">
        <w:rPr>
          <w:rFonts w:ascii="Arial" w:eastAsia="Simsun (Founder Extended)" w:hAnsi="Arial" w:cs="Arial"/>
          <w:snapToGrid/>
          <w:sz w:val="22"/>
          <w:szCs w:val="22"/>
        </w:rPr>
        <w:t xml:space="preserve"> Rama Rao—whose tenure delivered significant results, including a regional capacity assessment framework adopted by the Pacific, and the recognition of 48 Tsunami Ready communities, half of the global total. Their efforts also advanced observation systems, private sector engagement, and strategic collaboration with UN ESCAP. We warmly welcome the new leadership of Dr. </w:t>
      </w:r>
      <w:proofErr w:type="spellStart"/>
      <w:r w:rsidRPr="00AE71B5">
        <w:rPr>
          <w:rFonts w:ascii="Arial" w:eastAsia="Simsun (Founder Extended)" w:hAnsi="Arial" w:cs="Arial"/>
          <w:snapToGrid/>
          <w:sz w:val="22"/>
          <w:szCs w:val="22"/>
        </w:rPr>
        <w:t>Pattabi</w:t>
      </w:r>
      <w:proofErr w:type="spellEnd"/>
      <w:r w:rsidRPr="00AE71B5">
        <w:rPr>
          <w:rFonts w:ascii="Arial" w:eastAsia="Simsun (Founder Extended)" w:hAnsi="Arial" w:cs="Arial"/>
          <w:snapToGrid/>
          <w:sz w:val="22"/>
          <w:szCs w:val="22"/>
        </w:rPr>
        <w:t xml:space="preserve"> Rama Rao, Dr. </w:t>
      </w:r>
      <w:proofErr w:type="spellStart"/>
      <w:r w:rsidRPr="00AE71B5">
        <w:rPr>
          <w:rFonts w:ascii="Arial" w:eastAsia="Simsun (Founder Extended)" w:hAnsi="Arial" w:cs="Arial"/>
          <w:snapToGrid/>
          <w:sz w:val="22"/>
          <w:szCs w:val="22"/>
        </w:rPr>
        <w:t>Harkunti</w:t>
      </w:r>
      <w:proofErr w:type="spellEnd"/>
      <w:r w:rsidRPr="00AE71B5">
        <w:rPr>
          <w:rFonts w:ascii="Arial" w:eastAsia="Simsun (Founder Extended)" w:hAnsi="Arial" w:cs="Arial"/>
          <w:snapToGrid/>
          <w:sz w:val="22"/>
          <w:szCs w:val="22"/>
        </w:rPr>
        <w:t xml:space="preserve"> Rahayu, and Dr. </w:t>
      </w:r>
      <w:proofErr w:type="spellStart"/>
      <w:r w:rsidRPr="00AE71B5">
        <w:rPr>
          <w:rFonts w:ascii="Arial" w:eastAsia="Simsun (Founder Extended)" w:hAnsi="Arial" w:cs="Arial"/>
          <w:snapToGrid/>
          <w:sz w:val="22"/>
          <w:szCs w:val="22"/>
        </w:rPr>
        <w:t>Yuelong</w:t>
      </w:r>
      <w:proofErr w:type="spellEnd"/>
      <w:r w:rsidRPr="00AE71B5">
        <w:rPr>
          <w:rFonts w:ascii="Arial" w:eastAsia="Simsun (Founder Extended)" w:hAnsi="Arial" w:cs="Arial"/>
          <w:snapToGrid/>
          <w:sz w:val="22"/>
          <w:szCs w:val="22"/>
        </w:rPr>
        <w:t xml:space="preserve"> Miao, fully supporting their vision for tsunami preparedness.</w:t>
      </w:r>
    </w:p>
    <w:p w14:paraId="6B34EE3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Our partnership with UNESCO-IOC is highly valued, particularly through hosting the Indian Ocean Tsunami Information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(IOTIC) in Jakarta since 2017. Under Mr. Ardito Kodijat's leadership, IOTIC-BMKG has made crucial contributions to regional tsunami preparedness. As we approach this leadership transition, Indonesia proposes a strategic institutional strengthening by formally integrating IOTIC as a dedicated division within BMKG, with Indonesia assuming the leadership role. This model guarantees long-term </w:t>
      </w:r>
      <w:proofErr w:type="gramStart"/>
      <w:r w:rsidRPr="00AE71B5">
        <w:rPr>
          <w:rFonts w:ascii="Arial" w:eastAsia="Simsun (Founder Extended)" w:hAnsi="Arial" w:cs="Arial"/>
          <w:snapToGrid/>
          <w:sz w:val="22"/>
          <w:szCs w:val="22"/>
        </w:rPr>
        <w:t>funding ,</w:t>
      </w:r>
      <w:proofErr w:type="gramEnd"/>
      <w:r w:rsidRPr="00AE71B5">
        <w:rPr>
          <w:rFonts w:ascii="Arial" w:eastAsia="Simsun (Founder Extended)" w:hAnsi="Arial" w:cs="Arial"/>
          <w:snapToGrid/>
          <w:sz w:val="22"/>
          <w:szCs w:val="22"/>
        </w:rPr>
        <w:t xml:space="preserve"> enhances institutional support and visibility, and strengthens regional leadership in tsunami information sharing.</w:t>
      </w:r>
    </w:p>
    <w:p w14:paraId="68A3461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appreciate the report from the Intergovernmental Coordination Group for the Pacific Tsunami Warning and Mitigation System (ICG/PTWS). Given Indonesia’s vulnerability to tsunamis, especially in Eastern Indonesia and the South China Sea, we propose ICG/PTWS collaborate with us to build tsunami preparedness capacity in coastal Papua to Papua New Guinea, and the South China Sea region. </w:t>
      </w:r>
    </w:p>
    <w:p w14:paraId="5AC59EE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Lastly, we are grateful to IOC UNESCO for entrusting Indonesia to host the 2nd Global Tsunami Symposium, hoping the Banda Aceh Statement will help achieve 100% Tsunami Ready Communities worldwide. We look forward to deepening our collaboration with ICG/IOTWMS, ICG/PTWS and UNESCO-IOC to strengthen the Indian Ocean's multi-hazard early warning capabilities.</w:t>
      </w:r>
    </w:p>
    <w:p w14:paraId="6A6CD722" w14:textId="77777777" w:rsidR="006C41C4" w:rsidRPr="009863A3" w:rsidRDefault="006C41C4" w:rsidP="006C41C4">
      <w:pPr>
        <w:keepNext/>
        <w:snapToGrid/>
        <w:spacing w:after="120"/>
        <w:rPr>
          <w:rFonts w:ascii="Arial" w:hAnsi="Arial" w:cs="Arial"/>
          <w:b/>
          <w:sz w:val="22"/>
          <w:szCs w:val="22"/>
          <w:lang w:val="en-US"/>
        </w:rPr>
      </w:pPr>
      <w:bookmarkStart w:id="424" w:name="jap341"/>
      <w:r w:rsidRPr="009863A3">
        <w:rPr>
          <w:rFonts w:ascii="Arial" w:hAnsi="Arial" w:cs="Arial"/>
          <w:b/>
          <w:sz w:val="22"/>
          <w:szCs w:val="22"/>
          <w:lang w:val="en-US"/>
        </w:rPr>
        <w:lastRenderedPageBreak/>
        <w:t>Japan</w:t>
      </w:r>
    </w:p>
    <w:bookmarkEnd w:id="424"/>
    <w:p w14:paraId="6C86126F" w14:textId="77777777" w:rsidR="006C41C4" w:rsidRPr="00AE71B5" w:rsidRDefault="006C41C4" w:rsidP="006C41C4">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First of all</w:t>
      </w:r>
      <w:proofErr w:type="gramEnd"/>
      <w:r w:rsidRPr="00AE71B5">
        <w:rPr>
          <w:rFonts w:ascii="Arial" w:eastAsia="Simsun (Founder Extended)" w:hAnsi="Arial" w:cs="Arial"/>
          <w:snapToGrid/>
          <w:sz w:val="22"/>
          <w:szCs w:val="22"/>
        </w:rPr>
        <w:t>, Japan sincerely thanks the representatives of the four ICGs and TOWS-WG, for their comprehensive and informative presentations on activities and achievements regarding tsunami disaster risk reduction.</w:t>
      </w:r>
    </w:p>
    <w:p w14:paraId="6E7E196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Firstly, Japan appreciates the PTWS Tsunami Ready Equivalency Guidance, provisionally approved at its 31st session, to further proceed Tsunami Preparedness Recognition Program. We hope the guidance will enable countries and communities with rich experience of tsunami preparedness, to be evaluated in an efficient manner, thereby advancing tsunami preparedness in the region.</w:t>
      </w:r>
    </w:p>
    <w:p w14:paraId="76A209B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Secondly, we greatly value the ESCAP-supported tsunami preparedness capacity assessment in the Pacific. It is crucial that the results of this survey will be effectively utilized to strengthen tsunami preparedness. Japan will provide strong support for this effort through the Northwest Pacific Tsunami Advisory Centre, as well as capacity-building through Japan International Cooperation Agency.</w:t>
      </w:r>
    </w:p>
    <w:p w14:paraId="415AB3D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Thirdly, Japan would like to express our sincere gratitude to the Pacific Tsunami Warning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PTWC, for preparing to provide tsunami advisories to NAVAREA coordinators in the Pacific. We respectfully request that the IOC continues its close coordination with the IHO and IMO to ensure the smooth initiation of the operation.</w:t>
      </w:r>
    </w:p>
    <w:p w14:paraId="4FB18E7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for the reports by TOWS-Working Group, Japan expresses its profound appreciation for the publication of the technical document on </w:t>
      </w:r>
      <w:proofErr w:type="spellStart"/>
      <w:r w:rsidRPr="00AE71B5">
        <w:rPr>
          <w:rFonts w:ascii="Arial" w:eastAsia="Simsun (Founder Extended)" w:hAnsi="Arial" w:cs="Arial"/>
          <w:snapToGrid/>
          <w:sz w:val="22"/>
          <w:szCs w:val="22"/>
        </w:rPr>
        <w:t>Meteotsunamis</w:t>
      </w:r>
      <w:proofErr w:type="spellEnd"/>
      <w:r w:rsidRPr="00AE71B5">
        <w:rPr>
          <w:rFonts w:ascii="Arial" w:eastAsia="Simsun (Founder Extended)" w:hAnsi="Arial" w:cs="Arial"/>
          <w:snapToGrid/>
          <w:sz w:val="22"/>
          <w:szCs w:val="22"/>
        </w:rPr>
        <w:t>, a collaborative effort between the IOC and WMO. We also support its findings, including the value of collaboration between National Meteorological and Hydrological Services and Tsunami authorities.</w:t>
      </w:r>
    </w:p>
    <w:p w14:paraId="69B3BC9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would like to emphasize the importance of collaboration between volcano and tsunami authorities, to enhance monitoring and predicting capacities of tsunamis generated by volcanic eruption. In this context, we would like to express our gratitude to the IOC for organizing the webinar in this April that facilitated collaboration among those organizations and various experts.</w:t>
      </w:r>
    </w:p>
    <w:p w14:paraId="2F5666F0" w14:textId="77777777" w:rsidR="006C41C4" w:rsidRPr="00AE71B5" w:rsidRDefault="006C41C4" w:rsidP="006C41C4">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Last but not least</w:t>
      </w:r>
      <w:proofErr w:type="gramEnd"/>
      <w:r w:rsidRPr="00AE71B5">
        <w:rPr>
          <w:rFonts w:ascii="Arial" w:eastAsia="Simsun (Founder Extended)" w:hAnsi="Arial" w:cs="Arial"/>
          <w:snapToGrid/>
          <w:sz w:val="22"/>
          <w:szCs w:val="22"/>
        </w:rPr>
        <w:t>, Japan believes the great success of the first Ocean Decade Tsunami Program conference, to be held this November in India. We would like to express our sincere gratitude to India for hosting the event.</w:t>
      </w:r>
    </w:p>
    <w:p w14:paraId="20B7D19E" w14:textId="77777777" w:rsidR="006C41C4" w:rsidRPr="00E647B1" w:rsidRDefault="006C41C4" w:rsidP="006C41C4">
      <w:pPr>
        <w:keepNext/>
        <w:snapToGrid/>
        <w:spacing w:after="120"/>
        <w:rPr>
          <w:rFonts w:ascii="Arial" w:hAnsi="Arial" w:cs="Arial"/>
          <w:b/>
          <w:sz w:val="22"/>
          <w:szCs w:val="22"/>
          <w:lang w:val="en-US"/>
        </w:rPr>
      </w:pPr>
      <w:bookmarkStart w:id="425" w:name="malay341"/>
      <w:r w:rsidRPr="00E647B1">
        <w:rPr>
          <w:rFonts w:ascii="Arial" w:hAnsi="Arial" w:cs="Arial"/>
          <w:b/>
          <w:sz w:val="22"/>
          <w:szCs w:val="22"/>
          <w:lang w:val="en-US"/>
        </w:rPr>
        <w:t>Malaysia</w:t>
      </w:r>
    </w:p>
    <w:bookmarkEnd w:id="425"/>
    <w:p w14:paraId="46F1585D"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is actively strengthening its early warning systems to address ocean hazards, especially tsunamis and sea-level rise.</w:t>
      </w:r>
    </w:p>
    <w:p w14:paraId="33D7C9F1"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Our National Tsunami Early Warning System (MNTEWS), managed by Malaysian Meteorological Department (</w:t>
      </w:r>
      <w:proofErr w:type="spellStart"/>
      <w:r w:rsidRPr="00AE71B5">
        <w:rPr>
          <w:rFonts w:ascii="Arial" w:eastAsia="Simsun (Founder Extended)" w:hAnsi="Arial" w:cs="Arial"/>
          <w:snapToGrid/>
          <w:sz w:val="22"/>
          <w:szCs w:val="22"/>
          <w:lang w:val="en-US"/>
        </w:rPr>
        <w:t>MetMalaysia</w:t>
      </w:r>
      <w:proofErr w:type="spellEnd"/>
      <w:r w:rsidRPr="00AE71B5">
        <w:rPr>
          <w:rFonts w:ascii="Arial" w:eastAsia="Simsun (Founder Extended)" w:hAnsi="Arial" w:cs="Arial"/>
          <w:snapToGrid/>
          <w:sz w:val="22"/>
          <w:szCs w:val="22"/>
          <w:lang w:val="en-US"/>
        </w:rPr>
        <w:t xml:space="preserve">), integrates seismic sensors, tide gauges, and coastal surveillance cameras. It provides rapid alerts and is supported by regular public drills and awareness campaigns. </w:t>
      </w:r>
    </w:p>
    <w:p w14:paraId="786AFA7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National Water Research Institute (NAHRIM) projects a rise of 0.25 to 0.52 meters by 2100 in Peninsular Malaysia. Monitoring is led by the Department of Survey and Mapping Malaysia (DSMM) through tide gauges and satellite altimetry.</w:t>
      </w:r>
    </w:p>
    <w:p w14:paraId="3B169D5D"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has improved coordination across agencies through National Disaster Management Agency (NADMA) and aligned its efforts with the National Policy on Climate Change 2.0, which emphasizes preparedness and risk reduction.</w:t>
      </w:r>
    </w:p>
    <w:p w14:paraId="6D9FCA3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To support innovation, the government is working with universities to fund research on ocean monitoring, modelling, and local forecasting. Initiatives such as the UTM–MERCY Malaysia collaboration are helping build technical capacity and community resilience.</w:t>
      </w:r>
    </w:p>
    <w:p w14:paraId="261E2449"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Moving forward, Malaysia will:</w:t>
      </w:r>
    </w:p>
    <w:p w14:paraId="6D62B8E4"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Expand ocean and sea-level monitoring </w:t>
      </w:r>
      <w:proofErr w:type="gramStart"/>
      <w:r w:rsidRPr="00AE71B5">
        <w:rPr>
          <w:rFonts w:ascii="Arial" w:eastAsia="Simsun (Founder Extended)" w:hAnsi="Arial" w:cs="Arial"/>
          <w:snapToGrid/>
          <w:sz w:val="22"/>
          <w:szCs w:val="22"/>
          <w:lang w:val="en-US"/>
        </w:rPr>
        <w:t>systems;</w:t>
      </w:r>
      <w:proofErr w:type="gramEnd"/>
    </w:p>
    <w:p w14:paraId="7F5C01C1"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Strengthen forecasting through research and </w:t>
      </w:r>
      <w:proofErr w:type="gramStart"/>
      <w:r w:rsidRPr="00AE71B5">
        <w:rPr>
          <w:rFonts w:ascii="Arial" w:eastAsia="Simsun (Founder Extended)" w:hAnsi="Arial" w:cs="Arial"/>
          <w:snapToGrid/>
          <w:sz w:val="22"/>
          <w:szCs w:val="22"/>
          <w:lang w:val="en-US"/>
        </w:rPr>
        <w:t>innovation;</w:t>
      </w:r>
      <w:proofErr w:type="gramEnd"/>
    </w:p>
    <w:p w14:paraId="07BC3DEE"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w:t>
      </w:r>
      <w:r w:rsidRPr="00AE71B5">
        <w:rPr>
          <w:rFonts w:ascii="Arial" w:eastAsia="Simsun (Founder Extended)" w:hAnsi="Arial" w:cs="Arial"/>
          <w:snapToGrid/>
          <w:sz w:val="22"/>
          <w:szCs w:val="22"/>
          <w:lang w:val="en-US"/>
        </w:rPr>
        <w:tab/>
        <w:t>Improve local early warning dissemination; and</w:t>
      </w:r>
    </w:p>
    <w:p w14:paraId="5BA08DD4"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Enhance regional cooperation under IOC’s IOTWMS and PTWS frameworks.</w:t>
      </w:r>
    </w:p>
    <w:p w14:paraId="396DEAF6" w14:textId="77777777" w:rsidR="006C41C4" w:rsidRPr="00AE71B5" w:rsidRDefault="006C41C4" w:rsidP="006C41C4">
      <w:pPr>
        <w:keepNext/>
        <w:snapToGrid/>
        <w:spacing w:after="120"/>
        <w:rPr>
          <w:rFonts w:ascii="Arial" w:hAnsi="Arial" w:cs="Arial"/>
          <w:b/>
          <w:sz w:val="22"/>
          <w:szCs w:val="22"/>
        </w:rPr>
      </w:pPr>
      <w:bookmarkStart w:id="426" w:name="oman341"/>
      <w:r w:rsidRPr="00AE71B5">
        <w:rPr>
          <w:rFonts w:ascii="Arial" w:hAnsi="Arial" w:cs="Arial"/>
          <w:b/>
          <w:sz w:val="22"/>
          <w:szCs w:val="22"/>
        </w:rPr>
        <w:t>Oman</w:t>
      </w:r>
    </w:p>
    <w:bookmarkEnd w:id="426"/>
    <w:p w14:paraId="48DBBD4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Oman, in collaboration with the (IOC) and the United Nations Economic and Social Commission for Asia and the Pacific (UNESCAP), hosted the “Regional Training Workshop on Tsunami Inundation Modelling and Evacuation Planning for the North-West Indian Ocean Region, which was held in April 2024 in Muscat. The event brought together approximately 70 participants from regional and international institutions.  AL Hail North (in Oman) was used as a pilot site for tsunami simulation and evacuation planning. The exercise aimed to support the development of tsunami inundation and evacuation maps.</w:t>
      </w:r>
    </w:p>
    <w:p w14:paraId="30F830F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Oman also continues to play an active role in regional coordination. We currently represent the North Indian Ocean on the Task Team for Tsunami Watch Operations and Serve as Vice-Chair of the ICG/IOTWMS Regional Working Group.</w:t>
      </w:r>
    </w:p>
    <w:p w14:paraId="3C7A6E9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Additionally, Oman is actively involved in public awareness campaigns, and we regularly participate in initiatives like World Tsunami Awareness Day.</w:t>
      </w:r>
    </w:p>
    <w:p w14:paraId="3FF12C9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I'm pleased to share that the Government of Oman intends to host the 15th session of the ICG/IOTWMS in 2026. We look forward to welcoming you all then.</w:t>
      </w:r>
    </w:p>
    <w:p w14:paraId="224843E5" w14:textId="77777777" w:rsidR="006C41C4" w:rsidRPr="00E647B1" w:rsidRDefault="006C41C4" w:rsidP="006C41C4">
      <w:pPr>
        <w:keepNext/>
        <w:snapToGrid/>
        <w:spacing w:after="120"/>
        <w:rPr>
          <w:rFonts w:ascii="Arial" w:hAnsi="Arial" w:cs="Arial"/>
          <w:b/>
          <w:sz w:val="22"/>
          <w:szCs w:val="22"/>
          <w:lang w:val="en-US"/>
        </w:rPr>
      </w:pPr>
      <w:bookmarkStart w:id="427" w:name="port341"/>
      <w:r w:rsidRPr="00E647B1">
        <w:rPr>
          <w:rFonts w:ascii="Arial" w:hAnsi="Arial" w:cs="Arial"/>
          <w:b/>
          <w:sz w:val="22"/>
          <w:szCs w:val="22"/>
          <w:lang w:val="en-US"/>
        </w:rPr>
        <w:t>Portugal</w:t>
      </w:r>
    </w:p>
    <w:bookmarkEnd w:id="427"/>
    <w:p w14:paraId="4961740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Portugal considers of extreme importance the existence of Tsunami Early Warning Systems and has been actively involved in the implementation of the Tsunami Warning System for the NE Atlantic, Mediterranean and Connected Sea's region since the beginning. The Portuguese National Tsunami Warning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based at the Portuguese Institute for Sea and Atmosphere (IPMA), has been operating at national level since the end of 2017 and after 2019 as an accredited Tsunami Service Provider (TSP) at international/regional level.</w:t>
      </w:r>
    </w:p>
    <w:p w14:paraId="3AACB6C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implementation has been conducted in close coordination with the National Emergency and Civil Protection Authority (ANEPC), which is a crucial entity in the process. We also highlight the contribution of several institutions, at national and international level, namely in the seismic and sea level data sharing process.</w:t>
      </w:r>
    </w:p>
    <w:p w14:paraId="0EEC339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Following a decision of the Portuguese Government, we are preparing a major contribution to the monitoring system in the NE Atlantic, which is the implementation of the Atlantic SMART Cable (Telecommunication cable instrumented with sensors) in the Azores-Madeira-PT mainland region, that will improve the monitoring of ocean variables, and in particular the detection and early warning capability of earthquakes and tsunamis. </w:t>
      </w:r>
    </w:p>
    <w:p w14:paraId="16846FD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IP Telecom, the Portuguese public company, was given the mission to implement the infrastructure, with IPMA assisting in the Observer component of the cable. The monitoring infrastructure will comprise 20 nodes of sensors (measuring ground motion, pressure and temperature</w:t>
      </w:r>
      <w:proofErr w:type="gramStart"/>
      <w:r w:rsidRPr="00AE71B5">
        <w:rPr>
          <w:rFonts w:ascii="Arial" w:eastAsia="Simsun (Founder Extended)" w:hAnsi="Arial" w:cs="Arial"/>
          <w:snapToGrid/>
          <w:sz w:val="22"/>
          <w:szCs w:val="22"/>
        </w:rPr>
        <w:t>), and</w:t>
      </w:r>
      <w:proofErr w:type="gramEnd"/>
      <w:r w:rsidRPr="00AE71B5">
        <w:rPr>
          <w:rFonts w:ascii="Arial" w:eastAsia="Simsun (Founder Extended)" w:hAnsi="Arial" w:cs="Arial"/>
          <w:snapToGrid/>
          <w:sz w:val="22"/>
          <w:szCs w:val="22"/>
        </w:rPr>
        <w:t xml:space="preserve"> should be in operation in the first semester of 2027.</w:t>
      </w:r>
    </w:p>
    <w:p w14:paraId="71C35D3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Due to the low frequency of tsunami events in the NEAM region, </w:t>
      </w:r>
      <w:proofErr w:type="gramStart"/>
      <w:r w:rsidRPr="00AE71B5">
        <w:rPr>
          <w:rFonts w:ascii="Arial" w:eastAsia="Simsun (Founder Extended)" w:hAnsi="Arial" w:cs="Arial"/>
          <w:snapToGrid/>
          <w:sz w:val="22"/>
          <w:szCs w:val="22"/>
        </w:rPr>
        <w:t>more and more</w:t>
      </w:r>
      <w:proofErr w:type="gramEnd"/>
      <w:r w:rsidRPr="00AE71B5">
        <w:rPr>
          <w:rFonts w:ascii="Arial" w:eastAsia="Simsun (Founder Extended)" w:hAnsi="Arial" w:cs="Arial"/>
          <w:snapToGrid/>
          <w:sz w:val="22"/>
          <w:szCs w:val="22"/>
        </w:rPr>
        <w:t xml:space="preserve"> exercises are essential for the preparation of the system, and we highlight initiatives as the </w:t>
      </w:r>
      <w:proofErr w:type="spellStart"/>
      <w:r w:rsidRPr="00AE71B5">
        <w:rPr>
          <w:rFonts w:ascii="Arial" w:eastAsia="Simsun (Founder Extended)" w:hAnsi="Arial" w:cs="Arial"/>
          <w:snapToGrid/>
          <w:sz w:val="22"/>
          <w:szCs w:val="22"/>
        </w:rPr>
        <w:t>NEAMWave</w:t>
      </w:r>
      <w:proofErr w:type="spellEnd"/>
      <w:r w:rsidRPr="00AE71B5">
        <w:rPr>
          <w:rFonts w:ascii="Arial" w:eastAsia="Simsun (Founder Extended)" w:hAnsi="Arial" w:cs="Arial"/>
          <w:snapToGrid/>
          <w:sz w:val="22"/>
          <w:szCs w:val="22"/>
        </w:rPr>
        <w:t xml:space="preserve"> exercises, now with NEAMwave26 in preparation, which are crucial to test and validate the operational procedures. Several outreach initiatives and local exercises, in coordination with civil authorities, have been regularly organized and are considered extremely useful for the success of the whole system.</w:t>
      </w:r>
    </w:p>
    <w:p w14:paraId="6EDC56E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To conclude, we also highlight the developments in terms of the Tsunami Ready programme, aiming the preparation of the coastal communities and noting the extensive work that is being done at national and international level. Portugal is now preparing the constitution of its Tsunami Ready National Board.</w:t>
      </w:r>
    </w:p>
    <w:p w14:paraId="15FEDE39" w14:textId="77777777" w:rsidR="006C41C4" w:rsidRPr="00E647B1" w:rsidRDefault="006C41C4" w:rsidP="006C41C4">
      <w:pPr>
        <w:keepNext/>
        <w:snapToGrid/>
        <w:spacing w:after="120"/>
        <w:rPr>
          <w:rFonts w:ascii="Arial" w:hAnsi="Arial" w:cs="Arial"/>
          <w:b/>
          <w:sz w:val="22"/>
          <w:szCs w:val="22"/>
          <w:lang w:val="en-US"/>
        </w:rPr>
      </w:pPr>
      <w:bookmarkStart w:id="428" w:name="rok341"/>
      <w:r w:rsidRPr="00E647B1">
        <w:rPr>
          <w:rFonts w:ascii="Arial" w:hAnsi="Arial" w:cs="Arial"/>
          <w:b/>
          <w:sz w:val="22"/>
          <w:szCs w:val="22"/>
          <w:lang w:val="en-US"/>
        </w:rPr>
        <w:lastRenderedPageBreak/>
        <w:t>Republic of Korea</w:t>
      </w:r>
    </w:p>
    <w:bookmarkEnd w:id="428"/>
    <w:p w14:paraId="6D9FDF6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Republic of Korea expresses its appreciation and strong support for the continued efforts of IOC and regional ICGs to achieve the goals of the UN Ocean Decade Tsunami Program (ODTP) and to reduce the risks posed by tsunamis. </w:t>
      </w:r>
    </w:p>
    <w:p w14:paraId="2949B90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 1 January 2024, the Republic of Korea experienced its first tsunami in 30 years. A maximum tsunami height of 82cm recorded along the eastern coastline, causing significant confusion and concern among coastal residents. In response, relevant government ministries have developed and are actively operating improved tsunami warning and monitoring systems. </w:t>
      </w:r>
    </w:p>
    <w:p w14:paraId="0C4BEFE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will continue to develop advanced technologies to improve the accuracy of tsunami predictions, and to provide timely information that will support effective responses and enhance the safety of coastal communities.</w:t>
      </w:r>
    </w:p>
    <w:p w14:paraId="58401B48" w14:textId="77777777" w:rsidR="006C41C4" w:rsidRPr="00AE71B5" w:rsidRDefault="006C41C4" w:rsidP="006C41C4">
      <w:pPr>
        <w:keepNext/>
        <w:snapToGrid/>
        <w:spacing w:after="120"/>
        <w:rPr>
          <w:rFonts w:ascii="Arial" w:hAnsi="Arial" w:cs="Arial"/>
          <w:b/>
          <w:sz w:val="22"/>
          <w:szCs w:val="22"/>
          <w:lang w:val="es-ES"/>
        </w:rPr>
      </w:pPr>
      <w:bookmarkStart w:id="429" w:name="spain341"/>
      <w:proofErr w:type="spellStart"/>
      <w:r w:rsidRPr="00AE71B5">
        <w:rPr>
          <w:rFonts w:ascii="Arial" w:hAnsi="Arial" w:cs="Arial"/>
          <w:b/>
          <w:sz w:val="22"/>
          <w:szCs w:val="22"/>
          <w:lang w:val="es-ES"/>
        </w:rPr>
        <w:t>Spain</w:t>
      </w:r>
      <w:proofErr w:type="spellEnd"/>
    </w:p>
    <w:bookmarkEnd w:id="429"/>
    <w:p w14:paraId="2E637E3C"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apoya las actividades del Grupo de Coordinación Internacional del NEAMTWS, entre otras cosas a través del compromiso de Ignacio Aguirre como vicepresidente, y está haciendo un importante esfuerzo en el desarrollo de sistemas de alerta y en los protocolos de actuación. Los mejores ejemplos son el reconocimiento de Chipiona como ciudad </w:t>
      </w:r>
      <w:proofErr w:type="spellStart"/>
      <w:r w:rsidRPr="00AE71B5">
        <w:rPr>
          <w:rFonts w:ascii="Arial" w:eastAsia="Simsun (Founder Extended)" w:hAnsi="Arial" w:cs="Arial"/>
          <w:snapToGrid/>
          <w:sz w:val="22"/>
          <w:szCs w:val="22"/>
          <w:lang w:val="es-ES"/>
        </w:rPr>
        <w:t>Tsunamy</w:t>
      </w:r>
      <w:proofErr w:type="spellEnd"/>
      <w:r w:rsidRPr="00AE71B5">
        <w:rPr>
          <w:rFonts w:ascii="Arial" w:eastAsia="Simsun (Founder Extended)" w:hAnsi="Arial" w:cs="Arial"/>
          <w:snapToGrid/>
          <w:sz w:val="22"/>
          <w:szCs w:val="22"/>
          <w:lang w:val="es-ES"/>
        </w:rPr>
        <w:t xml:space="preserve"> Ready y el trabajo de la ciudad de Cádiz para alcanzar pronto esa misma distinción. El pasado mes de mayo se organizó una reunión sobre Smart-Cables en Madrid junto con nuestros colegas portugueses, donde se pusieron de manifiesto las oportunidades que brinda este sistema de observación para los sistemas de alerta.</w:t>
      </w:r>
    </w:p>
    <w:p w14:paraId="39EE9EE9" w14:textId="77777777" w:rsidR="006C41C4" w:rsidRPr="00AE71B5" w:rsidRDefault="006C41C4" w:rsidP="006C41C4">
      <w:pPr>
        <w:keepNext/>
        <w:snapToGrid/>
        <w:spacing w:after="120"/>
        <w:rPr>
          <w:rFonts w:ascii="Arial" w:hAnsi="Arial" w:cs="Arial"/>
          <w:b/>
          <w:sz w:val="22"/>
          <w:szCs w:val="22"/>
        </w:rPr>
      </w:pPr>
      <w:bookmarkStart w:id="430" w:name="turk341"/>
      <w:r w:rsidRPr="00AE71B5">
        <w:rPr>
          <w:rFonts w:ascii="Arial" w:hAnsi="Arial" w:cs="Arial"/>
          <w:b/>
          <w:sz w:val="22"/>
          <w:szCs w:val="22"/>
        </w:rPr>
        <w:t>Türkiye</w:t>
      </w:r>
    </w:p>
    <w:bookmarkEnd w:id="430"/>
    <w:p w14:paraId="125325B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Tsunami Warning Systems are essential components of coastal community. We are honoured to host one of the North-Eastern Atlantic and Mediterranean (NEAM) Tsunami Warning and Mitigation System (TWS) Tsunami Service Provider (TSP), namely the Regional Earthquake and Tsunami Monitoring Centre of </w:t>
      </w:r>
      <w:proofErr w:type="spellStart"/>
      <w:r w:rsidRPr="00AE71B5">
        <w:rPr>
          <w:rFonts w:ascii="Arial" w:eastAsia="Simsun (Founder Extended)" w:hAnsi="Arial" w:cs="Arial"/>
          <w:snapToGrid/>
          <w:sz w:val="22"/>
          <w:szCs w:val="22"/>
        </w:rPr>
        <w:t>Boğaziçi</w:t>
      </w:r>
      <w:proofErr w:type="spellEnd"/>
      <w:r w:rsidRPr="00AE71B5">
        <w:rPr>
          <w:rFonts w:ascii="Arial" w:eastAsia="Simsun (Founder Extended)" w:hAnsi="Arial" w:cs="Arial"/>
          <w:snapToGrid/>
          <w:sz w:val="22"/>
          <w:szCs w:val="22"/>
        </w:rPr>
        <w:t xml:space="preserve"> University-</w:t>
      </w:r>
      <w:proofErr w:type="spellStart"/>
      <w:r w:rsidRPr="00AE71B5">
        <w:rPr>
          <w:rFonts w:ascii="Arial" w:eastAsia="Simsun (Founder Extended)" w:hAnsi="Arial" w:cs="Arial"/>
          <w:snapToGrid/>
          <w:sz w:val="22"/>
          <w:szCs w:val="22"/>
        </w:rPr>
        <w:t>Kandilli</w:t>
      </w:r>
      <w:proofErr w:type="spellEnd"/>
      <w:r w:rsidRPr="00AE71B5">
        <w:rPr>
          <w:rFonts w:ascii="Arial" w:eastAsia="Simsun (Founder Extended)" w:hAnsi="Arial" w:cs="Arial"/>
          <w:snapToGrid/>
          <w:sz w:val="22"/>
          <w:szCs w:val="22"/>
        </w:rPr>
        <w:t xml:space="preserve"> Observatory and Earthquake Research Institute, in Istanbul. This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provides 24 hours / 7 days tsunami warnings to Eastern Mediterranean, Aegean, Marmara and Black Seas since 2012. </w:t>
      </w:r>
    </w:p>
    <w:p w14:paraId="1AD9B10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a result of Tsunami Ready Recognition Programme (TRRP) implementation efforts in Türkiye we are also honoured with the certificate of </w:t>
      </w:r>
      <w:proofErr w:type="spellStart"/>
      <w:r w:rsidRPr="00AE71B5">
        <w:rPr>
          <w:rFonts w:ascii="Arial" w:eastAsia="Simsun (Founder Extended)" w:hAnsi="Arial" w:cs="Arial"/>
          <w:snapToGrid/>
          <w:sz w:val="22"/>
          <w:szCs w:val="22"/>
        </w:rPr>
        <w:t>Büyükçekmece</w:t>
      </w:r>
      <w:proofErr w:type="spellEnd"/>
      <w:r w:rsidRPr="00AE71B5">
        <w:rPr>
          <w:rFonts w:ascii="Arial" w:eastAsia="Simsun (Founder Extended)" w:hAnsi="Arial" w:cs="Arial"/>
          <w:snapToGrid/>
          <w:sz w:val="22"/>
          <w:szCs w:val="22"/>
        </w:rPr>
        <w:t xml:space="preserve"> (İstanbul) as the second Tsunami Ready community in North-Eastern Atlantic and Mediterranean region recognized by UNESCO-IOC in 2024. More others are on the preparation phase in different cities of Türkiye in line with the target of Ocean Decade in Mediterranean Sea.</w:t>
      </w:r>
    </w:p>
    <w:p w14:paraId="2C67FB3B" w14:textId="77777777" w:rsidR="006C41C4" w:rsidRPr="00AE71B5" w:rsidRDefault="006C41C4" w:rsidP="006C41C4">
      <w:pPr>
        <w:snapToGrid/>
        <w:spacing w:after="120"/>
        <w:jc w:val="both"/>
        <w:rPr>
          <w:rFonts w:ascii="Arial" w:eastAsia="Simsun (Founder Extended)" w:hAnsi="Arial" w:cs="Arial"/>
          <w:snapToGrid/>
          <w:sz w:val="22"/>
          <w:szCs w:val="22"/>
        </w:rPr>
      </w:pPr>
      <w:proofErr w:type="spellStart"/>
      <w:r w:rsidRPr="00AE71B5">
        <w:rPr>
          <w:rFonts w:ascii="Arial" w:eastAsia="Simsun (Founder Extended)" w:hAnsi="Arial" w:cs="Arial"/>
          <w:snapToGrid/>
          <w:sz w:val="22"/>
          <w:szCs w:val="22"/>
        </w:rPr>
        <w:t>Kandilli</w:t>
      </w:r>
      <w:proofErr w:type="spellEnd"/>
      <w:r w:rsidRPr="00AE71B5">
        <w:rPr>
          <w:rFonts w:ascii="Arial" w:eastAsia="Simsun (Founder Extended)" w:hAnsi="Arial" w:cs="Arial"/>
          <w:snapToGrid/>
          <w:sz w:val="22"/>
          <w:szCs w:val="22"/>
        </w:rPr>
        <w:t xml:space="preserve"> Observatory and Earthquake Research Institute </w:t>
      </w:r>
      <w:proofErr w:type="gramStart"/>
      <w:r w:rsidRPr="00AE71B5">
        <w:rPr>
          <w:rFonts w:ascii="Arial" w:eastAsia="Simsun (Founder Extended)" w:hAnsi="Arial" w:cs="Arial"/>
          <w:snapToGrid/>
          <w:sz w:val="22"/>
          <w:szCs w:val="22"/>
        </w:rPr>
        <w:t>operates</w:t>
      </w:r>
      <w:proofErr w:type="gramEnd"/>
      <w:r w:rsidRPr="00AE71B5">
        <w:rPr>
          <w:rFonts w:ascii="Arial" w:eastAsia="Simsun (Founder Extended)" w:hAnsi="Arial" w:cs="Arial"/>
          <w:snapToGrid/>
          <w:sz w:val="22"/>
          <w:szCs w:val="22"/>
        </w:rPr>
        <w:t xml:space="preserve"> a sea level network of 24 stations in the Marmara Sea. At the national level, 20 tide-gauge radar type stations are operated by the General Directorate of Mapping.</w:t>
      </w:r>
    </w:p>
    <w:p w14:paraId="2C1DE30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One new tsunami early warning and sea level monitoring system was installed in Aegean Sea in February 2025. Ten new multi-operational tsunami early warning and sea level monitoring stations will be installed in the Aegean, Mediterranean, and Black Seas in this year. </w:t>
      </w:r>
    </w:p>
    <w:p w14:paraId="119C0A5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should be noted that Türkiye provides a significant in-kind contribution not only to the operation of the Centre but also for the development and maintenance of tide-gauges, including the transmission of sea-level data, which is vital for sustaining regional tsunami monitoring and early warning capabilities.</w:t>
      </w:r>
    </w:p>
    <w:p w14:paraId="2A449FC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Tsunamis are transboundary events which makes the intergovernmental governance of relevant activities more important.</w:t>
      </w:r>
    </w:p>
    <w:p w14:paraId="25B2E479" w14:textId="77777777" w:rsidR="006C41C4" w:rsidRPr="00E647B1" w:rsidRDefault="006C41C4" w:rsidP="006C41C4">
      <w:pPr>
        <w:keepNext/>
        <w:snapToGrid/>
        <w:spacing w:after="120"/>
        <w:rPr>
          <w:rFonts w:ascii="Arial" w:hAnsi="Arial" w:cs="Arial"/>
          <w:b/>
          <w:sz w:val="22"/>
          <w:szCs w:val="22"/>
          <w:lang w:val="en-US"/>
        </w:rPr>
      </w:pPr>
      <w:bookmarkStart w:id="431" w:name="uk341"/>
      <w:r w:rsidRPr="00E647B1">
        <w:rPr>
          <w:rFonts w:ascii="Arial" w:hAnsi="Arial" w:cs="Arial"/>
          <w:b/>
          <w:sz w:val="22"/>
          <w:szCs w:val="22"/>
          <w:lang w:val="en-US"/>
        </w:rPr>
        <w:t xml:space="preserve">United Kingdom of Great Britain and Northern Ireland </w:t>
      </w:r>
    </w:p>
    <w:bookmarkEnd w:id="431"/>
    <w:p w14:paraId="5AF3B27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delegation notes that within the ICG/CARIBE-EWS, a total of 23 communities are now recognized as Tsunami Ready under UNESCO-IOC Tsunami Ready Recognition Program and the UK particularly acknowledges the funding of Anguilla’s Tsunami Ready Recognition Project </w:t>
      </w:r>
      <w:r w:rsidRPr="00AE71B5">
        <w:rPr>
          <w:rFonts w:ascii="Arial" w:eastAsia="Simsun (Founder Extended)" w:hAnsi="Arial" w:cs="Arial"/>
          <w:snapToGrid/>
          <w:sz w:val="22"/>
          <w:szCs w:val="22"/>
        </w:rPr>
        <w:lastRenderedPageBreak/>
        <w:t xml:space="preserve">by USAID and appreciates the ongoing support of Pacific Tsunami Warning Centre (PTWC) and International Tsunami Information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(ITIC-CAR) to the UK Overseas Territories.  </w:t>
      </w:r>
    </w:p>
    <w:p w14:paraId="5213A95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With regards to item 3.4.1.2, the UK supports the recommendation of the Eighteenth Meeting of the Working Group on Tsunamis and Other Hazards Related to Sea-Level Warning and Mitigation Systems (TOWS-WG-XVIII) to approve the Tsunami Ready Coalition Implementation Plan, which seeks to raise the profile of and to increase funding resources for the Tsunami Ready Recognition Programme going forward.  </w:t>
      </w:r>
    </w:p>
    <w:p w14:paraId="575494C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Request to prioritise the installation of tide gauges in regions under high tsunami risk where there are known coverage gaps. We also support the approval of the Task Teams on Tsunami Disaster Management and Preparedness, and the task team on Tsunami Watch Operations (TT-DMP and TT-TWO), as suggested in the draft Decision. </w:t>
      </w:r>
    </w:p>
    <w:p w14:paraId="62DD2B4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would also like to point out that in the interest of accuracy the numbering of the TOWS meetings in report IOC/TOWS-WG-XVIII appears inconsistent, sometimes referring to TOWS-WG 18 and other times referring to TOWS-WG 16)</w:t>
      </w:r>
    </w:p>
    <w:p w14:paraId="59D316F7" w14:textId="77777777" w:rsidR="006C41C4" w:rsidRPr="00AE71B5" w:rsidRDefault="006C41C4" w:rsidP="006C41C4">
      <w:pPr>
        <w:keepNext/>
        <w:snapToGrid/>
        <w:spacing w:after="120"/>
        <w:rPr>
          <w:rFonts w:ascii="Arial" w:hAnsi="Arial" w:cs="Arial"/>
          <w:b/>
          <w:sz w:val="22"/>
          <w:szCs w:val="22"/>
        </w:rPr>
      </w:pPr>
      <w:bookmarkStart w:id="432" w:name="us341"/>
      <w:r w:rsidRPr="00AE71B5">
        <w:rPr>
          <w:rFonts w:ascii="Arial" w:hAnsi="Arial" w:cs="Arial"/>
          <w:b/>
          <w:sz w:val="22"/>
          <w:szCs w:val="22"/>
        </w:rPr>
        <w:t>United States of America</w:t>
      </w:r>
    </w:p>
    <w:bookmarkEnd w:id="432"/>
    <w:p w14:paraId="1224F47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is committed to providing timely and effective tsunami services for the protection of life, livelihoods, and economic prosperity in the United States and the Pacific and the Caribbean and Adjacent Regions, including through our continued participation in the PTWS and CARIBE EWS. </w:t>
      </w:r>
    </w:p>
    <w:p w14:paraId="2EC296C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generally support the recommendations and reports of the ICG/PTWS, ICG/CARIBE-EWS, and TOWS meetings. We also support the adoption of the Tsunami Ready Coalition Implementation Plan. </w:t>
      </w:r>
    </w:p>
    <w:p w14:paraId="7A1F103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as referenced in our opening statement, the United States cannot reaffirm Agenda 2030 or the SDGs. </w:t>
      </w:r>
    </w:p>
    <w:p w14:paraId="14BD98C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therefore disassociate from the first paragraph of section 1.2 of the Implementation Plan that was just approved in decision 3.4.1.</w:t>
      </w:r>
    </w:p>
    <w:p w14:paraId="489A9D66" w14:textId="77777777" w:rsidR="006C41C4" w:rsidRPr="00AE71B5" w:rsidRDefault="006C41C4" w:rsidP="006C41C4">
      <w:pPr>
        <w:keepNext/>
        <w:snapToGrid/>
        <w:spacing w:after="120"/>
        <w:rPr>
          <w:rFonts w:ascii="Arial" w:hAnsi="Arial" w:cs="Arial"/>
          <w:b/>
          <w:sz w:val="22"/>
          <w:szCs w:val="22"/>
        </w:rPr>
      </w:pPr>
      <w:bookmarkStart w:id="433" w:name="wmo341"/>
      <w:r w:rsidRPr="00AE71B5">
        <w:rPr>
          <w:rFonts w:ascii="Arial" w:hAnsi="Arial" w:cs="Arial"/>
          <w:b/>
          <w:sz w:val="22"/>
          <w:szCs w:val="22"/>
        </w:rPr>
        <w:t>WMO</w:t>
      </w:r>
    </w:p>
    <w:bookmarkEnd w:id="433"/>
    <w:p w14:paraId="6E95381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WMO warmly welcomes the integration of the UN Secretary-General’s "Early Warnings for All" initiative, aligning closely with our Multi-Hazard Early Warning System (MHEWS) framework.  We are especially encouraged by the system-wide progress in tsunami preparedness and the decision to extend Tsunami Service Provider capabilities to include non-seismic and complex sources, a critical step in tackling emerging risks.</w:t>
      </w:r>
    </w:p>
    <w:p w14:paraId="6D964CC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acknowledge with appreciation the growing focus on inclusive warning systems, particularly efforts targeting children and persons with disabilities. These approaches are vital to ensuring that early warnings reach everyone, especially the most vulnerable.  WMO particularly welcomes the progress on the Common Alerting Protocol (CAP) and appreciates the recognition of CAP as a key link between detection and effective warning dissemination. WMO is committed to collaboration with IOC on the development of a global CAP template for Tsunami Service Providers. </w:t>
      </w:r>
    </w:p>
    <w:p w14:paraId="3A0C80E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Furthermore, we support the call to strengthen coordination between Tsunami Warning Centres and National Meteorological and Hydrological Services, particularly in monitoring instruments, many of which serve multi-hazard needs, including meteorological and oceanographic applications. </w:t>
      </w:r>
    </w:p>
    <w:p w14:paraId="0CBAF01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draw attention to WMO’s latest Global Annual to Decadal Climate Update, which highlights an 86% chance of global temperatures exceeding 1.5°C above pre-industrial levels for at least one year between 2025 and 2029. This reinforces the urgency of strengthening coastal risk preparedness, as climate-driven sea-level variability and warming oceans will increase the impact and frequency of compound hazards.</w:t>
      </w:r>
    </w:p>
    <w:p w14:paraId="7A98B28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WMO stands ready to contribute to the implementation of the Ocean Decade Tsunami Programme, particularly through collaboration on observing networks, data sharing protocols, and the use of emerging technologies, as well to contribute to capacity development, impact-based forecasting methodologies, and regional cooperation.</w:t>
      </w:r>
    </w:p>
    <w:p w14:paraId="4F0717DA"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lang w:val="en-US"/>
        </w:rPr>
        <w:t>3.4.2</w:t>
      </w:r>
      <w:r w:rsidRPr="00AE71B5">
        <w:rPr>
          <w:rFonts w:ascii="Arial" w:hAnsi="Arial" w:cs="Arial"/>
          <w:b/>
          <w:sz w:val="22"/>
          <w:szCs w:val="22"/>
          <w:lang w:val="en-US"/>
        </w:rPr>
        <w:tab/>
        <w:t xml:space="preserve">International Oceanographic Data and Information Exchange:  </w:t>
      </w:r>
      <w:r w:rsidRPr="00AE71B5">
        <w:rPr>
          <w:rFonts w:ascii="Arial" w:hAnsi="Arial" w:cs="Arial"/>
          <w:b/>
          <w:sz w:val="22"/>
          <w:szCs w:val="22"/>
          <w:lang w:val="en-US"/>
        </w:rPr>
        <w:br/>
        <w:t>28th Session of IODE, Santa Marta, Colombia, 12–14 March 2025</w:t>
      </w:r>
    </w:p>
    <w:p w14:paraId="5E2AE26E" w14:textId="77777777" w:rsidR="006C41C4" w:rsidRPr="00AE71B5" w:rsidRDefault="006C41C4" w:rsidP="006C41C4">
      <w:pPr>
        <w:keepNext/>
        <w:snapToGrid/>
        <w:spacing w:after="120"/>
        <w:rPr>
          <w:rFonts w:ascii="Arial" w:hAnsi="Arial" w:cs="Arial"/>
          <w:b/>
          <w:sz w:val="22"/>
          <w:szCs w:val="22"/>
          <w:lang w:val="es-ES"/>
        </w:rPr>
      </w:pPr>
      <w:bookmarkStart w:id="434" w:name="arg342"/>
      <w:r w:rsidRPr="00AE71B5">
        <w:rPr>
          <w:rFonts w:ascii="Arial" w:hAnsi="Arial" w:cs="Arial"/>
          <w:b/>
          <w:sz w:val="22"/>
          <w:szCs w:val="22"/>
          <w:lang w:val="es-ES"/>
        </w:rPr>
        <w:t>Argentina</w:t>
      </w:r>
    </w:p>
    <w:bookmarkEnd w:id="434"/>
    <w:p w14:paraId="2E3D86CE"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particular, la República Argentina desea enfatizar su compromiso con la participación en el Sistema de Datos e Información Oceanográficos (ODIS), entendiendo que la experiencia acumulada a través del Centro Argentino de Datos Oceanográficos, actualmente en un proceso de renovación y modernización, permitirá en el corto plazo el acceso a metadatos y realizar consultas a través de un sitio web dedicado específicamente a estas acciones. </w:t>
      </w:r>
    </w:p>
    <w:p w14:paraId="09695572"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Por su parte, vale destacar que desde el año 2020 funciona en la República Argentina un Centro Especializado del Ocean </w:t>
      </w:r>
      <w:proofErr w:type="spellStart"/>
      <w:r w:rsidRPr="00AE71B5">
        <w:rPr>
          <w:rFonts w:ascii="Arial" w:eastAsia="Simsun (Founder Extended)" w:hAnsi="Arial" w:cs="Arial"/>
          <w:snapToGrid/>
          <w:sz w:val="22"/>
          <w:szCs w:val="22"/>
          <w:lang w:val="es-ES"/>
        </w:rPr>
        <w:t>Teacher</w:t>
      </w:r>
      <w:proofErr w:type="spellEnd"/>
      <w:r w:rsidRPr="00AE71B5">
        <w:rPr>
          <w:rFonts w:ascii="Arial" w:eastAsia="Simsun (Founder Extended)" w:hAnsi="Arial" w:cs="Arial"/>
          <w:snapToGrid/>
          <w:sz w:val="22"/>
          <w:szCs w:val="22"/>
          <w:lang w:val="es-ES"/>
        </w:rPr>
        <w:t xml:space="preserve"> Global </w:t>
      </w:r>
      <w:proofErr w:type="spellStart"/>
      <w:r w:rsidRPr="00AE71B5">
        <w:rPr>
          <w:rFonts w:ascii="Arial" w:eastAsia="Simsun (Founder Extended)" w:hAnsi="Arial" w:cs="Arial"/>
          <w:snapToGrid/>
          <w:sz w:val="22"/>
          <w:szCs w:val="22"/>
          <w:lang w:val="es-ES"/>
        </w:rPr>
        <w:t>Academy</w:t>
      </w:r>
      <w:proofErr w:type="spellEnd"/>
      <w:r w:rsidRPr="00AE71B5">
        <w:rPr>
          <w:rFonts w:ascii="Arial" w:eastAsia="Simsun (Founder Extended)" w:hAnsi="Arial" w:cs="Arial"/>
          <w:snapToGrid/>
          <w:sz w:val="22"/>
          <w:szCs w:val="22"/>
          <w:lang w:val="es-ES"/>
        </w:rPr>
        <w:t xml:space="preserve">, a través del cual se han impartido diversos cursos anuales bajo modalidad virtual en tres áreas de conocimiento: delimitación del límite exterior de la plataforma continental, observaciones de hielo marino y témpanos, y la geología marina e instrucción en temas de minería de fondos marinos. Ello ha capitalizado y difundido la experiencia argentina, contando con una gran concurrencia de participantes, provenientes de diversos países de </w:t>
      </w:r>
      <w:proofErr w:type="spellStart"/>
      <w:r w:rsidRPr="00AE71B5">
        <w:rPr>
          <w:rFonts w:ascii="Arial" w:eastAsia="Simsun (Founder Extended)" w:hAnsi="Arial" w:cs="Arial"/>
          <w:snapToGrid/>
          <w:sz w:val="22"/>
          <w:szCs w:val="22"/>
          <w:lang w:val="es-ES"/>
        </w:rPr>
        <w:t>Lationamérica</w:t>
      </w:r>
      <w:proofErr w:type="spellEnd"/>
      <w:r w:rsidRPr="00AE71B5">
        <w:rPr>
          <w:rFonts w:ascii="Arial" w:eastAsia="Simsun (Founder Extended)" w:hAnsi="Arial" w:cs="Arial"/>
          <w:snapToGrid/>
          <w:sz w:val="22"/>
          <w:szCs w:val="22"/>
          <w:lang w:val="es-ES"/>
        </w:rPr>
        <w:t xml:space="preserve">. Como parte de esta iniciativa, en agosto de este año, se realizará una edición presencial del curso de observador de hielo marino y témpanos, con el patrocinio de la Ocean </w:t>
      </w:r>
      <w:proofErr w:type="spellStart"/>
      <w:r w:rsidRPr="00AE71B5">
        <w:rPr>
          <w:rFonts w:ascii="Arial" w:eastAsia="Simsun (Founder Extended)" w:hAnsi="Arial" w:cs="Arial"/>
          <w:snapToGrid/>
          <w:sz w:val="22"/>
          <w:szCs w:val="22"/>
          <w:lang w:val="es-ES"/>
        </w:rPr>
        <w:t>Teacher</w:t>
      </w:r>
      <w:proofErr w:type="spellEnd"/>
      <w:r w:rsidRPr="00AE71B5">
        <w:rPr>
          <w:rFonts w:ascii="Arial" w:eastAsia="Simsun (Founder Extended)" w:hAnsi="Arial" w:cs="Arial"/>
          <w:snapToGrid/>
          <w:sz w:val="22"/>
          <w:szCs w:val="22"/>
          <w:lang w:val="es-ES"/>
        </w:rPr>
        <w:t xml:space="preserve"> Global </w:t>
      </w:r>
      <w:proofErr w:type="spellStart"/>
      <w:r w:rsidRPr="00AE71B5">
        <w:rPr>
          <w:rFonts w:ascii="Arial" w:eastAsia="Simsun (Founder Extended)" w:hAnsi="Arial" w:cs="Arial"/>
          <w:snapToGrid/>
          <w:sz w:val="22"/>
          <w:szCs w:val="22"/>
          <w:lang w:val="es-ES"/>
        </w:rPr>
        <w:t>Academy</w:t>
      </w:r>
      <w:proofErr w:type="spellEnd"/>
      <w:r w:rsidRPr="00AE71B5">
        <w:rPr>
          <w:rFonts w:ascii="Arial" w:eastAsia="Simsun (Founder Extended)" w:hAnsi="Arial" w:cs="Arial"/>
          <w:snapToGrid/>
          <w:sz w:val="22"/>
          <w:szCs w:val="22"/>
          <w:lang w:val="es-ES"/>
        </w:rPr>
        <w:t xml:space="preserve"> y para participantes de Latinoamérica. </w:t>
      </w:r>
    </w:p>
    <w:p w14:paraId="28FFAA44"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consecuencia, la República Argentina desea acompañar el Proyecto de Decisión propuesto </w:t>
      </w:r>
      <w:proofErr w:type="gramStart"/>
      <w:r w:rsidRPr="00AE71B5">
        <w:rPr>
          <w:rFonts w:ascii="Arial" w:eastAsia="Simsun (Founder Extended)" w:hAnsi="Arial" w:cs="Arial"/>
          <w:snapToGrid/>
          <w:sz w:val="22"/>
          <w:szCs w:val="22"/>
          <w:lang w:val="es-ES"/>
        </w:rPr>
        <w:t>bajo este punto</w:t>
      </w:r>
      <w:proofErr w:type="gramEnd"/>
      <w:r w:rsidRPr="00AE71B5">
        <w:rPr>
          <w:rFonts w:ascii="Arial" w:eastAsia="Simsun (Founder Extended)" w:hAnsi="Arial" w:cs="Arial"/>
          <w:snapToGrid/>
          <w:sz w:val="22"/>
          <w:szCs w:val="22"/>
          <w:lang w:val="es-ES"/>
        </w:rPr>
        <w:t xml:space="preserve"> de agenda, con las siguientes observaciones y sugerencias a los siguientes puntos del apartado III:</w:t>
      </w:r>
    </w:p>
    <w:p w14:paraId="7333C0DA"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i. En el punto 15, se advierte que la redacción no especifica cómo se implementaría el intercambio de datos financiados privadamente, considerando que los IOC Data </w:t>
      </w:r>
      <w:proofErr w:type="spellStart"/>
      <w:r w:rsidRPr="00AE71B5">
        <w:rPr>
          <w:rFonts w:ascii="Arial" w:eastAsia="Simsun (Founder Extended)" w:hAnsi="Arial" w:cs="Arial"/>
          <w:snapToGrid/>
          <w:sz w:val="22"/>
          <w:szCs w:val="22"/>
          <w:lang w:val="es-ES"/>
        </w:rPr>
        <w:t>Policy</w:t>
      </w:r>
      <w:proofErr w:type="spellEnd"/>
      <w:r w:rsidRPr="00AE71B5">
        <w:rPr>
          <w:rFonts w:ascii="Arial" w:eastAsia="Simsun (Founder Extended)" w:hAnsi="Arial" w:cs="Arial"/>
          <w:snapToGrid/>
          <w:sz w:val="22"/>
          <w:szCs w:val="22"/>
          <w:lang w:val="es-ES"/>
        </w:rPr>
        <w:t xml:space="preserve"> and </w:t>
      </w:r>
      <w:proofErr w:type="spellStart"/>
      <w:r w:rsidRPr="00AE71B5">
        <w:rPr>
          <w:rFonts w:ascii="Arial" w:eastAsia="Simsun (Founder Extended)" w:hAnsi="Arial" w:cs="Arial"/>
          <w:snapToGrid/>
          <w:sz w:val="22"/>
          <w:szCs w:val="22"/>
          <w:lang w:val="es-ES"/>
        </w:rPr>
        <w:t>Terms</w:t>
      </w:r>
      <w:proofErr w:type="spellEnd"/>
      <w:r w:rsidRPr="00AE71B5">
        <w:rPr>
          <w:rFonts w:ascii="Arial" w:eastAsia="Simsun (Founder Extended)" w:hAnsi="Arial" w:cs="Arial"/>
          <w:snapToGrid/>
          <w:sz w:val="22"/>
          <w:szCs w:val="22"/>
          <w:lang w:val="es-ES"/>
        </w:rPr>
        <w:t xml:space="preserve"> of Use de 2023 no abordan no abordan expresamente esta situación. Por ello, se sugiere eliminar la referencia a “tanto con financiación pública como privada” para evitar ambigüedades en su interpretación y aplicación.</w:t>
      </w:r>
    </w:p>
    <w:p w14:paraId="237A5658" w14:textId="77777777" w:rsidR="006C41C4" w:rsidRPr="00AE71B5" w:rsidRDefault="006C41C4" w:rsidP="006C41C4">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ii</w:t>
      </w:r>
      <w:proofErr w:type="spellEnd"/>
      <w:r w:rsidRPr="00AE71B5">
        <w:rPr>
          <w:rFonts w:ascii="Arial" w:eastAsia="Simsun (Founder Extended)" w:hAnsi="Arial" w:cs="Arial"/>
          <w:snapToGrid/>
          <w:sz w:val="22"/>
          <w:szCs w:val="22"/>
          <w:lang w:val="es-ES"/>
        </w:rPr>
        <w:t xml:space="preserve">. El punto 16 no parece tener carácter dispositivo, sino preambular, al constituir una declaración que fundamenta las acciones propuestas en el proyecto de decisión, por lo que se sugiere trasladar el enunciado a las cláusulas </w:t>
      </w:r>
      <w:proofErr w:type="spellStart"/>
      <w:r w:rsidRPr="00AE71B5">
        <w:rPr>
          <w:rFonts w:ascii="Arial" w:eastAsia="Simsun (Founder Extended)" w:hAnsi="Arial" w:cs="Arial"/>
          <w:snapToGrid/>
          <w:sz w:val="22"/>
          <w:szCs w:val="22"/>
          <w:lang w:val="es-ES"/>
        </w:rPr>
        <w:t>preambulatorias</w:t>
      </w:r>
      <w:proofErr w:type="spellEnd"/>
      <w:r w:rsidRPr="00AE71B5">
        <w:rPr>
          <w:rFonts w:ascii="Arial" w:eastAsia="Simsun (Founder Extended)" w:hAnsi="Arial" w:cs="Arial"/>
          <w:snapToGrid/>
          <w:sz w:val="22"/>
          <w:szCs w:val="22"/>
          <w:lang w:val="es-ES"/>
        </w:rPr>
        <w:t xml:space="preserve"> del Proyecto de </w:t>
      </w:r>
      <w:proofErr w:type="gramStart"/>
      <w:r w:rsidRPr="00AE71B5">
        <w:rPr>
          <w:rFonts w:ascii="Arial" w:eastAsia="Simsun (Founder Extended)" w:hAnsi="Arial" w:cs="Arial"/>
          <w:snapToGrid/>
          <w:sz w:val="22"/>
          <w:szCs w:val="22"/>
          <w:lang w:val="es-ES"/>
        </w:rPr>
        <w:t>Decisión..</w:t>
      </w:r>
      <w:proofErr w:type="gramEnd"/>
    </w:p>
    <w:p w14:paraId="274F3E38"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Asimismo, la República Argentina considera oportuno acotar el alcance del entendimiento expresado en dicho punto, destacando que el intercambio de datos contribuirá al fortalecimiento de las capacidades colectivas en relación con los objetivos del Decenio del Océano de las Naciones Unidas. </w:t>
      </w:r>
    </w:p>
    <w:p w14:paraId="2612B26D" w14:textId="77777777" w:rsidR="006C41C4" w:rsidRPr="00AE71B5" w:rsidRDefault="006C41C4" w:rsidP="006C41C4">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iii</w:t>
      </w:r>
      <w:proofErr w:type="spellEnd"/>
      <w:r w:rsidRPr="00AE71B5">
        <w:rPr>
          <w:rFonts w:ascii="Arial" w:eastAsia="Simsun (Founder Extended)" w:hAnsi="Arial" w:cs="Arial"/>
          <w:snapToGrid/>
          <w:sz w:val="22"/>
          <w:szCs w:val="22"/>
          <w:lang w:val="es-ES"/>
        </w:rPr>
        <w:t>. En el punto 17 se propone reemplazar el verbo “insta” por “invita”.</w:t>
      </w:r>
    </w:p>
    <w:p w14:paraId="3653CF66" w14:textId="77777777" w:rsidR="006C41C4" w:rsidRPr="00AE71B5" w:rsidRDefault="006C41C4" w:rsidP="006C41C4">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iv</w:t>
      </w:r>
      <w:proofErr w:type="spellEnd"/>
      <w:r w:rsidRPr="00AE71B5">
        <w:rPr>
          <w:rFonts w:ascii="Arial" w:eastAsia="Simsun (Founder Extended)" w:hAnsi="Arial" w:cs="Arial"/>
          <w:snapToGrid/>
          <w:sz w:val="22"/>
          <w:szCs w:val="22"/>
          <w:lang w:val="es-ES"/>
        </w:rPr>
        <w:t xml:space="preserve">. Del análisis del punto 18 se desprende que, al igual que el punto 16, tiene una naturaleza predominantemente preambular. En consecuencia, se sugiere sustituir el término “afirma” por “afirmando” y trasladar el enunciado a las cláusulas </w:t>
      </w:r>
      <w:proofErr w:type="spellStart"/>
      <w:r w:rsidRPr="00AE71B5">
        <w:rPr>
          <w:rFonts w:ascii="Arial" w:eastAsia="Simsun (Founder Extended)" w:hAnsi="Arial" w:cs="Arial"/>
          <w:snapToGrid/>
          <w:sz w:val="22"/>
          <w:szCs w:val="22"/>
          <w:lang w:val="es-ES"/>
        </w:rPr>
        <w:t>preambulatorias</w:t>
      </w:r>
      <w:proofErr w:type="spellEnd"/>
      <w:r w:rsidRPr="00AE71B5">
        <w:rPr>
          <w:rFonts w:ascii="Arial" w:eastAsia="Simsun (Founder Extended)" w:hAnsi="Arial" w:cs="Arial"/>
          <w:snapToGrid/>
          <w:sz w:val="22"/>
          <w:szCs w:val="22"/>
          <w:lang w:val="es-ES"/>
        </w:rPr>
        <w:t xml:space="preserve"> del Proyecto de Decisión.</w:t>
      </w:r>
    </w:p>
    <w:p w14:paraId="484840B0"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Esta Delegación hizo llegar oportunamente a Secretaría las propuestas de modificaciones de texto mencionadas. </w:t>
      </w:r>
    </w:p>
    <w:p w14:paraId="16E68877"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Finalmente, la República Argentina expresa especialmente su agradecimiento a la Oficina de Proyecto para el IODE y al Gobierno de Flandes, Reino de Bélgica, por el apoyo y gestiones en el mantenimiento de estas actividades.</w:t>
      </w:r>
    </w:p>
    <w:p w14:paraId="250DFF9E" w14:textId="77777777" w:rsidR="006C41C4" w:rsidRPr="00E647B1" w:rsidRDefault="006C41C4" w:rsidP="006C41C4">
      <w:pPr>
        <w:keepNext/>
        <w:snapToGrid/>
        <w:spacing w:after="120"/>
        <w:rPr>
          <w:rFonts w:ascii="Arial" w:hAnsi="Arial" w:cs="Arial"/>
          <w:b/>
          <w:sz w:val="22"/>
          <w:szCs w:val="22"/>
          <w:lang w:val="fr-FR"/>
        </w:rPr>
      </w:pPr>
      <w:bookmarkStart w:id="435" w:name="can342"/>
      <w:r w:rsidRPr="00E647B1">
        <w:rPr>
          <w:rFonts w:ascii="Arial" w:hAnsi="Arial" w:cs="Arial"/>
          <w:b/>
          <w:sz w:val="22"/>
          <w:szCs w:val="22"/>
          <w:lang w:val="fr-FR"/>
        </w:rPr>
        <w:lastRenderedPageBreak/>
        <w:t>Canada</w:t>
      </w:r>
    </w:p>
    <w:bookmarkEnd w:id="435"/>
    <w:p w14:paraId="251427B1"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 Canada est encouragé par les progrès réalisés à la 28e session du Comité de la COI sur l'échange international de données et d'informations océanographiques et approuve le plan de travail 2025-2026.</w:t>
      </w:r>
    </w:p>
    <w:p w14:paraId="11437C3B"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Les domaines d'intérêt du plan de travail 2025-2026 s'harmonisent bien avec les priorités du Canada en matière d'océans, en particulier dans les domaines de la durabilité, de la prise de décisions fondées sur les données, l'inclusion du savoir autochtone, et la mise en œuvre collaborative.</w:t>
      </w:r>
    </w:p>
    <w:p w14:paraId="6501AF7C"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 Canada approuve également le mandat révisé du Système d'information sur les données océaniques (ODIS), du Groupe directeur de l'ODIS et du Groupe des opérations de l'ODIS. Le Canada remercie sincèrement le gouvernement de la Flandre d'avoir accueilli le Bureau de projet pour l'IODE en Belgique, et appuie pleinement sa poursuite.</w:t>
      </w:r>
    </w:p>
    <w:p w14:paraId="0CB60FE7"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Enfin, le Canada tient à remercier Peter </w:t>
      </w:r>
      <w:proofErr w:type="spellStart"/>
      <w:r w:rsidRPr="00AE71B5">
        <w:rPr>
          <w:rFonts w:ascii="Arial" w:eastAsia="Simsun (Founder Extended)" w:hAnsi="Arial" w:cs="Arial"/>
          <w:snapToGrid/>
          <w:sz w:val="22"/>
          <w:szCs w:val="22"/>
          <w:lang w:val="fr-FR"/>
        </w:rPr>
        <w:t>Pissierseens</w:t>
      </w:r>
      <w:proofErr w:type="spellEnd"/>
      <w:r w:rsidRPr="00AE71B5">
        <w:rPr>
          <w:rFonts w:ascii="Arial" w:eastAsia="Simsun (Founder Extended)" w:hAnsi="Arial" w:cs="Arial"/>
          <w:snapToGrid/>
          <w:sz w:val="22"/>
          <w:szCs w:val="22"/>
          <w:lang w:val="fr-FR"/>
        </w:rPr>
        <w:t>, ancien chef du bureau de projet du CIO pour l'IODE, pour son importante contribution à l'avancement de ce travail et lui souhaite une très bonne retraite.</w:t>
      </w:r>
    </w:p>
    <w:p w14:paraId="3F8CBAF4" w14:textId="77777777" w:rsidR="006C41C4" w:rsidRPr="00AE71B5" w:rsidRDefault="006C41C4" w:rsidP="006C41C4">
      <w:pPr>
        <w:keepNext/>
        <w:snapToGrid/>
        <w:spacing w:after="120"/>
        <w:rPr>
          <w:rFonts w:ascii="Arial" w:hAnsi="Arial" w:cs="Arial"/>
          <w:b/>
          <w:sz w:val="22"/>
          <w:szCs w:val="22"/>
          <w:lang w:val="es-ES"/>
        </w:rPr>
      </w:pPr>
      <w:bookmarkStart w:id="436" w:name="chil342"/>
      <w:r w:rsidRPr="00AE71B5">
        <w:rPr>
          <w:rFonts w:ascii="Arial" w:hAnsi="Arial" w:cs="Arial"/>
          <w:b/>
          <w:sz w:val="22"/>
          <w:szCs w:val="22"/>
          <w:lang w:val="es-ES"/>
        </w:rPr>
        <w:t>Chile</w:t>
      </w:r>
    </w:p>
    <w:bookmarkEnd w:id="436"/>
    <w:p w14:paraId="14ECF8A9"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Chile reconoce la importancia del programa sobre Intercambio de Datos e Información Oceanográfica (IODE) de la COI y junto con agradecer el apoyo que el Gobierno de Flandes ha otorgado a la COI, quisiera también invitar a otros Estados Miembros que pudiesen estar en condiciones de sumarse en esta línea, lo hagan a fin de facilitar la participación de los países en desarrollo en los programas de la COI. La Oficina de proyectos IODE ha sido crucial para el crecimiento y éxito del programa. </w:t>
      </w:r>
    </w:p>
    <w:p w14:paraId="620C32F3"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Chile desea destacar el avance del “Sistema de Información de Biodiversidad del Océano (OBIS)” y en particular su recomendación sobre el uso del formato “Darwin Core” para el levantamiento de datos de biodiversidad. El Centro Nacional de Datos Hidrográficos y Oceanográficos de Chile (CENDHOC), se encuentra trabajando en la adopción de este estándar.  </w:t>
      </w:r>
    </w:p>
    <w:p w14:paraId="090B8007"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Finalmente, Chile quisiera aprovechar esta oportunidad para expresar gratitud y reconocimiento al Sr. Peter J. Pissierssens por su dedicada labor como </w:t>
      </w:r>
      <w:proofErr w:type="gramStart"/>
      <w:r w:rsidRPr="00AE71B5">
        <w:rPr>
          <w:rFonts w:ascii="Arial" w:eastAsia="Simsun (Founder Extended)" w:hAnsi="Arial" w:cs="Arial"/>
          <w:snapToGrid/>
          <w:sz w:val="22"/>
          <w:szCs w:val="22"/>
          <w:lang w:val="es-ES"/>
        </w:rPr>
        <w:t>Jefe</w:t>
      </w:r>
      <w:proofErr w:type="gramEnd"/>
      <w:r w:rsidRPr="00AE71B5">
        <w:rPr>
          <w:rFonts w:ascii="Arial" w:eastAsia="Simsun (Founder Extended)" w:hAnsi="Arial" w:cs="Arial"/>
          <w:snapToGrid/>
          <w:sz w:val="22"/>
          <w:szCs w:val="22"/>
          <w:lang w:val="es-ES"/>
        </w:rPr>
        <w:t xml:space="preserve"> de la Oficina de Proyectos de la COI para IODE y coordinador de Desarrollo de Capacidades de la COI desde el año 2007 y le desea el mayor de los éxitos en sus proyectos futuros.</w:t>
      </w:r>
    </w:p>
    <w:p w14:paraId="193B47AA" w14:textId="77777777" w:rsidR="006C41C4" w:rsidRPr="00E647B1" w:rsidRDefault="006C41C4" w:rsidP="006C41C4">
      <w:pPr>
        <w:keepNext/>
        <w:snapToGrid/>
        <w:spacing w:after="120"/>
        <w:rPr>
          <w:rFonts w:ascii="Arial" w:hAnsi="Arial" w:cs="Arial"/>
          <w:b/>
          <w:sz w:val="22"/>
          <w:szCs w:val="22"/>
          <w:lang w:val="en-US"/>
        </w:rPr>
      </w:pPr>
      <w:bookmarkStart w:id="437" w:name="china342"/>
      <w:r w:rsidRPr="00E647B1">
        <w:rPr>
          <w:rFonts w:ascii="Arial" w:hAnsi="Arial" w:cs="Arial"/>
          <w:b/>
          <w:sz w:val="22"/>
          <w:szCs w:val="22"/>
          <w:lang w:val="en-US"/>
        </w:rPr>
        <w:t>China</w:t>
      </w:r>
    </w:p>
    <w:bookmarkEnd w:id="437"/>
    <w:p w14:paraId="1239044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China would like to congratulate IODE on the positive progress it has made over the past two years and expresses its appreciation for IODE's contribution in promoting the integration and sharing of global ocean data and information. </w:t>
      </w:r>
    </w:p>
    <w:p w14:paraId="3066B2A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support IODE's initiatives to promote the healthy and rapid development of ODIS and ocean data sharing for sustainable development in areas within national </w:t>
      </w:r>
      <w:proofErr w:type="gramStart"/>
      <w:r w:rsidRPr="00AE71B5">
        <w:rPr>
          <w:rFonts w:ascii="Arial" w:eastAsia="Simsun (Founder Extended)" w:hAnsi="Arial" w:cs="Arial"/>
          <w:snapToGrid/>
          <w:sz w:val="22"/>
          <w:szCs w:val="22"/>
        </w:rPr>
        <w:t>jurisdiction, and</w:t>
      </w:r>
      <w:proofErr w:type="gramEnd"/>
      <w:r w:rsidRPr="00AE71B5">
        <w:rPr>
          <w:rFonts w:ascii="Arial" w:eastAsia="Simsun (Founder Extended)" w:hAnsi="Arial" w:cs="Arial"/>
          <w:snapToGrid/>
          <w:sz w:val="22"/>
          <w:szCs w:val="22"/>
        </w:rPr>
        <w:t xml:space="preserve"> would like to actively participate in relevant projects and activities. China has been promoting the open sharing of ocean data within national jurisdiction. We have established </w:t>
      </w:r>
      <w:proofErr w:type="gramStart"/>
      <w:r w:rsidRPr="00AE71B5">
        <w:rPr>
          <w:rFonts w:ascii="Arial" w:eastAsia="Simsun (Founder Extended)" w:hAnsi="Arial" w:cs="Arial"/>
          <w:snapToGrid/>
          <w:sz w:val="22"/>
          <w:szCs w:val="22"/>
        </w:rPr>
        <w:t>a number of</w:t>
      </w:r>
      <w:proofErr w:type="gramEnd"/>
      <w:r w:rsidRPr="00AE71B5">
        <w:rPr>
          <w:rFonts w:ascii="Arial" w:eastAsia="Simsun (Founder Extended)" w:hAnsi="Arial" w:cs="Arial"/>
          <w:snapToGrid/>
          <w:sz w:val="22"/>
          <w:szCs w:val="22"/>
        </w:rPr>
        <w:t xml:space="preserve"> public data and information service platforms, such as the National Ocean Science Data Centre and the Marine Professional Knowledge Service </w:t>
      </w:r>
      <w:proofErr w:type="gramStart"/>
      <w:r w:rsidRPr="00AE71B5">
        <w:rPr>
          <w:rFonts w:ascii="Arial" w:eastAsia="Simsun (Founder Extended)" w:hAnsi="Arial" w:cs="Arial"/>
          <w:snapToGrid/>
          <w:sz w:val="22"/>
          <w:szCs w:val="22"/>
        </w:rPr>
        <w:t>System, and</w:t>
      </w:r>
      <w:proofErr w:type="gramEnd"/>
      <w:r w:rsidRPr="00AE71B5">
        <w:rPr>
          <w:rFonts w:ascii="Arial" w:eastAsia="Simsun (Founder Extended)" w:hAnsi="Arial" w:cs="Arial"/>
          <w:snapToGrid/>
          <w:sz w:val="22"/>
          <w:szCs w:val="22"/>
        </w:rPr>
        <w:t xml:space="preserve"> released the first batch of marine data open-sharing catalogues and the National Ocean Big Data Service (Ocean Cloud) in 2024. </w:t>
      </w:r>
    </w:p>
    <w:p w14:paraId="6EE0586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also actively advocates the participation of private sector data obtained through commercial activities in data sharing and trading flow, increasing the amount of data used for ocean observation, monitoring, understanding and modelling of the oceans. However, it should be noted that there are some legal and economic issues such as data rights confirmation and authorization, data trading and circulation, and benefit distribution, which still need to be further explored and studied. And we suggest that IOC also carry out in-depth studies in the process of promoting the sharing of ocean data within national jurisdiction.</w:t>
      </w:r>
    </w:p>
    <w:p w14:paraId="2FAB656B" w14:textId="77777777" w:rsidR="006C41C4" w:rsidRPr="00AE71B5" w:rsidRDefault="006C41C4" w:rsidP="006C41C4">
      <w:pPr>
        <w:keepNext/>
        <w:snapToGrid/>
        <w:spacing w:after="120"/>
        <w:rPr>
          <w:rFonts w:ascii="Arial" w:hAnsi="Arial" w:cs="Arial"/>
          <w:b/>
          <w:sz w:val="22"/>
          <w:szCs w:val="22"/>
          <w:lang w:val="es-ES"/>
        </w:rPr>
      </w:pPr>
      <w:bookmarkStart w:id="438" w:name="col342"/>
      <w:r w:rsidRPr="00AE71B5">
        <w:rPr>
          <w:rFonts w:ascii="Arial" w:hAnsi="Arial" w:cs="Arial"/>
          <w:b/>
          <w:sz w:val="22"/>
          <w:szCs w:val="22"/>
          <w:lang w:val="es-ES"/>
        </w:rPr>
        <w:lastRenderedPageBreak/>
        <w:t>Colombia</w:t>
      </w:r>
    </w:p>
    <w:bookmarkEnd w:id="438"/>
    <w:p w14:paraId="5D5E8E2A" w14:textId="77777777" w:rsidR="006C41C4" w:rsidRPr="00AE71B5" w:rsidRDefault="006C41C4" w:rsidP="006C41C4">
      <w:pPr>
        <w:snapToGrid/>
        <w:spacing w:after="120"/>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 xml:space="preserve">La delegación de Colombia agradece la información presentada, así como el honor de haber sido país anfitrión de la IODE-28, primera reunión del Comité celebrada en Latinoamérica, felicitamos a las delegaciones asistentes por sus valiosas contribuciones, que permitieron avanzar en orientaciones estratégicas para fortalecer el Programa. </w:t>
      </w:r>
    </w:p>
    <w:p w14:paraId="0F80C85D" w14:textId="77777777" w:rsidR="006C41C4" w:rsidRPr="00AE71B5" w:rsidRDefault="006C41C4" w:rsidP="006C41C4">
      <w:pPr>
        <w:snapToGrid/>
        <w:spacing w:after="120"/>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 xml:space="preserve">Además, Colombia reitera su compromiso con la implementación de la Política de Datos y las condiciones de uso para el intercambio de datos de la COI impulsada por el IODE, dado que el Centro Nacional de Datos Oceanográficos (NODC), en colaboración con la Unidad de Datos Asociada (ADU), culminó el Plan de Apertura de Datos Oceanográficos y Marinos, desarrollado en los últimos cuatro años como contribución al Decenio de las Ciencias Oceánicas, con el respaldo de  las entidades del Comité Técnico Nacional de Datos Oceánicos y universidades. Igualmente, el país ha establecido mecanismos para integrar al NODC los datos provenientes del sector privado, en beneficio de la investigación científica nacional. </w:t>
      </w:r>
    </w:p>
    <w:p w14:paraId="5A9348DD" w14:textId="77777777" w:rsidR="006C41C4" w:rsidRPr="00AE71B5" w:rsidRDefault="006C41C4" w:rsidP="006C41C4">
      <w:pPr>
        <w:snapToGrid/>
        <w:spacing w:after="120"/>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 xml:space="preserve">Por otro lado, Colombia reitera su apoyo y se une a la comunidad IODE respecto a las siguientes inquietudes, en aras de solicitar a las instancias correspondientes garantizar el apoyo necesario para el desarrollo satisfactorio del IODE, como uno de los Programas más exitosos de la COI/UNESCO y goza de amplio reconocimiento en otros escenarios internacionales: </w:t>
      </w:r>
    </w:p>
    <w:p w14:paraId="5F5F1F26"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i.</w:t>
      </w:r>
      <w:r w:rsidRPr="00AE71B5">
        <w:rPr>
          <w:rFonts w:ascii="Arial" w:eastAsia="Simsun (Founder Extended)" w:hAnsi="Arial" w:cs="Arial"/>
          <w:snapToGrid/>
          <w:sz w:val="22"/>
          <w:szCs w:val="22"/>
          <w:lang w:val="es-CO"/>
        </w:rPr>
        <w:tab/>
        <w:t xml:space="preserve">continuar las gestiones para cubrir las posiciones sensibles responsables de IODE y OBIS </w:t>
      </w:r>
    </w:p>
    <w:p w14:paraId="5F3ADEFA"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es-CO"/>
        </w:rPr>
      </w:pPr>
      <w:proofErr w:type="spellStart"/>
      <w:r w:rsidRPr="00AE71B5">
        <w:rPr>
          <w:rFonts w:ascii="Arial" w:eastAsia="Simsun (Founder Extended)" w:hAnsi="Arial" w:cs="Arial"/>
          <w:snapToGrid/>
          <w:sz w:val="22"/>
          <w:szCs w:val="22"/>
          <w:lang w:val="es-CO"/>
        </w:rPr>
        <w:t>ii</w:t>
      </w:r>
      <w:proofErr w:type="spellEnd"/>
      <w:r w:rsidRPr="00AE71B5">
        <w:rPr>
          <w:rFonts w:ascii="Arial" w:eastAsia="Simsun (Founder Extended)" w:hAnsi="Arial" w:cs="Arial"/>
          <w:snapToGrid/>
          <w:sz w:val="22"/>
          <w:szCs w:val="22"/>
          <w:lang w:val="es-CO"/>
        </w:rPr>
        <w:t>.</w:t>
      </w:r>
      <w:r w:rsidRPr="00AE71B5">
        <w:rPr>
          <w:rFonts w:ascii="Arial" w:eastAsia="Simsun (Founder Extended)" w:hAnsi="Arial" w:cs="Arial"/>
          <w:snapToGrid/>
          <w:sz w:val="22"/>
          <w:szCs w:val="22"/>
          <w:lang w:val="es-CO"/>
        </w:rPr>
        <w:tab/>
        <w:t>procurar la renovación del memorando de entendimiento entre Flandes y la COI para la Oficina de Proyectos de la COI para el IODE en Ostende (Bélgica) (diciembre de 2026).</w:t>
      </w:r>
    </w:p>
    <w:p w14:paraId="7089056B" w14:textId="77777777" w:rsidR="006C41C4" w:rsidRPr="00E647B1" w:rsidRDefault="006C41C4" w:rsidP="006C41C4">
      <w:pPr>
        <w:keepNext/>
        <w:snapToGrid/>
        <w:spacing w:after="120"/>
        <w:rPr>
          <w:rFonts w:ascii="Arial" w:hAnsi="Arial" w:cs="Arial"/>
          <w:b/>
          <w:sz w:val="22"/>
          <w:szCs w:val="22"/>
          <w:lang w:val="fr-FR"/>
        </w:rPr>
      </w:pPr>
      <w:bookmarkStart w:id="439" w:name="fra342"/>
      <w:r w:rsidRPr="00E647B1">
        <w:rPr>
          <w:rFonts w:ascii="Arial" w:hAnsi="Arial" w:cs="Arial"/>
          <w:b/>
          <w:sz w:val="22"/>
          <w:szCs w:val="22"/>
          <w:lang w:val="fr-FR"/>
        </w:rPr>
        <w:t>France</w:t>
      </w:r>
    </w:p>
    <w:bookmarkEnd w:id="439"/>
    <w:p w14:paraId="53A1C997"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souligne l’excellence de l’IODE et son impact dans la bonne gestion des données océanographiques et leur partage à l’échelle internationale.</w:t>
      </w:r>
    </w:p>
    <w:p w14:paraId="00BF791B"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L’existence du Project Office et son bon fonctionnement est essentiel à la dynamique insufflée par l’IODE auprès des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dans la bonne gestion des données océanographiques et leur partage.</w:t>
      </w:r>
    </w:p>
    <w:p w14:paraId="4C95ACB7"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note que le Project Office fait face à des demandes croissantes et qu’en conséquence des difficultés ont été identifiées impactant le fonctionnement du Project Office.</w:t>
      </w:r>
    </w:p>
    <w:p w14:paraId="250FD342" w14:textId="77777777" w:rsidR="006C41C4" w:rsidRPr="00E647B1" w:rsidRDefault="006C41C4" w:rsidP="006C41C4">
      <w:pPr>
        <w:keepNext/>
        <w:snapToGrid/>
        <w:spacing w:after="120"/>
        <w:rPr>
          <w:rFonts w:ascii="Arial" w:hAnsi="Arial" w:cs="Arial"/>
          <w:b/>
          <w:sz w:val="22"/>
          <w:szCs w:val="22"/>
          <w:lang w:val="en-US"/>
        </w:rPr>
      </w:pPr>
      <w:bookmarkStart w:id="440" w:name="india342"/>
      <w:r w:rsidRPr="00E647B1">
        <w:rPr>
          <w:rFonts w:ascii="Arial" w:hAnsi="Arial" w:cs="Arial"/>
          <w:b/>
          <w:sz w:val="22"/>
          <w:szCs w:val="22"/>
          <w:lang w:val="en-US"/>
        </w:rPr>
        <w:t>India</w:t>
      </w:r>
    </w:p>
    <w:bookmarkEnd w:id="440"/>
    <w:p w14:paraId="6B2843B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the Chairs, and host INVEMAR for the successful conduct of the 28th session of IODE at Santa Marta, Colombia during 12 – 14th March 2025. India understands and fully supports the importance of strengthening data infrastructure, improving accessibility, and fostering collaboration as underscored in the conference to ensure inclusive and equitable participation in the global digital ocean ecosystem. </w:t>
      </w:r>
    </w:p>
    <w:p w14:paraId="02B9F0C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INCOIS under the Ministry of Earth Sciences of India is identified as NODC and CMLRE under the said Ministry is identified as ADU. Through these institutes, India is collaborating with other IOC programmes while keeping in mind the cross-cutting nature of ocean data and information management and sharing. </w:t>
      </w:r>
    </w:p>
    <w:p w14:paraId="32562E4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With regards to the Ocean Best Practices activity, India is happy to consider OBPS as an IOC-wide activity to co-fund OBPS with GOOS and IODE.</w:t>
      </w:r>
    </w:p>
    <w:p w14:paraId="2F3B021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has been involved in generating and disseminating data and information pertaining to Harmful Algal Information System (HAIS) since long. India is also a member of Global Ocean Oxygen Database and Atlas (GO2DAT), nominated member to be part of IOC State of the Ocean Report (</w:t>
      </w:r>
      <w:proofErr w:type="spellStart"/>
      <w:r w:rsidRPr="00AE71B5">
        <w:rPr>
          <w:rFonts w:ascii="Arial" w:eastAsia="Simsun (Founder Extended)" w:hAnsi="Arial" w:cs="Arial"/>
          <w:snapToGrid/>
          <w:sz w:val="22"/>
          <w:szCs w:val="22"/>
        </w:rPr>
        <w:t>StOR</w:t>
      </w:r>
      <w:proofErr w:type="spellEnd"/>
      <w:r w:rsidRPr="00AE71B5">
        <w:rPr>
          <w:rFonts w:ascii="Arial" w:eastAsia="Simsun (Founder Extended)" w:hAnsi="Arial" w:cs="Arial"/>
          <w:snapToGrid/>
          <w:sz w:val="22"/>
          <w:szCs w:val="22"/>
        </w:rPr>
        <w:t>). India is also actively involved in implementation of GOOS of the Ocean Best Practices System (OBPS), cooperating with all IOC programmes on the IOC Data Architecture and conducted exclusive capacity development programs on Tsunami Resilience. India will be happy to cooperate with the IOC Tsunami Resilience Section on the development of online learning materials that can be made available through OTGA as a self-paced course.</w:t>
      </w:r>
    </w:p>
    <w:p w14:paraId="05CAF23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India takes appreciates the excellent services of Mr Peter Pissierssens, as IODE chair. India became a part of the OIH/</w:t>
      </w:r>
      <w:proofErr w:type="gramStart"/>
      <w:r w:rsidRPr="00AE71B5">
        <w:rPr>
          <w:rFonts w:ascii="Arial" w:eastAsia="Simsun (Founder Extended)" w:hAnsi="Arial" w:cs="Arial"/>
          <w:snapToGrid/>
          <w:sz w:val="22"/>
          <w:szCs w:val="22"/>
        </w:rPr>
        <w:t>ODIS</w:t>
      </w:r>
      <w:proofErr w:type="gramEnd"/>
      <w:r w:rsidRPr="00AE71B5">
        <w:rPr>
          <w:rFonts w:ascii="Arial" w:eastAsia="Simsun (Founder Extended)" w:hAnsi="Arial" w:cs="Arial"/>
          <w:snapToGrid/>
          <w:sz w:val="22"/>
          <w:szCs w:val="22"/>
        </w:rPr>
        <w:t xml:space="preserve"> and it will continue to work with IODE at regional level through IOCINDIO as vice-chair of the sub-commission. Further, India will also extend cooperation to IODE for its association with the UN Ocean Decade as the Decade Collaborative Centre for the Indian Ocean. </w:t>
      </w:r>
    </w:p>
    <w:p w14:paraId="55BBBA24" w14:textId="77777777" w:rsidR="006C41C4" w:rsidRPr="00AE71B5" w:rsidRDefault="006C41C4" w:rsidP="006C41C4">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Finally</w:t>
      </w:r>
      <w:proofErr w:type="gramEnd"/>
      <w:r w:rsidRPr="00AE71B5">
        <w:rPr>
          <w:rFonts w:ascii="Arial" w:eastAsia="Simsun (Founder Extended)" w:hAnsi="Arial" w:cs="Arial"/>
          <w:snapToGrid/>
          <w:sz w:val="22"/>
          <w:szCs w:val="22"/>
        </w:rPr>
        <w:t xml:space="preserve"> India is happy to collaborate in ODIS by sharing out ocean data and information with ODIS as per the guidelines prescribed by Govt. of India.</w:t>
      </w:r>
    </w:p>
    <w:p w14:paraId="1DE0E8D2" w14:textId="77777777" w:rsidR="006C41C4" w:rsidRPr="00E647B1" w:rsidRDefault="006C41C4" w:rsidP="006C41C4">
      <w:pPr>
        <w:keepNext/>
        <w:snapToGrid/>
        <w:spacing w:after="120"/>
        <w:rPr>
          <w:rFonts w:ascii="Arial" w:hAnsi="Arial" w:cs="Arial"/>
          <w:b/>
          <w:sz w:val="22"/>
          <w:szCs w:val="22"/>
          <w:lang w:val="en-US"/>
        </w:rPr>
      </w:pPr>
      <w:bookmarkStart w:id="441" w:name="jap342"/>
      <w:r w:rsidRPr="00E647B1">
        <w:rPr>
          <w:rFonts w:ascii="Arial" w:hAnsi="Arial" w:cs="Arial"/>
          <w:b/>
          <w:sz w:val="22"/>
          <w:szCs w:val="22"/>
          <w:lang w:val="en-US"/>
        </w:rPr>
        <w:t>Japan</w:t>
      </w:r>
    </w:p>
    <w:bookmarkEnd w:id="441"/>
    <w:p w14:paraId="58508FC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extend our appreciation to Mr. Peter Pissierssens, the former head of the IODE project office, for his many years of dedicated service upon his retirement.</w:t>
      </w:r>
    </w:p>
    <w:p w14:paraId="25A9078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Second, we recognize that the present proposal on ODIS is effective in enhancing the availability of ocean information through improved interoperability, accessibility, and reliability of ocean data.</w:t>
      </w:r>
    </w:p>
    <w:p w14:paraId="6091D8D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Third, about the ocean data sharing on national jurisdiction, we, Japan Oceanographic Data Centre, has collected data from public institutions including </w:t>
      </w:r>
      <w:proofErr w:type="gramStart"/>
      <w:r w:rsidRPr="00AE71B5">
        <w:rPr>
          <w:rFonts w:ascii="Arial" w:eastAsia="Simsun (Founder Extended)" w:hAnsi="Arial" w:cs="Arial"/>
          <w:snapToGrid/>
          <w:sz w:val="22"/>
          <w:szCs w:val="22"/>
        </w:rPr>
        <w:t>Universities</w:t>
      </w:r>
      <w:proofErr w:type="gramEnd"/>
      <w:r w:rsidRPr="00AE71B5">
        <w:rPr>
          <w:rFonts w:ascii="Arial" w:eastAsia="Simsun (Founder Extended)" w:hAnsi="Arial" w:cs="Arial"/>
          <w:snapToGrid/>
          <w:sz w:val="22"/>
          <w:szCs w:val="22"/>
        </w:rPr>
        <w:t>, research institutions, and fishery high schools, based on IOC data policy. It's a new challenge for us to collect the data obtained by private industry. We recognize that this proposal can contribute to SDG 14.</w:t>
      </w:r>
    </w:p>
    <w:p w14:paraId="5639CA43" w14:textId="77777777" w:rsidR="006C41C4" w:rsidRPr="00AE71B5" w:rsidRDefault="006C41C4" w:rsidP="006C41C4">
      <w:pPr>
        <w:keepNext/>
        <w:snapToGrid/>
        <w:spacing w:after="120"/>
        <w:rPr>
          <w:rFonts w:ascii="Arial" w:hAnsi="Arial" w:cs="Arial"/>
          <w:b/>
          <w:sz w:val="22"/>
          <w:szCs w:val="22"/>
        </w:rPr>
      </w:pPr>
      <w:bookmarkStart w:id="442" w:name="nether342"/>
      <w:r w:rsidRPr="00AE71B5">
        <w:rPr>
          <w:rFonts w:ascii="Arial" w:hAnsi="Arial" w:cs="Arial"/>
          <w:b/>
          <w:sz w:val="22"/>
          <w:szCs w:val="22"/>
        </w:rPr>
        <w:t>Kingdom of the Netherlands</w:t>
      </w:r>
    </w:p>
    <w:bookmarkEnd w:id="442"/>
    <w:p w14:paraId="021151B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congratulate IODE on its long-standing success as one of the flagship programmes of the Intergovernmental Oceanographic Commission. We would like to express our deepest gratitude to Peter Pissierssens, recently retired as Head of the IODE Project Office, for his incredible dedication and invaluable contributions to IODE and IOC over the past 36 years.</w:t>
      </w:r>
    </w:p>
    <w:p w14:paraId="6D78D07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Since its inception in 1961, IODE has built a remarkable and collaborative network of nearly 100 National Oceanographic Data Centres (NODC) and Associate Data Units (ADU). Through its Programme Components—OBIS, ODIS, and OTGA—IODE continues to provide essential, globally recognized data and information services. These, closely linked, Programme Components not only serve the IOC family but are also relied upon by a wide range of partners and stakeholders across the global ocean science community.</w:t>
      </w:r>
    </w:p>
    <w:p w14:paraId="4EE2502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Kingdom of the Netherlands firmly believes that the achievements of IODE must be safeguarded and further strengthened.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wish to underscore the importance of promoting greater integration and synergy between IODE and the Global Ocean Observing System (GOOS), </w:t>
      </w:r>
      <w:proofErr w:type="gramStart"/>
      <w:r w:rsidRPr="00AE71B5">
        <w:rPr>
          <w:rFonts w:ascii="Arial" w:eastAsia="Simsun (Founder Extended)" w:hAnsi="Arial" w:cs="Arial"/>
          <w:snapToGrid/>
          <w:sz w:val="22"/>
          <w:szCs w:val="22"/>
        </w:rPr>
        <w:t>in order to</w:t>
      </w:r>
      <w:proofErr w:type="gramEnd"/>
      <w:r w:rsidRPr="00AE71B5">
        <w:rPr>
          <w:rFonts w:ascii="Arial" w:eastAsia="Simsun (Founder Extended)" w:hAnsi="Arial" w:cs="Arial"/>
          <w:snapToGrid/>
          <w:sz w:val="22"/>
          <w:szCs w:val="22"/>
        </w:rPr>
        <w:t xml:space="preserve"> enhance the delivery of end-to-end ocean data and knowledge systems.</w:t>
      </w:r>
    </w:p>
    <w:p w14:paraId="5B29E0B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take this opportunity to highlight the relevance of IODE’s work in the context of emerging global ocean governance frameworks, in particular the Biodiversity Beyond National Jurisdiction (BBNJ) Agreement. In this regard, we stress the imperative to maintain—and where possible, reinforce—the capacity of the IODE Project Office to ensure that Member States can fully benefit from the OBIS system as a key data platform for the BBNJ clearinghouse mechanism.</w:t>
      </w:r>
    </w:p>
    <w:p w14:paraId="709F235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support of these efforts, the Kingdom of the Netherlands calls upon the IOC Secretariat to ensure the timely filling of two critical positions: the Head of the IOC Project Office for IODE and the OBIS P3 post. Addressing these vacancies is essential to uphold the operational integrity and strategic direction of the programme. </w:t>
      </w:r>
    </w:p>
    <w:p w14:paraId="241CF19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Finally, we express our strong support for the renewal of the Memorandum of Understanding (MoU) between Flanders and IOC, which underpins the continued operation of the IOC Project Office for IODE in Oostende, Belgium. </w:t>
      </w:r>
    </w:p>
    <w:p w14:paraId="056E08D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remain fully committed to supporting IODE and its vital role in the global ocean data ecosystem and thank all Member States and partners who continue to contribute to its success.</w:t>
      </w:r>
    </w:p>
    <w:p w14:paraId="69564D7D" w14:textId="77777777" w:rsidR="006C41C4" w:rsidRPr="00AE71B5" w:rsidRDefault="006C41C4" w:rsidP="006C41C4">
      <w:pPr>
        <w:keepNext/>
        <w:snapToGrid/>
        <w:spacing w:after="120"/>
        <w:rPr>
          <w:rFonts w:ascii="Arial" w:hAnsi="Arial" w:cs="Arial"/>
          <w:b/>
          <w:sz w:val="22"/>
          <w:szCs w:val="22"/>
        </w:rPr>
      </w:pPr>
      <w:bookmarkStart w:id="443" w:name="malay342"/>
      <w:r w:rsidRPr="00AE71B5">
        <w:rPr>
          <w:rFonts w:ascii="Arial" w:hAnsi="Arial" w:cs="Arial"/>
          <w:b/>
          <w:sz w:val="22"/>
          <w:szCs w:val="22"/>
        </w:rPr>
        <w:lastRenderedPageBreak/>
        <w:t>Malaysia</w:t>
      </w:r>
    </w:p>
    <w:bookmarkEnd w:id="443"/>
    <w:p w14:paraId="2EE79A6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acknowledges that oceanographic data is essential for evidence-based marine governance. Our active participation in IODE, through the Malaysia National Oceanographic Data Centre (</w:t>
      </w:r>
      <w:proofErr w:type="spellStart"/>
      <w:r w:rsidRPr="00AE71B5">
        <w:rPr>
          <w:rFonts w:ascii="Arial" w:eastAsia="Simsun (Founder Extended)" w:hAnsi="Arial" w:cs="Arial"/>
          <w:snapToGrid/>
          <w:sz w:val="22"/>
          <w:szCs w:val="22"/>
        </w:rPr>
        <w:t>MyNODC</w:t>
      </w:r>
      <w:proofErr w:type="spellEnd"/>
      <w:r w:rsidRPr="00AE71B5">
        <w:rPr>
          <w:rFonts w:ascii="Arial" w:eastAsia="Simsun (Founder Extended)" w:hAnsi="Arial" w:cs="Arial"/>
          <w:snapToGrid/>
          <w:sz w:val="22"/>
          <w:szCs w:val="22"/>
        </w:rPr>
        <w:t>) and Malaysia Biodiversity Information System (</w:t>
      </w:r>
      <w:proofErr w:type="spellStart"/>
      <w:r w:rsidRPr="00AE71B5">
        <w:rPr>
          <w:rFonts w:ascii="Arial" w:eastAsia="Simsun (Founder Extended)" w:hAnsi="Arial" w:cs="Arial"/>
          <w:snapToGrid/>
          <w:sz w:val="22"/>
          <w:szCs w:val="22"/>
        </w:rPr>
        <w:t>MyBIS</w:t>
      </w:r>
      <w:proofErr w:type="spellEnd"/>
      <w:r w:rsidRPr="00AE71B5">
        <w:rPr>
          <w:rFonts w:ascii="Arial" w:eastAsia="Simsun (Founder Extended)" w:hAnsi="Arial" w:cs="Arial"/>
          <w:snapToGrid/>
          <w:sz w:val="22"/>
          <w:szCs w:val="22"/>
        </w:rPr>
        <w:t>) reflects our commitment to the FAIR data principles.</w:t>
      </w:r>
    </w:p>
    <w:p w14:paraId="061AA9F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we transition toward a blue economy and advance Marine Spatial Planning (MSP) under the 12th Malaysia Plan, data collection and sharing have become top national priorities. Although Malaysia does not yet have a single agency mandated to collate all ocean data, inter-agency coordination is improving—particularly across fisheries, maritime, environment, and mapping sectors.</w:t>
      </w:r>
    </w:p>
    <w:p w14:paraId="47F77F6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Several key national policies support this direction:</w:t>
      </w:r>
    </w:p>
    <w:p w14:paraId="7CDFC3B2"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National Policy on Climate Change 2.0 calls for integrated data and knowledge management to support climate-resilient development, including ocean sectors.</w:t>
      </w:r>
    </w:p>
    <w:p w14:paraId="2F637ABA"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National Biodiversity Policy 2022–2030 promotes data sharing and integration for marine conservation and spatial planning.</w:t>
      </w:r>
    </w:p>
    <w:p w14:paraId="1667FD2D"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National Coastal Zone Physical Planning Framework (RFZPPN) incorporates spatial data layers to guide sustainable development and ecosystem protection.</w:t>
      </w:r>
    </w:p>
    <w:p w14:paraId="2E686564"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upcoming National Marine Spatial Planning Framework, endorsed by the National Physical Planning Council, will rely heavily on multi-sectoral ocean datasets for implementation.</w:t>
      </w:r>
    </w:p>
    <w:p w14:paraId="7606701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Through these policies, Malaysia is aligning ocean data governance with its commitments under the Ocean Decade, SDG 14, and the IOC-led Global Ocean Observing System (GOOS).</w:t>
      </w:r>
    </w:p>
    <w:p w14:paraId="7006F61F"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Moving forward, Malaysia will:</w:t>
      </w:r>
    </w:p>
    <w:p w14:paraId="561D0676"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 xml:space="preserve">Expand national capacity in data management through IODE training and </w:t>
      </w:r>
      <w:proofErr w:type="gramStart"/>
      <w:r w:rsidRPr="00AE71B5">
        <w:rPr>
          <w:rFonts w:ascii="Arial" w:eastAsia="Simsun (Founder Extended)" w:hAnsi="Arial" w:cs="Arial"/>
          <w:snapToGrid/>
          <w:sz w:val="22"/>
          <w:szCs w:val="22"/>
        </w:rPr>
        <w:t>partnerships;</w:t>
      </w:r>
      <w:proofErr w:type="gramEnd"/>
    </w:p>
    <w:p w14:paraId="328DB8CE"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 xml:space="preserve">Harmonize datasets across agencies </w:t>
      </w:r>
    </w:p>
    <w:p w14:paraId="01F78BCF"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Promote university-led research on marine data architecture and standards; and</w:t>
      </w:r>
    </w:p>
    <w:p w14:paraId="10BB36EE"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Strengthen data accessibility to support MSP and the blue economy agenda.</w:t>
      </w:r>
    </w:p>
    <w:p w14:paraId="7936FAD0" w14:textId="77777777" w:rsidR="006C41C4" w:rsidRPr="00AE71B5" w:rsidRDefault="006C41C4" w:rsidP="006C41C4">
      <w:pPr>
        <w:keepNext/>
        <w:snapToGrid/>
        <w:spacing w:after="120"/>
        <w:rPr>
          <w:rFonts w:ascii="Arial" w:hAnsi="Arial" w:cs="Arial"/>
          <w:b/>
          <w:sz w:val="22"/>
          <w:szCs w:val="22"/>
        </w:rPr>
      </w:pPr>
      <w:bookmarkStart w:id="444" w:name="rus342"/>
      <w:r w:rsidRPr="00AE71B5">
        <w:rPr>
          <w:rFonts w:ascii="Arial" w:hAnsi="Arial" w:cs="Arial"/>
          <w:b/>
          <w:sz w:val="22"/>
          <w:szCs w:val="22"/>
        </w:rPr>
        <w:t>Russian Federation</w:t>
      </w:r>
    </w:p>
    <w:bookmarkEnd w:id="444"/>
    <w:p w14:paraId="4D40F0C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delegation requests that the following statement be included in the report of the thirty-third session of the IOC Assembly:</w:t>
      </w:r>
    </w:p>
    <w:p w14:paraId="4F62D06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bookmarkStart w:id="445" w:name="_Hlk207881537"/>
      <w:r w:rsidRPr="00AE71B5">
        <w:rPr>
          <w:rFonts w:ascii="Arial" w:eastAsia="Simsun (Founder Extended)" w:hAnsi="Arial" w:cs="Arial"/>
          <w:snapToGrid/>
          <w:sz w:val="22"/>
          <w:szCs w:val="22"/>
        </w:rPr>
        <w:t>In view of its national legislation, the Russian Federation will not adhere to paragraph 18 of Decision A-33/3.4.2.’</w:t>
      </w:r>
      <w:bookmarkEnd w:id="445"/>
    </w:p>
    <w:p w14:paraId="1CE1B06C" w14:textId="77777777" w:rsidR="006C41C4" w:rsidRPr="00AE71B5" w:rsidRDefault="006C41C4" w:rsidP="006C41C4">
      <w:pPr>
        <w:keepNext/>
        <w:snapToGrid/>
        <w:spacing w:after="120"/>
        <w:rPr>
          <w:rFonts w:ascii="Arial" w:hAnsi="Arial" w:cs="Arial"/>
          <w:b/>
          <w:sz w:val="22"/>
          <w:szCs w:val="22"/>
          <w:lang w:val="es-ES"/>
        </w:rPr>
      </w:pPr>
      <w:bookmarkStart w:id="446" w:name="spa342"/>
      <w:proofErr w:type="spellStart"/>
      <w:r w:rsidRPr="00AE71B5">
        <w:rPr>
          <w:rFonts w:ascii="Arial" w:hAnsi="Arial" w:cs="Arial"/>
          <w:b/>
          <w:sz w:val="22"/>
          <w:szCs w:val="22"/>
          <w:lang w:val="es-ES"/>
        </w:rPr>
        <w:t>Spain</w:t>
      </w:r>
      <w:proofErr w:type="spellEnd"/>
    </w:p>
    <w:bookmarkEnd w:id="446"/>
    <w:p w14:paraId="1939F122"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manifiesta su máximo agradecimiento por el extraordinario trabajo del Sr Peter Pissierssens como </w:t>
      </w:r>
      <w:proofErr w:type="gramStart"/>
      <w:r w:rsidRPr="00AE71B5">
        <w:rPr>
          <w:rFonts w:ascii="Arial" w:eastAsia="Simsun (Founder Extended)" w:hAnsi="Arial" w:cs="Arial"/>
          <w:snapToGrid/>
          <w:sz w:val="22"/>
          <w:szCs w:val="22"/>
          <w:lang w:val="es-ES"/>
        </w:rPr>
        <w:t>Jefe</w:t>
      </w:r>
      <w:proofErr w:type="gramEnd"/>
      <w:r w:rsidRPr="00AE71B5">
        <w:rPr>
          <w:rFonts w:ascii="Arial" w:eastAsia="Simsun (Founder Extended)" w:hAnsi="Arial" w:cs="Arial"/>
          <w:snapToGrid/>
          <w:sz w:val="22"/>
          <w:szCs w:val="22"/>
          <w:lang w:val="es-ES"/>
        </w:rPr>
        <w:t xml:space="preserve"> de Sección de IODE hasta su reciente jubilación y le transmitimos nuestros mejores deseos en esta nueva etapa.</w:t>
      </w:r>
    </w:p>
    <w:p w14:paraId="5EE46D48"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El IEO, como Centro Nacional de Datos Oceanográficos (NODC), distribuye datos e información sobre el medio marino a través de distintas plataformas e iniciativas europeas, incluidas http://seadatanet.org y EMODNET. Actualmente, el IEO está trabajando en mejorar su Infraestructura de Datos Espaciales, con objeto de facilitar el acceso a esta información a través de un catálogo propio acorde con las necesidades actuales en este campo, facilitando conexiones “maquina-a-maquina” y actualizaciones </w:t>
      </w:r>
      <w:proofErr w:type="spellStart"/>
      <w:r w:rsidRPr="00AE71B5">
        <w:rPr>
          <w:rFonts w:ascii="Arial" w:eastAsia="Simsun (Founder Extended)" w:hAnsi="Arial" w:cs="Arial"/>
          <w:snapToGrid/>
          <w:sz w:val="22"/>
          <w:szCs w:val="22"/>
          <w:lang w:val="es-ES"/>
        </w:rPr>
        <w:t>semi-automáticas</w:t>
      </w:r>
      <w:proofErr w:type="spellEnd"/>
      <w:r w:rsidRPr="00AE71B5">
        <w:rPr>
          <w:rFonts w:ascii="Arial" w:eastAsia="Simsun (Founder Extended)" w:hAnsi="Arial" w:cs="Arial"/>
          <w:snapToGrid/>
          <w:sz w:val="22"/>
          <w:szCs w:val="22"/>
          <w:lang w:val="es-ES"/>
        </w:rPr>
        <w:t xml:space="preserve"> que favorezcan la integración de las arquitecturas de datos propuestas por el IODE y la contribución a un ecosistema global de datos oceánicos siguiendo principios FAIR y CARE. Subrayamos la importancia de asegurar la accesibilidad y preservación a largo plazo de los datos a través de repositorios con vocación de permanencia en el tiempo.</w:t>
      </w:r>
    </w:p>
    <w:p w14:paraId="7C414B61"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gestión de datos es, y cada vez va a serlo más, una especialidad con un alto contenido técnico y tecnológico que avanza rápido a medida que las redes y las comunicaciones mejoran, a la par </w:t>
      </w:r>
      <w:r w:rsidRPr="00AE71B5">
        <w:rPr>
          <w:rFonts w:ascii="Arial" w:eastAsia="Simsun (Founder Extended)" w:hAnsi="Arial" w:cs="Arial"/>
          <w:snapToGrid/>
          <w:sz w:val="22"/>
          <w:szCs w:val="22"/>
          <w:lang w:val="es-ES"/>
        </w:rPr>
        <w:lastRenderedPageBreak/>
        <w:t xml:space="preserve">de las capacidades de muestreo y mejoras instrumentales. Esto pide que los tiempos de respuesta cada vez sean menores y que las comunicaciones máquina-máquina funcionen con las últimas mejoras y avances del estado del arte. Las actividades de los </w:t>
      </w:r>
      <w:proofErr w:type="spellStart"/>
      <w:r w:rsidRPr="00AE71B5">
        <w:rPr>
          <w:rFonts w:ascii="Arial" w:eastAsia="Simsun (Founder Extended)" w:hAnsi="Arial" w:cs="Arial"/>
          <w:snapToGrid/>
          <w:sz w:val="22"/>
          <w:szCs w:val="22"/>
          <w:lang w:val="es-ES"/>
        </w:rPr>
        <w:t>NODCs</w:t>
      </w:r>
      <w:proofErr w:type="spellEnd"/>
      <w:r w:rsidRPr="00AE71B5">
        <w:rPr>
          <w:rFonts w:ascii="Arial" w:eastAsia="Simsun (Founder Extended)" w:hAnsi="Arial" w:cs="Arial"/>
          <w:snapToGrid/>
          <w:sz w:val="22"/>
          <w:szCs w:val="22"/>
          <w:lang w:val="es-ES"/>
        </w:rPr>
        <w:t xml:space="preserve"> responden a las necesidades de una gestión </w:t>
      </w:r>
      <w:proofErr w:type="spellStart"/>
      <w:r w:rsidRPr="00AE71B5">
        <w:rPr>
          <w:rFonts w:ascii="Arial" w:eastAsia="Simsun (Founder Extended)" w:hAnsi="Arial" w:cs="Arial"/>
          <w:snapToGrid/>
          <w:sz w:val="22"/>
          <w:szCs w:val="22"/>
          <w:lang w:val="es-ES"/>
        </w:rPr>
        <w:t>Cientifico</w:t>
      </w:r>
      <w:proofErr w:type="spellEnd"/>
      <w:r w:rsidRPr="00AE71B5">
        <w:rPr>
          <w:rFonts w:ascii="Arial" w:eastAsia="Simsun (Founder Extended)" w:hAnsi="Arial" w:cs="Arial"/>
          <w:snapToGrid/>
          <w:sz w:val="22"/>
          <w:szCs w:val="22"/>
          <w:lang w:val="es-ES"/>
        </w:rPr>
        <w:t>-Técnica altamente especializada de los Datos Oceanográficos en el marco de las competencias propias de cada país. Esta especialización y necesidad debe ser reconocida.</w:t>
      </w:r>
    </w:p>
    <w:p w14:paraId="6FF5BB7A"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quiere reconocer la importancia para la comunidad internacional de los avances del Sistema de Información sobre Biodiversidad Oceánica (OBIS), el Sistema de Datos e Información Oceánica (ODIS) especialmente en relevante para algunas regiones del globo, que debe seguir fortaleciéndose para garantizar la equidad de acceso digital a datos e información relevante. Agradecemos también el trabajo y el esfuerzo de la Academia Global Ocean </w:t>
      </w:r>
      <w:proofErr w:type="spellStart"/>
      <w:r w:rsidRPr="00AE71B5">
        <w:rPr>
          <w:rFonts w:ascii="Arial" w:eastAsia="Simsun (Founder Extended)" w:hAnsi="Arial" w:cs="Arial"/>
          <w:snapToGrid/>
          <w:sz w:val="22"/>
          <w:szCs w:val="22"/>
          <w:lang w:val="es-ES"/>
        </w:rPr>
        <w:t>Teacher</w:t>
      </w:r>
      <w:proofErr w:type="spellEnd"/>
      <w:r w:rsidRPr="00AE71B5">
        <w:rPr>
          <w:rFonts w:ascii="Arial" w:eastAsia="Simsun (Founder Extended)" w:hAnsi="Arial" w:cs="Arial"/>
          <w:snapToGrid/>
          <w:sz w:val="22"/>
          <w:szCs w:val="22"/>
          <w:lang w:val="es-ES"/>
        </w:rPr>
        <w:t>, resaltando la modalidad de autoaprendizaje y favoreciendo los cursos en varios idiomas, y el aumento significativo de su actividad, logrando un número importante de inscripciones. Esto apoya la Estrategia de Desarrollo de Capacidades del COI y contribuye a programas como la Resiliencia ante Tsunamis, Ciencia Oceánica y la Década del Océano, contaminación marina, planificación espacial marina y restauración de manglares.</w:t>
      </w:r>
    </w:p>
    <w:p w14:paraId="41261F3F"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Agradecemos muy sinceramente al Gobierno de Flandes por la financiación que permite sostener la oficina en </w:t>
      </w:r>
      <w:proofErr w:type="spellStart"/>
      <w:r w:rsidRPr="00AE71B5">
        <w:rPr>
          <w:rFonts w:ascii="Arial" w:eastAsia="Simsun (Founder Extended)" w:hAnsi="Arial" w:cs="Arial"/>
          <w:snapToGrid/>
          <w:sz w:val="22"/>
          <w:szCs w:val="22"/>
          <w:lang w:val="es-ES"/>
        </w:rPr>
        <w:t>Oostende</w:t>
      </w:r>
      <w:proofErr w:type="spellEnd"/>
      <w:r w:rsidRPr="00AE71B5">
        <w:rPr>
          <w:rFonts w:ascii="Arial" w:eastAsia="Simsun (Founder Extended)" w:hAnsi="Arial" w:cs="Arial"/>
          <w:snapToGrid/>
          <w:sz w:val="22"/>
          <w:szCs w:val="22"/>
          <w:lang w:val="es-ES"/>
        </w:rPr>
        <w:t xml:space="preserve"> sin la cual estas actividades no serían posibles.</w:t>
      </w:r>
    </w:p>
    <w:p w14:paraId="6E898B53"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está de acuerdo con la necesidad de iniciar cuanto antes el proceso de selección de nuevo </w:t>
      </w:r>
      <w:proofErr w:type="gramStart"/>
      <w:r w:rsidRPr="00AE71B5">
        <w:rPr>
          <w:rFonts w:ascii="Arial" w:eastAsia="Simsun (Founder Extended)" w:hAnsi="Arial" w:cs="Arial"/>
          <w:snapToGrid/>
          <w:sz w:val="22"/>
          <w:szCs w:val="22"/>
          <w:lang w:val="es-ES"/>
        </w:rPr>
        <w:t>Jefe</w:t>
      </w:r>
      <w:proofErr w:type="gramEnd"/>
      <w:r w:rsidRPr="00AE71B5">
        <w:rPr>
          <w:rFonts w:ascii="Arial" w:eastAsia="Simsun (Founder Extended)" w:hAnsi="Arial" w:cs="Arial"/>
          <w:snapToGrid/>
          <w:sz w:val="22"/>
          <w:szCs w:val="22"/>
          <w:lang w:val="es-ES"/>
        </w:rPr>
        <w:t xml:space="preserve"> de la Sección de IODE, pero resaltando la necesidad de que se haga atendiendo a los estándares que requiere actualmente esta disciplina cada vez más compleja y que ya hemos mencionado.</w:t>
      </w:r>
    </w:p>
    <w:p w14:paraId="2DB2EE62" w14:textId="77777777" w:rsidR="006C41C4" w:rsidRPr="00AE71B5" w:rsidRDefault="006C41C4" w:rsidP="006C41C4">
      <w:pPr>
        <w:keepNext/>
        <w:snapToGrid/>
        <w:spacing w:after="120"/>
        <w:rPr>
          <w:rFonts w:ascii="Arial" w:hAnsi="Arial" w:cs="Arial"/>
          <w:b/>
          <w:sz w:val="22"/>
          <w:szCs w:val="22"/>
        </w:rPr>
      </w:pPr>
      <w:bookmarkStart w:id="447" w:name="thai342"/>
      <w:r w:rsidRPr="00AE71B5">
        <w:rPr>
          <w:rFonts w:ascii="Arial" w:hAnsi="Arial" w:cs="Arial"/>
          <w:b/>
          <w:sz w:val="22"/>
          <w:szCs w:val="22"/>
        </w:rPr>
        <w:t>Thailand</w:t>
      </w:r>
    </w:p>
    <w:bookmarkEnd w:id="447"/>
    <w:p w14:paraId="446FE99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recognizes the vital role of the IODE in promoting ocean data and information exchange, contributing to scientific research, innovation, and informed decision-making. The equitable dissemination of knowledge through the IODE framework serves as a catalyst for international collaboration and accelerates progress in ocean science. We further commend the significant contributions of IODE’s core programme components including OBIS, ODIS, and OTGA in supporting key global initiatives and frameworks. </w:t>
      </w:r>
    </w:p>
    <w:p w14:paraId="1460097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has actively supported the UN Decade of Ocean Science for Sustainable Development through its engagement with the IODE, including contributions such as the provision of ocean acidification data to the IOC, reflecting its commitment to advancing global ocean knowledge and cooperation.  </w:t>
      </w:r>
    </w:p>
    <w:p w14:paraId="4358C18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a coastal state, Thailand faces ongoing challenges from climate-related hazards and anthropogenic pressures that jeopardize the sustainability of its marine and coastal resources. We underscore the importance of enhancing ocean data exchange as a foundation for achieving sustainable development and informed ocean governance. Thailand views strengthened engagement with the private sector as a promising avenue for improving the accuracy, resolution, and timeliness of ocean observations and forecasts—particularly to the benefit of vulnerable coastal States.</w:t>
      </w:r>
    </w:p>
    <w:p w14:paraId="3F05059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Nevertheless, Thailand expresses primary concern regarding the public sharing of the data collected within areas under national jurisdiction as such data may fall within the sovereign rights of the coastal State, in accordance with Section 8 of the IOC Data Policy and Terms of Use (2023). Thailand supports China’s suggestion to undertaken further in-depth study on this matter.  </w:t>
      </w:r>
    </w:p>
    <w:p w14:paraId="3EB4A935" w14:textId="77777777" w:rsidR="006C41C4" w:rsidRPr="00AE71B5" w:rsidRDefault="006C41C4" w:rsidP="006C41C4">
      <w:pPr>
        <w:keepNext/>
        <w:snapToGrid/>
        <w:spacing w:after="120"/>
        <w:rPr>
          <w:rFonts w:ascii="Arial" w:hAnsi="Arial" w:cs="Arial"/>
          <w:b/>
          <w:sz w:val="22"/>
          <w:szCs w:val="22"/>
        </w:rPr>
      </w:pPr>
      <w:bookmarkStart w:id="448" w:name="uk342"/>
      <w:r w:rsidRPr="00AE71B5">
        <w:rPr>
          <w:rFonts w:ascii="Arial" w:hAnsi="Arial" w:cs="Arial"/>
          <w:b/>
          <w:sz w:val="22"/>
          <w:szCs w:val="22"/>
        </w:rPr>
        <w:t>United Kingdom of Great Britain and Northern Ireland</w:t>
      </w:r>
    </w:p>
    <w:bookmarkEnd w:id="448"/>
    <w:p w14:paraId="33CC1BF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would also like to thank Pieter Pissierssens for his leadership and energy to drive forward the work of IODE and more widely.</w:t>
      </w:r>
    </w:p>
    <w:p w14:paraId="38589D2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28th session of the IODE Committee was clearly a very productive meeting addressing a broad portfolio of data management topics. We note with satisfaction the wise move of streamlining IODE work into Programme Components, Programme Activities and Projects </w:t>
      </w:r>
      <w:r w:rsidRPr="00AE71B5">
        <w:rPr>
          <w:rFonts w:ascii="Arial" w:eastAsia="Simsun (Founder Extended)" w:hAnsi="Arial" w:cs="Arial"/>
          <w:snapToGrid/>
          <w:sz w:val="22"/>
          <w:szCs w:val="22"/>
        </w:rPr>
        <w:lastRenderedPageBreak/>
        <w:t>enabling the importance of flagship components OBIS, OTGA, and ODIS to be highlighted and providing linkage with other parts of IODE. We would like to emphasise the cross-cutting nature of ocean data and information management and sharing, which has enabled IODE to successfully collaborate with the other IOC sections.</w:t>
      </w:r>
    </w:p>
    <w:p w14:paraId="3A92C32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For IODE to reach its potential it is essential that the programme is suitable resourced and staffed, mindful of the current recruitment freeze and financial constraints. The UK is fully supportive of longer-term efforts to secure the right skills and appropriate resources needed to ensure the longevity and continued successes of IODE. We recognise the value of the contributions of member states in supporting the delivery of IODE ambitions, which can only be achieved through constructive, collaborative </w:t>
      </w:r>
      <w:proofErr w:type="spellStart"/>
      <w:r w:rsidRPr="00AE71B5">
        <w:rPr>
          <w:rFonts w:ascii="Arial" w:eastAsia="Simsun (Founder Extended)" w:hAnsi="Arial" w:cs="Arial"/>
          <w:snapToGrid/>
          <w:sz w:val="22"/>
          <w:szCs w:val="22"/>
        </w:rPr>
        <w:t>behaviors</w:t>
      </w:r>
      <w:proofErr w:type="spellEnd"/>
      <w:r w:rsidRPr="00AE71B5">
        <w:rPr>
          <w:rFonts w:ascii="Arial" w:eastAsia="Simsun (Founder Extended)" w:hAnsi="Arial" w:cs="Arial"/>
          <w:snapToGrid/>
          <w:sz w:val="22"/>
          <w:szCs w:val="22"/>
        </w:rPr>
        <w:t xml:space="preserve"> that reflect the IOC code of conduct.</w:t>
      </w:r>
    </w:p>
    <w:p w14:paraId="2B54A58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UK wishes to commend the contributions of the Government of Flanders in providing funding to the IODE Project Office for the last 20 years, during which time the Project Office has grown in responsibilities and activities. The UK would welcome the renewal of the MoU between the Government of Flanders and the IOC. We also recognise that there is a need to diversify income to compliment funding support provided by the Government of Flanders to meet increasing demands, which could include industry and philanthropic organisations. </w:t>
      </w:r>
    </w:p>
    <w:p w14:paraId="695EEC08"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3.4.3</w:t>
      </w:r>
      <w:r w:rsidRPr="00AE71B5">
        <w:rPr>
          <w:rFonts w:ascii="Arial" w:hAnsi="Arial" w:cs="Arial"/>
          <w:b/>
          <w:sz w:val="22"/>
          <w:szCs w:val="22"/>
        </w:rPr>
        <w:tab/>
        <w:t>IOC Data Architecture</w:t>
      </w:r>
    </w:p>
    <w:p w14:paraId="7991CD63" w14:textId="77777777" w:rsidR="006C41C4" w:rsidRPr="00E647B1" w:rsidRDefault="006C41C4" w:rsidP="006C41C4">
      <w:pPr>
        <w:keepNext/>
        <w:snapToGrid/>
        <w:spacing w:after="120"/>
        <w:rPr>
          <w:rFonts w:ascii="Arial" w:hAnsi="Arial" w:cs="Arial"/>
          <w:b/>
          <w:sz w:val="22"/>
          <w:szCs w:val="22"/>
          <w:lang w:val="en-US"/>
        </w:rPr>
      </w:pPr>
      <w:bookmarkStart w:id="449" w:name="Can343"/>
      <w:r w:rsidRPr="00E647B1">
        <w:rPr>
          <w:rFonts w:ascii="Arial" w:hAnsi="Arial" w:cs="Arial"/>
          <w:b/>
          <w:sz w:val="22"/>
          <w:szCs w:val="22"/>
          <w:lang w:val="en-US"/>
        </w:rPr>
        <w:t>Canada</w:t>
      </w:r>
    </w:p>
    <w:bookmarkEnd w:id="449"/>
    <w:p w14:paraId="6981510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Canada welcomes the report and supports the proposed the IOC Data Architecture concept noting, as Germany has mentioned, the need for further clarification on its implementation as the plan is developed.  We look forward to learning how Canada can contribute or provide feedback into its implementation, including through our NODC.</w:t>
      </w:r>
    </w:p>
    <w:p w14:paraId="210ED31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Canada supports an interoperable, metadata-rich, and federated approach to system designs for ocean science data management, facilitating the implementation of the FAIR and CARE principles.</w:t>
      </w:r>
    </w:p>
    <w:p w14:paraId="50C3CBE7" w14:textId="77777777" w:rsidR="006C41C4" w:rsidRPr="00E647B1" w:rsidRDefault="006C41C4" w:rsidP="006C41C4">
      <w:pPr>
        <w:keepNext/>
        <w:snapToGrid/>
        <w:spacing w:after="120"/>
        <w:rPr>
          <w:rFonts w:ascii="Arial" w:hAnsi="Arial" w:cs="Arial"/>
          <w:b/>
          <w:sz w:val="22"/>
          <w:szCs w:val="22"/>
          <w:lang w:val="en-US"/>
        </w:rPr>
      </w:pPr>
      <w:bookmarkStart w:id="450" w:name="Chin343"/>
      <w:r w:rsidRPr="00E647B1">
        <w:rPr>
          <w:rFonts w:ascii="Arial" w:hAnsi="Arial" w:cs="Arial"/>
          <w:b/>
          <w:sz w:val="22"/>
          <w:szCs w:val="22"/>
          <w:lang w:val="en-US"/>
        </w:rPr>
        <w:t>China</w:t>
      </w:r>
    </w:p>
    <w:bookmarkEnd w:id="450"/>
    <w:p w14:paraId="0272348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and a stable, comprehensive and efficient data collection, management and sharing system can support IOC's sustainable ocean planning and management strategy, help promote collaboration among IOC components and programmes, and provide timely and reliable data and information sources for IOC members in oceanographic research, ocean ecological protection, ocean resources utilization, and climate change adaptation. </w:t>
      </w:r>
    </w:p>
    <w:p w14:paraId="7255460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Chinese delegation supports the IOC decision on the development of a data architecture and is willing to contribute to its construction. China attaches great importance to international ocean data and information exchange and cooperation. We have been operating the National Oceanographic Data Centre through the National Marine Data and Information Service (NMDIS) since1982. In 2008, under the joint guidance of the IOC Sub-Committee for the Western Pacific and the IODE Project Office, NMDIS started the building and running of the Ocean Data and Information Network for the Western Pacific region (ODINWESTPAC</w:t>
      </w:r>
      <w:proofErr w:type="gramStart"/>
      <w:r w:rsidRPr="00AE71B5">
        <w:rPr>
          <w:rFonts w:ascii="Arial" w:eastAsia="Simsun (Founder Extended)" w:hAnsi="Arial" w:cs="Arial"/>
          <w:snapToGrid/>
          <w:sz w:val="22"/>
          <w:szCs w:val="22"/>
        </w:rPr>
        <w:t>), and</w:t>
      </w:r>
      <w:proofErr w:type="gramEnd"/>
      <w:r w:rsidRPr="00AE71B5">
        <w:rPr>
          <w:rFonts w:ascii="Arial" w:eastAsia="Simsun (Founder Extended)" w:hAnsi="Arial" w:cs="Arial"/>
          <w:snapToGrid/>
          <w:sz w:val="22"/>
          <w:szCs w:val="22"/>
        </w:rPr>
        <w:t xml:space="preserve"> set up an ODIS node in 2023 to share China's ocean observation data and information products operationally. </w:t>
      </w:r>
    </w:p>
    <w:p w14:paraId="4C6C5C7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would like to further participate in the programs and actions related to the IOC data architecture. At the same time, we hope that IOC could provide further guidance to members on how to play a better role in this initiative.</w:t>
      </w:r>
    </w:p>
    <w:p w14:paraId="74248E4E" w14:textId="77777777" w:rsidR="006C41C4" w:rsidRPr="00E647B1" w:rsidRDefault="006C41C4" w:rsidP="006C41C4">
      <w:pPr>
        <w:keepNext/>
        <w:snapToGrid/>
        <w:spacing w:after="120"/>
        <w:rPr>
          <w:rFonts w:ascii="Arial" w:hAnsi="Arial" w:cs="Arial"/>
          <w:b/>
          <w:sz w:val="22"/>
          <w:szCs w:val="22"/>
          <w:lang w:val="en-US"/>
        </w:rPr>
      </w:pPr>
      <w:bookmarkStart w:id="451" w:name="india343"/>
      <w:r w:rsidRPr="00E647B1">
        <w:rPr>
          <w:rFonts w:ascii="Arial" w:hAnsi="Arial" w:cs="Arial"/>
          <w:b/>
          <w:sz w:val="22"/>
          <w:szCs w:val="22"/>
          <w:lang w:val="en-US"/>
        </w:rPr>
        <w:t>India</w:t>
      </w:r>
    </w:p>
    <w:bookmarkEnd w:id="451"/>
    <w:p w14:paraId="39744C4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the representatives of GOOS and IODE for the IOC data architecture concept proposal. </w:t>
      </w:r>
    </w:p>
    <w:p w14:paraId="3DA043D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takes note that this proposal is mainly focused on enhancing collaboration between the IODE and the GOOS with a goal to enhance coordination and discuss an integrated and scalable </w:t>
      </w:r>
      <w:r w:rsidRPr="00AE71B5">
        <w:rPr>
          <w:rFonts w:ascii="Arial" w:eastAsia="Simsun (Founder Extended)" w:hAnsi="Arial" w:cs="Arial"/>
          <w:snapToGrid/>
          <w:sz w:val="22"/>
          <w:szCs w:val="22"/>
        </w:rPr>
        <w:lastRenderedPageBreak/>
        <w:t>IOC digital architecture that would improve data sharing, management, and accessibility, across ocean systems.</w:t>
      </w:r>
    </w:p>
    <w:p w14:paraId="4857AAC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has been a key partner of IOGOOS collecting data pertaining to Essential Ocean Variables and is also acting as an NODC under the IODE. India reiterates that it is willing to embrace the FAIR and CARE principles for all the data being collected and archived at its data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w:t>
      </w:r>
    </w:p>
    <w:p w14:paraId="66408BE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strongly supports the proposed draft basic schema for the IOC Data Architecture, linking key IOC components into a holistic ecosystem that would provide a joint vision for an IOC Data Architecture.</w:t>
      </w:r>
    </w:p>
    <w:p w14:paraId="554432C6" w14:textId="77777777" w:rsidR="006C41C4" w:rsidRPr="009863A3" w:rsidRDefault="006C41C4" w:rsidP="006C41C4">
      <w:pPr>
        <w:keepNext/>
        <w:snapToGrid/>
        <w:spacing w:after="120"/>
        <w:rPr>
          <w:rFonts w:ascii="Arial" w:hAnsi="Arial" w:cs="Arial"/>
          <w:b/>
          <w:sz w:val="22"/>
          <w:szCs w:val="22"/>
          <w:lang w:val="en-US"/>
        </w:rPr>
      </w:pPr>
      <w:bookmarkStart w:id="452" w:name="jap343"/>
      <w:r w:rsidRPr="009863A3">
        <w:rPr>
          <w:rFonts w:ascii="Arial" w:hAnsi="Arial" w:cs="Arial"/>
          <w:b/>
          <w:sz w:val="22"/>
          <w:szCs w:val="22"/>
          <w:lang w:val="en-US"/>
        </w:rPr>
        <w:t>Japan</w:t>
      </w:r>
    </w:p>
    <w:bookmarkEnd w:id="452"/>
    <w:p w14:paraId="345CBA8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recognize that the proposal related to the IOC data architecture is effectively promoting the availability of ocean data and </w:t>
      </w:r>
      <w:proofErr w:type="gramStart"/>
      <w:r w:rsidRPr="00AE71B5">
        <w:rPr>
          <w:rFonts w:ascii="Arial" w:eastAsia="Simsun (Founder Extended)" w:hAnsi="Arial" w:cs="Arial"/>
          <w:snapToGrid/>
          <w:sz w:val="22"/>
          <w:szCs w:val="22"/>
          <w:lang w:val="en-US"/>
        </w:rPr>
        <w:t>enhance</w:t>
      </w:r>
      <w:proofErr w:type="gramEnd"/>
      <w:r w:rsidRPr="00AE71B5">
        <w:rPr>
          <w:rFonts w:ascii="Arial" w:eastAsia="Simsun (Founder Extended)" w:hAnsi="Arial" w:cs="Arial"/>
          <w:snapToGrid/>
          <w:sz w:val="22"/>
          <w:szCs w:val="22"/>
          <w:lang w:val="en-US"/>
        </w:rPr>
        <w:t xml:space="preserve"> the value of the data.</w:t>
      </w:r>
    </w:p>
    <w:p w14:paraId="646DD79D" w14:textId="77777777" w:rsidR="006C41C4" w:rsidRPr="00AE71B5" w:rsidRDefault="006C41C4" w:rsidP="006C41C4">
      <w:pPr>
        <w:keepNext/>
        <w:snapToGrid/>
        <w:spacing w:after="120"/>
        <w:rPr>
          <w:rFonts w:ascii="Arial" w:hAnsi="Arial" w:cs="Arial"/>
          <w:b/>
          <w:sz w:val="22"/>
          <w:szCs w:val="22"/>
          <w:lang w:val="es-ES"/>
        </w:rPr>
      </w:pPr>
      <w:bookmarkStart w:id="453" w:name="spain343"/>
      <w:proofErr w:type="spellStart"/>
      <w:r w:rsidRPr="00AE71B5">
        <w:rPr>
          <w:rFonts w:ascii="Arial" w:hAnsi="Arial" w:cs="Arial"/>
          <w:b/>
          <w:sz w:val="22"/>
          <w:szCs w:val="22"/>
          <w:lang w:val="es-ES"/>
        </w:rPr>
        <w:t>Spain</w:t>
      </w:r>
      <w:proofErr w:type="spellEnd"/>
    </w:p>
    <w:bookmarkEnd w:id="453"/>
    <w:p w14:paraId="64F58FCE"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España manifiesta su máximo agradecimiento por el extraordinario trabajo del Sr Peter Pissierssens como </w:t>
      </w:r>
      <w:proofErr w:type="gramStart"/>
      <w:r w:rsidRPr="00AE71B5">
        <w:rPr>
          <w:rFonts w:ascii="Arial" w:eastAsia="Simsun (Founder Extended)" w:hAnsi="Arial" w:cs="Arial"/>
          <w:snapToGrid/>
          <w:sz w:val="22"/>
          <w:szCs w:val="22"/>
          <w:lang w:val="es-CL"/>
        </w:rPr>
        <w:t>Jefe</w:t>
      </w:r>
      <w:proofErr w:type="gramEnd"/>
      <w:r w:rsidRPr="00AE71B5">
        <w:rPr>
          <w:rFonts w:ascii="Arial" w:eastAsia="Simsun (Founder Extended)" w:hAnsi="Arial" w:cs="Arial"/>
          <w:snapToGrid/>
          <w:sz w:val="22"/>
          <w:szCs w:val="22"/>
          <w:lang w:val="es-CL"/>
        </w:rPr>
        <w:t xml:space="preserve"> de Sección de IODE hasta su reciente jubilación y le transmitimos nuestros mejores deseos en esta nueva etapa.</w:t>
      </w:r>
    </w:p>
    <w:p w14:paraId="3B9AAFA6"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El IEO, como Centro Nacional de Datos Oceanográficos (NODC), distribuye datos e información sobre el medio marino a través de distintas plataformas e iniciativas europeas, incluidas http://seadatanet.org y EMODNET. Actualmente, el IEO está trabajando en mejorar su Infraestructura de Datos Espaciales, con objeto de facilitar el acceso a esta información a través de un catálogo propio acorde con las necesidades actuales en este campo, facilitando conexiones “maquina-a-maquina” y actualizaciones </w:t>
      </w:r>
      <w:proofErr w:type="spellStart"/>
      <w:r w:rsidRPr="00AE71B5">
        <w:rPr>
          <w:rFonts w:ascii="Arial" w:eastAsia="Simsun (Founder Extended)" w:hAnsi="Arial" w:cs="Arial"/>
          <w:snapToGrid/>
          <w:sz w:val="22"/>
          <w:szCs w:val="22"/>
          <w:lang w:val="es-CL"/>
        </w:rPr>
        <w:t>semi-automáticas</w:t>
      </w:r>
      <w:proofErr w:type="spellEnd"/>
      <w:r w:rsidRPr="00AE71B5">
        <w:rPr>
          <w:rFonts w:ascii="Arial" w:eastAsia="Simsun (Founder Extended)" w:hAnsi="Arial" w:cs="Arial"/>
          <w:snapToGrid/>
          <w:sz w:val="22"/>
          <w:szCs w:val="22"/>
          <w:lang w:val="es-CL"/>
        </w:rPr>
        <w:t xml:space="preserve"> que favorezcan la integración de las arquitecturas de datos propuestas por el IODE y la contribución a un ecosistema global de datos oceánicos siguiendo principios FAIR y CARE. Subrayamos la importancia de asegurar la accesibilidad y preservación a largo plazo de los datos a través de repositorios con vocación de permanencia en el tiempo.</w:t>
      </w:r>
    </w:p>
    <w:p w14:paraId="385136AB"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La gestión de datos es, y cada vez va a serlo más, una especialidad con un alto contenido técnico y tecnológico que avanza rápido a medida que las redes y las comunicaciones mejoran, a la par de las capacidades de muestreo y mejoras instrumentales. Esto pide que los tiempos de respuesta cada vez sean menores y que las comunicaciones máquina-máquina funcionen con las últimas mejoras y avances del estado del arte. Las actividades de los </w:t>
      </w:r>
      <w:proofErr w:type="spellStart"/>
      <w:r w:rsidRPr="00AE71B5">
        <w:rPr>
          <w:rFonts w:ascii="Arial" w:eastAsia="Simsun (Founder Extended)" w:hAnsi="Arial" w:cs="Arial"/>
          <w:snapToGrid/>
          <w:sz w:val="22"/>
          <w:szCs w:val="22"/>
          <w:lang w:val="es-CL"/>
        </w:rPr>
        <w:t>NODCs</w:t>
      </w:r>
      <w:proofErr w:type="spellEnd"/>
      <w:r w:rsidRPr="00AE71B5">
        <w:rPr>
          <w:rFonts w:ascii="Arial" w:eastAsia="Simsun (Founder Extended)" w:hAnsi="Arial" w:cs="Arial"/>
          <w:snapToGrid/>
          <w:sz w:val="22"/>
          <w:szCs w:val="22"/>
          <w:lang w:val="es-CL"/>
        </w:rPr>
        <w:t xml:space="preserve"> responden a las necesidades de una gestión </w:t>
      </w:r>
      <w:proofErr w:type="spellStart"/>
      <w:r w:rsidRPr="00AE71B5">
        <w:rPr>
          <w:rFonts w:ascii="Arial" w:eastAsia="Simsun (Founder Extended)" w:hAnsi="Arial" w:cs="Arial"/>
          <w:snapToGrid/>
          <w:sz w:val="22"/>
          <w:szCs w:val="22"/>
          <w:lang w:val="es-CL"/>
        </w:rPr>
        <w:t>Cientifico</w:t>
      </w:r>
      <w:proofErr w:type="spellEnd"/>
      <w:r w:rsidRPr="00AE71B5">
        <w:rPr>
          <w:rFonts w:ascii="Arial" w:eastAsia="Simsun (Founder Extended)" w:hAnsi="Arial" w:cs="Arial"/>
          <w:snapToGrid/>
          <w:sz w:val="22"/>
          <w:szCs w:val="22"/>
          <w:lang w:val="es-CL"/>
        </w:rPr>
        <w:t>-Técnica altamente especializada de los Datos Oceanográficos en el marco de las competencias propias de cada país. Esta especialización y necesidad debe ser reconocida.</w:t>
      </w:r>
    </w:p>
    <w:p w14:paraId="1EAAFCEA"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España quiere reconocer la importancia para la comunidad internacional de los avances del Sistema de Información sobre Biodiversidad Oceánica (OBIS), el Sistema de Datos e Información Oceánica (ODIS) especialmente en relevante para algunas regiones del globo, que debe seguir fortaleciéndose para garantizar la equidad de acceso digital a datos e información relevante. Agradecemos también el trabajo y el esfuerzo de la Academia Global Ocean </w:t>
      </w:r>
      <w:proofErr w:type="spellStart"/>
      <w:r w:rsidRPr="00AE71B5">
        <w:rPr>
          <w:rFonts w:ascii="Arial" w:eastAsia="Simsun (Founder Extended)" w:hAnsi="Arial" w:cs="Arial"/>
          <w:snapToGrid/>
          <w:sz w:val="22"/>
          <w:szCs w:val="22"/>
          <w:lang w:val="es-CL"/>
        </w:rPr>
        <w:t>Teacher</w:t>
      </w:r>
      <w:proofErr w:type="spellEnd"/>
      <w:r w:rsidRPr="00AE71B5">
        <w:rPr>
          <w:rFonts w:ascii="Arial" w:eastAsia="Simsun (Founder Extended)" w:hAnsi="Arial" w:cs="Arial"/>
          <w:snapToGrid/>
          <w:sz w:val="22"/>
          <w:szCs w:val="22"/>
          <w:lang w:val="es-CL"/>
        </w:rPr>
        <w:t>, resaltando la modalidad de autoaprendizaje y favoreciendo los cursos en varios idiomas, y el aumento significativo de su actividad, logrando un número importante de inscripciones. Esto apoya la Estrategia de Desarrollo de Capacidades del COI y contribuye a programas como la Resiliencia ante Tsunamis, Ciencia Oceánica y la Década del Océano, contaminación marina, planificación espacial marina y restauración de manglares.</w:t>
      </w:r>
    </w:p>
    <w:p w14:paraId="20B558BA"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Agradecemos muy sinceramente al Gobierno de Flandes por la financiación que permite sostener la oficina en </w:t>
      </w:r>
      <w:proofErr w:type="spellStart"/>
      <w:r w:rsidRPr="00AE71B5">
        <w:rPr>
          <w:rFonts w:ascii="Arial" w:eastAsia="Simsun (Founder Extended)" w:hAnsi="Arial" w:cs="Arial"/>
          <w:snapToGrid/>
          <w:sz w:val="22"/>
          <w:szCs w:val="22"/>
          <w:lang w:val="es-CL"/>
        </w:rPr>
        <w:t>Oostende</w:t>
      </w:r>
      <w:proofErr w:type="spellEnd"/>
      <w:r w:rsidRPr="00AE71B5">
        <w:rPr>
          <w:rFonts w:ascii="Arial" w:eastAsia="Simsun (Founder Extended)" w:hAnsi="Arial" w:cs="Arial"/>
          <w:snapToGrid/>
          <w:sz w:val="22"/>
          <w:szCs w:val="22"/>
          <w:lang w:val="es-CL"/>
        </w:rPr>
        <w:t xml:space="preserve"> sin la cual estas actividades no serían posibles.</w:t>
      </w:r>
    </w:p>
    <w:p w14:paraId="6819A87E" w14:textId="77777777" w:rsidR="006C41C4" w:rsidRPr="00AE71B5" w:rsidRDefault="006C41C4" w:rsidP="006C41C4">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España está de acuerdo con la necesidad de iniciar cuanto antes el proceso de selección de nuevo </w:t>
      </w:r>
      <w:proofErr w:type="gramStart"/>
      <w:r w:rsidRPr="00AE71B5">
        <w:rPr>
          <w:rFonts w:ascii="Arial" w:eastAsia="Simsun (Founder Extended)" w:hAnsi="Arial" w:cs="Arial"/>
          <w:snapToGrid/>
          <w:sz w:val="22"/>
          <w:szCs w:val="22"/>
          <w:lang w:val="es-CL"/>
        </w:rPr>
        <w:t>Jefe</w:t>
      </w:r>
      <w:proofErr w:type="gramEnd"/>
      <w:r w:rsidRPr="00AE71B5">
        <w:rPr>
          <w:rFonts w:ascii="Arial" w:eastAsia="Simsun (Founder Extended)" w:hAnsi="Arial" w:cs="Arial"/>
          <w:snapToGrid/>
          <w:sz w:val="22"/>
          <w:szCs w:val="22"/>
          <w:lang w:val="es-CL"/>
        </w:rPr>
        <w:t xml:space="preserve"> de la Sección de IODE, pero resaltando la necesidad de que se haga atendiendo a los estándares que requiere actualmente esta disciplina cada vez más compleja y que ya hemos mencionado</w:t>
      </w:r>
    </w:p>
    <w:p w14:paraId="3B61CA35" w14:textId="77777777" w:rsidR="006C41C4" w:rsidRPr="00AE71B5" w:rsidRDefault="006C41C4" w:rsidP="006C41C4">
      <w:pPr>
        <w:keepNext/>
        <w:snapToGrid/>
        <w:spacing w:after="120"/>
        <w:rPr>
          <w:rFonts w:ascii="Arial" w:hAnsi="Arial" w:cs="Arial"/>
          <w:b/>
          <w:sz w:val="22"/>
          <w:szCs w:val="22"/>
        </w:rPr>
      </w:pPr>
      <w:bookmarkStart w:id="454" w:name="uk343"/>
      <w:r w:rsidRPr="00AE71B5">
        <w:rPr>
          <w:rFonts w:ascii="Arial" w:hAnsi="Arial" w:cs="Arial"/>
          <w:b/>
          <w:sz w:val="22"/>
          <w:szCs w:val="22"/>
        </w:rPr>
        <w:lastRenderedPageBreak/>
        <w:t xml:space="preserve">United Kingdom of Great Britain and Northern Ireland </w:t>
      </w:r>
    </w:p>
    <w:bookmarkEnd w:id="454"/>
    <w:p w14:paraId="3197245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Ocean data, and its sharing in a way that makes data accessible to all, is at the heart of ocean science that delivers to society.</w:t>
      </w:r>
    </w:p>
    <w:p w14:paraId="0E59728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Kingdom recognises, and applauds, the critical work of the IOC, and its bodies, in this area and welcome actions to strengthen the critical work being done to democratise data for the benefit of all.</w:t>
      </w:r>
    </w:p>
    <w:p w14:paraId="188B478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increasing cooperation between IODE and GOOS, and the IOC Data Architecture concept proposal. Setting up such an integrated and scalable IOC digital architecture/ecosystem will be beneficial to the IOC, decreasing duplication of effort and enabling efficiencies. Moreover, the federated approach to the IOC Data Architecture aligns with the UN Ocean Decade Data and Information Strategy. Such a system would improve access and discovery of IOC data and strengthen the delivery of ocean data to the wide range of stakeholders that need easy, efficient access to them.</w:t>
      </w:r>
    </w:p>
    <w:p w14:paraId="3243355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particular, the IOC Data Architecture will benefit other components of IOC. In addition, improving the coordination and increasing the connectivity between GOOS and IODE will facilitate support for BBNJ, including the requirements of the Clearing House Mechanism. Many of the building blocks for the suggested IOC Data Architecture already exist although joining them together will not be a simple task. We note that during the first year no additional IOC funds are requested, but we recommend that a costed proposal be developed for the next phase.</w:t>
      </w:r>
    </w:p>
    <w:p w14:paraId="5762591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further note that the IOC Data Architecture will interface with other systems (e.g. WMO’s WIS 2.0, and UNEP’s World Environment Situation Room (WESR)). We recommend that care is taken to ensure the IOC Data Architecture also aligns with the digital infrastructure of other key components of the Earth system as well as with socio-economic data systems.</w:t>
      </w:r>
    </w:p>
    <w:p w14:paraId="7301C02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is important to ensure that IODE’s network of NODCs and ADUs are fully on board and are provided with whatever assistance they need to participate, especially those with limited resources. We note that there is a planned consultation phase from July-December 2025 and recommend that NODCs and ADUs are actively consulted.</w:t>
      </w:r>
    </w:p>
    <w:p w14:paraId="25361D8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summary, the UK is supportive of the IOC Data Architecture concept and are excited to see how it evolves.</w:t>
      </w:r>
    </w:p>
    <w:p w14:paraId="28174060"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3.4.4</w:t>
      </w:r>
      <w:r w:rsidRPr="00AE71B5">
        <w:rPr>
          <w:rFonts w:ascii="Arial" w:hAnsi="Arial" w:cs="Arial"/>
          <w:b/>
          <w:sz w:val="22"/>
          <w:szCs w:val="22"/>
        </w:rPr>
        <w:tab/>
        <w:t>An IOC Ocean Best practices System (OBPS)</w:t>
      </w:r>
    </w:p>
    <w:p w14:paraId="1F0D5A2D" w14:textId="77777777" w:rsidR="006C41C4" w:rsidRPr="00AE71B5" w:rsidRDefault="006C41C4" w:rsidP="006C41C4">
      <w:pPr>
        <w:keepNext/>
        <w:snapToGrid/>
        <w:spacing w:after="120"/>
        <w:rPr>
          <w:rFonts w:ascii="Arial" w:hAnsi="Arial" w:cs="Arial"/>
          <w:b/>
          <w:sz w:val="22"/>
          <w:szCs w:val="22"/>
        </w:rPr>
      </w:pPr>
      <w:bookmarkStart w:id="455" w:name="India344"/>
      <w:r w:rsidRPr="00AE71B5">
        <w:rPr>
          <w:rFonts w:ascii="Arial" w:hAnsi="Arial" w:cs="Arial"/>
          <w:b/>
          <w:sz w:val="22"/>
          <w:szCs w:val="22"/>
        </w:rPr>
        <w:t>India</w:t>
      </w:r>
    </w:p>
    <w:bookmarkEnd w:id="455"/>
    <w:p w14:paraId="5E4925C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OBSP is suggested to encourage and adopt best practises in the field of translational and operational oceanography. India is happy to share one of the best practices in community based operational multi-purpose/fit to purpose observation system named WAMAN buoys network being developed by India along with sister countries such as Mauritius, Seychelles </w:t>
      </w:r>
      <w:proofErr w:type="spellStart"/>
      <w:r w:rsidRPr="00AE71B5">
        <w:rPr>
          <w:rFonts w:ascii="Arial" w:eastAsia="Simsun (Founder Extended)" w:hAnsi="Arial" w:cs="Arial"/>
          <w:snapToGrid/>
          <w:sz w:val="22"/>
          <w:szCs w:val="22"/>
        </w:rPr>
        <w:t>immensively</w:t>
      </w:r>
      <w:proofErr w:type="spellEnd"/>
      <w:r w:rsidRPr="00AE71B5">
        <w:rPr>
          <w:rFonts w:ascii="Arial" w:eastAsia="Simsun (Founder Extended)" w:hAnsi="Arial" w:cs="Arial"/>
          <w:snapToGrid/>
          <w:sz w:val="22"/>
          <w:szCs w:val="22"/>
        </w:rPr>
        <w:t xml:space="preserve"> for operational ocean services and forecasting. The best practices are being published in BAMS (Bulletin of American Meteorological Society) next issue.</w:t>
      </w:r>
    </w:p>
    <w:p w14:paraId="373AE3F6" w14:textId="77777777" w:rsidR="006C41C4" w:rsidRPr="00AE71B5" w:rsidRDefault="006C41C4" w:rsidP="006C41C4">
      <w:pPr>
        <w:keepNext/>
        <w:snapToGrid/>
        <w:spacing w:after="120"/>
        <w:rPr>
          <w:rFonts w:ascii="Arial" w:hAnsi="Arial" w:cs="Arial"/>
          <w:b/>
          <w:sz w:val="22"/>
          <w:szCs w:val="22"/>
        </w:rPr>
      </w:pPr>
      <w:bookmarkStart w:id="456" w:name="jap344"/>
      <w:r w:rsidRPr="00AE71B5">
        <w:rPr>
          <w:rFonts w:ascii="Arial" w:hAnsi="Arial" w:cs="Arial"/>
          <w:b/>
          <w:sz w:val="22"/>
          <w:szCs w:val="22"/>
        </w:rPr>
        <w:t>Japan</w:t>
      </w:r>
    </w:p>
    <w:bookmarkEnd w:id="456"/>
    <w:p w14:paraId="694835B2"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appreciate the </w:t>
      </w:r>
      <w:proofErr w:type="gramStart"/>
      <w:r w:rsidRPr="00AE71B5">
        <w:rPr>
          <w:rFonts w:ascii="Arial" w:eastAsia="Simsun (Founder Extended)" w:hAnsi="Arial" w:cs="Arial"/>
          <w:snapToGrid/>
          <w:sz w:val="22"/>
          <w:szCs w:val="22"/>
          <w:lang w:val="en-US"/>
        </w:rPr>
        <w:t>roll</w:t>
      </w:r>
      <w:proofErr w:type="gramEnd"/>
      <w:r w:rsidRPr="00AE71B5">
        <w:rPr>
          <w:rFonts w:ascii="Arial" w:eastAsia="Simsun (Founder Extended)" w:hAnsi="Arial" w:cs="Arial"/>
          <w:snapToGrid/>
          <w:sz w:val="22"/>
          <w:szCs w:val="22"/>
          <w:lang w:val="en-US"/>
        </w:rPr>
        <w:t xml:space="preserve"> of Ocean Best Practices System that can contribute to the standardization and harmonization on oceanography.</w:t>
      </w:r>
    </w:p>
    <w:p w14:paraId="1240EBFF" w14:textId="77777777" w:rsidR="006C41C4" w:rsidRPr="00E647B1" w:rsidRDefault="006C41C4" w:rsidP="006C41C4">
      <w:pPr>
        <w:keepNext/>
        <w:snapToGrid/>
        <w:spacing w:after="120"/>
        <w:rPr>
          <w:rFonts w:ascii="Arial" w:hAnsi="Arial" w:cs="Arial"/>
          <w:b/>
          <w:sz w:val="22"/>
          <w:szCs w:val="22"/>
          <w:lang w:val="es-ES"/>
        </w:rPr>
      </w:pPr>
      <w:bookmarkStart w:id="457" w:name="spain344"/>
      <w:proofErr w:type="spellStart"/>
      <w:r w:rsidRPr="00E647B1">
        <w:rPr>
          <w:rFonts w:ascii="Arial" w:hAnsi="Arial" w:cs="Arial"/>
          <w:b/>
          <w:sz w:val="22"/>
          <w:szCs w:val="22"/>
          <w:lang w:val="es-ES"/>
        </w:rPr>
        <w:t>Spain</w:t>
      </w:r>
      <w:proofErr w:type="spellEnd"/>
    </w:p>
    <w:bookmarkEnd w:id="457"/>
    <w:p w14:paraId="5FAA528D"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agradece la presentación de la Señora Emma Heslop y consideramos extraordinariamente importante esta iniciativa, ya que es básica para que posteriormente los datos que obtenemos sean interoperables. Así mismo, consideramos importante tener en cuenta y coordinar con otras iniciatives existentes como las que desarrollan ICES y PICES.</w:t>
      </w:r>
    </w:p>
    <w:p w14:paraId="242DDEEA" w14:textId="77777777" w:rsidR="006C41C4" w:rsidRPr="00AE71B5" w:rsidRDefault="006C41C4" w:rsidP="006C41C4">
      <w:pPr>
        <w:keepNext/>
        <w:snapToGrid/>
        <w:spacing w:after="120"/>
        <w:rPr>
          <w:rFonts w:ascii="Arial" w:hAnsi="Arial" w:cs="Arial"/>
          <w:b/>
          <w:sz w:val="22"/>
          <w:szCs w:val="22"/>
        </w:rPr>
      </w:pPr>
      <w:bookmarkStart w:id="458" w:name="uk344"/>
      <w:r w:rsidRPr="00AE71B5">
        <w:rPr>
          <w:rFonts w:ascii="Arial" w:hAnsi="Arial" w:cs="Arial"/>
          <w:b/>
          <w:sz w:val="22"/>
          <w:szCs w:val="22"/>
        </w:rPr>
        <w:lastRenderedPageBreak/>
        <w:t xml:space="preserve">United Kingdom of Great Britain and Northern Ireland </w:t>
      </w:r>
    </w:p>
    <w:bookmarkEnd w:id="458"/>
    <w:p w14:paraId="0ECD7BD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appreciates any effort to incorporate best practices widely where they improve efficiency and effectiveness. In establishing the OBPS as an underpinning set of resources we see such an opportunity to foster an IOC-wide approach to increase productivity through sharing broadly adopted methods and approaches. </w:t>
      </w:r>
    </w:p>
    <w:p w14:paraId="7C15CAB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looks forward to seeing the proposed vision and strategy, </w:t>
      </w:r>
      <w:proofErr w:type="gramStart"/>
      <w:r w:rsidRPr="00AE71B5">
        <w:rPr>
          <w:rFonts w:ascii="Arial" w:eastAsia="Simsun (Founder Extended)" w:hAnsi="Arial" w:cs="Arial"/>
          <w:snapToGrid/>
          <w:sz w:val="22"/>
          <w:szCs w:val="22"/>
        </w:rPr>
        <w:t>taking into account</w:t>
      </w:r>
      <w:proofErr w:type="gramEnd"/>
      <w:r w:rsidRPr="00AE71B5">
        <w:rPr>
          <w:rFonts w:ascii="Arial" w:eastAsia="Simsun (Founder Extended)" w:hAnsi="Arial" w:cs="Arial"/>
          <w:snapToGrid/>
          <w:sz w:val="22"/>
          <w:szCs w:val="22"/>
        </w:rPr>
        <w:t xml:space="preserve"> other best practice efforts, such as the formation of the EC-OBPS and Best Practices AISBL. It will be important that as the IOC develops its own best practices that it works closely with such initiatives to ensure broader coherence and sustainability of IOC OBPS.  </w:t>
      </w:r>
    </w:p>
    <w:p w14:paraId="6B0EAAD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Whilst the UK generally agrees with the proposed terms of reference for a new Steering Group in the draft Decision, we note the absence of nominations of Members of the Steering Group by way of Circular Letter to Member States. We will propose a minor edit to the draft Decision text when shown on the screen for consideration. Justification for change: to enable Member States to provide experts.</w:t>
      </w:r>
    </w:p>
    <w:p w14:paraId="2CBDDF24" w14:textId="77777777" w:rsidR="006C41C4" w:rsidRPr="00AE71B5" w:rsidRDefault="006C41C4" w:rsidP="006C41C4">
      <w:pPr>
        <w:keepNext/>
        <w:snapToGrid/>
        <w:spacing w:after="120"/>
        <w:rPr>
          <w:rFonts w:ascii="Arial" w:hAnsi="Arial" w:cs="Arial"/>
          <w:b/>
          <w:sz w:val="22"/>
          <w:szCs w:val="22"/>
        </w:rPr>
      </w:pPr>
      <w:bookmarkStart w:id="459" w:name="us344"/>
      <w:r w:rsidRPr="00AE71B5">
        <w:rPr>
          <w:rFonts w:ascii="Arial" w:hAnsi="Arial" w:cs="Arial"/>
          <w:b/>
          <w:sz w:val="22"/>
          <w:szCs w:val="22"/>
        </w:rPr>
        <w:t>United States of America</w:t>
      </w:r>
    </w:p>
    <w:bookmarkEnd w:id="459"/>
    <w:p w14:paraId="0B262F7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supports the work of the Ocean Best Practices System Steering Group. However, consistent with our national statement on Wednesday, the United States disassociates from paragraph 3 of the decision just adopted for agenda item 3.4.4.</w:t>
      </w:r>
    </w:p>
    <w:p w14:paraId="52F885DB"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3.4.5</w:t>
      </w:r>
      <w:r w:rsidRPr="00AE71B5">
        <w:rPr>
          <w:rFonts w:ascii="Arial" w:hAnsi="Arial" w:cs="Arial"/>
          <w:b/>
          <w:sz w:val="22"/>
          <w:szCs w:val="22"/>
        </w:rPr>
        <w:tab/>
        <w:t>IOC-FAO Intergovernmental Panel on Harmful Algal Blooms: 17th Session of IPHAB, FAO, UNESCO, 18–20 March 2025</w:t>
      </w:r>
    </w:p>
    <w:p w14:paraId="23340C49" w14:textId="77777777" w:rsidR="006C41C4" w:rsidRPr="009863A3" w:rsidRDefault="006C41C4" w:rsidP="006C41C4">
      <w:pPr>
        <w:keepNext/>
        <w:snapToGrid/>
        <w:spacing w:after="120"/>
        <w:rPr>
          <w:rFonts w:ascii="Arial" w:hAnsi="Arial" w:cs="Arial"/>
          <w:b/>
          <w:sz w:val="22"/>
          <w:szCs w:val="22"/>
          <w:lang w:val="es-ES"/>
        </w:rPr>
      </w:pPr>
      <w:bookmarkStart w:id="460" w:name="chil345"/>
      <w:r w:rsidRPr="009863A3">
        <w:rPr>
          <w:rFonts w:ascii="Arial" w:hAnsi="Arial" w:cs="Arial"/>
          <w:b/>
          <w:sz w:val="22"/>
          <w:szCs w:val="22"/>
          <w:lang w:val="es-ES"/>
        </w:rPr>
        <w:t>Chile</w:t>
      </w:r>
    </w:p>
    <w:bookmarkEnd w:id="460"/>
    <w:p w14:paraId="1EC80B50"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Chile forma parte activa del Panel Intergubernamental de Floraciones de Algas Nocivas (IPHAB) desde el año 1992, además de integrar a nivel regional el grupo de Floraciones de Algas Nocivas de Sudamérica (FANSA), instancias que nos permiten enfrentar de manera coordinada todos los desafíos que emergen de las Floraciones de Algas Nocivas. Estos eventos al ser cada vez más frecuentes e </w:t>
      </w:r>
      <w:proofErr w:type="gramStart"/>
      <w:r w:rsidRPr="00AE71B5">
        <w:rPr>
          <w:rFonts w:ascii="Arial" w:eastAsia="Simsun (Founder Extended)" w:hAnsi="Arial" w:cs="Arial"/>
          <w:snapToGrid/>
          <w:sz w:val="22"/>
          <w:szCs w:val="22"/>
          <w:lang w:val="es-ES"/>
        </w:rPr>
        <w:t>intensos,</w:t>
      </w:r>
      <w:proofErr w:type="gramEnd"/>
      <w:r w:rsidRPr="00AE71B5">
        <w:rPr>
          <w:rFonts w:ascii="Arial" w:eastAsia="Simsun (Founder Extended)" w:hAnsi="Arial" w:cs="Arial"/>
          <w:snapToGrid/>
          <w:sz w:val="22"/>
          <w:szCs w:val="22"/>
          <w:lang w:val="es-ES"/>
        </w:rPr>
        <w:t xml:space="preserve"> requieren de una comprensión a cabalidad de los factores que los desencadenan con la finalidad de generar estrategias de alertas tempranas, pronósticos y mitigación en las regiones afectadas. Es por esto, que nuestro país apoya firmemente todas las decisiones y recomendaciones emanadas de la </w:t>
      </w:r>
      <w:proofErr w:type="spellStart"/>
      <w:r w:rsidRPr="00AE71B5">
        <w:rPr>
          <w:rFonts w:ascii="Arial" w:eastAsia="Simsun (Founder Extended)" w:hAnsi="Arial" w:cs="Arial"/>
          <w:snapToGrid/>
          <w:sz w:val="22"/>
          <w:szCs w:val="22"/>
          <w:lang w:val="es-ES"/>
        </w:rPr>
        <w:t>Décimoséptima</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reunion</w:t>
      </w:r>
      <w:proofErr w:type="spellEnd"/>
      <w:r w:rsidRPr="00AE71B5">
        <w:rPr>
          <w:rFonts w:ascii="Arial" w:eastAsia="Simsun (Founder Extended)" w:hAnsi="Arial" w:cs="Arial"/>
          <w:snapToGrid/>
          <w:sz w:val="22"/>
          <w:szCs w:val="22"/>
          <w:lang w:val="es-ES"/>
        </w:rPr>
        <w:t xml:space="preserve"> del Panel (IPHAB-XVII) realizada en marzo de 2025 y reafirma su compromiso en esta materia con la comunidad científica nacional e internacional, al albergar </w:t>
      </w:r>
      <w:proofErr w:type="gramStart"/>
      <w:r w:rsidRPr="00AE71B5">
        <w:rPr>
          <w:rFonts w:ascii="Arial" w:eastAsia="Simsun (Founder Extended)" w:hAnsi="Arial" w:cs="Arial"/>
          <w:snapToGrid/>
          <w:sz w:val="22"/>
          <w:szCs w:val="22"/>
          <w:lang w:val="es-ES"/>
        </w:rPr>
        <w:t>la  Vigésima</w:t>
      </w:r>
      <w:proofErr w:type="gramEnd"/>
      <w:r w:rsidRPr="00AE71B5">
        <w:rPr>
          <w:rFonts w:ascii="Arial" w:eastAsia="Simsun (Founder Extended)" w:hAnsi="Arial" w:cs="Arial"/>
          <w:snapToGrid/>
          <w:sz w:val="22"/>
          <w:szCs w:val="22"/>
          <w:lang w:val="es-ES"/>
        </w:rPr>
        <w:t xml:space="preserve"> Conferencia Internacional de Algas Nocivas (ICHA 2025), actividad que se llevará a cabo entre el 19 y 24 de octubre de este año en la ciudad de Punta Arenas.</w:t>
      </w:r>
    </w:p>
    <w:p w14:paraId="7B66B7C7" w14:textId="77777777" w:rsidR="006C41C4" w:rsidRPr="00AE71B5" w:rsidRDefault="006C41C4" w:rsidP="006C41C4">
      <w:pPr>
        <w:keepNext/>
        <w:snapToGrid/>
        <w:spacing w:after="120"/>
        <w:rPr>
          <w:rFonts w:ascii="Arial" w:hAnsi="Arial" w:cs="Arial"/>
          <w:b/>
          <w:sz w:val="22"/>
          <w:szCs w:val="22"/>
        </w:rPr>
      </w:pPr>
      <w:bookmarkStart w:id="461" w:name="chin345"/>
      <w:r w:rsidRPr="00AE71B5">
        <w:rPr>
          <w:rFonts w:ascii="Arial" w:hAnsi="Arial" w:cs="Arial"/>
          <w:b/>
          <w:sz w:val="22"/>
          <w:szCs w:val="22"/>
        </w:rPr>
        <w:t>China</w:t>
      </w:r>
    </w:p>
    <w:bookmarkEnd w:id="461"/>
    <w:p w14:paraId="2EA5449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China, we have conducted over 30 years of continuous HAB monitoring, achieving significant progress in detection and management, while establishing close collaborations with multiple countries. In October 2023, supported by China national HAB monitoring projects, the </w:t>
      </w:r>
      <w:proofErr w:type="spellStart"/>
      <w:r w:rsidRPr="00AE71B5">
        <w:rPr>
          <w:rFonts w:ascii="Arial" w:eastAsia="Simsun (Founder Extended)" w:hAnsi="Arial" w:cs="Arial"/>
          <w:snapToGrid/>
          <w:sz w:val="22"/>
          <w:szCs w:val="22"/>
        </w:rPr>
        <w:t>GeoHAB</w:t>
      </w:r>
      <w:proofErr w:type="spellEnd"/>
      <w:r w:rsidRPr="00AE71B5">
        <w:rPr>
          <w:rFonts w:ascii="Arial" w:eastAsia="Simsun (Founder Extended)" w:hAnsi="Arial" w:cs="Arial"/>
          <w:snapToGrid/>
          <w:sz w:val="22"/>
          <w:szCs w:val="22"/>
        </w:rPr>
        <w:t xml:space="preserve">, the </w:t>
      </w:r>
      <w:proofErr w:type="spellStart"/>
      <w:r w:rsidRPr="00AE71B5">
        <w:rPr>
          <w:rFonts w:ascii="Arial" w:eastAsia="Simsun (Founder Extended)" w:hAnsi="Arial" w:cs="Arial"/>
          <w:snapToGrid/>
          <w:sz w:val="22"/>
          <w:szCs w:val="22"/>
        </w:rPr>
        <w:t>GlobalHAB</w:t>
      </w:r>
      <w:proofErr w:type="spellEnd"/>
      <w:r w:rsidRPr="00AE71B5">
        <w:rPr>
          <w:rFonts w:ascii="Arial" w:eastAsia="Simsun (Founder Extended)" w:hAnsi="Arial" w:cs="Arial"/>
          <w:snapToGrid/>
          <w:sz w:val="22"/>
          <w:szCs w:val="22"/>
        </w:rPr>
        <w:t xml:space="preserve"> programme, the PICES Ocean Monitoring Service Award (POMA) was awarded to China HAB research team – an immense encouragement to us. In December 2024, we organized the International Training Program on Prevention, Control and Mitigation of Harmful Algal Blooms. This training program gathered experts and researchers in marine science worldwide to address frontier scientific challenges in HAB management. It covered various aspects, including </w:t>
      </w:r>
      <w:proofErr w:type="gramStart"/>
      <w:r w:rsidRPr="00AE71B5">
        <w:rPr>
          <w:rFonts w:ascii="Arial" w:eastAsia="Simsun (Founder Extended)" w:hAnsi="Arial" w:cs="Arial"/>
          <w:snapToGrid/>
          <w:sz w:val="22"/>
          <w:szCs w:val="22"/>
        </w:rPr>
        <w:t>current status</w:t>
      </w:r>
      <w:proofErr w:type="gramEnd"/>
      <w:r w:rsidRPr="00AE71B5">
        <w:rPr>
          <w:rFonts w:ascii="Arial" w:eastAsia="Simsun (Founder Extended)" w:hAnsi="Arial" w:cs="Arial"/>
          <w:snapToGrid/>
          <w:sz w:val="22"/>
          <w:szCs w:val="22"/>
        </w:rPr>
        <w:t xml:space="preserve"> of harmful algal blooms worldwide</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Algal taxonomy, early warning and monitoring</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 xml:space="preserve">Algal toxin detection and economic impact. </w:t>
      </w:r>
    </w:p>
    <w:p w14:paraId="1544C23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training program enhanced participants' understanding of harmful algal blooms and their prevention through multiple methods. Moreover</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 xml:space="preserve">China </w:t>
      </w:r>
      <w:proofErr w:type="gramStart"/>
      <w:r w:rsidRPr="00AE71B5">
        <w:rPr>
          <w:rFonts w:ascii="Arial" w:eastAsia="Simsun (Founder Extended)" w:hAnsi="Arial" w:cs="Arial"/>
          <w:snapToGrid/>
          <w:sz w:val="22"/>
          <w:szCs w:val="22"/>
        </w:rPr>
        <w:t>participate</w:t>
      </w:r>
      <w:proofErr w:type="gramEnd"/>
      <w:r w:rsidRPr="00AE71B5">
        <w:rPr>
          <w:rFonts w:ascii="Arial" w:eastAsia="Simsun (Founder Extended)" w:hAnsi="Arial" w:cs="Arial"/>
          <w:snapToGrid/>
          <w:sz w:val="22"/>
          <w:szCs w:val="22"/>
        </w:rPr>
        <w:t xml:space="preserve"> in the IOC-led Harmful Algal Bloom Solutions (HAB-S) Programme. Moving forward, China will steadfastly fulfil its </w:t>
      </w:r>
      <w:r w:rsidRPr="00AE71B5">
        <w:rPr>
          <w:rFonts w:ascii="Arial" w:eastAsia="Simsun (Founder Extended)" w:hAnsi="Arial" w:cs="Arial"/>
          <w:snapToGrid/>
          <w:sz w:val="22"/>
          <w:szCs w:val="22"/>
        </w:rPr>
        <w:lastRenderedPageBreak/>
        <w:t xml:space="preserve">responsibilities as an initiating country and dedicate full efforts to advancing the implementation of the Harmful Algal Bloom Solutions (HAB-S) Programme.  </w:t>
      </w:r>
    </w:p>
    <w:p w14:paraId="09DAEF9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China would like to contribute to tasks outlined in IPHAB-2025, conduct comprehensive Biotoxin Monitoring Management and Regulation, and enhance early detection, warning and forecasting of harmful algal events.</w:t>
      </w:r>
    </w:p>
    <w:p w14:paraId="2F26AEF4" w14:textId="77777777" w:rsidR="006C41C4" w:rsidRPr="00AE71B5" w:rsidRDefault="006C41C4" w:rsidP="006C41C4">
      <w:pPr>
        <w:keepNext/>
        <w:snapToGrid/>
        <w:spacing w:after="120"/>
        <w:rPr>
          <w:rFonts w:ascii="Arial" w:hAnsi="Arial" w:cs="Arial"/>
          <w:b/>
          <w:sz w:val="22"/>
          <w:szCs w:val="22"/>
          <w:lang w:val="fr-FR"/>
        </w:rPr>
      </w:pPr>
      <w:bookmarkStart w:id="462" w:name="fra345"/>
      <w:r w:rsidRPr="00AE71B5">
        <w:rPr>
          <w:rFonts w:ascii="Arial" w:hAnsi="Arial" w:cs="Arial"/>
          <w:b/>
          <w:sz w:val="22"/>
          <w:szCs w:val="22"/>
          <w:lang w:val="fr-FR"/>
        </w:rPr>
        <w:t>France</w:t>
      </w:r>
    </w:p>
    <w:bookmarkEnd w:id="462"/>
    <w:p w14:paraId="7A128F78"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tient à remercier et féliciter le président de l’IPHAB et les membres du panel pour la présentation et les travaux accomplis sur les microalgues toxiques et nuisibles.</w:t>
      </w:r>
    </w:p>
    <w:p w14:paraId="3516DDB7"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tient à souligner son engagement dans l’IPHAB, en continuant à assurer la présidence de ce panel d’experts pour une seconde période (2025-2027), avec le soutien de l’Espagne en co-présidence et en s’impliquant dans les différentes </w:t>
      </w:r>
      <w:proofErr w:type="spellStart"/>
      <w:r w:rsidRPr="00AE71B5">
        <w:rPr>
          <w:rFonts w:ascii="Arial" w:eastAsia="Simsun (Founder Extended)" w:hAnsi="Arial" w:cs="Arial"/>
          <w:snapToGrid/>
          <w:sz w:val="22"/>
          <w:szCs w:val="22"/>
          <w:lang w:val="fr-FR"/>
        </w:rPr>
        <w:t>Task</w:t>
      </w:r>
      <w:proofErr w:type="spellEnd"/>
      <w:r w:rsidRPr="00AE71B5">
        <w:rPr>
          <w:rFonts w:ascii="Arial" w:eastAsia="Simsun (Founder Extended)" w:hAnsi="Arial" w:cs="Arial"/>
          <w:snapToGrid/>
          <w:sz w:val="22"/>
          <w:szCs w:val="22"/>
          <w:lang w:val="fr-FR"/>
        </w:rPr>
        <w:t xml:space="preserve"> Team.</w:t>
      </w:r>
    </w:p>
    <w:p w14:paraId="49447758"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appuie la décision prise par l’IPHAB lors de la réunion de mars de mettre en place un nouveau programme de concertation scientifique décennal (GlobalHAB-2).</w:t>
      </w:r>
    </w:p>
    <w:p w14:paraId="62A337D8"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rappelle son soutien à la Décennie pour les sciences océaniques au service du développement durable et par conséquent, elle soutient le programme HAB-Solutions, qui a été labellisé Décennie pour les sciences océaniques, et qui vise à l’amélioration des connaissances et de la compréhension des causes et des effets des efflorescences de microalgues toxiques afin d’en réduire la fréquence, la gravité et à minimiser les effets néfastes. Nous souhaitons rappeler l’importance que les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soutiennent ce programme HAB-Solutions afin d’accélérer sa mise en œuvre et sa déclinaison régionale.</w:t>
      </w:r>
    </w:p>
    <w:p w14:paraId="2AA2413F" w14:textId="77777777" w:rsidR="006C41C4" w:rsidRPr="00AE71B5" w:rsidRDefault="006C41C4" w:rsidP="006C41C4">
      <w:pPr>
        <w:keepNext/>
        <w:snapToGrid/>
        <w:spacing w:after="120"/>
        <w:rPr>
          <w:rFonts w:ascii="Arial" w:hAnsi="Arial" w:cs="Arial"/>
          <w:b/>
          <w:sz w:val="22"/>
          <w:szCs w:val="22"/>
        </w:rPr>
      </w:pPr>
      <w:bookmarkStart w:id="463" w:name="india345"/>
      <w:r w:rsidRPr="00AE71B5">
        <w:rPr>
          <w:rFonts w:ascii="Arial" w:hAnsi="Arial" w:cs="Arial"/>
          <w:b/>
          <w:sz w:val="22"/>
          <w:szCs w:val="22"/>
        </w:rPr>
        <w:t>India</w:t>
      </w:r>
    </w:p>
    <w:bookmarkEnd w:id="463"/>
    <w:p w14:paraId="2DADD75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the Chairs of the IPHAB for providing the report on its 17th session, excellent progress made, and decisions/recommendations made, especially towards enhancing the capacity in the region and developing a Harmful Algal Information system, etc. </w:t>
      </w:r>
    </w:p>
    <w:p w14:paraId="012A189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extends its appreciation to the IOC, particularly the Intergovernmental Panel on Harmful Algal Blooms (IPHAB), for accepting the new national representative from India to contribute towards the work plan of Task Team on Early Detection, Warning, and Forecasting of HAB Events during its 17th session. </w:t>
      </w:r>
    </w:p>
    <w:p w14:paraId="46FD39D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would like to mention here that INCOIS, India has been providing the Algal Bloom Information Services (ABIS) for the Northern Indian Ocean region since Feb 2020. India’s Algal Bloom Information Service (ABIS) provides near real time information on </w:t>
      </w:r>
      <w:proofErr w:type="spellStart"/>
      <w:r w:rsidRPr="00AE71B5">
        <w:rPr>
          <w:rFonts w:ascii="Arial" w:eastAsia="Simsun (Founder Extended)" w:hAnsi="Arial" w:cs="Arial"/>
          <w:snapToGrid/>
          <w:sz w:val="22"/>
          <w:szCs w:val="22"/>
        </w:rPr>
        <w:t>spatio</w:t>
      </w:r>
      <w:proofErr w:type="spellEnd"/>
      <w:r w:rsidRPr="00AE71B5">
        <w:rPr>
          <w:rFonts w:ascii="Arial" w:eastAsia="Simsun (Founder Extended)" w:hAnsi="Arial" w:cs="Arial"/>
          <w:snapToGrid/>
          <w:sz w:val="22"/>
          <w:szCs w:val="22"/>
        </w:rPr>
        <w:t xml:space="preserve">-temporal existence and spread phytoplankton bloom over North Indian Ocean. India’s representation in IPHAB work plans will enhance international collaboration and foster a synergistic approach in formulating strategies for the monitoring and mitigation of algal blooms, especially HABs, at national, regional and global levels. </w:t>
      </w:r>
    </w:p>
    <w:p w14:paraId="7BA175D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highly appreciates in bringing out HAB services to all the member states in the region. India reiterates its support to the activities and decisions of IPHAB and would like to contribute significantly through facilitating some of the capacity building initiatives under IPHAB through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xml:space="preserve"> (a UNESCO C2C) at INCOIS, India.</w:t>
      </w:r>
    </w:p>
    <w:p w14:paraId="7C322133" w14:textId="77777777" w:rsidR="006C41C4" w:rsidRPr="00AE71B5" w:rsidRDefault="006C41C4" w:rsidP="006C41C4">
      <w:pPr>
        <w:keepNext/>
        <w:snapToGrid/>
        <w:spacing w:after="120"/>
        <w:rPr>
          <w:rFonts w:ascii="Arial" w:hAnsi="Arial" w:cs="Arial"/>
          <w:b/>
          <w:sz w:val="22"/>
          <w:szCs w:val="22"/>
        </w:rPr>
      </w:pPr>
      <w:bookmarkStart w:id="464" w:name="jap345"/>
      <w:r w:rsidRPr="00AE71B5">
        <w:rPr>
          <w:rFonts w:ascii="Arial" w:hAnsi="Arial" w:cs="Arial"/>
          <w:b/>
          <w:sz w:val="22"/>
          <w:szCs w:val="22"/>
        </w:rPr>
        <w:t>Japan</w:t>
      </w:r>
    </w:p>
    <w:bookmarkEnd w:id="464"/>
    <w:p w14:paraId="2A30A3F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reaffirms its strong commitment to supporting the activities of IPHAB, especially through the established framework of the IOC Sub-Commission WESTPAC. We recognize the critical role of IPHAB in advancing scientific understanding and regional cooperation to address the impacts of HABs on marine ecosystems, fishery and human health.</w:t>
      </w:r>
    </w:p>
    <w:p w14:paraId="270F90C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Japanese experts actively contributing as core members of the IPHAB Task Team and taking on leadership responsibilities in WESTPAC-HAB. Their expertise has been instrumental in deepening scientific knowledge and fostering collaboration among member states.</w:t>
      </w:r>
    </w:p>
    <w:p w14:paraId="1B32E04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Japan has made substantive contributions to scientific research and capacity-building on HAB-related issues. This includes organizing and facilitating international training programs aimed at strengthening regional expertise and enhancing scientific exchanges. Recognizing the importance of knowledge-sharing, Japan remains dedicated to furthering these efforts.</w:t>
      </w:r>
    </w:p>
    <w:p w14:paraId="09D34C3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ahead, Japan is committed to contributing to the development of scientific knowledge and advancing strategies to mitigate the impacts of HABs, while ensuring alignment with its available resources. We stand ready to work closely with international partners to promote effective science-based policies and adaptive management approaches.</w:t>
      </w:r>
    </w:p>
    <w:p w14:paraId="0A2022A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Furthermore, Japan will continue to articulate and reinforce this policy orientation in a constructive manner at IPHAB and WESTPAC-HAB, emphasizing the necessity of sustained global and regional cooperation to address the challenges posed by harmful algal blooms.</w:t>
      </w:r>
    </w:p>
    <w:p w14:paraId="0DDDB1B1" w14:textId="77777777" w:rsidR="006C41C4" w:rsidRPr="00AE71B5" w:rsidRDefault="006C41C4" w:rsidP="006C41C4">
      <w:pPr>
        <w:keepNext/>
        <w:snapToGrid/>
        <w:spacing w:after="120"/>
        <w:rPr>
          <w:rFonts w:ascii="Arial" w:hAnsi="Arial" w:cs="Arial"/>
          <w:b/>
          <w:sz w:val="22"/>
          <w:szCs w:val="22"/>
        </w:rPr>
      </w:pPr>
      <w:bookmarkStart w:id="465" w:name="malay345"/>
      <w:r w:rsidRPr="00AE71B5">
        <w:rPr>
          <w:rFonts w:ascii="Arial" w:hAnsi="Arial" w:cs="Arial"/>
          <w:b/>
          <w:sz w:val="22"/>
          <w:szCs w:val="22"/>
        </w:rPr>
        <w:t>Malaysia</w:t>
      </w:r>
    </w:p>
    <w:bookmarkEnd w:id="465"/>
    <w:p w14:paraId="0CF68B0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HABs pose recurrent threats to Malaysia’s fisheries, aquaculture, public health, and coastal communities. </w:t>
      </w:r>
    </w:p>
    <w:p w14:paraId="69412A97"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has made measurable progress in early monitoring and response:</w:t>
      </w:r>
    </w:p>
    <w:p w14:paraId="040BDDE4"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Department of Fisheries (DOF), working with universities is piloting an Early Warning System (</w:t>
      </w:r>
      <w:proofErr w:type="gramStart"/>
      <w:r w:rsidRPr="00AE71B5">
        <w:rPr>
          <w:rFonts w:ascii="Arial" w:eastAsia="Simsun (Founder Extended)" w:hAnsi="Arial" w:cs="Arial"/>
          <w:snapToGrid/>
          <w:sz w:val="22"/>
          <w:szCs w:val="22"/>
        </w:rPr>
        <w:t>EWS )</w:t>
      </w:r>
      <w:proofErr w:type="gramEnd"/>
      <w:r w:rsidRPr="00AE71B5">
        <w:rPr>
          <w:rFonts w:ascii="Arial" w:eastAsia="Simsun (Founder Extended)" w:hAnsi="Arial" w:cs="Arial"/>
          <w:snapToGrid/>
          <w:sz w:val="22"/>
          <w:szCs w:val="22"/>
        </w:rPr>
        <w:t xml:space="preserve"> featuring field-deployed sensor prototypes and a centralized dashboard to detect HAB events in near-real-time. </w:t>
      </w:r>
    </w:p>
    <w:p w14:paraId="564C310B"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National HAB monitoring combines laboratory testing, in-situ sensors, and satellite data, managed jointly by DOF, National Water Research Institute (NAHRIM), and university partners.</w:t>
      </w:r>
    </w:p>
    <w:p w14:paraId="44025C32"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Under the National Policy on Climate Change 2.0 and Blue Economy Strategy, Malaysia is funding university-led research to develop predictive HAB models and decision-support tools.</w:t>
      </w:r>
    </w:p>
    <w:p w14:paraId="2997C4E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also actively contributes to regional HAB information exchange—such as through WESTPAC—and promotes citizen science platforms like “</w:t>
      </w:r>
      <w:proofErr w:type="spellStart"/>
      <w:r w:rsidRPr="00AE71B5">
        <w:rPr>
          <w:rFonts w:ascii="Arial" w:eastAsia="Simsun (Founder Extended)" w:hAnsi="Arial" w:cs="Arial"/>
          <w:snapToGrid/>
          <w:sz w:val="22"/>
          <w:szCs w:val="22"/>
        </w:rPr>
        <w:t>MyRedTides</w:t>
      </w:r>
      <w:proofErr w:type="spellEnd"/>
      <w:r w:rsidRPr="00AE71B5">
        <w:rPr>
          <w:rFonts w:ascii="Arial" w:eastAsia="Simsun (Founder Extended)" w:hAnsi="Arial" w:cs="Arial"/>
          <w:snapToGrid/>
          <w:sz w:val="22"/>
          <w:szCs w:val="22"/>
        </w:rPr>
        <w:t>” for community-level alert sharing.</w:t>
      </w:r>
    </w:p>
    <w:p w14:paraId="3E69AA7C"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Priorities for action:</w:t>
      </w:r>
    </w:p>
    <w:p w14:paraId="76BE2558"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Scale up sensor deployment and dashboard systems nationwide.</w:t>
      </w:r>
    </w:p>
    <w:p w14:paraId="77AB9A0D"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Enhance data integration and predictive capability using AI and remote sensing.</w:t>
      </w:r>
    </w:p>
    <w:p w14:paraId="0D41D2F2"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Strengthen multi-stakeholder coordination, linking fisheries, health, and environment sectors.</w:t>
      </w:r>
    </w:p>
    <w:p w14:paraId="314648E2"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Contribute more actively to regional HAB networks and IOC-IP-HAB initiatives.</w:t>
      </w:r>
    </w:p>
    <w:p w14:paraId="7066DE1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is committed to active involvement in regional and global HAB programs through IOC WESTPAC HAB program and IPHAB, </w:t>
      </w:r>
      <w:proofErr w:type="spellStart"/>
      <w:r w:rsidRPr="00AE71B5">
        <w:rPr>
          <w:rFonts w:ascii="Arial" w:eastAsia="Simsun (Founder Extended)" w:hAnsi="Arial" w:cs="Arial"/>
          <w:snapToGrid/>
          <w:sz w:val="22"/>
          <w:szCs w:val="22"/>
        </w:rPr>
        <w:t>GlobalHAB</w:t>
      </w:r>
      <w:proofErr w:type="spellEnd"/>
      <w:r w:rsidRPr="00AE71B5">
        <w:rPr>
          <w:rFonts w:ascii="Arial" w:eastAsia="Simsun (Founder Extended)" w:hAnsi="Arial" w:cs="Arial"/>
          <w:snapToGrid/>
          <w:sz w:val="22"/>
          <w:szCs w:val="22"/>
        </w:rPr>
        <w:t xml:space="preserve"> program.</w:t>
      </w:r>
    </w:p>
    <w:p w14:paraId="35621575" w14:textId="77777777" w:rsidR="006C41C4" w:rsidRPr="00AE71B5" w:rsidRDefault="006C41C4" w:rsidP="006C41C4">
      <w:pPr>
        <w:keepNext/>
        <w:snapToGrid/>
        <w:spacing w:after="120"/>
        <w:rPr>
          <w:rFonts w:ascii="Arial" w:hAnsi="Arial" w:cs="Arial"/>
          <w:b/>
          <w:sz w:val="22"/>
          <w:szCs w:val="22"/>
        </w:rPr>
      </w:pPr>
      <w:bookmarkStart w:id="466" w:name="rus345"/>
      <w:r w:rsidRPr="00AE71B5">
        <w:rPr>
          <w:rFonts w:ascii="Arial" w:hAnsi="Arial" w:cs="Arial"/>
          <w:b/>
          <w:sz w:val="22"/>
          <w:szCs w:val="22"/>
        </w:rPr>
        <w:t>Russian Federation</w:t>
      </w:r>
    </w:p>
    <w:bookmarkEnd w:id="466"/>
    <w:p w14:paraId="0EDDF6E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actively participates in the work of the IOC-FAO Intergovernmental Working Group on Harmful Algal Blooms. Since 2021, two scientific programmes have been implemented in the northwestern Pacific region:</w:t>
      </w:r>
    </w:p>
    <w:p w14:paraId="7455EE1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“Environmental Safety of Kamchatka: Research and Monitoring of Hazardous Natural Phenomena and Anthropogenic Impacts” (2021–2023), and</w:t>
      </w:r>
    </w:p>
    <w:p w14:paraId="1F9C7B1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“Comprehensive Scientific Research Programme for the Kamchatka Peninsula and Adjacent Marine Areas” (2024–2026).</w:t>
      </w:r>
    </w:p>
    <w:p w14:paraId="512C0AB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These programmes have revealed important patterns in the interaction of biological and abiotic factors, the specific combinations of which can trigger harmful algal blooms. The results are being shared through publications in international scientific journals.</w:t>
      </w:r>
    </w:p>
    <w:p w14:paraId="21A4AA2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intend to continue joint practical activities on this topic, including the use of expedition-based monitoring data and satellite oceanography methods, and to expand training opportunities for young professionals in this field.</w:t>
      </w:r>
    </w:p>
    <w:p w14:paraId="4520B4E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The Russian Federation supports the recommendations on the implementation of intersessional activities within the framework of the IOC work plan and budget for 2026–</w:t>
      </w:r>
      <w:proofErr w:type="gramStart"/>
      <w:r w:rsidRPr="00AE71B5">
        <w:rPr>
          <w:rFonts w:ascii="Arial" w:eastAsia="Simsun (Founder Extended)" w:hAnsi="Arial" w:cs="Arial"/>
          <w:snapToGrid/>
          <w:sz w:val="22"/>
          <w:szCs w:val="22"/>
        </w:rPr>
        <w:t>2027, and</w:t>
      </w:r>
      <w:proofErr w:type="gramEnd"/>
      <w:r w:rsidRPr="00AE71B5">
        <w:rPr>
          <w:rFonts w:ascii="Arial" w:eastAsia="Simsun (Founder Extended)" w:hAnsi="Arial" w:cs="Arial"/>
          <w:snapToGrid/>
          <w:sz w:val="22"/>
          <w:szCs w:val="22"/>
        </w:rPr>
        <w:t xml:space="preserve"> also expresses support for the continued work of the Intergovernmental Working Group.</w:t>
      </w:r>
    </w:p>
    <w:p w14:paraId="12C89268" w14:textId="77777777" w:rsidR="006C41C4" w:rsidRPr="009863A3" w:rsidRDefault="006C41C4" w:rsidP="006C41C4">
      <w:pPr>
        <w:keepNext/>
        <w:snapToGrid/>
        <w:spacing w:after="120"/>
        <w:rPr>
          <w:rFonts w:ascii="Arial" w:hAnsi="Arial" w:cs="Arial"/>
          <w:b/>
          <w:sz w:val="22"/>
          <w:szCs w:val="22"/>
          <w:lang w:val="es-ES"/>
        </w:rPr>
      </w:pPr>
      <w:bookmarkStart w:id="467" w:name="spain345"/>
      <w:proofErr w:type="spellStart"/>
      <w:r w:rsidRPr="009863A3">
        <w:rPr>
          <w:rFonts w:ascii="Arial" w:hAnsi="Arial" w:cs="Arial"/>
          <w:b/>
          <w:sz w:val="22"/>
          <w:szCs w:val="22"/>
          <w:lang w:val="es-ES"/>
        </w:rPr>
        <w:t>Spain</w:t>
      </w:r>
      <w:proofErr w:type="spellEnd"/>
    </w:p>
    <w:bookmarkEnd w:id="467"/>
    <w:p w14:paraId="33A551C2"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agradece la exposición y el informe presentado por el Dr </w:t>
      </w:r>
      <w:proofErr w:type="spellStart"/>
      <w:r w:rsidRPr="00AE71B5">
        <w:rPr>
          <w:rFonts w:ascii="Arial" w:eastAsia="Simsun (Founder Extended)" w:hAnsi="Arial" w:cs="Arial"/>
          <w:snapToGrid/>
          <w:sz w:val="22"/>
          <w:szCs w:val="22"/>
          <w:lang w:val="es-ES"/>
        </w:rPr>
        <w:t>Phillipp</w:t>
      </w:r>
      <w:proofErr w:type="spellEnd"/>
      <w:r w:rsidRPr="00AE71B5">
        <w:rPr>
          <w:rFonts w:ascii="Arial" w:eastAsia="Simsun (Founder Extended)" w:hAnsi="Arial" w:cs="Arial"/>
          <w:snapToGrid/>
          <w:sz w:val="22"/>
          <w:szCs w:val="22"/>
          <w:lang w:val="es-ES"/>
        </w:rPr>
        <w:t xml:space="preserve"> Hess y queremos destacar nuestro compromiso activo en el Panel Intergubernamental de Floraciones de Algas Nocivas (IPHAB) desde su creación, y sigue apoyando las actividades </w:t>
      </w:r>
      <w:proofErr w:type="gramStart"/>
      <w:r w:rsidRPr="00AE71B5">
        <w:rPr>
          <w:rFonts w:ascii="Arial" w:eastAsia="Simsun (Founder Extended)" w:hAnsi="Arial" w:cs="Arial"/>
          <w:snapToGrid/>
          <w:sz w:val="22"/>
          <w:szCs w:val="22"/>
          <w:lang w:val="es-ES"/>
        </w:rPr>
        <w:t>del mismo</w:t>
      </w:r>
      <w:proofErr w:type="gramEnd"/>
      <w:r w:rsidRPr="00AE71B5">
        <w:rPr>
          <w:rFonts w:ascii="Arial" w:eastAsia="Simsun (Founder Extended)" w:hAnsi="Arial" w:cs="Arial"/>
          <w:snapToGrid/>
          <w:sz w:val="22"/>
          <w:szCs w:val="22"/>
          <w:lang w:val="es-ES"/>
        </w:rPr>
        <w:t xml:space="preserve"> a través de la participación de expertos nacionales en varios de sus Grupos de Trabajo. Este compromiso se ha visto reforzado recientemente, tal como ha expuesto el Dr Hess, con el nombramiento, durante 17ª sesión de IPHAB, de la Dra. Begoña Ben como vicepresidenta.</w:t>
      </w:r>
    </w:p>
    <w:p w14:paraId="683E5F3C"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Las actividades de este panel son fundamentales para proteger la salud humana, para reducir las pérdidas económicas en un sector tan importante y en constante crecimiento como la acuicultura, y para comercializar productos pesqueros saludables.</w:t>
      </w:r>
    </w:p>
    <w:p w14:paraId="3BD85FE2"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aguas españolas hemos detectado desde hace años la presencia de </w:t>
      </w:r>
      <w:proofErr w:type="spellStart"/>
      <w:r w:rsidRPr="00AE71B5">
        <w:rPr>
          <w:rFonts w:ascii="Arial" w:eastAsia="Simsun (Founder Extended)" w:hAnsi="Arial" w:cs="Arial"/>
          <w:snapToGrid/>
          <w:sz w:val="22"/>
          <w:szCs w:val="22"/>
          <w:lang w:val="es-ES"/>
        </w:rPr>
        <w:t>ciguatoxinas</w:t>
      </w:r>
      <w:proofErr w:type="spellEnd"/>
      <w:r w:rsidRPr="00AE71B5">
        <w:rPr>
          <w:rFonts w:ascii="Arial" w:eastAsia="Simsun (Founder Extended)" w:hAnsi="Arial" w:cs="Arial"/>
          <w:snapToGrid/>
          <w:sz w:val="22"/>
          <w:szCs w:val="22"/>
          <w:lang w:val="es-ES"/>
        </w:rPr>
        <w:t xml:space="preserve"> y sus microalgas productoras. Ante el escenario de cambio climático, es previsible que estos episodios serán más recurrentes, lo que representa un desafío significativo para nuestro país. </w:t>
      </w:r>
    </w:p>
    <w:p w14:paraId="76E327D5"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cuenta con gran número de expertos con una sólida experiencia en este campo y la delegación española expresa su disposición a facilitar la identificación de expertos si se considera oportuno reforzar el Equipo de Trabajo 4 sobre Algas Nocivas Bentónicas y sus Toxinas, para así contribuir al cumplimiento de su mandato.</w:t>
      </w:r>
    </w:p>
    <w:p w14:paraId="037C0234" w14:textId="77777777" w:rsidR="006C41C4" w:rsidRPr="00AE71B5" w:rsidRDefault="006C41C4" w:rsidP="006C41C4">
      <w:pPr>
        <w:keepNext/>
        <w:snapToGrid/>
        <w:spacing w:after="120"/>
        <w:rPr>
          <w:rFonts w:ascii="Arial" w:hAnsi="Arial" w:cs="Arial"/>
          <w:b/>
          <w:sz w:val="22"/>
          <w:szCs w:val="22"/>
        </w:rPr>
      </w:pPr>
      <w:bookmarkStart w:id="468" w:name="uk345"/>
      <w:r w:rsidRPr="00AE71B5">
        <w:rPr>
          <w:rFonts w:ascii="Arial" w:hAnsi="Arial" w:cs="Arial"/>
          <w:b/>
          <w:sz w:val="22"/>
          <w:szCs w:val="22"/>
        </w:rPr>
        <w:t xml:space="preserve">United Kingdom of Great Britain and Northern Ireland </w:t>
      </w:r>
    </w:p>
    <w:bookmarkEnd w:id="468"/>
    <w:p w14:paraId="476D470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would like to echo Australia’s comments and acknowledge the strong and positive engagement of the FAO with IPHAB which is welcome. </w:t>
      </w:r>
    </w:p>
    <w:p w14:paraId="464BA67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Data contained in the harmful algal information system (HAIS) continues to be used as a global resource. With thanks to Norway, through NORAD funding, the UK welcomes the upgrades to improve data QC and ease of access. But the system requires onward investment to future proof such that the HAIS continues to be a global resource, alerting several sectors of HAB events. </w:t>
      </w:r>
    </w:p>
    <w:p w14:paraId="5F3E473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UK also acknowledges the importance of the Global HAB Status Report, and we welcome the Decision in Decision IPHAB-XVII.3 to focus the second Global HAB Status Report to identify priority drivers and associated relevant global datasets, ensuring broad stakeholder engagement.</w:t>
      </w:r>
    </w:p>
    <w:p w14:paraId="73402D2D" w14:textId="77777777" w:rsidR="006C41C4" w:rsidRPr="00AE71B5" w:rsidRDefault="006C41C4" w:rsidP="006C41C4">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Finally</w:t>
      </w:r>
      <w:proofErr w:type="gramEnd"/>
      <w:r w:rsidRPr="00AE71B5">
        <w:rPr>
          <w:rFonts w:ascii="Arial" w:eastAsia="Simsun (Founder Extended)" w:hAnsi="Arial" w:cs="Arial"/>
          <w:snapToGrid/>
          <w:sz w:val="22"/>
          <w:szCs w:val="22"/>
        </w:rPr>
        <w:t xml:space="preserve"> Mr Chair, mindful of the strong focus on early warning systems for HABs and HAB impacts which have had some success, options for mitigation of HAB impacts needs more work to reduce economic losses and protect human health.   </w:t>
      </w:r>
    </w:p>
    <w:p w14:paraId="001209C4" w14:textId="77777777" w:rsidR="006C41C4" w:rsidRPr="00AE71B5" w:rsidRDefault="006C41C4" w:rsidP="006C41C4">
      <w:pPr>
        <w:keepNext/>
        <w:snapToGrid/>
        <w:spacing w:after="120"/>
        <w:rPr>
          <w:rFonts w:ascii="Arial" w:hAnsi="Arial" w:cs="Arial"/>
          <w:b/>
          <w:sz w:val="22"/>
          <w:szCs w:val="22"/>
        </w:rPr>
      </w:pPr>
      <w:bookmarkStart w:id="469" w:name="pices345"/>
      <w:r w:rsidRPr="00AE71B5">
        <w:rPr>
          <w:rFonts w:ascii="Arial" w:hAnsi="Arial" w:cs="Arial"/>
          <w:b/>
          <w:sz w:val="22"/>
          <w:szCs w:val="22"/>
          <w:lang w:val="en-US"/>
        </w:rPr>
        <w:t>North Pacific Marine Science Organization (</w:t>
      </w:r>
      <w:r w:rsidRPr="00AE71B5">
        <w:rPr>
          <w:rFonts w:ascii="Arial" w:hAnsi="Arial" w:cs="Arial"/>
          <w:b/>
          <w:sz w:val="22"/>
          <w:szCs w:val="22"/>
        </w:rPr>
        <w:t>PICES)</w:t>
      </w:r>
    </w:p>
    <w:bookmarkEnd w:id="469"/>
    <w:p w14:paraId="4F0D65C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member countries of the North Pacific Marine Science Organization (PICES) have long been engaged in research related to the taxonomy, ecology, rapid detection, and monitoring of HABs and PICES was pleased to support a co-Chair of the dedicated expert group focused on HABs (Section-HAB) to participate in the IPHAB meeting earlier this year. Terms of Reference for the Section, which was set up over 20 years ago, include a comparative understanding of the similarities and differences in HAB events and their range expansion, contributing to the development of global HAB research activities, and continuing to ensure that PICES member country data is entered into the joint Harmful Algal Event Database (HAE-DAT). There is strong alignment between the objectives of three IPHAB Task Teams; on benthic harmful algae and their toxins, algal taxonomy, and fish-killing microalgae and ecosystem effects, with ongoing and planned activities within PICES.</w:t>
      </w:r>
    </w:p>
    <w:p w14:paraId="5005E79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Furthermore, PICES has continued a series of projects, since 2007, with funding from the Ministry of Agriculture, Forestry and Fisheries, Japan, involving project members from all PICES countries and collaboration with IOC WESTPAC, to develop capacity in the Philippines, Guatemala and Indonesia to foster early warning capability for HABs and to increase the sustainability of their </w:t>
      </w:r>
      <w:r w:rsidRPr="00AE71B5">
        <w:rPr>
          <w:rFonts w:ascii="Arial" w:eastAsia="Simsun (Founder Extended)" w:hAnsi="Arial" w:cs="Arial"/>
          <w:snapToGrid/>
          <w:sz w:val="22"/>
          <w:szCs w:val="22"/>
        </w:rPr>
        <w:lastRenderedPageBreak/>
        <w:t xml:space="preserve">fishing resources by providing them with HAB information. The projects have provided training and citizen-science capacity to monitor for HABs and to develop and operate a phytoplankton-fishery observing </w:t>
      </w:r>
      <w:proofErr w:type="gramStart"/>
      <w:r w:rsidRPr="00AE71B5">
        <w:rPr>
          <w:rFonts w:ascii="Arial" w:eastAsia="Simsun (Founder Extended)" w:hAnsi="Arial" w:cs="Arial"/>
          <w:snapToGrid/>
          <w:sz w:val="22"/>
          <w:szCs w:val="22"/>
        </w:rPr>
        <w:t>program, and</w:t>
      </w:r>
      <w:proofErr w:type="gramEnd"/>
      <w:r w:rsidRPr="00AE71B5">
        <w:rPr>
          <w:rFonts w:ascii="Arial" w:eastAsia="Simsun (Founder Extended)" w:hAnsi="Arial" w:cs="Arial"/>
          <w:snapToGrid/>
          <w:sz w:val="22"/>
          <w:szCs w:val="22"/>
        </w:rPr>
        <w:t xml:space="preserve"> create valuable datasets for the study and detection of toxic benthic HAB species that can threaten tropical reefs and other coastal fisheries.</w:t>
      </w:r>
    </w:p>
    <w:p w14:paraId="0D91AB9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PICES will continue to support regional and global HAB efforts, including IPHAB.</w:t>
      </w:r>
    </w:p>
    <w:p w14:paraId="286FF095" w14:textId="77777777" w:rsidR="006C41C4" w:rsidRPr="00AE71B5" w:rsidRDefault="006C41C4" w:rsidP="006C41C4">
      <w:pPr>
        <w:shd w:val="clear" w:color="auto" w:fill="D0CECE"/>
        <w:spacing w:before="240" w:after="120"/>
        <w:ind w:left="709" w:hanging="709"/>
        <w:rPr>
          <w:rFonts w:ascii="Arial" w:hAnsi="Arial" w:cs="Arial"/>
          <w:b/>
          <w:sz w:val="22"/>
          <w:szCs w:val="22"/>
          <w:lang w:val="en-US"/>
        </w:rPr>
      </w:pPr>
      <w:r w:rsidRPr="00AE71B5">
        <w:rPr>
          <w:rFonts w:ascii="Arial" w:hAnsi="Arial" w:cs="Arial"/>
          <w:b/>
          <w:sz w:val="22"/>
          <w:szCs w:val="22"/>
        </w:rPr>
        <w:t>3.5</w:t>
      </w:r>
      <w:r w:rsidRPr="00AE71B5">
        <w:rPr>
          <w:rFonts w:ascii="Arial" w:hAnsi="Arial" w:cs="Arial"/>
          <w:b/>
          <w:sz w:val="22"/>
          <w:szCs w:val="22"/>
        </w:rPr>
        <w:tab/>
        <w:t>IOC Report to the 43rd General Conference of UNESCO</w:t>
      </w:r>
    </w:p>
    <w:p w14:paraId="696D5739" w14:textId="77777777" w:rsidR="006C41C4" w:rsidRPr="00AE71B5" w:rsidRDefault="006C41C4" w:rsidP="006C41C4">
      <w:pPr>
        <w:keepNext/>
        <w:snapToGrid/>
        <w:spacing w:after="120"/>
        <w:rPr>
          <w:rFonts w:ascii="Arial" w:hAnsi="Arial" w:cs="Arial"/>
          <w:b/>
          <w:sz w:val="22"/>
          <w:szCs w:val="22"/>
        </w:rPr>
      </w:pPr>
      <w:bookmarkStart w:id="470" w:name="uk35"/>
      <w:r w:rsidRPr="00AE71B5">
        <w:rPr>
          <w:rFonts w:ascii="Arial" w:hAnsi="Arial" w:cs="Arial"/>
          <w:b/>
          <w:sz w:val="22"/>
          <w:szCs w:val="22"/>
        </w:rPr>
        <w:t xml:space="preserve">United Kingdom of Great Britain and Northern Ireland </w:t>
      </w:r>
    </w:p>
    <w:bookmarkEnd w:id="470"/>
    <w:p w14:paraId="22B8106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would like to re-iterate our position that </w:t>
      </w:r>
      <w:proofErr w:type="gramStart"/>
      <w:r w:rsidRPr="00AE71B5">
        <w:rPr>
          <w:rFonts w:ascii="Arial" w:eastAsia="Simsun (Founder Extended)" w:hAnsi="Arial" w:cs="Arial"/>
          <w:snapToGrid/>
          <w:sz w:val="22"/>
          <w:szCs w:val="22"/>
        </w:rPr>
        <w:t>in order to</w:t>
      </w:r>
      <w:proofErr w:type="gramEnd"/>
      <w:r w:rsidRPr="00AE71B5">
        <w:rPr>
          <w:rFonts w:ascii="Arial" w:eastAsia="Simsun (Founder Extended)" w:hAnsi="Arial" w:cs="Arial"/>
          <w:snapToGrid/>
          <w:sz w:val="22"/>
          <w:szCs w:val="22"/>
        </w:rPr>
        <w:t xml:space="preserve"> improve IOC functioning and the services it provides we see the application of the IOC Statutes as critical, </w:t>
      </w:r>
      <w:proofErr w:type="gramStart"/>
      <w:r w:rsidRPr="00AE71B5">
        <w:rPr>
          <w:rFonts w:ascii="Arial" w:eastAsia="Simsun (Founder Extended)" w:hAnsi="Arial" w:cs="Arial"/>
          <w:snapToGrid/>
          <w:sz w:val="22"/>
          <w:szCs w:val="22"/>
        </w:rPr>
        <w:t>in particular in</w:t>
      </w:r>
      <w:proofErr w:type="gramEnd"/>
      <w:r w:rsidRPr="00AE71B5">
        <w:rPr>
          <w:rFonts w:ascii="Arial" w:eastAsia="Simsun (Founder Extended)" w:hAnsi="Arial" w:cs="Arial"/>
          <w:snapToGrid/>
          <w:sz w:val="22"/>
          <w:szCs w:val="22"/>
        </w:rPr>
        <w:t xml:space="preserve"> implementing its functional autonomy. The process of reporting to the UNESCO General Conference through the current C/5 reporting, which includes Results Framework and KPIs that are not always compatible with IOCs priorities and obligations, has for far too long been driven by the timing and priority needs of UNESCO above our very own obligations. </w:t>
      </w:r>
    </w:p>
    <w:p w14:paraId="0A5A327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 this end, and with thanks to the Japan Delegation to UNESCO for proposing, we welcome the 221st UNESCO Executive Board Decision on the Draft Programme and Budget for 2026-2029  (43 C/5), where we note it recognises IOCs functional autonomy and requests that the recommendations of this Assembly, based on IOC objectives and priorities, be transmitted to the 43rd General Conference of UNESCO. </w:t>
      </w:r>
    </w:p>
    <w:p w14:paraId="414D9F3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such the United Kingdom welcomes the report as presented, but more importantly welcomes the process by which we inform the UNESCO General Conference.</w:t>
      </w:r>
    </w:p>
    <w:p w14:paraId="59E116F5" w14:textId="77777777" w:rsidR="006C41C4" w:rsidRPr="00AE71B5" w:rsidRDefault="006C41C4" w:rsidP="006C41C4">
      <w:pPr>
        <w:shd w:val="clear" w:color="auto" w:fill="D0CECE"/>
        <w:spacing w:before="240" w:after="120"/>
        <w:ind w:left="709" w:hanging="709"/>
        <w:rPr>
          <w:rFonts w:ascii="Arial" w:hAnsi="Arial" w:cs="Arial"/>
          <w:b/>
          <w:sz w:val="22"/>
          <w:szCs w:val="22"/>
        </w:rPr>
      </w:pPr>
      <w:r w:rsidRPr="00AE71B5">
        <w:rPr>
          <w:rFonts w:ascii="Arial" w:hAnsi="Arial" w:cs="Arial"/>
          <w:b/>
          <w:sz w:val="22"/>
          <w:szCs w:val="22"/>
        </w:rPr>
        <w:t>4.1</w:t>
      </w:r>
      <w:r w:rsidRPr="00AE71B5">
        <w:rPr>
          <w:rFonts w:ascii="Arial" w:hAnsi="Arial" w:cs="Arial"/>
          <w:b/>
          <w:sz w:val="22"/>
          <w:szCs w:val="22"/>
        </w:rPr>
        <w:tab/>
        <w:t>Draft IOC-Wide Strategy on Sustainable Ocean Planning and Management</w:t>
      </w:r>
    </w:p>
    <w:p w14:paraId="2B3A8E05" w14:textId="77777777" w:rsidR="006C41C4" w:rsidRPr="00AE71B5" w:rsidRDefault="006C41C4" w:rsidP="006C41C4">
      <w:pPr>
        <w:keepNext/>
        <w:snapToGrid/>
        <w:spacing w:after="120"/>
        <w:rPr>
          <w:rFonts w:ascii="Arial" w:hAnsi="Arial" w:cs="Arial"/>
          <w:b/>
          <w:sz w:val="22"/>
          <w:szCs w:val="22"/>
        </w:rPr>
      </w:pPr>
      <w:bookmarkStart w:id="471" w:name="bra41"/>
      <w:r w:rsidRPr="00AE71B5">
        <w:rPr>
          <w:rFonts w:ascii="Arial" w:hAnsi="Arial" w:cs="Arial"/>
          <w:b/>
          <w:sz w:val="22"/>
          <w:szCs w:val="22"/>
        </w:rPr>
        <w:t>Brazil</w:t>
      </w:r>
    </w:p>
    <w:bookmarkEnd w:id="471"/>
    <w:p w14:paraId="0067279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Let me begin by congratulating the Intergovernmental Oceanographic Commission and the SOPM working group for the impressive work in advancing the Strategy on Sustainable Ocean Planning and Management. We fully support this initiative, which arrives at a critical time, as the ocean faces mounting pressures from climate change, biodiversity loss, and expanding economic demands. </w:t>
      </w:r>
    </w:p>
    <w:p w14:paraId="10659FA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proud to share that Brazil has been developing Integrated Coastal Zone Management since 1988. Our ICZM framework has served as a foundation for building institutional capacity, fostering intersectoral coordination, and engaging stakeholders at all levels of governance. </w:t>
      </w:r>
    </w:p>
    <w:p w14:paraId="25AB539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More recently, Brazil has embarked on its journey towards Marine Spatial Planning, recognizing its essential role in organizing ocean uses, managing conflicts, and promoting sustainable economy pathways, resulting in the contracting of the first exercise for our South Region in 2022. This transition reflects our commitment to evolving from sectoral approaches toward integrated, knowledge-based ocean governance, aligned with the principles of SOPM. As part of this commitment, Brazil already protects more than 26% of our national waters through Marine Protected Areas, a milestone that underscores our dedication to biodiversity conservation and ecosystem resilience. </w:t>
      </w:r>
    </w:p>
    <w:p w14:paraId="38B2A25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fact, we see ICZM, MPAs and MSP not as isolated processes, but as pillars of a broader strategy, a Sustainable Ocean Planning and Management approach, grounded in science, inclusiveness, and equity, that is already taking root in our national policies. The IOC’s SOPM Strategy provides timely and valuable guidance to deepen and align these efforts with global best practices and multilateral commitments, including the SDGs, the Kunming-Montreal Global Biodiversity Framework, and the Paris Agreement. </w:t>
      </w:r>
    </w:p>
    <w:p w14:paraId="380B223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Brazil also acknowledges the importance of regional collaboration. We are actively engaged in cooperation efforts and will continue to work closely with the IOC and its regional sub-</w:t>
      </w:r>
      <w:r w:rsidRPr="00AE71B5">
        <w:rPr>
          <w:rFonts w:ascii="Arial" w:eastAsia="Simsun (Founder Extended)" w:hAnsi="Arial" w:cs="Arial"/>
          <w:snapToGrid/>
          <w:sz w:val="22"/>
          <w:szCs w:val="22"/>
        </w:rPr>
        <w:lastRenderedPageBreak/>
        <w:t xml:space="preserve">commissions to strengthen local capacity, share knowledge, and foster integrated and equitable ocean governance. </w:t>
      </w:r>
    </w:p>
    <w:p w14:paraId="1E2CC22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thank the IOC for its leadership and reaffirm Brazil’s support to the Strategy and its implementation. We are ready to contribute, collaborate, and move forward together for a healthy, productive, and just ocean future.</w:t>
      </w:r>
    </w:p>
    <w:p w14:paraId="3620CC53" w14:textId="77777777" w:rsidR="006C41C4" w:rsidRPr="00AE71B5" w:rsidRDefault="006C41C4" w:rsidP="006C41C4">
      <w:pPr>
        <w:keepNext/>
        <w:snapToGrid/>
        <w:spacing w:after="120"/>
        <w:rPr>
          <w:rFonts w:ascii="Arial" w:hAnsi="Arial" w:cs="Arial"/>
          <w:b/>
          <w:sz w:val="22"/>
          <w:szCs w:val="22"/>
        </w:rPr>
      </w:pPr>
      <w:bookmarkStart w:id="472" w:name="Chin41"/>
      <w:r w:rsidRPr="00AE71B5">
        <w:rPr>
          <w:rFonts w:ascii="Arial" w:hAnsi="Arial" w:cs="Arial"/>
          <w:b/>
          <w:sz w:val="22"/>
          <w:szCs w:val="22"/>
        </w:rPr>
        <w:t>China</w:t>
      </w:r>
    </w:p>
    <w:bookmarkEnd w:id="472"/>
    <w:p w14:paraId="234B5F8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would like to express the thanks to IOC for the excellent work in coordinating multiple outputs to produce this SOPM strategy. In the past four decades, China has charted the course of ocean-related plan</w:t>
      </w:r>
      <w:bookmarkStart w:id="473" w:name="chi41"/>
      <w:bookmarkEnd w:id="473"/>
      <w:r w:rsidRPr="00AE71B5">
        <w:rPr>
          <w:rFonts w:ascii="Arial" w:eastAsia="Simsun (Founder Extended)" w:hAnsi="Arial" w:cs="Arial"/>
          <w:snapToGrid/>
          <w:sz w:val="22"/>
          <w:szCs w:val="22"/>
        </w:rPr>
        <w:t>ning and governance. We started Marine Spatial Planning in 1989, and till now we have implemented three rounds of MSP, establishing robust spatial planning systems at the national, provincial and municipal levels. We announced China Ocean Agenda 21 in 1996, which put forward a sustainable development strategy for China’s marine programs, setting up a comprehensive marine management system. We also enact the supporting laws including Sea Use Law, The Marine Environmental Protection Law, and The Island Protection Law for sea use control, blue economy development and ecological conservation. In 2018, China established a new territorial spatial planning system, which increasingly focuses on land-sea coordination, Multiplan integration, regional coordination, multi-governance, and other new spatial governance requirements, so China has established a relatively comprehensive integrated management framework encompassing marine policies, laws, planning, and technical standards. Also, for the internation level, we promote the spatial planning cooperation with Intergovernmental Oceanographic Commission WESTPAC and more than 30 countries to move forward MSP. All these efforts and practices at different dimensions we have made greatly resonate with the values of SOPM.</w:t>
      </w:r>
    </w:p>
    <w:p w14:paraId="1D9D5E1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From the joint formulation of </w:t>
      </w:r>
      <w:proofErr w:type="spellStart"/>
      <w:r w:rsidRPr="00AE71B5">
        <w:rPr>
          <w:rFonts w:ascii="Arial" w:eastAsia="Simsun (Founder Extended)" w:hAnsi="Arial" w:cs="Arial"/>
          <w:snapToGrid/>
          <w:sz w:val="22"/>
          <w:szCs w:val="22"/>
        </w:rPr>
        <w:t>MSPglobal</w:t>
      </w:r>
      <w:proofErr w:type="spellEnd"/>
      <w:r w:rsidRPr="00AE71B5">
        <w:rPr>
          <w:rFonts w:ascii="Arial" w:eastAsia="Simsun (Founder Extended)" w:hAnsi="Arial" w:cs="Arial"/>
          <w:snapToGrid/>
          <w:sz w:val="22"/>
          <w:szCs w:val="22"/>
        </w:rPr>
        <w:t xml:space="preserve"> 2030 initiative to the active engagement in the Ocean Decade Actions for MSP, China will continue to as always show support to the IOC’s future work on SOPM, also we hope the necessary resources could be provided for the region Sub-Commissions and programmes to make it in the implementation in the region and local level. We look forward to seeing that strategy will bring some tangible benefits to the member states of data sharing, resources integration, capacities enhancement, and transboundary cooperation, thus further generating better ocean science and knowledge needed to serve the </w:t>
      </w:r>
      <w:proofErr w:type="gramStart"/>
      <w:r w:rsidRPr="00AE71B5">
        <w:rPr>
          <w:rFonts w:ascii="Arial" w:eastAsia="Simsun (Founder Extended)" w:hAnsi="Arial" w:cs="Arial"/>
          <w:snapToGrid/>
          <w:sz w:val="22"/>
          <w:szCs w:val="22"/>
        </w:rPr>
        <w:t>policy-making</w:t>
      </w:r>
      <w:proofErr w:type="gramEnd"/>
      <w:r w:rsidRPr="00AE71B5">
        <w:rPr>
          <w:rFonts w:ascii="Arial" w:eastAsia="Simsun (Founder Extended)" w:hAnsi="Arial" w:cs="Arial"/>
          <w:snapToGrid/>
          <w:sz w:val="22"/>
          <w:szCs w:val="22"/>
        </w:rPr>
        <w:t xml:space="preserve"> for adaptative and sustainable planning and management of ocean.</w:t>
      </w:r>
    </w:p>
    <w:p w14:paraId="392E94B5" w14:textId="77777777" w:rsidR="006C41C4" w:rsidRPr="00AE71B5" w:rsidRDefault="006C41C4" w:rsidP="006C41C4">
      <w:pPr>
        <w:keepNext/>
        <w:snapToGrid/>
        <w:spacing w:after="120"/>
        <w:rPr>
          <w:rFonts w:ascii="Arial" w:hAnsi="Arial" w:cs="Arial"/>
          <w:b/>
          <w:sz w:val="22"/>
          <w:szCs w:val="22"/>
          <w:lang w:val="fr-FR"/>
        </w:rPr>
      </w:pPr>
      <w:bookmarkStart w:id="474" w:name="cot41"/>
      <w:r w:rsidRPr="00AE71B5">
        <w:rPr>
          <w:rFonts w:ascii="Arial" w:hAnsi="Arial" w:cs="Arial"/>
          <w:b/>
          <w:sz w:val="22"/>
          <w:szCs w:val="22"/>
          <w:lang w:val="fr-FR"/>
        </w:rPr>
        <w:t>Côte d’Ivoire</w:t>
      </w:r>
    </w:p>
    <w:bookmarkEnd w:id="474"/>
    <w:p w14:paraId="4B0BB81F"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Côte d’Ivoire soutien cette initiative de la COI visant la gestion intégrée des océans. Ce qui a motivé La Côte d’Ivoire à participer à certaines des réunions en ligne. </w:t>
      </w:r>
    </w:p>
    <w:p w14:paraId="1BA36B55"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Cette initiative M. Le Président, est d’autant plus importante que Les composantes marines (ressource vivante et non vivante) en particulier les poissons, les matières en suspension et les matières dissoutes ne se soumettent pas aux procédures de visa pour passer d’un pays à l’autre. </w:t>
      </w:r>
    </w:p>
    <w:p w14:paraId="67596F32"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Aussi la question frontalière est-elle convoquée. C’est pourquoi la Côte d’Ivoire et le Ghana ont entrepris avec le soutien de l’Allemagne à définir en commun une zone de gestion intégré de leur littoral frontalier. </w:t>
      </w:r>
    </w:p>
    <w:p w14:paraId="6D0BD0C4"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Côte d’Ivoire profite de cette tribute pour remercier l’Allemagne pour son soutien. Au total la Côte d’Ivoire se félicite que cette initiative soit portée par la COI.</w:t>
      </w:r>
    </w:p>
    <w:p w14:paraId="7954D5DA" w14:textId="77777777" w:rsidR="006C41C4" w:rsidRPr="00AE71B5" w:rsidRDefault="006C41C4" w:rsidP="006C41C4">
      <w:pPr>
        <w:keepNext/>
        <w:snapToGrid/>
        <w:spacing w:after="120"/>
        <w:rPr>
          <w:rFonts w:ascii="Arial" w:hAnsi="Arial" w:cs="Arial"/>
          <w:b/>
          <w:sz w:val="22"/>
          <w:szCs w:val="22"/>
          <w:lang w:val="fr-FR"/>
        </w:rPr>
      </w:pPr>
      <w:bookmarkStart w:id="475" w:name="fra41"/>
      <w:r w:rsidRPr="00AE71B5">
        <w:rPr>
          <w:rFonts w:ascii="Arial" w:hAnsi="Arial" w:cs="Arial"/>
          <w:b/>
          <w:sz w:val="22"/>
          <w:szCs w:val="22"/>
          <w:lang w:val="fr-FR"/>
        </w:rPr>
        <w:t>France</w:t>
      </w:r>
    </w:p>
    <w:bookmarkEnd w:id="475"/>
    <w:p w14:paraId="469D06B4"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tient à remercier les co-présidents du groupe de travail de la COI sur la planification et la gestion durables des océans pour leur travail. La France se réjouit de la stratégie présentée à l'horizon 2030, et de son plan d'action 2025-2027 ambitieux. Elle tient à souligner l'importance de la mise en place d’une telle stratégie à l'échelle intergouvernementale car cette initiative majeure et potentiellement transformatrice implique une observation et une gestion intégrée et coordonnée de l'océan au niveau mondial. Nous espérons que tous les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y adhèreront et y contribueront, ce qui sera un gage de succès.</w:t>
      </w:r>
    </w:p>
    <w:p w14:paraId="111700A2" w14:textId="77777777" w:rsidR="006C41C4" w:rsidRPr="00AE71B5" w:rsidRDefault="006C41C4" w:rsidP="006C41C4">
      <w:pPr>
        <w:keepNext/>
        <w:snapToGrid/>
        <w:spacing w:after="120"/>
        <w:rPr>
          <w:rFonts w:ascii="Arial" w:hAnsi="Arial" w:cs="Arial"/>
          <w:b/>
          <w:sz w:val="22"/>
          <w:szCs w:val="22"/>
        </w:rPr>
      </w:pPr>
      <w:bookmarkStart w:id="476" w:name="jap41"/>
      <w:r w:rsidRPr="00AE71B5">
        <w:rPr>
          <w:rFonts w:ascii="Arial" w:hAnsi="Arial" w:cs="Arial"/>
          <w:b/>
          <w:sz w:val="22"/>
          <w:szCs w:val="22"/>
        </w:rPr>
        <w:lastRenderedPageBreak/>
        <w:t>Japan</w:t>
      </w:r>
    </w:p>
    <w:bookmarkEnd w:id="476"/>
    <w:p w14:paraId="3A80072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acknowledges the substantial progress that has been achieved in the development of the IOC Sustainable Ocean Planning and Management strategy and extends its gratitude to all those who have contributed. Japanese experts have actively contributed to the working groups shaping the SOPM, and we remain committed to supporting its implementation by dispatching experts as appropriate and feasible.</w:t>
      </w:r>
    </w:p>
    <w:p w14:paraId="5C9EC41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Recognizing the growing importance of ocean governance, Japan has taken decisive steps at the national level. The Government of Japan approved the Fourth Basic Plan on Ocean Policy, outlining fundamental principles to guide future ocean governance. This Plan builds upon the longstanding pillar of Comprehensive Maritime Security and introduces a new central pillar: Sustainable Use and Development of the Ocean.</w:t>
      </w:r>
    </w:p>
    <w:p w14:paraId="51D4D821"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Under this new approach, Japan prioritizes key areas, which are:</w:t>
      </w:r>
    </w:p>
    <w:p w14:paraId="6D7451E9"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Contribution to carbon neutrality,</w:t>
      </w:r>
    </w:p>
    <w:p w14:paraId="22775560"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Conservation, maintenance, and restoration of marine environments,</w:t>
      </w:r>
    </w:p>
    <w:p w14:paraId="571315EC"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Appropriate management of fishery resources, and</w:t>
      </w:r>
    </w:p>
    <w:p w14:paraId="123CD49B"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Advancement and utilization of scientific knowledge as a foundation for action.</w:t>
      </w:r>
    </w:p>
    <w:p w14:paraId="42B4F7E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Additionally, the Plan identifies seven priority initiatives spanning both pillars, which must be advanced systematically to ensure sustainable ocean management.</w:t>
      </w:r>
    </w:p>
    <w:p w14:paraId="3398331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Given the scale and complexity of ocean challenges, strengthened international cooperation is more critical than ever. Japan firmly believes that several of its initiatives could serve as models applicable to other nations and is committed to sharing these approaches in relevant international forums.</w:t>
      </w:r>
    </w:p>
    <w:p w14:paraId="70ECB3B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looks forward to continued collaboration with all stakeholders in advancing sustainable ocean management globally.</w:t>
      </w:r>
    </w:p>
    <w:p w14:paraId="43B7AD27" w14:textId="77777777" w:rsidR="006C41C4" w:rsidRPr="00AE71B5" w:rsidRDefault="006C41C4" w:rsidP="006C41C4">
      <w:pPr>
        <w:keepNext/>
        <w:snapToGrid/>
        <w:spacing w:after="120"/>
        <w:rPr>
          <w:rFonts w:ascii="Arial" w:hAnsi="Arial" w:cs="Arial"/>
          <w:b/>
          <w:sz w:val="22"/>
          <w:szCs w:val="22"/>
        </w:rPr>
      </w:pPr>
      <w:bookmarkStart w:id="477" w:name="malay41"/>
      <w:r w:rsidRPr="00AE71B5">
        <w:rPr>
          <w:rFonts w:ascii="Arial" w:hAnsi="Arial" w:cs="Arial"/>
          <w:b/>
          <w:sz w:val="22"/>
          <w:szCs w:val="22"/>
        </w:rPr>
        <w:t>Malaysia</w:t>
      </w:r>
    </w:p>
    <w:bookmarkEnd w:id="477"/>
    <w:p w14:paraId="787A8F3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supports IOC’s efforts on sustainable ocean planning. </w:t>
      </w:r>
    </w:p>
    <w:p w14:paraId="10D4962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is in the process of finalizing our National Marine Spatial Planning (MSP) Framework, which will guide coordinated development and conservation across our marine and coastal zones.</w:t>
      </w:r>
    </w:p>
    <w:p w14:paraId="46915579"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effort is aligned with:</w:t>
      </w:r>
    </w:p>
    <w:p w14:paraId="5088CDBC"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12th Malaysia Plan, promoting integrated coastal </w:t>
      </w:r>
      <w:proofErr w:type="gramStart"/>
      <w:r w:rsidRPr="00AE71B5">
        <w:rPr>
          <w:rFonts w:ascii="Arial" w:eastAsia="Simsun (Founder Extended)" w:hAnsi="Arial" w:cs="Arial"/>
          <w:snapToGrid/>
          <w:sz w:val="22"/>
          <w:szCs w:val="22"/>
        </w:rPr>
        <w:t>development;</w:t>
      </w:r>
      <w:proofErr w:type="gramEnd"/>
    </w:p>
    <w:p w14:paraId="2B4989C7"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National Policy on Climate Change 2.0, emphasizing ocean </w:t>
      </w:r>
      <w:proofErr w:type="gramStart"/>
      <w:r w:rsidRPr="00AE71B5">
        <w:rPr>
          <w:rFonts w:ascii="Arial" w:eastAsia="Simsun (Founder Extended)" w:hAnsi="Arial" w:cs="Arial"/>
          <w:snapToGrid/>
          <w:sz w:val="22"/>
          <w:szCs w:val="22"/>
        </w:rPr>
        <w:t>resilience;</w:t>
      </w:r>
      <w:proofErr w:type="gramEnd"/>
    </w:p>
    <w:p w14:paraId="3F376106"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Blue Economy Roadmap, linking MSP to sustainable growth.</w:t>
      </w:r>
    </w:p>
    <w:p w14:paraId="4A91F2D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Our approach integrates ecosystem data, stakeholder input, and spatial tools to support marine biodiversity, fisheries, tourism, and pollution control.</w:t>
      </w:r>
    </w:p>
    <w:p w14:paraId="5C1D8C13"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Going forward, Malaysia will:</w:t>
      </w:r>
    </w:p>
    <w:p w14:paraId="7493A5AB"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 xml:space="preserve">Finalize and implement the national MSP </w:t>
      </w:r>
      <w:proofErr w:type="gramStart"/>
      <w:r w:rsidRPr="00AE71B5">
        <w:rPr>
          <w:rFonts w:ascii="Arial" w:eastAsia="Simsun (Founder Extended)" w:hAnsi="Arial" w:cs="Arial"/>
          <w:snapToGrid/>
          <w:sz w:val="22"/>
          <w:szCs w:val="22"/>
        </w:rPr>
        <w:t>framework;</w:t>
      </w:r>
      <w:proofErr w:type="gramEnd"/>
    </w:p>
    <w:p w14:paraId="5F47791F"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 xml:space="preserve">Enhance cross-agency marine data </w:t>
      </w:r>
      <w:proofErr w:type="gramStart"/>
      <w:r w:rsidRPr="00AE71B5">
        <w:rPr>
          <w:rFonts w:ascii="Arial" w:eastAsia="Simsun (Founder Extended)" w:hAnsi="Arial" w:cs="Arial"/>
          <w:snapToGrid/>
          <w:sz w:val="22"/>
          <w:szCs w:val="22"/>
        </w:rPr>
        <w:t>integration;</w:t>
      </w:r>
      <w:proofErr w:type="gramEnd"/>
    </w:p>
    <w:p w14:paraId="53FE7898"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 xml:space="preserve">Build capacity through national grants and regional </w:t>
      </w:r>
      <w:proofErr w:type="gramStart"/>
      <w:r w:rsidRPr="00AE71B5">
        <w:rPr>
          <w:rFonts w:ascii="Arial" w:eastAsia="Simsun (Founder Extended)" w:hAnsi="Arial" w:cs="Arial"/>
          <w:snapToGrid/>
          <w:sz w:val="22"/>
          <w:szCs w:val="22"/>
        </w:rPr>
        <w:t>collaboration;</w:t>
      </w:r>
      <w:proofErr w:type="gramEnd"/>
    </w:p>
    <w:p w14:paraId="6465535B"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Support IOC and Member States in knowledge exchange.</w:t>
      </w:r>
    </w:p>
    <w:p w14:paraId="1E3BB8BB" w14:textId="77777777" w:rsidR="006C41C4" w:rsidRPr="00AE71B5" w:rsidRDefault="006C41C4" w:rsidP="006C41C4">
      <w:pPr>
        <w:keepNext/>
        <w:snapToGrid/>
        <w:spacing w:after="120"/>
        <w:rPr>
          <w:rFonts w:ascii="Arial" w:hAnsi="Arial" w:cs="Arial"/>
          <w:b/>
          <w:sz w:val="22"/>
          <w:szCs w:val="22"/>
        </w:rPr>
      </w:pPr>
      <w:bookmarkStart w:id="478" w:name="norw41"/>
      <w:r w:rsidRPr="00AE71B5">
        <w:rPr>
          <w:rFonts w:ascii="Arial" w:hAnsi="Arial" w:cs="Arial"/>
          <w:b/>
          <w:sz w:val="22"/>
          <w:szCs w:val="22"/>
        </w:rPr>
        <w:t>Norway</w:t>
      </w:r>
    </w:p>
    <w:bookmarkEnd w:id="478"/>
    <w:p w14:paraId="742A9C45"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Norway welcomes the current draft of the Strategy on Sustainable Ocean Planning and Management. The document has seen significant improvements, and we extend our sincere thanks to the Working Group and the Secretariat for their dedicated efforts.</w:t>
      </w:r>
    </w:p>
    <w:p w14:paraId="21BA0811"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This is an ambitious strategy that will draw upon much of IOC’s ongoing work.</w:t>
      </w:r>
    </w:p>
    <w:p w14:paraId="78D43788"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appreciate that the strategy is well connected and builds on the important Marine Spatial Planning work that is already in place in many member states. </w:t>
      </w:r>
    </w:p>
    <w:p w14:paraId="006367ED"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continue to view the IOC as the most suitable UN body to host and advance this approach.</w:t>
      </w:r>
    </w:p>
    <w:p w14:paraId="0096AAF8"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To ensure the success of the strategy, it is important that the science-policy dimension is strong. We believe that involvement in Sustainable Ocean Planning and Management should be firmly anchored at the highest levels within the member states. The Ocean Panel members could inspire other IOC member states with their dedicated approach injecting political energy </w:t>
      </w:r>
      <w:proofErr w:type="gramStart"/>
      <w:r w:rsidRPr="00AE71B5">
        <w:rPr>
          <w:rFonts w:ascii="Arial" w:eastAsia="Simsun (Founder Extended)" w:hAnsi="Arial" w:cs="Arial"/>
          <w:snapToGrid/>
          <w:sz w:val="22"/>
          <w:szCs w:val="22"/>
          <w:lang w:val="en-US"/>
        </w:rPr>
        <w:t>in</w:t>
      </w:r>
      <w:proofErr w:type="gramEnd"/>
      <w:r w:rsidRPr="00AE71B5">
        <w:rPr>
          <w:rFonts w:ascii="Arial" w:eastAsia="Simsun (Founder Extended)" w:hAnsi="Arial" w:cs="Arial"/>
          <w:snapToGrid/>
          <w:sz w:val="22"/>
          <w:szCs w:val="22"/>
          <w:lang w:val="en-US"/>
        </w:rPr>
        <w:t xml:space="preserve"> science-based sustainable Ocean planning. </w:t>
      </w:r>
    </w:p>
    <w:p w14:paraId="2F29A498"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It will also be essential to follow up on the outcomes of the IOC and the Future of the Ocean consultations, and to build on the partnerships and momentum generated by the corresponding Decade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w:t>
      </w:r>
    </w:p>
    <w:p w14:paraId="6B9C1B6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strategy aligns well with both the IOC’s Mid-Term Strategy and its statutes. Norway therefore endorses the draft as presented and will nominate a representative to the Working Group to be established.</w:t>
      </w:r>
    </w:p>
    <w:p w14:paraId="5ED4BFDF" w14:textId="77777777" w:rsidR="006C41C4" w:rsidRPr="00AE71B5" w:rsidRDefault="006C41C4" w:rsidP="006C41C4">
      <w:pPr>
        <w:keepNext/>
        <w:snapToGrid/>
        <w:spacing w:after="120"/>
        <w:rPr>
          <w:rFonts w:ascii="Arial" w:hAnsi="Arial" w:cs="Arial"/>
          <w:b/>
          <w:sz w:val="22"/>
          <w:szCs w:val="22"/>
        </w:rPr>
      </w:pPr>
      <w:bookmarkStart w:id="479" w:name="rok41"/>
      <w:r w:rsidRPr="00AE71B5">
        <w:rPr>
          <w:rFonts w:ascii="Arial" w:hAnsi="Arial" w:cs="Arial"/>
          <w:b/>
          <w:sz w:val="22"/>
          <w:szCs w:val="22"/>
        </w:rPr>
        <w:t>Republic of Korea</w:t>
      </w:r>
    </w:p>
    <w:bookmarkEnd w:id="479"/>
    <w:p w14:paraId="22D1AC5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finalization of the IOC Strategy on Sustainable Ocean Planning and Management (IOC-SOPM) and would like to express our sincere appreciation to the Working Group for their dedicated efforts.</w:t>
      </w:r>
    </w:p>
    <w:p w14:paraId="60CDA01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hope that the IOC-SOPM Strategy will provide a solid foundation for strengthening knowledge-based ocean planning and management policies, thereby contributing to global efforts to address challenges such as climate change.</w:t>
      </w:r>
    </w:p>
    <w:p w14:paraId="4B841A7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regard, the Republic of Korea is implementing a range of R&amp;D and international cooperation projects aimed at advancing knowledge-based ocean planning and management. These include the establishment of an Integrated Management System for Ocean Climate Change Monitoring and Forecasting Information, and the development of an Integrated Disaster Management System that covers both coastal and terrestrial areas. These efforts will continue to be advanced and are expected to contribute to the effective implementation of the IOC-SOPM Strategy.</w:t>
      </w:r>
    </w:p>
    <w:p w14:paraId="25F89F0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With the continuation of the Working Group, we look forward to seeing tangible outcomes under the 2025-2027 implementation plan, particularly in the integration of ocean data and knowledge, the advancement of science-based ocean management approaches, and improved responses to coastal resilience, through regular monitoring and evaluation of the Strategy's progress.</w:t>
      </w:r>
    </w:p>
    <w:p w14:paraId="4DF987D0" w14:textId="77777777" w:rsidR="006C41C4" w:rsidRPr="00AE71B5" w:rsidRDefault="006C41C4" w:rsidP="006C41C4">
      <w:pPr>
        <w:keepNext/>
        <w:snapToGrid/>
        <w:spacing w:after="120"/>
        <w:rPr>
          <w:rFonts w:ascii="Arial" w:hAnsi="Arial" w:cs="Arial"/>
          <w:b/>
          <w:sz w:val="22"/>
          <w:szCs w:val="22"/>
        </w:rPr>
      </w:pPr>
      <w:bookmarkStart w:id="480" w:name="rus41"/>
      <w:r w:rsidRPr="00AE71B5">
        <w:rPr>
          <w:rFonts w:ascii="Arial" w:hAnsi="Arial" w:cs="Arial"/>
          <w:b/>
          <w:sz w:val="22"/>
          <w:szCs w:val="22"/>
        </w:rPr>
        <w:t>Russian Federation</w:t>
      </w:r>
    </w:p>
    <w:bookmarkEnd w:id="480"/>
    <w:p w14:paraId="78DC203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reiterates its interest in international cooperation in the field of marine environmental protection and the sustainable use of marine resources.</w:t>
      </w:r>
    </w:p>
    <w:p w14:paraId="2FCC95C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underscore the importance of adhering to the principle of sovereign equality of States in the governance of marine resources and biodiversity. We note that global ocean governance frameworks may, in some cases, lead to the inequitable distribution of resources.</w:t>
      </w:r>
    </w:p>
    <w:p w14:paraId="569BBFC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emphasize that any international agreements must fully respect the rights of coastal States.</w:t>
      </w:r>
    </w:p>
    <w:p w14:paraId="3018004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draw attention to the pressing need for comprehensive scientific research aimed at assessing the state of marine ecosystems and their resources—there remains a considerable amount of work to be done in this area.</w:t>
      </w:r>
    </w:p>
    <w:p w14:paraId="23CF108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did not support the Agreement under the United Nations Convention on the Law of the Sea on the Conservation and Sustainable Use of Marine Biological Diversity of Areas Beyond National Jurisdiction (BBNJ). This Agreement undermines the provisions of key existing international instruments, notably the 1982 United Nations Convention on the Law of the Sea and the 1995 Agreement on Straddling Fish Stocks and Highly Migratory Fish Stocks. The designation of marine protected areas under the BBNJ framework may result in restrictions on the sovereign rights of coastal States to explore and exploit the natural resources of their continental shelf beyond 200 nautical miles, as well as to carry out other lawful activities.</w:t>
      </w:r>
    </w:p>
    <w:p w14:paraId="59BA3DD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The provisions of the Agreement also permit interference with the mandates and competencies of relevant sectoral and regional international organizations, including regional fisheries management organizations.</w:t>
      </w:r>
    </w:p>
    <w:p w14:paraId="58E28A4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context, the Russian Federation is unable to support the IOC Strategy on Sustainable Ocean Planning and Management.</w:t>
      </w:r>
    </w:p>
    <w:p w14:paraId="05DF188A" w14:textId="77777777" w:rsidR="006C41C4" w:rsidRPr="00AE71B5" w:rsidRDefault="006C41C4" w:rsidP="006C41C4">
      <w:pPr>
        <w:snapToGrid/>
        <w:spacing w:after="120"/>
        <w:jc w:val="both"/>
        <w:rPr>
          <w:rFonts w:ascii="Arial" w:eastAsia="Simsun (Founder Extended)" w:hAnsi="Arial" w:cs="Arial"/>
          <w:snapToGrid/>
          <w:sz w:val="22"/>
          <w:szCs w:val="22"/>
        </w:rPr>
      </w:pPr>
      <w:bookmarkStart w:id="481" w:name="_Hlk207893126"/>
      <w:r w:rsidRPr="00AE71B5">
        <w:rPr>
          <w:rFonts w:ascii="Arial" w:eastAsia="Simsun (Founder Extended)" w:hAnsi="Arial" w:cs="Arial"/>
          <w:snapToGrid/>
          <w:sz w:val="22"/>
          <w:szCs w:val="22"/>
        </w:rPr>
        <w:t>We hereby formally dissociate from the consensus on the Strategy due to the inclusion of the BBNJ Agreement as one of its key implementation instruments—an agreement which the Russian Federation does not endorse.</w:t>
      </w:r>
      <w:bookmarkEnd w:id="481"/>
    </w:p>
    <w:p w14:paraId="5ABD24B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support the continuation of the work of the IOC Working Group on Sustainable Ocean Planning and Management, under a revised and clearly defined mandate.</w:t>
      </w:r>
    </w:p>
    <w:p w14:paraId="2535B43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the context of the Strategy’s consideration, we stress the importance of ensuring an open, inclusive, and equitable process for the future implementation of any IOC-wide approach to sustainable ocean planning and management.</w:t>
      </w:r>
    </w:p>
    <w:p w14:paraId="184F0C2E" w14:textId="77777777" w:rsidR="006C41C4" w:rsidRPr="00AE71B5" w:rsidRDefault="006C41C4" w:rsidP="006C41C4">
      <w:pPr>
        <w:keepNext/>
        <w:snapToGrid/>
        <w:spacing w:after="120"/>
        <w:rPr>
          <w:rFonts w:ascii="Arial" w:hAnsi="Arial" w:cs="Arial"/>
          <w:b/>
          <w:sz w:val="22"/>
          <w:szCs w:val="22"/>
        </w:rPr>
      </w:pPr>
      <w:bookmarkStart w:id="482" w:name="sey41"/>
      <w:r w:rsidRPr="00AE71B5">
        <w:rPr>
          <w:rFonts w:ascii="Arial" w:hAnsi="Arial" w:cs="Arial"/>
          <w:b/>
          <w:sz w:val="22"/>
          <w:szCs w:val="22"/>
        </w:rPr>
        <w:t>Seychelles</w:t>
      </w:r>
    </w:p>
    <w:bookmarkEnd w:id="482"/>
    <w:p w14:paraId="2B92F9A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a small island developing state, Seychelles is acutely aware of the ocean’s role, not just as a resource, but as a lifeline. Our economy, culture, food security, and climate resilience are all inextricably linked to the health of our marine environment.</w:t>
      </w:r>
    </w:p>
    <w:p w14:paraId="40807DA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IOC-wide strategy as a necessary and timely instrument to align scientific guidance with policy action, while strengthening multilateral cooperation in ocean governance. Seychelles particularly commends the strategy’s emphasis on ecosystem-based management, marine spatial planning, and inclusive, science-driven decision-making.</w:t>
      </w:r>
    </w:p>
    <w:p w14:paraId="1C61E89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Seychelles’ journey reflects many of the strategy’s core principles: inclusivity, science-based decision-making, and long-term stewardship. We were among the first countries globally to implement an integrated Marine Spatial Plan that covers our entire 1.35 million square kilometre of our Exclusive Economic Zone (EEZ). Through a transparent, stakeholder-driven process dating back to 2014, we have designated 30% of our EEZ as Marine Protected Areas, meeting global targets years ahead of schedule.</w:t>
      </w:r>
    </w:p>
    <w:p w14:paraId="73245F5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achievement was not just technical; it was also financial and institutional. Our Marine Spatial Plan is underpinned by innovative mechanisms like the world’s first sovereign Blue Bond, and a debt-for-nature swap that seeded the Seychelles Conservation and Climate Adaptation Trust (</w:t>
      </w:r>
      <w:proofErr w:type="spellStart"/>
      <w:r w:rsidRPr="00AE71B5">
        <w:rPr>
          <w:rFonts w:ascii="Arial" w:eastAsia="Simsun (Founder Extended)" w:hAnsi="Arial" w:cs="Arial"/>
          <w:snapToGrid/>
          <w:sz w:val="22"/>
          <w:szCs w:val="22"/>
        </w:rPr>
        <w:t>SeyCCAT</w:t>
      </w:r>
      <w:proofErr w:type="spellEnd"/>
      <w:r w:rsidRPr="00AE71B5">
        <w:rPr>
          <w:rFonts w:ascii="Arial" w:eastAsia="Simsun (Founder Extended)" w:hAnsi="Arial" w:cs="Arial"/>
          <w:snapToGrid/>
          <w:sz w:val="22"/>
          <w:szCs w:val="22"/>
        </w:rPr>
        <w:t>). These tools fund marine protection, fisheries reform, and community-based resilience projects.</w:t>
      </w:r>
    </w:p>
    <w:p w14:paraId="556A63D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proud to be an institutional member of the Ocean Decade Alliance, with President Wavel </w:t>
      </w:r>
      <w:proofErr w:type="spellStart"/>
      <w:r w:rsidRPr="00AE71B5">
        <w:rPr>
          <w:rFonts w:ascii="Arial" w:eastAsia="Simsun (Founder Extended)" w:hAnsi="Arial" w:cs="Arial"/>
          <w:snapToGrid/>
          <w:sz w:val="22"/>
          <w:szCs w:val="22"/>
        </w:rPr>
        <w:t>Ramkalawan</w:t>
      </w:r>
      <w:proofErr w:type="spellEnd"/>
      <w:r w:rsidRPr="00AE71B5">
        <w:rPr>
          <w:rFonts w:ascii="Arial" w:eastAsia="Simsun (Founder Extended)" w:hAnsi="Arial" w:cs="Arial"/>
          <w:snapToGrid/>
          <w:sz w:val="22"/>
          <w:szCs w:val="22"/>
        </w:rPr>
        <w:t xml:space="preserve"> serving as one of its global Patrons. This reflects our belief that ocean sustainability must be driven by strong political leadership, supported by science and community participation.</w:t>
      </w:r>
    </w:p>
    <w:p w14:paraId="6D84599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Seychelles’ Ocean Decade National Committee, established in 2023, embodies that inclusive spirit, bringing together government, scientists, educators, fishers, youth, and civil society to align national actions with global goals.</w:t>
      </w:r>
    </w:p>
    <w:p w14:paraId="096EAC3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the sustainability of these efforts is not guaranteed. Climate change, IUU fishing, and marine pollution continue to threaten both biodiversity and livelihoods. This is why we view the IOC strategy not just as a technical framework but as a call for solidarity, support, and shared stewardship.</w:t>
      </w:r>
    </w:p>
    <w:p w14:paraId="75D154E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urge the IOC and its partners to further prioritize support for SIDS and coastal states, foster regional data-sharing platforms, and enhance the role of traditional knowledge alongside scientific expertise. We also encourage stronger engagement with financial institutions to help unlock the resources needed for implementation.</w:t>
      </w:r>
    </w:p>
    <w:p w14:paraId="7AB21D9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closing, Seychelles stands ready to collaborate, share our experience, and learn from others as we work together towards a sustainable, equitable, and science-informed ocean future.</w:t>
      </w:r>
    </w:p>
    <w:p w14:paraId="1E2632C0" w14:textId="77777777" w:rsidR="006C41C4" w:rsidRPr="00AE71B5" w:rsidRDefault="006C41C4" w:rsidP="006C41C4">
      <w:pPr>
        <w:keepNext/>
        <w:snapToGrid/>
        <w:spacing w:after="120"/>
        <w:rPr>
          <w:rFonts w:ascii="Arial" w:hAnsi="Arial" w:cs="Arial"/>
          <w:b/>
          <w:sz w:val="22"/>
          <w:szCs w:val="22"/>
        </w:rPr>
      </w:pPr>
      <w:bookmarkStart w:id="483" w:name="uk41"/>
      <w:r w:rsidRPr="00AE71B5">
        <w:rPr>
          <w:rFonts w:ascii="Arial" w:hAnsi="Arial" w:cs="Arial"/>
          <w:b/>
          <w:sz w:val="22"/>
          <w:szCs w:val="22"/>
        </w:rPr>
        <w:lastRenderedPageBreak/>
        <w:t xml:space="preserve">United Kingdom of Great Britain and Northern Ireland </w:t>
      </w:r>
    </w:p>
    <w:bookmarkEnd w:id="483"/>
    <w:p w14:paraId="3A75C43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pleased with the clarity emerging on the SOPM, with a clear focus on what the IOC can do in support of SOPM, who the target audience is and a Vision and Mission that are wholly aligned with what the IOC is able to support.</w:t>
      </w:r>
    </w:p>
    <w:p w14:paraId="52F480D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that the Implementation Plan draws heavily on existing IOC programme activities but will also need to source voluntary funding. Given the current funding situation the UK would strongly encourage the Secretariat to engage as best as possible with existing Sustainable Ocean Planning initiatives, working in partnership such that combined strengths of differing organisations can be put to best use in the support of IOC Member States SOPM ambitions.</w:t>
      </w:r>
    </w:p>
    <w:p w14:paraId="08FF874F" w14:textId="77777777" w:rsidR="006C41C4" w:rsidRPr="00AE71B5" w:rsidRDefault="006C41C4" w:rsidP="006C41C4">
      <w:pPr>
        <w:keepNext/>
        <w:snapToGrid/>
        <w:spacing w:after="120"/>
        <w:rPr>
          <w:rFonts w:ascii="Arial" w:hAnsi="Arial" w:cs="Arial"/>
          <w:b/>
          <w:sz w:val="22"/>
          <w:szCs w:val="22"/>
        </w:rPr>
      </w:pPr>
      <w:bookmarkStart w:id="484" w:name="us41"/>
      <w:r w:rsidRPr="00AE71B5">
        <w:rPr>
          <w:rFonts w:ascii="Arial" w:hAnsi="Arial" w:cs="Arial"/>
          <w:b/>
          <w:sz w:val="22"/>
          <w:szCs w:val="22"/>
        </w:rPr>
        <w:t>United States of America</w:t>
      </w:r>
    </w:p>
    <w:bookmarkEnd w:id="484"/>
    <w:p w14:paraId="4DF694F3"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rPr>
        <w:t xml:space="preserve">The United States has expressed concerns with the development of a Sustainable Ocean Planning and Management Strategy in previous Executive Council and Assembly meetings, as it is a strain on the IOC’s finite resources, among other concerns. Additionally, the Strategy reinforces Agenda 2030 throughout the document, which is at odds with U.S. policies as referenced in our opening statement. The United States cannot support adoption of the Strategy, nor continuation of the Working Group. The United States, therefore, </w:t>
      </w:r>
      <w:r w:rsidRPr="00AE71B5">
        <w:rPr>
          <w:rFonts w:ascii="Arial" w:eastAsia="Simsun (Founder Extended)" w:hAnsi="Arial" w:cs="Arial"/>
          <w:i/>
          <w:iCs/>
          <w:snapToGrid/>
          <w:sz w:val="22"/>
          <w:szCs w:val="22"/>
        </w:rPr>
        <w:t>will need to call for a vote on the decision text, by show of hands, after the Assembly has considered each paragraph, and before the decision is adopted</w:t>
      </w:r>
      <w:r w:rsidRPr="00AE71B5">
        <w:rPr>
          <w:rFonts w:ascii="Arial" w:eastAsia="Simsun (Founder Extended)" w:hAnsi="Arial" w:cs="Arial"/>
          <w:snapToGrid/>
          <w:sz w:val="22"/>
          <w:szCs w:val="22"/>
        </w:rPr>
        <w:t>.</w:t>
      </w:r>
    </w:p>
    <w:p w14:paraId="07BD1169"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4.2</w:t>
      </w:r>
      <w:r w:rsidRPr="00AE71B5">
        <w:rPr>
          <w:rFonts w:ascii="Arial" w:hAnsi="Arial" w:cs="Arial"/>
          <w:b/>
          <w:sz w:val="22"/>
          <w:szCs w:val="22"/>
        </w:rPr>
        <w:tab/>
        <w:t>Draft Implementation Plan for the IOC Capacity Development Strategy 2023–2030</w:t>
      </w:r>
    </w:p>
    <w:p w14:paraId="7B51A888" w14:textId="77777777" w:rsidR="006C41C4" w:rsidRPr="00AE71B5" w:rsidRDefault="006C41C4" w:rsidP="006C41C4">
      <w:pPr>
        <w:keepNext/>
        <w:snapToGrid/>
        <w:spacing w:after="120"/>
        <w:rPr>
          <w:rFonts w:ascii="Arial" w:hAnsi="Arial" w:cs="Arial"/>
          <w:b/>
          <w:sz w:val="22"/>
          <w:szCs w:val="22"/>
        </w:rPr>
      </w:pPr>
      <w:bookmarkStart w:id="485" w:name="chin42"/>
      <w:r w:rsidRPr="00AE71B5">
        <w:rPr>
          <w:rFonts w:ascii="Arial" w:hAnsi="Arial" w:cs="Arial"/>
          <w:b/>
          <w:sz w:val="22"/>
          <w:szCs w:val="22"/>
        </w:rPr>
        <w:t>China</w:t>
      </w:r>
    </w:p>
    <w:bookmarkEnd w:id="485"/>
    <w:p w14:paraId="06BB5CE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appreciated the work of the IOC Group of Experts on Capacity Development on the “Draft Implementation Plan for The IOC Capacity Development Strategy 2023-2030”. Capacity development is an essential part of IOC’s mission, enabling all Member States to participate in, and benefit from, ocean research and services. The Implementation Plan provides us with a comprehensive road map. </w:t>
      </w:r>
    </w:p>
    <w:p w14:paraId="5CE6AD6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recognizes that: 1. Capacity development would address the requirement of International Community to IOC, to mainstream the IOC’s actions to the big global agenda, such as BBNJ. It means the work we are doing here would impact on the global agendas beyond IOC; 2. Capacity development plays a key role in promoting good ocean governance of IOC and its Member States, especially for developing Members States; 3. Capacity development is also a good vehicle to enhance the exchange and cooperation among different Member States. </w:t>
      </w:r>
    </w:p>
    <w:p w14:paraId="189732D2"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Thus, we fully </w:t>
      </w:r>
      <w:proofErr w:type="gramStart"/>
      <w:r w:rsidRPr="00AE71B5">
        <w:rPr>
          <w:rFonts w:ascii="Arial" w:eastAsia="Simsun (Founder Extended)" w:hAnsi="Arial" w:cs="Arial"/>
          <w:snapToGrid/>
          <w:sz w:val="22"/>
          <w:szCs w:val="22"/>
          <w:lang w:val="en-US"/>
        </w:rPr>
        <w:t>agree</w:t>
      </w:r>
      <w:proofErr w:type="gramEnd"/>
      <w:r w:rsidRPr="00AE71B5">
        <w:rPr>
          <w:rFonts w:ascii="Arial" w:eastAsia="Simsun (Founder Extended)" w:hAnsi="Arial" w:cs="Arial"/>
          <w:snapToGrid/>
          <w:sz w:val="22"/>
          <w:szCs w:val="22"/>
          <w:lang w:val="en-US"/>
        </w:rPr>
        <w:t xml:space="preserve"> the recommendations proposed in the Draft Implementation Plan and encourage IOC and Member States to increase their input in Capacity development, </w:t>
      </w:r>
      <w:proofErr w:type="gramStart"/>
      <w:r w:rsidRPr="00AE71B5">
        <w:rPr>
          <w:rFonts w:ascii="Arial" w:eastAsia="Simsun (Founder Extended)" w:hAnsi="Arial" w:cs="Arial"/>
          <w:snapToGrid/>
          <w:sz w:val="22"/>
          <w:szCs w:val="22"/>
          <w:lang w:val="en-US"/>
        </w:rPr>
        <w:t>particularly,</w:t>
      </w:r>
      <w:proofErr w:type="gramEnd"/>
      <w:r w:rsidRPr="00AE71B5">
        <w:rPr>
          <w:rFonts w:ascii="Arial" w:eastAsia="Simsun (Founder Extended)" w:hAnsi="Arial" w:cs="Arial"/>
          <w:snapToGrid/>
          <w:sz w:val="22"/>
          <w:szCs w:val="22"/>
          <w:lang w:val="en-US"/>
        </w:rPr>
        <w:t xml:space="preserve"> taking use of the current mechanism, including OTGA and the platforms operated by Regional Subsidiary Bodies, such as RTRCs.</w:t>
      </w:r>
    </w:p>
    <w:p w14:paraId="7B85531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would like to reiterate our will to contribute to and engage in various actions of capacity development in IOC, through making our voluntary donation, holding more workshops and training course, opening capacity development opportunities in other international framework to IOC Member States, funding the students of developing Member States to study for ocean-related Master and Doctoral degrees in China via Chinese Government Marine Scholarship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continuously etc.</w:t>
      </w:r>
    </w:p>
    <w:p w14:paraId="44D09688" w14:textId="77777777" w:rsidR="006C41C4" w:rsidRPr="00AE71B5" w:rsidRDefault="006C41C4" w:rsidP="006C41C4">
      <w:pPr>
        <w:keepNext/>
        <w:snapToGrid/>
        <w:spacing w:after="120"/>
        <w:rPr>
          <w:rFonts w:ascii="Arial" w:hAnsi="Arial" w:cs="Arial"/>
          <w:b/>
          <w:sz w:val="22"/>
          <w:szCs w:val="22"/>
        </w:rPr>
      </w:pPr>
      <w:bookmarkStart w:id="486" w:name="india42"/>
      <w:r w:rsidRPr="00AE71B5">
        <w:rPr>
          <w:rFonts w:ascii="Arial" w:hAnsi="Arial" w:cs="Arial"/>
          <w:b/>
          <w:sz w:val="22"/>
          <w:szCs w:val="22"/>
        </w:rPr>
        <w:t>India</w:t>
      </w:r>
    </w:p>
    <w:bookmarkEnd w:id="486"/>
    <w:p w14:paraId="112BB3D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appreciates the capacity development strategy of IOC and formation of renewed Group of Experts on Capacity Development with 29 members. India also congratulates Dr Suzan El-Gharabawy and Dr Lina Eyouni for being elected as Co-Chairs of the IOC GE-CD.</w:t>
      </w:r>
    </w:p>
    <w:p w14:paraId="549F80DE"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realized the importance of capacity development long ago and set up an International Training Centre for Operational Oceanography (ITCOO) for imparting training in operational oceanography since 2013. This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 xml:space="preserve"> is acting as Regional Training Centre under OTGA and as </w:t>
      </w:r>
      <w:r w:rsidRPr="00AE71B5">
        <w:rPr>
          <w:rFonts w:ascii="Arial" w:eastAsia="Simsun (Founder Extended)" w:hAnsi="Arial" w:cs="Arial"/>
          <w:snapToGrid/>
          <w:sz w:val="22"/>
          <w:szCs w:val="22"/>
          <w:lang w:val="en-US"/>
        </w:rPr>
        <w:lastRenderedPageBreak/>
        <w:t xml:space="preserve">a Category 2 Centre under UNESCO. Through this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 xml:space="preserve"> India has been undertaking training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involving participants from Indian ocean rim countries, SIDS, LDCs and ECOPs. About 7400 trainees from </w:t>
      </w:r>
      <w:proofErr w:type="gramStart"/>
      <w:r w:rsidRPr="00AE71B5">
        <w:rPr>
          <w:rFonts w:ascii="Arial" w:eastAsia="Simsun (Founder Extended)" w:hAnsi="Arial" w:cs="Arial"/>
          <w:snapToGrid/>
          <w:sz w:val="22"/>
          <w:szCs w:val="22"/>
          <w:lang w:val="en-US"/>
        </w:rPr>
        <w:t>96 members</w:t>
      </w:r>
      <w:proofErr w:type="gramEnd"/>
      <w:r w:rsidRPr="00AE71B5">
        <w:rPr>
          <w:rFonts w:ascii="Arial" w:eastAsia="Simsun (Founder Extended)" w:hAnsi="Arial" w:cs="Arial"/>
          <w:snapToGrid/>
          <w:sz w:val="22"/>
          <w:szCs w:val="22"/>
          <w:lang w:val="en-US"/>
        </w:rPr>
        <w:t xml:space="preserve"> countries were trained in various topics like Remote Sensing, Ocean Modelling, Data Management, QC and Visualization </w:t>
      </w:r>
      <w:proofErr w:type="spellStart"/>
      <w:r w:rsidRPr="00AE71B5">
        <w:rPr>
          <w:rFonts w:ascii="Arial" w:eastAsia="Simsun (Founder Extended)" w:hAnsi="Arial" w:cs="Arial"/>
          <w:snapToGrid/>
          <w:sz w:val="22"/>
          <w:szCs w:val="22"/>
          <w:lang w:val="en-US"/>
        </w:rPr>
        <w:t>etc</w:t>
      </w:r>
      <w:proofErr w:type="spellEnd"/>
      <w:r w:rsidRPr="00AE71B5">
        <w:rPr>
          <w:rFonts w:ascii="Arial" w:eastAsia="Simsun (Founder Extended)" w:hAnsi="Arial" w:cs="Arial"/>
          <w:snapToGrid/>
          <w:sz w:val="22"/>
          <w:szCs w:val="22"/>
          <w:lang w:val="en-US"/>
        </w:rPr>
        <w:t xml:space="preserve"> in this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w:t>
      </w:r>
    </w:p>
    <w:p w14:paraId="061FBA3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has been actively involved in capacity development activities by partnering with OTGA, IOGOOS, POGO, RIMES, IORS etc. With the support of Ministry of External Affairs, Govt of. India has opened opportunities for training through the International Technical and Economic Cooperation (ITEC) targeting the trainees from member state in the Indian Ocean.</w:t>
      </w:r>
    </w:p>
    <w:p w14:paraId="0A37833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By responding to the call for UNESCO-IOC Ocean Traineeship for 2024, India hosted a trainee from Sri Lanka and imparted training on machine learning for data and quality control procedures. India is willing to extend this support and responded to the call for this year too. </w:t>
      </w:r>
    </w:p>
    <w:p w14:paraId="0EB25191"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participated in the sixth session of the IOC GE-CD, which was held at Ostend, Belgium on 22–24 October 2024 and contributed in the discussions to the development of an implementation plan for the IOC Capacity Development Strategy. Finally, we would like to reiterate that India is committed to the capacity development as per the Implementation Plan of regional sub-commission, based on the identified priority needs for the Indian Ocean region discussed in the regional sessions, and IOC CD biennial needs assessment surveys.</w:t>
      </w:r>
    </w:p>
    <w:p w14:paraId="69EFE710" w14:textId="77777777" w:rsidR="006C41C4" w:rsidRPr="00AE71B5" w:rsidRDefault="006C41C4" w:rsidP="006C41C4">
      <w:pPr>
        <w:keepNext/>
        <w:snapToGrid/>
        <w:spacing w:after="120"/>
        <w:rPr>
          <w:rFonts w:ascii="Arial" w:hAnsi="Arial" w:cs="Arial"/>
          <w:b/>
          <w:sz w:val="22"/>
          <w:szCs w:val="22"/>
        </w:rPr>
      </w:pPr>
      <w:bookmarkStart w:id="487" w:name="irel42"/>
      <w:r w:rsidRPr="00AE71B5">
        <w:rPr>
          <w:rFonts w:ascii="Arial" w:hAnsi="Arial" w:cs="Arial"/>
          <w:b/>
          <w:sz w:val="22"/>
          <w:szCs w:val="22"/>
        </w:rPr>
        <w:t>Ireland</w:t>
      </w:r>
    </w:p>
    <w:bookmarkEnd w:id="487"/>
    <w:p w14:paraId="3380444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Ireland has been very happy to engage in the development of the Implementation Plan through the Our Shared Ocean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for Small Island Developing States.</w:t>
      </w:r>
    </w:p>
    <w:p w14:paraId="5AC82E1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Ireland supports the continuation of the IOC Group of Experts on Capacity Development with revised terms of reference and looks forward to our continued constructive engagement on implementation of the IOC Capacity Development Strategy. Given that a larger part of the CD implementation involves leveraging and working with existing partners to build on existing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Ireland will continue to </w:t>
      </w:r>
      <w:proofErr w:type="spellStart"/>
      <w:r w:rsidRPr="00AE71B5">
        <w:rPr>
          <w:rFonts w:ascii="Arial" w:eastAsia="Simsun (Founder Extended)" w:hAnsi="Arial" w:cs="Arial"/>
          <w:snapToGrid/>
          <w:sz w:val="22"/>
          <w:szCs w:val="22"/>
          <w:lang w:val="en-US"/>
        </w:rPr>
        <w:t>prioritise</w:t>
      </w:r>
      <w:proofErr w:type="spellEnd"/>
      <w:r w:rsidRPr="00AE71B5">
        <w:rPr>
          <w:rFonts w:ascii="Arial" w:eastAsia="Simsun (Founder Extended)" w:hAnsi="Arial" w:cs="Arial"/>
          <w:snapToGrid/>
          <w:sz w:val="22"/>
          <w:szCs w:val="22"/>
          <w:lang w:val="en-US"/>
        </w:rPr>
        <w:t xml:space="preserve"> our national commitment to Capacity Development for our ocean through our IOC engagement. Ireland’s National Decade Committee will also seek to support and mentor nascent NDCs to achieve their own ambitions / priorities.</w:t>
      </w:r>
    </w:p>
    <w:p w14:paraId="4C9DCB9A" w14:textId="77777777" w:rsidR="006C41C4" w:rsidRPr="00AE71B5" w:rsidRDefault="006C41C4" w:rsidP="006C41C4">
      <w:pPr>
        <w:keepNext/>
        <w:snapToGrid/>
        <w:spacing w:after="120"/>
        <w:rPr>
          <w:rFonts w:ascii="Arial" w:hAnsi="Arial" w:cs="Arial"/>
          <w:b/>
          <w:sz w:val="22"/>
          <w:szCs w:val="22"/>
        </w:rPr>
      </w:pPr>
      <w:bookmarkStart w:id="488" w:name="jap42"/>
      <w:r w:rsidRPr="00AE71B5">
        <w:rPr>
          <w:rFonts w:ascii="Arial" w:hAnsi="Arial" w:cs="Arial"/>
          <w:b/>
          <w:sz w:val="22"/>
          <w:szCs w:val="22"/>
        </w:rPr>
        <w:t>Japan</w:t>
      </w:r>
    </w:p>
    <w:bookmarkEnd w:id="488"/>
    <w:p w14:paraId="5C98AE35"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warmly welcome the development of this Plan and reaffirm our strong support for IOC’s capacity development efforts under its framework.</w:t>
      </w:r>
    </w:p>
    <w:p w14:paraId="68600A3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Japan emphasizes the value of establishing a cyclical process that regularly monitors implementation progress, allowing for the timely identification and resolution of potential obstacles. Ongoing evaluation and the ability to adapt will be key to the long-term success of the Plan.</w:t>
      </w:r>
    </w:p>
    <w:p w14:paraId="4775779D"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Japan remains committed to participating in and supporting capacity development under this </w:t>
      </w:r>
      <w:proofErr w:type="gramStart"/>
      <w:r w:rsidRPr="00AE71B5">
        <w:rPr>
          <w:rFonts w:ascii="Arial" w:eastAsia="Simsun (Founder Extended)" w:hAnsi="Arial" w:cs="Arial"/>
          <w:snapToGrid/>
          <w:sz w:val="22"/>
          <w:szCs w:val="22"/>
          <w:lang w:val="en-US"/>
        </w:rPr>
        <w:t>Strategy, and</w:t>
      </w:r>
      <w:proofErr w:type="gramEnd"/>
      <w:r w:rsidRPr="00AE71B5">
        <w:rPr>
          <w:rFonts w:ascii="Arial" w:eastAsia="Simsun (Founder Extended)" w:hAnsi="Arial" w:cs="Arial"/>
          <w:snapToGrid/>
          <w:sz w:val="22"/>
          <w:szCs w:val="22"/>
          <w:lang w:val="en-US"/>
        </w:rPr>
        <w:t xml:space="preserve"> looks forward to working together with all partners to achieve lasting, sustainable results.</w:t>
      </w:r>
    </w:p>
    <w:p w14:paraId="007A9762" w14:textId="77777777" w:rsidR="006C41C4" w:rsidRPr="00AE71B5" w:rsidRDefault="006C41C4" w:rsidP="006C41C4">
      <w:pPr>
        <w:keepNext/>
        <w:snapToGrid/>
        <w:spacing w:after="120"/>
        <w:rPr>
          <w:rFonts w:ascii="Arial" w:hAnsi="Arial" w:cs="Arial"/>
          <w:b/>
          <w:sz w:val="22"/>
          <w:szCs w:val="22"/>
        </w:rPr>
      </w:pPr>
      <w:bookmarkStart w:id="489" w:name="malay42"/>
      <w:r w:rsidRPr="00AE71B5">
        <w:rPr>
          <w:rFonts w:ascii="Arial" w:hAnsi="Arial" w:cs="Arial"/>
          <w:b/>
          <w:sz w:val="22"/>
          <w:szCs w:val="22"/>
        </w:rPr>
        <w:t>Malaysia</w:t>
      </w:r>
    </w:p>
    <w:bookmarkEnd w:id="489"/>
    <w:p w14:paraId="7A0E39CE"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Malaysia would like to thank and appreciate the opportunity given to Malaysia to serve as one of the members of the previous IOC Group of Expert on Capacity Development. </w:t>
      </w:r>
    </w:p>
    <w:p w14:paraId="0ECC7E5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will continue to support and facilitate the implementation processes of the IOC Capacity Development Strategy 2023-2030 Implementation Plan.</w:t>
      </w:r>
    </w:p>
    <w:p w14:paraId="5616866C" w14:textId="77777777" w:rsidR="006C41C4" w:rsidRPr="00AE71B5" w:rsidRDefault="006C41C4" w:rsidP="006C41C4">
      <w:pPr>
        <w:keepNext/>
        <w:snapToGrid/>
        <w:spacing w:after="120"/>
        <w:rPr>
          <w:rFonts w:ascii="Arial" w:hAnsi="Arial" w:cs="Arial"/>
          <w:b/>
          <w:sz w:val="22"/>
          <w:szCs w:val="22"/>
        </w:rPr>
      </w:pPr>
      <w:bookmarkStart w:id="490" w:name="rok42"/>
      <w:r w:rsidRPr="00AE71B5">
        <w:rPr>
          <w:rFonts w:ascii="Arial" w:hAnsi="Arial" w:cs="Arial"/>
          <w:b/>
          <w:sz w:val="22"/>
          <w:szCs w:val="22"/>
        </w:rPr>
        <w:t xml:space="preserve">Republic of Korea </w:t>
      </w:r>
    </w:p>
    <w:bookmarkEnd w:id="490"/>
    <w:p w14:paraId="392FC263"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Republic of Korea recognizes the IOC Capacity Development Strategy (2023–2030) as a fundamental framework for inclusive growth in ocean science and for building sustainable ocean governance capacities across the international community. We would like to express our appreciation to the Group of Experts on Capacity Development (GE-CD) for their continued efforts.</w:t>
      </w:r>
    </w:p>
    <w:p w14:paraId="7841320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The Korean government believes that capacity development should go beyond the simple transfer of technology. It should serve as a practical mechanism to support co-development and evidence-based policymaking. In this context, Korea has implemented a wide range of capacity development initiatives, and we hope these efforts can be further aligned with the IOC CD Strategy to generate mutual benefits and broader global impact.</w:t>
      </w:r>
    </w:p>
    <w:p w14:paraId="7829C74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As part of these efforts, Korea currently operates four regional cooperation centers across Asia and Latin America. Among them, the Korea–Indonesia Marine Technology Cooperation Research </w:t>
      </w:r>
      <w:proofErr w:type="gramStart"/>
      <w:r w:rsidRPr="00AE71B5">
        <w:rPr>
          <w:rFonts w:ascii="Arial" w:eastAsia="Simsun (Founder Extended)" w:hAnsi="Arial" w:cs="Arial"/>
          <w:snapToGrid/>
          <w:sz w:val="22"/>
          <w:szCs w:val="22"/>
          <w:lang w:val="en-US"/>
        </w:rPr>
        <w:t>Center(</w:t>
      </w:r>
      <w:proofErr w:type="gramEnd"/>
      <w:r w:rsidRPr="00AE71B5">
        <w:rPr>
          <w:rFonts w:ascii="Arial" w:eastAsia="Simsun (Founder Extended)" w:hAnsi="Arial" w:cs="Arial"/>
          <w:snapToGrid/>
          <w:sz w:val="22"/>
          <w:szCs w:val="22"/>
          <w:lang w:val="en-US"/>
        </w:rPr>
        <w:t>MTCRC) plays a leading role in capacity development through joint research, field-based training, and science-policy interface in Southeast Asia. In particular, the Integrated Ocean Fisheries Technology Training Center (KIOTEC), officially established in Jakarta in 2023, provides structured graduate-level programs as well as hands-on technical training. Along with MTCRC's capacity development activities, this training center's activities have been officially endorsed as two Decade Actions under the UN Ocean Decade and is expected to function as a regional hub for international collaboration in capacity development.</w:t>
      </w:r>
    </w:p>
    <w:p w14:paraId="75CEF596"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the Republic of Korea hopes to further support the implementation of the IOC CD Strategy by facilitating the participation of national experts in relevant working groups such as the GE-CD. We look forward to Korea’s official engagement being considered in future processes of expert group expansion and collaboration.</w:t>
      </w:r>
    </w:p>
    <w:p w14:paraId="1FB07301"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Republic of Korea remains committed to being an active and inclusive partner in global efforts to advance ocean science, capacity development, and sustainable marine governance.</w:t>
      </w:r>
    </w:p>
    <w:p w14:paraId="4F38BC69" w14:textId="77777777" w:rsidR="006C41C4" w:rsidRPr="00AE71B5" w:rsidRDefault="006C41C4" w:rsidP="006C41C4">
      <w:pPr>
        <w:keepNext/>
        <w:snapToGrid/>
        <w:spacing w:after="120"/>
        <w:rPr>
          <w:rFonts w:ascii="Arial" w:hAnsi="Arial" w:cs="Arial"/>
          <w:b/>
          <w:sz w:val="22"/>
          <w:szCs w:val="22"/>
          <w:lang w:val="en-US"/>
        </w:rPr>
      </w:pPr>
      <w:bookmarkStart w:id="491" w:name="rus42"/>
      <w:r w:rsidRPr="00AE71B5">
        <w:rPr>
          <w:rFonts w:ascii="Arial" w:hAnsi="Arial" w:cs="Arial"/>
          <w:b/>
          <w:sz w:val="22"/>
          <w:szCs w:val="22"/>
          <w:lang w:val="en-US"/>
        </w:rPr>
        <w:t>Russian Federation</w:t>
      </w:r>
    </w:p>
    <w:bookmarkEnd w:id="491"/>
    <w:p w14:paraId="4EA0FA2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continue to actively contribute to the implementation of the IOC Capacity Development Strategy 2023–2030, placing particular emphasis on strengthening human resources and expertise in the field of ocean science.</w:t>
      </w:r>
    </w:p>
    <w:p w14:paraId="10AAC873"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Our work in this domain is being carried out within the framework of multilateral international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w:t>
      </w:r>
      <w:proofErr w:type="gramStart"/>
      <w:r w:rsidRPr="00AE71B5">
        <w:rPr>
          <w:rFonts w:ascii="Arial" w:eastAsia="Simsun (Founder Extended)" w:hAnsi="Arial" w:cs="Arial"/>
          <w:snapToGrid/>
          <w:sz w:val="22"/>
          <w:szCs w:val="22"/>
          <w:lang w:val="en-US"/>
        </w:rPr>
        <w:t>In particular, joint</w:t>
      </w:r>
      <w:proofErr w:type="gramEnd"/>
      <w:r w:rsidRPr="00AE71B5">
        <w:rPr>
          <w:rFonts w:ascii="Arial" w:eastAsia="Simsun (Founder Extended)" w:hAnsi="Arial" w:cs="Arial"/>
          <w:snapToGrid/>
          <w:sz w:val="22"/>
          <w:szCs w:val="22"/>
          <w:lang w:val="en-US"/>
        </w:rPr>
        <w:t xml:space="preserve"> oceanographic expeditions are being conducted in cooperation with African countries, focusing on the study of oceanographic conditions affecting the distribution of commercially important fish species along the coast of the African continent.</w:t>
      </w:r>
    </w:p>
    <w:p w14:paraId="02D8A26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Additionally, a new high-resolution coupled ocean–atmosphere climate model is currently under development, with the integration of artificial intelligence components. Efforts are also underway to consolidate the resources of the national research fleet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implement interagency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related to the study of the ocean and marine resources.</w:t>
      </w:r>
    </w:p>
    <w:p w14:paraId="4BDBB704"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Russian Federation firmly believes that the development of human, scientific, and infrastructural capacity in ocean science is fundamental for the sustainable use of the resources of the World Ocean, as well as for effective responses to climate and environmental challenges.</w:t>
      </w:r>
    </w:p>
    <w:p w14:paraId="4708ED9F" w14:textId="77777777" w:rsidR="006C41C4" w:rsidRPr="00AE71B5" w:rsidRDefault="006C41C4" w:rsidP="006C41C4">
      <w:pPr>
        <w:keepNext/>
        <w:snapToGrid/>
        <w:spacing w:after="120"/>
        <w:rPr>
          <w:rFonts w:ascii="Arial" w:hAnsi="Arial" w:cs="Arial"/>
          <w:b/>
          <w:sz w:val="22"/>
          <w:szCs w:val="22"/>
          <w:lang w:val="en-US"/>
        </w:rPr>
      </w:pPr>
      <w:bookmarkStart w:id="492" w:name="turk42"/>
      <w:r w:rsidRPr="00AE71B5">
        <w:rPr>
          <w:rFonts w:ascii="Arial" w:hAnsi="Arial" w:cs="Arial"/>
          <w:b/>
          <w:sz w:val="22"/>
          <w:szCs w:val="22"/>
          <w:lang w:val="en-US"/>
        </w:rPr>
        <w:t>Türkiye</w:t>
      </w:r>
    </w:p>
    <w:bookmarkEnd w:id="492"/>
    <w:p w14:paraId="3C90BD16"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like to highlight that rapid changes in the state of the ocean caused by accelerating pressures on oceans mean that the needs of Member States are evolving and diversifying.</w:t>
      </w:r>
    </w:p>
    <w:p w14:paraId="17B2C40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Capacity Building activities are very significant since they not only increase </w:t>
      </w:r>
      <w:proofErr w:type="gramStart"/>
      <w:r w:rsidRPr="00AE71B5">
        <w:rPr>
          <w:rFonts w:ascii="Arial" w:eastAsia="Simsun (Founder Extended)" w:hAnsi="Arial" w:cs="Arial"/>
          <w:snapToGrid/>
          <w:sz w:val="22"/>
          <w:szCs w:val="22"/>
          <w:lang w:val="en-US"/>
        </w:rPr>
        <w:t>the awareness</w:t>
      </w:r>
      <w:proofErr w:type="gramEnd"/>
      <w:r w:rsidRPr="00AE71B5">
        <w:rPr>
          <w:rFonts w:ascii="Arial" w:eastAsia="Simsun (Founder Extended)" w:hAnsi="Arial" w:cs="Arial"/>
          <w:snapToGrid/>
          <w:sz w:val="22"/>
          <w:szCs w:val="22"/>
          <w:lang w:val="en-US"/>
        </w:rPr>
        <w:t xml:space="preserve"> but also support the establishment of oceanographic activities for coastal states to enhance the quality of existing capabilities. </w:t>
      </w:r>
    </w:p>
    <w:p w14:paraId="4017A5AD"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Continuous investments in education and training are necessary so that we can continue to provide high quality products and services which satisfy the new and evolving demands of the Member States.</w:t>
      </w:r>
    </w:p>
    <w:p w14:paraId="663BA2D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That is why we suggest that seeking new opportunities to increase the number of free capacity building activities is important so that no country is left behind.  </w:t>
      </w:r>
    </w:p>
    <w:p w14:paraId="18E39091"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Because of this, we would like to state that “The term of “One Ocean One Planet” is very crucial to understand the importance of that approach” and we strongly support IOCs role in this regard.</w:t>
      </w:r>
    </w:p>
    <w:p w14:paraId="6D2DB874" w14:textId="77777777" w:rsidR="006C41C4" w:rsidRPr="00AE71B5" w:rsidRDefault="006C41C4" w:rsidP="006C41C4">
      <w:pPr>
        <w:keepNext/>
        <w:snapToGrid/>
        <w:spacing w:after="120"/>
        <w:rPr>
          <w:rFonts w:ascii="Arial" w:hAnsi="Arial" w:cs="Arial"/>
          <w:b/>
          <w:sz w:val="22"/>
          <w:szCs w:val="22"/>
          <w:lang w:val="en-US"/>
        </w:rPr>
      </w:pPr>
      <w:bookmarkStart w:id="493" w:name="uk42"/>
      <w:r w:rsidRPr="00AE71B5">
        <w:rPr>
          <w:rFonts w:ascii="Arial" w:hAnsi="Arial" w:cs="Arial"/>
          <w:b/>
          <w:sz w:val="22"/>
          <w:szCs w:val="22"/>
          <w:lang w:val="en-US"/>
        </w:rPr>
        <w:lastRenderedPageBreak/>
        <w:t>United Kingdom of Great Britain and Northern Ireland</w:t>
      </w:r>
    </w:p>
    <w:bookmarkEnd w:id="493"/>
    <w:p w14:paraId="0E0A39A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development of the Implementation Plan is ambitious and will be key in demonstrating the value of Capacity Development efforts undertaken by the IOC, and the inclusion of a monitoring and evaluation framework will be critical in capturing these.</w:t>
      </w:r>
    </w:p>
    <w:p w14:paraId="395334F5"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issues identified, and solutions offered in other areas, for example the lack of global coordination, chime very much with discussions held at the recent UN Informal Consultative Process in New York. Whilst there is an absolute need to deliver Capacity Development in a manner that’s consistent with IOC priorities as articulated in the IOC Capacity Development Strategy, it is however imperative that this does not take place in isolation. To this end we welcome the IOC exploring how we can help address the lack of coordination and collaboration that currently exists, with a variety of agencies undertaking Capacity Development and the Transfer of Marine Technology (CDTMT) in support of marine governance. </w:t>
      </w:r>
    </w:p>
    <w:p w14:paraId="48235AB1"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 the spirit of enhancing coordination and collaboration, we note the request under agenda item 4.4 on Ocean Literacy to form a permanent expert group of the Commission. </w:t>
      </w:r>
      <w:proofErr w:type="gramStart"/>
      <w:r w:rsidRPr="00AE71B5">
        <w:rPr>
          <w:rFonts w:ascii="Arial" w:eastAsia="Simsun (Founder Extended)" w:hAnsi="Arial" w:cs="Arial"/>
          <w:snapToGrid/>
          <w:sz w:val="22"/>
          <w:szCs w:val="22"/>
          <w:lang w:val="en-US"/>
        </w:rPr>
        <w:t>In light of</w:t>
      </w:r>
      <w:proofErr w:type="gramEnd"/>
      <w:r w:rsidRPr="00AE71B5">
        <w:rPr>
          <w:rFonts w:ascii="Arial" w:eastAsia="Simsun (Founder Extended)" w:hAnsi="Arial" w:cs="Arial"/>
          <w:snapToGrid/>
          <w:sz w:val="22"/>
          <w:szCs w:val="22"/>
          <w:lang w:val="en-US"/>
        </w:rPr>
        <w:t xml:space="preserve"> our position, where we believe closer working is key, we would suggest that the same applies to two complimentary areas of work within the IOC. To this end we have submitted </w:t>
      </w:r>
      <w:proofErr w:type="gramStart"/>
      <w:r w:rsidRPr="00AE71B5">
        <w:rPr>
          <w:rFonts w:ascii="Arial" w:eastAsia="Simsun (Founder Extended)" w:hAnsi="Arial" w:cs="Arial"/>
          <w:snapToGrid/>
          <w:sz w:val="22"/>
          <w:szCs w:val="22"/>
          <w:lang w:val="en-US"/>
        </w:rPr>
        <w:t>suggest</w:t>
      </w:r>
      <w:proofErr w:type="gramEnd"/>
      <w:r w:rsidRPr="00AE71B5">
        <w:rPr>
          <w:rFonts w:ascii="Arial" w:eastAsia="Simsun (Founder Extended)" w:hAnsi="Arial" w:cs="Arial"/>
          <w:snapToGrid/>
          <w:sz w:val="22"/>
          <w:szCs w:val="22"/>
          <w:lang w:val="en-US"/>
        </w:rPr>
        <w:t xml:space="preserve"> edits to Decision 4.2 and 4.4.</w:t>
      </w:r>
    </w:p>
    <w:p w14:paraId="0F5B214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UK strongly </w:t>
      </w:r>
      <w:proofErr w:type="gramStart"/>
      <w:r w:rsidRPr="00AE71B5">
        <w:rPr>
          <w:rFonts w:ascii="Arial" w:eastAsia="Simsun (Founder Extended)" w:hAnsi="Arial" w:cs="Arial"/>
          <w:snapToGrid/>
          <w:sz w:val="22"/>
          <w:szCs w:val="22"/>
          <w:lang w:val="en-US"/>
        </w:rPr>
        <w:t>support</w:t>
      </w:r>
      <w:proofErr w:type="gramEnd"/>
      <w:r w:rsidRPr="00AE71B5">
        <w:rPr>
          <w:rFonts w:ascii="Arial" w:eastAsia="Simsun (Founder Extended)" w:hAnsi="Arial" w:cs="Arial"/>
          <w:snapToGrid/>
          <w:sz w:val="22"/>
          <w:szCs w:val="22"/>
          <w:lang w:val="en-US"/>
        </w:rPr>
        <w:t xml:space="preserve"> a well-resourced, </w:t>
      </w:r>
      <w:proofErr w:type="spellStart"/>
      <w:r w:rsidRPr="00AE71B5">
        <w:rPr>
          <w:rFonts w:ascii="Arial" w:eastAsia="Simsun (Founder Extended)" w:hAnsi="Arial" w:cs="Arial"/>
          <w:snapToGrid/>
          <w:sz w:val="22"/>
          <w:szCs w:val="22"/>
          <w:lang w:val="en-US"/>
        </w:rPr>
        <w:t>centralised</w:t>
      </w:r>
      <w:proofErr w:type="spellEnd"/>
      <w:r w:rsidRPr="00AE71B5">
        <w:rPr>
          <w:rFonts w:ascii="Arial" w:eastAsia="Simsun (Founder Extended)" w:hAnsi="Arial" w:cs="Arial"/>
          <w:snapToGrid/>
          <w:sz w:val="22"/>
          <w:szCs w:val="22"/>
          <w:lang w:val="en-US"/>
        </w:rPr>
        <w:t xml:space="preserve"> IOC coordination function. IOC CD has made significant strides in recent years with the establishment of the IOC INFO HUB, IOC OCEAN CD-HUB, regular needs assessment, and buy-in by IOC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and regional offices into coordinated delivery of Capacity Development as set by the IOC CD Strategy. Which all build on previous successes, such as the well-respected Ocean Teacher Global Academy (OTGA). As a core Purpose of the IOC, as articulated in the Statutes, and given the worldwide demand for Capacity Development, the IOC must demonstrate leadership in its delivery.</w:t>
      </w:r>
    </w:p>
    <w:p w14:paraId="361866A1"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As such it is imperative that Capacity Development remains a priority for IOC and be supported with appropriate management, funding and resources. Mindful of the current financial pressures, we cannot abandon a key purpose of what the IOC was in fact established to do, so let’s maintain the momentum and make sure that the IOC is a key contributor and partner in an area of great importance to so many.</w:t>
      </w:r>
    </w:p>
    <w:p w14:paraId="6125ED0D" w14:textId="77777777" w:rsidR="006C41C4" w:rsidRPr="00AE71B5" w:rsidRDefault="006C41C4" w:rsidP="006C41C4">
      <w:pPr>
        <w:keepNext/>
        <w:snapToGrid/>
        <w:spacing w:after="120"/>
        <w:rPr>
          <w:rFonts w:ascii="Arial" w:hAnsi="Arial" w:cs="Arial"/>
          <w:b/>
          <w:sz w:val="22"/>
          <w:szCs w:val="22"/>
          <w:lang w:val="en-US"/>
        </w:rPr>
      </w:pPr>
      <w:bookmarkStart w:id="494" w:name="usa42"/>
      <w:r w:rsidRPr="00AE71B5">
        <w:rPr>
          <w:rFonts w:ascii="Arial" w:hAnsi="Arial" w:cs="Arial"/>
          <w:b/>
          <w:sz w:val="22"/>
          <w:szCs w:val="22"/>
          <w:lang w:val="en-US"/>
        </w:rPr>
        <w:t>United States of America</w:t>
      </w:r>
    </w:p>
    <w:bookmarkEnd w:id="494"/>
    <w:p w14:paraId="0703FF44"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United States appreciates the work of the Experts Group. </w:t>
      </w:r>
      <w:bookmarkStart w:id="495" w:name="_Hlk207894254"/>
      <w:r w:rsidRPr="00AE71B5">
        <w:rPr>
          <w:rFonts w:ascii="Arial" w:eastAsia="Simsun (Founder Extended)" w:hAnsi="Arial" w:cs="Arial"/>
          <w:snapToGrid/>
          <w:sz w:val="22"/>
          <w:szCs w:val="22"/>
          <w:lang w:val="en-US"/>
        </w:rPr>
        <w:t>Consistent with the positions referenced in our opening statement, the United States disassociates from the references to the 2030 Agenda, the Sustainable Development Goals, and climate change, in the Implementation Plan of the IOC Capacity Development Strategy.</w:t>
      </w:r>
      <w:bookmarkEnd w:id="495"/>
    </w:p>
    <w:p w14:paraId="3F648AA0" w14:textId="77777777" w:rsidR="006C41C4" w:rsidRPr="00AE71B5" w:rsidRDefault="006C41C4" w:rsidP="006C41C4">
      <w:pPr>
        <w:keepNext/>
        <w:snapToGrid/>
        <w:spacing w:after="120"/>
        <w:rPr>
          <w:rFonts w:ascii="Arial" w:hAnsi="Arial" w:cs="Arial"/>
          <w:b/>
          <w:sz w:val="22"/>
          <w:szCs w:val="22"/>
          <w:lang w:val="en-US"/>
        </w:rPr>
      </w:pPr>
      <w:bookmarkStart w:id="496" w:name="scor42"/>
      <w:r w:rsidRPr="00AE71B5">
        <w:rPr>
          <w:rFonts w:ascii="Arial" w:hAnsi="Arial" w:cs="Arial"/>
          <w:b/>
          <w:sz w:val="22"/>
          <w:szCs w:val="22"/>
          <w:lang w:val="en-US"/>
        </w:rPr>
        <w:t>Scientific Committee on Oceanic Research (SCOR)</w:t>
      </w:r>
    </w:p>
    <w:bookmarkEnd w:id="496"/>
    <w:p w14:paraId="0F26FB7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Scientific Committee on Oceanic Research (SCOR) appreciates IOC’s leadership on making progress to improve global capacity to conduct ocean science.</w:t>
      </w:r>
    </w:p>
    <w:p w14:paraId="6588ACF6"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SCOR advances capacity development, technology transfer, training, and networking by promoting broad participation in its ongoing scientific activities and by supporting individual and institutional human resource development. SCOR involves early-career and developing-country scientists in its projects and working groups, many of which conduct focused capacity development activities. In addition, SCOR supports Visiting Scholarships for conducting training in developing countries; a </w:t>
      </w:r>
      <w:proofErr w:type="gramStart"/>
      <w:r w:rsidRPr="00AE71B5">
        <w:rPr>
          <w:rFonts w:ascii="Arial" w:eastAsia="Simsun (Founder Extended)" w:hAnsi="Arial" w:cs="Arial"/>
          <w:snapToGrid/>
          <w:sz w:val="22"/>
          <w:szCs w:val="22"/>
          <w:lang w:val="en-US"/>
        </w:rPr>
        <w:t>fellows</w:t>
      </w:r>
      <w:proofErr w:type="gramEnd"/>
      <w:r w:rsidRPr="00AE71B5">
        <w:rPr>
          <w:rFonts w:ascii="Arial" w:eastAsia="Simsun (Founder Extended)" w:hAnsi="Arial" w:cs="Arial"/>
          <w:snapToGrid/>
          <w:sz w:val="22"/>
          <w:szCs w:val="22"/>
          <w:lang w:val="en-US"/>
        </w:rPr>
        <w:t xml:space="preserve">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jointly with POGO, the Partnership for the Observation of the Global Ocean; and grants for the participation of early-career scientists from developing countries in international scientific meetings and trainings. Over fifteen hundred individuals have been recipients across these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in the past 25 years. Retrospective analyses of these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have demonstrated their success at improving the research collaborations and career outcomes of </w:t>
      </w:r>
      <w:proofErr w:type="gramStart"/>
      <w:r w:rsidRPr="00AE71B5">
        <w:rPr>
          <w:rFonts w:ascii="Arial" w:eastAsia="Simsun (Founder Extended)" w:hAnsi="Arial" w:cs="Arial"/>
          <w:snapToGrid/>
          <w:sz w:val="22"/>
          <w:szCs w:val="22"/>
          <w:lang w:val="en-US"/>
        </w:rPr>
        <w:t>participants—</w:t>
      </w:r>
      <w:proofErr w:type="gramEnd"/>
      <w:r w:rsidRPr="00AE71B5">
        <w:rPr>
          <w:rFonts w:ascii="Arial" w:eastAsia="Simsun (Founder Extended)" w:hAnsi="Arial" w:cs="Arial"/>
          <w:snapToGrid/>
          <w:sz w:val="22"/>
          <w:szCs w:val="22"/>
          <w:lang w:val="en-US"/>
        </w:rPr>
        <w:t>a challenge that SCOR will aim to address in partnerships with governmental and non-governmental actors at all levels.</w:t>
      </w:r>
    </w:p>
    <w:p w14:paraId="476038D3"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lastRenderedPageBreak/>
        <w:t>4.3</w:t>
      </w:r>
      <w:r w:rsidRPr="00AE71B5">
        <w:rPr>
          <w:rFonts w:ascii="Arial" w:hAnsi="Arial" w:cs="Arial"/>
          <w:b/>
          <w:sz w:val="22"/>
          <w:szCs w:val="22"/>
        </w:rPr>
        <w:tab/>
        <w:t>General Bathymetric Chart of the Oceans (GEBCO) – Report and Follow Up on the Governance Review</w:t>
      </w:r>
    </w:p>
    <w:p w14:paraId="5170E03A" w14:textId="77777777" w:rsidR="006C41C4" w:rsidRPr="00E647B1" w:rsidRDefault="006C41C4" w:rsidP="006C41C4">
      <w:pPr>
        <w:keepNext/>
        <w:snapToGrid/>
        <w:spacing w:after="120"/>
        <w:rPr>
          <w:rFonts w:ascii="Arial" w:hAnsi="Arial" w:cs="Arial"/>
          <w:b/>
          <w:sz w:val="22"/>
          <w:szCs w:val="22"/>
          <w:lang w:val="es-ES"/>
        </w:rPr>
      </w:pPr>
      <w:bookmarkStart w:id="497" w:name="chil43"/>
      <w:r w:rsidRPr="00E647B1">
        <w:rPr>
          <w:rFonts w:ascii="Arial" w:hAnsi="Arial" w:cs="Arial"/>
          <w:b/>
          <w:sz w:val="22"/>
          <w:szCs w:val="22"/>
          <w:lang w:val="es-ES"/>
        </w:rPr>
        <w:t>Chile</w:t>
      </w:r>
    </w:p>
    <w:bookmarkEnd w:id="497"/>
    <w:p w14:paraId="7256E849"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Quisiera agradecer la informativa presentación entregada por los señores </w:t>
      </w:r>
      <w:proofErr w:type="spellStart"/>
      <w:r w:rsidRPr="00AE71B5">
        <w:rPr>
          <w:rFonts w:ascii="Arial" w:eastAsia="Simsun (Founder Extended)" w:hAnsi="Arial" w:cs="Arial"/>
          <w:snapToGrid/>
          <w:sz w:val="22"/>
          <w:szCs w:val="22"/>
          <w:lang w:val="es-ES"/>
        </w:rPr>
        <w:t>Flier</w:t>
      </w:r>
      <w:proofErr w:type="spellEnd"/>
      <w:r w:rsidRPr="00AE71B5">
        <w:rPr>
          <w:rFonts w:ascii="Arial" w:eastAsia="Simsun (Founder Extended)" w:hAnsi="Arial" w:cs="Arial"/>
          <w:snapToGrid/>
          <w:sz w:val="22"/>
          <w:szCs w:val="22"/>
          <w:lang w:val="es-ES"/>
        </w:rPr>
        <w:t xml:space="preserve"> y Harper. Chile continúa y continuará contribuyendo activamente con información batimétrica al proyecto Seabed 2030 y al Programa GEBCO, que buscan mapear la totalidad del fondo oceánico para el año 2030. La contribución que Chile hace a estas iniciativas, lo realiza directamente a GEBCO (GEBCO Data </w:t>
      </w:r>
      <w:proofErr w:type="spellStart"/>
      <w:r w:rsidRPr="00AE71B5">
        <w:rPr>
          <w:rFonts w:ascii="Arial" w:eastAsia="Simsun (Founder Extended)" w:hAnsi="Arial" w:cs="Arial"/>
          <w:snapToGrid/>
          <w:sz w:val="22"/>
          <w:szCs w:val="22"/>
          <w:lang w:val="es-ES"/>
        </w:rPr>
        <w:t>Contribution</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Form</w:t>
      </w:r>
      <w:proofErr w:type="spellEnd"/>
      <w:r w:rsidRPr="00AE71B5">
        <w:rPr>
          <w:rFonts w:ascii="Arial" w:eastAsia="Simsun (Founder Extended)" w:hAnsi="Arial" w:cs="Arial"/>
          <w:snapToGrid/>
          <w:sz w:val="22"/>
          <w:szCs w:val="22"/>
          <w:lang w:val="es-ES"/>
        </w:rPr>
        <w:t xml:space="preserve">) con respaldo en IHO Data Centre for Digital </w:t>
      </w:r>
      <w:proofErr w:type="spellStart"/>
      <w:r w:rsidRPr="00AE71B5">
        <w:rPr>
          <w:rFonts w:ascii="Arial" w:eastAsia="Simsun (Founder Extended)" w:hAnsi="Arial" w:cs="Arial"/>
          <w:snapToGrid/>
          <w:sz w:val="22"/>
          <w:szCs w:val="22"/>
          <w:lang w:val="es-ES"/>
        </w:rPr>
        <w:t>Bathymetry</w:t>
      </w:r>
      <w:proofErr w:type="spellEnd"/>
      <w:r w:rsidRPr="00AE71B5">
        <w:rPr>
          <w:rFonts w:ascii="Arial" w:eastAsia="Simsun (Founder Extended)" w:hAnsi="Arial" w:cs="Arial"/>
          <w:snapToGrid/>
          <w:sz w:val="22"/>
          <w:szCs w:val="22"/>
          <w:lang w:val="es-ES"/>
        </w:rPr>
        <w:t xml:space="preserve"> (DCDB). Chile está comprometido a proveer esta información para un mejor conocimiento del océano, particularmente de la región de Pacífico Sudeste y de la Antártica. </w:t>
      </w:r>
    </w:p>
    <w:p w14:paraId="0B1A22D9"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reciente incorporación al servicio del Rompehielos “Almirante </w:t>
      </w:r>
      <w:proofErr w:type="spellStart"/>
      <w:r w:rsidRPr="00AE71B5">
        <w:rPr>
          <w:rFonts w:ascii="Arial" w:eastAsia="Simsun (Founder Extended)" w:hAnsi="Arial" w:cs="Arial"/>
          <w:snapToGrid/>
          <w:sz w:val="22"/>
          <w:szCs w:val="22"/>
          <w:lang w:val="es-ES"/>
        </w:rPr>
        <w:t>Viel</w:t>
      </w:r>
      <w:proofErr w:type="spellEnd"/>
      <w:r w:rsidRPr="00AE71B5">
        <w:rPr>
          <w:rFonts w:ascii="Arial" w:eastAsia="Simsun (Founder Extended)" w:hAnsi="Arial" w:cs="Arial"/>
          <w:snapToGrid/>
          <w:sz w:val="22"/>
          <w:szCs w:val="22"/>
          <w:lang w:val="es-ES"/>
        </w:rPr>
        <w:t>”, construido en los Astilleros y Maestranzas de la Armada de Chile, ASMAR y que está convenientemente equipado para realizar investigación científica marina, contribuirá a mejorar el conocimiento del océano austral.</w:t>
      </w:r>
    </w:p>
    <w:p w14:paraId="04B788B9"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Adicionalmente, se estima importante mencionar una buena práctica que permitirá incrementar aún más el aporte a estos proyectos de exploración del fondo marino. En el mes de diciembre de 2022, bajo el marco del D.S. </w:t>
      </w:r>
      <w:proofErr w:type="spellStart"/>
      <w:r w:rsidRPr="00AE71B5">
        <w:rPr>
          <w:rFonts w:ascii="Arial" w:eastAsia="Simsun (Founder Extended)" w:hAnsi="Arial" w:cs="Arial"/>
          <w:snapToGrid/>
          <w:sz w:val="22"/>
          <w:szCs w:val="22"/>
          <w:lang w:val="es-ES"/>
        </w:rPr>
        <w:t>N°</w:t>
      </w:r>
      <w:proofErr w:type="spellEnd"/>
      <w:r w:rsidRPr="00AE71B5">
        <w:rPr>
          <w:rFonts w:ascii="Arial" w:eastAsia="Simsun (Founder Extended)" w:hAnsi="Arial" w:cs="Arial"/>
          <w:snapToGrid/>
          <w:sz w:val="22"/>
          <w:szCs w:val="22"/>
          <w:lang w:val="es-ES"/>
        </w:rPr>
        <w:t xml:space="preserve"> 711 (1975), el Estado de Chile dispuso que los datos batimétricos (sin procesar) obtenidos por investigaciones científicas y tecnológicas marinas, efectuadas por naves o entidades extranjeras, en la zona marítima de jurisdicción nacional, serán depositados en GEBCO, una vez finalizado su período de custodia de dos años.</w:t>
      </w:r>
    </w:p>
    <w:p w14:paraId="1004C2EE" w14:textId="77777777" w:rsidR="006C41C4" w:rsidRPr="00AE71B5" w:rsidRDefault="006C41C4" w:rsidP="006C41C4">
      <w:pPr>
        <w:keepNext/>
        <w:snapToGrid/>
        <w:spacing w:after="120"/>
        <w:rPr>
          <w:rFonts w:ascii="Arial" w:hAnsi="Arial" w:cs="Arial"/>
          <w:b/>
          <w:sz w:val="22"/>
          <w:szCs w:val="22"/>
        </w:rPr>
      </w:pPr>
      <w:bookmarkStart w:id="498" w:name="chin43"/>
      <w:r w:rsidRPr="00AE71B5">
        <w:rPr>
          <w:rFonts w:ascii="Arial" w:hAnsi="Arial" w:cs="Arial"/>
          <w:b/>
          <w:sz w:val="22"/>
          <w:szCs w:val="22"/>
        </w:rPr>
        <w:t>China</w:t>
      </w:r>
    </w:p>
    <w:bookmarkEnd w:id="498"/>
    <w:p w14:paraId="21B6CDE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attaches great importance to the role of global bathymetric data in supporting the Sustainable Development Goals, advancing marine scientific research, and enhancing our understanding of ocean environments.</w:t>
      </w:r>
    </w:p>
    <w:p w14:paraId="7D05B53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2024, China continued to actively participate in international cooperation on seafloor mapping, making progress particularly in polar regions. Chinese scientists contributed to the compilation of international bathymetric charts of the Southern and Arctic Oceans, further enriching the global foundational data of the deep sea.</w:t>
      </w:r>
    </w:p>
    <w:p w14:paraId="5F04DAF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addition, China submitted eight newly discovered undersea feature name proposals to GEBCO, all of which were successfully approved. These names not only contribute to the scientific understanding of the relevant areas but also reflect China’s implementation and commitment to GEBCO’s naming standards.</w:t>
      </w:r>
    </w:p>
    <w:p w14:paraId="5850F83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will continue to strengthen cooperation with GEBCO and its member states, actively promote data sharing, capacity building, and technical exchanges, and contribute to the goal of “mapping the entire seafloor for humanity.”</w:t>
      </w:r>
    </w:p>
    <w:p w14:paraId="354E4E10" w14:textId="77777777" w:rsidR="006C41C4" w:rsidRPr="00E647B1" w:rsidRDefault="006C41C4" w:rsidP="006C41C4">
      <w:pPr>
        <w:keepNext/>
        <w:snapToGrid/>
        <w:spacing w:after="120"/>
        <w:rPr>
          <w:rFonts w:ascii="Arial" w:hAnsi="Arial" w:cs="Arial"/>
          <w:b/>
          <w:sz w:val="22"/>
          <w:szCs w:val="22"/>
          <w:lang w:val="es-ES"/>
        </w:rPr>
      </w:pPr>
      <w:bookmarkStart w:id="499" w:name="col43"/>
      <w:r w:rsidRPr="00E647B1">
        <w:rPr>
          <w:rFonts w:ascii="Arial" w:hAnsi="Arial" w:cs="Arial"/>
          <w:b/>
          <w:sz w:val="22"/>
          <w:szCs w:val="22"/>
          <w:lang w:val="es-ES"/>
        </w:rPr>
        <w:t>Colombia</w:t>
      </w:r>
    </w:p>
    <w:bookmarkEnd w:id="499"/>
    <w:p w14:paraId="1815829F"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Con el ánimo de fomentar la cooperación internacional, Colombia desea compartir que será el país anfitrión de la 42ª Reunión del Comité Directivo de GEBCO que se llevará a cabo en 2026, en línea con nuestro interés de fortalecer los conocimientos de los fondos oceánicos y en cumplimiento de los acuerdos con la Organización Hidrográfica Internacional (OHI). </w:t>
      </w:r>
    </w:p>
    <w:p w14:paraId="0C40DA31"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Este escenario será clave para garantizar una navegación más segura, una planificación espacial marina más eficiente y una protección más efectiva de nuestros ecosistemas, por lo que esperamos contar con la </w:t>
      </w:r>
      <w:proofErr w:type="gramStart"/>
      <w:r w:rsidRPr="00AE71B5">
        <w:rPr>
          <w:rFonts w:ascii="Arial" w:eastAsia="Simsun (Founder Extended)" w:hAnsi="Arial" w:cs="Arial"/>
          <w:snapToGrid/>
          <w:sz w:val="22"/>
          <w:szCs w:val="22"/>
          <w:lang w:val="es-ES"/>
        </w:rPr>
        <w:t>participación activa</w:t>
      </w:r>
      <w:proofErr w:type="gramEnd"/>
      <w:r w:rsidRPr="00AE71B5">
        <w:rPr>
          <w:rFonts w:ascii="Arial" w:eastAsia="Simsun (Founder Extended)" w:hAnsi="Arial" w:cs="Arial"/>
          <w:snapToGrid/>
          <w:sz w:val="22"/>
          <w:szCs w:val="22"/>
          <w:lang w:val="es-ES"/>
        </w:rPr>
        <w:t xml:space="preserve"> de todos los Estados miembro, en aras de contribuir a encontrar soluciones comunes fundamentadas en el conocimiento científico sobre el océano. </w:t>
      </w:r>
    </w:p>
    <w:p w14:paraId="2EFF47C5"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ese sentido y al asumir tan honrosa responsabilidad, Colombia reafirma su compromiso con la cooperación internacional en ciencia y tecnología, con levantamientos en áreas jurisdiccionales en el Caribe, el Pacífico y áreas de operación en la Península Antártica, promoviendo el intercambio de datos y capacidades para una mejor comprensión del océano.</w:t>
      </w:r>
    </w:p>
    <w:p w14:paraId="12710C5D" w14:textId="77777777" w:rsidR="006C41C4" w:rsidRPr="00AE71B5" w:rsidRDefault="006C41C4" w:rsidP="006C41C4">
      <w:pPr>
        <w:keepNext/>
        <w:snapToGrid/>
        <w:spacing w:after="120"/>
        <w:rPr>
          <w:rFonts w:ascii="Arial" w:hAnsi="Arial" w:cs="Arial"/>
          <w:b/>
          <w:sz w:val="22"/>
          <w:szCs w:val="22"/>
          <w:lang w:val="fr-FR"/>
        </w:rPr>
      </w:pPr>
      <w:bookmarkStart w:id="500" w:name="cot43"/>
      <w:r w:rsidRPr="00AE71B5">
        <w:rPr>
          <w:rFonts w:ascii="Arial" w:hAnsi="Arial" w:cs="Arial"/>
          <w:b/>
          <w:sz w:val="22"/>
          <w:szCs w:val="22"/>
          <w:lang w:val="fr-FR"/>
        </w:rPr>
        <w:lastRenderedPageBreak/>
        <w:t>Côte d’Ivoire</w:t>
      </w:r>
    </w:p>
    <w:bookmarkEnd w:id="500"/>
    <w:p w14:paraId="15F3FD51"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On ne dira pas assez de l’importance de la bathymétrie pour la connaissance du milieu marin. Pour l’Afrique, qu’il s’agisse de la Gestion durable des ressources marines, que de l’Aménagement du littoral (Protection contre l’érosion côtière entres autres), une bonne connaissance du relief sous-marin permet d’évaluer les dynamiques sédimentaires et de concevoir des mesures de protection efficaces à travers la mise en place de modèle mathématique et physique</w:t>
      </w:r>
    </w:p>
    <w:p w14:paraId="4C49C260"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préoccupation de l’Afrique s’exprime surtout dans le domaine de la Délimitation des frontières maritimes et en particulier la demande d’extension des limites du plateau continental où une bathymétrie de grande précision est requise. La Côte d’Ivoire en a fait l’expérience lors de la soumission avec succès de son projet d’extension de son plateau continental</w:t>
      </w:r>
    </w:p>
    <w:p w14:paraId="44B2AE52"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Puisse le GEBCO aider à lever ces types de cartographie haute précision pour les pays ayant peu de moyen. C’est le souhait de la Côte d’Ivoire.</w:t>
      </w:r>
    </w:p>
    <w:p w14:paraId="15D66AA4"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Conscient que la formation demeure un point essentiel. La Côte d’Ivoire a inséré dans les programmes de formation dans les universités, les levées bathymétriques et leur traitement.</w:t>
      </w:r>
    </w:p>
    <w:p w14:paraId="5DC5C9CD" w14:textId="77777777" w:rsidR="006C41C4" w:rsidRPr="00AE71B5" w:rsidRDefault="006C41C4" w:rsidP="006C41C4">
      <w:pPr>
        <w:snapToGrid/>
        <w:spacing w:after="120"/>
        <w:jc w:val="both"/>
        <w:rPr>
          <w:rFonts w:ascii="Arial" w:eastAsia="Simsun (Founder Extended)" w:hAnsi="Arial" w:cs="Arial"/>
          <w:snapToGrid/>
          <w:sz w:val="22"/>
          <w:szCs w:val="22"/>
          <w:lang w:val="fr-FR" w:eastAsia="zh-CN"/>
        </w:rPr>
      </w:pPr>
      <w:r w:rsidRPr="00AE71B5">
        <w:rPr>
          <w:rFonts w:ascii="Arial" w:eastAsia="Simsun (Founder Extended)" w:hAnsi="Arial" w:cs="Arial"/>
          <w:snapToGrid/>
          <w:sz w:val="22"/>
          <w:szCs w:val="22"/>
          <w:lang w:val="fr-FR"/>
        </w:rPr>
        <w:t>Pour l’Afrique, continent doté de vastes façades maritimes mais encore largement sous-cartographiées, la bathymétrie constitue un outil fondamental de développement bleu, de protection de l’environnement, et d’affirmation géopolitique. Toutefois, la Côte d’Ivoire souhaite que les cartes bathymétriques produite par GEBCO soient de haute précision.</w:t>
      </w:r>
    </w:p>
    <w:p w14:paraId="07DBAE78" w14:textId="77777777" w:rsidR="006C41C4" w:rsidRPr="00AE71B5" w:rsidRDefault="006C41C4" w:rsidP="006C41C4">
      <w:pPr>
        <w:keepNext/>
        <w:snapToGrid/>
        <w:spacing w:after="120"/>
        <w:rPr>
          <w:rFonts w:ascii="Arial" w:hAnsi="Arial" w:cs="Arial"/>
          <w:b/>
          <w:sz w:val="22"/>
          <w:szCs w:val="22"/>
          <w:lang w:val="en-US"/>
        </w:rPr>
      </w:pPr>
      <w:bookmarkStart w:id="501" w:name="irel43"/>
      <w:r w:rsidRPr="00AE71B5">
        <w:rPr>
          <w:rFonts w:ascii="Arial" w:hAnsi="Arial" w:cs="Arial"/>
          <w:b/>
          <w:sz w:val="22"/>
          <w:szCs w:val="22"/>
          <w:lang w:val="en-US"/>
        </w:rPr>
        <w:t>Ireland</w:t>
      </w:r>
    </w:p>
    <w:bookmarkEnd w:id="501"/>
    <w:p w14:paraId="11C0E1C7" w14:textId="77777777" w:rsidR="006C41C4" w:rsidRPr="00AE71B5" w:rsidRDefault="006C41C4" w:rsidP="006C41C4">
      <w:pPr>
        <w:snapToGrid/>
        <w:spacing w:after="120"/>
        <w:jc w:val="both"/>
        <w:rPr>
          <w:rFonts w:ascii="Arial" w:eastAsia="Simsun (Founder Extended)" w:hAnsi="Arial" w:cs="Arial"/>
          <w:bCs/>
          <w:snapToGrid/>
          <w:sz w:val="22"/>
          <w:szCs w:val="22"/>
          <w:lang w:val="en-US"/>
        </w:rPr>
      </w:pPr>
      <w:r w:rsidRPr="00AE71B5">
        <w:rPr>
          <w:rFonts w:ascii="Arial" w:eastAsia="Simsun (Founder Extended)" w:hAnsi="Arial" w:cs="Arial"/>
          <w:bCs/>
          <w:snapToGrid/>
          <w:sz w:val="22"/>
          <w:szCs w:val="22"/>
          <w:lang w:val="en-US"/>
        </w:rPr>
        <w:t xml:space="preserve">Ireland wishes to express our sincere thanks to Mr. Flier, Mr. Harper and the GEBCO team for their work over the intersessional </w:t>
      </w:r>
      <w:proofErr w:type="gramStart"/>
      <w:r w:rsidRPr="00AE71B5">
        <w:rPr>
          <w:rFonts w:ascii="Arial" w:eastAsia="Simsun (Founder Extended)" w:hAnsi="Arial" w:cs="Arial"/>
          <w:bCs/>
          <w:snapToGrid/>
          <w:sz w:val="22"/>
          <w:szCs w:val="22"/>
          <w:lang w:val="en-US"/>
        </w:rPr>
        <w:t>period, and</w:t>
      </w:r>
      <w:proofErr w:type="gramEnd"/>
      <w:r w:rsidRPr="00AE71B5">
        <w:rPr>
          <w:rFonts w:ascii="Arial" w:eastAsia="Simsun (Founder Extended)" w:hAnsi="Arial" w:cs="Arial"/>
          <w:bCs/>
          <w:snapToGrid/>
          <w:sz w:val="22"/>
          <w:szCs w:val="22"/>
          <w:lang w:val="en-US"/>
        </w:rPr>
        <w:t xml:space="preserve"> commends them for their leadership in highlighting the critical role hydrography plays in understanding and protecting our oceans. We very much welcome the update presented today. Ireland recognizes that seabed mapping is a fundamental foundation underpinning sustainable ocean action, planning and management.</w:t>
      </w:r>
    </w:p>
    <w:p w14:paraId="2FA23AE7" w14:textId="77777777" w:rsidR="006C41C4" w:rsidRPr="00AE71B5" w:rsidRDefault="006C41C4" w:rsidP="006C41C4">
      <w:pPr>
        <w:snapToGrid/>
        <w:spacing w:after="120"/>
        <w:jc w:val="both"/>
        <w:rPr>
          <w:rFonts w:ascii="Arial" w:eastAsia="Simsun (Founder Extended)" w:hAnsi="Arial" w:cs="Arial"/>
          <w:bCs/>
          <w:snapToGrid/>
          <w:sz w:val="22"/>
          <w:szCs w:val="22"/>
          <w:lang w:val="en-US"/>
        </w:rPr>
      </w:pPr>
      <w:r w:rsidRPr="00AE71B5">
        <w:rPr>
          <w:rFonts w:ascii="Arial" w:eastAsia="Simsun (Founder Extended)" w:hAnsi="Arial" w:cs="Arial"/>
          <w:bCs/>
          <w:snapToGrid/>
          <w:sz w:val="22"/>
          <w:szCs w:val="22"/>
          <w:lang w:val="en-US"/>
        </w:rPr>
        <w:t xml:space="preserve">At INFOMAR, Ireland’s national and flagship seabed mapping </w:t>
      </w:r>
      <w:proofErr w:type="spellStart"/>
      <w:r w:rsidRPr="00AE71B5">
        <w:rPr>
          <w:rFonts w:ascii="Arial" w:eastAsia="Simsun (Founder Extended)" w:hAnsi="Arial" w:cs="Arial"/>
          <w:bCs/>
          <w:snapToGrid/>
          <w:sz w:val="22"/>
          <w:szCs w:val="22"/>
          <w:lang w:val="en-US"/>
        </w:rPr>
        <w:t>programme</w:t>
      </w:r>
      <w:proofErr w:type="spellEnd"/>
      <w:r w:rsidRPr="00AE71B5">
        <w:rPr>
          <w:rFonts w:ascii="Arial" w:eastAsia="Simsun (Founder Extended)" w:hAnsi="Arial" w:cs="Arial"/>
          <w:bCs/>
          <w:snapToGrid/>
          <w:sz w:val="22"/>
          <w:szCs w:val="22"/>
          <w:lang w:val="en-US"/>
        </w:rPr>
        <w:t>, this mission is at the core of everything we do. From surveying shallow bays to charting deep offshore waters, we are working to produce high-resolution data that supports safe navigation, marine spatial planning, offshore renewable energy, environmental protection, and fisheries management.</w:t>
      </w:r>
    </w:p>
    <w:p w14:paraId="7DBA7ED0" w14:textId="77777777" w:rsidR="006C41C4" w:rsidRPr="00AE71B5" w:rsidRDefault="006C41C4" w:rsidP="006C41C4">
      <w:pPr>
        <w:snapToGrid/>
        <w:spacing w:after="120"/>
        <w:jc w:val="both"/>
        <w:rPr>
          <w:rFonts w:ascii="Arial" w:eastAsia="Simsun (Founder Extended)" w:hAnsi="Arial" w:cs="Arial"/>
          <w:bCs/>
          <w:snapToGrid/>
          <w:sz w:val="22"/>
          <w:szCs w:val="22"/>
          <w:lang w:val="en-US" w:eastAsia="zh-CN"/>
        </w:rPr>
      </w:pPr>
      <w:r w:rsidRPr="00AE71B5">
        <w:rPr>
          <w:rFonts w:ascii="Arial" w:eastAsia="Simsun (Founder Extended)" w:hAnsi="Arial" w:cs="Arial"/>
          <w:bCs/>
          <w:snapToGrid/>
          <w:sz w:val="22"/>
          <w:szCs w:val="22"/>
          <w:lang w:val="en-US"/>
        </w:rPr>
        <w:t xml:space="preserve">Ireland is happy to share our experiences with GEBCO through engagement with the Sub-Committee on Regional Undersea Mapping. We can report that our technical expertise and capacity is also being shared under the auspices of the Our Shared Ocean </w:t>
      </w:r>
      <w:proofErr w:type="spellStart"/>
      <w:r w:rsidRPr="00AE71B5">
        <w:rPr>
          <w:rFonts w:ascii="Arial" w:eastAsia="Simsun (Founder Extended)" w:hAnsi="Arial" w:cs="Arial"/>
          <w:bCs/>
          <w:snapToGrid/>
          <w:sz w:val="22"/>
          <w:szCs w:val="22"/>
          <w:lang w:val="en-US"/>
        </w:rPr>
        <w:t>programme</w:t>
      </w:r>
      <w:proofErr w:type="spellEnd"/>
      <w:r w:rsidRPr="00AE71B5">
        <w:rPr>
          <w:rFonts w:ascii="Arial" w:eastAsia="Simsun (Founder Extended)" w:hAnsi="Arial" w:cs="Arial"/>
          <w:bCs/>
          <w:snapToGrid/>
          <w:sz w:val="22"/>
          <w:szCs w:val="22"/>
          <w:lang w:val="en-US"/>
        </w:rPr>
        <w:t xml:space="preserve"> for Small Island Developing States which was referenced in the Barcelona Statement. We recognize the important work being undertaken will have a role in our understanding of our ocean systems and in underpinning the implementation of the BBNJ Agreement. Ireland welcomes the Strategy Implementation Plan and encourages GEBCO to continue to evolve products, education and outreach communication tools to technical users and to engage with citizens to raise awareness of the Seabed 2030 targets. Ireland looks forward to </w:t>
      </w:r>
      <w:proofErr w:type="gramStart"/>
      <w:r w:rsidRPr="00AE71B5">
        <w:rPr>
          <w:rFonts w:ascii="Arial" w:eastAsia="Simsun (Founder Extended)" w:hAnsi="Arial" w:cs="Arial"/>
          <w:bCs/>
          <w:snapToGrid/>
          <w:sz w:val="22"/>
          <w:szCs w:val="22"/>
          <w:lang w:val="en-US"/>
        </w:rPr>
        <w:t>continue</w:t>
      </w:r>
      <w:proofErr w:type="gramEnd"/>
      <w:r w:rsidRPr="00AE71B5">
        <w:rPr>
          <w:rFonts w:ascii="Arial" w:eastAsia="Simsun (Founder Extended)" w:hAnsi="Arial" w:cs="Arial"/>
          <w:bCs/>
          <w:snapToGrid/>
          <w:sz w:val="22"/>
          <w:szCs w:val="22"/>
          <w:lang w:val="en-US"/>
        </w:rPr>
        <w:t xml:space="preserve"> our collaboration with GEBCO over the next period.</w:t>
      </w:r>
    </w:p>
    <w:p w14:paraId="769FFC07" w14:textId="77777777" w:rsidR="006C41C4" w:rsidRPr="00AE71B5" w:rsidRDefault="006C41C4" w:rsidP="006C41C4">
      <w:pPr>
        <w:keepNext/>
        <w:snapToGrid/>
        <w:spacing w:after="120"/>
        <w:rPr>
          <w:rFonts w:ascii="Arial" w:hAnsi="Arial" w:cs="Arial"/>
          <w:b/>
          <w:sz w:val="22"/>
          <w:szCs w:val="22"/>
          <w:lang w:val="en-US"/>
        </w:rPr>
      </w:pPr>
      <w:bookmarkStart w:id="502" w:name="japl43"/>
      <w:r w:rsidRPr="00AE71B5">
        <w:rPr>
          <w:rFonts w:ascii="Arial" w:hAnsi="Arial" w:cs="Arial"/>
          <w:b/>
          <w:sz w:val="22"/>
          <w:szCs w:val="22"/>
          <w:lang w:val="en-US"/>
        </w:rPr>
        <w:t>Japan</w:t>
      </w:r>
    </w:p>
    <w:bookmarkEnd w:id="502"/>
    <w:p w14:paraId="72948C28"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bCs/>
          <w:snapToGrid/>
          <w:sz w:val="22"/>
          <w:szCs w:val="22"/>
          <w:lang w:val="en-US"/>
        </w:rPr>
        <w:t xml:space="preserve">Japan </w:t>
      </w:r>
      <w:proofErr w:type="gramStart"/>
      <w:r w:rsidRPr="00AE71B5">
        <w:rPr>
          <w:rFonts w:ascii="Arial" w:eastAsia="Simsun (Founder Extended)" w:hAnsi="Arial" w:cs="Arial"/>
          <w:bCs/>
          <w:snapToGrid/>
          <w:sz w:val="22"/>
          <w:szCs w:val="22"/>
          <w:lang w:val="en-US"/>
        </w:rPr>
        <w:t>appreciate</w:t>
      </w:r>
      <w:proofErr w:type="gramEnd"/>
      <w:r w:rsidRPr="00AE71B5">
        <w:rPr>
          <w:rFonts w:ascii="Arial" w:eastAsia="Simsun (Founder Extended)" w:hAnsi="Arial" w:cs="Arial"/>
          <w:bCs/>
          <w:snapToGrid/>
          <w:sz w:val="22"/>
          <w:szCs w:val="22"/>
          <w:lang w:val="en-US"/>
        </w:rPr>
        <w:t xml:space="preserve"> the progress that has been made through the great collaboration of IHO and IOC. We are happy to maintain our good relationship with the Nippon Foundation to promote the project.</w:t>
      </w:r>
    </w:p>
    <w:p w14:paraId="47D1BEDC" w14:textId="77777777" w:rsidR="006C41C4" w:rsidRPr="00AE71B5" w:rsidRDefault="006C41C4" w:rsidP="006C41C4">
      <w:pPr>
        <w:keepNext/>
        <w:snapToGrid/>
        <w:spacing w:after="120"/>
        <w:rPr>
          <w:rFonts w:ascii="Arial" w:hAnsi="Arial" w:cs="Arial"/>
          <w:b/>
          <w:sz w:val="22"/>
          <w:szCs w:val="22"/>
        </w:rPr>
      </w:pPr>
      <w:bookmarkStart w:id="503" w:name="port43"/>
      <w:r w:rsidRPr="00AE71B5">
        <w:rPr>
          <w:rFonts w:ascii="Arial" w:hAnsi="Arial" w:cs="Arial"/>
          <w:b/>
          <w:sz w:val="22"/>
          <w:szCs w:val="22"/>
        </w:rPr>
        <w:t>Portugal</w:t>
      </w:r>
    </w:p>
    <w:bookmarkEnd w:id="503"/>
    <w:p w14:paraId="5493E02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congratulates the work that has being carried out by the GEBCO Guiding Committee and the GEBCO program, in particular the Nippon-Foundation-GEBCO Seabed 2030 project that we consider a cornerstone of Ocean knowledge.</w:t>
      </w:r>
    </w:p>
    <w:p w14:paraId="480B170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has been supportive to GEBCO initiatives.</w:t>
      </w:r>
    </w:p>
    <w:p w14:paraId="6C7F3FB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We believe that Ocean Mapping plays a major role in the sustainable use of the sea by supporting research and promoting development.</w:t>
      </w:r>
    </w:p>
    <w:p w14:paraId="68BCE11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Recognizing that the lack of detailed underwater topography (bathymetry and submarine relief data (meaning bathymetric data and undersea features)), constrains our ability to manage marine and maritime activities in a sustainable way, Portugal has focused its efforts on its Ocean Mapping program, namely the </w:t>
      </w:r>
      <w:proofErr w:type="spellStart"/>
      <w:r w:rsidRPr="00AE71B5">
        <w:rPr>
          <w:rFonts w:ascii="Arial" w:eastAsia="Simsun (Founder Extended)" w:hAnsi="Arial" w:cs="Arial"/>
          <w:snapToGrid/>
          <w:sz w:val="22"/>
          <w:szCs w:val="22"/>
        </w:rPr>
        <w:t>Seamap</w:t>
      </w:r>
      <w:proofErr w:type="spellEnd"/>
      <w:r w:rsidRPr="00AE71B5">
        <w:rPr>
          <w:rFonts w:ascii="Arial" w:eastAsia="Simsun (Founder Extended)" w:hAnsi="Arial" w:cs="Arial"/>
          <w:snapToGrid/>
          <w:sz w:val="22"/>
          <w:szCs w:val="22"/>
        </w:rPr>
        <w:t xml:space="preserve"> 2030 Hight Resolution Mapping of the Portuguese Sea project (aligned with Seabed2030) to collect high-resolution bathymetric data (now with 71% of our Exclusive Economic Zone covered), as well to promote the identification and submission of undersea features and to share data. </w:t>
      </w:r>
    </w:p>
    <w:p w14:paraId="3115233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data collected by Portugal is free available to everyone through a variable resolution data model and has been shared with the Seabed 2030 project, and in this </w:t>
      </w:r>
      <w:proofErr w:type="gramStart"/>
      <w:r w:rsidRPr="00AE71B5">
        <w:rPr>
          <w:rFonts w:ascii="Arial" w:eastAsia="Simsun (Founder Extended)" w:hAnsi="Arial" w:cs="Arial"/>
          <w:snapToGrid/>
          <w:sz w:val="22"/>
          <w:szCs w:val="22"/>
        </w:rPr>
        <w:t>context</w:t>
      </w:r>
      <w:proofErr w:type="gramEnd"/>
      <w:r w:rsidRPr="00AE71B5">
        <w:rPr>
          <w:rFonts w:ascii="Arial" w:eastAsia="Simsun (Founder Extended)" w:hAnsi="Arial" w:cs="Arial"/>
          <w:snapToGrid/>
          <w:sz w:val="22"/>
          <w:szCs w:val="22"/>
        </w:rPr>
        <w:t xml:space="preserve"> we have also been collaborating with Cape Vert in contributing with data of their continental shelf, having this an impact for the significantly increased mapped coverage area over the last 10 years. </w:t>
      </w:r>
    </w:p>
    <w:p w14:paraId="12F52E0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Also, we are supportive of new data models and grid products that can emerge in compliance with the new IHO standard S-100.</w:t>
      </w:r>
    </w:p>
    <w:p w14:paraId="62F49B9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Portugal expresses its commitment to fully map its EEZ by 2030 and continue to contribute for Seabed2030 project, as well as its appreciation for the recent Call to Action on Seabed Mapping announced in the last UNOC by the Ocean Decade Alliance, of which our President of the Republic is one of the patrons, asking for a stronger engagement from all to contribute to the goal of fully mapping the ocean floor by 2030.</w:t>
      </w:r>
    </w:p>
    <w:p w14:paraId="5D01B4CA" w14:textId="77777777" w:rsidR="006C41C4" w:rsidRPr="00AE71B5" w:rsidRDefault="006C41C4" w:rsidP="006C41C4">
      <w:pPr>
        <w:keepNext/>
        <w:snapToGrid/>
        <w:spacing w:after="120"/>
        <w:rPr>
          <w:rFonts w:ascii="Arial" w:hAnsi="Arial" w:cs="Arial"/>
          <w:b/>
          <w:sz w:val="22"/>
          <w:szCs w:val="22"/>
        </w:rPr>
      </w:pPr>
      <w:bookmarkStart w:id="504" w:name="rus43"/>
      <w:r w:rsidRPr="00AE71B5">
        <w:rPr>
          <w:rFonts w:ascii="Arial" w:hAnsi="Arial" w:cs="Arial"/>
          <w:b/>
          <w:sz w:val="22"/>
          <w:szCs w:val="22"/>
        </w:rPr>
        <w:t>Russian Federation</w:t>
      </w:r>
    </w:p>
    <w:bookmarkEnd w:id="504"/>
    <w:p w14:paraId="2581876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acknowledge the significant progress achieved in the mapping of the World Ocean’s seafloor. At the same time, we wish to emphasize that knowledge of the seafloor microtopography is equally important, as it enables improved forecasting of the condition and resource potential of both ecosystems and geosystems.</w:t>
      </w:r>
    </w:p>
    <w:p w14:paraId="7534EC2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origin and variability of seafloor relief forms are also influenced by deep geological processes, the intensification of which is currently being observed in various regions of the World Ocean. These processes may represent a valuable additional dimension to the work on ocean floor mapping.</w:t>
      </w:r>
    </w:p>
    <w:p w14:paraId="0A53D38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this </w:t>
      </w:r>
      <w:proofErr w:type="gramStart"/>
      <w:r w:rsidRPr="00AE71B5">
        <w:rPr>
          <w:rFonts w:ascii="Arial" w:eastAsia="Simsun (Founder Extended)" w:hAnsi="Arial" w:cs="Arial"/>
          <w:snapToGrid/>
          <w:sz w:val="22"/>
          <w:szCs w:val="22"/>
        </w:rPr>
        <w:t>context, and</w:t>
      </w:r>
      <w:proofErr w:type="gramEnd"/>
      <w:r w:rsidRPr="00AE71B5">
        <w:rPr>
          <w:rFonts w:ascii="Arial" w:eastAsia="Simsun (Founder Extended)" w:hAnsi="Arial" w:cs="Arial"/>
          <w:snapToGrid/>
          <w:sz w:val="22"/>
          <w:szCs w:val="22"/>
        </w:rPr>
        <w:t xml:space="preserve"> considering the potential expansion of the list of national agencies and institutions involved in the study of deep-seated geological processes shaping the seafloor and its microrelief, there may also be opportunities for increased financial support to reinforce the Commission’s programme activities in this area.</w:t>
      </w:r>
    </w:p>
    <w:p w14:paraId="4CE5DF25" w14:textId="77777777" w:rsidR="006C41C4" w:rsidRPr="009863A3" w:rsidRDefault="006C41C4" w:rsidP="006C41C4">
      <w:pPr>
        <w:keepNext/>
        <w:snapToGrid/>
        <w:spacing w:after="120"/>
        <w:rPr>
          <w:rFonts w:ascii="Arial" w:hAnsi="Arial" w:cs="Arial"/>
          <w:b/>
          <w:sz w:val="22"/>
          <w:szCs w:val="22"/>
          <w:lang w:val="es-ES"/>
        </w:rPr>
      </w:pPr>
      <w:bookmarkStart w:id="505" w:name="spain43"/>
      <w:proofErr w:type="spellStart"/>
      <w:r w:rsidRPr="009863A3">
        <w:rPr>
          <w:rFonts w:ascii="Arial" w:hAnsi="Arial" w:cs="Arial"/>
          <w:b/>
          <w:sz w:val="22"/>
          <w:szCs w:val="22"/>
          <w:lang w:val="es-ES"/>
        </w:rPr>
        <w:t>Spain</w:t>
      </w:r>
      <w:proofErr w:type="spellEnd"/>
    </w:p>
    <w:bookmarkEnd w:id="505"/>
    <w:p w14:paraId="29AE5BC5"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continúa contribuyendo al mapeado de los océanos a través de diferentes instituciones e iniciativas y su progresiva incorporación a bases de datos como EMODNET. </w:t>
      </w:r>
      <w:proofErr w:type="gramStart"/>
      <w:r w:rsidRPr="00AE71B5">
        <w:rPr>
          <w:rFonts w:ascii="Arial" w:eastAsia="Simsun (Founder Extended)" w:hAnsi="Arial" w:cs="Arial"/>
          <w:snapToGrid/>
          <w:sz w:val="22"/>
          <w:szCs w:val="22"/>
          <w:lang w:val="es-ES"/>
        </w:rPr>
        <w:t>Destacar</w:t>
      </w:r>
      <w:proofErr w:type="gramEnd"/>
      <w:r w:rsidRPr="00AE71B5">
        <w:rPr>
          <w:rFonts w:ascii="Arial" w:eastAsia="Simsun (Founder Extended)" w:hAnsi="Arial" w:cs="Arial"/>
          <w:snapToGrid/>
          <w:sz w:val="22"/>
          <w:szCs w:val="22"/>
          <w:lang w:val="es-ES"/>
        </w:rPr>
        <w:t xml:space="preserve"> que el Instituto </w:t>
      </w:r>
      <w:proofErr w:type="spellStart"/>
      <w:r w:rsidRPr="00AE71B5">
        <w:rPr>
          <w:rFonts w:ascii="Arial" w:eastAsia="Simsun (Founder Extended)" w:hAnsi="Arial" w:cs="Arial"/>
          <w:snapToGrid/>
          <w:sz w:val="22"/>
          <w:szCs w:val="22"/>
          <w:lang w:val="es-ES"/>
        </w:rPr>
        <w:t>Hidrografico</w:t>
      </w:r>
      <w:proofErr w:type="spellEnd"/>
      <w:r w:rsidRPr="00AE71B5">
        <w:rPr>
          <w:rFonts w:ascii="Arial" w:eastAsia="Simsun (Founder Extended)" w:hAnsi="Arial" w:cs="Arial"/>
          <w:snapToGrid/>
          <w:sz w:val="22"/>
          <w:szCs w:val="22"/>
          <w:lang w:val="es-ES"/>
        </w:rPr>
        <w:t xml:space="preserve"> de la Marina comenzó a colaborar en 2023 con el proyecto SEABED 2030 en la instalación de varios data </w:t>
      </w:r>
      <w:proofErr w:type="spellStart"/>
      <w:r w:rsidRPr="00AE71B5">
        <w:rPr>
          <w:rFonts w:ascii="Arial" w:eastAsia="Simsun (Founder Extended)" w:hAnsi="Arial" w:cs="Arial"/>
          <w:snapToGrid/>
          <w:sz w:val="22"/>
          <w:szCs w:val="22"/>
          <w:lang w:val="es-ES"/>
        </w:rPr>
        <w:t>loggers</w:t>
      </w:r>
      <w:proofErr w:type="spellEnd"/>
      <w:r w:rsidRPr="00AE71B5">
        <w:rPr>
          <w:rFonts w:ascii="Arial" w:eastAsia="Simsun (Founder Extended)" w:hAnsi="Arial" w:cs="Arial"/>
          <w:snapToGrid/>
          <w:sz w:val="22"/>
          <w:szCs w:val="22"/>
          <w:lang w:val="es-ES"/>
        </w:rPr>
        <w:t xml:space="preserve"> para la obtención de batimetría colaborativa en el Buque Escuela de la Armada Española Juan Sebastián El Cano y en otros buques de pesca, de recreo y mercantes. La información se remitirá a la oficina central de GEBCO y esperamos ir ampliando esta actividad en el futuro a un mayor número de buques. Además, en los próximos meses se unirán los datos del modelo batimétrico único, que se hará accesible al público en general.</w:t>
      </w:r>
    </w:p>
    <w:p w14:paraId="2103596D" w14:textId="77777777" w:rsidR="006C41C4" w:rsidRPr="00AE71B5" w:rsidRDefault="006C41C4" w:rsidP="006C41C4">
      <w:pPr>
        <w:keepNext/>
        <w:snapToGrid/>
        <w:spacing w:after="120"/>
        <w:rPr>
          <w:rFonts w:ascii="Arial" w:eastAsia="Simsun (Founder Extended)" w:hAnsi="Arial" w:cs="Arial"/>
          <w:snapToGrid/>
          <w:sz w:val="22"/>
          <w:szCs w:val="22"/>
        </w:rPr>
      </w:pPr>
      <w:bookmarkStart w:id="506" w:name="uk43"/>
      <w:r w:rsidRPr="00AE71B5">
        <w:rPr>
          <w:rFonts w:ascii="Arial" w:hAnsi="Arial" w:cs="Arial"/>
          <w:b/>
          <w:sz w:val="22"/>
          <w:szCs w:val="22"/>
        </w:rPr>
        <w:t xml:space="preserve">United Kingdom of Great Britain and Northern Ireland </w:t>
      </w:r>
    </w:p>
    <w:bookmarkEnd w:id="506"/>
    <w:p w14:paraId="188A81A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through the National Oceanography Centre’s British Oceanographic Data Centre (BODC), has been a longstanding supporter of the GEBCO, having hosted the GEBCO web site for several years, where we note in 2024 there were more than 700,000 visits. In recent years the NOC has also hosted the Seabed 2030 Global Centre (GDACC) which is responsible for maintaining and delivering GEBCO’s global bathymetric data sets and products. </w:t>
      </w:r>
    </w:p>
    <w:p w14:paraId="149D332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would like to end by emphasising the importance of growing coverage of the seabed mapping and the foundational importance of bathymetry and we thank the numerous volunteers that enable the GEBCO to function.   </w:t>
      </w:r>
    </w:p>
    <w:p w14:paraId="6DBFEADB" w14:textId="77777777" w:rsidR="006C41C4" w:rsidRPr="00AE71B5" w:rsidRDefault="006C41C4" w:rsidP="006C41C4">
      <w:pPr>
        <w:shd w:val="clear" w:color="auto" w:fill="D0CECE"/>
        <w:spacing w:before="240" w:after="120"/>
        <w:ind w:left="709" w:hanging="709"/>
        <w:rPr>
          <w:rFonts w:ascii="Arial" w:hAnsi="Arial" w:cs="Arial"/>
          <w:b/>
          <w:sz w:val="22"/>
          <w:szCs w:val="22"/>
          <w:lang w:val="en-US"/>
        </w:rPr>
      </w:pPr>
      <w:r w:rsidRPr="00AE71B5">
        <w:rPr>
          <w:rFonts w:ascii="Arial" w:hAnsi="Arial" w:cs="Arial"/>
          <w:b/>
          <w:sz w:val="22"/>
          <w:szCs w:val="22"/>
        </w:rPr>
        <w:t>4.4</w:t>
      </w:r>
      <w:r w:rsidRPr="00AE71B5">
        <w:rPr>
          <w:rFonts w:ascii="Arial" w:hAnsi="Arial" w:cs="Arial"/>
          <w:b/>
          <w:sz w:val="22"/>
          <w:szCs w:val="22"/>
        </w:rPr>
        <w:tab/>
        <w:t>IOC Ocean Literacy Action Plan and Strategy</w:t>
      </w:r>
    </w:p>
    <w:p w14:paraId="76A1BA48" w14:textId="77777777" w:rsidR="006C41C4" w:rsidRPr="00AE71B5" w:rsidRDefault="006C41C4" w:rsidP="006C41C4">
      <w:pPr>
        <w:keepNext/>
        <w:snapToGrid/>
        <w:spacing w:after="120"/>
        <w:jc w:val="both"/>
        <w:rPr>
          <w:rFonts w:ascii="Arial" w:hAnsi="Arial" w:cs="Arial"/>
          <w:b/>
          <w:sz w:val="22"/>
          <w:szCs w:val="22"/>
        </w:rPr>
      </w:pPr>
      <w:bookmarkStart w:id="507" w:name="bra44"/>
      <w:r w:rsidRPr="00AE71B5">
        <w:rPr>
          <w:rFonts w:ascii="Arial" w:hAnsi="Arial" w:cs="Arial"/>
          <w:b/>
          <w:sz w:val="22"/>
          <w:szCs w:val="22"/>
        </w:rPr>
        <w:t>Brazil</w:t>
      </w:r>
    </w:p>
    <w:bookmarkEnd w:id="507"/>
    <w:p w14:paraId="35745D8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also thankful for the work of the IOC Group of Experts on Ocean Literacy, whose establishment as a permanent expert group in the Commission we support.</w:t>
      </w:r>
    </w:p>
    <w:p w14:paraId="4C36051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 clear message we took from the Side event "Blue Education for a Sustainable and Resilient Society", that we co-organized with UNESCO and others Member States during UNOC in Nice, was the importance of the involvement of policy and decision makers in Ocean Literacy actions. We are witnessing the growing importance of the ocean as part of the statements of heads of state and in climate related discussions. It makes it even more relevant to support informed policy development, enabling knowledge-driven actions for ocean sustainability and conservation. Further, for UNOC, our National Decade Committee crafted a message urging all relevant actors to "Continue supporting integrated curricula, Citizen Science, and an Ocean Culture that transcends literacy, recognizing diverse knowledge systems and connecting them to socio-environmental and technological demands."</w:t>
      </w:r>
    </w:p>
    <w:p w14:paraId="4F6E7B3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Ocean Literacy is a cross-cutting and integral component of the Ocean Decade. As hosts of the next Ocean Decade Conference, we will work with the DCU to ensure that the design and implementation of the Conference benefit from the lessons of Ocean Literacy, aiming at translating science into accessible knowledge, sustainable action and governance for the ocean we need.</w:t>
      </w:r>
    </w:p>
    <w:p w14:paraId="5C7A568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Holding a vison that Ocean Literacy can empower communities and contribute to the respect of the marine environment and ocean cultures, we invite interested stakeholders to join our Ministry of Science, Technology and Innovation in signing the "OCEAN LITERACY CALL TO ACTION: from Venice to Nice to Belem". The call to action includes an invitation to commit with the Blue Curriculum development, for which we can collaborate.</w:t>
      </w:r>
    </w:p>
    <w:p w14:paraId="5C567FE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work on Ocean Literacy should strive for strengthening diversity, equity, and inclusion in the ocean community.</w:t>
      </w:r>
    </w:p>
    <w:p w14:paraId="7D760C0C" w14:textId="77777777" w:rsidR="006C41C4" w:rsidRPr="00E647B1" w:rsidRDefault="006C41C4" w:rsidP="006C41C4">
      <w:pPr>
        <w:keepNext/>
        <w:snapToGrid/>
        <w:spacing w:after="120"/>
        <w:jc w:val="both"/>
        <w:rPr>
          <w:rFonts w:ascii="Arial" w:hAnsi="Arial" w:cs="Arial"/>
          <w:b/>
          <w:sz w:val="22"/>
          <w:szCs w:val="22"/>
          <w:lang w:val="es-ES"/>
        </w:rPr>
      </w:pPr>
      <w:bookmarkStart w:id="508" w:name="chil44"/>
      <w:r w:rsidRPr="00E647B1">
        <w:rPr>
          <w:rFonts w:ascii="Arial" w:hAnsi="Arial" w:cs="Arial"/>
          <w:b/>
          <w:sz w:val="22"/>
          <w:szCs w:val="22"/>
          <w:lang w:val="es-ES"/>
        </w:rPr>
        <w:t>Chile</w:t>
      </w:r>
    </w:p>
    <w:bookmarkEnd w:id="508"/>
    <w:p w14:paraId="34B9129C"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Desde 2022, Chile participa activamente en dicho Grupo de Expertos con la bióloga marina Pilar Muñoz y ha articulado su trabajo con el Grupo de Trabajo en Cultura Oceánica del Comité Oceanográfico Nacional (CONA), consolidando un marco nacional alineado con las prioridades de la COI. Esta coordinación ha facilitado la participación de Chile en instancias internacionales como el Foro CILAC, el Congreso Futuro y el Foro de Currículo Azul, y ha sido destacada en el </w:t>
      </w:r>
      <w:proofErr w:type="spellStart"/>
      <w:r w:rsidRPr="00AE71B5">
        <w:rPr>
          <w:rFonts w:ascii="Arial" w:eastAsia="Simsun (Founder Extended)" w:hAnsi="Arial" w:cs="Arial"/>
          <w:snapToGrid/>
          <w:sz w:val="22"/>
          <w:szCs w:val="22"/>
          <w:lang w:val="es-ES"/>
        </w:rPr>
        <w:t>State</w:t>
      </w:r>
      <w:proofErr w:type="spellEnd"/>
      <w:r w:rsidRPr="00AE71B5">
        <w:rPr>
          <w:rFonts w:ascii="Arial" w:eastAsia="Simsun (Founder Extended)" w:hAnsi="Arial" w:cs="Arial"/>
          <w:snapToGrid/>
          <w:sz w:val="22"/>
          <w:szCs w:val="22"/>
          <w:lang w:val="es-ES"/>
        </w:rPr>
        <w:t xml:space="preserve"> of the Ocean </w:t>
      </w:r>
      <w:proofErr w:type="spellStart"/>
      <w:r w:rsidRPr="00AE71B5">
        <w:rPr>
          <w:rFonts w:ascii="Arial" w:eastAsia="Simsun (Founder Extended)" w:hAnsi="Arial" w:cs="Arial"/>
          <w:snapToGrid/>
          <w:sz w:val="22"/>
          <w:szCs w:val="22"/>
          <w:lang w:val="es-ES"/>
        </w:rPr>
        <w:t>Report</w:t>
      </w:r>
      <w:proofErr w:type="spellEnd"/>
      <w:r w:rsidRPr="00AE71B5">
        <w:rPr>
          <w:rFonts w:ascii="Arial" w:eastAsia="Simsun (Founder Extended)" w:hAnsi="Arial" w:cs="Arial"/>
          <w:snapToGrid/>
          <w:sz w:val="22"/>
          <w:szCs w:val="22"/>
          <w:lang w:val="es-ES"/>
        </w:rPr>
        <w:t xml:space="preserve"> 2024.</w:t>
      </w:r>
    </w:p>
    <w:p w14:paraId="3B0BB407"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Reiteramos nuestro compromiso con la cultura oceánica como herramienta clave para alcanzar los objetivos del Decenio del Océano, fortalecer la diplomacia oceánica y conectar ciencia, políticas y ciudadanía.</w:t>
      </w:r>
    </w:p>
    <w:p w14:paraId="4B0643B7" w14:textId="77777777" w:rsidR="006C41C4" w:rsidRPr="00E647B1" w:rsidRDefault="006C41C4" w:rsidP="006C41C4">
      <w:pPr>
        <w:keepNext/>
        <w:snapToGrid/>
        <w:spacing w:after="120"/>
        <w:jc w:val="both"/>
        <w:rPr>
          <w:rFonts w:ascii="Arial" w:hAnsi="Arial" w:cs="Arial"/>
          <w:b/>
          <w:sz w:val="22"/>
          <w:szCs w:val="22"/>
          <w:lang w:val="en-US"/>
        </w:rPr>
      </w:pPr>
      <w:bookmarkStart w:id="509" w:name="chin44"/>
      <w:r w:rsidRPr="00E647B1">
        <w:rPr>
          <w:rFonts w:ascii="Arial" w:hAnsi="Arial" w:cs="Arial"/>
          <w:b/>
          <w:sz w:val="22"/>
          <w:szCs w:val="22"/>
          <w:lang w:val="en-US"/>
        </w:rPr>
        <w:t>China</w:t>
      </w:r>
    </w:p>
    <w:bookmarkEnd w:id="509"/>
    <w:p w14:paraId="4A608EC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appreciates the informative presentation and the continued work of the IOC under the guidance of the IOC Ocean Literacy Plans of Action and welcome the new Plan of Action 2026-2030. We value the publishing of Ocean Decade Vision 2030: A Theory of Change for the Ocean Decade (2025-2030) and Promoting Ocean Literacy-an Education Policy Brief and express our will to work with the Secretariat to translate them into Chinese, promoting the understanding of Chinese Scientists and people to Ocean Literacy.</w:t>
      </w:r>
    </w:p>
    <w:p w14:paraId="75527D8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Chinese experts have actively participated in relevant works in the IOC Ocean Literacy Group of Experts. Meanwhile, in the past years, China also has carried out a series of ocean literacy </w:t>
      </w:r>
      <w:r w:rsidRPr="00AE71B5">
        <w:rPr>
          <w:rFonts w:ascii="Arial" w:eastAsia="Simsun (Founder Extended)" w:hAnsi="Arial" w:cs="Arial"/>
          <w:snapToGrid/>
          <w:sz w:val="22"/>
          <w:szCs w:val="22"/>
        </w:rPr>
        <w:lastRenderedPageBreak/>
        <w:t xml:space="preserve">activities in and beyond IOC. For instance, the “Blue Citizen” initiative is aimed to help people enhance their recognition of ocean, participate in actions for the sustainable development of the oceans and narrow the ocean-related knowledge gap among different regions, groups, and communities. Although China is not the member of Blue School programme, as what we said in the side event yesterday, we would like to encourage our experts to explore the potential cooperation between Blue Citizen initiative and Blue School programme. </w:t>
      </w:r>
    </w:p>
    <w:p w14:paraId="78A75D7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applaud the contribution of IOCWESTPAC, which established a new Intersessional Task Force of Ocean Literacy in this March in Tokyo. We recommended our expert to this Task Force. We are delighted to see that the Task Force started their work efficiently in last week and encourage IOCWESTPAC and its Member States play more active role in the process of Ocean Literacy.</w:t>
      </w:r>
    </w:p>
    <w:p w14:paraId="47B996F1" w14:textId="77777777" w:rsidR="006C41C4" w:rsidRPr="00AE71B5" w:rsidRDefault="006C41C4" w:rsidP="006C41C4">
      <w:pPr>
        <w:keepNext/>
        <w:snapToGrid/>
        <w:spacing w:after="120"/>
        <w:jc w:val="both"/>
        <w:rPr>
          <w:rFonts w:ascii="Arial" w:hAnsi="Arial" w:cs="Arial"/>
          <w:b/>
          <w:sz w:val="22"/>
          <w:szCs w:val="22"/>
          <w:lang w:val="fr-FR"/>
        </w:rPr>
      </w:pPr>
      <w:bookmarkStart w:id="510" w:name="fra44"/>
      <w:r w:rsidRPr="00AE71B5">
        <w:rPr>
          <w:rFonts w:ascii="Arial" w:hAnsi="Arial" w:cs="Arial"/>
          <w:b/>
          <w:sz w:val="22"/>
          <w:szCs w:val="22"/>
          <w:lang w:val="fr-FR"/>
        </w:rPr>
        <w:t>France</w:t>
      </w:r>
    </w:p>
    <w:bookmarkEnd w:id="510"/>
    <w:p w14:paraId="35E06701"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Mieux connaître l’océan, éduquer et sensibiliser sur les enjeux qui lui sont liés passe nécessairement par un développement des capacités et par une accélération des programmes de recherche, d’éducation à tous les niveaux ainsi que de sensibilisation du public et notamment des jeunes dans ce domaine.</w:t>
      </w:r>
    </w:p>
    <w:p w14:paraId="7CDC67D4"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À cet égard, les différents réseaux UNESCO et notamment les Centres de catégorie 2, les Chaires, Les Réserves de Biosphère marine, les Clubs et Écoles associées de l’UNESCO actifs dans le domaine de l’océan constituent un potentiel important pour accélérer le renforcement de ces capacités. Ils forment une Famille UNESCO de l’Océan, que la France souhaiterait voir se développer à l’instar de la Famille UNESCO de l’Eau.</w:t>
      </w:r>
    </w:p>
    <w:p w14:paraId="2E882162"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famille UNESCO de l’Océan France s’est quant à elle réunie pour la première fois à l’UNOC à Nice, le 7 juin 2025, lors d’un évènement organisé à la Baleine par la Commission nationale française auprès de l’UNESCO. Cet évènement a permis la mutualisation de modules éducatifs de qualité en ressources éducatives libres et l’identification de projets de coopération entre ces acteurs engagés.</w:t>
      </w:r>
    </w:p>
    <w:p w14:paraId="37757FB3" w14:textId="77777777" w:rsidR="006C41C4" w:rsidRPr="00AE71B5" w:rsidRDefault="006C41C4" w:rsidP="006C41C4">
      <w:pPr>
        <w:keepNext/>
        <w:snapToGrid/>
        <w:spacing w:after="120"/>
        <w:jc w:val="both"/>
        <w:rPr>
          <w:rFonts w:ascii="Arial" w:hAnsi="Arial" w:cs="Arial"/>
          <w:b/>
          <w:sz w:val="22"/>
          <w:szCs w:val="22"/>
          <w:lang w:val="en-US"/>
        </w:rPr>
      </w:pPr>
      <w:bookmarkStart w:id="511" w:name="indi44"/>
      <w:r w:rsidRPr="00AE71B5">
        <w:rPr>
          <w:rFonts w:ascii="Arial" w:hAnsi="Arial" w:cs="Arial"/>
          <w:b/>
          <w:sz w:val="22"/>
          <w:szCs w:val="22"/>
          <w:lang w:val="en-US"/>
        </w:rPr>
        <w:t>India</w:t>
      </w:r>
    </w:p>
    <w:bookmarkEnd w:id="511"/>
    <w:p w14:paraId="31B0BA5D"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w:t>
      </w:r>
      <w:proofErr w:type="gramStart"/>
      <w:r w:rsidRPr="00AE71B5">
        <w:rPr>
          <w:rFonts w:ascii="Arial" w:eastAsia="Simsun (Founder Extended)" w:hAnsi="Arial" w:cs="Arial"/>
          <w:snapToGrid/>
          <w:sz w:val="22"/>
          <w:szCs w:val="22"/>
          <w:lang w:val="en-US"/>
        </w:rPr>
        <w:t>appreciate</w:t>
      </w:r>
      <w:proofErr w:type="gramEnd"/>
      <w:r w:rsidRPr="00AE71B5">
        <w:rPr>
          <w:rFonts w:ascii="Arial" w:eastAsia="Simsun (Founder Extended)" w:hAnsi="Arial" w:cs="Arial"/>
          <w:snapToGrid/>
          <w:sz w:val="22"/>
          <w:szCs w:val="22"/>
          <w:lang w:val="en-US"/>
        </w:rPr>
        <w:t xml:space="preserve"> the progress of the IOC Ocean Literacy Plan of Action (2018–2021), and the updated Ocean Literacy Plan of Action (2026–2030). Having realized the importance of Ocean Literacy, India had been involved in formulating and implementing various programs for integrating ocean knowledge with public action. </w:t>
      </w:r>
    </w:p>
    <w:p w14:paraId="63EA4E6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come up with a program named “Swatch Sagar </w:t>
      </w:r>
      <w:proofErr w:type="spellStart"/>
      <w:r w:rsidRPr="00AE71B5">
        <w:rPr>
          <w:rFonts w:ascii="Arial" w:eastAsia="Simsun (Founder Extended)" w:hAnsi="Arial" w:cs="Arial"/>
          <w:snapToGrid/>
          <w:sz w:val="22"/>
          <w:szCs w:val="22"/>
          <w:lang w:val="en-US"/>
        </w:rPr>
        <w:t>Surakshit</w:t>
      </w:r>
      <w:proofErr w:type="spellEnd"/>
      <w:r w:rsidRPr="00AE71B5">
        <w:rPr>
          <w:rFonts w:ascii="Arial" w:eastAsia="Simsun (Founder Extended)" w:hAnsi="Arial" w:cs="Arial"/>
          <w:snapToGrid/>
          <w:sz w:val="22"/>
          <w:szCs w:val="22"/>
          <w:lang w:val="en-US"/>
        </w:rPr>
        <w:t xml:space="preserve"> Sagar” meaning “Clean Ocean and Safe Ocean” and have been involving many stakeholders namely, students from schools and colleges, NGO, Govt. officials, common public and conducting ocean cleanliness drive along the coastline of India on 3rd Saturday of each year. </w:t>
      </w:r>
    </w:p>
    <w:p w14:paraId="2ECFF18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also adopted schools and regular sending, scientist involved in ocean related activities to raise awareness among the students. The knowledge of oceanography and importance of oceans and ocean decade </w:t>
      </w:r>
      <w:proofErr w:type="gramStart"/>
      <w:r w:rsidRPr="00AE71B5">
        <w:rPr>
          <w:rFonts w:ascii="Arial" w:eastAsia="Simsun (Founder Extended)" w:hAnsi="Arial" w:cs="Arial"/>
          <w:snapToGrid/>
          <w:sz w:val="22"/>
          <w:szCs w:val="22"/>
          <w:lang w:val="en-US"/>
        </w:rPr>
        <w:t>gave</w:t>
      </w:r>
      <w:proofErr w:type="gramEnd"/>
      <w:r w:rsidRPr="00AE71B5">
        <w:rPr>
          <w:rFonts w:ascii="Arial" w:eastAsia="Simsun (Founder Extended)" w:hAnsi="Arial" w:cs="Arial"/>
          <w:snapToGrid/>
          <w:sz w:val="22"/>
          <w:szCs w:val="22"/>
          <w:lang w:val="en-US"/>
        </w:rPr>
        <w:t xml:space="preserve"> been translated into local languages to make sure that it reaches the masses. </w:t>
      </w:r>
    </w:p>
    <w:p w14:paraId="7A72D0BD"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is also involving ECOP and making use of their expertise to bring awareness among all on oceans and their importance. The ECOPs are also involved in preparing cartoon based </w:t>
      </w:r>
      <w:proofErr w:type="spellStart"/>
      <w:r w:rsidRPr="00AE71B5">
        <w:rPr>
          <w:rFonts w:ascii="Arial" w:eastAsia="Simsun (Founder Extended)" w:hAnsi="Arial" w:cs="Arial"/>
          <w:snapToGrid/>
          <w:sz w:val="22"/>
          <w:szCs w:val="22"/>
          <w:lang w:val="en-US"/>
        </w:rPr>
        <w:t>youtube</w:t>
      </w:r>
      <w:proofErr w:type="spellEnd"/>
      <w:r w:rsidRPr="00AE71B5">
        <w:rPr>
          <w:rFonts w:ascii="Arial" w:eastAsia="Simsun (Founder Extended)" w:hAnsi="Arial" w:cs="Arial"/>
          <w:snapToGrid/>
          <w:sz w:val="22"/>
          <w:szCs w:val="22"/>
          <w:lang w:val="en-US"/>
        </w:rPr>
        <w:t xml:space="preserve"> videos for effective reachability to parents and students. </w:t>
      </w:r>
    </w:p>
    <w:p w14:paraId="21BEE20A"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Mr. Chair, India also </w:t>
      </w:r>
      <w:proofErr w:type="gramStart"/>
      <w:r w:rsidRPr="00AE71B5">
        <w:rPr>
          <w:rFonts w:ascii="Arial" w:eastAsia="Simsun (Founder Extended)" w:hAnsi="Arial" w:cs="Arial"/>
          <w:snapToGrid/>
          <w:sz w:val="22"/>
          <w:szCs w:val="22"/>
          <w:lang w:val="en-US"/>
        </w:rPr>
        <w:t>have</w:t>
      </w:r>
      <w:proofErr w:type="gramEnd"/>
      <w:r w:rsidRPr="00AE71B5">
        <w:rPr>
          <w:rFonts w:ascii="Arial" w:eastAsia="Simsun (Founder Extended)" w:hAnsi="Arial" w:cs="Arial"/>
          <w:snapToGrid/>
          <w:sz w:val="22"/>
          <w:szCs w:val="22"/>
          <w:lang w:val="en-US"/>
        </w:rPr>
        <w:t xml:space="preserve"> the opinion that the success of Ocean Literacy program depends upon how deep this program is alignment with local community issue and problems.</w:t>
      </w:r>
    </w:p>
    <w:p w14:paraId="32F26B61"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we would like to reiterate that India is committed to the ocean literacy plan of action devised for 2026 – 2030 would like to come up innovative program to make sure the literacy about ocean is enhanced among various stake holders.</w:t>
      </w:r>
    </w:p>
    <w:p w14:paraId="190E4899" w14:textId="77777777" w:rsidR="006C41C4" w:rsidRPr="00AE71B5" w:rsidRDefault="006C41C4" w:rsidP="006C41C4">
      <w:pPr>
        <w:keepNext/>
        <w:snapToGrid/>
        <w:spacing w:after="120"/>
        <w:jc w:val="both"/>
        <w:rPr>
          <w:rFonts w:ascii="Arial" w:hAnsi="Arial" w:cs="Arial"/>
          <w:b/>
          <w:sz w:val="22"/>
          <w:szCs w:val="22"/>
        </w:rPr>
      </w:pPr>
      <w:bookmarkStart w:id="512" w:name="jap44"/>
      <w:r w:rsidRPr="00AE71B5">
        <w:rPr>
          <w:rFonts w:ascii="Arial" w:hAnsi="Arial" w:cs="Arial"/>
          <w:b/>
          <w:sz w:val="22"/>
          <w:szCs w:val="22"/>
        </w:rPr>
        <w:lastRenderedPageBreak/>
        <w:t>Japan</w:t>
      </w:r>
    </w:p>
    <w:bookmarkEnd w:id="512"/>
    <w:p w14:paraId="5403DFA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acknowledges the importance of expert contributions in advancing ocean literacy. However, regarding Draft Decision A-33/4.4, paragraph 6, Japan does not support the inclusion of the term “permanent” and considers it more appropriate to establish just “expert group” without permanent, allowing for its activities and effectiveness to be periodically reviewed and evaluated. </w:t>
      </w:r>
    </w:p>
    <w:p w14:paraId="33A92F1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Recognizing the importance of public engagement, the Japan Agency for Marine-Earth Science and Technology (JAMSTEC) has been promoting Science, Technology, Engineering, Arts, and Mathematics, so called STEAM - based ocean education and outreach activities to enhance awareness and encourage broader social participation in ocean-related issues.</w:t>
      </w:r>
    </w:p>
    <w:p w14:paraId="7C7F67A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Furthermore, Japan is pleased to highlight the upcoming Asia Marine Educators Association with ECOPs Ocean Literacy Conference 2025, scheduled for this August in Tokyo. Co-hosted by Ocean Policy Research Institute and other partners. This international event will bring together educators, researchers, and ECOP to foster interdisciplinary collaboration in support of the UN Decade of Ocean Science for Sustainable Development.</w:t>
      </w:r>
    </w:p>
    <w:p w14:paraId="3EB77E2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looks forward to continued engagement with regional and global partners to advance ocean literacy and ensure meaningful progress in empowering societies with the knowledge needed to sustain our ocean.</w:t>
      </w:r>
    </w:p>
    <w:p w14:paraId="206E8E88" w14:textId="77777777" w:rsidR="006C41C4" w:rsidRPr="00AE71B5" w:rsidRDefault="006C41C4" w:rsidP="006C41C4">
      <w:pPr>
        <w:keepNext/>
        <w:snapToGrid/>
        <w:spacing w:after="120"/>
        <w:jc w:val="both"/>
        <w:rPr>
          <w:rFonts w:ascii="Arial" w:hAnsi="Arial" w:cs="Arial"/>
          <w:b/>
          <w:sz w:val="22"/>
          <w:szCs w:val="22"/>
        </w:rPr>
      </w:pPr>
      <w:bookmarkStart w:id="513" w:name="malay44"/>
      <w:r w:rsidRPr="00AE71B5">
        <w:rPr>
          <w:rFonts w:ascii="Arial" w:hAnsi="Arial" w:cs="Arial"/>
          <w:b/>
          <w:sz w:val="22"/>
          <w:szCs w:val="22"/>
        </w:rPr>
        <w:t>Malaysia</w:t>
      </w:r>
    </w:p>
    <w:bookmarkEnd w:id="513"/>
    <w:p w14:paraId="4C5EC96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acknowledges the leadership of Professor Ronaldo Christofoletti and appreciates the opportunity to serve as a member of the previous IOC Ocean Literacy Group of Experts.</w:t>
      </w:r>
    </w:p>
    <w:p w14:paraId="6B605D2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 key milestone is the Ministry of Education’s integration of ocean topics into Malaysia’s new national curriculum, to be launched in 2027, which indirectly supports learning about ocean-related issues.</w:t>
      </w:r>
    </w:p>
    <w:p w14:paraId="6AE1EBD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This ensures marine science, sustainability, and climate literacy are embedded across subjects and age groups. </w:t>
      </w:r>
    </w:p>
    <w:p w14:paraId="7820A48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remains committed to advancing the IOC Ocean Literacy Plan of Action 2026–2030 and looks forward to continued collaboration with IOC and Member States.</w:t>
      </w:r>
    </w:p>
    <w:p w14:paraId="17552677" w14:textId="77777777" w:rsidR="006C41C4" w:rsidRPr="00AE71B5" w:rsidRDefault="006C41C4" w:rsidP="006C41C4">
      <w:pPr>
        <w:keepNext/>
        <w:snapToGrid/>
        <w:spacing w:after="120"/>
        <w:jc w:val="both"/>
        <w:rPr>
          <w:rFonts w:ascii="Arial" w:hAnsi="Arial" w:cs="Arial"/>
          <w:b/>
          <w:sz w:val="22"/>
          <w:szCs w:val="22"/>
        </w:rPr>
      </w:pPr>
      <w:bookmarkStart w:id="514" w:name="port44"/>
      <w:r w:rsidRPr="00AE71B5">
        <w:rPr>
          <w:rFonts w:ascii="Arial" w:hAnsi="Arial" w:cs="Arial"/>
          <w:b/>
          <w:sz w:val="22"/>
          <w:szCs w:val="22"/>
        </w:rPr>
        <w:t>Portugal</w:t>
      </w:r>
    </w:p>
    <w:bookmarkEnd w:id="514"/>
    <w:p w14:paraId="38B15F1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fully support IOC’s continued engagement and commitment to Ocean Literacy, as outlined in its Medium-Term Strategy (2022–2029).</w:t>
      </w:r>
    </w:p>
    <w:p w14:paraId="079A20F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Ocean literacy is one of the pillars of the UN Ocean Decade of Ocean Science for Sustainable Development. If we want to revert the present state of degradation of the Ocean and aim at a healthy Ocean that supports marine biodiversity, guaranteeing healthy ecosystems and services, as well as the development of a sustainable Ocean Economy, we need an informed and engaged society that understands the importance of the Ocean in sustaining life on Earth, but also its major role in creating global health, wealth and jobs. This can only be achieved through Ocean Literacy aimed at all sectors of society, promoting a transformative </w:t>
      </w:r>
      <w:proofErr w:type="spellStart"/>
      <w:r w:rsidRPr="00AE71B5">
        <w:rPr>
          <w:rFonts w:ascii="Arial" w:eastAsia="Simsun (Founder Extended)" w:hAnsi="Arial" w:cs="Arial"/>
          <w:snapToGrid/>
          <w:sz w:val="22"/>
          <w:szCs w:val="22"/>
        </w:rPr>
        <w:t>behavior</w:t>
      </w:r>
      <w:proofErr w:type="spellEnd"/>
      <w:r w:rsidRPr="00AE71B5">
        <w:rPr>
          <w:rFonts w:ascii="Arial" w:eastAsia="Simsun (Founder Extended)" w:hAnsi="Arial" w:cs="Arial"/>
          <w:snapToGrid/>
          <w:sz w:val="22"/>
          <w:szCs w:val="22"/>
        </w:rPr>
        <w:t xml:space="preserve"> change.</w:t>
      </w:r>
    </w:p>
    <w:p w14:paraId="3EEE95B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especially wish to acknowledge the remarkable work carried out by Francesca Santoro and by the IOC Group of Experts on Ocean Literacy. Portugal strongly supports the formalization of this group as a permanent expert body under the Commission. We believe this is a critical step toward ensuring continuity, strengthening coordination, and scaling impact globally.</w:t>
      </w:r>
    </w:p>
    <w:p w14:paraId="61F36BD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Ocean Literacy is not only a powerful tool to disseminate ocean </w:t>
      </w:r>
      <w:proofErr w:type="gramStart"/>
      <w:r w:rsidRPr="00AE71B5">
        <w:rPr>
          <w:rFonts w:ascii="Arial" w:eastAsia="Simsun (Founder Extended)" w:hAnsi="Arial" w:cs="Arial"/>
          <w:snapToGrid/>
          <w:sz w:val="22"/>
          <w:szCs w:val="22"/>
        </w:rPr>
        <w:t>science, but</w:t>
      </w:r>
      <w:proofErr w:type="gramEnd"/>
      <w:r w:rsidRPr="00AE71B5">
        <w:rPr>
          <w:rFonts w:ascii="Arial" w:eastAsia="Simsun (Founder Extended)" w:hAnsi="Arial" w:cs="Arial"/>
          <w:snapToGrid/>
          <w:sz w:val="22"/>
          <w:szCs w:val="22"/>
        </w:rPr>
        <w:t xml:space="preserve"> is also essential to reconnect people with the ocean, especially in this decisive moment of climate crisis. It fosters a culture of care, responsibility, and action, aligning science, education, and citizenship.</w:t>
      </w:r>
    </w:p>
    <w:p w14:paraId="527D24C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has been engaged in this work from the very beginning. We are proud to be the founding country of the Blue School concept, which inspires the Blue School global Network. We are also beginning the process of integrating the ocean more systematically into our national curriculum, ensuring that future generations grow up with ocean knowledge and ocean values.</w:t>
      </w:r>
    </w:p>
    <w:p w14:paraId="25F96C1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Finally, Portugal fully supports the Venice Declaration and encourages all Member States to join efforts toward a more ocean-literate world.</w:t>
      </w:r>
    </w:p>
    <w:p w14:paraId="6CB4A138" w14:textId="77777777" w:rsidR="006C41C4" w:rsidRPr="00AE71B5" w:rsidRDefault="006C41C4" w:rsidP="006C41C4">
      <w:pPr>
        <w:keepNext/>
        <w:snapToGrid/>
        <w:spacing w:after="120"/>
        <w:jc w:val="both"/>
        <w:rPr>
          <w:rFonts w:ascii="Arial" w:hAnsi="Arial" w:cs="Arial"/>
          <w:b/>
          <w:sz w:val="22"/>
          <w:szCs w:val="22"/>
        </w:rPr>
      </w:pPr>
      <w:bookmarkStart w:id="515" w:name="rus44"/>
      <w:r w:rsidRPr="00AE71B5">
        <w:rPr>
          <w:rFonts w:ascii="Arial" w:hAnsi="Arial" w:cs="Arial"/>
          <w:b/>
          <w:sz w:val="22"/>
          <w:szCs w:val="22"/>
        </w:rPr>
        <w:t>Russian Federation</w:t>
      </w:r>
    </w:p>
    <w:bookmarkEnd w:id="515"/>
    <w:p w14:paraId="6899CCA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consider it important to </w:t>
      </w:r>
      <w:proofErr w:type="gramStart"/>
      <w:r w:rsidRPr="00AE71B5">
        <w:rPr>
          <w:rFonts w:ascii="Arial" w:eastAsia="Simsun (Founder Extended)" w:hAnsi="Arial" w:cs="Arial"/>
          <w:snapToGrid/>
          <w:sz w:val="22"/>
          <w:szCs w:val="22"/>
        </w:rPr>
        <w:t>take into account</w:t>
      </w:r>
      <w:proofErr w:type="gramEnd"/>
      <w:r w:rsidRPr="00AE71B5">
        <w:rPr>
          <w:rFonts w:ascii="Arial" w:eastAsia="Simsun (Founder Extended)" w:hAnsi="Arial" w:cs="Arial"/>
          <w:snapToGrid/>
          <w:sz w:val="22"/>
          <w:szCs w:val="22"/>
        </w:rPr>
        <w:t xml:space="preserve"> the proposals made by Member States regarding the draft decision and its annex.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highlight the significance of the provision establishing an open composition of the group, based on nominations officially submitted by IOC Member States. We are convinced that such an approach will ensure broad, balanced, and inclusive participation of experts, reflecting the diversity of regional and national strategies in the field of ocean literacy.</w:t>
      </w:r>
    </w:p>
    <w:p w14:paraId="6F4C8D9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context, the Russian Federation is pleased to nominate a national expert to take part in the work of the group.</w:t>
      </w:r>
    </w:p>
    <w:p w14:paraId="66E1984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that addressing strategic challenges in the fields of ocean and climate science, as well as ensuring continuity and maintaining a high level of international scientific cooperation, requires the consistent development of a new generation of researchers.</w:t>
      </w:r>
    </w:p>
    <w:p w14:paraId="779C9AE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Russia, a successful model for training specialists has been developed and is being implemented through the Floating University programme, which involves a wide network of educational and research institutions across the country. A key component of this model is the Winter Scientific Schools initiative, aimed at the professional orientation of undergraduate students. Each year, approximately one thousand students participate in these schools, where they are introduced to contemporary fields of ocean science, receive intensive training, and are guided in choosing their research trajectory.</w:t>
      </w:r>
    </w:p>
    <w:p w14:paraId="4DEFCDC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Following a competitive selection process, the most motivated participants are offered the opportunity to undergo practical training as part of multidisciplinary oceanographic expeditions in the Arctic and Far Eastern seas.</w:t>
      </w:r>
    </w:p>
    <w:p w14:paraId="03B67CA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overall objective of the programme is to establish a continuous scientific and educational pathway—from early school-level orientation to the training of PhD candidates who are fully prepared to work in academic and research institutions, including under demanding fieldwork conditions.</w:t>
      </w:r>
    </w:p>
    <w:p w14:paraId="0AD8C3F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stands ready to share its methodological approaches and practical experience within the framework of cooperation with the IOC and its Member States.</w:t>
      </w:r>
    </w:p>
    <w:p w14:paraId="38E2EEDD" w14:textId="77777777" w:rsidR="006C41C4" w:rsidRPr="00AE71B5" w:rsidRDefault="006C41C4" w:rsidP="006C41C4">
      <w:pPr>
        <w:keepNext/>
        <w:snapToGrid/>
        <w:spacing w:after="120"/>
        <w:jc w:val="both"/>
        <w:rPr>
          <w:rFonts w:ascii="Arial" w:hAnsi="Arial" w:cs="Arial"/>
          <w:b/>
          <w:sz w:val="22"/>
          <w:szCs w:val="22"/>
        </w:rPr>
      </w:pPr>
      <w:bookmarkStart w:id="516" w:name="sa44"/>
      <w:r w:rsidRPr="00AE71B5">
        <w:rPr>
          <w:rFonts w:ascii="Arial" w:hAnsi="Arial" w:cs="Arial"/>
          <w:b/>
          <w:sz w:val="22"/>
          <w:szCs w:val="22"/>
        </w:rPr>
        <w:t>South Africa</w:t>
      </w:r>
    </w:p>
    <w:bookmarkEnd w:id="516"/>
    <w:p w14:paraId="74F2721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South Africa welcomes the report by Prof </w:t>
      </w:r>
      <w:proofErr w:type="spellStart"/>
      <w:r w:rsidRPr="00AE71B5">
        <w:rPr>
          <w:rFonts w:ascii="Arial" w:eastAsia="Simsun (Founder Extended)" w:hAnsi="Arial" w:cs="Arial"/>
          <w:snapToGrid/>
          <w:sz w:val="22"/>
          <w:szCs w:val="22"/>
        </w:rPr>
        <w:t>Christofoletti</w:t>
      </w:r>
      <w:proofErr w:type="spellEnd"/>
      <w:r w:rsidRPr="00AE71B5">
        <w:rPr>
          <w:rFonts w:ascii="Arial" w:eastAsia="Simsun (Founder Extended)" w:hAnsi="Arial" w:cs="Arial"/>
          <w:snapToGrid/>
          <w:sz w:val="22"/>
          <w:szCs w:val="22"/>
        </w:rPr>
        <w:t xml:space="preserve"> the leader of the Group of Experts on Ocean Literacy. South Africa considers Ocean literacy, Advocacy, Education and awareness important for developing current and future human capacity for citizens of member states such as South Africa and has included ocean literacy and advocacy in national policy. South Africa’s Ministry of Basic Education has officially included the subject “Marine Science” in the school syllabus. For the first time ever, a first batch of learners completed their final year of Secondary school with “Marine Science” as one of their core subjects in December 2025. We consider this a good progress.</w:t>
      </w:r>
    </w:p>
    <w:p w14:paraId="140FEC72" w14:textId="77777777" w:rsidR="006C41C4" w:rsidRPr="00AE71B5" w:rsidRDefault="006C41C4" w:rsidP="006C41C4">
      <w:pPr>
        <w:keepNext/>
        <w:snapToGrid/>
        <w:spacing w:after="120"/>
        <w:jc w:val="both"/>
        <w:rPr>
          <w:rFonts w:ascii="Arial" w:hAnsi="Arial" w:cs="Arial"/>
          <w:b/>
          <w:sz w:val="22"/>
          <w:szCs w:val="22"/>
        </w:rPr>
      </w:pPr>
      <w:bookmarkStart w:id="517" w:name="thai44"/>
      <w:r w:rsidRPr="00AE71B5">
        <w:rPr>
          <w:rFonts w:ascii="Arial" w:hAnsi="Arial" w:cs="Arial"/>
          <w:b/>
          <w:sz w:val="22"/>
          <w:szCs w:val="22"/>
        </w:rPr>
        <w:t>Thailand</w:t>
      </w:r>
    </w:p>
    <w:bookmarkEnd w:id="517"/>
    <w:p w14:paraId="41EE904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welcomes the Draft IOC Ocean Literacy Plan of Action 2026–2030 and its Addendum. We commend the Group of Experts for developing such a comprehensive and forward-looking framework.</w:t>
      </w:r>
    </w:p>
    <w:p w14:paraId="7821DCD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recognizes that advancing ocean literacy is not only about educating the public—it is about transforming society’s relationship with the ocean through inclusive, science-based, and culturally grounded actions. We particularly welcome the emphasis on integrating indigenous and local knowledge systems, fostering </w:t>
      </w:r>
      <w:proofErr w:type="spellStart"/>
      <w:r w:rsidRPr="00AE71B5">
        <w:rPr>
          <w:rFonts w:ascii="Arial" w:eastAsia="Simsun (Founder Extended)" w:hAnsi="Arial" w:cs="Arial"/>
          <w:snapToGrid/>
          <w:sz w:val="22"/>
          <w:szCs w:val="22"/>
        </w:rPr>
        <w:t>behavioral</w:t>
      </w:r>
      <w:proofErr w:type="spellEnd"/>
      <w:r w:rsidRPr="00AE71B5">
        <w:rPr>
          <w:rFonts w:ascii="Arial" w:eastAsia="Simsun (Founder Extended)" w:hAnsi="Arial" w:cs="Arial"/>
          <w:snapToGrid/>
          <w:sz w:val="22"/>
          <w:szCs w:val="22"/>
        </w:rPr>
        <w:t xml:space="preserve"> change, and strengthening cross-sectoral policy dialogues. These are critical to ensuring that ocean science leads to meaningful, sustainable outcomes.</w:t>
      </w:r>
    </w:p>
    <w:p w14:paraId="4622174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As a nation with strong maritime traditions and coastal communities deeply connected to the ocean, Thailand has already begun implementing initiatives aligned with the Plan. These include integrating marine science into school curricula, supporting youth-led stewardship programmes, and strengthening the capacity of teachers and local leaders.</w:t>
      </w:r>
    </w:p>
    <w:p w14:paraId="24E392F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Nonetheless, we acknowledge ongoing challenges in sustaining and scaling these efforts. </w:t>
      </w:r>
    </w:p>
    <w:p w14:paraId="498948C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therefore echo the call for enhanced regional coordination and robust resource mobilisation. Crucially, we must also widen the circle of engaged stakeholders. This includes aligning ocean literacy with corporate sustainability through ESG frameworks, empowering the media sector to translate science into compelling public narratives, and supporting local governments and NGOs in embedding ocean literacy into coastal planning and citizen-science initiatives.</w:t>
      </w:r>
    </w:p>
    <w:p w14:paraId="32BA8FC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stands ready to collaborate further within the Ocean Literacy with all </w:t>
      </w:r>
      <w:proofErr w:type="gramStart"/>
      <w:r w:rsidRPr="00AE71B5">
        <w:rPr>
          <w:rFonts w:ascii="Arial" w:eastAsia="Simsun (Founder Extended)" w:hAnsi="Arial" w:cs="Arial"/>
          <w:snapToGrid/>
          <w:sz w:val="22"/>
          <w:szCs w:val="22"/>
        </w:rPr>
        <w:t>programme</w:t>
      </w:r>
      <w:proofErr w:type="gramEnd"/>
      <w:r w:rsidRPr="00AE71B5">
        <w:rPr>
          <w:rFonts w:ascii="Arial" w:eastAsia="Simsun (Founder Extended)" w:hAnsi="Arial" w:cs="Arial"/>
          <w:snapToGrid/>
          <w:sz w:val="22"/>
          <w:szCs w:val="22"/>
        </w:rPr>
        <w:t xml:space="preserve"> and contribute actively to regional knowledge-sharing platforms.</w:t>
      </w:r>
    </w:p>
    <w:p w14:paraId="3A29AA31" w14:textId="77777777" w:rsidR="006C41C4" w:rsidRPr="00E647B1" w:rsidRDefault="006C41C4" w:rsidP="006C41C4">
      <w:pPr>
        <w:shd w:val="clear" w:color="auto" w:fill="D0CECE"/>
        <w:spacing w:before="240" w:after="120"/>
        <w:ind w:left="709" w:hanging="709"/>
        <w:rPr>
          <w:rFonts w:ascii="Arial" w:hAnsi="Arial" w:cs="Arial"/>
          <w:b/>
          <w:sz w:val="22"/>
          <w:szCs w:val="22"/>
          <w:lang w:val="es-ES"/>
        </w:rPr>
      </w:pPr>
      <w:r w:rsidRPr="00E647B1">
        <w:rPr>
          <w:rFonts w:ascii="Arial" w:hAnsi="Arial" w:cs="Arial"/>
          <w:b/>
          <w:sz w:val="22"/>
          <w:szCs w:val="22"/>
          <w:lang w:val="es-ES"/>
        </w:rPr>
        <w:t>4.5.1</w:t>
      </w:r>
      <w:r w:rsidRPr="00E647B1">
        <w:rPr>
          <w:rFonts w:ascii="Arial" w:hAnsi="Arial" w:cs="Arial"/>
          <w:b/>
          <w:sz w:val="22"/>
          <w:szCs w:val="22"/>
          <w:lang w:val="es-ES"/>
        </w:rPr>
        <w:tab/>
        <w:t xml:space="preserve">GOOS </w:t>
      </w:r>
      <w:proofErr w:type="spellStart"/>
      <w:r w:rsidRPr="00E647B1">
        <w:rPr>
          <w:rFonts w:ascii="Arial" w:hAnsi="Arial" w:cs="Arial"/>
          <w:b/>
          <w:sz w:val="22"/>
          <w:szCs w:val="22"/>
          <w:lang w:val="es-ES"/>
        </w:rPr>
        <w:t>Governance</w:t>
      </w:r>
      <w:proofErr w:type="spellEnd"/>
    </w:p>
    <w:p w14:paraId="6B72F3CA" w14:textId="77777777" w:rsidR="006C41C4" w:rsidRPr="00AE71B5" w:rsidRDefault="006C41C4" w:rsidP="006C41C4">
      <w:pPr>
        <w:keepNext/>
        <w:snapToGrid/>
        <w:spacing w:after="120"/>
        <w:jc w:val="both"/>
        <w:rPr>
          <w:rFonts w:ascii="Arial" w:hAnsi="Arial" w:cs="Arial"/>
          <w:b/>
          <w:sz w:val="22"/>
          <w:szCs w:val="22"/>
          <w:lang w:val="es-ES"/>
        </w:rPr>
      </w:pPr>
      <w:bookmarkStart w:id="518" w:name="col451"/>
      <w:r w:rsidRPr="00AE71B5">
        <w:rPr>
          <w:rFonts w:ascii="Arial" w:hAnsi="Arial" w:cs="Arial"/>
          <w:b/>
          <w:sz w:val="22"/>
          <w:szCs w:val="22"/>
          <w:lang w:val="es-ES"/>
        </w:rPr>
        <w:t>Colombia</w:t>
      </w:r>
    </w:p>
    <w:bookmarkEnd w:id="518"/>
    <w:p w14:paraId="33FF6BFE"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Colombia desea destacar la valiosa participación de los Estados Miembro en el fortalecimiento del GOOS, en particular a través del rol de los Puntos Focales Nacionales (NFP). En este sentido, el país sugiere considerar mecanismos que permitan una mayor socialización e inclusión de los NFP en los procesos asociados al segundo diamante que se desarrollará en 2026, reconociendo sus aportes tanto a nivel nacional como regional en la implementación del GOOS, lo cual contribuiría a evolucionar la gobernanza de este Sistema de forma más representativa y colaborativa.</w:t>
      </w:r>
    </w:p>
    <w:p w14:paraId="68DEC06B" w14:textId="77777777" w:rsidR="006C41C4" w:rsidRPr="00E647B1" w:rsidRDefault="006C41C4" w:rsidP="006C41C4">
      <w:pPr>
        <w:keepNext/>
        <w:snapToGrid/>
        <w:spacing w:after="120"/>
        <w:jc w:val="both"/>
        <w:rPr>
          <w:rFonts w:ascii="Arial" w:hAnsi="Arial" w:cs="Arial"/>
          <w:b/>
          <w:sz w:val="22"/>
          <w:szCs w:val="22"/>
          <w:lang w:val="fr-FR"/>
        </w:rPr>
      </w:pPr>
      <w:bookmarkStart w:id="519" w:name="cot451"/>
      <w:r w:rsidRPr="00E647B1">
        <w:rPr>
          <w:rFonts w:ascii="Arial" w:hAnsi="Arial" w:cs="Arial"/>
          <w:b/>
          <w:sz w:val="22"/>
          <w:szCs w:val="22"/>
          <w:lang w:val="fr-FR"/>
        </w:rPr>
        <w:t>Côte d’Ivoire</w:t>
      </w:r>
    </w:p>
    <w:bookmarkEnd w:id="519"/>
    <w:p w14:paraId="4488BE35"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Avant toute chose, nous tenons à exprimer notre regret de constater que, malgré les interpellations répétées des experts engagés dans les activités de GOOS AFRICA, des erreurs persistent sur le site de GOOS concernant les informations relatives à GOOS-AFRICA.</w:t>
      </w:r>
    </w:p>
    <w:p w14:paraId="4CF5E253"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De manière plus générale, la Côte d’Ivoire est convaincue que, dans le contexte de l’évolution des efforts mondiaux en matière d’observation océanique, il est légitime et nécessaire de rechercher une meilleure coordination entre les différentes initiatives. Toutefois, toute tentative d’instaurer une gouvernance centralisée, quel qu’en soit l’organe, risquerait de nier les efforts déjà déployés aux niveaux national et régional, et pourrait être perçue comme une remise en cause des spécificités des États membres.</w:t>
      </w:r>
    </w:p>
    <w:p w14:paraId="0FF879A6"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Nous appelons donc à une démarche fondée sur l’inclusion, le respect mutuel et l’équité, articulée autour des principes suivants :</w:t>
      </w:r>
    </w:p>
    <w:p w14:paraId="4A5F9392"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1.</w:t>
      </w:r>
      <w:r w:rsidRPr="00AE71B5">
        <w:rPr>
          <w:rFonts w:ascii="Arial" w:eastAsia="Simsun (Founder Extended)" w:hAnsi="Arial" w:cs="Arial"/>
          <w:snapToGrid/>
          <w:sz w:val="22"/>
          <w:szCs w:val="22"/>
          <w:lang w:val="fr-FR"/>
        </w:rPr>
        <w:tab/>
        <w:t>Respect des souverainetés nationales et des priorités régionales</w:t>
      </w:r>
    </w:p>
    <w:p w14:paraId="4FAD1FB4"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Les États côtiers sont porteurs de réalités géographiques, économiques et institutionnelles diverses. Une gouvernance uniforme qui ignorerait ces particularités ne saurait répondre de manière pertinente aux besoins d’observation marine.</w:t>
      </w:r>
    </w:p>
    <w:p w14:paraId="3FA62A29"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2.</w:t>
      </w:r>
      <w:r w:rsidRPr="00AE71B5">
        <w:rPr>
          <w:rFonts w:ascii="Arial" w:eastAsia="Simsun (Founder Extended)" w:hAnsi="Arial" w:cs="Arial"/>
          <w:snapToGrid/>
          <w:sz w:val="22"/>
          <w:szCs w:val="22"/>
          <w:lang w:val="fr-FR"/>
        </w:rPr>
        <w:tab/>
        <w:t>Reconnaissance de la diversité des approches</w:t>
      </w:r>
    </w:p>
    <w:p w14:paraId="64AC44B4"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Les systèmes d’observation s’appuient sur une pluralité de méthodes : savoirs scientifiques, innovations locales, connaissances autochtones. Cette diversité est une richesse qu’il convient de valoriser et non d’uniformiser.</w:t>
      </w:r>
    </w:p>
    <w:p w14:paraId="3FD4971D"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3.</w:t>
      </w:r>
      <w:r w:rsidRPr="00AE71B5">
        <w:rPr>
          <w:rFonts w:ascii="Arial" w:eastAsia="Simsun (Founder Extended)" w:hAnsi="Arial" w:cs="Arial"/>
          <w:snapToGrid/>
          <w:sz w:val="22"/>
          <w:szCs w:val="22"/>
          <w:lang w:val="fr-FR"/>
        </w:rPr>
        <w:tab/>
        <w:t>Équité dans l’accès aux ressources et à la prise de décision</w:t>
      </w:r>
    </w:p>
    <w:p w14:paraId="59B618B0"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Il est impératif d’assurer une coordination juste et transparente, un dialogue effectif avec les Alliances régionales de GOOS, ainsi qu’une allocation budgétaire équitable en faveur de leurs actions.</w:t>
      </w:r>
    </w:p>
    <w:p w14:paraId="39DDFA05"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4.</w:t>
      </w:r>
      <w:r w:rsidRPr="00AE71B5">
        <w:rPr>
          <w:rFonts w:ascii="Arial" w:eastAsia="Simsun (Founder Extended)" w:hAnsi="Arial" w:cs="Arial"/>
          <w:snapToGrid/>
          <w:sz w:val="22"/>
          <w:szCs w:val="22"/>
          <w:lang w:val="fr-FR"/>
        </w:rPr>
        <w:tab/>
        <w:t>Reconnaissance et renforcement des mécanismes de coordination existants</w:t>
      </w:r>
    </w:p>
    <w:p w14:paraId="13CD62BE"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lastRenderedPageBreak/>
        <w:t>Plusieurs mécanismes de coordination régionaux ont démontré leur efficacité, souvent sans appui direct du Secrétariat. Ces efforts doivent être reconnus, renforcés et accompagnés, et non contournés.</w:t>
      </w:r>
    </w:p>
    <w:p w14:paraId="4951CD18"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5.</w:t>
      </w:r>
      <w:r w:rsidRPr="00AE71B5">
        <w:rPr>
          <w:rFonts w:ascii="Arial" w:eastAsia="Simsun (Founder Extended)" w:hAnsi="Arial" w:cs="Arial"/>
          <w:snapToGrid/>
          <w:sz w:val="22"/>
          <w:szCs w:val="22"/>
          <w:lang w:val="fr-FR"/>
        </w:rPr>
        <w:tab/>
        <w:t>Assurance d’une légitimité partagée et d’une opérationnalité réaliste</w:t>
      </w:r>
    </w:p>
    <w:p w14:paraId="6235E2CA"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Une gouvernance robuste doit s’appuyer sur la confiance, l’expérience, les compétences reconnues et un véritable processus participatif, fidèle à l’esprit de coopération et de solidarité intellectuelle promu par l’UNESCO.</w:t>
      </w:r>
    </w:p>
    <w:p w14:paraId="484A4DC1"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L’objectif commun d’amélioration des systèmes mondiaux d’observation océanique ne pourrait être atteint que par une gouvernance coopérative, participative, inclusive, équilibrée et transparente. Il s’agit de privilégier une approche fondée sur la complémentarité plutôt que sur l’uniformisation, la bureaucratie. Alors et alors seulement, nous aurons une gouvernance durable, équitable et adaptée aux enjeux planétaires en prenant en compte les réalités régionales.</w:t>
      </w:r>
    </w:p>
    <w:p w14:paraId="6595ADF1" w14:textId="77777777" w:rsidR="006C41C4" w:rsidRPr="00AE71B5" w:rsidRDefault="006C41C4" w:rsidP="006C41C4">
      <w:pPr>
        <w:keepNext/>
        <w:snapToGrid/>
        <w:spacing w:after="120"/>
        <w:jc w:val="both"/>
        <w:rPr>
          <w:rFonts w:ascii="Arial" w:hAnsi="Arial" w:cs="Arial"/>
          <w:b/>
          <w:sz w:val="22"/>
          <w:szCs w:val="22"/>
          <w:lang w:val="fr-FR"/>
        </w:rPr>
      </w:pPr>
      <w:bookmarkStart w:id="520" w:name="fra451"/>
      <w:r w:rsidRPr="00AE71B5">
        <w:rPr>
          <w:rFonts w:ascii="Arial" w:hAnsi="Arial" w:cs="Arial"/>
          <w:b/>
          <w:sz w:val="22"/>
          <w:szCs w:val="22"/>
          <w:lang w:val="fr-FR"/>
        </w:rPr>
        <w:t>France</w:t>
      </w:r>
    </w:p>
    <w:bookmarkEnd w:id="520"/>
    <w:p w14:paraId="3A3EE5AC"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Cette réforme est essentielle pour assurer la consolidation et le développement d’un système global d’observation de l’océan répondant aux attentes sociétales. L’approche proposée en deux phases est pertinente et doit permettre de faire ressortir les priorités pour la coordination du GOOS. Un point majeur est le lien avec les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et le développement d’un plan d’implémentation du GOOS permettant de guider et d’aligner les contributions des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w:t>
      </w:r>
    </w:p>
    <w:p w14:paraId="19FDB946" w14:textId="77777777" w:rsidR="006C41C4" w:rsidRPr="00E647B1" w:rsidRDefault="006C41C4" w:rsidP="006C41C4">
      <w:pPr>
        <w:keepNext/>
        <w:snapToGrid/>
        <w:spacing w:after="120"/>
        <w:jc w:val="both"/>
        <w:rPr>
          <w:rFonts w:ascii="Arial" w:hAnsi="Arial" w:cs="Arial"/>
          <w:b/>
          <w:sz w:val="22"/>
          <w:szCs w:val="22"/>
          <w:lang w:val="en-US"/>
        </w:rPr>
      </w:pPr>
      <w:bookmarkStart w:id="521" w:name="india451"/>
      <w:r w:rsidRPr="00E647B1">
        <w:rPr>
          <w:rFonts w:ascii="Arial" w:hAnsi="Arial" w:cs="Arial"/>
          <w:b/>
          <w:sz w:val="22"/>
          <w:szCs w:val="22"/>
          <w:lang w:val="en-US"/>
        </w:rPr>
        <w:t>India</w:t>
      </w:r>
    </w:p>
    <w:bookmarkEnd w:id="521"/>
    <w:p w14:paraId="35B9785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has been working with several other Member States for implementing key Ocean Observation networks in the Indian Ocean. In the past one year, India has deployed 48 Argo floats including 9 BGC floats, 09 Wave Drifters, 96 XBT profiles, 21 XCTD profiles, serviced 39 ADCPs, 05 GNSS Receivers collated with Tide Gauges, 16 Wave Rider Buoys redeployment, set up 2 coastal biogeochemical observatories, maintained 32 GNSS and 33 SMA stations, etc. A </w:t>
      </w:r>
      <w:proofErr w:type="spellStart"/>
      <w:r w:rsidRPr="00AE71B5">
        <w:rPr>
          <w:rFonts w:ascii="Arial" w:eastAsia="Simsun (Founder Extended)" w:hAnsi="Arial" w:cs="Arial"/>
          <w:snapToGrid/>
          <w:sz w:val="22"/>
          <w:szCs w:val="22"/>
        </w:rPr>
        <w:t>slocum</w:t>
      </w:r>
      <w:proofErr w:type="spellEnd"/>
      <w:r w:rsidRPr="00AE71B5">
        <w:rPr>
          <w:rFonts w:ascii="Arial" w:eastAsia="Simsun (Founder Extended)" w:hAnsi="Arial" w:cs="Arial"/>
          <w:snapToGrid/>
          <w:sz w:val="22"/>
          <w:szCs w:val="22"/>
        </w:rPr>
        <w:t xml:space="preserve"> glider was deployed to operate between Mauritius and Antarctica. India has been working closely with NOAA, USA for the maintenance of the OMNI/RAMA mooring array. India continued to support the Secretariat for IOGOOS. The last Annual meeting of these bodies was hosted by Mauritius in Port Louis. India through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the UNESCO C2C centre at INCOIS, has also undertaken training programmes in partnership with IOC-GOOS and IOGOOS entitled "Empowering the Next Wave of Indian Ocean Prediction: IOPredict-2024” was hosted by India. Over 80 participants including students and young researchers from Brazil, India, Malaysia, and South Africa have participated in the workshop.</w:t>
      </w:r>
    </w:p>
    <w:p w14:paraId="274A672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would like to thank IOC for providing a strong support structure to the GOOS Regional Alliances and reinitiating the necessary budget allocations towards GRAs as well as putting efforts to connect the GRAs together.</w:t>
      </w:r>
    </w:p>
    <w:p w14:paraId="6C63992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would like to highlight that co-support for several of these activities since1998 came through the Perth Programme office until 2001, and there is a need to substitute this key support for effective implementation of regional GOOS initiatives.</w:t>
      </w:r>
    </w:p>
    <w:p w14:paraId="43F68B0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would like to reiterate that it is important for GOOS to place more focus on building end to end value chains to deliver operational services for various end users. This is where the benefit of ocean observing networks is most directly recognised.</w:t>
      </w:r>
    </w:p>
    <w:p w14:paraId="643FCE0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is happy to announce that we double the Ocean Observation systems in the Indian Ocean during 2026-2031. We seek active support from GOOS and IOC-INDIO for effective coordination of member states for establishing operational multipurpose observation systems in the Indian Ocean region and supporting the early warning systems, Blue Economy and Marine policy initiatives of the member states in the Indian Ocean.</w:t>
      </w:r>
    </w:p>
    <w:p w14:paraId="7ECFB78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considers the Ocean observation as part of one of its national </w:t>
      </w:r>
      <w:proofErr w:type="gramStart"/>
      <w:r w:rsidRPr="00AE71B5">
        <w:rPr>
          <w:rFonts w:ascii="Arial" w:eastAsia="Simsun (Founder Extended)" w:hAnsi="Arial" w:cs="Arial"/>
          <w:snapToGrid/>
          <w:sz w:val="22"/>
          <w:szCs w:val="22"/>
        </w:rPr>
        <w:t>infrastructure</w:t>
      </w:r>
      <w:proofErr w:type="gramEnd"/>
      <w:r w:rsidRPr="00AE71B5">
        <w:rPr>
          <w:rFonts w:ascii="Arial" w:eastAsia="Simsun (Founder Extended)" w:hAnsi="Arial" w:cs="Arial"/>
          <w:snapToGrid/>
          <w:sz w:val="22"/>
          <w:szCs w:val="22"/>
        </w:rPr>
        <w:t>.</w:t>
      </w:r>
    </w:p>
    <w:p w14:paraId="01BFF5AF" w14:textId="77777777" w:rsidR="006C41C4" w:rsidRPr="00AE71B5" w:rsidRDefault="006C41C4" w:rsidP="006C41C4">
      <w:pPr>
        <w:keepNext/>
        <w:snapToGrid/>
        <w:spacing w:after="120"/>
        <w:jc w:val="both"/>
        <w:rPr>
          <w:rFonts w:ascii="Arial" w:hAnsi="Arial" w:cs="Arial"/>
          <w:b/>
          <w:sz w:val="22"/>
          <w:szCs w:val="22"/>
        </w:rPr>
      </w:pPr>
      <w:bookmarkStart w:id="522" w:name="irel451"/>
      <w:r w:rsidRPr="00AE71B5">
        <w:rPr>
          <w:rFonts w:ascii="Arial" w:hAnsi="Arial" w:cs="Arial"/>
          <w:b/>
          <w:sz w:val="22"/>
          <w:szCs w:val="22"/>
        </w:rPr>
        <w:lastRenderedPageBreak/>
        <w:t>Ireland</w:t>
      </w:r>
    </w:p>
    <w:bookmarkEnd w:id="522"/>
    <w:p w14:paraId="3C40ED0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Ireland, the European Marine Board and relevant stakeholders are working to implement the European Ocean Observing System as a complementary element aligned with the GOOS strategic agenda.</w:t>
      </w:r>
    </w:p>
    <w:p w14:paraId="21D0FC3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acutely aware of changes in the global environment in which GOOS operates.</w:t>
      </w:r>
    </w:p>
    <w:p w14:paraId="69685A9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Ireland endorses the vision and approach set out by GOOS given the context. Ireland where appropriate, practical and possible, remains ready assist the evolution of GOOS to support this globally important infrastructure underpinning our understanding of the Ocean, a sustainable blue economy and the health of our citizens.</w:t>
      </w:r>
    </w:p>
    <w:p w14:paraId="63691F4F" w14:textId="77777777" w:rsidR="006C41C4" w:rsidRPr="00AE71B5" w:rsidRDefault="006C41C4" w:rsidP="006C41C4">
      <w:pPr>
        <w:keepNext/>
        <w:snapToGrid/>
        <w:spacing w:after="120"/>
        <w:jc w:val="both"/>
        <w:rPr>
          <w:rFonts w:ascii="Arial" w:hAnsi="Arial" w:cs="Arial"/>
          <w:b/>
          <w:sz w:val="22"/>
          <w:szCs w:val="22"/>
        </w:rPr>
      </w:pPr>
      <w:bookmarkStart w:id="523" w:name="jap451"/>
      <w:r w:rsidRPr="00AE71B5">
        <w:rPr>
          <w:rFonts w:ascii="Arial" w:hAnsi="Arial" w:cs="Arial"/>
          <w:b/>
          <w:sz w:val="22"/>
          <w:szCs w:val="22"/>
        </w:rPr>
        <w:t>Japan</w:t>
      </w:r>
    </w:p>
    <w:bookmarkEnd w:id="523"/>
    <w:p w14:paraId="52E3179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GOOS is one of the IOC's most important programs for establishing a sustainable ocean observation network. The development of GOOS governance, which is currently underway under the GOOS 2030 strategy, will lead to monitoring of the marine environment as well as adaptation and mitigation measures against climate change when combined with future projection models, which are also important for the future development of the Blue Economy. For these reasons, ocean observation is now one of the essential infrastructures.</w:t>
      </w:r>
    </w:p>
    <w:p w14:paraId="6D0C689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has been contributing to GOOS through various activities related to GOOS, such as GO-SHIP, Argo, GLOSS, DBCP, NEAR-GOOS, etc., and has recently been working with the UN Ocean Decade. For example, regarding Argo, Japan continuously deploys more than 30 floats each year, including Deep and Biogeochemical (BGC) floats, and operates more than 150 floats, as well as data management including quality control, and through these activities, Japan is contributing to the promotion of </w:t>
      </w:r>
      <w:proofErr w:type="spellStart"/>
      <w:r w:rsidRPr="00AE71B5">
        <w:rPr>
          <w:rFonts w:ascii="Arial" w:eastAsia="Simsun (Founder Extended)" w:hAnsi="Arial" w:cs="Arial"/>
          <w:snapToGrid/>
          <w:sz w:val="22"/>
          <w:szCs w:val="22"/>
        </w:rPr>
        <w:t>OneArgo</w:t>
      </w:r>
      <w:proofErr w:type="spellEnd"/>
      <w:r w:rsidRPr="00AE71B5">
        <w:rPr>
          <w:rFonts w:ascii="Arial" w:eastAsia="Simsun (Founder Extended)" w:hAnsi="Arial" w:cs="Arial"/>
          <w:snapToGrid/>
          <w:sz w:val="22"/>
          <w:szCs w:val="22"/>
        </w:rPr>
        <w:t xml:space="preserve">, one of the projects of the UN Ocean Decade. In addition, as an activity related to </w:t>
      </w:r>
      <w:proofErr w:type="spellStart"/>
      <w:r w:rsidRPr="00AE71B5">
        <w:rPr>
          <w:rFonts w:ascii="Arial" w:eastAsia="Simsun (Founder Extended)" w:hAnsi="Arial" w:cs="Arial"/>
          <w:snapToGrid/>
          <w:sz w:val="22"/>
          <w:szCs w:val="22"/>
        </w:rPr>
        <w:t>CoastPredict</w:t>
      </w:r>
      <w:proofErr w:type="spellEnd"/>
      <w:r w:rsidRPr="00AE71B5">
        <w:rPr>
          <w:rFonts w:ascii="Arial" w:eastAsia="Simsun (Founder Extended)" w:hAnsi="Arial" w:cs="Arial"/>
          <w:snapToGrid/>
          <w:sz w:val="22"/>
          <w:szCs w:val="22"/>
        </w:rPr>
        <w:t xml:space="preserve">, which held a side event with GOOS last week, research on ocean observation network optimization and ocean model data assimilation technology improvement is being promoted through </w:t>
      </w:r>
      <w:proofErr w:type="spellStart"/>
      <w:r w:rsidRPr="00AE71B5">
        <w:rPr>
          <w:rFonts w:ascii="Arial" w:eastAsia="Simsun (Founder Extended)" w:hAnsi="Arial" w:cs="Arial"/>
          <w:snapToGrid/>
          <w:sz w:val="22"/>
          <w:szCs w:val="22"/>
        </w:rPr>
        <w:t>SybObs</w:t>
      </w:r>
      <w:proofErr w:type="spellEnd"/>
      <w:r w:rsidRPr="00AE71B5">
        <w:rPr>
          <w:rFonts w:ascii="Arial" w:eastAsia="Simsun (Founder Extended)" w:hAnsi="Arial" w:cs="Arial"/>
          <w:snapToGrid/>
          <w:sz w:val="22"/>
          <w:szCs w:val="22"/>
        </w:rPr>
        <w:t xml:space="preserve"> (Synergistic Observing Network for Ocean Prediction), one of the projects of the UN Ocean Decade, with the Meteorological Research Institute of Japan serving as the focal point. Japan will continue to contribute to GOOS activities.</w:t>
      </w:r>
    </w:p>
    <w:p w14:paraId="10159BA3" w14:textId="77777777" w:rsidR="006C41C4" w:rsidRPr="00E647B1" w:rsidRDefault="006C41C4" w:rsidP="006C41C4">
      <w:pPr>
        <w:keepNext/>
        <w:snapToGrid/>
        <w:spacing w:after="120"/>
        <w:jc w:val="both"/>
        <w:rPr>
          <w:rFonts w:ascii="Arial" w:hAnsi="Arial" w:cs="Arial"/>
          <w:b/>
          <w:sz w:val="22"/>
          <w:szCs w:val="22"/>
          <w:lang w:val="en-US"/>
        </w:rPr>
      </w:pPr>
      <w:bookmarkStart w:id="524" w:name="malay451"/>
      <w:r w:rsidRPr="00E647B1">
        <w:rPr>
          <w:rFonts w:ascii="Arial" w:hAnsi="Arial" w:cs="Arial"/>
          <w:b/>
          <w:sz w:val="22"/>
          <w:szCs w:val="22"/>
          <w:lang w:val="en-US"/>
        </w:rPr>
        <w:t>Malaysia</w:t>
      </w:r>
    </w:p>
    <w:bookmarkEnd w:id="524"/>
    <w:p w14:paraId="28007EF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acknowledges the vital role of the Global Ocean Observing System (GOOS) in supporting climate resilience, disaster risk reduction, and sustainable ocean management. We commend the continued efforts of the IOC in strengthening the GOOS governance and implementation mechanisms.</w:t>
      </w:r>
    </w:p>
    <w:p w14:paraId="3614109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Regionally, Malaysia remains committed to contributing to SEAGOOS and IOGOOS. Through SEAGOOS, we value the collaborative work that enhances ocean observation across the Western Pacific, including regional initiatives that support marine spatial planning, plastic pollution monitoring, and biodiversity assessments.</w:t>
      </w:r>
    </w:p>
    <w:p w14:paraId="3ACD4D8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the Indian Ocean, Malaysia is pleased to engage with IOGOOS, particularly in joint efforts related to the Second International Indian Ocean Expedition (IIOE-2) and ocean climate observation. </w:t>
      </w:r>
    </w:p>
    <w:p w14:paraId="71249B6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reaffirms our support for GOOS and </w:t>
      </w:r>
      <w:proofErr w:type="gramStart"/>
      <w:r w:rsidRPr="00AE71B5">
        <w:rPr>
          <w:rFonts w:ascii="Arial" w:eastAsia="Simsun (Founder Extended)" w:hAnsi="Arial" w:cs="Arial"/>
          <w:snapToGrid/>
          <w:sz w:val="22"/>
          <w:szCs w:val="22"/>
        </w:rPr>
        <w:t>encourage</w:t>
      </w:r>
      <w:proofErr w:type="gramEnd"/>
      <w:r w:rsidRPr="00AE71B5">
        <w:rPr>
          <w:rFonts w:ascii="Arial" w:eastAsia="Simsun (Founder Extended)" w:hAnsi="Arial" w:cs="Arial"/>
          <w:snapToGrid/>
          <w:sz w:val="22"/>
          <w:szCs w:val="22"/>
        </w:rPr>
        <w:t xml:space="preserve"> all Member States to strengthen regional cooperation to ensure ocean observations are fit-for-purpose in addressing today’s pressing environmental and societal challenges.</w:t>
      </w:r>
    </w:p>
    <w:p w14:paraId="246B547B" w14:textId="77777777" w:rsidR="006C41C4" w:rsidRPr="00AE71B5" w:rsidRDefault="006C41C4" w:rsidP="006C41C4">
      <w:pPr>
        <w:keepNext/>
        <w:snapToGrid/>
        <w:spacing w:after="120"/>
        <w:jc w:val="both"/>
        <w:rPr>
          <w:rFonts w:ascii="Arial" w:hAnsi="Arial" w:cs="Arial"/>
          <w:b/>
          <w:sz w:val="22"/>
          <w:szCs w:val="22"/>
        </w:rPr>
      </w:pPr>
      <w:bookmarkStart w:id="525" w:name="rus451"/>
      <w:r w:rsidRPr="00AE71B5">
        <w:rPr>
          <w:rFonts w:ascii="Arial" w:hAnsi="Arial" w:cs="Arial"/>
          <w:b/>
          <w:sz w:val="22"/>
          <w:szCs w:val="22"/>
        </w:rPr>
        <w:t xml:space="preserve">Russian Federation </w:t>
      </w:r>
    </w:p>
    <w:bookmarkEnd w:id="525"/>
    <w:p w14:paraId="4494A8D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Russian Federation notes that, </w:t>
      </w:r>
      <w:proofErr w:type="gramStart"/>
      <w:r w:rsidRPr="00AE71B5">
        <w:rPr>
          <w:rFonts w:ascii="Arial" w:eastAsia="Simsun (Founder Extended)" w:hAnsi="Arial" w:cs="Arial"/>
          <w:snapToGrid/>
          <w:sz w:val="22"/>
          <w:szCs w:val="22"/>
        </w:rPr>
        <w:t>in light of</w:t>
      </w:r>
      <w:proofErr w:type="gramEnd"/>
      <w:r w:rsidRPr="00AE71B5">
        <w:rPr>
          <w:rFonts w:ascii="Arial" w:eastAsia="Simsun (Founder Extended)" w:hAnsi="Arial" w:cs="Arial"/>
          <w:snapToGrid/>
          <w:sz w:val="22"/>
          <w:szCs w:val="22"/>
        </w:rPr>
        <w:t xml:space="preserve"> the increasing demands on the Global Ocean Observing System (GOOS), the improvement of GOOS governance mechanisms with the participation of the IOC, WMO, and other co-sponsoring organizations is becoming increasingly relevant. This process must align with the needs and priorities of Member States.</w:t>
      </w:r>
    </w:p>
    <w:p w14:paraId="161EBFE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One of the key objectives of GOOS is the development of the necessary ocean observing infrastructure at national, regional, and global levels, as well as the establishment of a data ecosystem that meets the requirements of end users. In this context, we emphasize the importance of strengthening support for regional GOOS alliances and enhancing cooperation with them.</w:t>
      </w:r>
    </w:p>
    <w:p w14:paraId="34B52C2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At the regional level, the Russian Federation contributes to and remains committed to the further development of NEAR-GOOS.</w:t>
      </w:r>
    </w:p>
    <w:p w14:paraId="256AC9B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support the step-by-step action plan for improving GOOS governance, as proposed by the IOC Secretariat. This plan includes clarification of the system’s mission, scope, structure, terms of reference, reporting mechanisms, data provision strategy, and the establishment of a GOOS core network.</w:t>
      </w:r>
    </w:p>
    <w:p w14:paraId="0CC8BE75" w14:textId="77777777" w:rsidR="006C41C4" w:rsidRPr="009863A3" w:rsidRDefault="006C41C4" w:rsidP="006C41C4">
      <w:pPr>
        <w:keepNext/>
        <w:snapToGrid/>
        <w:spacing w:after="120"/>
        <w:jc w:val="both"/>
        <w:rPr>
          <w:rFonts w:ascii="Arial" w:hAnsi="Arial" w:cs="Arial"/>
          <w:b/>
          <w:sz w:val="22"/>
          <w:szCs w:val="22"/>
          <w:lang w:val="en-US"/>
        </w:rPr>
      </w:pPr>
      <w:bookmarkStart w:id="526" w:name="sa451"/>
      <w:r w:rsidRPr="009863A3">
        <w:rPr>
          <w:rFonts w:ascii="Arial" w:hAnsi="Arial" w:cs="Arial"/>
          <w:b/>
          <w:sz w:val="22"/>
          <w:szCs w:val="22"/>
          <w:lang w:val="en-US"/>
        </w:rPr>
        <w:t>South Africa</w:t>
      </w:r>
    </w:p>
    <w:bookmarkEnd w:id="526"/>
    <w:p w14:paraId="0C3F4D99"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believe the </w:t>
      </w:r>
      <w:proofErr w:type="spellStart"/>
      <w:r w:rsidRPr="00AE71B5">
        <w:rPr>
          <w:rFonts w:ascii="Arial" w:eastAsia="Simsun (Founder Extended)" w:hAnsi="Arial" w:cs="Arial"/>
          <w:snapToGrid/>
          <w:sz w:val="22"/>
          <w:szCs w:val="22"/>
          <w:lang w:val="en-US"/>
        </w:rPr>
        <w:t>revitalisation</w:t>
      </w:r>
      <w:proofErr w:type="spellEnd"/>
      <w:r w:rsidRPr="00AE71B5">
        <w:rPr>
          <w:rFonts w:ascii="Arial" w:eastAsia="Simsun (Founder Extended)" w:hAnsi="Arial" w:cs="Arial"/>
          <w:snapToGrid/>
          <w:sz w:val="22"/>
          <w:szCs w:val="22"/>
          <w:lang w:val="en-US"/>
        </w:rPr>
        <w:t xml:space="preserve"> of GOOS will enable it to fulfil its mandate of providing the much-needed ocean observation services d. The improved GOOS 2.0 is vital for the success of, amongst others, UN Ocean Decade and the challenges it faces are unfortunate and every effort to </w:t>
      </w:r>
      <w:proofErr w:type="spellStart"/>
      <w:r w:rsidRPr="00AE71B5">
        <w:rPr>
          <w:rFonts w:ascii="Arial" w:eastAsia="Simsun (Founder Extended)" w:hAnsi="Arial" w:cs="Arial"/>
          <w:snapToGrid/>
          <w:sz w:val="22"/>
          <w:szCs w:val="22"/>
          <w:lang w:val="en-US"/>
        </w:rPr>
        <w:t>mobilise</w:t>
      </w:r>
      <w:proofErr w:type="spellEnd"/>
      <w:r w:rsidRPr="00AE71B5">
        <w:rPr>
          <w:rFonts w:ascii="Arial" w:eastAsia="Simsun (Founder Extended)" w:hAnsi="Arial" w:cs="Arial"/>
          <w:snapToGrid/>
          <w:sz w:val="22"/>
          <w:szCs w:val="22"/>
          <w:lang w:val="en-US"/>
        </w:rPr>
        <w:t xml:space="preserve"> resources should be made to enable its progress towards its reformation </w:t>
      </w:r>
      <w:proofErr w:type="gramStart"/>
      <w:r w:rsidRPr="00AE71B5">
        <w:rPr>
          <w:rFonts w:ascii="Arial" w:eastAsia="Simsun (Founder Extended)" w:hAnsi="Arial" w:cs="Arial"/>
          <w:snapToGrid/>
          <w:sz w:val="22"/>
          <w:szCs w:val="22"/>
          <w:lang w:val="en-US"/>
        </w:rPr>
        <w:t>succeeds</w:t>
      </w:r>
      <w:proofErr w:type="gramEnd"/>
      <w:r w:rsidRPr="00AE71B5">
        <w:rPr>
          <w:rFonts w:ascii="Arial" w:eastAsia="Simsun (Founder Extended)" w:hAnsi="Arial" w:cs="Arial"/>
          <w:snapToGrid/>
          <w:sz w:val="22"/>
          <w:szCs w:val="22"/>
          <w:lang w:val="en-US"/>
        </w:rPr>
        <w:t xml:space="preserve">. As stated on the presentation that GOOS is a “Member States” driven body, we believe that the </w:t>
      </w:r>
      <w:proofErr w:type="spellStart"/>
      <w:r w:rsidRPr="00AE71B5">
        <w:rPr>
          <w:rFonts w:ascii="Arial" w:eastAsia="Simsun (Founder Extended)" w:hAnsi="Arial" w:cs="Arial"/>
          <w:snapToGrid/>
          <w:sz w:val="22"/>
          <w:szCs w:val="22"/>
          <w:lang w:val="en-US"/>
        </w:rPr>
        <w:t>revitalisation</w:t>
      </w:r>
      <w:proofErr w:type="spellEnd"/>
      <w:r w:rsidRPr="00AE71B5">
        <w:rPr>
          <w:rFonts w:ascii="Arial" w:eastAsia="Simsun (Founder Extended)" w:hAnsi="Arial" w:cs="Arial"/>
          <w:snapToGrid/>
          <w:sz w:val="22"/>
          <w:szCs w:val="22"/>
          <w:lang w:val="en-US"/>
        </w:rPr>
        <w:t xml:space="preserve"> process should be open to “</w:t>
      </w:r>
      <w:proofErr w:type="spellStart"/>
      <w:r w:rsidRPr="00AE71B5">
        <w:rPr>
          <w:rFonts w:ascii="Arial" w:eastAsia="Simsun (Founder Extended)" w:hAnsi="Arial" w:cs="Arial"/>
          <w:snapToGrid/>
          <w:sz w:val="22"/>
          <w:szCs w:val="22"/>
          <w:lang w:val="en-US"/>
        </w:rPr>
        <w:t>customise</w:t>
      </w:r>
      <w:proofErr w:type="spellEnd"/>
      <w:r w:rsidRPr="00AE71B5">
        <w:rPr>
          <w:rFonts w:ascii="Arial" w:eastAsia="Simsun (Founder Extended)" w:hAnsi="Arial" w:cs="Arial"/>
          <w:snapToGrid/>
          <w:sz w:val="22"/>
          <w:szCs w:val="22"/>
          <w:lang w:val="en-US"/>
        </w:rPr>
        <w:t xml:space="preserve">” its approach depending on the needs of the Member States and stakeholders in specific regions, such as GOOS-AFRICA. GOOSAFRICA is also undergoing the process of </w:t>
      </w:r>
      <w:proofErr w:type="spellStart"/>
      <w:proofErr w:type="gramStart"/>
      <w:r w:rsidRPr="00AE71B5">
        <w:rPr>
          <w:rFonts w:ascii="Arial" w:eastAsia="Simsun (Founder Extended)" w:hAnsi="Arial" w:cs="Arial"/>
          <w:snapToGrid/>
          <w:sz w:val="22"/>
          <w:szCs w:val="22"/>
          <w:lang w:val="en-US"/>
        </w:rPr>
        <w:t>revitalisation</w:t>
      </w:r>
      <w:proofErr w:type="spellEnd"/>
      <w:proofErr w:type="gramEnd"/>
      <w:r w:rsidRPr="00AE71B5">
        <w:rPr>
          <w:rFonts w:ascii="Arial" w:eastAsia="Simsun (Founder Extended)" w:hAnsi="Arial" w:cs="Arial"/>
          <w:snapToGrid/>
          <w:sz w:val="22"/>
          <w:szCs w:val="22"/>
          <w:lang w:val="en-US"/>
        </w:rPr>
        <w:t xml:space="preserve"> and we believe that GOOS and GOOS-AFRICA will share notes during this period.</w:t>
      </w:r>
    </w:p>
    <w:p w14:paraId="739097CF" w14:textId="77777777" w:rsidR="006C41C4" w:rsidRPr="009863A3" w:rsidRDefault="006C41C4" w:rsidP="006C41C4">
      <w:pPr>
        <w:keepNext/>
        <w:snapToGrid/>
        <w:spacing w:after="120"/>
        <w:jc w:val="both"/>
        <w:rPr>
          <w:rFonts w:ascii="Arial" w:hAnsi="Arial" w:cs="Arial"/>
          <w:b/>
          <w:sz w:val="22"/>
          <w:szCs w:val="22"/>
          <w:lang w:val="en-US"/>
        </w:rPr>
      </w:pPr>
      <w:bookmarkStart w:id="527" w:name="usa451"/>
      <w:r w:rsidRPr="009863A3">
        <w:rPr>
          <w:rFonts w:ascii="Arial" w:hAnsi="Arial" w:cs="Arial"/>
          <w:b/>
          <w:sz w:val="22"/>
          <w:szCs w:val="22"/>
          <w:lang w:val="en-US"/>
        </w:rPr>
        <w:t xml:space="preserve">United States of America </w:t>
      </w:r>
    </w:p>
    <w:bookmarkEnd w:id="527"/>
    <w:p w14:paraId="0D1CC701"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United States welcomes progress by GOOS towards their Strategic Objectives, and we appreciate the IOC responding to the needs of Member States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ensure that GOOS governance is fit for purpose, and that it supports an efficient and effective ocean observing system. The United States remains committed to supporting the global GOOS ocean observing community as critical infrastructure, and we support the decision as drafted. We encourage GOOS and the IOC to embrace this opportunity to reform GOOS, to improve its governance and practices, to better advocate for, develop, and sustain critical ocean observations for the benefit of all.</w:t>
      </w:r>
    </w:p>
    <w:p w14:paraId="240B2CEF" w14:textId="77777777" w:rsidR="006C41C4" w:rsidRPr="00E647B1" w:rsidRDefault="006C41C4" w:rsidP="006C41C4">
      <w:pPr>
        <w:keepNext/>
        <w:snapToGrid/>
        <w:spacing w:after="120"/>
        <w:jc w:val="both"/>
        <w:rPr>
          <w:rFonts w:ascii="Arial" w:hAnsi="Arial" w:cs="Arial"/>
          <w:b/>
          <w:sz w:val="22"/>
          <w:szCs w:val="22"/>
          <w:lang w:val="en-US"/>
        </w:rPr>
      </w:pPr>
      <w:bookmarkStart w:id="528" w:name="soos451"/>
      <w:r w:rsidRPr="00AE71B5">
        <w:rPr>
          <w:rFonts w:ascii="Arial" w:hAnsi="Arial" w:cs="Arial"/>
          <w:b/>
          <w:sz w:val="22"/>
          <w:szCs w:val="22"/>
          <w:lang w:val="en-US"/>
        </w:rPr>
        <w:t>Southern Ocean Observing System</w:t>
      </w:r>
      <w:r w:rsidRPr="00E647B1">
        <w:rPr>
          <w:rFonts w:ascii="Arial" w:hAnsi="Arial" w:cs="Arial"/>
          <w:b/>
          <w:sz w:val="22"/>
          <w:szCs w:val="22"/>
          <w:lang w:val="en-US"/>
        </w:rPr>
        <w:t xml:space="preserve"> (SOOS)</w:t>
      </w:r>
    </w:p>
    <w:bookmarkEnd w:id="528"/>
    <w:p w14:paraId="5BC78FC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Southern Ocean Observing System (SOOS) is an independent, international initiative of the Scientific Committee on Oceanic Research (SCOR) and the Scientific Committee on Antarctic Research (SCAR) with the mission to facilitate the enhanced collection and delivery of essential observations from the Southern Ocean to all stakeholders. Acting as the Southern Ocean regional alliance, SOOS appreciates GOOS' efforts advocating for increased ocean observations to meet societal needs. There is a pressing societal requirement for ocean observations as recently made evident at the UN Ocean Conference and the statement from the Partnership for Observation of the Global Ocean.</w:t>
      </w:r>
    </w:p>
    <w:p w14:paraId="11E4E0E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Southern Ocean plays a critical role in the earth climate system, including driving global circulation, accounting for 50% of the oceanic uptake of CO2 and 75% of excess heat. Yet, it is undergoing significant </w:t>
      </w:r>
      <w:proofErr w:type="gramStart"/>
      <w:r w:rsidRPr="00AE71B5">
        <w:rPr>
          <w:rFonts w:ascii="Arial" w:eastAsia="Simsun (Founder Extended)" w:hAnsi="Arial" w:cs="Arial"/>
          <w:snapToGrid/>
          <w:sz w:val="22"/>
          <w:szCs w:val="22"/>
        </w:rPr>
        <w:t>changes</w:t>
      </w:r>
      <w:proofErr w:type="gramEnd"/>
      <w:r w:rsidRPr="00AE71B5">
        <w:rPr>
          <w:rFonts w:ascii="Arial" w:eastAsia="Simsun (Founder Extended)" w:hAnsi="Arial" w:cs="Arial"/>
          <w:snapToGrid/>
          <w:sz w:val="22"/>
          <w:szCs w:val="22"/>
        </w:rPr>
        <w:t xml:space="preserve"> and we lack the sustained and coordinated observations required to understand the extent of these changes, to predict likely future states and the impact these changes </w:t>
      </w:r>
      <w:proofErr w:type="gramStart"/>
      <w:r w:rsidRPr="00AE71B5">
        <w:rPr>
          <w:rFonts w:ascii="Arial" w:eastAsia="Simsun (Founder Extended)" w:hAnsi="Arial" w:cs="Arial"/>
          <w:snapToGrid/>
          <w:sz w:val="22"/>
          <w:szCs w:val="22"/>
        </w:rPr>
        <w:t>are, and</w:t>
      </w:r>
      <w:proofErr w:type="gramEnd"/>
      <w:r w:rsidRPr="00AE71B5">
        <w:rPr>
          <w:rFonts w:ascii="Arial" w:eastAsia="Simsun (Founder Extended)" w:hAnsi="Arial" w:cs="Arial"/>
          <w:snapToGrid/>
          <w:sz w:val="22"/>
          <w:szCs w:val="22"/>
        </w:rPr>
        <w:t xml:space="preserve"> will continue to have.</w:t>
      </w:r>
    </w:p>
    <w:p w14:paraId="1493C1B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No one nation alone can collect the observations required in the Southern Ocean, therefore coordination and collaboration </w:t>
      </w:r>
      <w:proofErr w:type="gramStart"/>
      <w:r w:rsidRPr="00AE71B5">
        <w:rPr>
          <w:rFonts w:ascii="Arial" w:eastAsia="Simsun (Founder Extended)" w:hAnsi="Arial" w:cs="Arial"/>
          <w:snapToGrid/>
          <w:sz w:val="22"/>
          <w:szCs w:val="22"/>
        </w:rPr>
        <w:t>is</w:t>
      </w:r>
      <w:proofErr w:type="gramEnd"/>
      <w:r w:rsidRPr="00AE71B5">
        <w:rPr>
          <w:rFonts w:ascii="Arial" w:eastAsia="Simsun (Founder Extended)" w:hAnsi="Arial" w:cs="Arial"/>
          <w:snapToGrid/>
          <w:sz w:val="22"/>
          <w:szCs w:val="22"/>
        </w:rPr>
        <w:t xml:space="preserve"> essential to understanding the Southern Ocean. SOOS is facilitating this coordination and collaboration through aligning international priorities, enhancing collaboration and capacities, enhancing data visibility and accessibility, and ensuring the knowledge gained is available to all stakeholders including policy.</w:t>
      </w:r>
    </w:p>
    <w:p w14:paraId="037ABF1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SOOS has recently been successfully awarded a grant from the </w:t>
      </w:r>
      <w:proofErr w:type="spellStart"/>
      <w:r w:rsidRPr="00AE71B5">
        <w:rPr>
          <w:rFonts w:ascii="Arial" w:eastAsia="Simsun (Founder Extended)" w:hAnsi="Arial" w:cs="Arial"/>
          <w:snapToGrid/>
          <w:sz w:val="22"/>
          <w:szCs w:val="22"/>
        </w:rPr>
        <w:t>Fondation</w:t>
      </w:r>
      <w:proofErr w:type="spellEnd"/>
      <w:r w:rsidRPr="00AE71B5">
        <w:rPr>
          <w:rFonts w:ascii="Arial" w:eastAsia="Simsun (Founder Extended)" w:hAnsi="Arial" w:cs="Arial"/>
          <w:snapToGrid/>
          <w:sz w:val="22"/>
          <w:szCs w:val="22"/>
        </w:rPr>
        <w:t xml:space="preserve"> Prince Albert II de Monaco which will deliver interactive maps of observational coverage and data for key Southern Ocean variables through our data discovery tool, </w:t>
      </w:r>
      <w:proofErr w:type="spellStart"/>
      <w:r w:rsidRPr="00AE71B5">
        <w:rPr>
          <w:rFonts w:ascii="Arial" w:eastAsia="Simsun (Founder Extended)" w:hAnsi="Arial" w:cs="Arial"/>
          <w:snapToGrid/>
          <w:sz w:val="22"/>
          <w:szCs w:val="22"/>
        </w:rPr>
        <w:t>SOOSmap</w:t>
      </w:r>
      <w:proofErr w:type="spellEnd"/>
      <w:r w:rsidRPr="00AE71B5">
        <w:rPr>
          <w:rFonts w:ascii="Arial" w:eastAsia="Simsun (Founder Extended)" w:hAnsi="Arial" w:cs="Arial"/>
          <w:snapToGrid/>
          <w:sz w:val="22"/>
          <w:szCs w:val="22"/>
        </w:rPr>
        <w:t>. Further, SOOS will be using this tool to develop regular Status of the Southern Ocean report cards which will be made available to all stakeholders including policymakers.</w:t>
      </w:r>
    </w:p>
    <w:p w14:paraId="17012DF2" w14:textId="77777777" w:rsidR="006C41C4" w:rsidRPr="00AE71B5" w:rsidRDefault="006C41C4" w:rsidP="006C41C4">
      <w:pPr>
        <w:keepNext/>
        <w:snapToGrid/>
        <w:spacing w:after="120"/>
        <w:jc w:val="both"/>
        <w:rPr>
          <w:rFonts w:ascii="Arial" w:hAnsi="Arial" w:cs="Arial"/>
          <w:b/>
          <w:sz w:val="22"/>
          <w:szCs w:val="22"/>
        </w:rPr>
      </w:pPr>
      <w:bookmarkStart w:id="529" w:name="wmo451"/>
      <w:r w:rsidRPr="00AE71B5">
        <w:rPr>
          <w:rFonts w:ascii="Arial" w:hAnsi="Arial" w:cs="Arial"/>
          <w:b/>
          <w:sz w:val="22"/>
          <w:szCs w:val="22"/>
        </w:rPr>
        <w:t>World Meteorological Organization (WMO)</w:t>
      </w:r>
    </w:p>
    <w:bookmarkEnd w:id="529"/>
    <w:p w14:paraId="234C61E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GOOS is critical infrastructure. From our perspective as a co-sponsor, it is a key Earth System domain contributor to the WMO Integrated Global Observing System. Much of the physical data from GOOS networks flows through the WMO Information System to prediction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The meteorological services and other weather, marine, and climate prediction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that coordinate activities through WMO represent an important user of GOOS observations. These observations have long been recognized as important in climate prediction, and there is growing evidence of the positive impact of surface and subsurface ocean observations on weather prediction skill, including for tropical storms. We are aware of the fragility of funding arrangements that sustain many </w:t>
      </w:r>
      <w:proofErr w:type="gramStart"/>
      <w:r w:rsidRPr="00AE71B5">
        <w:rPr>
          <w:rFonts w:ascii="Arial" w:eastAsia="Simsun (Founder Extended)" w:hAnsi="Arial" w:cs="Arial"/>
          <w:snapToGrid/>
          <w:sz w:val="22"/>
          <w:szCs w:val="22"/>
        </w:rPr>
        <w:t>ocean</w:t>
      </w:r>
      <w:proofErr w:type="gramEnd"/>
      <w:r w:rsidRPr="00AE71B5">
        <w:rPr>
          <w:rFonts w:ascii="Arial" w:eastAsia="Simsun (Founder Extended)" w:hAnsi="Arial" w:cs="Arial"/>
          <w:snapToGrid/>
          <w:sz w:val="22"/>
          <w:szCs w:val="22"/>
        </w:rPr>
        <w:t xml:space="preserve"> observing </w:t>
      </w:r>
      <w:proofErr w:type="gramStart"/>
      <w:r w:rsidRPr="00AE71B5">
        <w:rPr>
          <w:rFonts w:ascii="Arial" w:eastAsia="Simsun (Founder Extended)" w:hAnsi="Arial" w:cs="Arial"/>
          <w:snapToGrid/>
          <w:sz w:val="22"/>
          <w:szCs w:val="22"/>
        </w:rPr>
        <w:t>networks, and</w:t>
      </w:r>
      <w:proofErr w:type="gramEnd"/>
      <w:r w:rsidRPr="00AE71B5">
        <w:rPr>
          <w:rFonts w:ascii="Arial" w:eastAsia="Simsun (Founder Extended)" w:hAnsi="Arial" w:cs="Arial"/>
          <w:snapToGrid/>
          <w:sz w:val="22"/>
          <w:szCs w:val="22"/>
        </w:rPr>
        <w:t xml:space="preserve"> will continue to build advocacy for these. </w:t>
      </w:r>
    </w:p>
    <w:p w14:paraId="44557FB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WMO’s contribution to the GOOS programme comes in the WMO staff that are part of the GOOS Management Team including OceanOPS, with both WMO regular and extrabudgetary funding; as well as direct support through a UN2UN agreement.</w:t>
      </w:r>
    </w:p>
    <w:p w14:paraId="1F1249C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An important emerging strategic orientation at WMO is technical assistance to developing country Members in their national implementation of infrastructure and early warning systems, including through development projects; there is potential to include parts of GOOS in this work.</w:t>
      </w:r>
    </w:p>
    <w:p w14:paraId="1BA63D0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examination of GOOS governance and look forward to continued engagement in the process.</w:t>
      </w:r>
    </w:p>
    <w:p w14:paraId="537F08AF" w14:textId="77777777" w:rsidR="006C41C4" w:rsidRPr="00E647B1" w:rsidRDefault="006C41C4" w:rsidP="006C41C4">
      <w:pPr>
        <w:shd w:val="clear" w:color="auto" w:fill="D0CECE"/>
        <w:tabs>
          <w:tab w:val="clear" w:pos="567"/>
        </w:tabs>
        <w:spacing w:before="240" w:after="120"/>
        <w:ind w:left="709" w:hanging="709"/>
        <w:rPr>
          <w:rFonts w:ascii="Arial" w:hAnsi="Arial" w:cs="Arial"/>
          <w:b/>
          <w:sz w:val="22"/>
          <w:szCs w:val="22"/>
          <w:lang w:val="es-ES"/>
        </w:rPr>
      </w:pPr>
      <w:r w:rsidRPr="00E647B1">
        <w:rPr>
          <w:rFonts w:ascii="Arial" w:hAnsi="Arial" w:cs="Arial"/>
          <w:b/>
          <w:sz w:val="22"/>
          <w:szCs w:val="22"/>
          <w:lang w:val="es-ES"/>
        </w:rPr>
        <w:t>4.5.2</w:t>
      </w:r>
      <w:r w:rsidRPr="00E647B1">
        <w:rPr>
          <w:rFonts w:ascii="Arial" w:hAnsi="Arial" w:cs="Arial"/>
          <w:b/>
          <w:sz w:val="22"/>
          <w:szCs w:val="22"/>
          <w:lang w:val="es-ES"/>
        </w:rPr>
        <w:tab/>
        <w:t xml:space="preserve">GOOS </w:t>
      </w:r>
      <w:proofErr w:type="spellStart"/>
      <w:r w:rsidRPr="00E647B1">
        <w:rPr>
          <w:rFonts w:ascii="Arial" w:hAnsi="Arial" w:cs="Arial"/>
          <w:b/>
          <w:sz w:val="22"/>
          <w:szCs w:val="22"/>
          <w:lang w:val="es-ES"/>
        </w:rPr>
        <w:t>Steering</w:t>
      </w:r>
      <w:proofErr w:type="spellEnd"/>
      <w:r w:rsidRPr="00E647B1">
        <w:rPr>
          <w:rFonts w:ascii="Arial" w:hAnsi="Arial" w:cs="Arial"/>
          <w:b/>
          <w:sz w:val="22"/>
          <w:szCs w:val="22"/>
          <w:lang w:val="es-ES"/>
        </w:rPr>
        <w:t xml:space="preserve"> </w:t>
      </w:r>
      <w:proofErr w:type="spellStart"/>
      <w:r w:rsidRPr="00E647B1">
        <w:rPr>
          <w:rFonts w:ascii="Arial" w:hAnsi="Arial" w:cs="Arial"/>
          <w:b/>
          <w:sz w:val="22"/>
          <w:szCs w:val="22"/>
          <w:lang w:val="es-ES"/>
        </w:rPr>
        <w:t>Committee</w:t>
      </w:r>
      <w:proofErr w:type="spellEnd"/>
      <w:r w:rsidRPr="00E647B1">
        <w:rPr>
          <w:rFonts w:ascii="Arial" w:hAnsi="Arial" w:cs="Arial"/>
          <w:b/>
          <w:sz w:val="22"/>
          <w:szCs w:val="22"/>
          <w:lang w:val="es-ES"/>
        </w:rPr>
        <w:t xml:space="preserve"> </w:t>
      </w:r>
      <w:proofErr w:type="spellStart"/>
      <w:r w:rsidRPr="00E647B1">
        <w:rPr>
          <w:rFonts w:ascii="Arial" w:hAnsi="Arial" w:cs="Arial"/>
          <w:b/>
          <w:sz w:val="22"/>
          <w:szCs w:val="22"/>
          <w:lang w:val="es-ES"/>
        </w:rPr>
        <w:t>Workplan</w:t>
      </w:r>
      <w:proofErr w:type="spellEnd"/>
    </w:p>
    <w:p w14:paraId="4B7CF9B1" w14:textId="77777777" w:rsidR="006C41C4" w:rsidRPr="00E647B1" w:rsidRDefault="006C41C4" w:rsidP="006C41C4">
      <w:pPr>
        <w:keepNext/>
        <w:snapToGrid/>
        <w:spacing w:after="120"/>
        <w:jc w:val="both"/>
        <w:rPr>
          <w:rFonts w:ascii="Arial" w:hAnsi="Arial" w:cs="Arial"/>
          <w:b/>
          <w:sz w:val="22"/>
          <w:szCs w:val="22"/>
          <w:lang w:val="es-ES"/>
        </w:rPr>
      </w:pPr>
      <w:bookmarkStart w:id="530" w:name="chil452"/>
      <w:r w:rsidRPr="00E647B1">
        <w:rPr>
          <w:rFonts w:ascii="Arial" w:hAnsi="Arial" w:cs="Arial"/>
          <w:b/>
          <w:sz w:val="22"/>
          <w:szCs w:val="22"/>
          <w:lang w:val="es-ES"/>
        </w:rPr>
        <w:t>Chile</w:t>
      </w:r>
    </w:p>
    <w:bookmarkEnd w:id="530"/>
    <w:p w14:paraId="1483C628"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Quisiera agradecer la confianza depositada en Chile, al haber designado a Matías Sifón del Servicio Hidrográfico y Oceanográfico de la Armada de Chile, para continuar sirviendo por un segundo periodo como miembro experto regional del Comité Directivo de GOOS por el Grupo Electoral III de Estados Miembros, para los años 2026-2027.</w:t>
      </w:r>
    </w:p>
    <w:p w14:paraId="1E55B19E" w14:textId="77777777" w:rsidR="006C41C4" w:rsidRPr="00AE71B5" w:rsidRDefault="006C41C4" w:rsidP="006C41C4">
      <w:pPr>
        <w:keepNext/>
        <w:snapToGrid/>
        <w:spacing w:after="120"/>
        <w:jc w:val="both"/>
        <w:rPr>
          <w:rFonts w:ascii="Arial" w:hAnsi="Arial" w:cs="Arial"/>
          <w:b/>
          <w:sz w:val="22"/>
          <w:szCs w:val="22"/>
          <w:lang w:val="en-US"/>
        </w:rPr>
      </w:pPr>
      <w:bookmarkStart w:id="531" w:name="chin452"/>
      <w:r w:rsidRPr="00AE71B5">
        <w:rPr>
          <w:rFonts w:ascii="Arial" w:hAnsi="Arial" w:cs="Arial"/>
          <w:b/>
          <w:sz w:val="22"/>
          <w:szCs w:val="22"/>
          <w:lang w:val="en-US"/>
        </w:rPr>
        <w:t>China</w:t>
      </w:r>
    </w:p>
    <w:bookmarkEnd w:id="531"/>
    <w:p w14:paraId="588BC00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February 2025, China sent representative, as the core member, to attend the 14th meeting of the GOOS Steering committee (SC) to discuss the priorities of GOOS for the next three years, </w:t>
      </w:r>
      <w:proofErr w:type="gramStart"/>
      <w:r w:rsidRPr="00AE71B5">
        <w:rPr>
          <w:rFonts w:ascii="Arial" w:eastAsia="Simsun (Founder Extended)" w:hAnsi="Arial" w:cs="Arial"/>
          <w:snapToGrid/>
          <w:sz w:val="22"/>
          <w:szCs w:val="22"/>
        </w:rPr>
        <w:t>and also</w:t>
      </w:r>
      <w:proofErr w:type="gramEnd"/>
      <w:r w:rsidRPr="00AE71B5">
        <w:rPr>
          <w:rFonts w:ascii="Arial" w:eastAsia="Simsun (Founder Extended)" w:hAnsi="Arial" w:cs="Arial"/>
          <w:snapToGrid/>
          <w:sz w:val="22"/>
          <w:szCs w:val="22"/>
        </w:rPr>
        <w:t xml:space="preserve"> to participate in the group discussion on GOOS Reform. On April, the representative participated in the online discussion of the draft work plan for three years (from 2025 to 2027) of GOOS. So, in response to this issue, our position on the GOOS work plan is positive and open. </w:t>
      </w:r>
    </w:p>
    <w:p w14:paraId="0451DCC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addition, focusing on the realization of the objectives of the 2030 strategy, the three years plan has designed reasonable and operable tasks and related timelines. It includes coordination, management, observing network, capacity construction, data integration and delivery, even GOOS Reform. In general, we agree to the work plan.</w:t>
      </w:r>
    </w:p>
    <w:p w14:paraId="538E8B4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Meanwhile, as many other member states, the ocean observing activities in China involve different level stakeholders, including Ministries, local governments, institutes, universities, even private sectors. Etc. The internal coordination among above-mentioned stakeholders needs more time. We always strive to coordinate and integrate them with international standards. Next step, we would gradually select appropriate marine stations to participate in the pilot application of the ocean </w:t>
      </w:r>
      <w:proofErr w:type="gramStart"/>
      <w:r w:rsidRPr="00AE71B5">
        <w:rPr>
          <w:rFonts w:ascii="Arial" w:eastAsia="Simsun (Founder Extended)" w:hAnsi="Arial" w:cs="Arial"/>
          <w:snapToGrid/>
          <w:sz w:val="22"/>
          <w:szCs w:val="22"/>
        </w:rPr>
        <w:t>indicators, and</w:t>
      </w:r>
      <w:proofErr w:type="gramEnd"/>
      <w:r w:rsidRPr="00AE71B5">
        <w:rPr>
          <w:rFonts w:ascii="Arial" w:eastAsia="Simsun (Founder Extended)" w:hAnsi="Arial" w:cs="Arial"/>
          <w:snapToGrid/>
          <w:sz w:val="22"/>
          <w:szCs w:val="22"/>
        </w:rPr>
        <w:t xml:space="preserve"> can engage deeply as a collaborator in the construction of the GOOS basic network. On the other hand, we hope that more Chinese private sectors or institutions can participate in the joint development of carbon observation sensors and the joint development of operational BGC products, serves and technologies, which is conductive to the practices of Blue Carbon Observation programs in ocean communities.</w:t>
      </w:r>
    </w:p>
    <w:p w14:paraId="1E82720C" w14:textId="77777777" w:rsidR="006C41C4" w:rsidRPr="00AE71B5" w:rsidRDefault="006C41C4" w:rsidP="006C41C4">
      <w:pPr>
        <w:keepNext/>
        <w:snapToGrid/>
        <w:spacing w:after="120"/>
        <w:jc w:val="both"/>
        <w:rPr>
          <w:rFonts w:ascii="Arial" w:hAnsi="Arial" w:cs="Arial"/>
          <w:b/>
          <w:sz w:val="22"/>
          <w:szCs w:val="22"/>
          <w:lang w:val="fr-FR"/>
        </w:rPr>
      </w:pPr>
      <w:bookmarkStart w:id="532" w:name="fra452"/>
      <w:r w:rsidRPr="00AE71B5">
        <w:rPr>
          <w:rFonts w:ascii="Arial" w:hAnsi="Arial" w:cs="Arial"/>
          <w:b/>
          <w:sz w:val="22"/>
          <w:szCs w:val="22"/>
          <w:lang w:val="fr-FR"/>
        </w:rPr>
        <w:lastRenderedPageBreak/>
        <w:t>France</w:t>
      </w:r>
    </w:p>
    <w:bookmarkEnd w:id="532"/>
    <w:p w14:paraId="0D5DF9E0"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note que le système global d’observation de l’Océan est dans une situation inédite de risque que ce soit pour le système lui-même que pour sa coordination par la COI. La France remercie la COI pour sa proposition d’un plan de travail ambitieux dans ce contexte. Ce plan de travail répond aux attentes de la France vis-à-vis de l’évolution du GOOS et de sa réforme. Il sera nécessaire de définir des priorités parmi les actions proposées.</w:t>
      </w:r>
    </w:p>
    <w:p w14:paraId="6947ACBC" w14:textId="77777777" w:rsidR="006C41C4" w:rsidRPr="00AE71B5" w:rsidRDefault="006C41C4" w:rsidP="006C41C4">
      <w:pPr>
        <w:keepNext/>
        <w:snapToGrid/>
        <w:spacing w:after="120"/>
        <w:jc w:val="both"/>
        <w:rPr>
          <w:rFonts w:ascii="Arial" w:hAnsi="Arial" w:cs="Arial"/>
          <w:b/>
          <w:sz w:val="22"/>
          <w:szCs w:val="22"/>
          <w:lang w:val="en-US"/>
        </w:rPr>
      </w:pPr>
      <w:bookmarkStart w:id="533" w:name="jap452"/>
      <w:r w:rsidRPr="00AE71B5">
        <w:rPr>
          <w:rFonts w:ascii="Arial" w:hAnsi="Arial" w:cs="Arial"/>
          <w:b/>
          <w:sz w:val="22"/>
          <w:szCs w:val="22"/>
          <w:lang w:val="en-US"/>
        </w:rPr>
        <w:t>Japan</w:t>
      </w:r>
    </w:p>
    <w:bookmarkEnd w:id="533"/>
    <w:p w14:paraId="7DBAA87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To advance the governance of GOOS, it is crucial to enhance the coordination and management capabilities of GOOS. </w:t>
      </w:r>
    </w:p>
    <w:p w14:paraId="7CDF082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Furthermore, collaboration with other organizations, such as IODE, WMO and JCB, is necessary, including IOC data architecture and Ocean Best Practices System (OBPS), both of which were on the agenda last week.</w:t>
      </w:r>
    </w:p>
    <w:p w14:paraId="1349598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 addition to strengthening cooperation not only among international organizations, but also with GOOS Regional Alliances (GRA) and national focal points (NFPs) mentioned in the workplan, we need to further promote strategies that address societal needs and encourage sustainable economic development through ETOOFS and EW4All, etc.</w:t>
      </w:r>
    </w:p>
    <w:p w14:paraId="7FFC45EA"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Japan would like to wish the newly appointed regional members all the best in their future endeavors.</w:t>
      </w:r>
    </w:p>
    <w:p w14:paraId="0C1312DA" w14:textId="77777777" w:rsidR="006C41C4" w:rsidRPr="00AE71B5" w:rsidRDefault="006C41C4" w:rsidP="006C41C4">
      <w:pPr>
        <w:keepNext/>
        <w:snapToGrid/>
        <w:spacing w:after="120"/>
        <w:jc w:val="both"/>
        <w:rPr>
          <w:rFonts w:ascii="Arial" w:hAnsi="Arial" w:cs="Arial"/>
          <w:b/>
          <w:sz w:val="22"/>
          <w:szCs w:val="22"/>
          <w:lang w:val="en-US"/>
        </w:rPr>
      </w:pPr>
      <w:bookmarkStart w:id="534" w:name="wmo452"/>
      <w:r w:rsidRPr="00AE71B5">
        <w:rPr>
          <w:rFonts w:ascii="Arial" w:hAnsi="Arial" w:cs="Arial"/>
          <w:b/>
          <w:sz w:val="22"/>
          <w:szCs w:val="22"/>
          <w:lang w:val="en-US"/>
        </w:rPr>
        <w:t>World Meteorological Organization</w:t>
      </w:r>
      <w:r w:rsidRPr="00E647B1">
        <w:rPr>
          <w:rFonts w:ascii="Arial" w:hAnsi="Arial" w:cs="Arial"/>
          <w:b/>
          <w:sz w:val="22"/>
          <w:szCs w:val="22"/>
          <w:lang w:val="en-US"/>
        </w:rPr>
        <w:t xml:space="preserve"> (WMO)</w:t>
      </w:r>
    </w:p>
    <w:bookmarkEnd w:id="534"/>
    <w:p w14:paraId="52C6FDF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 will take the opportunity to highlight the numerous areas where WMO has particular interest in the GOOS workplan. These include in: </w:t>
      </w:r>
    </w:p>
    <w:p w14:paraId="37093B6E"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defining the basic essential observations from the ocean for different applications for IOC and for WMO, including for the Global Basic Observing Network GBON, enhancing the potential for development funding, as well as the area of data integration and delivery – work that will take place under the umbrella of the Joint Collaborative Board,</w:t>
      </w:r>
    </w:p>
    <w:p w14:paraId="7839B0DE"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defining and shaping the Expert Team on Operational Ocean Forecasting Services ETOOFS as a body that can serve both IOC and WMO objectives through GOOS, </w:t>
      </w:r>
    </w:p>
    <w:p w14:paraId="5843208B"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leveraging the work on indicators and their potential in assessments, </w:t>
      </w:r>
    </w:p>
    <w:p w14:paraId="224463EB"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aligning plans for atmospheric and ocean greenhouse gas infrastructure, and </w:t>
      </w:r>
    </w:p>
    <w:p w14:paraId="34B9E5AB"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regular reporting on the status of GOOS, building on the work of OceanOPS. </w:t>
      </w:r>
    </w:p>
    <w:p w14:paraId="5AACACE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We’d also like to highlight the recent launch at UNOC by WMO, IOC and IMO of the “10 000 ships for the ocean” initiative, building an ambitious public-private partnership with industry to expand ship-based observations, which we hope will bring a strong contribution to the development of GOOS.</w:t>
      </w:r>
    </w:p>
    <w:p w14:paraId="2D722DAE"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4.5.3</w:t>
      </w:r>
      <w:r w:rsidRPr="00AE71B5">
        <w:rPr>
          <w:rFonts w:ascii="Arial" w:hAnsi="Arial" w:cs="Arial"/>
          <w:b/>
          <w:sz w:val="22"/>
          <w:szCs w:val="22"/>
        </w:rPr>
        <w:tab/>
        <w:t>Report of the Intersessional Working Group on Ocean Observations in Areas under National Jurisdiction</w:t>
      </w:r>
    </w:p>
    <w:p w14:paraId="104F272F" w14:textId="77777777" w:rsidR="006C41C4" w:rsidRPr="00AE71B5" w:rsidRDefault="006C41C4" w:rsidP="006C41C4">
      <w:pPr>
        <w:keepNext/>
        <w:snapToGrid/>
        <w:spacing w:after="120"/>
        <w:jc w:val="both"/>
        <w:rPr>
          <w:rFonts w:ascii="Arial" w:hAnsi="Arial" w:cs="Arial"/>
          <w:b/>
          <w:sz w:val="22"/>
          <w:szCs w:val="22"/>
          <w:lang w:val="es-ES"/>
        </w:rPr>
      </w:pPr>
      <w:bookmarkStart w:id="535" w:name="arg453"/>
      <w:r w:rsidRPr="00AE71B5">
        <w:rPr>
          <w:rFonts w:ascii="Arial" w:hAnsi="Arial" w:cs="Arial"/>
          <w:b/>
          <w:sz w:val="22"/>
          <w:szCs w:val="22"/>
          <w:lang w:val="es-ES"/>
        </w:rPr>
        <w:t>Argentina</w:t>
      </w:r>
    </w:p>
    <w:bookmarkEnd w:id="535"/>
    <w:p w14:paraId="479EE7AD"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República Argentina agradece la presentación realizada y la labor desarrollada por el Grupo de Trabajo reconociendo el esfuerzo sostenido en el análisis del tema, incluso en situaciones en las que no se contó con información completa o con los aportes de todos los actores potencialmente involucrados.</w:t>
      </w:r>
    </w:p>
    <w:p w14:paraId="362ABB21"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Además, reafirma que cualquier labor en este ámbito debe ajustarse a las disposiciones de la Convención de las Naciones Unidas sobre el Derecho del Mar (CONVEMAR). </w:t>
      </w:r>
    </w:p>
    <w:p w14:paraId="2059AE51"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República Argentina cuenta con un procedimiento estandarizado de autorización para la realización de actividades de investigación científica marina, el cual es coordinado por el </w:t>
      </w:r>
      <w:r w:rsidRPr="00AE71B5">
        <w:rPr>
          <w:rFonts w:ascii="Arial" w:eastAsia="Simsun (Founder Extended)" w:hAnsi="Arial" w:cs="Arial"/>
          <w:snapToGrid/>
          <w:sz w:val="22"/>
          <w:szCs w:val="22"/>
          <w:lang w:val="es-ES"/>
        </w:rPr>
        <w:lastRenderedPageBreak/>
        <w:t>Ministerio de Relaciones Exteriores, Comercio Internacional y Culto. Todas las solicitudes recibidas son tramitadas por el Estado argentino dentro del plazo previsto en el artículo 248 de la CONVEMAR. No obstante, se considera fundamental que las solicitudes de autorización sean presentadas con la debida antelación, a fin de permitir la intervención de todos los organismos nacionales competentes y garantizar así el adecuado funcionamiento del procedimiento.</w:t>
      </w:r>
    </w:p>
    <w:p w14:paraId="2B811E49"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Por otra parte, la República Argentina desea recordar la importancia del estricto cumplimiento de lo dispuesto en el artículo 249 de la CONVEMAR, en lo que respecta a la obligación de remitir al Estado ribereño los datos y muestras obtenidos durante la campaña, así como los informes preliminares y el informe final con los resultados y conclusiones correspondientes. En particular, se subraya lo establecido en el párrafo 2 del mencionado artículo, que exige el consentimiento previo del Estado ribereño para la difusión internacional de los resultados de investigaciones que revistan importancia directa para la exploración y explotación de recursos naturales.</w:t>
      </w:r>
    </w:p>
    <w:p w14:paraId="1373AD97"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Finalmente, la República Argentina desea poner de relieve el valor que tiene para el Estado ribereño la posibilidad de embarcar un observador nacional a bordo del buque, conforme a lo previsto en el artículo 249, párrafo 1, inciso a), de la CONVEMAR.</w:t>
      </w:r>
    </w:p>
    <w:p w14:paraId="57D72FE1"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cuanto al Proyecto de Decisión A-33/4.5.3, la República Argentina desea formular las siguientes observaciones:</w:t>
      </w:r>
    </w:p>
    <w:p w14:paraId="7554A327"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i. No resulta del todo clara la extensión ni el alcance concreto de las actividades implicadas en la función de los “intermediarios”, contenida en el párrafo 7. Cabe señalar que, conforme al régimen jurídico aplicable, las solicitudes de autorización para realizar investigaciones científicas marinas son tramitadas directamente entre el Estado que promueve la investigación y el Estado ribereño, sin que exista, en el marco de la CONVEMAR, un reconocimiento formal de funciones de intermediación a organismos regionales. Por consiguiente, esta Delegación agradecería que se precise con mayor claridad el alcance, carácter y límites de dicha función.</w:t>
      </w:r>
    </w:p>
    <w:p w14:paraId="4B03F5E5" w14:textId="77777777" w:rsidR="006C41C4" w:rsidRPr="00AE71B5" w:rsidRDefault="006C41C4" w:rsidP="006C41C4">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ii</w:t>
      </w:r>
      <w:proofErr w:type="spellEnd"/>
      <w:r w:rsidRPr="00AE71B5">
        <w:rPr>
          <w:rFonts w:ascii="Arial" w:eastAsia="Simsun (Founder Extended)" w:hAnsi="Arial" w:cs="Arial"/>
          <w:snapToGrid/>
          <w:sz w:val="22"/>
          <w:szCs w:val="22"/>
          <w:lang w:val="es-ES"/>
        </w:rPr>
        <w:t>. A su vez, en cuanto a la frase "...así como coordinando los esfuerzos para agilizar los procedimientos entre los países con características regionales similares", se requeriría de mayores precisiones respecto de quiénes serían los responsables de realizar dichos esfuerzos y en qué consistiría exactamente la labor de coordinación mencionada.</w:t>
      </w:r>
    </w:p>
    <w:p w14:paraId="71FD2D3A" w14:textId="77777777" w:rsidR="006C41C4" w:rsidRPr="00E647B1" w:rsidRDefault="006C41C4" w:rsidP="006C41C4">
      <w:pPr>
        <w:keepNext/>
        <w:snapToGrid/>
        <w:spacing w:after="120"/>
        <w:jc w:val="both"/>
        <w:rPr>
          <w:rFonts w:ascii="Arial" w:hAnsi="Arial" w:cs="Arial"/>
          <w:b/>
          <w:sz w:val="22"/>
          <w:szCs w:val="22"/>
          <w:lang w:val="en-US"/>
        </w:rPr>
      </w:pPr>
      <w:bookmarkStart w:id="536" w:name="bra453"/>
      <w:r w:rsidRPr="00E647B1">
        <w:rPr>
          <w:rFonts w:ascii="Arial" w:hAnsi="Arial" w:cs="Arial"/>
          <w:b/>
          <w:sz w:val="22"/>
          <w:szCs w:val="22"/>
          <w:lang w:val="en-US"/>
        </w:rPr>
        <w:t>Brazil</w:t>
      </w:r>
    </w:p>
    <w:bookmarkEnd w:id="536"/>
    <w:p w14:paraId="18BCFE83"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Brazil considers ocean observations crucial to the advancement of ocean science and the knowledge related to the ocean, as well as to the sustainable use of the sea and its resources and to the development of our societies. </w:t>
      </w:r>
    </w:p>
    <w:p w14:paraId="257CA58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ocean is directly linked to SDG </w:t>
      </w:r>
      <w:proofErr w:type="gramStart"/>
      <w:r w:rsidRPr="00AE71B5">
        <w:rPr>
          <w:rFonts w:ascii="Arial" w:eastAsia="Simsun (Founder Extended)" w:hAnsi="Arial" w:cs="Arial"/>
          <w:snapToGrid/>
          <w:sz w:val="22"/>
          <w:szCs w:val="22"/>
          <w:lang w:val="en-US"/>
        </w:rPr>
        <w:t>14, and</w:t>
      </w:r>
      <w:proofErr w:type="gramEnd"/>
      <w:r w:rsidRPr="00AE71B5">
        <w:rPr>
          <w:rFonts w:ascii="Arial" w:eastAsia="Simsun (Founder Extended)" w:hAnsi="Arial" w:cs="Arial"/>
          <w:snapToGrid/>
          <w:sz w:val="22"/>
          <w:szCs w:val="22"/>
          <w:lang w:val="en-US"/>
        </w:rPr>
        <w:t xml:space="preserve"> also connected to other goals established in the </w:t>
      </w:r>
      <w:proofErr w:type="gramStart"/>
      <w:r w:rsidRPr="00AE71B5">
        <w:rPr>
          <w:rFonts w:ascii="Arial" w:eastAsia="Simsun (Founder Extended)" w:hAnsi="Arial" w:cs="Arial"/>
          <w:snapToGrid/>
          <w:sz w:val="22"/>
          <w:szCs w:val="22"/>
          <w:lang w:val="en-US"/>
        </w:rPr>
        <w:t>Agenda</w:t>
      </w:r>
      <w:proofErr w:type="gramEnd"/>
      <w:r w:rsidRPr="00AE71B5">
        <w:rPr>
          <w:rFonts w:ascii="Arial" w:eastAsia="Simsun (Founder Extended)" w:hAnsi="Arial" w:cs="Arial"/>
          <w:snapToGrid/>
          <w:sz w:val="22"/>
          <w:szCs w:val="22"/>
          <w:lang w:val="en-US"/>
        </w:rPr>
        <w:t xml:space="preserve"> 2030, including the fight against poverty and the reduction of inequalities, while contributing to enhance climate action. All those objectives are very much in line with the right of every society to manage its own resources,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pursue its legitimate aspirations towards a better future. That is why we have always underlined the importance of the UN Convention on the Law of the Sea, which is the fundamental instrument that guides us while considering the subject of ocean observations.</w:t>
      </w:r>
    </w:p>
    <w:p w14:paraId="39E81ABE"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Brazil acknowledges the important efforts of the Intersessional Working Group to advance the subject of ocean observations in areas under national jurisdiction and would like to thank the co-chairs from Egypt and Argentina for their dedication and conduction of the task. We hope we are on the way to </w:t>
      </w:r>
      <w:proofErr w:type="gramStart"/>
      <w:r w:rsidRPr="00AE71B5">
        <w:rPr>
          <w:rFonts w:ascii="Arial" w:eastAsia="Simsun (Founder Extended)" w:hAnsi="Arial" w:cs="Arial"/>
          <w:snapToGrid/>
          <w:sz w:val="22"/>
          <w:szCs w:val="22"/>
          <w:lang w:val="en-US"/>
        </w:rPr>
        <w:t>clarify</w:t>
      </w:r>
      <w:proofErr w:type="gramEnd"/>
      <w:r w:rsidRPr="00AE71B5">
        <w:rPr>
          <w:rFonts w:ascii="Arial" w:eastAsia="Simsun (Founder Extended)" w:hAnsi="Arial" w:cs="Arial"/>
          <w:snapToGrid/>
          <w:sz w:val="22"/>
          <w:szCs w:val="22"/>
          <w:lang w:val="en-US"/>
        </w:rPr>
        <w:t xml:space="preserve"> this subject.</w:t>
      </w:r>
    </w:p>
    <w:p w14:paraId="1856C2EB" w14:textId="77777777" w:rsidR="006C41C4" w:rsidRPr="00AE71B5" w:rsidRDefault="006C41C4" w:rsidP="006C41C4">
      <w:pPr>
        <w:keepNext/>
        <w:snapToGrid/>
        <w:spacing w:after="120"/>
        <w:jc w:val="both"/>
        <w:rPr>
          <w:rFonts w:ascii="Arial" w:hAnsi="Arial" w:cs="Arial"/>
          <w:b/>
          <w:sz w:val="22"/>
          <w:szCs w:val="22"/>
          <w:lang w:val="es-ES"/>
        </w:rPr>
      </w:pPr>
      <w:bookmarkStart w:id="537" w:name="chil453"/>
      <w:r w:rsidRPr="00AE71B5">
        <w:rPr>
          <w:rFonts w:ascii="Arial" w:hAnsi="Arial" w:cs="Arial"/>
          <w:b/>
          <w:sz w:val="22"/>
          <w:szCs w:val="22"/>
          <w:lang w:val="es-ES"/>
        </w:rPr>
        <w:t>Chile</w:t>
      </w:r>
    </w:p>
    <w:bookmarkEnd w:id="537"/>
    <w:p w14:paraId="53806752"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Las materias e inquietudes tratadas y planteadas durante las sesiones del Grupo de Trabajo </w:t>
      </w:r>
      <w:proofErr w:type="spellStart"/>
      <w:r w:rsidRPr="00AE71B5">
        <w:rPr>
          <w:rFonts w:ascii="Arial" w:eastAsia="Simsun (Founder Extended)" w:hAnsi="Arial" w:cs="Arial"/>
          <w:snapToGrid/>
          <w:sz w:val="22"/>
          <w:szCs w:val="22"/>
          <w:lang w:val="es-ES"/>
        </w:rPr>
        <w:t>Intersesional</w:t>
      </w:r>
      <w:proofErr w:type="spellEnd"/>
      <w:r w:rsidRPr="00AE71B5">
        <w:rPr>
          <w:rFonts w:ascii="Arial" w:eastAsia="Simsun (Founder Extended)" w:hAnsi="Arial" w:cs="Arial"/>
          <w:snapToGrid/>
          <w:sz w:val="22"/>
          <w:szCs w:val="22"/>
          <w:lang w:val="es-ES"/>
        </w:rPr>
        <w:t xml:space="preserve"> sobre Observaciones Oceánicas en Zonas bajo Jurisdicción Nacional, dejaron de manifiesto que los procesos implementados desde 1975 por parte de Chile (Decreto Supremo </w:t>
      </w:r>
      <w:proofErr w:type="spellStart"/>
      <w:r w:rsidRPr="00AE71B5">
        <w:rPr>
          <w:rFonts w:ascii="Arial" w:eastAsia="Simsun (Founder Extended)" w:hAnsi="Arial" w:cs="Arial"/>
          <w:snapToGrid/>
          <w:sz w:val="22"/>
          <w:szCs w:val="22"/>
          <w:lang w:val="es-ES"/>
        </w:rPr>
        <w:t>N°</w:t>
      </w:r>
      <w:proofErr w:type="spellEnd"/>
      <w:r w:rsidRPr="00AE71B5">
        <w:rPr>
          <w:rFonts w:ascii="Arial" w:eastAsia="Simsun (Founder Extended)" w:hAnsi="Arial" w:cs="Arial"/>
          <w:snapToGrid/>
          <w:sz w:val="22"/>
          <w:szCs w:val="22"/>
          <w:lang w:val="es-ES"/>
        </w:rPr>
        <w:t xml:space="preserve"> 711), cumplen cabalmente con las disposiciones establecidas en la CONVEMAR para el desarrollo de este tipo de investigaciones, estableciendo claramente los plazos para gestionar </w:t>
      </w:r>
      <w:r w:rsidRPr="00AE71B5">
        <w:rPr>
          <w:rFonts w:ascii="Arial" w:eastAsia="Simsun (Founder Extended)" w:hAnsi="Arial" w:cs="Arial"/>
          <w:snapToGrid/>
          <w:sz w:val="22"/>
          <w:szCs w:val="22"/>
          <w:lang w:val="es-ES"/>
        </w:rPr>
        <w:lastRenderedPageBreak/>
        <w:t>los permisos y las condiciones para que este se otorgado, por lo que generalmente no se plantean mayores problemas al respecto.</w:t>
      </w:r>
    </w:p>
    <w:p w14:paraId="0008863E"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Chile agradece la oportunidad de participación en un Grupo de Trabajo de este nivel, a través del cual ha sido posible no solo conocer distintas realidades con respecto a la obtención de datos oceánicos, sino que también permitir buscar solución a algunas de las problemáticas, de manera de armonizar nuestros requerimientos con las necesidades globales en dicha materia.</w:t>
      </w:r>
    </w:p>
    <w:p w14:paraId="621296A5" w14:textId="77777777" w:rsidR="006C41C4" w:rsidRPr="00E647B1" w:rsidRDefault="006C41C4" w:rsidP="006C41C4">
      <w:pPr>
        <w:keepNext/>
        <w:snapToGrid/>
        <w:spacing w:after="120"/>
        <w:jc w:val="both"/>
        <w:rPr>
          <w:rFonts w:ascii="Arial" w:hAnsi="Arial" w:cs="Arial"/>
          <w:b/>
          <w:sz w:val="22"/>
          <w:szCs w:val="22"/>
          <w:lang w:val="en-US"/>
        </w:rPr>
      </w:pPr>
      <w:bookmarkStart w:id="538" w:name="chin453"/>
      <w:r w:rsidRPr="00E647B1">
        <w:rPr>
          <w:rFonts w:ascii="Arial" w:hAnsi="Arial" w:cs="Arial"/>
          <w:b/>
          <w:sz w:val="22"/>
          <w:szCs w:val="22"/>
          <w:lang w:val="en-US"/>
        </w:rPr>
        <w:t>China</w:t>
      </w:r>
    </w:p>
    <w:bookmarkEnd w:id="538"/>
    <w:p w14:paraId="7E2A128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consistently attaches great importance to international cooperation in ocean governance and fully recognizes its key role in promoting the development of sustained ocean observation. We appreciate the work of the Intersessional Working Group on Ocean Observations in Areas under National Jurisdiction (OONJ) over the past nearly two years and the dedication of expert members of the Group. </w:t>
      </w:r>
    </w:p>
    <w:p w14:paraId="2F15C3A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thank IOC and GOOS for their great support. These contributions make it possible to identify challenges to ocean observations in areas under national jurisdiction and to provide possible ways forward. Experts from China are actively involved in the Working Group. China recognizes the contribution of enhanced implementation of ocean observations within national jurisdiction to the marine scientific research in many fields. </w:t>
      </w:r>
    </w:p>
    <w:p w14:paraId="7100766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notes that it is significant to conduct studies and provide recommendations within the balance of rights and obligations between coastal States and user States under the framework of the United Nations Convention on the Law of the Sea. Simultaneously, the consensus of States should be fully reflected </w:t>
      </w:r>
      <w:proofErr w:type="gramStart"/>
      <w:r w:rsidRPr="00AE71B5">
        <w:rPr>
          <w:rFonts w:ascii="Arial" w:eastAsia="Simsun (Founder Extended)" w:hAnsi="Arial" w:cs="Arial"/>
          <w:snapToGrid/>
          <w:sz w:val="22"/>
          <w:szCs w:val="22"/>
          <w:lang w:val="en-US"/>
        </w:rPr>
        <w:t>so as to</w:t>
      </w:r>
      <w:proofErr w:type="gramEnd"/>
      <w:r w:rsidRPr="00AE71B5">
        <w:rPr>
          <w:rFonts w:ascii="Arial" w:eastAsia="Simsun (Founder Extended)" w:hAnsi="Arial" w:cs="Arial"/>
          <w:snapToGrid/>
          <w:sz w:val="22"/>
          <w:szCs w:val="22"/>
          <w:lang w:val="en-US"/>
        </w:rPr>
        <w:t xml:space="preserve"> respond to the concerns of all parties to the greatest extent and solve the problem effectively. China stands ready to continue to engage with and support the further work together with other States.</w:t>
      </w:r>
    </w:p>
    <w:p w14:paraId="39CBFE60" w14:textId="77777777" w:rsidR="006C41C4" w:rsidRPr="00E647B1" w:rsidRDefault="006C41C4" w:rsidP="006C41C4">
      <w:pPr>
        <w:keepNext/>
        <w:snapToGrid/>
        <w:spacing w:after="120"/>
        <w:jc w:val="both"/>
        <w:rPr>
          <w:rFonts w:ascii="Arial" w:hAnsi="Arial" w:cs="Arial"/>
          <w:b/>
          <w:sz w:val="22"/>
          <w:szCs w:val="22"/>
          <w:lang w:val="fr-FR"/>
        </w:rPr>
      </w:pPr>
      <w:bookmarkStart w:id="539" w:name="fra453"/>
      <w:r w:rsidRPr="00E647B1">
        <w:rPr>
          <w:rFonts w:ascii="Arial" w:hAnsi="Arial" w:cs="Arial"/>
          <w:b/>
          <w:sz w:val="22"/>
          <w:szCs w:val="22"/>
          <w:lang w:val="fr-FR"/>
        </w:rPr>
        <w:t>France</w:t>
      </w:r>
    </w:p>
    <w:bookmarkEnd w:id="539"/>
    <w:p w14:paraId="61EA8D80"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 groupe de travail sur les observations océaniques dans les zones sous juridiction nationale pour les travaux menés. Elle note que c’est un sujet complexe qui devra être régulièrement discuté au cas par cas suivant les besoins des différents réseaux du GOOS. La France valide les recommandations du groupe de travail. Elle considère que les solutions mises en place par la COI pour le programme </w:t>
      </w:r>
      <w:proofErr w:type="spellStart"/>
      <w:r w:rsidRPr="00AE71B5">
        <w:rPr>
          <w:rFonts w:ascii="Arial" w:eastAsia="Simsun (Founder Extended)" w:hAnsi="Arial" w:cs="Arial"/>
          <w:snapToGrid/>
          <w:sz w:val="22"/>
          <w:szCs w:val="22"/>
          <w:lang w:val="fr-FR"/>
        </w:rPr>
        <w:t>Argo</w:t>
      </w:r>
      <w:proofErr w:type="spellEnd"/>
      <w:r w:rsidRPr="00AE71B5">
        <w:rPr>
          <w:rFonts w:ascii="Arial" w:eastAsia="Simsun (Founder Extended)" w:hAnsi="Arial" w:cs="Arial"/>
          <w:snapToGrid/>
          <w:sz w:val="22"/>
          <w:szCs w:val="22"/>
          <w:lang w:val="fr-FR"/>
        </w:rPr>
        <w:t xml:space="preserve"> pourraient potentiellement s'appliquer aux autres réseaux GOOS pertinents, comme le SOOP.</w:t>
      </w:r>
    </w:p>
    <w:p w14:paraId="7E436587" w14:textId="77777777" w:rsidR="006C41C4" w:rsidRPr="00E647B1" w:rsidRDefault="006C41C4" w:rsidP="006C41C4">
      <w:pPr>
        <w:keepNext/>
        <w:snapToGrid/>
        <w:spacing w:after="120"/>
        <w:jc w:val="both"/>
        <w:rPr>
          <w:rFonts w:ascii="Arial" w:hAnsi="Arial" w:cs="Arial"/>
          <w:b/>
          <w:sz w:val="22"/>
          <w:szCs w:val="22"/>
          <w:lang w:val="en-US"/>
        </w:rPr>
      </w:pPr>
      <w:bookmarkStart w:id="540" w:name="jap453"/>
      <w:r w:rsidRPr="00E647B1">
        <w:rPr>
          <w:rFonts w:ascii="Arial" w:hAnsi="Arial" w:cs="Arial"/>
          <w:b/>
          <w:sz w:val="22"/>
          <w:szCs w:val="22"/>
          <w:lang w:val="en-US"/>
        </w:rPr>
        <w:t>Japan</w:t>
      </w:r>
    </w:p>
    <w:bookmarkEnd w:id="540"/>
    <w:p w14:paraId="7A9AD9C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Japan recognizes the need for a sustainable expansion of the global ocean observation network and the importance of promoting Marine Scientific Research based on UNCLOS. When conducting MSR in waters under the jurisdiction of another country, Japan strictly follows the prior consent application procedure in accordance with UNCLOS, regardless of the platform used. The exception is for an Argo float drifting in waters under the jurisdiction of a coastal state that has established a National Focal Point in accordance with the Argo Guidelines. Observations with Argo floats under the establishment of the Argo Guidelines have brought about great advances in marine science which are essential for monitoring the present status of oceans and forecasting the future.</w:t>
      </w:r>
    </w:p>
    <w:p w14:paraId="21A2DE73"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Japan recognizes the importance of smooth MSR consent applications and reviews within national jurisdictions. Japan took note of the challenges, identified by the intersessional working group, for GOOS networks, </w:t>
      </w:r>
      <w:proofErr w:type="gramStart"/>
      <w:r w:rsidRPr="00AE71B5">
        <w:rPr>
          <w:rFonts w:ascii="Arial" w:eastAsia="Simsun (Founder Extended)" w:hAnsi="Arial" w:cs="Arial"/>
          <w:snapToGrid/>
          <w:sz w:val="22"/>
          <w:szCs w:val="22"/>
          <w:lang w:val="en-US"/>
        </w:rPr>
        <w:t>in particular</w:t>
      </w:r>
      <w:proofErr w:type="gramEnd"/>
      <w:r w:rsidRPr="00AE71B5">
        <w:rPr>
          <w:rFonts w:ascii="Arial" w:eastAsia="Simsun (Founder Extended)" w:hAnsi="Arial" w:cs="Arial"/>
          <w:snapToGrid/>
          <w:sz w:val="22"/>
          <w:szCs w:val="22"/>
          <w:lang w:val="en-US"/>
        </w:rPr>
        <w:t xml:space="preserve"> those for the Ship-of-Opportunity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Japan looks forward to receiving a draft proposal from the GOOS Steering Committee on the actions that IOC could take to address these challenges within the frame of UNCLOS.</w:t>
      </w:r>
    </w:p>
    <w:p w14:paraId="003CAC2F" w14:textId="77777777" w:rsidR="006C41C4" w:rsidRPr="00E647B1" w:rsidRDefault="006C41C4" w:rsidP="006C41C4">
      <w:pPr>
        <w:keepNext/>
        <w:snapToGrid/>
        <w:spacing w:after="120"/>
        <w:jc w:val="both"/>
        <w:rPr>
          <w:rFonts w:ascii="Arial" w:hAnsi="Arial" w:cs="Arial"/>
          <w:b/>
          <w:sz w:val="22"/>
          <w:szCs w:val="22"/>
          <w:lang w:val="en-US"/>
        </w:rPr>
      </w:pPr>
      <w:bookmarkStart w:id="541" w:name="malay453"/>
      <w:r w:rsidRPr="00E647B1">
        <w:rPr>
          <w:rFonts w:ascii="Arial" w:hAnsi="Arial" w:cs="Arial"/>
          <w:b/>
          <w:sz w:val="22"/>
          <w:szCs w:val="22"/>
          <w:lang w:val="en-US"/>
        </w:rPr>
        <w:t>Malaysia</w:t>
      </w:r>
    </w:p>
    <w:bookmarkEnd w:id="541"/>
    <w:p w14:paraId="32A648B6"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As a megadiverse maritime nation, Malaysia recognizes the importance of the BBNJ Agreement in safeguarding marine biodiversity in areas beyond national jurisdiction, which comprise nearly half of the Earth's surface. </w:t>
      </w:r>
    </w:p>
    <w:p w14:paraId="30404C74"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Malaysia supports the core pillars of the BBNJ Agreement, particularly the establishment of area-based management tools, including marine protected areas, the fair and equitable sharing of benefits derived from marine genetic resources, and the robust application of environmental impact assessments for activities with potential transboundary impacts. </w:t>
      </w:r>
    </w:p>
    <w:p w14:paraId="2DC1DA4E"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These elements align with our national priorities under the National Policy on Biological Diversity and the soon-to-be-updated National Ocean Policy.</w:t>
      </w:r>
    </w:p>
    <w:p w14:paraId="00E0A5DA"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While Malaysia has yet to sign the Agreement, the process is actively under inter-agency consultation. As we move forward, our focus will be on strengthening institutional coordination, updating legal frameworks, and ensuring inclusive participation from scientific, legal, and Indigenous knowledge communities. </w:t>
      </w:r>
    </w:p>
    <w:p w14:paraId="4547428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also see the BBNJ framework as a catalyst to further build our national capacity in marine science, taxonomy, deep-sea biodiversity research, and digital sequence information governance.</w:t>
      </w:r>
    </w:p>
    <w:p w14:paraId="59D141CA"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Regionally, Malaysia is committed to fostering cooperation within ASEAN. We believe the BBNJ Agreement offers an opportunity to advance collective stewardship over shared marine ecosystems and migratory species. </w:t>
      </w:r>
    </w:p>
    <w:p w14:paraId="4BD5BF85"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Malaysia is ready to work with our </w:t>
      </w:r>
      <w:proofErr w:type="spellStart"/>
      <w:r w:rsidRPr="00AE71B5">
        <w:rPr>
          <w:rFonts w:ascii="Arial" w:eastAsia="Simsun (Founder Extended)" w:hAnsi="Arial" w:cs="Arial"/>
          <w:snapToGrid/>
          <w:sz w:val="22"/>
          <w:szCs w:val="22"/>
          <w:lang w:val="en-US"/>
        </w:rPr>
        <w:t>neighbours</w:t>
      </w:r>
      <w:proofErr w:type="spellEnd"/>
      <w:r w:rsidRPr="00AE71B5">
        <w:rPr>
          <w:rFonts w:ascii="Arial" w:eastAsia="Simsun (Founder Extended)" w:hAnsi="Arial" w:cs="Arial"/>
          <w:snapToGrid/>
          <w:sz w:val="22"/>
          <w:szCs w:val="22"/>
          <w:lang w:val="en-US"/>
        </w:rPr>
        <w:t xml:space="preserve"> to promote knowledge sharing, joint research, and equitable technology transfer under the framework of South-South cooperation.</w:t>
      </w:r>
    </w:p>
    <w:p w14:paraId="622122B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 closing, Malaysia affirms the importance of a fair, inclusive, and science-driven implementation of the BBNJ Agreement. </w:t>
      </w:r>
    </w:p>
    <w:p w14:paraId="2C3C9DD2"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thank the IOC and its member states for facilitating this shared vision for the ocean's future. </w:t>
      </w:r>
    </w:p>
    <w:p w14:paraId="2C7F39A3"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looks forward to contributing meaningfully to the post-ratification phase, not only as a beneficiary, but also as a partner in advancing the ocean science agenda for the benefit of all humanity.</w:t>
      </w:r>
    </w:p>
    <w:p w14:paraId="27D2EC78" w14:textId="77777777" w:rsidR="006C41C4" w:rsidRPr="0092772B" w:rsidRDefault="006C41C4" w:rsidP="006C41C4">
      <w:pPr>
        <w:keepNext/>
        <w:snapToGrid/>
        <w:spacing w:after="120"/>
        <w:jc w:val="both"/>
        <w:rPr>
          <w:rFonts w:ascii="Arial" w:hAnsi="Arial" w:cs="Arial"/>
          <w:b/>
          <w:sz w:val="22"/>
          <w:szCs w:val="22"/>
          <w:lang w:val="en-US"/>
        </w:rPr>
      </w:pPr>
      <w:bookmarkStart w:id="542" w:name="port453"/>
      <w:r w:rsidRPr="0092772B">
        <w:rPr>
          <w:rFonts w:ascii="Arial" w:hAnsi="Arial" w:cs="Arial"/>
          <w:b/>
          <w:sz w:val="22"/>
          <w:szCs w:val="22"/>
          <w:lang w:val="en-US"/>
        </w:rPr>
        <w:t>Portugal</w:t>
      </w:r>
    </w:p>
    <w:bookmarkEnd w:id="542"/>
    <w:p w14:paraId="61C691A8"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Portugal would like to thank and congratulate our colleague Suzan El-</w:t>
      </w:r>
      <w:proofErr w:type="spellStart"/>
      <w:r w:rsidRPr="00AE71B5">
        <w:rPr>
          <w:rFonts w:ascii="Arial" w:eastAsia="Simsun (Founder Extended)" w:hAnsi="Arial" w:cs="Arial"/>
          <w:snapToGrid/>
          <w:sz w:val="22"/>
          <w:szCs w:val="22"/>
          <w:lang w:val="en-US"/>
        </w:rPr>
        <w:t>Garabawi</w:t>
      </w:r>
      <w:proofErr w:type="spellEnd"/>
      <w:r w:rsidRPr="00AE71B5">
        <w:rPr>
          <w:rFonts w:ascii="Arial" w:eastAsia="Simsun (Founder Extended)" w:hAnsi="Arial" w:cs="Arial"/>
          <w:snapToGrid/>
          <w:sz w:val="22"/>
          <w:szCs w:val="22"/>
          <w:lang w:val="en-US"/>
        </w:rPr>
        <w:t xml:space="preserve"> for the comprehensive summary report, as well as for the excellent work carried out by the working group, on this topic of high relevance, namely by identifying and further exploring the major issues that may hinder sustained global ocean observations. We also acknowledge with appreciation the identification of best practices reported to this assembly.</w:t>
      </w:r>
    </w:p>
    <w:p w14:paraId="19CEC09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Portugal firmly believes that ocean observations in areas of national jurisdiction require clearance from the coastal states within the UNCLOS framework, but we maintain that most of the issues identified by the Working Group, including those considering timeframes for application and simplification of procedures for asking for permits from the coastal states, can be addressed and overcome through bilateral, multilateral and regional agreements. </w:t>
      </w:r>
    </w:p>
    <w:p w14:paraId="2BBFEDB3"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ARGO is a good example </w:t>
      </w:r>
      <w:proofErr w:type="gramStart"/>
      <w:r w:rsidRPr="00AE71B5">
        <w:rPr>
          <w:rFonts w:ascii="Arial" w:eastAsia="Simsun (Founder Extended)" w:hAnsi="Arial" w:cs="Arial"/>
          <w:snapToGrid/>
          <w:sz w:val="22"/>
          <w:szCs w:val="22"/>
          <w:lang w:val="en-US"/>
        </w:rPr>
        <w:t>on</w:t>
      </w:r>
      <w:proofErr w:type="gramEnd"/>
      <w:r w:rsidRPr="00AE71B5">
        <w:rPr>
          <w:rFonts w:ascii="Arial" w:eastAsia="Simsun (Founder Extended)" w:hAnsi="Arial" w:cs="Arial"/>
          <w:snapToGrid/>
          <w:sz w:val="22"/>
          <w:szCs w:val="22"/>
          <w:lang w:val="en-US"/>
        </w:rPr>
        <w:t xml:space="preserve"> how similar difficulties can be addressed and solved.</w:t>
      </w:r>
    </w:p>
    <w:p w14:paraId="7D0EBB5F" w14:textId="77777777" w:rsidR="006C41C4" w:rsidRPr="0092772B" w:rsidRDefault="006C41C4" w:rsidP="006C41C4">
      <w:pPr>
        <w:keepNext/>
        <w:snapToGrid/>
        <w:spacing w:after="120"/>
        <w:jc w:val="both"/>
        <w:rPr>
          <w:rFonts w:ascii="Arial" w:hAnsi="Arial" w:cs="Arial"/>
          <w:b/>
          <w:sz w:val="22"/>
          <w:szCs w:val="22"/>
          <w:lang w:val="en-US"/>
        </w:rPr>
      </w:pPr>
      <w:bookmarkStart w:id="543" w:name="rus453"/>
      <w:r w:rsidRPr="0092772B">
        <w:rPr>
          <w:rFonts w:ascii="Arial" w:hAnsi="Arial" w:cs="Arial"/>
          <w:b/>
          <w:sz w:val="22"/>
          <w:szCs w:val="22"/>
          <w:lang w:val="en-US"/>
        </w:rPr>
        <w:t>Russian Federation</w:t>
      </w:r>
    </w:p>
    <w:bookmarkEnd w:id="543"/>
    <w:p w14:paraId="3937396D"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believe that the main current problem is the lack of clarity, awareness or understanding of the application processes for marine scientific research, which often differ between countries. In addition, the organization of marine scientific research is further complicated by illegal sanctions against research vessels of the Russian Federation imposed by </w:t>
      </w:r>
      <w:proofErr w:type="gramStart"/>
      <w:r w:rsidRPr="00AE71B5">
        <w:rPr>
          <w:rFonts w:ascii="Arial" w:eastAsia="Simsun (Founder Extended)" w:hAnsi="Arial" w:cs="Arial"/>
          <w:snapToGrid/>
          <w:sz w:val="22"/>
          <w:szCs w:val="22"/>
          <w:lang w:val="en-US"/>
        </w:rPr>
        <w:t>a number of</w:t>
      </w:r>
      <w:proofErr w:type="gramEnd"/>
      <w:r w:rsidRPr="00AE71B5">
        <w:rPr>
          <w:rFonts w:ascii="Arial" w:eastAsia="Simsun (Founder Extended)" w:hAnsi="Arial" w:cs="Arial"/>
          <w:snapToGrid/>
          <w:sz w:val="22"/>
          <w:szCs w:val="22"/>
          <w:lang w:val="en-US"/>
        </w:rPr>
        <w:t xml:space="preserve"> Western countries.</w:t>
      </w:r>
    </w:p>
    <w:p w14:paraId="16A2E5A3"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also like to reiterate the information voiced by colleagues from the IWG that during consultations with the networks, no evidence was provided of the existence of alleged data deficiencies from areas under national jurisdiction, or of tangible impacts of these data deficiencies on GOOS services or products. We therefore support the proposal for further consideration of this issue by the GOOS Steering Committee to submit a report to the 59th session of the IOC Executive Council in 2026.</w:t>
      </w:r>
    </w:p>
    <w:p w14:paraId="02506C4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We would like to emphasize once again that the collection of any scientific data on the marine environment is an element of marine scientific research within the meaning of the UN Convention on the Law of the Sea of 1982. Accordingly, its implementation in the EEZ and territorial sea of coastal states requires their consent. In this regard, the entry of autonomous surveillance equipment into the exclusive economic zone of the Russian Federation is impossible without sending the appropriate official notification. At the same time, the Russian Federation reserves the right to prevent their entry into maritime spaces under national jurisdiction.</w:t>
      </w:r>
    </w:p>
    <w:p w14:paraId="6257370F" w14:textId="77777777" w:rsidR="006C41C4" w:rsidRPr="00AE71B5" w:rsidRDefault="006C41C4" w:rsidP="006C41C4">
      <w:pPr>
        <w:keepNext/>
        <w:snapToGrid/>
        <w:spacing w:after="120"/>
        <w:jc w:val="both"/>
        <w:rPr>
          <w:rFonts w:ascii="Arial" w:hAnsi="Arial" w:cs="Arial"/>
          <w:b/>
          <w:sz w:val="22"/>
          <w:szCs w:val="22"/>
          <w:lang w:val="es-ES"/>
        </w:rPr>
      </w:pPr>
      <w:bookmarkStart w:id="544" w:name="spain453"/>
      <w:proofErr w:type="spellStart"/>
      <w:r w:rsidRPr="00AE71B5">
        <w:rPr>
          <w:rFonts w:ascii="Arial" w:hAnsi="Arial" w:cs="Arial"/>
          <w:b/>
          <w:sz w:val="22"/>
          <w:szCs w:val="22"/>
          <w:lang w:val="es-ES"/>
        </w:rPr>
        <w:t>Spain</w:t>
      </w:r>
      <w:proofErr w:type="spellEnd"/>
    </w:p>
    <w:bookmarkEnd w:id="544"/>
    <w:p w14:paraId="46E83509"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muestra su máximos agradecimiento a los miembros de trabajo sobre las observaciones en aguas de jurisdicción nacional y a Susan </w:t>
      </w:r>
      <w:proofErr w:type="spellStart"/>
      <w:r w:rsidRPr="00AE71B5">
        <w:rPr>
          <w:rFonts w:ascii="Arial" w:eastAsia="Simsun (Founder Extended)" w:hAnsi="Arial" w:cs="Arial"/>
          <w:snapToGrid/>
          <w:sz w:val="22"/>
          <w:szCs w:val="22"/>
          <w:lang w:val="es-ES"/>
        </w:rPr>
        <w:t>Alguerabaui</w:t>
      </w:r>
      <w:proofErr w:type="spellEnd"/>
      <w:r w:rsidRPr="00AE71B5">
        <w:rPr>
          <w:rFonts w:ascii="Arial" w:eastAsia="Simsun (Founder Extended)" w:hAnsi="Arial" w:cs="Arial"/>
          <w:snapToGrid/>
          <w:sz w:val="22"/>
          <w:szCs w:val="22"/>
          <w:lang w:val="es-ES"/>
        </w:rPr>
        <w:t xml:space="preserve"> por excelente trabajo y el informe realizado.</w:t>
      </w:r>
    </w:p>
    <w:p w14:paraId="55476B0B"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está de acuerdo con la resolución propuesta y con la necesidad de incrementar los esfuerzos de GOOS para dar una mayor difusión y clarificación del proceso de Solicitud de Consentimiento para la Investigación Marina, así como en evaluar la necesidad de revisar la Guía DOALOS 2010 sobre la investigación marina e informar a la trigésima cuarta asamblea de la COI. Algunas de las mejoras podrían ir encaminadas, por ejemplo, a, adaptar el proceso de solicitud y los requerimientos según la tipología de las variables y las tecnologías de observación.</w:t>
      </w:r>
    </w:p>
    <w:p w14:paraId="2FE2577E" w14:textId="77777777" w:rsidR="006C41C4" w:rsidRPr="00E647B1" w:rsidRDefault="006C41C4" w:rsidP="006C41C4">
      <w:pPr>
        <w:keepNext/>
        <w:snapToGrid/>
        <w:spacing w:after="120"/>
        <w:jc w:val="both"/>
        <w:rPr>
          <w:rFonts w:ascii="Arial" w:hAnsi="Arial" w:cs="Arial"/>
          <w:b/>
          <w:sz w:val="22"/>
          <w:szCs w:val="22"/>
          <w:lang w:val="en-US"/>
        </w:rPr>
      </w:pPr>
      <w:bookmarkStart w:id="545" w:name="turk453"/>
      <w:r w:rsidRPr="00E647B1">
        <w:rPr>
          <w:rFonts w:ascii="Arial" w:hAnsi="Arial" w:cs="Arial"/>
          <w:b/>
          <w:sz w:val="22"/>
          <w:szCs w:val="22"/>
          <w:lang w:val="en-US"/>
        </w:rPr>
        <w:t>Türkiye</w:t>
      </w:r>
    </w:p>
    <w:bookmarkEnd w:id="545"/>
    <w:p w14:paraId="1943561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Ocean Observation is defined as one of the High-Level Objectives of Turkish Marine Research Strategy Document. </w:t>
      </w:r>
    </w:p>
    <w:p w14:paraId="474A779D"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make efforts to increase the capacity of ocean data collection, exchange, archive and management in the Aegean Sea, Mediterranean Sea and Black Sea in accordance with the IOC perspective.</w:t>
      </w:r>
    </w:p>
    <w:p w14:paraId="0EDB91E9"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Also, many studies and projects on the Marine Protected Areas have been carried out in Türkiye. Many academic events have comprehensively addressed the Marine Protected Areas. </w:t>
      </w:r>
    </w:p>
    <w:p w14:paraId="18796340" w14:textId="77777777" w:rsidR="006C41C4" w:rsidRPr="00AE71B5" w:rsidRDefault="006C41C4" w:rsidP="006C41C4">
      <w:pPr>
        <w:snapToGrid/>
        <w:spacing w:after="120"/>
        <w:jc w:val="both"/>
        <w:rPr>
          <w:rFonts w:ascii="Arial" w:eastAsia="Simsun (Founder Extended)" w:hAnsi="Arial" w:cs="Arial"/>
          <w:snapToGrid/>
          <w:sz w:val="22"/>
          <w:szCs w:val="22"/>
          <w:lang w:val="en-US"/>
        </w:rPr>
      </w:pP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increase the coordination on marine scientific research at a national level, we organize an annual Marine Research Cruise Plan Meeting with participation from ministries, institutions and universities. After that meeting, an annual plan is prepared and published to optimize efforts and increase interoperability. </w:t>
      </w:r>
    </w:p>
    <w:p w14:paraId="03E14C4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For international level, we would like to highlight that we agree with the statement that IOC Member States should promote collaboration and the dialogue between Member States should be strengthened.  </w:t>
      </w:r>
    </w:p>
    <w:p w14:paraId="75389C01" w14:textId="77777777" w:rsidR="006C41C4" w:rsidRPr="00E647B1" w:rsidRDefault="006C41C4" w:rsidP="006C41C4">
      <w:pPr>
        <w:keepNext/>
        <w:snapToGrid/>
        <w:spacing w:after="120"/>
        <w:jc w:val="both"/>
        <w:rPr>
          <w:rFonts w:ascii="Arial" w:hAnsi="Arial" w:cs="Arial"/>
          <w:b/>
          <w:sz w:val="22"/>
          <w:szCs w:val="22"/>
          <w:lang w:val="en-US"/>
        </w:rPr>
      </w:pPr>
      <w:bookmarkStart w:id="546" w:name="uk453"/>
      <w:r w:rsidRPr="00E647B1">
        <w:rPr>
          <w:rFonts w:ascii="Arial" w:hAnsi="Arial" w:cs="Arial"/>
          <w:b/>
          <w:sz w:val="22"/>
          <w:szCs w:val="22"/>
          <w:lang w:val="en-US"/>
        </w:rPr>
        <w:t xml:space="preserve">United Kingdom of Great Britain and Northern Ireland </w:t>
      </w:r>
    </w:p>
    <w:bookmarkEnd w:id="546"/>
    <w:p w14:paraId="17C5CC8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UK would like to acknowledge the recommendations in the report, and the important work done to unlock the barriers to ocean </w:t>
      </w:r>
      <w:proofErr w:type="gramStart"/>
      <w:r w:rsidRPr="00AE71B5">
        <w:rPr>
          <w:rFonts w:ascii="Arial" w:eastAsia="Simsun (Founder Extended)" w:hAnsi="Arial" w:cs="Arial"/>
          <w:snapToGrid/>
          <w:sz w:val="22"/>
          <w:szCs w:val="22"/>
          <w:lang w:val="en-US"/>
        </w:rPr>
        <w:t>observing</w:t>
      </w:r>
      <w:proofErr w:type="gramEnd"/>
      <w:r w:rsidRPr="00AE71B5">
        <w:rPr>
          <w:rFonts w:ascii="Arial" w:eastAsia="Simsun (Founder Extended)" w:hAnsi="Arial" w:cs="Arial"/>
          <w:snapToGrid/>
          <w:sz w:val="22"/>
          <w:szCs w:val="22"/>
          <w:lang w:val="en-US"/>
        </w:rPr>
        <w:t xml:space="preserve"> in Areas within National Jurisdiction. We particularly welcome the move to educating the GOOS networks on the Marine Scientific Research requirements in UNCLOS, and to act as a convenor to support research communities through regional groups.</w:t>
      </w:r>
    </w:p>
    <w:p w14:paraId="1A4300FA"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Whilst the report highlights some key areas for improvement, we note the effort required, including </w:t>
      </w:r>
      <w:proofErr w:type="gramStart"/>
      <w:r w:rsidRPr="00AE71B5">
        <w:rPr>
          <w:rFonts w:ascii="Arial" w:eastAsia="Simsun (Founder Extended)" w:hAnsi="Arial" w:cs="Arial"/>
          <w:snapToGrid/>
          <w:sz w:val="22"/>
          <w:szCs w:val="22"/>
          <w:lang w:val="en-US"/>
        </w:rPr>
        <w:t>resource</w:t>
      </w:r>
      <w:proofErr w:type="gramEnd"/>
      <w:r w:rsidRPr="00AE71B5">
        <w:rPr>
          <w:rFonts w:ascii="Arial" w:eastAsia="Simsun (Founder Extended)" w:hAnsi="Arial" w:cs="Arial"/>
          <w:snapToGrid/>
          <w:sz w:val="22"/>
          <w:szCs w:val="22"/>
          <w:lang w:val="en-US"/>
        </w:rPr>
        <w:t xml:space="preserve"> within the Secretariat, to come to this conclusion and the missed opportunities at an early stage, prior to this working group, to engage Member States. It was only through this working group’s consultation with Member States that clarity was achieved.</w:t>
      </w:r>
    </w:p>
    <w:p w14:paraId="17892C52"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Given the sensitivities relating to this subject and the need to be more efficient with use of Secretariat resources we hope that the lessons learnt from this experience will help inform future approaches to interacting with Member States on items of critical importance to them, and guide future reviews, ensuring Member States views are </w:t>
      </w:r>
      <w:proofErr w:type="gramStart"/>
      <w:r w:rsidRPr="00AE71B5">
        <w:rPr>
          <w:rFonts w:ascii="Arial" w:eastAsia="Simsun (Founder Extended)" w:hAnsi="Arial" w:cs="Arial"/>
          <w:snapToGrid/>
          <w:sz w:val="22"/>
          <w:szCs w:val="22"/>
          <w:lang w:val="en-US"/>
        </w:rPr>
        <w:t>taken into account</w:t>
      </w:r>
      <w:proofErr w:type="gramEnd"/>
      <w:r w:rsidRPr="00AE71B5">
        <w:rPr>
          <w:rFonts w:ascii="Arial" w:eastAsia="Simsun (Founder Extended)" w:hAnsi="Arial" w:cs="Arial"/>
          <w:snapToGrid/>
          <w:sz w:val="22"/>
          <w:szCs w:val="22"/>
          <w:lang w:val="en-US"/>
        </w:rPr>
        <w:t xml:space="preserve"> throughout. </w:t>
      </w:r>
    </w:p>
    <w:p w14:paraId="047613CB"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would encourage the GOOS Steering Committee to adopt this approach as it looks to address making the Ship of Opportunity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work within the framework of UNCLOS as well as meeting Member State interests and, reflecting back on the previous agenda item on GOOS </w:t>
      </w:r>
      <w:r w:rsidRPr="00AE71B5">
        <w:rPr>
          <w:rFonts w:ascii="Arial" w:eastAsia="Simsun (Founder Extended)" w:hAnsi="Arial" w:cs="Arial"/>
          <w:snapToGrid/>
          <w:sz w:val="22"/>
          <w:szCs w:val="22"/>
          <w:lang w:val="en-US"/>
        </w:rPr>
        <w:lastRenderedPageBreak/>
        <w:t>reform, use that as a pilot for better incorporating Member State and the wider international governance framework in GOOS activities.</w:t>
      </w:r>
    </w:p>
    <w:p w14:paraId="40E20998" w14:textId="77777777" w:rsidR="006C41C4" w:rsidRPr="00E647B1" w:rsidRDefault="006C41C4" w:rsidP="006C41C4">
      <w:pPr>
        <w:keepNext/>
        <w:snapToGrid/>
        <w:spacing w:after="120"/>
        <w:jc w:val="both"/>
        <w:rPr>
          <w:rFonts w:ascii="Arial" w:hAnsi="Arial" w:cs="Arial"/>
          <w:b/>
          <w:sz w:val="22"/>
          <w:szCs w:val="22"/>
          <w:lang w:val="en-US"/>
        </w:rPr>
      </w:pPr>
      <w:bookmarkStart w:id="547" w:name="wmo453"/>
      <w:r w:rsidRPr="00E647B1">
        <w:rPr>
          <w:rFonts w:ascii="Arial" w:hAnsi="Arial" w:cs="Arial"/>
          <w:b/>
          <w:sz w:val="22"/>
          <w:szCs w:val="22"/>
          <w:lang w:val="en-US"/>
        </w:rPr>
        <w:t>World Meteorological Organization (WMO)</w:t>
      </w:r>
    </w:p>
    <w:bookmarkEnd w:id="547"/>
    <w:p w14:paraId="3A96E48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WMO Unified Data Policy adopted in 2021 identifies physical EOV and ECVs from the ocean, made as part of a GOOS observational network,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or project, as core data – the data necessary for the provision of services in support of the protection of life and property and for the well-being of all nations. Members are asked to provide free and unrestricted access to core data, while respecting the provisions of UNCLOS.</w:t>
      </w:r>
    </w:p>
    <w:p w14:paraId="49CB21B5"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This identification reflects the importance of this data for weather and climate prediction and early </w:t>
      </w:r>
      <w:proofErr w:type="gramStart"/>
      <w:r w:rsidRPr="00AE71B5">
        <w:rPr>
          <w:rFonts w:ascii="Arial" w:eastAsia="Simsun (Founder Extended)" w:hAnsi="Arial" w:cs="Arial"/>
          <w:snapToGrid/>
          <w:sz w:val="22"/>
          <w:szCs w:val="22"/>
          <w:lang w:val="en-US"/>
        </w:rPr>
        <w:t>warnings, and</w:t>
      </w:r>
      <w:proofErr w:type="gramEnd"/>
      <w:r w:rsidRPr="00AE71B5">
        <w:rPr>
          <w:rFonts w:ascii="Arial" w:eastAsia="Simsun (Founder Extended)" w:hAnsi="Arial" w:cs="Arial"/>
          <w:snapToGrid/>
          <w:sz w:val="22"/>
          <w:szCs w:val="22"/>
          <w:lang w:val="en-US"/>
        </w:rPr>
        <w:t xml:space="preserve"> comes from a consideration of the data’s impact and value to society and to economies. Proving this </w:t>
      </w:r>
      <w:proofErr w:type="gramStart"/>
      <w:r w:rsidRPr="00AE71B5">
        <w:rPr>
          <w:rFonts w:ascii="Arial" w:eastAsia="Simsun (Founder Extended)" w:hAnsi="Arial" w:cs="Arial"/>
          <w:snapToGrid/>
          <w:sz w:val="22"/>
          <w:szCs w:val="22"/>
          <w:lang w:val="en-US"/>
        </w:rPr>
        <w:t>value, and</w:t>
      </w:r>
      <w:proofErr w:type="gramEnd"/>
      <w:r w:rsidRPr="00AE71B5">
        <w:rPr>
          <w:rFonts w:ascii="Arial" w:eastAsia="Simsun (Founder Extended)" w:hAnsi="Arial" w:cs="Arial"/>
          <w:snapToGrid/>
          <w:sz w:val="22"/>
          <w:szCs w:val="22"/>
          <w:lang w:val="en-US"/>
        </w:rPr>
        <w:t xml:space="preserve"> extending the capacity to exploit this data in all nations through capacity development are two important actions to build national understanding of the importance of sharing of ocean data from the entire ocean. </w:t>
      </w:r>
    </w:p>
    <w:p w14:paraId="10D8FBD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Our joint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 xml:space="preserve"> OceanOPS plays an important role in the Argo notification scheme, and we would encourage IOC to build upon this capacity and experience to operationalize Marine Scientific Research clearance processes and to further reduce barriers to reinforcing public good ocean observations in areas under national jurisdiction, as appropriate and as agreed by IOC Member States. WMO will follow IOC’s further activity in this area with interest.</w:t>
      </w:r>
    </w:p>
    <w:p w14:paraId="6F422DD6"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4.6</w:t>
      </w:r>
      <w:r w:rsidRPr="00AE71B5">
        <w:rPr>
          <w:rFonts w:ascii="Arial" w:hAnsi="Arial" w:cs="Arial"/>
          <w:b/>
          <w:sz w:val="22"/>
          <w:szCs w:val="22"/>
        </w:rPr>
        <w:tab/>
        <w:t>Joint WMO-IOC Collaborative Board (JCB) Strategic Advice on Joint Work to Achieve Common Objectives</w:t>
      </w:r>
    </w:p>
    <w:p w14:paraId="58E55690" w14:textId="77777777" w:rsidR="006C41C4" w:rsidRPr="00AE71B5" w:rsidRDefault="006C41C4" w:rsidP="006C41C4">
      <w:pPr>
        <w:keepNext/>
        <w:snapToGrid/>
        <w:spacing w:after="120"/>
        <w:jc w:val="both"/>
        <w:rPr>
          <w:rFonts w:ascii="Arial" w:hAnsi="Arial" w:cs="Arial"/>
          <w:b/>
          <w:sz w:val="22"/>
          <w:szCs w:val="22"/>
        </w:rPr>
      </w:pPr>
      <w:bookmarkStart w:id="548" w:name="aus46"/>
      <w:r w:rsidRPr="00AE71B5">
        <w:rPr>
          <w:rFonts w:ascii="Arial" w:hAnsi="Arial" w:cs="Arial"/>
          <w:b/>
          <w:sz w:val="22"/>
          <w:szCs w:val="22"/>
        </w:rPr>
        <w:t>Australia</w:t>
      </w:r>
    </w:p>
    <w:bookmarkEnd w:id="548"/>
    <w:p w14:paraId="7136BAD6"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 lieu of amendments by WMO's Executive Council on the aligned decision on the JCB at the 79th session of WMO Executive Council last week, Australia proposes the following amendments to the IOC decision (in red)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ensure both bodies are adopting the same decision.</w:t>
      </w:r>
    </w:p>
    <w:p w14:paraId="5BAA8C7E" w14:textId="77777777" w:rsidR="006C41C4" w:rsidRPr="00AE71B5" w:rsidRDefault="006C41C4" w:rsidP="006C41C4">
      <w:pPr>
        <w:keepNext/>
        <w:snapToGrid/>
        <w:spacing w:after="120"/>
        <w:jc w:val="both"/>
        <w:rPr>
          <w:rFonts w:ascii="Arial" w:hAnsi="Arial" w:cs="Arial"/>
          <w:b/>
          <w:sz w:val="22"/>
          <w:szCs w:val="22"/>
        </w:rPr>
      </w:pPr>
      <w:bookmarkStart w:id="549" w:name="chin46"/>
      <w:r w:rsidRPr="00AE71B5">
        <w:rPr>
          <w:rFonts w:ascii="Arial" w:hAnsi="Arial" w:cs="Arial"/>
          <w:b/>
          <w:sz w:val="22"/>
          <w:szCs w:val="22"/>
        </w:rPr>
        <w:t>China</w:t>
      </w:r>
    </w:p>
    <w:bookmarkEnd w:id="549"/>
    <w:p w14:paraId="38DC953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WMO and IOC have a long history of cooperation in jointly promoting ocean and climate monitoring, advancing scientific research, technological development and data sharing, and have achieved fruitful results. </w:t>
      </w:r>
    </w:p>
    <w:p w14:paraId="015537D9" w14:textId="77777777" w:rsidR="006C41C4" w:rsidRPr="00AE71B5" w:rsidRDefault="006C41C4" w:rsidP="006C41C4">
      <w:pPr>
        <w:snapToGrid/>
        <w:spacing w:after="120"/>
        <w:jc w:val="both"/>
        <w:rPr>
          <w:rFonts w:ascii="Arial" w:eastAsia="Simsun (Founder Extended)" w:hAnsi="Arial" w:cs="Arial"/>
          <w:snapToGrid/>
          <w:sz w:val="22"/>
          <w:szCs w:val="22"/>
        </w:rPr>
      </w:pPr>
      <w:bookmarkStart w:id="550" w:name="_Hlk207963394"/>
      <w:r w:rsidRPr="00AE71B5">
        <w:rPr>
          <w:rFonts w:ascii="Arial" w:eastAsia="Simsun (Founder Extended)" w:hAnsi="Arial" w:cs="Arial"/>
          <w:snapToGrid/>
          <w:sz w:val="22"/>
          <w:szCs w:val="22"/>
        </w:rPr>
        <w:t>China expresses its appreciation for the significant progress made by the JCB over the past year and is willing to contribute to JCB's promotion of the four priority areas and the implementation of related actions. China has participated in multiple projects jointly initiated by WMO and IOC, established the WMO-IOC Centre for Marine-Meteorological and Oceanographic Climate Data in Tianjin, China</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CMOC/China</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 xml:space="preserve"> and the Regional Marine Instrument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for the Asia-Pacific Region (RMIC/AP). </w:t>
      </w:r>
    </w:p>
    <w:bookmarkEnd w:id="550"/>
    <w:p w14:paraId="3D4C43A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China is committed to promoting oceanographic and meteorological research and </w:t>
      </w:r>
      <w:proofErr w:type="gramStart"/>
      <w:r w:rsidRPr="00AE71B5">
        <w:rPr>
          <w:rFonts w:ascii="Arial" w:eastAsia="Simsun (Founder Extended)" w:hAnsi="Arial" w:cs="Arial"/>
          <w:snapToGrid/>
          <w:sz w:val="22"/>
          <w:szCs w:val="22"/>
        </w:rPr>
        <w:t>cooperation, and</w:t>
      </w:r>
      <w:proofErr w:type="gramEnd"/>
      <w:r w:rsidRPr="00AE71B5">
        <w:rPr>
          <w:rFonts w:ascii="Arial" w:eastAsia="Simsun (Founder Extended)" w:hAnsi="Arial" w:cs="Arial"/>
          <w:snapToGrid/>
          <w:sz w:val="22"/>
          <w:szCs w:val="22"/>
        </w:rPr>
        <w:t xml:space="preserve"> has carried out rich cooperation with international counterparts in fields such as climate change, ocean ecological protection, marine disaster prevention and mitigation, and data sharing. </w:t>
      </w:r>
    </w:p>
    <w:p w14:paraId="31CBD32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will, as always, support the JCB in fulfilling its duties and actively participate in the new plans and actions initiated by the JCB. Meanwhile, it is hoped that JCB would provide further guidance to the existing cooperation projects, enabling them to play their roles effectively and provide better services for IOC and WMO members.</w:t>
      </w:r>
    </w:p>
    <w:p w14:paraId="73716087" w14:textId="77777777" w:rsidR="006C41C4" w:rsidRPr="00AE71B5" w:rsidRDefault="006C41C4" w:rsidP="006C41C4">
      <w:pPr>
        <w:keepNext/>
        <w:snapToGrid/>
        <w:spacing w:after="120"/>
        <w:jc w:val="both"/>
        <w:rPr>
          <w:rFonts w:ascii="Arial" w:hAnsi="Arial" w:cs="Arial"/>
          <w:b/>
          <w:sz w:val="22"/>
          <w:szCs w:val="22"/>
        </w:rPr>
      </w:pPr>
      <w:bookmarkStart w:id="551" w:name="jap46"/>
      <w:r w:rsidRPr="00AE71B5">
        <w:rPr>
          <w:rFonts w:ascii="Arial" w:hAnsi="Arial" w:cs="Arial"/>
          <w:b/>
          <w:sz w:val="22"/>
          <w:szCs w:val="22"/>
        </w:rPr>
        <w:t>Japan</w:t>
      </w:r>
    </w:p>
    <w:bookmarkEnd w:id="551"/>
    <w:p w14:paraId="5F910C8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collaboration between the IOC and the WMO has been effective in addressing various issues such as strengthening ocean observation, forecasting systems and capacity building, etc. Japan welcomes the continued work of the JCB, including the promotion of the Global Ocean Basic Observing networks (GBON) for Ocean and data management activities for which subgroups </w:t>
      </w:r>
      <w:r w:rsidRPr="00AE71B5">
        <w:rPr>
          <w:rFonts w:ascii="Arial" w:eastAsia="Simsun (Founder Extended)" w:hAnsi="Arial" w:cs="Arial"/>
          <w:snapToGrid/>
          <w:sz w:val="22"/>
          <w:szCs w:val="22"/>
        </w:rPr>
        <w:lastRenderedPageBreak/>
        <w:t>have been established, as well as its active contribution to the UN Early Warnings for All (EW4All) initiative.</w:t>
      </w:r>
    </w:p>
    <w:p w14:paraId="5A9BAAFB" w14:textId="77777777" w:rsidR="006C41C4" w:rsidRPr="00AE71B5" w:rsidRDefault="006C41C4" w:rsidP="006C41C4">
      <w:pPr>
        <w:keepNext/>
        <w:snapToGrid/>
        <w:spacing w:after="120"/>
        <w:jc w:val="both"/>
        <w:rPr>
          <w:rFonts w:ascii="Arial" w:hAnsi="Arial" w:cs="Arial"/>
          <w:b/>
          <w:sz w:val="22"/>
          <w:szCs w:val="22"/>
        </w:rPr>
      </w:pPr>
      <w:bookmarkStart w:id="552" w:name="rok46"/>
      <w:r w:rsidRPr="00AE71B5">
        <w:rPr>
          <w:rFonts w:ascii="Arial" w:hAnsi="Arial" w:cs="Arial"/>
          <w:b/>
          <w:sz w:val="22"/>
          <w:szCs w:val="22"/>
        </w:rPr>
        <w:t xml:space="preserve">Republic of Korea </w:t>
      </w:r>
    </w:p>
    <w:bookmarkEnd w:id="552"/>
    <w:p w14:paraId="20FB41A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Republic of Korea expresses its appreciation for the efforts of the JCB in strengthening collaboration between the meteorological and oceanographic </w:t>
      </w:r>
      <w:proofErr w:type="gramStart"/>
      <w:r w:rsidRPr="00AE71B5">
        <w:rPr>
          <w:rFonts w:ascii="Arial" w:eastAsia="Simsun (Founder Extended)" w:hAnsi="Arial" w:cs="Arial"/>
          <w:snapToGrid/>
          <w:sz w:val="22"/>
          <w:szCs w:val="22"/>
        </w:rPr>
        <w:t>communities, and</w:t>
      </w:r>
      <w:proofErr w:type="gramEnd"/>
      <w:r w:rsidRPr="00AE71B5">
        <w:rPr>
          <w:rFonts w:ascii="Arial" w:eastAsia="Simsun (Founder Extended)" w:hAnsi="Arial" w:cs="Arial"/>
          <w:snapToGrid/>
          <w:sz w:val="22"/>
          <w:szCs w:val="22"/>
        </w:rPr>
        <w:t xml:space="preserve"> supports the extension of the WMO-IOC Collaborative Strategy through 2027. The Korea </w:t>
      </w:r>
      <w:proofErr w:type="spellStart"/>
      <w:r w:rsidRPr="00AE71B5">
        <w:rPr>
          <w:rFonts w:ascii="Arial" w:eastAsia="Simsun (Founder Extended)" w:hAnsi="Arial" w:cs="Arial"/>
          <w:snapToGrid/>
          <w:sz w:val="22"/>
          <w:szCs w:val="22"/>
        </w:rPr>
        <w:t>Meteorlogical</w:t>
      </w:r>
      <w:proofErr w:type="spellEnd"/>
      <w:r w:rsidRPr="00AE71B5">
        <w:rPr>
          <w:rFonts w:ascii="Arial" w:eastAsia="Simsun (Founder Extended)" w:hAnsi="Arial" w:cs="Arial"/>
          <w:snapToGrid/>
          <w:sz w:val="22"/>
          <w:szCs w:val="22"/>
        </w:rPr>
        <w:t xml:space="preserve"> Administration (KMA) is sharing ocean observation data through the Global Ocean Observation System (GOOS) and the WMO Information System 2.0(WIS2.0). KMA is also developing and operating numerical prediction-based technologies to respond to hazardous weather events in the seas surrounding the Korean Peninsula. We will actively contribute to the four key work areas identified by the JCB.</w:t>
      </w:r>
    </w:p>
    <w:p w14:paraId="6211FDFA" w14:textId="77777777" w:rsidR="006C41C4" w:rsidRPr="00AE71B5" w:rsidRDefault="006C41C4" w:rsidP="006C41C4">
      <w:pPr>
        <w:keepNext/>
        <w:snapToGrid/>
        <w:spacing w:after="120"/>
        <w:jc w:val="both"/>
        <w:rPr>
          <w:rFonts w:ascii="Arial" w:hAnsi="Arial" w:cs="Arial"/>
          <w:b/>
          <w:sz w:val="22"/>
          <w:szCs w:val="22"/>
        </w:rPr>
      </w:pPr>
      <w:bookmarkStart w:id="553" w:name="rus46"/>
      <w:r w:rsidRPr="00AE71B5">
        <w:rPr>
          <w:rFonts w:ascii="Arial" w:hAnsi="Arial" w:cs="Arial"/>
          <w:b/>
          <w:sz w:val="22"/>
          <w:szCs w:val="22"/>
        </w:rPr>
        <w:t>Russian Federation</w:t>
      </w:r>
    </w:p>
    <w:bookmarkEnd w:id="553"/>
    <w:p w14:paraId="6749520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believe that the developed Joint Cooperation Strategy for 2022-2025 covers the most important areas of cooperation in research, observations, data, </w:t>
      </w:r>
      <w:proofErr w:type="spellStart"/>
      <w:r w:rsidRPr="00AE71B5">
        <w:rPr>
          <w:rFonts w:ascii="Arial" w:eastAsia="Simsun (Founder Extended)" w:hAnsi="Arial" w:cs="Arial"/>
          <w:snapToGrid/>
          <w:sz w:val="22"/>
          <w:szCs w:val="22"/>
        </w:rPr>
        <w:t>modeling</w:t>
      </w:r>
      <w:proofErr w:type="spellEnd"/>
      <w:r w:rsidRPr="00AE71B5">
        <w:rPr>
          <w:rFonts w:ascii="Arial" w:eastAsia="Simsun (Founder Extended)" w:hAnsi="Arial" w:cs="Arial"/>
          <w:snapToGrid/>
          <w:sz w:val="22"/>
          <w:szCs w:val="22"/>
        </w:rPr>
        <w:t>, services and capacity development and can be extended until 2027 in its current form.</w:t>
      </w:r>
    </w:p>
    <w:p w14:paraId="02DC100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support the medium-term priority areas of work outlined by the Council.</w:t>
      </w:r>
    </w:p>
    <w:p w14:paraId="4F60060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terms of creation of the Global Basic Ocean Observing Network that will include additional ocean variables, we consider it necessary to note that the creation of the GBON will contribute to making observing systems more sustainable and to the gradual transition to the real time use of ocean data.</w:t>
      </w:r>
    </w:p>
    <w:p w14:paraId="31D435C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addition, we consider it important to gradually improve compatibility and expand data exchange between the WMO Information System and the Ocean Data Information System, as well as to develop a structured approach to marine climate data systems.</w:t>
      </w:r>
    </w:p>
    <w:p w14:paraId="3520E29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see high potential for further joint efforts to develop capacity to expand opportunities in both oceanography and meteorology, including through the unification of training calendars and the creation of joint training centres and resources between WMO and IOC. In this regard, we believe it is necessary to intensify the efforts of the Joint Council to implement specific actions within the framework of the activity areas, primarily the implementation of joint events, programmes and projects.</w:t>
      </w:r>
    </w:p>
    <w:p w14:paraId="49A1DB5A" w14:textId="77777777" w:rsidR="006C41C4" w:rsidRPr="00E647B1" w:rsidRDefault="006C41C4" w:rsidP="006C41C4">
      <w:pPr>
        <w:keepNext/>
        <w:snapToGrid/>
        <w:spacing w:after="120"/>
        <w:jc w:val="both"/>
        <w:rPr>
          <w:rFonts w:ascii="Arial" w:hAnsi="Arial" w:cs="Arial"/>
          <w:b/>
          <w:sz w:val="22"/>
          <w:szCs w:val="22"/>
          <w:lang w:val="es-ES"/>
        </w:rPr>
      </w:pPr>
      <w:bookmarkStart w:id="554" w:name="spain46"/>
      <w:proofErr w:type="spellStart"/>
      <w:r w:rsidRPr="00E647B1">
        <w:rPr>
          <w:rFonts w:ascii="Arial" w:hAnsi="Arial" w:cs="Arial"/>
          <w:b/>
          <w:sz w:val="22"/>
          <w:szCs w:val="22"/>
          <w:lang w:val="es-ES"/>
        </w:rPr>
        <w:t>Spain</w:t>
      </w:r>
      <w:proofErr w:type="spellEnd"/>
    </w:p>
    <w:bookmarkEnd w:id="554"/>
    <w:p w14:paraId="6168E861"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coincide con la relevancia de los temas prioritarios presentados, especialmente la Red Básica Mundial de Observación (GBON) y la Gestión de datos e interoperabilidad. Respecto GBON, dado el interés y necesidad de cubrir procesos de escala climática, dicha red no debería limitarse únicamente a los datos de redes de observación operacionales en tiempo real, sino extenderse también a otras redes que proporcionan datos de alta calidad en lo que se conoce como '</w:t>
      </w:r>
      <w:proofErr w:type="spellStart"/>
      <w:r w:rsidRPr="00AE71B5">
        <w:rPr>
          <w:rFonts w:ascii="Arial" w:eastAsia="Simsun (Founder Extended)" w:hAnsi="Arial" w:cs="Arial"/>
          <w:snapToGrid/>
          <w:sz w:val="22"/>
          <w:szCs w:val="22"/>
          <w:lang w:val="es-ES"/>
        </w:rPr>
        <w:t>delayed</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mode</w:t>
      </w:r>
      <w:proofErr w:type="spellEnd"/>
      <w:r w:rsidRPr="00AE71B5">
        <w:rPr>
          <w:rFonts w:ascii="Arial" w:eastAsia="Simsun (Founder Extended)" w:hAnsi="Arial" w:cs="Arial"/>
          <w:snapToGrid/>
          <w:sz w:val="22"/>
          <w:szCs w:val="22"/>
          <w:lang w:val="es-ES"/>
        </w:rPr>
        <w:t xml:space="preserve">'. Sería interesante también que en la implementación de GBON se contemplara el establecimiento de una red de estaciones de referencia en el océano reconocidas por GBON de modo similar a la Reference </w:t>
      </w:r>
      <w:proofErr w:type="spellStart"/>
      <w:r w:rsidRPr="00AE71B5">
        <w:rPr>
          <w:rFonts w:ascii="Arial" w:eastAsia="Simsun (Founder Extended)" w:hAnsi="Arial" w:cs="Arial"/>
          <w:snapToGrid/>
          <w:sz w:val="22"/>
          <w:szCs w:val="22"/>
          <w:lang w:val="es-ES"/>
        </w:rPr>
        <w:t>Upper</w:t>
      </w:r>
      <w:proofErr w:type="spellEnd"/>
      <w:r w:rsidRPr="00AE71B5">
        <w:rPr>
          <w:rFonts w:ascii="Arial" w:eastAsia="Simsun (Founder Extended)" w:hAnsi="Arial" w:cs="Arial"/>
          <w:snapToGrid/>
          <w:sz w:val="22"/>
          <w:szCs w:val="22"/>
          <w:lang w:val="es-ES"/>
        </w:rPr>
        <w:t xml:space="preserve">-Air Network del Global </w:t>
      </w:r>
      <w:proofErr w:type="spellStart"/>
      <w:r w:rsidRPr="00AE71B5">
        <w:rPr>
          <w:rFonts w:ascii="Arial" w:eastAsia="Simsun (Founder Extended)" w:hAnsi="Arial" w:cs="Arial"/>
          <w:snapToGrid/>
          <w:sz w:val="22"/>
          <w:szCs w:val="22"/>
          <w:lang w:val="es-ES"/>
        </w:rPr>
        <w:t>Climate</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Observation</w:t>
      </w:r>
      <w:proofErr w:type="spellEnd"/>
      <w:r w:rsidRPr="00AE71B5">
        <w:rPr>
          <w:rFonts w:ascii="Arial" w:eastAsia="Simsun (Founder Extended)" w:hAnsi="Arial" w:cs="Arial"/>
          <w:snapToGrid/>
          <w:sz w:val="22"/>
          <w:szCs w:val="22"/>
          <w:lang w:val="es-ES"/>
        </w:rPr>
        <w:t xml:space="preserve"> System (GCOS), red conocida como GRUAN por su acrónimo en inglés.</w:t>
      </w:r>
    </w:p>
    <w:p w14:paraId="10A7C588" w14:textId="77777777" w:rsidR="006C41C4" w:rsidRPr="00E647B1" w:rsidRDefault="006C41C4" w:rsidP="006C41C4">
      <w:pPr>
        <w:keepNext/>
        <w:snapToGrid/>
        <w:spacing w:after="120"/>
        <w:jc w:val="both"/>
        <w:rPr>
          <w:rFonts w:ascii="Arial" w:hAnsi="Arial" w:cs="Arial"/>
          <w:b/>
          <w:sz w:val="22"/>
          <w:szCs w:val="22"/>
          <w:lang w:val="en-US"/>
        </w:rPr>
      </w:pPr>
      <w:bookmarkStart w:id="555" w:name="wmo46"/>
      <w:r w:rsidRPr="00E647B1">
        <w:rPr>
          <w:rFonts w:ascii="Arial" w:hAnsi="Arial" w:cs="Arial"/>
          <w:b/>
          <w:sz w:val="22"/>
          <w:szCs w:val="22"/>
          <w:lang w:val="en-US"/>
        </w:rPr>
        <w:t>World Meteorological Organization (WMO)</w:t>
      </w:r>
    </w:p>
    <w:bookmarkEnd w:id="555"/>
    <w:p w14:paraId="0F51A24A"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rPr>
        <w:t>WMO remains committed to focusing the JCB on key, tractable issues that deliver to both IOC and WMO – and are encouraged by the identification of the four initial priority areas for JCB efforts. Their development over the coming year will be important in proving the value of the JCB and should both reflect and influence joint efforts between oceanography and meteorology at the national level, the subject of the consultation with Member States.</w:t>
      </w:r>
    </w:p>
    <w:p w14:paraId="49CBA6FB" w14:textId="77777777" w:rsidR="006C41C4" w:rsidRPr="00E647B1" w:rsidRDefault="006C41C4" w:rsidP="006C41C4">
      <w:pPr>
        <w:shd w:val="clear" w:color="auto" w:fill="D0CECE"/>
        <w:tabs>
          <w:tab w:val="clear" w:pos="567"/>
        </w:tabs>
        <w:spacing w:before="240" w:after="120"/>
        <w:ind w:left="709" w:hanging="709"/>
        <w:rPr>
          <w:rFonts w:ascii="Arial" w:hAnsi="Arial" w:cs="Arial"/>
          <w:b/>
          <w:sz w:val="22"/>
          <w:szCs w:val="22"/>
          <w:lang w:val="es-ES"/>
        </w:rPr>
      </w:pPr>
      <w:r w:rsidRPr="00E647B1">
        <w:rPr>
          <w:rFonts w:ascii="Arial" w:hAnsi="Arial" w:cs="Arial"/>
          <w:b/>
          <w:sz w:val="22"/>
          <w:szCs w:val="22"/>
          <w:lang w:val="es-ES"/>
        </w:rPr>
        <w:t>4.7</w:t>
      </w:r>
      <w:r w:rsidRPr="00E647B1">
        <w:rPr>
          <w:rFonts w:ascii="Arial" w:hAnsi="Arial" w:cs="Arial"/>
          <w:b/>
          <w:sz w:val="22"/>
          <w:szCs w:val="22"/>
          <w:lang w:val="es-ES"/>
        </w:rPr>
        <w:tab/>
        <w:t xml:space="preserve">IOC </w:t>
      </w:r>
      <w:proofErr w:type="spellStart"/>
      <w:r w:rsidRPr="00E647B1">
        <w:rPr>
          <w:rFonts w:ascii="Arial" w:hAnsi="Arial" w:cs="Arial"/>
          <w:b/>
          <w:sz w:val="22"/>
          <w:szCs w:val="22"/>
          <w:lang w:val="es-ES"/>
        </w:rPr>
        <w:t>Contributions</w:t>
      </w:r>
      <w:proofErr w:type="spellEnd"/>
      <w:r w:rsidRPr="00E647B1">
        <w:rPr>
          <w:rFonts w:ascii="Arial" w:hAnsi="Arial" w:cs="Arial"/>
          <w:b/>
          <w:sz w:val="22"/>
          <w:szCs w:val="22"/>
          <w:lang w:val="es-ES"/>
        </w:rPr>
        <w:t xml:space="preserve"> to UN </w:t>
      </w:r>
      <w:proofErr w:type="spellStart"/>
      <w:r w:rsidRPr="00E647B1">
        <w:rPr>
          <w:rFonts w:ascii="Arial" w:hAnsi="Arial" w:cs="Arial"/>
          <w:b/>
          <w:sz w:val="22"/>
          <w:szCs w:val="22"/>
          <w:lang w:val="es-ES"/>
        </w:rPr>
        <w:t>Governance</w:t>
      </w:r>
      <w:proofErr w:type="spellEnd"/>
      <w:r w:rsidRPr="00E647B1">
        <w:rPr>
          <w:rFonts w:ascii="Arial" w:hAnsi="Arial" w:cs="Arial"/>
          <w:b/>
          <w:sz w:val="22"/>
          <w:szCs w:val="22"/>
          <w:lang w:val="es-ES"/>
        </w:rPr>
        <w:t xml:space="preserve"> </w:t>
      </w:r>
      <w:proofErr w:type="spellStart"/>
      <w:r w:rsidRPr="00E647B1">
        <w:rPr>
          <w:rFonts w:ascii="Arial" w:hAnsi="Arial" w:cs="Arial"/>
          <w:b/>
          <w:sz w:val="22"/>
          <w:szCs w:val="22"/>
          <w:lang w:val="es-ES"/>
        </w:rPr>
        <w:t>Processes</w:t>
      </w:r>
      <w:proofErr w:type="spellEnd"/>
    </w:p>
    <w:p w14:paraId="24D1CA92" w14:textId="77777777" w:rsidR="006C41C4" w:rsidRPr="00E647B1" w:rsidRDefault="006C41C4" w:rsidP="006C41C4">
      <w:pPr>
        <w:keepNext/>
        <w:snapToGrid/>
        <w:spacing w:after="120"/>
        <w:jc w:val="both"/>
        <w:rPr>
          <w:rFonts w:ascii="Arial" w:hAnsi="Arial" w:cs="Arial"/>
          <w:b/>
          <w:sz w:val="22"/>
          <w:szCs w:val="22"/>
          <w:lang w:val="es-ES"/>
        </w:rPr>
      </w:pPr>
      <w:bookmarkStart w:id="556" w:name="arg47"/>
      <w:r w:rsidRPr="00E647B1">
        <w:rPr>
          <w:rFonts w:ascii="Arial" w:hAnsi="Arial" w:cs="Arial"/>
          <w:b/>
          <w:sz w:val="22"/>
          <w:szCs w:val="22"/>
          <w:lang w:val="es-ES"/>
        </w:rPr>
        <w:lastRenderedPageBreak/>
        <w:t>Argentina</w:t>
      </w:r>
    </w:p>
    <w:bookmarkEnd w:id="556"/>
    <w:p w14:paraId="1F54FF49"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Agradecemos la propuesta y las aclaraciones realizadas por la Delegación de Chile y solicitamos que los comentarios provistos por esta Delegación sean registrados en el informe final. Sin perjuicio de tales comentarios, nos comprometemos a participar constructivamente en el Grupo de Trabajo.</w:t>
      </w:r>
    </w:p>
    <w:p w14:paraId="1AD2487F"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El proyecto de enmienda presentado por la Delegación de Chile contiene una propuesta de incluir una modificación de fondo que va más allá de la mera enmienda al texto de la decisión. Se considera que dicha propuesta debiera haberse remitido con la anticipación suficiente, en línea con lo dispuesto por las Guías Revisadas para la Preparación y Consideración de Borradores de Resolución, como para permitir evaluar a nivel interno la propuesta y todas sus implicancias.</w:t>
      </w:r>
    </w:p>
    <w:p w14:paraId="1033F3BA"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Asimismo, toda vez que el Acuerdo BBNJ aún no ha entrado en vigor y recién se han comenzado a discutir sus modalidades y su institucionalidad, entre ellas, las modalidades de funcionamiento del "</w:t>
      </w:r>
      <w:proofErr w:type="spellStart"/>
      <w:r w:rsidRPr="00AE71B5">
        <w:rPr>
          <w:rFonts w:ascii="Arial" w:eastAsia="Simsun (Founder Extended)" w:hAnsi="Arial" w:cs="Arial"/>
          <w:snapToGrid/>
          <w:sz w:val="22"/>
          <w:szCs w:val="22"/>
          <w:lang w:val="es-ES"/>
        </w:rPr>
        <w:t>Clearing</w:t>
      </w:r>
      <w:proofErr w:type="spellEnd"/>
      <w:r w:rsidRPr="00AE71B5">
        <w:rPr>
          <w:rFonts w:ascii="Arial" w:eastAsia="Simsun (Founder Extended)" w:hAnsi="Arial" w:cs="Arial"/>
          <w:snapToGrid/>
          <w:sz w:val="22"/>
          <w:szCs w:val="22"/>
          <w:lang w:val="es-ES"/>
        </w:rPr>
        <w:t xml:space="preserve"> House </w:t>
      </w:r>
      <w:proofErr w:type="spellStart"/>
      <w:r w:rsidRPr="00AE71B5">
        <w:rPr>
          <w:rFonts w:ascii="Arial" w:eastAsia="Simsun (Founder Extended)" w:hAnsi="Arial" w:cs="Arial"/>
          <w:snapToGrid/>
          <w:sz w:val="22"/>
          <w:szCs w:val="22"/>
          <w:lang w:val="es-ES"/>
        </w:rPr>
        <w:t>Mechanism</w:t>
      </w:r>
      <w:proofErr w:type="spellEnd"/>
      <w:r w:rsidRPr="00AE71B5">
        <w:rPr>
          <w:rFonts w:ascii="Arial" w:eastAsia="Simsun (Founder Extended)" w:hAnsi="Arial" w:cs="Arial"/>
          <w:snapToGrid/>
          <w:sz w:val="22"/>
          <w:szCs w:val="22"/>
          <w:lang w:val="es-ES"/>
        </w:rPr>
        <w:t xml:space="preserve">", en el marco de las reuniones de la Comisión Preparatoria del Acuerdo, se considera que un grupo de trabajo con un mandato como el que se propone en el marco de la </w:t>
      </w:r>
      <w:proofErr w:type="gramStart"/>
      <w:r w:rsidRPr="00AE71B5">
        <w:rPr>
          <w:rFonts w:ascii="Arial" w:eastAsia="Simsun (Founder Extended)" w:hAnsi="Arial" w:cs="Arial"/>
          <w:snapToGrid/>
          <w:sz w:val="22"/>
          <w:szCs w:val="22"/>
          <w:lang w:val="es-ES"/>
        </w:rPr>
        <w:t>COI,</w:t>
      </w:r>
      <w:proofErr w:type="gramEnd"/>
      <w:r w:rsidRPr="00AE71B5">
        <w:rPr>
          <w:rFonts w:ascii="Arial" w:eastAsia="Simsun (Founder Extended)" w:hAnsi="Arial" w:cs="Arial"/>
          <w:snapToGrid/>
          <w:sz w:val="22"/>
          <w:szCs w:val="22"/>
          <w:lang w:val="es-ES"/>
        </w:rPr>
        <w:t xml:space="preserve"> resulta prematuro. </w:t>
      </w:r>
    </w:p>
    <w:p w14:paraId="3419D3E7"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Se considera que el mandato que se pretende conferir al Grupo de Trabajo resulta extremadamente amplio, abarcando incluso cuestiones que deben ser discutidas en el marco del Acuerdo BBNJ, y otras que deben ser resueltas por los Estados Miembros o que son propias de la COI. Ello podría derivar en una superposición o duplicación de tareas con respecto a las cuestiones que aún se están discutiendo en el marco del Acuerdo BBNJ. </w:t>
      </w:r>
    </w:p>
    <w:p w14:paraId="5DE31AA2"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efecto, el párrafo 2(</w:t>
      </w:r>
      <w:proofErr w:type="spellStart"/>
      <w:r w:rsidRPr="00AE71B5">
        <w:rPr>
          <w:rFonts w:ascii="Arial" w:eastAsia="Simsun (Founder Extended)" w:hAnsi="Arial" w:cs="Arial"/>
          <w:snapToGrid/>
          <w:sz w:val="22"/>
          <w:szCs w:val="22"/>
          <w:lang w:val="es-ES"/>
        </w:rPr>
        <w:t>ii</w:t>
      </w:r>
      <w:proofErr w:type="spellEnd"/>
      <w:r w:rsidRPr="00AE71B5">
        <w:rPr>
          <w:rFonts w:ascii="Arial" w:eastAsia="Simsun (Founder Extended)" w:hAnsi="Arial" w:cs="Arial"/>
          <w:snapToGrid/>
          <w:sz w:val="22"/>
          <w:szCs w:val="22"/>
          <w:lang w:val="es-ES"/>
        </w:rPr>
        <w:t xml:space="preserve">) de los </w:t>
      </w:r>
      <w:proofErr w:type="spellStart"/>
      <w:r w:rsidRPr="00AE71B5">
        <w:rPr>
          <w:rFonts w:ascii="Arial" w:eastAsia="Simsun (Founder Extended)" w:hAnsi="Arial" w:cs="Arial"/>
          <w:snapToGrid/>
          <w:sz w:val="22"/>
          <w:szCs w:val="22"/>
          <w:lang w:val="es-ES"/>
        </w:rPr>
        <w:t>TdR</w:t>
      </w:r>
      <w:proofErr w:type="spellEnd"/>
      <w:r w:rsidRPr="00AE71B5">
        <w:rPr>
          <w:rFonts w:ascii="Arial" w:eastAsia="Simsun (Founder Extended)" w:hAnsi="Arial" w:cs="Arial"/>
          <w:snapToGrid/>
          <w:sz w:val="22"/>
          <w:szCs w:val="22"/>
          <w:lang w:val="es-ES"/>
        </w:rPr>
        <w:t xml:space="preserve"> refiere a la función de "promover el rol y las contribuciones de la COI en el establecimiento y funcionamiento del futuro "</w:t>
      </w:r>
      <w:proofErr w:type="spellStart"/>
      <w:r w:rsidRPr="00AE71B5">
        <w:rPr>
          <w:rFonts w:ascii="Arial" w:eastAsia="Simsun (Founder Extended)" w:hAnsi="Arial" w:cs="Arial"/>
          <w:snapToGrid/>
          <w:sz w:val="22"/>
          <w:szCs w:val="22"/>
          <w:lang w:val="es-ES"/>
        </w:rPr>
        <w:t>Clearing</w:t>
      </w:r>
      <w:proofErr w:type="spellEnd"/>
      <w:r w:rsidRPr="00AE71B5">
        <w:rPr>
          <w:rFonts w:ascii="Arial" w:eastAsia="Simsun (Founder Extended)" w:hAnsi="Arial" w:cs="Arial"/>
          <w:snapToGrid/>
          <w:sz w:val="22"/>
          <w:szCs w:val="22"/>
          <w:lang w:val="es-ES"/>
        </w:rPr>
        <w:t xml:space="preserve"> House </w:t>
      </w:r>
      <w:proofErr w:type="spellStart"/>
      <w:r w:rsidRPr="00AE71B5">
        <w:rPr>
          <w:rFonts w:ascii="Arial" w:eastAsia="Simsun (Founder Extended)" w:hAnsi="Arial" w:cs="Arial"/>
          <w:snapToGrid/>
          <w:sz w:val="22"/>
          <w:szCs w:val="22"/>
          <w:lang w:val="es-ES"/>
        </w:rPr>
        <w:t>Mechanism</w:t>
      </w:r>
      <w:proofErr w:type="spellEnd"/>
      <w:r w:rsidRPr="00AE71B5">
        <w:rPr>
          <w:rFonts w:ascii="Arial" w:eastAsia="Simsun (Founder Extended)" w:hAnsi="Arial" w:cs="Arial"/>
          <w:snapToGrid/>
          <w:sz w:val="22"/>
          <w:szCs w:val="22"/>
          <w:lang w:val="es-ES"/>
        </w:rPr>
        <w:t xml:space="preserve">", lo cual es en realidad una cuestión que debe ser debatida y acordada por los Estados en el marco de la negociación del Acuerdo BBNJ. </w:t>
      </w:r>
    </w:p>
    <w:p w14:paraId="6C81B142"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 su vez, el párrafo 2(v) de los </w:t>
      </w:r>
      <w:proofErr w:type="spellStart"/>
      <w:r w:rsidRPr="00AE71B5">
        <w:rPr>
          <w:rFonts w:ascii="Arial" w:eastAsia="Simsun (Founder Extended)" w:hAnsi="Arial" w:cs="Arial"/>
          <w:snapToGrid/>
          <w:sz w:val="22"/>
          <w:szCs w:val="22"/>
          <w:lang w:val="es-ES"/>
        </w:rPr>
        <w:t>TdR</w:t>
      </w:r>
      <w:proofErr w:type="spellEnd"/>
      <w:r w:rsidRPr="00AE71B5">
        <w:rPr>
          <w:rFonts w:ascii="Arial" w:eastAsia="Simsun (Founder Extended)" w:hAnsi="Arial" w:cs="Arial"/>
          <w:snapToGrid/>
          <w:sz w:val="22"/>
          <w:szCs w:val="22"/>
          <w:lang w:val="es-ES"/>
        </w:rPr>
        <w:t xml:space="preserve"> reza "</w:t>
      </w:r>
      <w:proofErr w:type="spellStart"/>
      <w:r w:rsidRPr="00AE71B5">
        <w:rPr>
          <w:rFonts w:ascii="Arial" w:eastAsia="Simsun (Founder Extended)" w:hAnsi="Arial" w:cs="Arial"/>
          <w:snapToGrid/>
          <w:sz w:val="22"/>
          <w:szCs w:val="22"/>
          <w:lang w:val="es-ES"/>
        </w:rPr>
        <w:t>Propose</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strategies</w:t>
      </w:r>
      <w:proofErr w:type="spellEnd"/>
      <w:r w:rsidRPr="00AE71B5">
        <w:rPr>
          <w:rFonts w:ascii="Arial" w:eastAsia="Simsun (Founder Extended)" w:hAnsi="Arial" w:cs="Arial"/>
          <w:snapToGrid/>
          <w:sz w:val="22"/>
          <w:szCs w:val="22"/>
          <w:lang w:val="es-ES"/>
        </w:rPr>
        <w:t xml:space="preserve"> and </w:t>
      </w:r>
      <w:proofErr w:type="spellStart"/>
      <w:r w:rsidRPr="00AE71B5">
        <w:rPr>
          <w:rFonts w:ascii="Arial" w:eastAsia="Simsun (Founder Extended)" w:hAnsi="Arial" w:cs="Arial"/>
          <w:snapToGrid/>
          <w:sz w:val="22"/>
          <w:szCs w:val="22"/>
          <w:lang w:val="es-ES"/>
        </w:rPr>
        <w:t>mechanisms</w:t>
      </w:r>
      <w:proofErr w:type="spellEnd"/>
      <w:r w:rsidRPr="00AE71B5">
        <w:rPr>
          <w:rFonts w:ascii="Arial" w:eastAsia="Simsun (Founder Extended)" w:hAnsi="Arial" w:cs="Arial"/>
          <w:snapToGrid/>
          <w:sz w:val="22"/>
          <w:szCs w:val="22"/>
          <w:lang w:val="es-ES"/>
        </w:rPr>
        <w:t xml:space="preserve"> for </w:t>
      </w:r>
      <w:proofErr w:type="spellStart"/>
      <w:r w:rsidRPr="00AE71B5">
        <w:rPr>
          <w:rFonts w:ascii="Arial" w:eastAsia="Simsun (Founder Extended)" w:hAnsi="Arial" w:cs="Arial"/>
          <w:snapToGrid/>
          <w:sz w:val="22"/>
          <w:szCs w:val="22"/>
          <w:lang w:val="es-ES"/>
        </w:rPr>
        <w:t>enhancing</w:t>
      </w:r>
      <w:proofErr w:type="spellEnd"/>
      <w:r w:rsidRPr="00AE71B5">
        <w:rPr>
          <w:rFonts w:ascii="Arial" w:eastAsia="Simsun (Founder Extended)" w:hAnsi="Arial" w:cs="Arial"/>
          <w:snapToGrid/>
          <w:sz w:val="22"/>
          <w:szCs w:val="22"/>
          <w:lang w:val="es-ES"/>
        </w:rPr>
        <w:t xml:space="preserve"> data </w:t>
      </w:r>
      <w:proofErr w:type="spellStart"/>
      <w:r w:rsidRPr="00AE71B5">
        <w:rPr>
          <w:rFonts w:ascii="Arial" w:eastAsia="Simsun (Founder Extended)" w:hAnsi="Arial" w:cs="Arial"/>
          <w:snapToGrid/>
          <w:sz w:val="22"/>
          <w:szCs w:val="22"/>
          <w:lang w:val="es-ES"/>
        </w:rPr>
        <w:t>sharing</w:t>
      </w:r>
      <w:proofErr w:type="spellEnd"/>
      <w:r w:rsidRPr="00AE71B5">
        <w:rPr>
          <w:rFonts w:ascii="Arial" w:eastAsia="Simsun (Founder Extended)" w:hAnsi="Arial" w:cs="Arial"/>
          <w:snapToGrid/>
          <w:sz w:val="22"/>
          <w:szCs w:val="22"/>
          <w:lang w:val="es-ES"/>
        </w:rPr>
        <w:t xml:space="preserve"> and </w:t>
      </w:r>
      <w:proofErr w:type="spellStart"/>
      <w:r w:rsidRPr="00AE71B5">
        <w:rPr>
          <w:rFonts w:ascii="Arial" w:eastAsia="Simsun (Founder Extended)" w:hAnsi="Arial" w:cs="Arial"/>
          <w:snapToGrid/>
          <w:sz w:val="22"/>
          <w:szCs w:val="22"/>
          <w:lang w:val="es-ES"/>
        </w:rPr>
        <w:t>cooperation</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across</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national</w:t>
      </w:r>
      <w:proofErr w:type="spellEnd"/>
      <w:r w:rsidRPr="00AE71B5">
        <w:rPr>
          <w:rFonts w:ascii="Arial" w:eastAsia="Simsun (Founder Extended)" w:hAnsi="Arial" w:cs="Arial"/>
          <w:snapToGrid/>
          <w:sz w:val="22"/>
          <w:szCs w:val="22"/>
          <w:lang w:val="es-ES"/>
        </w:rPr>
        <w:t xml:space="preserve"> and regional </w:t>
      </w:r>
      <w:proofErr w:type="spellStart"/>
      <w:r w:rsidRPr="00AE71B5">
        <w:rPr>
          <w:rFonts w:ascii="Arial" w:eastAsia="Simsun (Founder Extended)" w:hAnsi="Arial" w:cs="Arial"/>
          <w:snapToGrid/>
          <w:sz w:val="22"/>
          <w:szCs w:val="22"/>
          <w:lang w:val="es-ES"/>
        </w:rPr>
        <w:t>institutions</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including</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though</w:t>
      </w:r>
      <w:proofErr w:type="spellEnd"/>
      <w:r w:rsidRPr="00AE71B5">
        <w:rPr>
          <w:rFonts w:ascii="Arial" w:eastAsia="Simsun (Founder Extended)" w:hAnsi="Arial" w:cs="Arial"/>
          <w:snapToGrid/>
          <w:sz w:val="22"/>
          <w:szCs w:val="22"/>
          <w:lang w:val="es-ES"/>
        </w:rPr>
        <w:t xml:space="preserve"> IOC Regional </w:t>
      </w:r>
      <w:proofErr w:type="spellStart"/>
      <w:r w:rsidRPr="00AE71B5">
        <w:rPr>
          <w:rFonts w:ascii="Arial" w:eastAsia="Simsun (Founder Extended)" w:hAnsi="Arial" w:cs="Arial"/>
          <w:snapToGrid/>
          <w:sz w:val="22"/>
          <w:szCs w:val="22"/>
          <w:lang w:val="es-ES"/>
        </w:rPr>
        <w:t>Subsidiary</w:t>
      </w:r>
      <w:proofErr w:type="spellEnd"/>
      <w:r w:rsidRPr="00AE71B5">
        <w:rPr>
          <w:rFonts w:ascii="Arial" w:eastAsia="Simsun (Founder Extended)" w:hAnsi="Arial" w:cs="Arial"/>
          <w:snapToGrid/>
          <w:sz w:val="22"/>
          <w:szCs w:val="22"/>
          <w:lang w:val="es-ES"/>
        </w:rPr>
        <w:t xml:space="preserve"> Bodies", no obstante tratarse de una actividad que corresponde al mandato de la COI. </w:t>
      </w:r>
    </w:p>
    <w:p w14:paraId="467A2D35"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Por su parte, en el párrafo 2(vi) de los </w:t>
      </w:r>
      <w:proofErr w:type="spellStart"/>
      <w:r w:rsidRPr="00AE71B5">
        <w:rPr>
          <w:rFonts w:ascii="Arial" w:eastAsia="Simsun (Founder Extended)" w:hAnsi="Arial" w:cs="Arial"/>
          <w:snapToGrid/>
          <w:sz w:val="22"/>
          <w:szCs w:val="22"/>
          <w:lang w:val="es-ES"/>
        </w:rPr>
        <w:t>TdR</w:t>
      </w:r>
      <w:proofErr w:type="spellEnd"/>
      <w:r w:rsidRPr="00AE71B5">
        <w:rPr>
          <w:rFonts w:ascii="Arial" w:eastAsia="Simsun (Founder Extended)" w:hAnsi="Arial" w:cs="Arial"/>
          <w:snapToGrid/>
          <w:sz w:val="22"/>
          <w:szCs w:val="22"/>
          <w:lang w:val="es-ES"/>
        </w:rPr>
        <w:t xml:space="preserve"> se establece la función de "proponer mecanismos de cooperación entre la COI y el Acuerdo BBNJ", lo cual resulta difícil de determinar toda vez que el Acuerdo BBNJ aún no definió cómo se dará esa relación de cooperación con otros marcos y acuerdos. </w:t>
      </w:r>
    </w:p>
    <w:p w14:paraId="58252A63"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Cabe destacar, además, que la COI tuvo ya participación en el proceso de negociación del Acuerdo de BBNJ a través de su Secretaría, formulando sus aportes. También los </w:t>
      </w:r>
      <w:proofErr w:type="gramStart"/>
      <w:r w:rsidRPr="00AE71B5">
        <w:rPr>
          <w:rFonts w:ascii="Arial" w:eastAsia="Simsun (Founder Extended)" w:hAnsi="Arial" w:cs="Arial"/>
          <w:snapToGrid/>
          <w:sz w:val="22"/>
          <w:szCs w:val="22"/>
          <w:lang w:val="es-ES"/>
        </w:rPr>
        <w:t>Estados Partes</w:t>
      </w:r>
      <w:proofErr w:type="gramEnd"/>
      <w:r w:rsidRPr="00AE71B5">
        <w:rPr>
          <w:rFonts w:ascii="Arial" w:eastAsia="Simsun (Founder Extended)" w:hAnsi="Arial" w:cs="Arial"/>
          <w:snapToGrid/>
          <w:sz w:val="22"/>
          <w:szCs w:val="22"/>
          <w:lang w:val="es-ES"/>
        </w:rPr>
        <w:t xml:space="preserve"> hicieron comentarios respecto de las actividades de la COI durante dicho proceso de negociación, en línea con numerosas decisiones de la COI que así lo recomendaban.</w:t>
      </w:r>
    </w:p>
    <w:p w14:paraId="24D7F387" w14:textId="77777777" w:rsidR="006C41C4" w:rsidRPr="00AE71B5" w:rsidRDefault="006C41C4" w:rsidP="006C41C4">
      <w:pPr>
        <w:keepNext/>
        <w:snapToGrid/>
        <w:spacing w:after="120"/>
        <w:jc w:val="both"/>
        <w:rPr>
          <w:rFonts w:ascii="Arial" w:hAnsi="Arial" w:cs="Arial"/>
          <w:b/>
          <w:sz w:val="22"/>
          <w:szCs w:val="22"/>
        </w:rPr>
      </w:pPr>
      <w:bookmarkStart w:id="557" w:name="bel47"/>
      <w:r w:rsidRPr="00AE71B5">
        <w:rPr>
          <w:rFonts w:ascii="Arial" w:hAnsi="Arial" w:cs="Arial"/>
          <w:b/>
          <w:sz w:val="22"/>
          <w:szCs w:val="22"/>
        </w:rPr>
        <w:t>Belgium</w:t>
      </w:r>
    </w:p>
    <w:bookmarkEnd w:id="557"/>
    <w:p w14:paraId="0BA65A8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Belgium welcomes the proposal by Chili to establish an ad-hoc working group on BBNJ in the IOC. We thank Chili for this initiative and give it our full support.</w:t>
      </w:r>
    </w:p>
    <w:p w14:paraId="07EC011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Belgium also agrees with China, the UK, Colombia, Spain, and Poland on the potential and the importance of this ad-hoc working group, in which we intend to participate and co-operate.</w:t>
      </w:r>
    </w:p>
    <w:p w14:paraId="03F3194B" w14:textId="77777777" w:rsidR="006C41C4" w:rsidRPr="00E647B1" w:rsidRDefault="006C41C4" w:rsidP="006C41C4">
      <w:pPr>
        <w:keepNext/>
        <w:snapToGrid/>
        <w:spacing w:after="120"/>
        <w:jc w:val="both"/>
        <w:rPr>
          <w:rFonts w:ascii="Arial" w:hAnsi="Arial" w:cs="Arial"/>
          <w:b/>
          <w:sz w:val="22"/>
          <w:szCs w:val="22"/>
          <w:lang w:val="es-ES"/>
        </w:rPr>
      </w:pPr>
      <w:bookmarkStart w:id="558" w:name="chil47"/>
      <w:r w:rsidRPr="00E647B1">
        <w:rPr>
          <w:rFonts w:ascii="Arial" w:hAnsi="Arial" w:cs="Arial"/>
          <w:b/>
          <w:sz w:val="22"/>
          <w:szCs w:val="22"/>
          <w:lang w:val="es-ES"/>
        </w:rPr>
        <w:t>Chile</w:t>
      </w:r>
    </w:p>
    <w:bookmarkEnd w:id="558"/>
    <w:p w14:paraId="201DF35E"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exitosa UNOC3 organizada en conjunto por Francia y Costa Rica permitió dar una mayor visibilidad a la necesidad de proteger al océano, lo cual se vio reflejado en los medios de comunicación y redes sociales de todo el mundo y de manera transversal. A nivel gubernamental no fue distinto, viéndose en el importante aumento de los países que han ratificado el acuerdo del BBNJ, faltando menos de una decena para llegar al anhelado número 60.</w:t>
      </w:r>
    </w:p>
    <w:p w14:paraId="380E1B91"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Como organización, es el momento de comenzar a prepararnos para la puesta en marcha del Acuerdo, debiendo tener la Comisión Oceanográfica Intergubernamental un papel protagónico, </w:t>
      </w:r>
      <w:r w:rsidRPr="00AE71B5">
        <w:rPr>
          <w:rFonts w:ascii="Arial" w:eastAsia="Simsun (Founder Extended)" w:hAnsi="Arial" w:cs="Arial"/>
          <w:snapToGrid/>
          <w:sz w:val="22"/>
          <w:szCs w:val="22"/>
          <w:lang w:val="es-ES"/>
        </w:rPr>
        <w:lastRenderedPageBreak/>
        <w:t>el que le corresponde al ser el equipo técnico de las Naciones Unidas encargado de promover la cooperación internacional en materias del océano, como lo señala el Estatuto de la Comisión, y también siguiendo nuestros objetivos de alto nivel, indicados en la estrategia de mediano plazo 2022-2029.</w:t>
      </w:r>
    </w:p>
    <w:p w14:paraId="104448EB"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ese sentido, Chile propone a esta Asamblea la creación de un grupo de trabajo ad-hoc, que pueda entregar al Consejo Ejecutivo de la COI y a la Conferencia de las Partes asesoría técnica y científica para apoyar la implementación del Acuerdo del BBNJ, en especial para el mecanismo de intercambio de información, señalado en el artículo 51, así como otras áreas, todo lo anterior siempre dentro del mandato de la COI.</w:t>
      </w:r>
    </w:p>
    <w:p w14:paraId="26AE1E8A"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la propuesta que fue remitida con la respectiva antelación a todas las estimadas delegaciones, se encuentran los términos de referencia del grupo de trabajo, con el objetivo de éste y su composición. </w:t>
      </w:r>
    </w:p>
    <w:p w14:paraId="00D64C55"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Los términos de referencia clarifican los resultados esperados de este grupo de trabajo ad hoc en 5 áreas específicas: 1) rol de la COI en la puesta en práctica del acuerdo; 2) contribuciones para el mecanismo de intercambio de información; 3) análisis de los desarrollos científicos de BBNJ relevantes para la COI; 4) modalidades para apoyar a los Estados Miembros, propuestas de estrategias para el intercambio de datos y 5) la colaboración entre la COI y BBNJ. También consideramos muy importante la participación de DOALOS en este proceso de análisis.</w:t>
      </w:r>
    </w:p>
    <w:p w14:paraId="383B1532"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Esperamos contar con su apoyo y que durante el camino que nos queda por recorrer hasta la implementación del acuerdo del BBNJ, contemos con un productivo trabajo, donde estén representadas todas las regiones.</w:t>
      </w:r>
    </w:p>
    <w:p w14:paraId="4DA90178" w14:textId="77777777" w:rsidR="006C41C4" w:rsidRPr="00AE71B5" w:rsidRDefault="006C41C4" w:rsidP="006C41C4">
      <w:pPr>
        <w:keepNext/>
        <w:snapToGrid/>
        <w:spacing w:after="120"/>
        <w:jc w:val="both"/>
        <w:rPr>
          <w:rFonts w:ascii="Arial" w:hAnsi="Arial" w:cs="Arial"/>
          <w:b/>
          <w:sz w:val="22"/>
          <w:szCs w:val="22"/>
          <w:lang w:val="en-US"/>
        </w:rPr>
      </w:pPr>
      <w:bookmarkStart w:id="559" w:name="chin47"/>
      <w:r w:rsidRPr="00AE71B5">
        <w:rPr>
          <w:rFonts w:ascii="Arial" w:hAnsi="Arial" w:cs="Arial"/>
          <w:b/>
          <w:sz w:val="22"/>
          <w:szCs w:val="22"/>
          <w:lang w:val="en-US"/>
        </w:rPr>
        <w:t>China</w:t>
      </w:r>
    </w:p>
    <w:bookmarkEnd w:id="559"/>
    <w:p w14:paraId="67AA49E2"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would like to join other Member States to appreciate the informative presentation by Vidar and highly commend the contributions to UN governance processes made by IOC in the latest years. Due to the importance of global ocean-related </w:t>
      </w:r>
      <w:proofErr w:type="gramStart"/>
      <w:r w:rsidRPr="00AE71B5">
        <w:rPr>
          <w:rFonts w:ascii="Arial" w:eastAsia="Simsun (Founder Extended)" w:hAnsi="Arial" w:cs="Arial"/>
          <w:snapToGrid/>
          <w:sz w:val="22"/>
          <w:szCs w:val="22"/>
          <w:lang w:val="en-US"/>
        </w:rPr>
        <w:t>issues are</w:t>
      </w:r>
      <w:proofErr w:type="gramEnd"/>
      <w:r w:rsidRPr="00AE71B5">
        <w:rPr>
          <w:rFonts w:ascii="Arial" w:eastAsia="Simsun (Founder Extended)" w:hAnsi="Arial" w:cs="Arial"/>
          <w:snapToGrid/>
          <w:sz w:val="22"/>
          <w:szCs w:val="22"/>
          <w:lang w:val="en-US"/>
        </w:rPr>
        <w:t xml:space="preserve"> rising, the expectation of international communities to IOC is also increasing. China believes and supports IOC, which is the most important platform in the UN framework to push forward to the ocean science cooperation, to play more active role in relevant processes including Kunming-Montreal Global Biodiversity Framework (GBF), BBNJ, World Ocean Assessment, UNFCCC, mentioned by Vidar and beyond in the presentations. </w:t>
      </w:r>
    </w:p>
    <w:p w14:paraId="0AE15585"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Regarding the IOC’s functions in the process of BBNJ, besides the Clearing-House Mechanism, mentioned by the presentation and many Member States, we also encourage IOC to make its own contribution to three other items, firstly, the Capacity Building and the Transfer of Marine Technology (CB&amp;MT) process and the possible commission; secondly, the organizing of Scientific and Technical Body (STB) of BBNJ; thirdly, strengthening the coordination among Member States through IOC Subsidiary Bodies and relevant bodies.</w:t>
      </w:r>
    </w:p>
    <w:p w14:paraId="019A90C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also applauds to the IOC’s engagement in the UNOC3 in Nice. As other Member States, China actively participated in the UN Ocean Conference. We sent our high-level delegation, led by Vice President and successfully hosted or co-hosted four side events, meanwhile involved in many other side events, with releasing several public products, signing multiple bilateral agreements, and making lots of voluntary commitments. The UNOC has become one of the most important UN ocean-related processes since 2017, in which the contribution of IOC is indispensable.  </w:t>
      </w:r>
    </w:p>
    <w:p w14:paraId="21B1FF3C" w14:textId="77777777" w:rsidR="006C41C4" w:rsidRPr="00AE71B5" w:rsidRDefault="006C41C4" w:rsidP="006C41C4">
      <w:pPr>
        <w:keepNext/>
        <w:snapToGrid/>
        <w:spacing w:after="120"/>
        <w:jc w:val="both"/>
        <w:rPr>
          <w:rFonts w:ascii="Arial" w:hAnsi="Arial" w:cs="Arial"/>
          <w:b/>
          <w:sz w:val="22"/>
          <w:szCs w:val="22"/>
        </w:rPr>
      </w:pPr>
      <w:bookmarkStart w:id="560" w:name="jap47"/>
      <w:r w:rsidRPr="00AE71B5">
        <w:rPr>
          <w:rFonts w:ascii="Arial" w:hAnsi="Arial" w:cs="Arial"/>
          <w:b/>
          <w:sz w:val="22"/>
          <w:szCs w:val="22"/>
        </w:rPr>
        <w:t>Japan</w:t>
      </w:r>
    </w:p>
    <w:bookmarkEnd w:id="560"/>
    <w:p w14:paraId="449976D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commends the IOC Secretariat for its significant contributions to various United Nations governance processes, particularly in advancing ocean science and knowledge as a foundation for achieving SDG 14 and the 2030 Agenda.</w:t>
      </w:r>
    </w:p>
    <w:p w14:paraId="4E7002F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wish to highlight the success of the Third United Nations Ocean Conference in Nice, marked by the adoption of the Nice Ocean Action Plan and strong international engagement. </w:t>
      </w:r>
      <w:r w:rsidRPr="00AE71B5">
        <w:rPr>
          <w:rFonts w:ascii="Arial" w:eastAsia="Simsun (Founder Extended)" w:hAnsi="Arial" w:cs="Arial"/>
          <w:snapToGrid/>
          <w:sz w:val="22"/>
          <w:szCs w:val="22"/>
        </w:rPr>
        <w:lastRenderedPageBreak/>
        <w:t xml:space="preserve">Japan appreciates the Governments of France and Costa Rica to host the conference. </w:t>
      </w:r>
      <w:proofErr w:type="gramStart"/>
      <w:r w:rsidRPr="00AE71B5">
        <w:rPr>
          <w:rFonts w:ascii="Arial" w:eastAsia="Simsun (Founder Extended)" w:hAnsi="Arial" w:cs="Arial"/>
          <w:snapToGrid/>
          <w:sz w:val="22"/>
          <w:szCs w:val="22"/>
        </w:rPr>
        <w:t>Also</w:t>
      </w:r>
      <w:proofErr w:type="gramEnd"/>
      <w:r w:rsidRPr="00AE71B5">
        <w:rPr>
          <w:rFonts w:ascii="Arial" w:eastAsia="Simsun (Founder Extended)" w:hAnsi="Arial" w:cs="Arial"/>
          <w:snapToGrid/>
          <w:sz w:val="22"/>
          <w:szCs w:val="22"/>
        </w:rPr>
        <w:t xml:space="preserve"> IOC secretaries for tremendous efforts in advance and during the conference and side events.</w:t>
      </w:r>
    </w:p>
    <w:p w14:paraId="3A2F519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Following the entry into force of the BBNJ Agreement, Japan recognizes the need for its effective implementation, including the Clearing House Mechanism, and affirms that the continued engagement of the IOC will be indispensable.</w:t>
      </w:r>
    </w:p>
    <w:p w14:paraId="445AEC9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acknowledge the important role played by GOOS and OBIS in providing sustained ocean observations and data, structured around Essential Ocean Variables, which support several targets of the Kunming-Montreal Global Biodiversity Framework. These systems are critical for evidence-based decision-making and biodiversity monitoring, especially in marine ecosystems.</w:t>
      </w:r>
    </w:p>
    <w:p w14:paraId="6F33670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Lastly, we express our sincere hope for the successful advancement of the IOC’s planned development of a system-wide approach to marine biodiversity. We believe this initiative will play a pivotal role in strengthening coordinated international action for the conservation and sustainable use of marine ecosystems.</w:t>
      </w:r>
    </w:p>
    <w:p w14:paraId="220428EC" w14:textId="77777777" w:rsidR="006C41C4" w:rsidRPr="00AE71B5" w:rsidRDefault="006C41C4" w:rsidP="006C41C4">
      <w:pPr>
        <w:keepNext/>
        <w:snapToGrid/>
        <w:spacing w:after="120"/>
        <w:jc w:val="both"/>
        <w:rPr>
          <w:rFonts w:ascii="Arial" w:hAnsi="Arial" w:cs="Arial"/>
          <w:b/>
          <w:sz w:val="22"/>
          <w:szCs w:val="22"/>
        </w:rPr>
      </w:pPr>
      <w:bookmarkStart w:id="561" w:name="norw47"/>
      <w:r w:rsidRPr="00AE71B5">
        <w:rPr>
          <w:rFonts w:ascii="Arial" w:hAnsi="Arial" w:cs="Arial"/>
          <w:b/>
          <w:sz w:val="22"/>
          <w:szCs w:val="22"/>
        </w:rPr>
        <w:t>Norway</w:t>
      </w:r>
    </w:p>
    <w:bookmarkEnd w:id="561"/>
    <w:p w14:paraId="14A2B43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Norway welcomes the document on IOC Contributions to UN Governance Processes. Synergies among global processes is a priority for Norway, for instance between the new BBNJ Agreement and the Kunming-Montreal Global Biodiversity Framework. We would also like to point out the pivotal role the </w:t>
      </w:r>
      <w:proofErr w:type="gramStart"/>
      <w:r w:rsidRPr="00AE71B5">
        <w:rPr>
          <w:rFonts w:ascii="Arial" w:eastAsia="Simsun (Founder Extended)" w:hAnsi="Arial" w:cs="Arial"/>
          <w:snapToGrid/>
          <w:sz w:val="22"/>
          <w:szCs w:val="22"/>
        </w:rPr>
        <w:t>High Level</w:t>
      </w:r>
      <w:proofErr w:type="gramEnd"/>
      <w:r w:rsidRPr="00AE71B5">
        <w:rPr>
          <w:rFonts w:ascii="Arial" w:eastAsia="Simsun (Founder Extended)" w:hAnsi="Arial" w:cs="Arial"/>
          <w:snapToGrid/>
          <w:sz w:val="22"/>
          <w:szCs w:val="22"/>
        </w:rPr>
        <w:t xml:space="preserve"> Panel for a Sustainable Ocean Economy plays. Norway has ratified the BBNJ Agreement. It is now vital that the Agreement reaches the necessary sixty ratification to allow it to enter into force and that we collectively work for its effective implementation. The Agreement provides for increased cooperation between states and strengthening and enhancing cooperation between relevant frameworks. IOC’s involvement is important. The construction of the BBNJ Clearing House should continue to benefit from the active involvement of IOC.</w:t>
      </w:r>
    </w:p>
    <w:p w14:paraId="40E74FBB" w14:textId="77777777" w:rsidR="006C41C4" w:rsidRPr="00AE71B5" w:rsidRDefault="006C41C4" w:rsidP="006C41C4">
      <w:pPr>
        <w:keepNext/>
        <w:snapToGrid/>
        <w:spacing w:after="120"/>
        <w:jc w:val="both"/>
        <w:rPr>
          <w:rFonts w:ascii="Arial" w:hAnsi="Arial" w:cs="Arial"/>
          <w:b/>
          <w:sz w:val="22"/>
          <w:szCs w:val="22"/>
        </w:rPr>
      </w:pPr>
      <w:bookmarkStart w:id="562" w:name="rok47"/>
      <w:r w:rsidRPr="00AE71B5">
        <w:rPr>
          <w:rFonts w:ascii="Arial" w:hAnsi="Arial" w:cs="Arial"/>
          <w:b/>
          <w:sz w:val="22"/>
          <w:szCs w:val="22"/>
        </w:rPr>
        <w:t xml:space="preserve">Republic of Korea </w:t>
      </w:r>
    </w:p>
    <w:bookmarkEnd w:id="562"/>
    <w:p w14:paraId="04EA9EE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Republic of Korea warmly welcomes the continued and strengthened role of the IOC in contributing to key UN governance processes, and we commend the efforts of the Secretariat in this regard.</w:t>
      </w:r>
    </w:p>
    <w:p w14:paraId="37DF32A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especially acknowledge the IOC’s critical engagement with the Convention on Biological Diversity, the BBNJ Agreement, and the UN Framework Convention on Climate Change, in connecting ocean science with global policy.</w:t>
      </w:r>
    </w:p>
    <w:p w14:paraId="08A6FAA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Regarding biodiversity, we commend the IOC’s contribution to the implementation of the Kunming-Montreal Global Biodiversity Framework. Through platforms such as OBIS, GOOS, and ODIS, the IOC provides data, indicators, and technical support vital to tracking and achieving biodiversity targets. These contributions not only support global </w:t>
      </w:r>
      <w:proofErr w:type="gramStart"/>
      <w:r w:rsidRPr="00AE71B5">
        <w:rPr>
          <w:rFonts w:ascii="Arial" w:eastAsia="Simsun (Founder Extended)" w:hAnsi="Arial" w:cs="Arial"/>
          <w:snapToGrid/>
          <w:sz w:val="22"/>
          <w:szCs w:val="22"/>
        </w:rPr>
        <w:t>assessments, but</w:t>
      </w:r>
      <w:proofErr w:type="gramEnd"/>
      <w:r w:rsidRPr="00AE71B5">
        <w:rPr>
          <w:rFonts w:ascii="Arial" w:eastAsia="Simsun (Founder Extended)" w:hAnsi="Arial" w:cs="Arial"/>
          <w:snapToGrid/>
          <w:sz w:val="22"/>
          <w:szCs w:val="22"/>
        </w:rPr>
        <w:t xml:space="preserve"> also help enhance national capacity for monitoring and reporting.</w:t>
      </w:r>
    </w:p>
    <w:p w14:paraId="08E98A5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 the BBNJ Agreement, Korea is pleased to report that we became the 21st country to ratify the treaty. We officially deposited our instrument of ratification with the United Nations on March 19, demonstrating Korea’s responsible and proactive leadership on ocean issues. We are actively participating in the Preparatory Commission.</w:t>
      </w:r>
    </w:p>
    <w:p w14:paraId="026C162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the IOC can play a vital role in supporting the BBNJ Agreement’s four pillars marine genetic resources, area-based management tools, environmental impact assessments, and capacity building and technology transfer through its robust scientific platforms and tools.</w:t>
      </w:r>
    </w:p>
    <w:p w14:paraId="0799952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 climate action, we commend the IOC’s active engagement with the UNFCCC process, including contributions to the Ocean and Climate Dialogue and the Global Goal on Adaptation. The IOC’s observation systems and data networks help integrate the ocean dimension into climate planning and national contributions.</w:t>
      </w:r>
    </w:p>
    <w:p w14:paraId="29FBD69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Looking ahead, Korea is pleased to announce our intention to co-host the Fourth United Nations Ocean Conference (UNOC4) in 2028, together with the Republic of Chile. As the final UNOC </w:t>
      </w:r>
      <w:r w:rsidRPr="00AE71B5">
        <w:rPr>
          <w:rFonts w:ascii="Arial" w:eastAsia="Simsun (Founder Extended)" w:hAnsi="Arial" w:cs="Arial"/>
          <w:snapToGrid/>
          <w:sz w:val="22"/>
          <w:szCs w:val="22"/>
        </w:rPr>
        <w:lastRenderedPageBreak/>
        <w:t>before the 2030 SDG deadline, we believe this will be a key milestone to assess progress and shape the post-Decade Ocean agenda.</w:t>
      </w:r>
    </w:p>
    <w:p w14:paraId="3D64D62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Republic of Korea reaffirms its commitment to multilateral cooperation through the IOC, and we look forward to working together to strengthen science-based ocean governance, while continuing to support developing countries and SIDS through knowledge sharing and technical cooperation.</w:t>
      </w:r>
    </w:p>
    <w:p w14:paraId="6079AA84" w14:textId="77777777" w:rsidR="006C41C4" w:rsidRPr="00E647B1" w:rsidRDefault="006C41C4" w:rsidP="006C41C4">
      <w:pPr>
        <w:keepNext/>
        <w:snapToGrid/>
        <w:spacing w:after="120"/>
        <w:jc w:val="both"/>
        <w:rPr>
          <w:rFonts w:ascii="Arial" w:hAnsi="Arial" w:cs="Arial"/>
          <w:b/>
          <w:sz w:val="22"/>
          <w:szCs w:val="22"/>
          <w:lang w:val="es-ES"/>
        </w:rPr>
      </w:pPr>
      <w:bookmarkStart w:id="563" w:name="spain47"/>
      <w:proofErr w:type="spellStart"/>
      <w:r w:rsidRPr="00E647B1">
        <w:rPr>
          <w:rFonts w:ascii="Arial" w:hAnsi="Arial" w:cs="Arial"/>
          <w:b/>
          <w:sz w:val="22"/>
          <w:szCs w:val="22"/>
          <w:lang w:val="es-ES"/>
        </w:rPr>
        <w:t>Spain</w:t>
      </w:r>
      <w:proofErr w:type="spellEnd"/>
    </w:p>
    <w:bookmarkEnd w:id="563"/>
    <w:p w14:paraId="368F7F97"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labor de la COI de transferir el mejor conocimiento científico para la toma de decisiones en los procesos que se desarrollan bajo el paraguas de Naciones Unidas es una de las actividades más importantes de su mandato y donde la coordinación que la COI realiza sobre el esfuerzo colectivo de los Estados Miembros adquiere su máxima relevancia por su impacto a escala global.</w:t>
      </w:r>
    </w:p>
    <w:p w14:paraId="3A1EA470"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agradece los </w:t>
      </w:r>
      <w:proofErr w:type="gramStart"/>
      <w:r w:rsidRPr="00AE71B5">
        <w:rPr>
          <w:rFonts w:ascii="Arial" w:eastAsia="Simsun (Founder Extended)" w:hAnsi="Arial" w:cs="Arial"/>
          <w:snapToGrid/>
          <w:sz w:val="22"/>
          <w:szCs w:val="22"/>
          <w:lang w:val="es-ES"/>
        </w:rPr>
        <w:t>informes presentado</w:t>
      </w:r>
      <w:proofErr w:type="gramEnd"/>
      <w:r w:rsidRPr="00AE71B5">
        <w:rPr>
          <w:rFonts w:ascii="Arial" w:eastAsia="Simsun (Founder Extended)" w:hAnsi="Arial" w:cs="Arial"/>
          <w:snapToGrid/>
          <w:sz w:val="22"/>
          <w:szCs w:val="22"/>
          <w:lang w:val="es-ES"/>
        </w:rPr>
        <w:t xml:space="preserve"> en el que se destaca la importancia de las actividades que se llevan a cabo bajo los programas de GOOS, de los datos e información disponibles a través de IODE o OBIS y de su uso para la Planificación Espacial Marina para alcanzar objetivos y compromisos bajo la Convención de Diversidad Biológica, el Tratado de Biodiversidad en Áreas Fuera de la Jurisdicción Nacional o la Convención Marco de Cambio Climático de Naciones Unidas. Aunque en la resolución se citan las ciencias oceánicas y algunos de los programas relacionados con la acidificación, echamos en falta un análisis sobre la capacidad del conjunto de programas de conocimiento científico de la COI para responden adecuadamente a la demanda de estos procesos e iniciativas internacionales. </w:t>
      </w:r>
    </w:p>
    <w:p w14:paraId="44973BB2"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Los ecosistemas no se definen simplemente por el conjunto de variables independientes, del medio físico y químico y de las especies que los forman, sino que presentan propiedades emergentes de sus interrelaciones que es necesario entender, más aún en un contexto de profundos cambios forzados por el cambio climático. El conocimiento sobre el funcionamiento de los ecosistemas, más allá de la caracterización de sus componentes, es fundamental para implementar y gestionar Áreas Marinas Protegidas, evaluar el impacto del cambio climático o para establecer estrategias de mitigación de este proceso y de sus efectos. Este conocimiento científico es además esencial para definir las estrategias y los sistemas de observación, elegir indicadores como las variables oceánicas esenciales y garantizar la calidad y estandarización de los datos.</w:t>
      </w:r>
    </w:p>
    <w:p w14:paraId="78DA01CA" w14:textId="77777777" w:rsidR="006C41C4" w:rsidRPr="00AE71B5" w:rsidRDefault="006C41C4" w:rsidP="006C41C4">
      <w:pPr>
        <w:keepNext/>
        <w:snapToGrid/>
        <w:spacing w:after="120"/>
        <w:jc w:val="both"/>
        <w:rPr>
          <w:rFonts w:ascii="Arial" w:hAnsi="Arial" w:cs="Arial"/>
          <w:b/>
          <w:sz w:val="22"/>
          <w:szCs w:val="22"/>
          <w:lang w:val="en-US"/>
        </w:rPr>
      </w:pPr>
      <w:bookmarkStart w:id="564" w:name="turk47"/>
      <w:r w:rsidRPr="00AE71B5">
        <w:rPr>
          <w:rFonts w:ascii="Arial" w:hAnsi="Arial" w:cs="Arial"/>
          <w:b/>
          <w:sz w:val="22"/>
          <w:szCs w:val="22"/>
          <w:lang w:val="en-US"/>
        </w:rPr>
        <w:t>Türkiye</w:t>
      </w:r>
    </w:p>
    <w:bookmarkEnd w:id="564"/>
    <w:p w14:paraId="5E839253"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would kindly propose the following text to Paragraph 188 of the Provisional Action Paper as follows: </w:t>
      </w:r>
    </w:p>
    <w:p w14:paraId="7891626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"Within the framework of the Agreement under United Nations Convention on the Law of the Sea on the conservation ... " instead of the current text which reads:</w:t>
      </w:r>
    </w:p>
    <w:p w14:paraId="7C77F01D"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"Within the framework of the UNCLOS Treaty on the conservation...”. </w:t>
      </w:r>
    </w:p>
    <w:p w14:paraId="2043707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This edit is being proposed for clarification.</w:t>
      </w:r>
    </w:p>
    <w:p w14:paraId="563E364F" w14:textId="77777777" w:rsidR="006C41C4" w:rsidRPr="00AE71B5" w:rsidRDefault="006C41C4" w:rsidP="006C41C4">
      <w:pPr>
        <w:keepNext/>
        <w:snapToGrid/>
        <w:spacing w:after="120"/>
        <w:jc w:val="both"/>
        <w:rPr>
          <w:rFonts w:ascii="Arial" w:hAnsi="Arial" w:cs="Arial"/>
          <w:b/>
          <w:sz w:val="22"/>
          <w:szCs w:val="22"/>
        </w:rPr>
      </w:pPr>
      <w:bookmarkStart w:id="565" w:name="usa47"/>
      <w:r w:rsidRPr="00AE71B5">
        <w:rPr>
          <w:rFonts w:ascii="Arial" w:hAnsi="Arial" w:cs="Arial"/>
          <w:b/>
          <w:sz w:val="22"/>
          <w:szCs w:val="22"/>
        </w:rPr>
        <w:t xml:space="preserve">United States of America </w:t>
      </w:r>
    </w:p>
    <w:bookmarkEnd w:id="565"/>
    <w:p w14:paraId="2BB64D9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following extensive informal consultations with other delegations, we realize that the amendments we submitted will not have the support of the room. In the interest of not holding up the agenda, we withdraw </w:t>
      </w:r>
      <w:proofErr w:type="gramStart"/>
      <w:r w:rsidRPr="00AE71B5">
        <w:rPr>
          <w:rFonts w:ascii="Arial" w:eastAsia="Simsun (Founder Extended)" w:hAnsi="Arial" w:cs="Arial"/>
          <w:snapToGrid/>
          <w:sz w:val="22"/>
          <w:szCs w:val="22"/>
        </w:rPr>
        <w:t>all of</w:t>
      </w:r>
      <w:proofErr w:type="gramEnd"/>
      <w:r w:rsidRPr="00AE71B5">
        <w:rPr>
          <w:rFonts w:ascii="Arial" w:eastAsia="Simsun (Founder Extended)" w:hAnsi="Arial" w:cs="Arial"/>
          <w:snapToGrid/>
          <w:sz w:val="22"/>
          <w:szCs w:val="22"/>
        </w:rPr>
        <w:t xml:space="preserve"> our proposed amendments.</w:t>
      </w:r>
    </w:p>
    <w:p w14:paraId="0BCA777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supports the IOC Secretariat representing the IOC at other meetings and processes, and agrees with the need for strengthened IOC delivery, as relevant, to other bodies and processes.  </w:t>
      </w:r>
    </w:p>
    <w:p w14:paraId="7156B8A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we will disassociate from all paragraphs of the decision. We will do so after the decision is adopted.</w:t>
      </w:r>
    </w:p>
    <w:p w14:paraId="26F681A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The United States thanks Chile for offering these amendments and for providing their response. However, we agree with the intervention by Argentina.</w:t>
      </w:r>
    </w:p>
    <w:p w14:paraId="59D903A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addition to the points made by Argentina, we do not view the establishment of a BBNJ Working Group at the IOC as being necessary at this stage, since the BBNJ Prep Comm has established an </w:t>
      </w:r>
      <w:proofErr w:type="gramStart"/>
      <w:r w:rsidRPr="00AE71B5">
        <w:rPr>
          <w:rFonts w:ascii="Arial" w:eastAsia="Simsun (Founder Extended)" w:hAnsi="Arial" w:cs="Arial"/>
          <w:snapToGrid/>
          <w:sz w:val="22"/>
          <w:szCs w:val="22"/>
        </w:rPr>
        <w:t>experts</w:t>
      </w:r>
      <w:proofErr w:type="gramEnd"/>
      <w:r w:rsidRPr="00AE71B5">
        <w:rPr>
          <w:rFonts w:ascii="Arial" w:eastAsia="Simsun (Founder Extended)" w:hAnsi="Arial" w:cs="Arial"/>
          <w:snapToGrid/>
          <w:sz w:val="22"/>
          <w:szCs w:val="22"/>
        </w:rPr>
        <w:t xml:space="preserve"> group in which the IOC will engage.</w:t>
      </w:r>
    </w:p>
    <w:p w14:paraId="756D7CD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concerned it will be a strain on finite resources of both the IOC Secretariat and IOC Member States. We therefore cannot support Chile’s amendments. Thank you. </w:t>
      </w:r>
    </w:p>
    <w:p w14:paraId="045B7B9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disassociates from the entire decision as amended in line with U.S. policy positions laid out in our opening statement intervention last Wednesday, and our earlier statement today.</w:t>
      </w:r>
    </w:p>
    <w:p w14:paraId="44A1BD01"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4.8</w:t>
      </w:r>
      <w:r w:rsidRPr="00AE71B5">
        <w:rPr>
          <w:rFonts w:ascii="Arial" w:hAnsi="Arial" w:cs="Arial"/>
          <w:b/>
          <w:sz w:val="22"/>
          <w:szCs w:val="22"/>
        </w:rPr>
        <w:tab/>
        <w:t>Report on the United Nations Ocean Decade 2021–2030 Implementation Plan and Results of the Mid-Term Evaluation</w:t>
      </w:r>
    </w:p>
    <w:p w14:paraId="0BDCA516" w14:textId="77777777" w:rsidR="006C41C4" w:rsidRPr="00E647B1" w:rsidRDefault="006C41C4" w:rsidP="006C41C4">
      <w:pPr>
        <w:keepNext/>
        <w:snapToGrid/>
        <w:spacing w:after="120"/>
        <w:jc w:val="both"/>
        <w:rPr>
          <w:rFonts w:ascii="Arial" w:hAnsi="Arial" w:cs="Arial"/>
          <w:b/>
          <w:sz w:val="22"/>
          <w:szCs w:val="22"/>
          <w:lang w:val="en-US"/>
        </w:rPr>
      </w:pPr>
      <w:bookmarkStart w:id="566" w:name="bel48"/>
      <w:r w:rsidRPr="00E647B1">
        <w:rPr>
          <w:rFonts w:ascii="Arial" w:hAnsi="Arial" w:cs="Arial"/>
          <w:b/>
          <w:sz w:val="22"/>
          <w:szCs w:val="22"/>
          <w:lang w:val="en-US"/>
        </w:rPr>
        <w:t>Belgium</w:t>
      </w:r>
    </w:p>
    <w:bookmarkEnd w:id="566"/>
    <w:p w14:paraId="2AB5E8A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Belgium continues to consider that the Decade is an excellent opportunity to make visible, to the whole of our societies, the value of ocean sciences.</w:t>
      </w:r>
    </w:p>
    <w:p w14:paraId="1FAC0AB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Decade is now at mid-term, and we need to look forward to ensuring that as much as possible of its value materializes, and that, where new capabilities have been developed, these are properly institutionally embedded so that, at the end of this large endeavour, IOC also comes out strengthened  and ready for the future, across the entire range of value chains and services that the IOC programmes sustain.</w:t>
      </w:r>
    </w:p>
    <w:p w14:paraId="2623EE7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thus welcome that it is stated in document 4.8 </w:t>
      </w:r>
      <w:proofErr w:type="gramStart"/>
      <w:r w:rsidRPr="00AE71B5">
        <w:rPr>
          <w:rFonts w:ascii="Arial" w:eastAsia="Simsun (Founder Extended)" w:hAnsi="Arial" w:cs="Arial"/>
          <w:snapToGrid/>
          <w:sz w:val="22"/>
          <w:szCs w:val="22"/>
        </w:rPr>
        <w:t>doc(</w:t>
      </w:r>
      <w:proofErr w:type="gramEnd"/>
      <w:r w:rsidRPr="00AE71B5">
        <w:rPr>
          <w:rFonts w:ascii="Arial" w:eastAsia="Simsun (Founder Extended)" w:hAnsi="Arial" w:cs="Arial"/>
          <w:snapToGrid/>
          <w:sz w:val="22"/>
          <w:szCs w:val="22"/>
        </w:rPr>
        <w:t>1) that “there is a significant potential for the IOC contribution to the Decade to reinforce IOC’s core programmatic work, regional and thematic leadership, and human resources.”</w:t>
      </w:r>
    </w:p>
    <w:p w14:paraId="4B8018D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its initial donor, Flanders (Kingdom of Belgium) hence is pleased that “The Capacity Development Facility has been reinvigorated with additional human resources and will provide real-time matchmaking services to meet capacity development needs with a focus on SIDS, LDCs and Early Career Ocean Professionals.” This Facility works hand in hand with the existing IOC CD capabilities, and we encourage all further strengthening and streamlining of the CD processes across IOC, in line with the ‘central’ position of the ‘Function F’, the position of IOC’s Capacity Development.</w:t>
      </w:r>
    </w:p>
    <w:p w14:paraId="0C466A4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eagerly look forward to the launch, in September of this year, of the actual Matchmaking Platform where the Decade CD needs can be logged and where also offers and opportunities can meet those who can benefit from them.</w:t>
      </w:r>
    </w:p>
    <w:p w14:paraId="046885D5" w14:textId="77777777" w:rsidR="006C41C4" w:rsidRPr="00E647B1" w:rsidRDefault="006C41C4" w:rsidP="006C41C4">
      <w:pPr>
        <w:keepNext/>
        <w:snapToGrid/>
        <w:spacing w:after="120"/>
        <w:jc w:val="both"/>
        <w:rPr>
          <w:rFonts w:ascii="Arial" w:hAnsi="Arial" w:cs="Arial"/>
          <w:b/>
          <w:sz w:val="22"/>
          <w:szCs w:val="22"/>
          <w:lang w:val="en-US"/>
        </w:rPr>
      </w:pPr>
      <w:bookmarkStart w:id="567" w:name="bra48"/>
      <w:r w:rsidRPr="00E647B1">
        <w:rPr>
          <w:rFonts w:ascii="Arial" w:hAnsi="Arial" w:cs="Arial"/>
          <w:b/>
          <w:sz w:val="22"/>
          <w:szCs w:val="22"/>
          <w:lang w:val="en-US"/>
        </w:rPr>
        <w:t>Brazil</w:t>
      </w:r>
    </w:p>
    <w:bookmarkEnd w:id="567"/>
    <w:p w14:paraId="38E2F3E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Brazil receives from this Commission the task of hosting the next Conference of the Decade of Ocean Science for Sustainable Development with great joy. It is a huge responsibility, but as our Minister of Science, Technology and Innovation said, Brazil is firmly committed to the Decade.</w:t>
      </w:r>
    </w:p>
    <w:p w14:paraId="75B3AF3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is significant that the next Conference will take place in the global South. One of the objectives of the Decade is to promote a diversified and inclusive science, whose benefits are shared among all. This contributes to the development of humankind and to scientific advancement itself. It also converges with our efforts to strengthen the South Atlantic Peace and Cooperation Zone as an area of cooperation and sustainable development. We are ready to receive, in Rio, in 2027, governments, scientists, civil society, indigenous peoples, coastal groups and the entire world community of actors linked to the ocean.</w:t>
      </w:r>
    </w:p>
    <w:p w14:paraId="0956E4E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we reach the mid-point of the Decade Implementation, we congratulate the Decade Advisory Board, the Decade Coordinating Unit and the governance structures for understating and supporting the dynamic nature of the Decade, as one of its greatest strengths. </w:t>
      </w:r>
    </w:p>
    <w:p w14:paraId="6598EDE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The exchange of experiences with other National Decade Committees has proved to be both enriching and a motivating element for our own NDC. As part of an </w:t>
      </w:r>
      <w:proofErr w:type="gramStart"/>
      <w:r w:rsidRPr="00AE71B5">
        <w:rPr>
          <w:rFonts w:ascii="Arial" w:eastAsia="Simsun (Founder Extended)" w:hAnsi="Arial" w:cs="Arial"/>
          <w:snapToGrid/>
          <w:sz w:val="22"/>
          <w:szCs w:val="22"/>
        </w:rPr>
        <w:t>exercise</w:t>
      </w:r>
      <w:proofErr w:type="gramEnd"/>
      <w:r w:rsidRPr="00AE71B5">
        <w:rPr>
          <w:rFonts w:ascii="Arial" w:eastAsia="Simsun (Founder Extended)" w:hAnsi="Arial" w:cs="Arial"/>
          <w:snapToGrid/>
          <w:sz w:val="22"/>
          <w:szCs w:val="22"/>
        </w:rPr>
        <w:t xml:space="preserve"> we helped to facilitate during UNOC, together with the IOC, Germany and New Zealand, our NDC outlined its current focus on strengthening science, training, and research with a focus on diversity, equity, and inclusion. This includes revising the National Plan, improving multisectoral coordination, ensuring funding, aligning with global policies to promote sustainability, equity and climate justice and to continue supporting integrated curricula, Citizen Science, and Ocean Culture that transcends literacy, recognizing multiple knowledge systems and connecting it to socio-environmental and technological demands. </w:t>
      </w:r>
    </w:p>
    <w:p w14:paraId="36EB8B4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already concerns about the post Decade. We see them as a sign of the success of Decade thus far. As we together sail towards the 2027 Ocean Decade Conference and beyond, we should have plenty of opportunity to shape its legacy and the central role the IOC and its Regional Subsidiary Bodies should have in it, always striving to make it a truly global movement.</w:t>
      </w:r>
    </w:p>
    <w:p w14:paraId="054B5D98" w14:textId="77777777" w:rsidR="006C41C4" w:rsidRPr="00AE71B5" w:rsidRDefault="006C41C4" w:rsidP="006C41C4">
      <w:pPr>
        <w:keepNext/>
        <w:snapToGrid/>
        <w:spacing w:after="120"/>
        <w:jc w:val="both"/>
        <w:rPr>
          <w:rFonts w:ascii="Arial" w:hAnsi="Arial" w:cs="Arial"/>
          <w:b/>
          <w:sz w:val="22"/>
          <w:szCs w:val="22"/>
          <w:lang w:val="es-ES"/>
        </w:rPr>
      </w:pPr>
      <w:bookmarkStart w:id="568" w:name="chil48"/>
      <w:r w:rsidRPr="00AE71B5">
        <w:rPr>
          <w:rFonts w:ascii="Arial" w:hAnsi="Arial" w:cs="Arial"/>
          <w:b/>
          <w:sz w:val="22"/>
          <w:szCs w:val="22"/>
          <w:lang w:val="es-ES"/>
        </w:rPr>
        <w:t>Chile</w:t>
      </w:r>
    </w:p>
    <w:bookmarkEnd w:id="568"/>
    <w:p w14:paraId="37523D2D"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Inicialmente, nos sumamos a las felicitaciones a la delegación de Brasil, por la excelente noticia entregada el viernes pasado, con la organización de la conferencia de la década que se efectuará en Río de Janeiro el próximo 2027. Esto será un catalizador para todo el planeta, pero en especial para la región sudamericana.</w:t>
      </w:r>
    </w:p>
    <w:p w14:paraId="6901C096"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Delegación de Chile agradece al Secretario Ejecutivo y al señor Julian </w:t>
      </w:r>
      <w:proofErr w:type="spellStart"/>
      <w:r w:rsidRPr="00AE71B5">
        <w:rPr>
          <w:rFonts w:ascii="Arial" w:eastAsia="Simsun (Founder Extended)" w:hAnsi="Arial" w:cs="Arial"/>
          <w:snapToGrid/>
          <w:sz w:val="22"/>
          <w:szCs w:val="22"/>
          <w:lang w:val="es-ES"/>
        </w:rPr>
        <w:t>Barbiére</w:t>
      </w:r>
      <w:proofErr w:type="spellEnd"/>
      <w:r w:rsidRPr="00AE71B5">
        <w:rPr>
          <w:rFonts w:ascii="Arial" w:eastAsia="Simsun (Founder Extended)" w:hAnsi="Arial" w:cs="Arial"/>
          <w:snapToGrid/>
          <w:sz w:val="22"/>
          <w:szCs w:val="22"/>
          <w:lang w:val="es-ES"/>
        </w:rPr>
        <w:t xml:space="preserve"> por el Informe presentado sobre el actual grado de progreso del Decenio y quisiera aprovechar esta tribuna para compartir con esta Asamblea que todas las instituciones nacionales vinculadas a las Ciencias del Océano de Chile y que integran el Comité Oceanográfico Nacional – CONA - han seguido utilizando como hoja de ruta, el Plan Oceanográfico Nacional 2021 - 2030, que contempla objetivos específicos nacionales y líneas de acción, en función de los desafíos y objetivos del Decenio de las Ciencias Oceánicas para el Desarrollo Sostenible. En este contexto, el CONA ha apoyado y coordinado el desarrollo de proyectos y diversas actividades acometidas por la comunidad científica nacional; ha promovido de manera activa la difusión de los distintos llamados a la acción y fomentado una participación constante en instancias de carácter global. En la actualidad, se ha refrendado un total de 07 proyectos nacionales por la COI como acciones concretas contribuyentes al Decenio, además, de numerosas actividades de corto periodo realizadas en el país.</w:t>
      </w:r>
    </w:p>
    <w:p w14:paraId="03462126"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Sr. </w:t>
      </w:r>
      <w:proofErr w:type="gramStart"/>
      <w:r w:rsidRPr="00AE71B5">
        <w:rPr>
          <w:rFonts w:ascii="Arial" w:eastAsia="Simsun (Founder Extended)" w:hAnsi="Arial" w:cs="Arial"/>
          <w:snapToGrid/>
          <w:sz w:val="22"/>
          <w:szCs w:val="22"/>
          <w:lang w:val="es-ES"/>
        </w:rPr>
        <w:t>Presidente</w:t>
      </w:r>
      <w:proofErr w:type="gramEnd"/>
      <w:r w:rsidRPr="00AE71B5">
        <w:rPr>
          <w:rFonts w:ascii="Arial" w:eastAsia="Simsun (Founder Extended)" w:hAnsi="Arial" w:cs="Arial"/>
          <w:snapToGrid/>
          <w:sz w:val="22"/>
          <w:szCs w:val="22"/>
          <w:lang w:val="es-ES"/>
        </w:rPr>
        <w:t xml:space="preserve">, hoy nos encontramos a medio camino en esta Década, si bien hemos avanzado mucho, aún nos queda mucho por hacer, es por eso </w:t>
      </w:r>
      <w:proofErr w:type="gramStart"/>
      <w:r w:rsidRPr="00AE71B5">
        <w:rPr>
          <w:rFonts w:ascii="Arial" w:eastAsia="Simsun (Founder Extended)" w:hAnsi="Arial" w:cs="Arial"/>
          <w:snapToGrid/>
          <w:sz w:val="22"/>
          <w:szCs w:val="22"/>
          <w:lang w:val="es-ES"/>
        </w:rPr>
        <w:t>que</w:t>
      </w:r>
      <w:proofErr w:type="gramEnd"/>
      <w:r w:rsidRPr="00AE71B5">
        <w:rPr>
          <w:rFonts w:ascii="Arial" w:eastAsia="Simsun (Founder Extended)" w:hAnsi="Arial" w:cs="Arial"/>
          <w:snapToGrid/>
          <w:sz w:val="22"/>
          <w:szCs w:val="22"/>
          <w:lang w:val="es-ES"/>
        </w:rPr>
        <w:t xml:space="preserve"> la Delegación de Chile renueva su compromiso con este trabajo, y nos permitimos hacer un llamado a todos los miembros de la COI a reforzar los esfuerzos. Como ya lo hemos mencionado, Chile y la República de Corea seremos los </w:t>
      </w:r>
      <w:proofErr w:type="spellStart"/>
      <w:r w:rsidRPr="00AE71B5">
        <w:rPr>
          <w:rFonts w:ascii="Arial" w:eastAsia="Simsun (Founder Extended)" w:hAnsi="Arial" w:cs="Arial"/>
          <w:snapToGrid/>
          <w:sz w:val="22"/>
          <w:szCs w:val="22"/>
          <w:lang w:val="es-ES"/>
        </w:rPr>
        <w:t>co-host</w:t>
      </w:r>
      <w:proofErr w:type="spellEnd"/>
      <w:r w:rsidRPr="00AE71B5">
        <w:rPr>
          <w:rFonts w:ascii="Arial" w:eastAsia="Simsun (Founder Extended)" w:hAnsi="Arial" w:cs="Arial"/>
          <w:snapToGrid/>
          <w:sz w:val="22"/>
          <w:szCs w:val="22"/>
          <w:lang w:val="es-ES"/>
        </w:rPr>
        <w:t xml:space="preserve"> de la Cuarta Conferencia de Naciones Unidas para el Océano en 2028, y creemos que será un hito importante para resaltar los resultados de nuestro trabajo; esperamos que la ciencia y el desarrollo científico sean temas centrales en dicha instancia e instamos a la COI y sus Estados Miembros a aportar en esto.</w:t>
      </w:r>
    </w:p>
    <w:p w14:paraId="34725C70" w14:textId="77777777" w:rsidR="006C41C4" w:rsidRPr="00E647B1" w:rsidRDefault="006C41C4" w:rsidP="006C41C4">
      <w:pPr>
        <w:keepNext/>
        <w:snapToGrid/>
        <w:spacing w:after="120"/>
        <w:jc w:val="both"/>
        <w:rPr>
          <w:rFonts w:ascii="Arial" w:hAnsi="Arial" w:cs="Arial"/>
          <w:b/>
          <w:sz w:val="22"/>
          <w:szCs w:val="22"/>
          <w:lang w:val="en-US"/>
        </w:rPr>
      </w:pPr>
      <w:bookmarkStart w:id="569" w:name="chin48"/>
      <w:r w:rsidRPr="00E647B1">
        <w:rPr>
          <w:rFonts w:ascii="Arial" w:hAnsi="Arial" w:cs="Arial"/>
          <w:b/>
          <w:sz w:val="22"/>
          <w:szCs w:val="22"/>
          <w:lang w:val="en-US"/>
        </w:rPr>
        <w:t>China</w:t>
      </w:r>
    </w:p>
    <w:bookmarkEnd w:id="569"/>
    <w:p w14:paraId="2250FFE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would like to congratulate IOC on the great progress and key achievements of the Ocean Decade. Also, we would like to congratulate Brazil host the next UN Ocean Decade conference in 2027.</w:t>
      </w:r>
    </w:p>
    <w:p w14:paraId="1876B2F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Towards the end of the first half of the Ocean Decade, China has made prominent efforts and contributions to its process. We established the National Decade Committee and produced the National Framework Action Plan of the Ocean Decade in the year of 2022 to overall promote the implementation of the Ocean Decade in China, we have been endorsed one Collaborative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7 Programmes, 5 Decade Implementing Partners, 19 Projects, and co-developed 4 Decade Actions with the IOC/WESTPAC. In particular, the Ocean Decade Collaborative Centre on Ocean-Climate Nexus (DCC-OCC), which is hosted by the First Institute of Oceanography of the Ministry of Natural Resources of China, has played an active and important role in coordinating </w:t>
      </w:r>
      <w:r w:rsidRPr="00AE71B5">
        <w:rPr>
          <w:rFonts w:ascii="Arial" w:eastAsia="Simsun (Founder Extended)" w:hAnsi="Arial" w:cs="Arial"/>
          <w:snapToGrid/>
          <w:sz w:val="22"/>
          <w:szCs w:val="22"/>
        </w:rPr>
        <w:lastRenderedPageBreak/>
        <w:t>Decade Actions, integrating national social forces to engage in the Decade, developing capacity, and advocating best practices.</w:t>
      </w:r>
    </w:p>
    <w:p w14:paraId="1CBB6F7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Till to now, We have carried out pragmatic cooperation with 243 institutions from 113 countries, establishing a solid international cooperation network embracing the Ocean Decade, have hosted nearly 50 capacity-building activities and more than 70 conferences focusing on the ocean literacy, sustainable marine development, ecosystem conservation and regional ocean governance, and released 9 public products, covering marine disaster prevention and mitigation, science education and decision support. We have conducted a series of activities of Ocean Decade on Campus aiming to enhance ocean </w:t>
      </w:r>
      <w:proofErr w:type="gramStart"/>
      <w:r w:rsidRPr="00AE71B5">
        <w:rPr>
          <w:rFonts w:ascii="Arial" w:eastAsia="Simsun (Founder Extended)" w:hAnsi="Arial" w:cs="Arial"/>
          <w:snapToGrid/>
          <w:sz w:val="22"/>
          <w:szCs w:val="22"/>
        </w:rPr>
        <w:t>literacy, and</w:t>
      </w:r>
      <w:proofErr w:type="gramEnd"/>
      <w:r w:rsidRPr="00AE71B5">
        <w:rPr>
          <w:rFonts w:ascii="Arial" w:eastAsia="Simsun (Founder Extended)" w:hAnsi="Arial" w:cs="Arial"/>
          <w:snapToGrid/>
          <w:sz w:val="22"/>
          <w:szCs w:val="22"/>
        </w:rPr>
        <w:t xml:space="preserve"> facilitate more engagement of young generation in the Ocean Decade. Besides, we organize Annual symposiums on Promoting the Implementation of the Ocean Decade in China on a regular basis to review progress and design </w:t>
      </w:r>
      <w:proofErr w:type="gramStart"/>
      <w:r w:rsidRPr="00AE71B5">
        <w:rPr>
          <w:rFonts w:ascii="Arial" w:eastAsia="Simsun (Founder Extended)" w:hAnsi="Arial" w:cs="Arial"/>
          <w:snapToGrid/>
          <w:sz w:val="22"/>
          <w:szCs w:val="22"/>
        </w:rPr>
        <w:t>future plans</w:t>
      </w:r>
      <w:proofErr w:type="gramEnd"/>
      <w:r w:rsidRPr="00AE71B5">
        <w:rPr>
          <w:rFonts w:ascii="Arial" w:eastAsia="Simsun (Founder Extended)" w:hAnsi="Arial" w:cs="Arial"/>
          <w:snapToGrid/>
          <w:sz w:val="22"/>
          <w:szCs w:val="22"/>
        </w:rPr>
        <w:t xml:space="preserve"> of the Decade Actions, identify challenges, co-design new actions, mobilize more resources, and develop cooperation. All these Decade outcomes of China till now have made exactly embody the firm commitments to this grand initiative.</w:t>
      </w:r>
    </w:p>
    <w:p w14:paraId="5DB0E12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the future, China will still act as an active supporter and contributor to the Ocean Decade.</w:t>
      </w:r>
    </w:p>
    <w:p w14:paraId="65B99D35" w14:textId="77777777" w:rsidR="006C41C4" w:rsidRPr="00AE71B5" w:rsidRDefault="006C41C4" w:rsidP="006C41C4">
      <w:pPr>
        <w:keepNext/>
        <w:snapToGrid/>
        <w:spacing w:after="120"/>
        <w:jc w:val="both"/>
        <w:rPr>
          <w:rFonts w:ascii="Arial" w:hAnsi="Arial" w:cs="Arial"/>
          <w:b/>
          <w:sz w:val="22"/>
          <w:szCs w:val="22"/>
          <w:lang w:val="es-ES"/>
        </w:rPr>
      </w:pPr>
      <w:bookmarkStart w:id="570" w:name="col48"/>
      <w:r w:rsidRPr="00AE71B5">
        <w:rPr>
          <w:rFonts w:ascii="Arial" w:hAnsi="Arial" w:cs="Arial"/>
          <w:b/>
          <w:sz w:val="22"/>
          <w:szCs w:val="22"/>
          <w:lang w:val="es-ES"/>
        </w:rPr>
        <w:t>Colombia</w:t>
      </w:r>
    </w:p>
    <w:bookmarkEnd w:id="570"/>
    <w:p w14:paraId="1CD0DB83"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Colombia desea iniciar esta intervención felicitando a Brasil por haber sido seleccionada como sede de la próxima conferencia del Decenio de las Ciencias Oceánicas para el Desarrollo Sostenible y augura los mejores éxitos en desarrollo de tan importante evento de trascendencia global.  </w:t>
      </w:r>
    </w:p>
    <w:p w14:paraId="13820197"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Celebramos de igual manera la presentación de la resolución por parte del Principado de Mónaco, que reitera su compromiso con las ciencias oceánicas como fundamento para el océano que queremos. </w:t>
      </w:r>
    </w:p>
    <w:p w14:paraId="7D83BEE4"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Nuestra delegación, agradece el extensivo reporte presentado y celebra los avances de los diferentes actores frente al Decenio de las Ciencias Oceánicas, en línea con los resultados de la evaluación de mediano plazo.  De la misma forma, el país considera fundamental promover el intercambio de experiencias entre los distintos niveles de gobernanza del Decenio, permitiendo orientar mejor la labor de los Comités Técnicos Nacionales y garantizar su armonización con las nuevas dinámicas globales derivadas de la Declaración de Barcelona. </w:t>
      </w:r>
    </w:p>
    <w:p w14:paraId="423F2425"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Lo anterior, a fin de garantizar el fortalecimiento de la gobernanza para aumentar la participación internacional, nacional y regional expuesta por el Coordinación global del Decenio. </w:t>
      </w:r>
    </w:p>
    <w:p w14:paraId="0B5A67E7"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Por ello, Colombia desea poner en conocimiento que está en proceso de ajuste y definición de una nueva orientación nacional para el Decenio, incluyendo la reformulación de su Plan Nacional de Contribución, en donde el apoyo de la COI/UNESCO en este proceso de actualización es fundamental.</w:t>
      </w:r>
    </w:p>
    <w:p w14:paraId="2650AED5" w14:textId="77777777" w:rsidR="006C41C4" w:rsidRPr="00BD1076" w:rsidRDefault="006C41C4" w:rsidP="006C41C4">
      <w:pPr>
        <w:keepNext/>
        <w:snapToGrid/>
        <w:spacing w:after="120"/>
        <w:jc w:val="both"/>
        <w:rPr>
          <w:rFonts w:ascii="Arial" w:hAnsi="Arial" w:cs="Arial"/>
          <w:b/>
          <w:sz w:val="22"/>
          <w:szCs w:val="22"/>
          <w:lang w:val="en-US"/>
        </w:rPr>
      </w:pPr>
      <w:bookmarkStart w:id="571" w:name="india48"/>
      <w:r w:rsidRPr="00BD1076">
        <w:rPr>
          <w:rFonts w:ascii="Arial" w:hAnsi="Arial" w:cs="Arial"/>
          <w:b/>
          <w:sz w:val="22"/>
          <w:szCs w:val="22"/>
          <w:lang w:val="en-US"/>
        </w:rPr>
        <w:t>India</w:t>
      </w:r>
    </w:p>
    <w:bookmarkEnd w:id="571"/>
    <w:p w14:paraId="004FF7C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is proud to be associated with the Ocean Decade program.</w:t>
      </w:r>
      <w:r>
        <w:rPr>
          <w:rFonts w:ascii="Arial" w:eastAsia="Simsun (Founder Extended)" w:hAnsi="Arial" w:cs="Arial"/>
          <w:snapToGrid/>
          <w:sz w:val="22"/>
          <w:szCs w:val="22"/>
          <w:lang w:val="en-US"/>
        </w:rPr>
        <w:t xml:space="preserve"> </w:t>
      </w:r>
      <w:r w:rsidRPr="00AE71B5">
        <w:rPr>
          <w:rFonts w:ascii="Arial" w:eastAsia="Simsun (Founder Extended)" w:hAnsi="Arial" w:cs="Arial"/>
          <w:snapToGrid/>
          <w:sz w:val="22"/>
          <w:szCs w:val="22"/>
          <w:lang w:val="en-US"/>
        </w:rPr>
        <w:t>We wish to emphasize that India was one among the countries who have responded to the call of the ocean decade and formed its National Decade Committee with stakeholders involved in oceanography in February 2021. After couple of meetings, the committee was restructured to imbibe ocean decade spirit by inclusion of further diverse stakeholders.</w:t>
      </w:r>
    </w:p>
    <w:p w14:paraId="16E12AF8"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Upon restructuring the NDC committee provided valuable guidance and way forward for successful implementation of the ocean decade. As per the suggestion of the NDC, sub-committee were formed with </w:t>
      </w:r>
      <w:proofErr w:type="gramStart"/>
      <w:r w:rsidRPr="00AE71B5">
        <w:rPr>
          <w:rFonts w:ascii="Arial" w:eastAsia="Simsun (Founder Extended)" w:hAnsi="Arial" w:cs="Arial"/>
          <w:snapToGrid/>
          <w:sz w:val="22"/>
          <w:szCs w:val="22"/>
          <w:lang w:val="en-US"/>
        </w:rPr>
        <w:t>member</w:t>
      </w:r>
      <w:proofErr w:type="gramEnd"/>
      <w:r w:rsidRPr="00AE71B5">
        <w:rPr>
          <w:rFonts w:ascii="Arial" w:eastAsia="Simsun (Founder Extended)" w:hAnsi="Arial" w:cs="Arial"/>
          <w:snapToGrid/>
          <w:sz w:val="22"/>
          <w:szCs w:val="22"/>
          <w:lang w:val="en-US"/>
        </w:rPr>
        <w:t xml:space="preserve"> nominated </w:t>
      </w:r>
      <w:proofErr w:type="gramStart"/>
      <w:r w:rsidRPr="00AE71B5">
        <w:rPr>
          <w:rFonts w:ascii="Arial" w:eastAsia="Simsun (Founder Extended)" w:hAnsi="Arial" w:cs="Arial"/>
          <w:snapToGrid/>
          <w:sz w:val="22"/>
          <w:szCs w:val="22"/>
          <w:lang w:val="en-US"/>
        </w:rPr>
        <w:t>from</w:t>
      </w:r>
      <w:proofErr w:type="gramEnd"/>
      <w:r w:rsidRPr="00AE71B5">
        <w:rPr>
          <w:rFonts w:ascii="Arial" w:eastAsia="Simsun (Founder Extended)" w:hAnsi="Arial" w:cs="Arial"/>
          <w:snapToGrid/>
          <w:sz w:val="22"/>
          <w:szCs w:val="22"/>
          <w:lang w:val="en-US"/>
        </w:rPr>
        <w:t xml:space="preserve"> organization represented by NDC members to handle various challenges envisaged under the ocean decade. These sub-committees have come up with implementation plans for productive outcomes related to ocean decade.  </w:t>
      </w:r>
    </w:p>
    <w:p w14:paraId="573A1CDF"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submitted a proposal for regional Decade Collaborative Centre for the Indian Ocean Region (DCC-IOR) and was immediately recognized by the UNESCO which was signed on 27 June 2023 during IOC Assembly in Paris. </w:t>
      </w:r>
    </w:p>
    <w:p w14:paraId="6B7288BB" w14:textId="77777777" w:rsidR="006C41C4" w:rsidRPr="00AE71B5" w:rsidRDefault="006C41C4" w:rsidP="006C41C4">
      <w:pPr>
        <w:snapToGrid/>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With this recognition as a DCC-IOR, India aims to </w:t>
      </w:r>
    </w:p>
    <w:p w14:paraId="23F46BAA" w14:textId="77777777" w:rsidR="006C41C4" w:rsidRPr="00AE71B5" w:rsidRDefault="006C41C4" w:rsidP="006C41C4">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Assist with Scientific Coordination and Planning,</w:t>
      </w:r>
    </w:p>
    <w:p w14:paraId="72D32ACD" w14:textId="77777777" w:rsidR="006C41C4" w:rsidRPr="00AE71B5" w:rsidRDefault="006C41C4" w:rsidP="006C41C4">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Identification of Collaboration Opportunities and Communications</w:t>
      </w:r>
    </w:p>
    <w:p w14:paraId="2A1DF6B5" w14:textId="77777777" w:rsidR="006C41C4" w:rsidRPr="00AE71B5" w:rsidRDefault="006C41C4" w:rsidP="006C41C4">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Awareness raising and stakeholder engagement</w:t>
      </w:r>
    </w:p>
    <w:p w14:paraId="5A8E3786" w14:textId="77777777" w:rsidR="006C41C4" w:rsidRPr="00AE71B5" w:rsidRDefault="006C41C4" w:rsidP="006C41C4">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Enhance technical and scientific capacities to support Decade Actions</w:t>
      </w:r>
    </w:p>
    <w:p w14:paraId="1CF4EB3F" w14:textId="77777777" w:rsidR="006C41C4" w:rsidRPr="00AE71B5" w:rsidRDefault="006C41C4" w:rsidP="006C41C4">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r>
      <w:proofErr w:type="spellStart"/>
      <w:r w:rsidRPr="00AE71B5">
        <w:rPr>
          <w:rFonts w:ascii="Arial" w:eastAsia="Simsun (Founder Extended)" w:hAnsi="Arial" w:cs="Arial"/>
          <w:snapToGrid/>
          <w:sz w:val="22"/>
          <w:szCs w:val="22"/>
          <w:lang w:val="en-US"/>
        </w:rPr>
        <w:t>Organising</w:t>
      </w:r>
      <w:proofErr w:type="spellEnd"/>
      <w:r w:rsidRPr="00AE71B5">
        <w:rPr>
          <w:rFonts w:ascii="Arial" w:eastAsia="Simsun (Founder Extended)" w:hAnsi="Arial" w:cs="Arial"/>
          <w:snapToGrid/>
          <w:sz w:val="22"/>
          <w:szCs w:val="22"/>
          <w:lang w:val="en-US"/>
        </w:rPr>
        <w:t xml:space="preserve"> an annual regional training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&amp; a workshop to enhance technical &amp; scientific capacities in the Indian Ocean Region</w:t>
      </w:r>
    </w:p>
    <w:p w14:paraId="7AF18203" w14:textId="77777777" w:rsidR="006C41C4" w:rsidRPr="00AE71B5" w:rsidRDefault="006C41C4" w:rsidP="006C41C4">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Assisting the Decade Advisory Board in review processes of proposals for actions and progress of actions of the UN decade</w:t>
      </w:r>
    </w:p>
    <w:p w14:paraId="1E159ACA"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Provide advice to Decade Coordination Unit (DCU)</w:t>
      </w:r>
    </w:p>
    <w:p w14:paraId="3DDFE7DD"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formed a diversified and vibrant Governing Board for DCC-IOR involving representatives from Ministry, Head of </w:t>
      </w:r>
      <w:proofErr w:type="spellStart"/>
      <w:r w:rsidRPr="00AE71B5">
        <w:rPr>
          <w:rFonts w:ascii="Arial" w:eastAsia="Simsun (Founder Extended)" w:hAnsi="Arial" w:cs="Arial"/>
          <w:snapToGrid/>
          <w:sz w:val="22"/>
          <w:szCs w:val="22"/>
          <w:lang w:val="en-US"/>
        </w:rPr>
        <w:t>centres</w:t>
      </w:r>
      <w:proofErr w:type="spellEnd"/>
      <w:r w:rsidRPr="00AE71B5">
        <w:rPr>
          <w:rFonts w:ascii="Arial" w:eastAsia="Simsun (Founder Extended)" w:hAnsi="Arial" w:cs="Arial"/>
          <w:snapToGrid/>
          <w:sz w:val="22"/>
          <w:szCs w:val="22"/>
          <w:lang w:val="en-US"/>
        </w:rPr>
        <w:t xml:space="preserve">, NGOs, experts from DCU, ECOPs, IOR experts and members of DCC. </w:t>
      </w:r>
    </w:p>
    <w:p w14:paraId="51CED0C4"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DCC-IOR has been regularly participating in DCU meetings, </w:t>
      </w:r>
      <w:proofErr w:type="gramStart"/>
      <w:r w:rsidRPr="00AE71B5">
        <w:rPr>
          <w:rFonts w:ascii="Arial" w:eastAsia="Simsun (Founder Extended)" w:hAnsi="Arial" w:cs="Arial"/>
          <w:snapToGrid/>
          <w:sz w:val="22"/>
          <w:szCs w:val="22"/>
          <w:lang w:val="en-US"/>
        </w:rPr>
        <w:t>conducing</w:t>
      </w:r>
      <w:proofErr w:type="gramEnd"/>
      <w:r w:rsidRPr="00AE71B5">
        <w:rPr>
          <w:rFonts w:ascii="Arial" w:eastAsia="Simsun (Founder Extended)" w:hAnsi="Arial" w:cs="Arial"/>
          <w:snapToGrid/>
          <w:sz w:val="22"/>
          <w:szCs w:val="22"/>
          <w:lang w:val="en-US"/>
        </w:rPr>
        <w:t xml:space="preserve"> webinars, capacity building and training programs, ECOP sessions, Ocean Literacy programs. The DCC is also collaborating with other thematic DCC like, Ocean Predict DCC, Coastal Resilience DCC </w:t>
      </w:r>
      <w:proofErr w:type="gramStart"/>
      <w:r w:rsidRPr="00AE71B5">
        <w:rPr>
          <w:rFonts w:ascii="Arial" w:eastAsia="Simsun (Founder Extended)" w:hAnsi="Arial" w:cs="Arial"/>
          <w:snapToGrid/>
          <w:sz w:val="22"/>
          <w:szCs w:val="22"/>
          <w:lang w:val="en-US"/>
        </w:rPr>
        <w:t>and also</w:t>
      </w:r>
      <w:proofErr w:type="gramEnd"/>
      <w:r w:rsidRPr="00AE71B5">
        <w:rPr>
          <w:rFonts w:ascii="Arial" w:eastAsia="Simsun (Founder Extended)" w:hAnsi="Arial" w:cs="Arial"/>
          <w:snapToGrid/>
          <w:sz w:val="22"/>
          <w:szCs w:val="22"/>
          <w:lang w:val="en-US"/>
        </w:rPr>
        <w:t xml:space="preserve"> involved in White Paper preparation submitted to Ocean Decade. The DCC-</w:t>
      </w:r>
      <w:proofErr w:type="gramStart"/>
      <w:r w:rsidRPr="00AE71B5">
        <w:rPr>
          <w:rFonts w:ascii="Arial" w:eastAsia="Simsun (Founder Extended)" w:hAnsi="Arial" w:cs="Arial"/>
          <w:snapToGrid/>
          <w:sz w:val="22"/>
          <w:szCs w:val="22"/>
          <w:lang w:val="en-US"/>
        </w:rPr>
        <w:t>IOR</w:t>
      </w:r>
      <w:proofErr w:type="gramEnd"/>
      <w:r w:rsidRPr="00AE71B5">
        <w:rPr>
          <w:rFonts w:ascii="Arial" w:eastAsia="Simsun (Founder Extended)" w:hAnsi="Arial" w:cs="Arial"/>
          <w:snapToGrid/>
          <w:sz w:val="22"/>
          <w:szCs w:val="22"/>
          <w:lang w:val="en-US"/>
        </w:rPr>
        <w:t xml:space="preserve"> in collaboration with </w:t>
      </w:r>
      <w:proofErr w:type="gramStart"/>
      <w:r w:rsidRPr="00AE71B5">
        <w:rPr>
          <w:rFonts w:ascii="Arial" w:eastAsia="Simsun (Founder Extended)" w:hAnsi="Arial" w:cs="Arial"/>
          <w:snapToGrid/>
          <w:sz w:val="22"/>
          <w:szCs w:val="22"/>
          <w:lang w:val="en-US"/>
        </w:rPr>
        <w:t>IOCCG</w:t>
      </w:r>
      <w:proofErr w:type="gramEnd"/>
      <w:r w:rsidRPr="00AE71B5">
        <w:rPr>
          <w:rFonts w:ascii="Arial" w:eastAsia="Simsun (Founder Extended)" w:hAnsi="Arial" w:cs="Arial"/>
          <w:snapToGrid/>
          <w:sz w:val="22"/>
          <w:szCs w:val="22"/>
          <w:lang w:val="en-US"/>
        </w:rPr>
        <w:t xml:space="preserve"> conducted two </w:t>
      </w:r>
      <w:proofErr w:type="gramStart"/>
      <w:r w:rsidRPr="00AE71B5">
        <w:rPr>
          <w:rFonts w:ascii="Arial" w:eastAsia="Simsun (Founder Extended)" w:hAnsi="Arial" w:cs="Arial"/>
          <w:snapToGrid/>
          <w:sz w:val="22"/>
          <w:szCs w:val="22"/>
          <w:lang w:val="en-US"/>
        </w:rPr>
        <w:t>week long</w:t>
      </w:r>
      <w:proofErr w:type="gramEnd"/>
      <w:r w:rsidRPr="00AE71B5">
        <w:rPr>
          <w:rFonts w:ascii="Arial" w:eastAsia="Simsun (Founder Extended)" w:hAnsi="Arial" w:cs="Arial"/>
          <w:snapToGrid/>
          <w:sz w:val="22"/>
          <w:szCs w:val="22"/>
          <w:lang w:val="en-US"/>
        </w:rPr>
        <w:t xml:space="preserve"> training program on Ocean </w:t>
      </w:r>
      <w:proofErr w:type="spellStart"/>
      <w:r w:rsidRPr="00AE71B5">
        <w:rPr>
          <w:rFonts w:ascii="Arial" w:eastAsia="Simsun (Founder Extended)" w:hAnsi="Arial" w:cs="Arial"/>
          <w:snapToGrid/>
          <w:sz w:val="22"/>
          <w:szCs w:val="22"/>
          <w:lang w:val="en-US"/>
        </w:rPr>
        <w:t>Colour</w:t>
      </w:r>
      <w:proofErr w:type="spellEnd"/>
      <w:r w:rsidRPr="00AE71B5">
        <w:rPr>
          <w:rFonts w:ascii="Arial" w:eastAsia="Simsun (Founder Extended)" w:hAnsi="Arial" w:cs="Arial"/>
          <w:snapToGrid/>
          <w:sz w:val="22"/>
          <w:szCs w:val="22"/>
          <w:lang w:val="en-US"/>
        </w:rPr>
        <w:t xml:space="preserve">. It also extended support to members of other NDC by sharing the best practices being followed. It also provisioned berths in Ocean Research Vessel to members from Bangladesh to gain insights into ocean data collection and processing. </w:t>
      </w:r>
    </w:p>
    <w:p w14:paraId="062BD3FC" w14:textId="77777777" w:rsidR="006C41C4" w:rsidRPr="00AE71B5" w:rsidRDefault="006C41C4" w:rsidP="006C41C4">
      <w:pPr>
        <w:snapToGrid/>
        <w:spacing w:after="120"/>
        <w:jc w:val="both"/>
        <w:rPr>
          <w:rFonts w:ascii="Arial" w:eastAsia="Simsun (Founder Extended)" w:hAnsi="Arial" w:cs="Arial"/>
          <w:snapToGrid/>
          <w:sz w:val="22"/>
          <w:szCs w:val="22"/>
          <w:lang w:val="en-US"/>
        </w:rPr>
      </w:pPr>
      <w:proofErr w:type="gramStart"/>
      <w:r w:rsidRPr="00AE71B5">
        <w:rPr>
          <w:rFonts w:ascii="Arial" w:eastAsia="Simsun (Founder Extended)" w:hAnsi="Arial" w:cs="Arial"/>
          <w:snapToGrid/>
          <w:sz w:val="22"/>
          <w:szCs w:val="22"/>
          <w:lang w:val="en-US"/>
        </w:rPr>
        <w:t>The DCC</w:t>
      </w:r>
      <w:proofErr w:type="gramEnd"/>
      <w:r w:rsidRPr="00AE71B5">
        <w:rPr>
          <w:rFonts w:ascii="Arial" w:eastAsia="Simsun (Founder Extended)" w:hAnsi="Arial" w:cs="Arial"/>
          <w:snapToGrid/>
          <w:sz w:val="22"/>
          <w:szCs w:val="22"/>
          <w:lang w:val="en-US"/>
        </w:rPr>
        <w:t xml:space="preserve">-IOR collaborated with other partners like POGO, ITEC, OTGA for effectively holding various training programs in operational oceanography.  </w:t>
      </w:r>
    </w:p>
    <w:p w14:paraId="5A7029C9"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Finally, we would like to reiterate that mid-term review of decadal ocean activities is prerequisite as we are mid-way </w:t>
      </w:r>
      <w:proofErr w:type="gramStart"/>
      <w:r w:rsidRPr="00AE71B5">
        <w:rPr>
          <w:rFonts w:ascii="Arial" w:eastAsia="Simsun (Founder Extended)" w:hAnsi="Arial" w:cs="Arial"/>
          <w:snapToGrid/>
          <w:sz w:val="22"/>
          <w:szCs w:val="22"/>
          <w:lang w:val="en-US"/>
        </w:rPr>
        <w:t>for</w:t>
      </w:r>
      <w:proofErr w:type="gramEnd"/>
      <w:r w:rsidRPr="00AE71B5">
        <w:rPr>
          <w:rFonts w:ascii="Arial" w:eastAsia="Simsun (Founder Extended)" w:hAnsi="Arial" w:cs="Arial"/>
          <w:snapToGrid/>
          <w:sz w:val="22"/>
          <w:szCs w:val="22"/>
          <w:lang w:val="en-US"/>
        </w:rPr>
        <w:t xml:space="preserve"> achieving Ocean decade goals. India is committed to the ocean decade program till 2030 and beyond for its successful achievements of intended objectives.</w:t>
      </w:r>
    </w:p>
    <w:p w14:paraId="1BFFE98D" w14:textId="77777777" w:rsidR="006C41C4" w:rsidRPr="00E647B1" w:rsidRDefault="006C41C4" w:rsidP="006C41C4">
      <w:pPr>
        <w:keepNext/>
        <w:snapToGrid/>
        <w:spacing w:after="120"/>
        <w:jc w:val="both"/>
        <w:rPr>
          <w:rFonts w:ascii="Arial" w:hAnsi="Arial" w:cs="Arial"/>
          <w:b/>
          <w:sz w:val="22"/>
          <w:szCs w:val="22"/>
          <w:lang w:val="en-US"/>
        </w:rPr>
      </w:pPr>
      <w:bookmarkStart w:id="572" w:name="jap48"/>
      <w:r w:rsidRPr="00E647B1">
        <w:rPr>
          <w:rFonts w:ascii="Arial" w:hAnsi="Arial" w:cs="Arial"/>
          <w:b/>
          <w:sz w:val="22"/>
          <w:szCs w:val="22"/>
          <w:lang w:val="en-US"/>
        </w:rPr>
        <w:t>Japan</w:t>
      </w:r>
    </w:p>
    <w:bookmarkEnd w:id="572"/>
    <w:p w14:paraId="43AF7E6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Ocean Decade represents an irreplaceable opportunity to align science, policy, and society for sustainable ecosystem and development, and to realize the ocean we want. At this midpoint of the United Nations Decade of Ocean Science for Sustainable Development, Japan reaffirms its lasting commitment to advancing ocean science for a more sustainable and resilient future. </w:t>
      </w:r>
    </w:p>
    <w:p w14:paraId="3E91B18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sincerely thank UNESCO’s Internal Oversight Service for the mid-term evaluation and commend the Decade Coordination Unit, Advisory Board, and all partners whose efforts have translated shared aspirations into global progress. Japan congratulates Brazil to host the next Ocean Decade Conference in 2027.</w:t>
      </w:r>
    </w:p>
    <w:p w14:paraId="7655508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has contributed actively through the Japan Funds-in-Trust (JFIT), supporting both global efforts at IOC Headquarters and regional initiatives through IOC-WESTPAC. We will continue this support as the Decade advances into its next phase.</w:t>
      </w:r>
      <w:r w:rsidRPr="00AE71B5">
        <w:rPr>
          <w:rFonts w:ascii="Arial" w:eastAsia="Simsun (Founder Extended)" w:hAnsi="Arial" w:cs="Arial"/>
          <w:snapToGrid/>
          <w:sz w:val="22"/>
          <w:szCs w:val="22"/>
        </w:rPr>
        <w:t xml:space="preserve">　</w:t>
      </w:r>
      <w:r w:rsidRPr="00AE71B5">
        <w:rPr>
          <w:rFonts w:ascii="Arial" w:eastAsia="Simsun (Founder Extended)" w:hAnsi="Arial" w:cs="Arial"/>
          <w:snapToGrid/>
          <w:sz w:val="22"/>
          <w:szCs w:val="22"/>
        </w:rPr>
        <w:t>Domestically, our National Decade Committee—established in 2021—convenes experts across disciplines. Its sixth meeting, held this March, focused on emerging trends and knowledge sharing. In May, Japan hosted a special UN Ocean Decade session at the Japan Geoscience Union Conference, showcasing how co-designed science can generate real-world solutions—reflecting our commitment to inclusive, impact-driven research.</w:t>
      </w:r>
    </w:p>
    <w:p w14:paraId="41FF30D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forward, Japan supports the evaluation’s emphasis on deeper coordination, broader stakeholder inclusion—especially from SIDS and LDCs—and better integration of Decade Actions into governance. We will continue promoting inclusive partnerships, open science, and capacity-building that empowers communities.</w:t>
      </w:r>
    </w:p>
    <w:p w14:paraId="7602AF2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recognizes the concept of IPOS as a global demand-driven platform that connects ocean knowledge, policy, and society. The proposed delivery of scientific knowledge and the linking scientific knowledge with policy and society are essential to reach the goal of UN Ocean Decade. It is anticipated that having IPOS would be beneficial </w:t>
      </w:r>
      <w:proofErr w:type="gramStart"/>
      <w:r w:rsidRPr="00AE71B5">
        <w:rPr>
          <w:rFonts w:ascii="Arial" w:eastAsia="Simsun (Founder Extended)" w:hAnsi="Arial" w:cs="Arial"/>
          <w:snapToGrid/>
          <w:sz w:val="22"/>
          <w:szCs w:val="22"/>
        </w:rPr>
        <w:t>in light of</w:t>
      </w:r>
      <w:proofErr w:type="gramEnd"/>
      <w:r w:rsidRPr="00AE71B5">
        <w:rPr>
          <w:rFonts w:ascii="Arial" w:eastAsia="Simsun (Founder Extended)" w:hAnsi="Arial" w:cs="Arial"/>
          <w:snapToGrid/>
          <w:sz w:val="22"/>
          <w:szCs w:val="22"/>
        </w:rPr>
        <w:t xml:space="preserve"> the challenging funding situation </w:t>
      </w:r>
      <w:r w:rsidRPr="00AE71B5">
        <w:rPr>
          <w:rFonts w:ascii="Arial" w:eastAsia="Simsun (Founder Extended)" w:hAnsi="Arial" w:cs="Arial"/>
          <w:snapToGrid/>
          <w:sz w:val="22"/>
          <w:szCs w:val="22"/>
        </w:rPr>
        <w:lastRenderedPageBreak/>
        <w:t xml:space="preserve">and limited human resources of IOC. Simultaneously, Japan concerns on the redundancy between the Decade Coordination Unit and IPOS. Also, Japan perceives uncertainty regarding the implementation plan and methodology of the IPOS, as well as the financing necessary to execute the planned activities. The other issue raised is securing the human resources necessary to </w:t>
      </w:r>
      <w:proofErr w:type="spellStart"/>
      <w:r w:rsidRPr="00AE71B5">
        <w:rPr>
          <w:rFonts w:ascii="Arial" w:eastAsia="Simsun (Founder Extended)" w:hAnsi="Arial" w:cs="Arial"/>
          <w:snapToGrid/>
          <w:sz w:val="22"/>
          <w:szCs w:val="22"/>
        </w:rPr>
        <w:t>fulfill</w:t>
      </w:r>
      <w:proofErr w:type="spellEnd"/>
      <w:r w:rsidRPr="00AE71B5">
        <w:rPr>
          <w:rFonts w:ascii="Arial" w:eastAsia="Simsun (Founder Extended)" w:hAnsi="Arial" w:cs="Arial"/>
          <w:snapToGrid/>
          <w:sz w:val="22"/>
          <w:szCs w:val="22"/>
        </w:rPr>
        <w:t xml:space="preserve"> the significant and ambitious objectives of the IPOS, particularly in the regional nodes that are planned for development. Japan anticipates that the IPOS will develop a more comprehensive implementation plan in collaboration with the Decade Advisory Board, the DCU, and the member states.</w:t>
      </w:r>
    </w:p>
    <w:p w14:paraId="60066AB2" w14:textId="77777777" w:rsidR="006C41C4" w:rsidRPr="00E647B1" w:rsidRDefault="006C41C4" w:rsidP="006C41C4">
      <w:pPr>
        <w:keepNext/>
        <w:snapToGrid/>
        <w:spacing w:after="120"/>
        <w:jc w:val="both"/>
        <w:rPr>
          <w:rFonts w:ascii="Arial" w:hAnsi="Arial" w:cs="Arial"/>
          <w:b/>
          <w:sz w:val="22"/>
          <w:szCs w:val="22"/>
          <w:lang w:val="en-US"/>
        </w:rPr>
      </w:pPr>
      <w:bookmarkStart w:id="573" w:name="malay48"/>
      <w:r w:rsidRPr="00E647B1">
        <w:rPr>
          <w:rFonts w:ascii="Arial" w:hAnsi="Arial" w:cs="Arial"/>
          <w:b/>
          <w:sz w:val="22"/>
          <w:szCs w:val="22"/>
          <w:lang w:val="en-US"/>
        </w:rPr>
        <w:t>Malaysia</w:t>
      </w:r>
    </w:p>
    <w:bookmarkEnd w:id="573"/>
    <w:p w14:paraId="71380E7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remains strongly committed to the Ocean Decade through the Ocean </w:t>
      </w:r>
      <w:proofErr w:type="spellStart"/>
      <w:r w:rsidRPr="00AE71B5">
        <w:rPr>
          <w:rFonts w:ascii="Arial" w:eastAsia="Simsun (Founder Extended)" w:hAnsi="Arial" w:cs="Arial"/>
          <w:snapToGrid/>
          <w:sz w:val="22"/>
          <w:szCs w:val="22"/>
        </w:rPr>
        <w:t>Decade@Malaysia</w:t>
      </w:r>
      <w:proofErr w:type="spellEnd"/>
      <w:r w:rsidRPr="00AE71B5">
        <w:rPr>
          <w:rFonts w:ascii="Arial" w:eastAsia="Simsun (Founder Extended)" w:hAnsi="Arial" w:cs="Arial"/>
          <w:snapToGrid/>
          <w:sz w:val="22"/>
          <w:szCs w:val="22"/>
        </w:rPr>
        <w:t xml:space="preserve"> initiative, coordinated by the Ministry of Natural Environment Sustainability (NRES).</w:t>
      </w:r>
    </w:p>
    <w:p w14:paraId="0E91043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Our focus is on inclusive, science-based action that supports national priorities and regional collaboration.</w:t>
      </w:r>
    </w:p>
    <w:p w14:paraId="6C5A8E8F"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advancing this through:</w:t>
      </w:r>
    </w:p>
    <w:p w14:paraId="691BFE15"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ECOP Malaysia Node, connecting early-career professionals from academia, industry, and </w:t>
      </w:r>
      <w:proofErr w:type="gramStart"/>
      <w:r w:rsidRPr="00AE71B5">
        <w:rPr>
          <w:rFonts w:ascii="Arial" w:eastAsia="Simsun (Founder Extended)" w:hAnsi="Arial" w:cs="Arial"/>
          <w:snapToGrid/>
          <w:sz w:val="22"/>
          <w:szCs w:val="22"/>
        </w:rPr>
        <w:t>government;</w:t>
      </w:r>
      <w:proofErr w:type="gramEnd"/>
    </w:p>
    <w:p w14:paraId="71EF4876" w14:textId="77777777" w:rsidR="006C41C4" w:rsidRPr="00AE71B5" w:rsidRDefault="006C41C4" w:rsidP="006C41C4">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Citizen science and ocean literacy </w:t>
      </w:r>
      <w:proofErr w:type="gramStart"/>
      <w:r w:rsidRPr="00AE71B5">
        <w:rPr>
          <w:rFonts w:ascii="Arial" w:eastAsia="Simsun (Founder Extended)" w:hAnsi="Arial" w:cs="Arial"/>
          <w:snapToGrid/>
          <w:sz w:val="22"/>
          <w:szCs w:val="22"/>
        </w:rPr>
        <w:t>campaigns;</w:t>
      </w:r>
      <w:proofErr w:type="gramEnd"/>
    </w:p>
    <w:p w14:paraId="03BBD919"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Capacity building with WESTPAC, and regional partners.</w:t>
      </w:r>
    </w:p>
    <w:p w14:paraId="58843BD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also addresses Decade Challenge 1: Marine Pollution through the National Marine Litter Policy and Action Plan 2021–2030, which promotes source-to-sea governance and data-driven solutions. </w:t>
      </w:r>
    </w:p>
    <w:p w14:paraId="63F99EC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is reinforced by our high-profile partnership with The Ocean Cleanup, deploying advanced technologies to intercept plastic waste.</w:t>
      </w:r>
    </w:p>
    <w:p w14:paraId="7A4DC834" w14:textId="77777777" w:rsidR="006C41C4" w:rsidRPr="00E647B1" w:rsidRDefault="006C41C4" w:rsidP="006C41C4">
      <w:pPr>
        <w:keepNext/>
        <w:snapToGrid/>
        <w:spacing w:after="120"/>
        <w:jc w:val="both"/>
        <w:rPr>
          <w:rFonts w:ascii="Arial" w:hAnsi="Arial" w:cs="Arial"/>
          <w:b/>
          <w:sz w:val="22"/>
          <w:szCs w:val="22"/>
          <w:lang w:val="fr-FR"/>
        </w:rPr>
      </w:pPr>
      <w:bookmarkStart w:id="574" w:name="mon48"/>
      <w:r w:rsidRPr="00E647B1">
        <w:rPr>
          <w:rFonts w:ascii="Arial" w:hAnsi="Arial" w:cs="Arial"/>
          <w:b/>
          <w:sz w:val="22"/>
          <w:szCs w:val="22"/>
          <w:lang w:val="fr-FR"/>
        </w:rPr>
        <w:t>Monaco</w:t>
      </w:r>
    </w:p>
    <w:bookmarkEnd w:id="574"/>
    <w:p w14:paraId="150679C4"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Principauté de Monaco soumet à votre approbation le projet de résolution concernant la mise en œuvre de la Décennie des Nations Unies pour les sciences océaniques au service du développement durable (2021–2030).</w:t>
      </w:r>
    </w:p>
    <w:p w14:paraId="347A05E2"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Cette résolution vise à renforcer la gouvernance, la planification stratégique et les capacités opérationnelles de la Décennie.</w:t>
      </w:r>
    </w:p>
    <w:p w14:paraId="484072FD"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Vous le savez, nous sommes à </w:t>
      </w:r>
      <w:proofErr w:type="gramStart"/>
      <w:r w:rsidRPr="00AE71B5">
        <w:rPr>
          <w:rFonts w:ascii="Arial" w:eastAsia="Simsun (Founder Extended)" w:hAnsi="Arial" w:cs="Arial"/>
          <w:snapToGrid/>
          <w:sz w:val="22"/>
          <w:szCs w:val="22"/>
          <w:lang w:val="fr-FR"/>
        </w:rPr>
        <w:t>un mi-parcours</w:t>
      </w:r>
      <w:proofErr w:type="gramEnd"/>
      <w:r w:rsidRPr="00AE71B5">
        <w:rPr>
          <w:rFonts w:ascii="Arial" w:eastAsia="Simsun (Founder Extended)" w:hAnsi="Arial" w:cs="Arial"/>
          <w:snapToGrid/>
          <w:sz w:val="22"/>
          <w:szCs w:val="22"/>
          <w:lang w:val="fr-FR"/>
        </w:rPr>
        <w:t xml:space="preserve"> de celle-ci et donc à un moment clé de sa réalisation. Aussi, est-il plus que jamais nécessaire de nous appuyer sur les enseignements tirés de notre expérience passée et prévoir la suite sans fléchir.</w:t>
      </w:r>
    </w:p>
    <w:p w14:paraId="6B881D1D"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résolution proposée, invite les États membres à prendre acte des conclusions de l’évaluation à mi-parcours de la Décennie, et d'établir une feuille de route claire et ambitieuse jusqu'en 2030. La coordination est essentielle mais souffre encore malheureusement de besoins financiers.</w:t>
      </w:r>
    </w:p>
    <w:p w14:paraId="5FD1CD21" w14:textId="77777777" w:rsidR="006C41C4" w:rsidRPr="00AE71B5" w:rsidRDefault="006C41C4" w:rsidP="006C41C4">
      <w:pPr>
        <w:snapToGrid/>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Les objectifs de la résolution sont notamment : </w:t>
      </w:r>
    </w:p>
    <w:p w14:paraId="0EB764E6" w14:textId="77777777" w:rsidR="006C41C4" w:rsidRPr="00AE71B5" w:rsidRDefault="006C41C4" w:rsidP="006C41C4">
      <w:pPr>
        <w:snapToGrid/>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De renforcer la Décennie au sein de la famille onusienne ;</w:t>
      </w:r>
    </w:p>
    <w:p w14:paraId="2CA69356" w14:textId="77777777" w:rsidR="006C41C4" w:rsidRPr="00AE71B5" w:rsidRDefault="006C41C4" w:rsidP="006C41C4">
      <w:pPr>
        <w:snapToGrid/>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D’accroître son rôle pour aider à la prise de décision ;</w:t>
      </w:r>
    </w:p>
    <w:p w14:paraId="0D6F2489" w14:textId="77777777" w:rsidR="006C41C4" w:rsidRPr="00AE71B5" w:rsidRDefault="006C41C4" w:rsidP="006C41C4">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Et enfin de construire dès à présent l’héritage de la Décennie.</w:t>
      </w:r>
    </w:p>
    <w:p w14:paraId="7BD94A85"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Pour ce faire, la résolution prévoit le renouvellement du Comité consultatif (Decade Advisory Board) pour la période 2026–2027. Ce comité, composé de 15 experts issus de divers horizons géographiques et disciplinaires, joue un rôle stratégique en fournissant des conseils sur l'orientation de la Décennie et en évaluant les actions entreprises. Le renouvellement de ses membres garantira la continuité et l'efficacité de ses travaux.</w:t>
      </w:r>
    </w:p>
    <w:p w14:paraId="5A0CDDB4"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résolution propose enfin la mise en place d'une phase pilote du International PLATFORM for </w:t>
      </w:r>
      <w:proofErr w:type="spellStart"/>
      <w:r w:rsidRPr="00AE71B5">
        <w:rPr>
          <w:rFonts w:ascii="Arial" w:eastAsia="Simsun (Founder Extended)" w:hAnsi="Arial" w:cs="Arial"/>
          <w:snapToGrid/>
          <w:sz w:val="22"/>
          <w:szCs w:val="22"/>
          <w:lang w:val="fr-FR"/>
        </w:rPr>
        <w:t>ocean</w:t>
      </w:r>
      <w:proofErr w:type="spellEnd"/>
      <w:r w:rsidRPr="00AE71B5">
        <w:rPr>
          <w:rFonts w:ascii="Arial" w:eastAsia="Simsun (Founder Extended)" w:hAnsi="Arial" w:cs="Arial"/>
          <w:snapToGrid/>
          <w:sz w:val="22"/>
          <w:szCs w:val="22"/>
          <w:lang w:val="fr-FR"/>
        </w:rPr>
        <w:t xml:space="preserve"> </w:t>
      </w:r>
      <w:proofErr w:type="spellStart"/>
      <w:r w:rsidRPr="00AE71B5">
        <w:rPr>
          <w:rFonts w:ascii="Arial" w:eastAsia="Simsun (Founder Extended)" w:hAnsi="Arial" w:cs="Arial"/>
          <w:snapToGrid/>
          <w:sz w:val="22"/>
          <w:szCs w:val="22"/>
          <w:lang w:val="fr-FR"/>
        </w:rPr>
        <w:t>sustainability</w:t>
      </w:r>
      <w:proofErr w:type="spellEnd"/>
      <w:r w:rsidRPr="00AE71B5">
        <w:rPr>
          <w:rFonts w:ascii="Arial" w:eastAsia="Simsun (Founder Extended)" w:hAnsi="Arial" w:cs="Arial"/>
          <w:snapToGrid/>
          <w:sz w:val="22"/>
          <w:szCs w:val="22"/>
          <w:lang w:val="fr-FR"/>
        </w:rPr>
        <w:t xml:space="preserve"> (IPOS) et ce, jusqu'en juin 2027, sous réserve de la mobilisation de financements extrabudgétaires.</w:t>
      </w:r>
    </w:p>
    <w:p w14:paraId="3AA2394D"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lastRenderedPageBreak/>
        <w:t>Cette phase pilote permettra de tester et d'affiner les mécanismes de coordination et de collecte de données océaniques. Elle fera également l’objet d’un rapport sur ses avancées lors de la 59ème session du Conseil exécutif.</w:t>
      </w:r>
    </w:p>
    <w:p w14:paraId="7C7D22EC"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Ainsi ce projet bénéficiera du temps nécessaire pour arriver à maturation et pour que nous puissions prendre une décision éclairée. </w:t>
      </w:r>
    </w:p>
    <w:p w14:paraId="67B1C3C6" w14:textId="77777777" w:rsidR="006C41C4" w:rsidRPr="00AE71B5" w:rsidRDefault="006C41C4" w:rsidP="006C41C4">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En conclusion, cette résolution vise à renforcer la structure et l'efficacité de la Décennie des Nations Unies pour les sciences océaniques, en s'appuyant sur des évaluations rigoureuses, une gouvernance renouvelée et des initiatives pilotes innovantes. Nous invitons les États membres à soutenir celle-ci pour assurer le succès continu de la Décennie et la réalisation de ses objectifs ambitieux.</w:t>
      </w:r>
    </w:p>
    <w:p w14:paraId="29B06F81" w14:textId="77777777" w:rsidR="006C41C4" w:rsidRPr="00E647B1" w:rsidRDefault="006C41C4" w:rsidP="006C41C4">
      <w:pPr>
        <w:keepNext/>
        <w:snapToGrid/>
        <w:spacing w:after="120"/>
        <w:jc w:val="both"/>
        <w:rPr>
          <w:rFonts w:ascii="Arial" w:hAnsi="Arial" w:cs="Arial"/>
          <w:b/>
          <w:sz w:val="22"/>
          <w:szCs w:val="22"/>
          <w:lang w:val="en-US"/>
        </w:rPr>
      </w:pPr>
      <w:bookmarkStart w:id="575" w:name="norw48"/>
      <w:r w:rsidRPr="00E647B1">
        <w:rPr>
          <w:rFonts w:ascii="Arial" w:hAnsi="Arial" w:cs="Arial"/>
          <w:b/>
          <w:sz w:val="22"/>
          <w:szCs w:val="22"/>
          <w:lang w:val="en-US"/>
        </w:rPr>
        <w:t>Norway</w:t>
      </w:r>
    </w:p>
    <w:bookmarkEnd w:id="575"/>
    <w:p w14:paraId="70B262E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found the mid-term evaluation both insightful and well-presented. We are pleased to note that we recognize and support its findings.</w:t>
      </w:r>
    </w:p>
    <w:p w14:paraId="06893D38"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Norway shares the view expressed by the Executive Secretary in his introduction, emphasizing the importance of increasing investment and engagement in the UN Ocean Decade as it enters its final five years. To fully realize the potential built up so far, we all need to invest time and resources in the Decade. </w:t>
      </w:r>
    </w:p>
    <w:p w14:paraId="59FE463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evaluation highlights that the Ocean Decade has made significant progress in its first half, building a solid foundation to deliver its outcomes. We now need to move forwards into a more action-oriented phase together.</w:t>
      </w:r>
    </w:p>
    <w:p w14:paraId="0AD880A7"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While the recommendations do not explicitly call for financial contributions from member states, we believe that strengthening the secretariat will make it better equipped to implement several of the recommendations effectively. </w:t>
      </w:r>
    </w:p>
    <w:p w14:paraId="2ECC43E3"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Ocean Decade is of course not a financing </w:t>
      </w:r>
      <w:proofErr w:type="gramStart"/>
      <w:r w:rsidRPr="00AE71B5">
        <w:rPr>
          <w:rFonts w:ascii="Arial" w:eastAsia="Simsun (Founder Extended)" w:hAnsi="Arial" w:cs="Arial"/>
          <w:snapToGrid/>
          <w:sz w:val="22"/>
          <w:szCs w:val="22"/>
          <w:lang w:val="en-US"/>
        </w:rPr>
        <w:t>mechanism in itself</w:t>
      </w:r>
      <w:proofErr w:type="gramEnd"/>
      <w:r w:rsidRPr="00AE71B5">
        <w:rPr>
          <w:rFonts w:ascii="Arial" w:eastAsia="Simsun (Founder Extended)" w:hAnsi="Arial" w:cs="Arial"/>
          <w:snapToGrid/>
          <w:sz w:val="22"/>
          <w:szCs w:val="22"/>
          <w:lang w:val="en-US"/>
        </w:rPr>
        <w:t xml:space="preserve">. We would like to underscore the importance of making use of other relevant mechanisms. Horizon Europe is one such example; Belmont Forum is another. Norway has contributed to Belmont Forum’s Oceans 2 Call – and there is still an opportunity for partners to provide financial support to this initiative. </w:t>
      </w:r>
    </w:p>
    <w:p w14:paraId="6D551E4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Norway has a large private ocean sector, yet few companies are currently engaged in the Ocean Decade. </w:t>
      </w:r>
      <w:proofErr w:type="gramStart"/>
      <w:r w:rsidRPr="00AE71B5">
        <w:rPr>
          <w:rFonts w:ascii="Arial" w:eastAsia="Simsun (Founder Extended)" w:hAnsi="Arial" w:cs="Arial"/>
          <w:snapToGrid/>
          <w:sz w:val="22"/>
          <w:szCs w:val="22"/>
          <w:lang w:val="en-US"/>
        </w:rPr>
        <w:t>Many Norwegian ocean</w:t>
      </w:r>
      <w:proofErr w:type="gramEnd"/>
      <w:r w:rsidRPr="00AE71B5">
        <w:rPr>
          <w:rFonts w:ascii="Arial" w:eastAsia="Simsun (Founder Extended)" w:hAnsi="Arial" w:cs="Arial"/>
          <w:snapToGrid/>
          <w:sz w:val="22"/>
          <w:szCs w:val="22"/>
          <w:lang w:val="en-US"/>
        </w:rPr>
        <w:t xml:space="preserve"> businesses perceive the Decade as not directly relevant to them and find the process of engagement challenging and time-consuming. Enhancing private sector involvement could be a key next step.</w:t>
      </w:r>
    </w:p>
    <w:p w14:paraId="75784AB5"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we view the Ocean Decade as a platform for upholding the values of free and independent research. With academic freedom under increasing pressure globally, the Ocean Decade may have a vital role to play.</w:t>
      </w:r>
    </w:p>
    <w:p w14:paraId="22D700C2" w14:textId="77777777" w:rsidR="006C41C4" w:rsidRPr="00E647B1" w:rsidRDefault="006C41C4" w:rsidP="006C41C4">
      <w:pPr>
        <w:keepNext/>
        <w:snapToGrid/>
        <w:spacing w:after="120"/>
        <w:jc w:val="both"/>
        <w:rPr>
          <w:rFonts w:ascii="Arial" w:hAnsi="Arial" w:cs="Arial"/>
          <w:b/>
          <w:sz w:val="22"/>
          <w:szCs w:val="22"/>
          <w:lang w:val="en-US"/>
        </w:rPr>
      </w:pPr>
      <w:bookmarkStart w:id="576" w:name="port48"/>
      <w:r w:rsidRPr="00E647B1">
        <w:rPr>
          <w:rFonts w:ascii="Arial" w:hAnsi="Arial" w:cs="Arial"/>
          <w:b/>
          <w:sz w:val="22"/>
          <w:szCs w:val="22"/>
          <w:lang w:val="en-US"/>
        </w:rPr>
        <w:t>Portugal</w:t>
      </w:r>
    </w:p>
    <w:bookmarkEnd w:id="576"/>
    <w:p w14:paraId="2D44E7D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thanks Julian Barbière for the comprehensive report presented on achievements and future vision of the UN Decade of Ocean Science for Sustainable Development, activities, and congratulates the IOC, and in particular the Ocean Decade coordination unit and bodies, for the outstanding leadership of this initiative. It has proven to be the largest initiative ever undertaken concerning the Ocean, 50 years after the most successful Decade of Ocean Exploration. We also appreciate the way the mid-term evaluation was carried out as well as its recommendations.</w:t>
      </w:r>
    </w:p>
    <w:p w14:paraId="477E38D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is fully committed to the Ocean Decade, through its National Ocean Decade Committee that is promoting and coordinating the participation and contributions from all sectors of society, namely through its forum of stakeholders with more than 60 entities.</w:t>
      </w:r>
    </w:p>
    <w:p w14:paraId="5058140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concerns the Draft Resolution proposed by Monaco, we believe that the possible integration of IPOS within IOC needs to be properly discussed and assessed, including its administrative and financial implications for the future, in case specific extra-budget funding for this purpose is made available.</w:t>
      </w:r>
    </w:p>
    <w:p w14:paraId="5E05550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would also like to inform that we will be promoting in December this year an international </w:t>
      </w:r>
      <w:proofErr w:type="gramStart"/>
      <w:r w:rsidRPr="00AE71B5">
        <w:rPr>
          <w:rFonts w:ascii="Arial" w:eastAsia="Simsun (Founder Extended)" w:hAnsi="Arial" w:cs="Arial"/>
          <w:snapToGrid/>
          <w:sz w:val="22"/>
          <w:szCs w:val="22"/>
        </w:rPr>
        <w:t>2 day</w:t>
      </w:r>
      <w:proofErr w:type="gramEnd"/>
      <w:r w:rsidRPr="00AE71B5">
        <w:rPr>
          <w:rFonts w:ascii="Arial" w:eastAsia="Simsun (Founder Extended)" w:hAnsi="Arial" w:cs="Arial"/>
          <w:snapToGrid/>
          <w:sz w:val="22"/>
          <w:szCs w:val="22"/>
        </w:rPr>
        <w:t xml:space="preserve"> meeting on Ocean and Human Health for which we would like to invite other national decade committees to join and therefore all of those interested in joining this venture and participating are most welcome.</w:t>
      </w:r>
    </w:p>
    <w:p w14:paraId="0D9B59B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Finally, we would like to thank </w:t>
      </w:r>
      <w:proofErr w:type="spellStart"/>
      <w:r w:rsidRPr="00AE71B5">
        <w:rPr>
          <w:rFonts w:ascii="Arial" w:eastAsia="Simsun (Founder Extended)" w:hAnsi="Arial" w:cs="Arial"/>
          <w:snapToGrid/>
          <w:sz w:val="22"/>
          <w:szCs w:val="22"/>
        </w:rPr>
        <w:t>Brasil</w:t>
      </w:r>
      <w:proofErr w:type="spellEnd"/>
      <w:r w:rsidRPr="00AE71B5">
        <w:rPr>
          <w:rFonts w:ascii="Arial" w:eastAsia="Simsun (Founder Extended)" w:hAnsi="Arial" w:cs="Arial"/>
          <w:snapToGrid/>
          <w:sz w:val="22"/>
          <w:szCs w:val="22"/>
        </w:rPr>
        <w:t xml:space="preserve"> for hosting the next Ocean Decade Conference in Rio de Janeiro, which I am sure will be a success.</w:t>
      </w:r>
    </w:p>
    <w:p w14:paraId="1BCC899C" w14:textId="77777777" w:rsidR="006C41C4" w:rsidRPr="00E647B1" w:rsidRDefault="006C41C4" w:rsidP="006C41C4">
      <w:pPr>
        <w:keepNext/>
        <w:snapToGrid/>
        <w:spacing w:after="120"/>
        <w:jc w:val="both"/>
        <w:rPr>
          <w:rFonts w:ascii="Arial" w:hAnsi="Arial" w:cs="Arial"/>
          <w:b/>
          <w:sz w:val="22"/>
          <w:szCs w:val="22"/>
          <w:lang w:val="en-US"/>
        </w:rPr>
      </w:pPr>
      <w:bookmarkStart w:id="577" w:name="rok48"/>
      <w:r w:rsidRPr="00E647B1">
        <w:rPr>
          <w:rFonts w:ascii="Arial" w:hAnsi="Arial" w:cs="Arial"/>
          <w:b/>
          <w:sz w:val="22"/>
          <w:szCs w:val="22"/>
          <w:lang w:val="en-US"/>
        </w:rPr>
        <w:t xml:space="preserve">Republic of Korea </w:t>
      </w:r>
    </w:p>
    <w:bookmarkEnd w:id="577"/>
    <w:p w14:paraId="10C7E2E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Republic of Korea sincerely congratulate Brazil on hosting the 2027 Ocean Decade Conference.</w:t>
      </w:r>
    </w:p>
    <w:p w14:paraId="5F5807A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Korea has been actively supporting the UN Ocean Decade from the planning stage, utilizing the UN Ocean Decade Special Account and UNESCO Funds-in-Trust. Since 2021, Korea has been actively participating as a member of the UN Ocean Decade Alliance as well.</w:t>
      </w:r>
    </w:p>
    <w:p w14:paraId="4F2ADF7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To systematically contribute to the implementation of the Decade, Korea established its National Decade Committee (NDC) at an early stage. The Committee consists of 14 experts from diverse backgrounds, offering strategic advice on Korea’s Ocean Decade actions and ensuring alignment with the Decade’s global vision.</w:t>
      </w:r>
    </w:p>
    <w:p w14:paraId="3ACCE3B4"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of 2025, eight Korean-led Decade Projects have received official endorsement and are currently under implementation. We continue to promote active participation by Korean marine scientists and academic institutions in Decade-related research and programmes. The republic of Korea remains committed to further advancing the goals of the Ocean Decade in close cooperation with the IOC and the international community.</w:t>
      </w:r>
    </w:p>
    <w:p w14:paraId="61483EB0" w14:textId="77777777" w:rsidR="006C41C4" w:rsidRPr="0092772B" w:rsidRDefault="006C41C4" w:rsidP="006C41C4">
      <w:pPr>
        <w:keepNext/>
        <w:snapToGrid/>
        <w:spacing w:after="120"/>
        <w:jc w:val="both"/>
        <w:rPr>
          <w:rFonts w:ascii="Arial" w:hAnsi="Arial" w:cs="Arial"/>
          <w:b/>
          <w:sz w:val="22"/>
          <w:szCs w:val="22"/>
          <w:lang w:val="en-US"/>
        </w:rPr>
      </w:pPr>
      <w:bookmarkStart w:id="578" w:name="rus48"/>
      <w:r w:rsidRPr="0092772B">
        <w:rPr>
          <w:rFonts w:ascii="Arial" w:hAnsi="Arial" w:cs="Arial"/>
          <w:b/>
          <w:sz w:val="22"/>
          <w:szCs w:val="22"/>
          <w:lang w:val="en-US"/>
        </w:rPr>
        <w:t xml:space="preserve">Russian Federation </w:t>
      </w:r>
    </w:p>
    <w:bookmarkEnd w:id="578"/>
    <w:p w14:paraId="2B99DF0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Russian Federation notes and approves the progress report on the implementation of the Ocean Decade. Russia operates a national committee that coordinates the execution of projects and participation in Decade </w:t>
      </w:r>
      <w:proofErr w:type="gramStart"/>
      <w:r w:rsidRPr="00AE71B5">
        <w:rPr>
          <w:rFonts w:ascii="Arial" w:eastAsia="Simsun (Founder Extended)" w:hAnsi="Arial" w:cs="Arial"/>
          <w:snapToGrid/>
          <w:sz w:val="22"/>
          <w:szCs w:val="22"/>
        </w:rPr>
        <w:t>programmes, and</w:t>
      </w:r>
      <w:proofErr w:type="gramEnd"/>
      <w:r w:rsidRPr="00AE71B5">
        <w:rPr>
          <w:rFonts w:ascii="Arial" w:eastAsia="Simsun (Founder Extended)" w:hAnsi="Arial" w:cs="Arial"/>
          <w:snapToGrid/>
          <w:sz w:val="22"/>
          <w:szCs w:val="22"/>
        </w:rPr>
        <w:t xml:space="preserve"> interacts with other national committees of Member States.</w:t>
      </w:r>
    </w:p>
    <w:p w14:paraId="490DB10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inform the meeting participants about the successful implementation of the national plan, "Goals and Key Directions of Action for the Ocean Decade in the Russian Federation," in accordance with which we provide annual reports, publish scientific, popular, and other materials, and conduct international marine expeditions.</w:t>
      </w:r>
    </w:p>
    <w:p w14:paraId="2D4D878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have established the platform “Marine Scientific Research” (https://ocean-and-we.ru), which hosts the dedicated portal “UN Decade of Ocean Science”, featuring information and updates on the Decade’s progress both globally and within the Russian Federation. Furthermore, a section dedicated to the Russian National Committee for the Ocean Decade is maintained on the international Decade Forum platform (https://forum.oceandecade.org/topics/36411/home), serving as a tool for sharing national activities and fostering international dialogue and collaboration.</w:t>
      </w:r>
    </w:p>
    <w:p w14:paraId="1255170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wish to inform you that, during 2024-2025, the Russian Federation is conducting joint research with Morocco, Mauritania, Guinea-Bissau, Guinea, Sierra Leone, and Mozambique on the oceanographic conditions of fish habitats off the coast of Africa. This project marks a historic first and has yielded highly interesting results. We invite representatives of scientists from other countries in the region to cooperate.</w:t>
      </w:r>
    </w:p>
    <w:p w14:paraId="6561C20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report the successful hosting of the annual scientific and practical conference with international participation, "Russia in the UN Decade of Ocean Sciences: Resources and Knowledge," held in November 2024 in Moscow. The conference also discussed issues related to the "Vision 2030" process as applied to the conditions of the Russian Federation.</w:t>
      </w:r>
    </w:p>
    <w:p w14:paraId="725DA03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Currently, preparations are underway for the next conference, scheduled for November 2025 in Moscow, with the option of online participation. We invite all interested Member States to participate and plan to take part in the activities of our colleagues. We particularly welcome and congratulate everyone on the upcoming Ocean Decade conference in Brazil in 2027.</w:t>
      </w:r>
    </w:p>
    <w:p w14:paraId="0CD87317" w14:textId="77777777" w:rsidR="006C41C4" w:rsidRPr="0092772B" w:rsidRDefault="006C41C4" w:rsidP="006C41C4">
      <w:pPr>
        <w:keepNext/>
        <w:snapToGrid/>
        <w:spacing w:after="120"/>
        <w:jc w:val="both"/>
        <w:rPr>
          <w:rFonts w:ascii="Arial" w:hAnsi="Arial" w:cs="Arial"/>
          <w:b/>
          <w:sz w:val="22"/>
          <w:szCs w:val="22"/>
          <w:lang w:val="en-US"/>
        </w:rPr>
      </w:pPr>
      <w:bookmarkStart w:id="579" w:name="sa48"/>
      <w:r w:rsidRPr="0092772B">
        <w:rPr>
          <w:rFonts w:ascii="Arial" w:hAnsi="Arial" w:cs="Arial"/>
          <w:b/>
          <w:sz w:val="22"/>
          <w:szCs w:val="22"/>
          <w:lang w:val="en-US"/>
        </w:rPr>
        <w:lastRenderedPageBreak/>
        <w:t>South Africa</w:t>
      </w:r>
    </w:p>
    <w:bookmarkEnd w:id="579"/>
    <w:p w14:paraId="66C3FED0"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hAnsi="Arial" w:cs="Arial"/>
          <w:sz w:val="22"/>
          <w:szCs w:val="22"/>
          <w:lang w:val="en-US"/>
        </w:rPr>
        <w:t xml:space="preserve">South Africa wishes to join other delegates in commending MR Julian Barbiere for the presentation on the achievements of the mid-term report of the Ocean Decade. The </w:t>
      </w:r>
      <w:proofErr w:type="gramStart"/>
      <w:r w:rsidRPr="00AE71B5">
        <w:rPr>
          <w:rFonts w:ascii="Arial" w:hAnsi="Arial" w:cs="Arial"/>
          <w:sz w:val="22"/>
          <w:szCs w:val="22"/>
          <w:lang w:val="en-US"/>
        </w:rPr>
        <w:t>manner in which</w:t>
      </w:r>
      <w:proofErr w:type="gramEnd"/>
      <w:r w:rsidRPr="00AE71B5">
        <w:rPr>
          <w:rFonts w:ascii="Arial" w:hAnsi="Arial" w:cs="Arial"/>
          <w:sz w:val="22"/>
          <w:szCs w:val="22"/>
          <w:lang w:val="en-US"/>
        </w:rPr>
        <w:t xml:space="preserve"> it has implemented its plans is commendable, we believe that the </w:t>
      </w:r>
      <w:proofErr w:type="gramStart"/>
      <w:r w:rsidRPr="00AE71B5">
        <w:rPr>
          <w:rFonts w:ascii="Arial" w:hAnsi="Arial" w:cs="Arial"/>
          <w:sz w:val="22"/>
          <w:szCs w:val="22"/>
          <w:lang w:val="en-US"/>
        </w:rPr>
        <w:t>future plans</w:t>
      </w:r>
      <w:proofErr w:type="gramEnd"/>
      <w:r w:rsidRPr="00AE71B5">
        <w:rPr>
          <w:rFonts w:ascii="Arial" w:hAnsi="Arial" w:cs="Arial"/>
          <w:sz w:val="22"/>
          <w:szCs w:val="22"/>
          <w:lang w:val="en-US"/>
        </w:rPr>
        <w:t xml:space="preserve"> will be executed in a similar manner. To achieve its </w:t>
      </w:r>
      <w:proofErr w:type="gramStart"/>
      <w:r w:rsidRPr="00AE71B5">
        <w:rPr>
          <w:rFonts w:ascii="Arial" w:hAnsi="Arial" w:cs="Arial"/>
          <w:sz w:val="22"/>
          <w:szCs w:val="22"/>
          <w:lang w:val="en-US"/>
        </w:rPr>
        <w:t>future plans</w:t>
      </w:r>
      <w:proofErr w:type="gramEnd"/>
      <w:r w:rsidRPr="00AE71B5">
        <w:rPr>
          <w:rFonts w:ascii="Arial" w:hAnsi="Arial" w:cs="Arial"/>
          <w:sz w:val="22"/>
          <w:szCs w:val="22"/>
          <w:lang w:val="en-US"/>
        </w:rPr>
        <w:t xml:space="preserve"> the Ocean Decade will require the support of all Member States and partners, and South Africa affirms its support in this regard.  South Africa wishes to highlight that the IOCAFRICA’s secretariat </w:t>
      </w:r>
      <w:r w:rsidRPr="00AE71B5">
        <w:rPr>
          <w:rFonts w:ascii="Arial" w:hAnsi="Arial" w:cs="Arial"/>
          <w:bCs/>
          <w:sz w:val="22"/>
          <w:szCs w:val="22"/>
          <w:lang w:val="en-US"/>
        </w:rPr>
        <w:t>also serves as the Ocean Decade's Regional Coordination Office for the Africa region which includes the Adjacent Island States</w:t>
      </w:r>
      <w:r w:rsidRPr="00AE71B5">
        <w:rPr>
          <w:rFonts w:ascii="Arial" w:hAnsi="Arial" w:cs="Arial"/>
          <w:sz w:val="22"/>
          <w:szCs w:val="22"/>
          <w:lang w:val="en-US"/>
        </w:rPr>
        <w:t>, South Africa appreciates the efforts undertaken to ensure that the IOCAFRICA Secretariat is appropriately staffed to ensure the success of implementation of the Ocean Decade and the Ocean Decade Africa Roadmap. South Africa wishes to congratulate Brazil as a host for the 2027 Ocean Decade Conference and believes that they will host a successful conference.</w:t>
      </w:r>
    </w:p>
    <w:p w14:paraId="08135A04" w14:textId="77777777" w:rsidR="006C41C4" w:rsidRPr="00AE71B5" w:rsidRDefault="006C41C4" w:rsidP="006C41C4">
      <w:pPr>
        <w:keepNext/>
        <w:snapToGrid/>
        <w:spacing w:after="120"/>
        <w:jc w:val="both"/>
        <w:rPr>
          <w:rFonts w:ascii="Arial" w:hAnsi="Arial" w:cs="Arial"/>
          <w:b/>
          <w:sz w:val="22"/>
          <w:szCs w:val="22"/>
          <w:lang w:val="es-ES"/>
        </w:rPr>
      </w:pPr>
      <w:bookmarkStart w:id="580" w:name="spain48"/>
      <w:proofErr w:type="spellStart"/>
      <w:r w:rsidRPr="00AE71B5">
        <w:rPr>
          <w:rFonts w:ascii="Arial" w:hAnsi="Arial" w:cs="Arial"/>
          <w:b/>
          <w:sz w:val="22"/>
          <w:szCs w:val="22"/>
          <w:lang w:val="es-ES"/>
        </w:rPr>
        <w:t>Spain</w:t>
      </w:r>
      <w:proofErr w:type="spellEnd"/>
    </w:p>
    <w:bookmarkEnd w:id="580"/>
    <w:p w14:paraId="697106DE"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primer lugar, nuestra más sincera enhorabuena a Brasil y a la ciudad de Río de Janeiro por haber sido seleccionados para albergar la próxima Conferencia de la Década.</w:t>
      </w:r>
    </w:p>
    <w:p w14:paraId="3021746D"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Agradecemos sinceramente la presentación y el informe presentados por el Señor Julian </w:t>
      </w:r>
      <w:proofErr w:type="spellStart"/>
      <w:r w:rsidRPr="00AE71B5">
        <w:rPr>
          <w:rFonts w:ascii="Arial" w:eastAsia="Simsun (Founder Extended)" w:hAnsi="Arial" w:cs="Arial"/>
          <w:snapToGrid/>
          <w:sz w:val="22"/>
          <w:szCs w:val="22"/>
          <w:lang w:val="es-ES"/>
        </w:rPr>
        <w:t>Barbiere</w:t>
      </w:r>
      <w:proofErr w:type="spellEnd"/>
      <w:r w:rsidRPr="00AE71B5">
        <w:rPr>
          <w:rFonts w:ascii="Arial" w:eastAsia="Simsun (Founder Extended)" w:hAnsi="Arial" w:cs="Arial"/>
          <w:snapToGrid/>
          <w:sz w:val="22"/>
          <w:szCs w:val="22"/>
          <w:lang w:val="es-ES"/>
        </w:rPr>
        <w:t xml:space="preserve"> y España desea destacar su firme compromiso con Década de los Océanos y subrayar el papel activo que nuestro país en la implementación de actividades e iniciativas. De entre todas ellas queremos destacar, como ya hemos mencionado, la Conferencia del Decenio del Océano 2024 celebrada en Barcelona, que reunió a más de 2,600 participantes provenientes de 124 países. Tal como ya mencionamos en el Consejo Ejecutivo, expresar nuevamente nuestra máxima satisfacción por haber tenido la oportunidad de colaborar estrechamente con la Unidad de Coordinación de la Década y con la Secretaría de la COI en la organización de esta conferencia. Este foro internacional constituyó el corazón del debate científico y permitió definir prioridades globales en ciencia oceánica a través de los 10 libros blancos y la Declaración de Barcelona.</w:t>
      </w:r>
    </w:p>
    <w:p w14:paraId="0E7C4428"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propuesta recientemente aprobada del Centro Colaborador de la Década sobre Economía Oceánica Sostenible en esta misma </w:t>
      </w:r>
      <w:proofErr w:type="gramStart"/>
      <w:r w:rsidRPr="00AE71B5">
        <w:rPr>
          <w:rFonts w:ascii="Arial" w:eastAsia="Simsun (Founder Extended)" w:hAnsi="Arial" w:cs="Arial"/>
          <w:snapToGrid/>
          <w:sz w:val="22"/>
          <w:szCs w:val="22"/>
          <w:lang w:val="es-ES"/>
        </w:rPr>
        <w:t>ciudad,</w:t>
      </w:r>
      <w:proofErr w:type="gramEnd"/>
      <w:r w:rsidRPr="00AE71B5">
        <w:rPr>
          <w:rFonts w:ascii="Arial" w:eastAsia="Simsun (Founder Extended)" w:hAnsi="Arial" w:cs="Arial"/>
          <w:snapToGrid/>
          <w:sz w:val="22"/>
          <w:szCs w:val="22"/>
          <w:lang w:val="es-ES"/>
        </w:rPr>
        <w:t xml:space="preserve"> es a su vez nuestro compromiso más firme con el futuro de la Década, y nos satisface haber recibido durante esta asamblea el interés de varias delegaciones en colaborar con este CCD. Agradecemos al Ayuntamiento y al Puerto de Barcelona como patronos de la iniciativa, a la Fundación Barcelona Capital Náutica como oficina para el desarrollo del Centro Colaborador de la Década, así como reiterar el compromiso del Gobierno de España que ya manifestó nuestra </w:t>
      </w:r>
      <w:proofErr w:type="gramStart"/>
      <w:r w:rsidRPr="00AE71B5">
        <w:rPr>
          <w:rFonts w:ascii="Arial" w:eastAsia="Simsun (Founder Extended)" w:hAnsi="Arial" w:cs="Arial"/>
          <w:snapToGrid/>
          <w:sz w:val="22"/>
          <w:szCs w:val="22"/>
          <w:lang w:val="es-ES"/>
        </w:rPr>
        <w:t>Ministra</w:t>
      </w:r>
      <w:proofErr w:type="gramEnd"/>
      <w:r w:rsidRPr="00AE71B5">
        <w:rPr>
          <w:rFonts w:ascii="Arial" w:eastAsia="Simsun (Founder Extended)" w:hAnsi="Arial" w:cs="Arial"/>
          <w:snapToGrid/>
          <w:sz w:val="22"/>
          <w:szCs w:val="22"/>
          <w:lang w:val="es-ES"/>
        </w:rPr>
        <w:t xml:space="preserve"> de Ciencia, Innovación y Universidades durante la inauguración de la Conferencia del Decenio.</w:t>
      </w:r>
    </w:p>
    <w:p w14:paraId="504F5BBE"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Recibimos con satisfacción el informe de evaluación sobre las actividades del Decenio, que contiene numerosos elementos importantes sobre los que podemos mejorar para que el legado de la Década se vea reforzado. Por ejemplo, la necesidad de una mayor implicación de otras organizaciones de Naciones Unidas y de articular mecanismos de coordinación y de estructuración de las acciones y programas aprobados hasta la fecha, entendiendo que los Centro Colaborativos de la Década y las Oficinas de Coordinación de la Década han de ser los principales mecanismos para articular ese objetivo.</w:t>
      </w:r>
    </w:p>
    <w:p w14:paraId="0F7F5E1F"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coincide con Alemania en la necesidad de tener más detalles sobre la iniciativa IPOS y las potenciales consecuencias sobre la actividad de la COI, y agradece el establecimiento de un grupo de trabajo.</w:t>
      </w:r>
    </w:p>
    <w:p w14:paraId="244A736D" w14:textId="77777777" w:rsidR="006C41C4" w:rsidRPr="00AE71B5" w:rsidRDefault="006C41C4" w:rsidP="006C41C4">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reitera su voluntad de seguir colaborando activamente en el impulso, organización y ejecución de acciones de la Década que contribuyan al desarrollo sostenido de la ciencia oceánica, convencida de que solo a través del compromiso conjunto lograremos construir un legado duradero para las generaciones presentes y futuras.</w:t>
      </w:r>
    </w:p>
    <w:p w14:paraId="573ADDDC" w14:textId="77777777" w:rsidR="006C41C4" w:rsidRPr="00E647B1" w:rsidRDefault="006C41C4" w:rsidP="006C41C4">
      <w:pPr>
        <w:keepNext/>
        <w:snapToGrid/>
        <w:spacing w:after="120"/>
        <w:jc w:val="both"/>
        <w:rPr>
          <w:rFonts w:ascii="Arial" w:hAnsi="Arial" w:cs="Arial"/>
          <w:b/>
          <w:sz w:val="22"/>
          <w:szCs w:val="22"/>
          <w:lang w:val="en-US"/>
        </w:rPr>
      </w:pPr>
      <w:bookmarkStart w:id="581" w:name="thai48"/>
      <w:r w:rsidRPr="00E647B1">
        <w:rPr>
          <w:rFonts w:ascii="Arial" w:hAnsi="Arial" w:cs="Arial"/>
          <w:b/>
          <w:sz w:val="22"/>
          <w:szCs w:val="22"/>
          <w:lang w:val="en-US"/>
        </w:rPr>
        <w:lastRenderedPageBreak/>
        <w:t>Thailand</w:t>
      </w:r>
    </w:p>
    <w:bookmarkEnd w:id="581"/>
    <w:p w14:paraId="085E22C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welcomes the report on the UN Ocean Decade, and commends the Executive Secretary, IOC Secretariat, Decade Coordination Unit, and Advisory Board for their leadership and the inclusive mid-term review process.</w:t>
      </w:r>
    </w:p>
    <w:p w14:paraId="1E690EA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join previous Member states to congratulate Brazil as the host of the 2027 Ocean Decade Conference.</w:t>
      </w:r>
    </w:p>
    <w:p w14:paraId="3F64C94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has contributed to the Decade through the IOC and its Regional Sub-Commission for the Western Pacific. We appreciate the continued support from both the IOC and WESTPAC, especially their recent collaboration in organizing Thailand’s side event at UNOC3.</w:t>
      </w:r>
    </w:p>
    <w:p w14:paraId="188A9F1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At national level, Thailand has established a National Decade Committee, which—although still in its early stages—serves as a valuable coordination platform. </w:t>
      </w:r>
    </w:p>
    <w:p w14:paraId="1906A16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Just last week, we co-organized the National Marine Science Conference with strong support from academia, the Marine Science Association of Thailand, the private sector, and local partners. </w:t>
      </w:r>
    </w:p>
    <w:p w14:paraId="2E69E68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event successfully served as a platform for inclusive engagement across generations and disciplines—bringing together scientists, students, policymakers, and practitioners to exchange knowledge and ideas.</w:t>
      </w:r>
    </w:p>
    <w:p w14:paraId="2FBD65D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supports the recommendations to promote inclusivity, strengthen the science-policy interface, and ensure balanced regional participation. </w:t>
      </w:r>
    </w:p>
    <w:p w14:paraId="0FF7D32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emphasize the urgency of enhancing the WESTPAC Office, which also serves as the Decade Coordination Office for the Western Pacific, to ensure this dual role becomes fully operational and responsive to regional needs. </w:t>
      </w:r>
    </w:p>
    <w:p w14:paraId="316D2D6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reaffirms its strong commitment to the Decade’s vision and remain ready to work with all partners to achieve lasting and meaningful impact.</w:t>
      </w:r>
    </w:p>
    <w:p w14:paraId="4474A4C2" w14:textId="77777777" w:rsidR="006C41C4" w:rsidRPr="00E647B1" w:rsidRDefault="006C41C4" w:rsidP="006C41C4">
      <w:pPr>
        <w:keepNext/>
        <w:snapToGrid/>
        <w:spacing w:after="120"/>
        <w:jc w:val="both"/>
        <w:rPr>
          <w:rFonts w:ascii="Arial" w:hAnsi="Arial" w:cs="Arial"/>
          <w:b/>
          <w:sz w:val="22"/>
          <w:szCs w:val="22"/>
          <w:lang w:val="en-US"/>
        </w:rPr>
      </w:pPr>
      <w:bookmarkStart w:id="582" w:name="turk48"/>
      <w:r w:rsidRPr="00E647B1">
        <w:rPr>
          <w:rFonts w:ascii="Arial" w:hAnsi="Arial" w:cs="Arial"/>
          <w:b/>
          <w:sz w:val="22"/>
          <w:szCs w:val="22"/>
          <w:lang w:val="en-US"/>
        </w:rPr>
        <w:t>Türkiye</w:t>
      </w:r>
    </w:p>
    <w:bookmarkEnd w:id="582"/>
    <w:p w14:paraId="49E1917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want to congratulate Brazil for hosting the Ocean Decade Conference in 2027. </w:t>
      </w:r>
    </w:p>
    <w:p w14:paraId="6D96B77B"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believe that the National Decade Committee is one of the key elements for the Ocean Decade.  Our National Decade Committee is drawn from universities, ministries, non-governmental organizations and it takes the lead in motivating and engaging experts. </w:t>
      </w:r>
    </w:p>
    <w:p w14:paraId="4A09D26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Last two years remarkable efforts and accomplishments are recorded, we coordinated and attended many activities, workshops, capacity building activities regarding Ocean Decade. </w:t>
      </w:r>
    </w:p>
    <w:p w14:paraId="75DAC3C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first point we would like to make is that an international conference on “Türkiye’s Contributions to UN Decade of Ocean Science” that was hosted by Middle East Technical University in September 2023 was a critical moment in the implementation of Ocean Decade to reach the broader social community. </w:t>
      </w:r>
    </w:p>
    <w:p w14:paraId="64950F11"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Secondly, our existing national strategy document was updated with respect to new terms and approaches of blue economy, ocean decade aims and marine pollution.</w:t>
      </w:r>
    </w:p>
    <w:p w14:paraId="456FE98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organized a painting competition at three categories in primary, middle, and high schools. For ocean observations and ocean monitoring, the Integrated Marine Pollution Monitoring Program has been carried out and this program consists of large monitoring network of 425 (four hundred twenty-five) stations covering Marmara Sea, Mediterranean Sea, Aegean Sea, and Black Sea. </w:t>
      </w:r>
    </w:p>
    <w:p w14:paraId="715DA3A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would like to mention the proposal for the International Platform for Ocean Sustainability (IPOS) and Options for Future Role Of IOC. We appreciate efforts related to ocean science. However, we would like to point out that unfortunately we did not have enough time to examine this proposal with all the details. </w:t>
      </w:r>
    </w:p>
    <w:p w14:paraId="305CE4F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The dedicated working group is still working on the draft resolution. We are waiting for the results of that working group. Our suggestion is that to get good reasonable results, we should do feasibility studies and then take a further step on that. </w:t>
      </w:r>
    </w:p>
    <w:p w14:paraId="76C8855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Lastly, for international level, we would like to highlight that IOC Member States should continue to promote collaboration for projects and activities.</w:t>
      </w:r>
    </w:p>
    <w:p w14:paraId="05B10C04" w14:textId="77777777" w:rsidR="006C41C4" w:rsidRPr="00E647B1" w:rsidRDefault="006C41C4" w:rsidP="006C41C4">
      <w:pPr>
        <w:keepNext/>
        <w:snapToGrid/>
        <w:spacing w:after="120"/>
        <w:jc w:val="both"/>
        <w:rPr>
          <w:rFonts w:ascii="Arial" w:hAnsi="Arial" w:cs="Arial"/>
          <w:b/>
          <w:sz w:val="22"/>
          <w:szCs w:val="22"/>
          <w:lang w:val="en-US"/>
        </w:rPr>
      </w:pPr>
      <w:bookmarkStart w:id="583" w:name="uk48"/>
      <w:r w:rsidRPr="00E647B1">
        <w:rPr>
          <w:rFonts w:ascii="Arial" w:hAnsi="Arial" w:cs="Arial"/>
          <w:b/>
          <w:sz w:val="22"/>
          <w:szCs w:val="22"/>
          <w:lang w:val="en-US"/>
        </w:rPr>
        <w:t xml:space="preserve">United Kingdom of Great Britain and Northern Ireland </w:t>
      </w:r>
    </w:p>
    <w:bookmarkEnd w:id="583"/>
    <w:p w14:paraId="7426B70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would also like to thank Brazil for hosting the next UN Decade Conference, and we look forward to participating.</w:t>
      </w:r>
    </w:p>
    <w:p w14:paraId="0C47EBD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UK are significant partners in many UN Decade activities, and the successes and many positives of the UN Decade for Ocean Science have been well-articulated in the mid-term review. The profile of the Decade has escalated ocean science beyond where it was before and has created an energy and momentum that is great to see. That energy and momentum, however, come with challenges as the Decade has grown.</w:t>
      </w:r>
    </w:p>
    <w:p w14:paraId="3E2EA95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mid-term evaluation which, as one would expect, highlighted some issues. Some of these were also identified by the IOS Evaluation in 2022 and remain unresolved. In particular, the UK has long advocated for greater inclusion of other UN Agencies than present. We welcome the words from Monaco around the wider involvement of other UN Agencies.</w:t>
      </w:r>
    </w:p>
    <w:p w14:paraId="1F231E1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a report into this issue that was commissioned by the DCU and due to be completed initially by Q2 of 2023, then postponed until Q2 of 2024, but has not yet been released.  </w:t>
      </w:r>
    </w:p>
    <w:p w14:paraId="2146F82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Mindful of the proposal to include more UN Agencies on the Decade Advisory Board, we would once again like to re-iterate that inclusion of other UN agencies in the delivery of Decade Programmes and Projects is the key to delivering an impactful Ocean Decade. </w:t>
      </w:r>
    </w:p>
    <w:p w14:paraId="3AAAE428"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Furthermore, the UK welcomes the DCUs acceptance that more needs to be done to recognise the benefits and value of the Ocean Decade through a robust monitoring and evaluation framework. The UK recalls how, even during the development of the Implementation Plan, we advocated that the need to be able to capture the benefits of Decade activities would be essential in not only promoting its success but also in attracting key stakeholders. So, we look forward to seeing how improved monitoring, evaluation and learning will help deliver these key success indicators over the second half of the Decade.</w:t>
      </w:r>
    </w:p>
    <w:p w14:paraId="48FFB343" w14:textId="77777777" w:rsidR="006C41C4" w:rsidRPr="00AE71B5" w:rsidRDefault="006C41C4" w:rsidP="006C41C4">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On the subject of IPOS</w:t>
      </w:r>
      <w:proofErr w:type="gramEnd"/>
      <w:r w:rsidRPr="00AE71B5">
        <w:rPr>
          <w:rFonts w:ascii="Arial" w:eastAsia="Simsun (Founder Extended)" w:hAnsi="Arial" w:cs="Arial"/>
          <w:snapToGrid/>
          <w:sz w:val="22"/>
          <w:szCs w:val="22"/>
        </w:rPr>
        <w:t>, and the IOC role in a future IPOS, the UK has some concerns, namely:</w:t>
      </w:r>
    </w:p>
    <w:p w14:paraId="148CFE4A"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Towards IPOS scoping has raised expectations, which potentially poses a risk to the IOC reputation if delivery is perceived to fall short due to resourcing challenges and the necessary narrowing of the scope for a test </w:t>
      </w:r>
      <w:proofErr w:type="gramStart"/>
      <w:r w:rsidRPr="00AE71B5">
        <w:rPr>
          <w:rFonts w:ascii="Arial" w:eastAsia="Simsun (Founder Extended)" w:hAnsi="Arial" w:cs="Arial"/>
          <w:snapToGrid/>
          <w:sz w:val="22"/>
          <w:szCs w:val="22"/>
        </w:rPr>
        <w:t>phase;</w:t>
      </w:r>
      <w:proofErr w:type="gramEnd"/>
    </w:p>
    <w:p w14:paraId="00041469"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Notwithstanding ring-fenced funding, there is a risk of resource challenges for other IOC activities that must engage with the test phase to avoid duplication.</w:t>
      </w:r>
    </w:p>
    <w:p w14:paraId="378FA41C" w14:textId="77777777" w:rsidR="006C41C4" w:rsidRPr="00AE71B5" w:rsidRDefault="006C41C4" w:rsidP="006C41C4">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We would welcome greater clarity of what the test phase under the Decade would do or deliver, and therefore what the implications for the IOC and its member states are, both for the test phase and in the longer term.</w:t>
      </w:r>
    </w:p>
    <w:p w14:paraId="1C97A735" w14:textId="77777777" w:rsidR="006C41C4" w:rsidRPr="0092772B" w:rsidRDefault="006C41C4" w:rsidP="006C41C4">
      <w:pPr>
        <w:keepNext/>
        <w:snapToGrid/>
        <w:spacing w:after="120"/>
        <w:jc w:val="both"/>
        <w:rPr>
          <w:rFonts w:ascii="Arial" w:hAnsi="Arial" w:cs="Arial"/>
          <w:b/>
          <w:sz w:val="22"/>
          <w:szCs w:val="22"/>
          <w:lang w:val="en-US"/>
        </w:rPr>
      </w:pPr>
      <w:bookmarkStart w:id="584" w:name="usa48"/>
      <w:r w:rsidRPr="0092772B">
        <w:rPr>
          <w:rFonts w:ascii="Arial" w:hAnsi="Arial" w:cs="Arial"/>
          <w:b/>
          <w:sz w:val="22"/>
          <w:szCs w:val="22"/>
          <w:lang w:val="en-US"/>
        </w:rPr>
        <w:t xml:space="preserve">United States of America </w:t>
      </w:r>
    </w:p>
    <w:bookmarkEnd w:id="584"/>
    <w:p w14:paraId="00F6663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would like to join you and other delegations in recognizing our Canadian </w:t>
      </w:r>
      <w:proofErr w:type="spellStart"/>
      <w:r w:rsidRPr="00AE71B5">
        <w:rPr>
          <w:rFonts w:ascii="Arial" w:eastAsia="Simsun (Founder Extended)" w:hAnsi="Arial" w:cs="Arial"/>
          <w:snapToGrid/>
          <w:sz w:val="22"/>
          <w:szCs w:val="22"/>
        </w:rPr>
        <w:t>neighbors</w:t>
      </w:r>
      <w:proofErr w:type="spellEnd"/>
      <w:r w:rsidRPr="00AE71B5">
        <w:rPr>
          <w:rFonts w:ascii="Arial" w:eastAsia="Simsun (Founder Extended)" w:hAnsi="Arial" w:cs="Arial"/>
          <w:snapToGrid/>
          <w:sz w:val="22"/>
          <w:szCs w:val="22"/>
        </w:rPr>
        <w:t xml:space="preserve"> to our north on - today - their national holiday. The United States also congratulates Brazil for hosting the next Decade Conference, and we thank Monaco for offering the draft Resolution for the Assembly’s consideration. The United States has similar views as others have stated regarding the Resolution text, </w:t>
      </w:r>
      <w:proofErr w:type="gramStart"/>
      <w:r w:rsidRPr="00AE71B5">
        <w:rPr>
          <w:rFonts w:ascii="Arial" w:eastAsia="Simsun (Founder Extended)" w:hAnsi="Arial" w:cs="Arial"/>
          <w:snapToGrid/>
          <w:sz w:val="22"/>
          <w:szCs w:val="22"/>
        </w:rPr>
        <w:t>in particular regarding</w:t>
      </w:r>
      <w:proofErr w:type="gramEnd"/>
      <w:r w:rsidRPr="00AE71B5">
        <w:rPr>
          <w:rFonts w:ascii="Arial" w:eastAsia="Simsun (Founder Extended)" w:hAnsi="Arial" w:cs="Arial"/>
          <w:snapToGrid/>
          <w:sz w:val="22"/>
          <w:szCs w:val="22"/>
        </w:rPr>
        <w:t xml:space="preserve"> IPOS. We welcome the progress we have been making in the drafting </w:t>
      </w:r>
      <w:proofErr w:type="gramStart"/>
      <w:r w:rsidRPr="00AE71B5">
        <w:rPr>
          <w:rFonts w:ascii="Arial" w:eastAsia="Simsun (Founder Extended)" w:hAnsi="Arial" w:cs="Arial"/>
          <w:snapToGrid/>
          <w:sz w:val="22"/>
          <w:szCs w:val="22"/>
        </w:rPr>
        <w:t>group, and</w:t>
      </w:r>
      <w:proofErr w:type="gramEnd"/>
      <w:r w:rsidRPr="00AE71B5">
        <w:rPr>
          <w:rFonts w:ascii="Arial" w:eastAsia="Simsun (Founder Extended)" w:hAnsi="Arial" w:cs="Arial"/>
          <w:snapToGrid/>
          <w:sz w:val="22"/>
          <w:szCs w:val="22"/>
        </w:rPr>
        <w:t xml:space="preserve"> look forward to finalizing those discussions. Given that the drafting group continues its work on the IPOS-related paragraphs, the United States would like to make two comments on other aspects of the Resolution. Regarding paragraph 5, the United States is unable to reaffirm the Barcelona Statement, consistent with our opening statement. Regarding paragraph 13, the United States is unable to agree to adopt the revised </w:t>
      </w:r>
      <w:r w:rsidRPr="00AE71B5">
        <w:rPr>
          <w:rFonts w:ascii="Arial" w:eastAsia="Simsun (Founder Extended)" w:hAnsi="Arial" w:cs="Arial"/>
          <w:snapToGrid/>
          <w:sz w:val="22"/>
          <w:szCs w:val="22"/>
        </w:rPr>
        <w:lastRenderedPageBreak/>
        <w:t>Terms of Reference for the Decade Advisory Board. We will therefore disassociate from both paragraphs after the Resolution is adopted.</w:t>
      </w:r>
    </w:p>
    <w:p w14:paraId="07BBE3D0" w14:textId="77777777" w:rsidR="006C41C4" w:rsidRPr="00E647B1" w:rsidRDefault="006C41C4" w:rsidP="006C41C4">
      <w:pPr>
        <w:keepNext/>
        <w:snapToGrid/>
        <w:spacing w:after="120"/>
        <w:jc w:val="both"/>
        <w:rPr>
          <w:rFonts w:ascii="Arial" w:hAnsi="Arial" w:cs="Arial"/>
          <w:b/>
          <w:sz w:val="22"/>
          <w:szCs w:val="22"/>
          <w:lang w:val="en-US"/>
        </w:rPr>
      </w:pPr>
      <w:bookmarkStart w:id="585" w:name="pices48"/>
      <w:r w:rsidRPr="00AE71B5">
        <w:rPr>
          <w:rFonts w:ascii="Arial" w:hAnsi="Arial" w:cs="Arial"/>
          <w:b/>
          <w:sz w:val="22"/>
          <w:szCs w:val="22"/>
          <w:lang w:val="en-US"/>
        </w:rPr>
        <w:t>North Pacific Marine Science Organization</w:t>
      </w:r>
      <w:r w:rsidRPr="00E647B1">
        <w:rPr>
          <w:rFonts w:ascii="Arial" w:hAnsi="Arial" w:cs="Arial"/>
          <w:b/>
          <w:sz w:val="22"/>
          <w:szCs w:val="22"/>
          <w:lang w:val="en-US"/>
        </w:rPr>
        <w:t xml:space="preserve"> (PICES)</w:t>
      </w:r>
    </w:p>
    <w:bookmarkEnd w:id="585"/>
    <w:p w14:paraId="4E1F4CE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North Pacific Marine Science Organization (PICES) reiterates its commitment to the Ocean Decade, utilizing its’ infrastructure in support, with a dedicated UNDOS Advisory Panel to oversee a growing number of endorsed Decade actions by PICES and through collaboration with other organizations (including BECI and SmartNet). PICES also has a dedicated Advisory Panel on ECOP which works with the Global-ECOP Programme and among their goals is addressing some of the cross-cutting challenges of UNDOS. In addition, PICES members contributed to the Vision 2030 White Papers on Ocean Decade Challenges 2, 5 and 7.</w:t>
      </w:r>
    </w:p>
    <w:p w14:paraId="21D5EA9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SmartNet, jointly managed by ICES and PICES, is part of a Community of Practice with other Ocean Decade Programs around the climate-biodiversity-fisheries nexus and now has several endorsed projects under its umbrella. They have had another busy and productive year with too many activities to list </w:t>
      </w:r>
      <w:proofErr w:type="gramStart"/>
      <w:r w:rsidRPr="00AE71B5">
        <w:rPr>
          <w:rFonts w:ascii="Arial" w:eastAsia="Simsun (Founder Extended)" w:hAnsi="Arial" w:cs="Arial"/>
          <w:snapToGrid/>
          <w:sz w:val="22"/>
          <w:szCs w:val="22"/>
        </w:rPr>
        <w:t>here,</w:t>
      </w:r>
      <w:proofErr w:type="gramEnd"/>
      <w:r w:rsidRPr="00AE71B5">
        <w:rPr>
          <w:rFonts w:ascii="Arial" w:eastAsia="Simsun (Founder Extended)" w:hAnsi="Arial" w:cs="Arial"/>
          <w:snapToGrid/>
          <w:sz w:val="22"/>
          <w:szCs w:val="22"/>
        </w:rPr>
        <w:t xml:space="preserve"> however we will mention recent highlights:</w:t>
      </w:r>
    </w:p>
    <w:p w14:paraId="2695422D"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 global public survey sponsored by SmartNet was launched at the Barcelona Conference side-event on “The Ocean We Want”. Surveys have now been completed in five countries (US, France, Australia, Japan, Indonesia), with results, describing public perceptions of critical ocean issues, recently presented at the One Ocean Science Congress in Nice. </w:t>
      </w:r>
    </w:p>
    <w:p w14:paraId="47188F57"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SmartNet has also published three manuscripts this year:</w:t>
      </w:r>
    </w:p>
    <w:p w14:paraId="143FD207"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 the ‘Ocean We Want’ survey results from </w:t>
      </w:r>
      <w:proofErr w:type="gramStart"/>
      <w:r w:rsidRPr="00AE71B5">
        <w:rPr>
          <w:rFonts w:ascii="Arial" w:eastAsia="Simsun (Founder Extended)" w:hAnsi="Arial" w:cs="Arial"/>
          <w:snapToGrid/>
          <w:sz w:val="22"/>
          <w:szCs w:val="22"/>
        </w:rPr>
        <w:t>Indonesia;</w:t>
      </w:r>
      <w:proofErr w:type="gramEnd"/>
      <w:r w:rsidRPr="00AE71B5">
        <w:rPr>
          <w:rFonts w:ascii="Arial" w:eastAsia="Simsun (Founder Extended)" w:hAnsi="Arial" w:cs="Arial"/>
          <w:snapToGrid/>
          <w:sz w:val="22"/>
          <w:szCs w:val="22"/>
        </w:rPr>
        <w:t xml:space="preserve"> </w:t>
      </w:r>
    </w:p>
    <w:p w14:paraId="6F690CB7"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 knowledge sharing and capacity development in coordination with ECOPs in </w:t>
      </w:r>
      <w:proofErr w:type="gramStart"/>
      <w:r w:rsidRPr="00AE71B5">
        <w:rPr>
          <w:rFonts w:ascii="Arial" w:eastAsia="Simsun (Founder Extended)" w:hAnsi="Arial" w:cs="Arial"/>
          <w:snapToGrid/>
          <w:sz w:val="22"/>
          <w:szCs w:val="22"/>
        </w:rPr>
        <w:t>SIDS;</w:t>
      </w:r>
      <w:proofErr w:type="gramEnd"/>
      <w:r w:rsidRPr="00AE71B5">
        <w:rPr>
          <w:rFonts w:ascii="Arial" w:eastAsia="Simsun (Founder Extended)" w:hAnsi="Arial" w:cs="Arial"/>
          <w:snapToGrid/>
          <w:sz w:val="22"/>
          <w:szCs w:val="22"/>
        </w:rPr>
        <w:t xml:space="preserve"> </w:t>
      </w:r>
    </w:p>
    <w:p w14:paraId="2C19AED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 the capacity and gaps within the ‘climate-biodiversity-fisheries nexus’ in the Ocean Decade.</w:t>
      </w:r>
    </w:p>
    <w:p w14:paraId="7055000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And continues to build knowledge networks by organizing Workshops at international fora, including the ICES and PICES Annual Meetings. </w:t>
      </w:r>
    </w:p>
    <w:p w14:paraId="07EE5CBE"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Themes have included: </w:t>
      </w:r>
    </w:p>
    <w:p w14:paraId="5E689CFE"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‘Exploring international knowledge co-production at the science-policy interface</w:t>
      </w:r>
      <w:proofErr w:type="gramStart"/>
      <w:r w:rsidRPr="00AE71B5">
        <w:rPr>
          <w:rFonts w:ascii="Arial" w:eastAsia="Simsun (Founder Extended)" w:hAnsi="Arial" w:cs="Arial"/>
          <w:snapToGrid/>
          <w:sz w:val="22"/>
          <w:szCs w:val="22"/>
        </w:rPr>
        <w:t>’;</w:t>
      </w:r>
      <w:proofErr w:type="gramEnd"/>
    </w:p>
    <w:p w14:paraId="6E5BB069" w14:textId="77777777" w:rsidR="006C41C4" w:rsidRPr="00AE71B5" w:rsidRDefault="006C41C4" w:rsidP="006C41C4">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‘Climate-ready fisheries management</w:t>
      </w:r>
      <w:proofErr w:type="gramStart"/>
      <w:r w:rsidRPr="00AE71B5">
        <w:rPr>
          <w:rFonts w:ascii="Arial" w:eastAsia="Simsun (Founder Extended)" w:hAnsi="Arial" w:cs="Arial"/>
          <w:snapToGrid/>
          <w:sz w:val="22"/>
          <w:szCs w:val="22"/>
        </w:rPr>
        <w:t>’;</w:t>
      </w:r>
      <w:proofErr w:type="gramEnd"/>
    </w:p>
    <w:p w14:paraId="4E8B9AD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‘Engaging with local and traditional knowledge holders to co-design ocean science in Pacific SIDS’.</w:t>
      </w:r>
    </w:p>
    <w:p w14:paraId="5CBF025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BECI project, with initial funding from Canada, has developed a Science Plan and is working on the Implementation Plan for a ‘North Pacific Ocean Climate Knowledge Network’ to support climate-informed decisions for the management of North Pacific marine ecosystems.</w:t>
      </w:r>
    </w:p>
    <w:p w14:paraId="26C9A936"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Support for UNDOS continues to be an area requiring emphasis both within and outside of the PICES North Pacific region. PICES and ICES members will enhance our capacity development actions with an emphasis on SIDS. We will also continue to build our Ocean Decade Networks around the ‘climate-biodiversity-fisheries’ nexus, including through a monthly webinar series.</w:t>
      </w:r>
    </w:p>
    <w:p w14:paraId="216D3BC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PICES looks forward to supporting the next phase of the Ocean Decade and contributing to its success.</w:t>
      </w:r>
    </w:p>
    <w:p w14:paraId="769B4636" w14:textId="77777777" w:rsidR="006C41C4" w:rsidRPr="00E647B1" w:rsidRDefault="006C41C4" w:rsidP="006C41C4">
      <w:pPr>
        <w:keepNext/>
        <w:snapToGrid/>
        <w:spacing w:after="120"/>
        <w:jc w:val="both"/>
        <w:rPr>
          <w:rFonts w:ascii="Arial" w:hAnsi="Arial" w:cs="Arial"/>
          <w:b/>
          <w:sz w:val="22"/>
          <w:szCs w:val="22"/>
          <w:lang w:val="en-US"/>
        </w:rPr>
      </w:pPr>
      <w:bookmarkStart w:id="586" w:name="scor48"/>
      <w:r w:rsidRPr="00AE71B5">
        <w:rPr>
          <w:rFonts w:ascii="Arial" w:hAnsi="Arial" w:cs="Arial"/>
          <w:b/>
          <w:sz w:val="22"/>
          <w:szCs w:val="22"/>
          <w:lang w:val="en-US"/>
        </w:rPr>
        <w:t>Scientific Committee on Oceanic Research</w:t>
      </w:r>
      <w:r w:rsidRPr="00E647B1">
        <w:rPr>
          <w:rFonts w:ascii="Arial" w:hAnsi="Arial" w:cs="Arial"/>
          <w:b/>
          <w:sz w:val="22"/>
          <w:szCs w:val="22"/>
          <w:lang w:val="en-US"/>
        </w:rPr>
        <w:t xml:space="preserve"> (SCOR)</w:t>
      </w:r>
    </w:p>
    <w:bookmarkEnd w:id="586"/>
    <w:p w14:paraId="3DE18EA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Scientific Committee on Oceanic Research (SCOR) appreciates IOC’s leadership on making progress to improve global capacity to conduct ocean science.</w:t>
      </w:r>
    </w:p>
    <w:p w14:paraId="112ACBC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SCOR advances capacity development, technology transfer, training, and networking by promoting broad participation in its ongoing scientific activities and by supporting individual and institutional human resource development. SCOR involves early-career and developing-country scientists in its projects and working groups, many of which conduct focused capacity development activities. In addition, SCOR supports Visiting Scholarships for conducting training in developing countries; a </w:t>
      </w:r>
      <w:proofErr w:type="gramStart"/>
      <w:r w:rsidRPr="00AE71B5">
        <w:rPr>
          <w:rFonts w:ascii="Arial" w:eastAsia="Simsun (Founder Extended)" w:hAnsi="Arial" w:cs="Arial"/>
          <w:snapToGrid/>
          <w:sz w:val="22"/>
          <w:szCs w:val="22"/>
        </w:rPr>
        <w:t>fellows</w:t>
      </w:r>
      <w:proofErr w:type="gramEnd"/>
      <w:r w:rsidRPr="00AE71B5">
        <w:rPr>
          <w:rFonts w:ascii="Arial" w:eastAsia="Simsun (Founder Extended)" w:hAnsi="Arial" w:cs="Arial"/>
          <w:snapToGrid/>
          <w:sz w:val="22"/>
          <w:szCs w:val="22"/>
        </w:rPr>
        <w:t xml:space="preserve"> programme jointly with POGO, the Partnership for the Observation of the Global Ocean; and grants for the participation of early-career scientists from developing countries in international scientific meetings and trainings. Over fifteen hundred </w:t>
      </w:r>
      <w:r w:rsidRPr="00AE71B5">
        <w:rPr>
          <w:rFonts w:ascii="Arial" w:eastAsia="Simsun (Founder Extended)" w:hAnsi="Arial" w:cs="Arial"/>
          <w:snapToGrid/>
          <w:sz w:val="22"/>
          <w:szCs w:val="22"/>
        </w:rPr>
        <w:lastRenderedPageBreak/>
        <w:t>individuals have been recipients across these programmes in the past 25 years. Retrospective analyses of these programmes have demonstrated their success at improving the research collaborations and career outcomes of participants—a challenge that SCOR will aim to address in partnerships with governmental and nongovernmental actors at all levels.</w:t>
      </w:r>
    </w:p>
    <w:p w14:paraId="31D857BA"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5.1</w:t>
      </w:r>
      <w:r w:rsidRPr="00AE71B5">
        <w:rPr>
          <w:rFonts w:ascii="Arial" w:hAnsi="Arial" w:cs="Arial"/>
          <w:b/>
          <w:sz w:val="22"/>
          <w:szCs w:val="22"/>
        </w:rPr>
        <w:tab/>
        <w:t>Draft Programme and Budget for 2026–2029 (Draft 43 C/5, First Biennium of the 2026–2029 Quadrennium)</w:t>
      </w:r>
    </w:p>
    <w:p w14:paraId="53AA4A85" w14:textId="77777777" w:rsidR="006C41C4" w:rsidRPr="00AE71B5" w:rsidRDefault="006C41C4" w:rsidP="006C41C4">
      <w:pPr>
        <w:keepNext/>
        <w:snapToGrid/>
        <w:spacing w:after="120"/>
        <w:jc w:val="both"/>
        <w:rPr>
          <w:rFonts w:ascii="Arial" w:hAnsi="Arial" w:cs="Arial"/>
          <w:b/>
          <w:sz w:val="22"/>
          <w:szCs w:val="22"/>
        </w:rPr>
      </w:pPr>
      <w:bookmarkStart w:id="587" w:name="rus51"/>
      <w:r w:rsidRPr="00AE71B5">
        <w:rPr>
          <w:rFonts w:ascii="Arial" w:hAnsi="Arial" w:cs="Arial"/>
          <w:b/>
          <w:sz w:val="22"/>
          <w:szCs w:val="22"/>
        </w:rPr>
        <w:t>Russian Federation</w:t>
      </w:r>
    </w:p>
    <w:bookmarkEnd w:id="587"/>
    <w:p w14:paraId="46F9A2E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1. The general approach. The delegation of the Russian Federation prioritizes the sustainability, autonomy and balanced financing of UNESCO IOC programs in the context of achieving High-Level strategic Objectives, implementing the IOC Medium-term Strategy for the period 2022-2029, fulfilling the mandate of the Commission on Ocean Science for Sustainable Development (United Nations Decade for Ocean Science 2021-2030) and accomplishing the goals of the 2030 Agenda.</w:t>
      </w:r>
    </w:p>
    <w:p w14:paraId="71EABEB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2 We want transparency and fairness in the allocation of funds. The increase of the IOC's share in the UNESCO budget from 2% to 3% at the request of the Member States and the resumption of payments by the United States upon their return to UNESCO was supposed to strengthen and increase the effectiveness of the IOC programs.</w:t>
      </w:r>
    </w:p>
    <w:p w14:paraId="55A48EE2"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due to the lack of time, the allocation of additional funds took place without the direct participation of the Executive Council and the IOC Assembly. There were also no consultations with the Member States to reflect their position on the priorities for allocating additional funds. </w:t>
      </w:r>
    </w:p>
    <w:p w14:paraId="250A6AB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3. Proposals for a balanced approach. Within the proposed document IOC/A-33/5.</w:t>
      </w:r>
      <w:proofErr w:type="gramStart"/>
      <w:r w:rsidRPr="00AE71B5">
        <w:rPr>
          <w:rFonts w:ascii="Arial" w:eastAsia="Simsun (Founder Extended)" w:hAnsi="Arial" w:cs="Arial"/>
          <w:snapToGrid/>
          <w:sz w:val="22"/>
          <w:szCs w:val="22"/>
        </w:rPr>
        <w:t>1.Doc</w:t>
      </w:r>
      <w:proofErr w:type="gramEnd"/>
      <w:r w:rsidRPr="00AE71B5">
        <w:rPr>
          <w:rFonts w:ascii="Arial" w:eastAsia="Simsun (Founder Extended)" w:hAnsi="Arial" w:cs="Arial"/>
          <w:snapToGrid/>
          <w:sz w:val="22"/>
          <w:szCs w:val="22"/>
        </w:rPr>
        <w:t xml:space="preserve"> (1) we support the budget option based on the ZRG (Zero Real Growth) scenario, as this is the most realistic in the face of inflationary pressures and rising fixed costs.</w:t>
      </w:r>
    </w:p>
    <w:p w14:paraId="1BACB69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propose that the program part of the budget is reduced by 4.5% compared to 42 C/5 (according to the ZRG scenario), which requires compensation mechanisms through voluntary contributions and partnership agreements.</w:t>
      </w:r>
    </w:p>
    <w:p w14:paraId="4BE4821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At the same time, we strongly point out the need to reallocate expenditures in </w:t>
      </w:r>
      <w:proofErr w:type="spellStart"/>
      <w:r w:rsidRPr="00AE71B5">
        <w:rPr>
          <w:rFonts w:ascii="Arial" w:eastAsia="Simsun (Founder Extended)" w:hAnsi="Arial" w:cs="Arial"/>
          <w:snapToGrid/>
          <w:sz w:val="22"/>
          <w:szCs w:val="22"/>
        </w:rPr>
        <w:t>favor</w:t>
      </w:r>
      <w:proofErr w:type="spellEnd"/>
      <w:r w:rsidRPr="00AE71B5">
        <w:rPr>
          <w:rFonts w:ascii="Arial" w:eastAsia="Simsun (Founder Extended)" w:hAnsi="Arial" w:cs="Arial"/>
          <w:snapToGrid/>
          <w:sz w:val="22"/>
          <w:szCs w:val="22"/>
        </w:rPr>
        <w:t xml:space="preserve"> of the program part of the budget, especially in terms of supporting the flagship programs of the IOC and enabling the work of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w:t>
      </w:r>
    </w:p>
    <w:p w14:paraId="1860572C"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that it is unacceptable to reduce the share of expenditures allocated to Capacity development activities.</w:t>
      </w:r>
    </w:p>
    <w:p w14:paraId="42FCF525"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suggest that new projects should not be launched if this causes inability to complete those that have already been started.  </w:t>
      </w:r>
    </w:p>
    <w:p w14:paraId="7D557530"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appropriateness of using the reserves of the Special Account to cover the critical needs of the IOC flagship programs.    </w:t>
      </w:r>
    </w:p>
    <w:p w14:paraId="527DB017"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4. Development of a new performance assessment system (Results Framework). We support the initiative to create a new IOC performance assessment system (see Draft IOC Results Framework 2026-2027 in IOC/A-33/5.</w:t>
      </w:r>
      <w:proofErr w:type="gramStart"/>
      <w:r w:rsidRPr="00AE71B5">
        <w:rPr>
          <w:rFonts w:ascii="Arial" w:eastAsia="Simsun (Founder Extended)" w:hAnsi="Arial" w:cs="Arial"/>
          <w:snapToGrid/>
          <w:sz w:val="22"/>
          <w:szCs w:val="22"/>
        </w:rPr>
        <w:t>1.Doc</w:t>
      </w:r>
      <w:proofErr w:type="gramEnd"/>
      <w:r w:rsidRPr="00AE71B5">
        <w:rPr>
          <w:rFonts w:ascii="Arial" w:eastAsia="Simsun (Founder Extended)" w:hAnsi="Arial" w:cs="Arial"/>
          <w:snapToGrid/>
          <w:sz w:val="22"/>
          <w:szCs w:val="22"/>
        </w:rPr>
        <w:t xml:space="preserve"> (1) Rev), which reflects quantitative as well as qualitative indicators of the impact of IOC programs at the national level.</w:t>
      </w:r>
    </w:p>
    <w:p w14:paraId="3AD953B9"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point out the need to </w:t>
      </w:r>
      <w:proofErr w:type="gramStart"/>
      <w:r w:rsidRPr="00AE71B5">
        <w:rPr>
          <w:rFonts w:ascii="Arial" w:eastAsia="Simsun (Founder Extended)" w:hAnsi="Arial" w:cs="Arial"/>
          <w:snapToGrid/>
          <w:sz w:val="22"/>
          <w:szCs w:val="22"/>
        </w:rPr>
        <w:t>take into account</w:t>
      </w:r>
      <w:proofErr w:type="gramEnd"/>
      <w:r w:rsidRPr="00AE71B5">
        <w:rPr>
          <w:rFonts w:ascii="Arial" w:eastAsia="Simsun (Founder Extended)" w:hAnsi="Arial" w:cs="Arial"/>
          <w:snapToGrid/>
          <w:sz w:val="22"/>
          <w:szCs w:val="22"/>
        </w:rPr>
        <w:t xml:space="preserve"> the regional context when developing performance indicators and evaluating programs and to ensure the representation of Member States in this process.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suggest </w:t>
      </w:r>
      <w:proofErr w:type="gramStart"/>
      <w:r w:rsidRPr="00AE71B5">
        <w:rPr>
          <w:rFonts w:ascii="Arial" w:eastAsia="Simsun (Founder Extended)" w:hAnsi="Arial" w:cs="Arial"/>
          <w:snapToGrid/>
          <w:sz w:val="22"/>
          <w:szCs w:val="22"/>
        </w:rPr>
        <w:t>taking into account</w:t>
      </w:r>
      <w:proofErr w:type="gramEnd"/>
      <w:r w:rsidRPr="00AE71B5">
        <w:rPr>
          <w:rFonts w:ascii="Arial" w:eastAsia="Simsun (Founder Extended)" w:hAnsi="Arial" w:cs="Arial"/>
          <w:snapToGrid/>
          <w:sz w:val="22"/>
          <w:szCs w:val="22"/>
        </w:rPr>
        <w:t xml:space="preserve"> the specifics of countries with Arctic and subarctic seas when forming these indicators.</w:t>
      </w:r>
    </w:p>
    <w:p w14:paraId="3E6DB33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THESIS 5. Support of the IOC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(IOCAFRICA, WESTPAC, IOCINDIO, etc.). The Russian Federation expresses concern about the ability to maintain the activities of the IOC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which are integral elements of the global architecture of marine science, especially considering the implementation of the IOC Medium-term Strategy for the period 2022-2029 and the United Nations Decade for Ocean Science for Sustainable </w:t>
      </w:r>
      <w:r w:rsidRPr="00AE71B5">
        <w:rPr>
          <w:rFonts w:ascii="Arial" w:eastAsia="Simsun (Founder Extended)" w:hAnsi="Arial" w:cs="Arial"/>
          <w:snapToGrid/>
          <w:sz w:val="22"/>
          <w:szCs w:val="22"/>
        </w:rPr>
        <w:lastRenderedPageBreak/>
        <w:t xml:space="preserve">Development. Insufficient provision for these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may lead to failure to achieve the stated goals. </w:t>
      </w:r>
    </w:p>
    <w:p w14:paraId="11819BCE"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this regard, we consider it necessary to prioritize the allocation of targeted funding from the regular budget for the institutional strengthening and administrative support of these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w:t>
      </w:r>
    </w:p>
    <w:p w14:paraId="3442D83F"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propose to allocate at least 20% of voluntary contributions to the support of infrastructure and employees of regional units.</w:t>
      </w:r>
    </w:p>
    <w:p w14:paraId="036EBB63"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6. On the autonomous functionality of the Intergovernmental Oceanographic Commission. We believe it is advisable to develop administrative procedures in such a way that the IOC can independently plan its personnel policy and distribute incoming voluntary contributions within the framework of the Charter.</w:t>
      </w:r>
    </w:p>
    <w:p w14:paraId="4A1777EA" w14:textId="77777777" w:rsidR="006C41C4" w:rsidRPr="00AE71B5" w:rsidRDefault="006C41C4" w:rsidP="006C41C4">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Russian Federation is ready to work constructively with partners to ensure the effective implementation of the IOC's mandate in all areas of the World Ocean.</w:t>
      </w:r>
    </w:p>
    <w:p w14:paraId="016039A2"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5.6</w:t>
      </w:r>
      <w:r w:rsidRPr="00AE71B5">
        <w:rPr>
          <w:rFonts w:ascii="Arial" w:hAnsi="Arial" w:cs="Arial"/>
          <w:b/>
          <w:sz w:val="22"/>
          <w:szCs w:val="22"/>
        </w:rPr>
        <w:tab/>
        <w:t>34th Session of the Assembly and 59th Session of the Executive Council</w:t>
      </w:r>
    </w:p>
    <w:p w14:paraId="638FA55C" w14:textId="77777777" w:rsidR="006C41C4" w:rsidRPr="00E647B1" w:rsidRDefault="006C41C4" w:rsidP="006C41C4">
      <w:pPr>
        <w:keepNext/>
        <w:snapToGrid/>
        <w:spacing w:after="120"/>
        <w:jc w:val="both"/>
        <w:rPr>
          <w:rFonts w:ascii="Arial" w:hAnsi="Arial" w:cs="Arial"/>
          <w:b/>
          <w:sz w:val="22"/>
          <w:szCs w:val="22"/>
          <w:lang w:val="en-US"/>
        </w:rPr>
      </w:pPr>
      <w:bookmarkStart w:id="588" w:name="aus56"/>
      <w:r w:rsidRPr="00E647B1">
        <w:rPr>
          <w:rFonts w:ascii="Arial" w:hAnsi="Arial" w:cs="Arial"/>
          <w:b/>
          <w:sz w:val="22"/>
          <w:szCs w:val="22"/>
          <w:lang w:val="en-US"/>
        </w:rPr>
        <w:t>Australia</w:t>
      </w:r>
    </w:p>
    <w:bookmarkEnd w:id="588"/>
    <w:p w14:paraId="18C7AC64" w14:textId="77777777" w:rsidR="006C41C4" w:rsidRPr="00AE71B5" w:rsidRDefault="006C41C4" w:rsidP="006C41C4">
      <w:pPr>
        <w:snapToGrid/>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Please be aware of and avoid the following dates agreed by the 79</w:t>
      </w:r>
      <w:r w:rsidRPr="00AE71B5">
        <w:rPr>
          <w:rFonts w:ascii="Arial" w:eastAsia="Simsun (Founder Extended)" w:hAnsi="Arial" w:cs="Arial"/>
          <w:snapToGrid/>
          <w:sz w:val="22"/>
          <w:szCs w:val="22"/>
          <w:vertAlign w:val="superscript"/>
          <w:lang w:val="en-US"/>
        </w:rPr>
        <w:t>th</w:t>
      </w:r>
      <w:r w:rsidRPr="00AE71B5">
        <w:rPr>
          <w:rFonts w:ascii="Arial" w:eastAsia="Simsun (Founder Extended)" w:hAnsi="Arial" w:cs="Arial"/>
          <w:snapToGrid/>
          <w:sz w:val="22"/>
          <w:szCs w:val="22"/>
          <w:lang w:val="en-US"/>
        </w:rPr>
        <w:t> Executive Council of WMO last week when considering scheduling of the next IOC sessions:</w:t>
      </w:r>
    </w:p>
    <w:p w14:paraId="3F2D41D5" w14:textId="77777777" w:rsidR="006C41C4" w:rsidRPr="00AE71B5" w:rsidRDefault="006C41C4" w:rsidP="006C41C4">
      <w:pPr>
        <w:snapToGrid/>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WMO EC-80 &amp; Finance Committee: 18-26 June 2026</w:t>
      </w:r>
    </w:p>
    <w:p w14:paraId="4643697C" w14:textId="77777777" w:rsidR="006C41C4" w:rsidRPr="00AE71B5" w:rsidRDefault="006C41C4" w:rsidP="006C41C4">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WMO Cg-20, Finance Committee and EC-81: 29 April to 19 May 2027</w:t>
      </w:r>
    </w:p>
    <w:p w14:paraId="2332A379" w14:textId="77777777" w:rsidR="006C41C4" w:rsidRPr="00AE71B5" w:rsidRDefault="006C41C4" w:rsidP="006C41C4">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6.</w:t>
      </w:r>
      <w:r w:rsidRPr="00AE71B5">
        <w:rPr>
          <w:rFonts w:ascii="Arial" w:hAnsi="Arial" w:cs="Arial"/>
          <w:b/>
          <w:sz w:val="22"/>
          <w:szCs w:val="22"/>
        </w:rPr>
        <w:tab/>
        <w:t>Adoption of Resolutions and Modalities for the Finalisation of the Report</w:t>
      </w:r>
    </w:p>
    <w:p w14:paraId="68B6223C" w14:textId="77777777" w:rsidR="006C41C4" w:rsidRPr="0092772B" w:rsidRDefault="006C41C4" w:rsidP="006C41C4">
      <w:pPr>
        <w:keepNext/>
        <w:snapToGrid/>
        <w:spacing w:after="120"/>
        <w:jc w:val="both"/>
        <w:rPr>
          <w:rFonts w:ascii="Arial" w:hAnsi="Arial" w:cs="Arial"/>
          <w:b/>
          <w:sz w:val="22"/>
          <w:szCs w:val="22"/>
          <w:lang w:val="fr-FR"/>
        </w:rPr>
      </w:pPr>
      <w:bookmarkStart w:id="589" w:name="fra6"/>
      <w:bookmarkStart w:id="590" w:name="usa6"/>
      <w:r w:rsidRPr="0092772B">
        <w:rPr>
          <w:rFonts w:ascii="Arial" w:hAnsi="Arial" w:cs="Arial"/>
          <w:b/>
          <w:sz w:val="22"/>
          <w:szCs w:val="22"/>
          <w:lang w:val="fr-FR"/>
        </w:rPr>
        <w:t>France</w:t>
      </w:r>
    </w:p>
    <w:bookmarkEnd w:id="589"/>
    <w:p w14:paraId="2E4C4A5D" w14:textId="77777777" w:rsidR="006C41C4" w:rsidRPr="0092772B" w:rsidRDefault="006C41C4" w:rsidP="006C41C4">
      <w:pPr>
        <w:snapToGrid/>
        <w:spacing w:after="120"/>
        <w:jc w:val="both"/>
        <w:rPr>
          <w:rFonts w:ascii="Arial" w:eastAsia="Simsun (Founder Extended)" w:hAnsi="Arial" w:cs="Arial"/>
          <w:snapToGrid/>
          <w:sz w:val="22"/>
          <w:szCs w:val="22"/>
          <w:lang w:val="fr-FR"/>
        </w:rPr>
      </w:pPr>
      <w:r w:rsidRPr="0092772B">
        <w:rPr>
          <w:rFonts w:ascii="Arial" w:eastAsia="Simsun (Founder Extended)" w:hAnsi="Arial" w:cs="Arial"/>
          <w:snapToGrid/>
          <w:sz w:val="22"/>
          <w:szCs w:val="22"/>
          <w:lang w:val="fr-FR"/>
        </w:rPr>
        <w:t xml:space="preserve">La France souhaite rappeler son soutien à la mention de la Plateforme internationale pour la durabilité des océans (IPOS) qui figurait dans le texte initial de la décision. Cette plateforme internationale se veut être une réponse au besoin de renforcer l’interface science-politique sur l’océan. Elle permettra de répondre aux priorités identifiées par les États qui en expriment le besoin en leur apportant les options d’actions politiques sur mesure afin de les aider à atteindre leurs engagements concernant l’ODD 14 pour les écosystèmes marins et côtiers. </w:t>
      </w:r>
    </w:p>
    <w:p w14:paraId="3FCDA136" w14:textId="77777777" w:rsidR="006C41C4" w:rsidRPr="0092772B" w:rsidRDefault="006C41C4" w:rsidP="006C41C4">
      <w:pPr>
        <w:snapToGrid/>
        <w:spacing w:after="120"/>
        <w:jc w:val="both"/>
        <w:rPr>
          <w:rFonts w:ascii="Arial" w:eastAsia="Simsun (Founder Extended)" w:hAnsi="Arial" w:cs="Arial"/>
          <w:snapToGrid/>
          <w:sz w:val="22"/>
          <w:szCs w:val="22"/>
          <w:lang w:val="fr-FR"/>
        </w:rPr>
      </w:pPr>
      <w:r w:rsidRPr="0092772B">
        <w:rPr>
          <w:rFonts w:ascii="Arial" w:eastAsia="Simsun (Founder Extended)" w:hAnsi="Arial" w:cs="Arial"/>
          <w:snapToGrid/>
          <w:sz w:val="22"/>
          <w:szCs w:val="22"/>
          <w:lang w:val="fr-FR"/>
        </w:rPr>
        <w:t xml:space="preserve">La France se félicite en outre de la résolution A/79/… de l’Assemblée générale des Nations unies sur la déclaration intitulée : « Notre Océan, Notre Avenir : unis pour une action urgente » qui préconise une interface science-politiques solide pour fournir en temps voulu des informations scientifiques et socio-économiques crédibles et saillantes pour éclairer les politiques et les actions et qui prend note de la proposition de création d’une plateforme internationale pour la durabilité des océans.  </w:t>
      </w:r>
    </w:p>
    <w:p w14:paraId="4EAE5CC6" w14:textId="77777777" w:rsidR="006C41C4" w:rsidRPr="0092772B" w:rsidRDefault="006C41C4" w:rsidP="006C41C4">
      <w:pPr>
        <w:snapToGrid/>
        <w:spacing w:after="120"/>
        <w:jc w:val="both"/>
        <w:rPr>
          <w:rFonts w:ascii="Arial" w:eastAsia="Simsun (Founder Extended)" w:hAnsi="Arial" w:cs="Arial"/>
          <w:snapToGrid/>
          <w:sz w:val="22"/>
          <w:szCs w:val="22"/>
          <w:lang w:val="fr-FR"/>
        </w:rPr>
      </w:pPr>
      <w:r w:rsidRPr="0092772B">
        <w:rPr>
          <w:rFonts w:ascii="Arial" w:eastAsia="Simsun (Founder Extended)" w:hAnsi="Arial" w:cs="Arial"/>
          <w:snapToGrid/>
          <w:sz w:val="22"/>
          <w:szCs w:val="22"/>
          <w:lang w:val="fr-FR"/>
        </w:rPr>
        <w:t xml:space="preserve">La France remercie vivement les États qui ont apporté leur soutien politique à cette initiative. Forte de l’appui de ces États, la France est heureuse de rappeler qu’elle apportera une contribution financière de plusieurs centaines de milliers d’euros pour l’IPOS. Enfin, nous renouvelons le souhait de voir l’IPOS venir en soutien de la Décennie des sciences océaniques de la COI et de ses États membres. </w:t>
      </w:r>
      <w:proofErr w:type="spellStart"/>
      <w:r w:rsidRPr="0092772B">
        <w:rPr>
          <w:rFonts w:ascii="Arial" w:eastAsia="Simsun (Founder Extended)" w:hAnsi="Arial" w:cs="Arial"/>
          <w:snapToGrid/>
          <w:sz w:val="22"/>
          <w:szCs w:val="22"/>
          <w:lang w:val="fr-FR"/>
        </w:rPr>
        <w:t>A</w:t>
      </w:r>
      <w:proofErr w:type="spellEnd"/>
      <w:r w:rsidRPr="0092772B">
        <w:rPr>
          <w:rFonts w:ascii="Arial" w:eastAsia="Simsun (Founder Extended)" w:hAnsi="Arial" w:cs="Arial"/>
          <w:snapToGrid/>
          <w:sz w:val="22"/>
          <w:szCs w:val="22"/>
          <w:lang w:val="fr-FR"/>
        </w:rPr>
        <w:t xml:space="preserve"> cet égard, nous espérons qu’une collaboration fructueuse pourra être développée.</w:t>
      </w:r>
    </w:p>
    <w:p w14:paraId="1229EEB3" w14:textId="77777777" w:rsidR="006C41C4" w:rsidRPr="00AE71B5" w:rsidRDefault="006C41C4" w:rsidP="006C41C4">
      <w:pPr>
        <w:keepNext/>
        <w:snapToGrid/>
        <w:spacing w:after="120"/>
        <w:jc w:val="both"/>
        <w:rPr>
          <w:rFonts w:ascii="Arial" w:hAnsi="Arial" w:cs="Arial"/>
          <w:b/>
          <w:sz w:val="22"/>
          <w:szCs w:val="22"/>
          <w:lang w:val="en-US"/>
        </w:rPr>
      </w:pPr>
      <w:r w:rsidRPr="00AE71B5">
        <w:rPr>
          <w:rFonts w:ascii="Arial" w:hAnsi="Arial" w:cs="Arial"/>
          <w:b/>
          <w:sz w:val="22"/>
          <w:szCs w:val="22"/>
          <w:lang w:val="en-US"/>
        </w:rPr>
        <w:t>United States of America</w:t>
      </w:r>
    </w:p>
    <w:bookmarkEnd w:id="590"/>
    <w:p w14:paraId="6DB7098A" w14:textId="77777777" w:rsidR="006C41C4" w:rsidRPr="00724568" w:rsidRDefault="006C41C4" w:rsidP="006C41C4">
      <w:pPr>
        <w:snapToGrid/>
        <w:spacing w:after="120"/>
        <w:jc w:val="both"/>
        <w:rPr>
          <w:rFonts w:ascii="Arial" w:hAnsi="Arial" w:cs="Arial"/>
          <w:sz w:val="22"/>
          <w:szCs w:val="22"/>
          <w:lang w:val="en-US"/>
        </w:rPr>
      </w:pPr>
      <w:r w:rsidRPr="00AE71B5">
        <w:rPr>
          <w:rFonts w:ascii="Arial" w:eastAsia="Simsun (Founder Extended)" w:hAnsi="Arial" w:cs="Arial"/>
          <w:snapToGrid/>
          <w:sz w:val="22"/>
          <w:szCs w:val="22"/>
          <w:lang w:val="en-US"/>
        </w:rPr>
        <w:t xml:space="preserve">The United States thanks the sponsors of the Resolution and appreciates the constructive dialogue held within the Finance Committee </w:t>
      </w:r>
      <w:proofErr w:type="gramStart"/>
      <w:r w:rsidRPr="00AE71B5">
        <w:rPr>
          <w:rFonts w:ascii="Arial" w:eastAsia="Simsun (Founder Extended)" w:hAnsi="Arial" w:cs="Arial"/>
          <w:snapToGrid/>
          <w:sz w:val="22"/>
          <w:szCs w:val="22"/>
          <w:lang w:val="en-US"/>
        </w:rPr>
        <w:t>as a means to</w:t>
      </w:r>
      <w:proofErr w:type="gramEnd"/>
      <w:r w:rsidRPr="00AE71B5">
        <w:rPr>
          <w:rFonts w:ascii="Arial" w:eastAsia="Simsun (Founder Extended)" w:hAnsi="Arial" w:cs="Arial"/>
          <w:snapToGrid/>
          <w:sz w:val="22"/>
          <w:szCs w:val="22"/>
          <w:lang w:val="en-US"/>
        </w:rPr>
        <w:t xml:space="preserve"> refine this document. We remain supportive of the IOC’s work to strengthen the Regional Sub-commissions and to enhance their capacity to carry out Member State priorities. However, as mentioned earlier this week, and in line with our opening statement, the United States disassociates from the language in paragraph 3 recalling the 2030 Agenda.</w:t>
      </w:r>
    </w:p>
    <w:p w14:paraId="18184BB4" w14:textId="55F03C7D" w:rsidR="00724568" w:rsidRPr="006C41C4" w:rsidRDefault="00724568" w:rsidP="00B21807">
      <w:pPr>
        <w:pStyle w:val="ListParagraph1"/>
        <w:ind w:left="0"/>
        <w:jc w:val="center"/>
        <w:rPr>
          <w:rFonts w:ascii="Arial" w:hAnsi="Arial"/>
          <w:sz w:val="22"/>
          <w:lang w:val="en-US"/>
        </w:rPr>
      </w:pPr>
    </w:p>
    <w:sectPr w:rsidR="00724568" w:rsidRPr="006C41C4" w:rsidSect="00B21807">
      <w:headerReference w:type="even" r:id="rId91"/>
      <w:headerReference w:type="default" r:id="rId92"/>
      <w:headerReference w:type="first" r:id="rId93"/>
      <w:type w:val="oddPage"/>
      <w:pgSz w:w="11907" w:h="16840" w:code="9"/>
      <w:pgMar w:top="1304" w:right="1268" w:bottom="1134" w:left="1302"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FB28" w14:textId="77777777" w:rsidR="00E21E58" w:rsidRDefault="00E21E58">
      <w:r>
        <w:separator/>
      </w:r>
    </w:p>
    <w:p w14:paraId="45CEEDE5" w14:textId="77777777" w:rsidR="00E21E58" w:rsidRDefault="00E21E58"/>
  </w:endnote>
  <w:endnote w:type="continuationSeparator" w:id="0">
    <w:p w14:paraId="632ED6A3" w14:textId="77777777" w:rsidR="00E21E58" w:rsidRDefault="00E21E58">
      <w:r>
        <w:continuationSeparator/>
      </w:r>
    </w:p>
    <w:p w14:paraId="16ED1385" w14:textId="77777777" w:rsidR="00E21E58" w:rsidRDefault="00E21E58"/>
  </w:endnote>
  <w:endnote w:type="continuationNotice" w:id="1">
    <w:p w14:paraId="0130AFC5" w14:textId="77777777" w:rsidR="00E21E58" w:rsidRDefault="00E21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Founder Extended)">
    <w:altName w:val="Microsoft YaHei"/>
    <w:panose1 w:val="00000000000000000000"/>
    <w:charset w:val="00"/>
    <w:family w:val="roman"/>
    <w:notTrueType/>
    <w:pitch w:val="default"/>
  </w:font>
  <w:font w:name="Adobe Devanagari">
    <w:altName w:val="Nirmala UI"/>
    <w:panose1 w:val="00000000000000000000"/>
    <w:charset w:val="00"/>
    <w:family w:val="roman"/>
    <w:notTrueType/>
    <w:pitch w:val="variable"/>
    <w:sig w:usb0="00008003" w:usb1="00000000" w:usb2="00000000" w:usb3="00000000" w:csb0="00000001" w:csb1="00000000"/>
  </w:font>
  <w:font w:name="Arial Nova">
    <w:charset w:val="00"/>
    <w:family w:val="swiss"/>
    <w:pitch w:val="variable"/>
    <w:sig w:usb0="0000028F"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3DC9" w14:textId="77777777" w:rsidR="00E76206" w:rsidRDefault="00E76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85AD" w14:textId="77777777" w:rsidR="00E21E58" w:rsidRDefault="00E21E58">
      <w:r>
        <w:separator/>
      </w:r>
    </w:p>
    <w:p w14:paraId="1FDF1F2F" w14:textId="77777777" w:rsidR="00E21E58" w:rsidRDefault="00E21E58"/>
  </w:footnote>
  <w:footnote w:type="continuationSeparator" w:id="0">
    <w:p w14:paraId="404C7321" w14:textId="77777777" w:rsidR="00E21E58" w:rsidRDefault="00E21E58">
      <w:r>
        <w:continuationSeparator/>
      </w:r>
    </w:p>
    <w:p w14:paraId="4FE98650" w14:textId="77777777" w:rsidR="00E21E58" w:rsidRDefault="00E21E58"/>
  </w:footnote>
  <w:footnote w:type="continuationNotice" w:id="1">
    <w:p w14:paraId="45DC4596" w14:textId="77777777" w:rsidR="00E21E58" w:rsidRDefault="00E21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8BB5" w14:textId="77777777" w:rsidR="00E76206" w:rsidRPr="009F4FAB" w:rsidRDefault="00E76206">
    <w:pPr>
      <w:pStyle w:val="Header"/>
      <w:tabs>
        <w:tab w:val="clear" w:pos="8306"/>
      </w:tabs>
      <w:rPr>
        <w:rStyle w:val="PageNumber"/>
        <w:rFonts w:ascii="Arial" w:hAnsi="Arial" w:cs="Arial"/>
        <w:sz w:val="20"/>
        <w:szCs w:val="20"/>
      </w:rPr>
    </w:pPr>
    <w:r>
      <w:rPr>
        <w:rFonts w:ascii="Arial" w:hAnsi="Arial" w:cs="Arial"/>
        <w:sz w:val="20"/>
        <w:szCs w:val="20"/>
        <w:lang w:val="es"/>
      </w:rPr>
      <w:t xml:space="preserve">IOC-XXIV/2 - Página </w:t>
    </w:r>
    <w:r>
      <w:rPr>
        <w:rStyle w:val="PageNumber"/>
        <w:rFonts w:ascii="Arial" w:hAnsi="Arial" w:cs="Arial"/>
        <w:sz w:val="20"/>
        <w:szCs w:val="20"/>
        <w:lang w:val="es"/>
      </w:rPr>
      <w:fldChar w:fldCharType="begin"/>
    </w:r>
    <w:r>
      <w:rPr>
        <w:rStyle w:val="PageNumber"/>
        <w:rFonts w:ascii="Arial" w:hAnsi="Arial" w:cs="Arial"/>
        <w:sz w:val="20"/>
        <w:szCs w:val="20"/>
        <w:lang w:val="es"/>
      </w:rPr>
      <w:instrText xml:space="preserve"> PAGE </w:instrText>
    </w:r>
    <w:r>
      <w:rPr>
        <w:rStyle w:val="PageNumber"/>
        <w:rFonts w:ascii="Arial" w:hAnsi="Arial" w:cs="Arial"/>
        <w:sz w:val="20"/>
        <w:szCs w:val="20"/>
        <w:lang w:val="es"/>
      </w:rPr>
      <w:fldChar w:fldCharType="separate"/>
    </w:r>
    <w:r>
      <w:rPr>
        <w:rStyle w:val="PageNumber"/>
        <w:rFonts w:ascii="Arial" w:hAnsi="Arial" w:cs="Arial"/>
        <w:noProof/>
        <w:sz w:val="20"/>
        <w:szCs w:val="20"/>
        <w:lang w:val="es"/>
      </w:rPr>
      <w:t>2</w:t>
    </w:r>
    <w:r>
      <w:rPr>
        <w:rStyle w:val="PageNumber"/>
        <w:rFonts w:ascii="Arial" w:hAnsi="Arial" w:cs="Arial"/>
        <w:sz w:val="20"/>
        <w:szCs w:val="20"/>
        <w:lang w:val="es"/>
      </w:rPr>
      <w:fldChar w:fldCharType="end"/>
    </w:r>
  </w:p>
  <w:p w14:paraId="4ED58BC6" w14:textId="77777777" w:rsidR="00E76206" w:rsidRPr="009F4FAB" w:rsidRDefault="00E76206">
    <w:pPr>
      <w:pStyle w:val="Header"/>
      <w:tabs>
        <w:tab w:val="clear" w:pos="8306"/>
      </w:tabs>
      <w:rPr>
        <w:rFonts w:ascii="Arial" w:hAnsi="Arial" w:cs="Arial"/>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0A73" w14:textId="372D3F0C" w:rsidR="007B0BF4" w:rsidRPr="006C41C4" w:rsidRDefault="007B0BF4" w:rsidP="0092772B">
    <w:pPr>
      <w:pStyle w:val="Header"/>
      <w:tabs>
        <w:tab w:val="clear" w:pos="8306"/>
      </w:tabs>
      <w:ind w:left="7655" w:right="-284"/>
      <w:rPr>
        <w:rStyle w:val="PageNumber"/>
        <w:rFonts w:ascii="Arial" w:hAnsi="Arial" w:cs="Arial"/>
        <w:sz w:val="20"/>
        <w:szCs w:val="20"/>
        <w:lang w:val="es-ES"/>
      </w:rPr>
    </w:pPr>
    <w:r>
      <w:rPr>
        <w:rFonts w:ascii="Arial" w:hAnsi="Arial"/>
        <w:sz w:val="20"/>
        <w:lang w:val="es"/>
      </w:rPr>
      <w:t xml:space="preserve">IOC/A-33/SR </w:t>
    </w:r>
  </w:p>
  <w:p w14:paraId="18BDCE2C" w14:textId="2D7D30A8" w:rsidR="007B0BF4" w:rsidRPr="006C41C4" w:rsidRDefault="007B0BF4" w:rsidP="00B21807">
    <w:pPr>
      <w:pStyle w:val="Header"/>
      <w:tabs>
        <w:tab w:val="clear" w:pos="8306"/>
      </w:tabs>
      <w:ind w:left="7655" w:right="-284"/>
      <w:rPr>
        <w:rStyle w:val="PageNumber"/>
        <w:rFonts w:ascii="Arial" w:hAnsi="Arial"/>
        <w:sz w:val="20"/>
        <w:lang w:val="es-ES"/>
      </w:rPr>
    </w:pPr>
    <w:r>
      <w:rPr>
        <w:rStyle w:val="PageNumber"/>
        <w:rFonts w:ascii="Arial" w:hAnsi="Arial" w:cs="Arial"/>
        <w:sz w:val="20"/>
        <w:szCs w:val="20"/>
        <w:lang w:val="es"/>
      </w:rPr>
      <w:t xml:space="preserve">Anexo </w:t>
    </w:r>
    <w:r>
      <w:rPr>
        <w:rFonts w:ascii="Arial" w:hAnsi="Arial"/>
        <w:sz w:val="20"/>
        <w:lang w:val="es"/>
      </w:rPr>
      <w:t xml:space="preserve">- página </w:t>
    </w:r>
    <w:r>
      <w:rPr>
        <w:rStyle w:val="PageNumber"/>
        <w:rFonts w:ascii="Arial" w:hAnsi="Arial" w:cs="Arial"/>
        <w:noProof/>
        <w:sz w:val="20"/>
        <w:szCs w:val="20"/>
        <w:lang w:val="es"/>
      </w:rPr>
      <w:fldChar w:fldCharType="begin"/>
    </w:r>
    <w:r>
      <w:rPr>
        <w:rStyle w:val="PageNumber"/>
        <w:rFonts w:ascii="Arial" w:hAnsi="Arial"/>
        <w:sz w:val="20"/>
        <w:lang w:val="es"/>
      </w:rPr>
      <w:instrText xml:space="preserve"> PAGE </w:instrText>
    </w:r>
    <w:r>
      <w:rPr>
        <w:rStyle w:val="PageNumber"/>
        <w:rFonts w:ascii="Arial" w:hAnsi="Arial" w:cs="Arial"/>
        <w:sz w:val="20"/>
        <w:szCs w:val="20"/>
        <w:lang w:val="es"/>
      </w:rPr>
      <w:fldChar w:fldCharType="separate"/>
    </w:r>
    <w:r>
      <w:rPr>
        <w:rStyle w:val="PageNumber"/>
        <w:rFonts w:ascii="Arial" w:hAnsi="Arial"/>
        <w:sz w:val="20"/>
        <w:lang w:val="es"/>
      </w:rPr>
      <w:t>3</w:t>
    </w:r>
    <w:r>
      <w:rPr>
        <w:rStyle w:val="PageNumber"/>
        <w:rFonts w:ascii="Arial" w:hAnsi="Arial" w:cs="Arial"/>
        <w:noProof/>
        <w:sz w:val="20"/>
        <w:szCs w:val="20"/>
        <w:lang w:val="es"/>
      </w:rPr>
      <w:fldChar w:fldCharType="end"/>
    </w:r>
  </w:p>
  <w:p w14:paraId="449B3325" w14:textId="77777777" w:rsidR="007B0BF4" w:rsidRPr="006C41C4" w:rsidRDefault="007B0BF4" w:rsidP="00DB6568">
    <w:pPr>
      <w:pStyle w:val="Header"/>
      <w:tabs>
        <w:tab w:val="clear" w:pos="8306"/>
      </w:tabs>
      <w:ind w:right="499"/>
      <w:jc w:val="right"/>
      <w:rPr>
        <w:rStyle w:val="PageNumber"/>
        <w:rFonts w:ascii="Arial" w:hAnsi="Arial"/>
        <w:sz w:val="20"/>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DA1D" w14:textId="61E9B601" w:rsidR="007B0BF4" w:rsidRDefault="007B0BF4" w:rsidP="00553C64">
    <w:pPr>
      <w:pStyle w:val="Header"/>
      <w:jc w:val="right"/>
      <w:rPr>
        <w:rFonts w:ascii="Arial" w:hAnsi="Arial" w:cs="Arial"/>
        <w:sz w:val="20"/>
        <w:szCs w:val="20"/>
      </w:rPr>
    </w:pPr>
    <w:r>
      <w:rPr>
        <w:rFonts w:ascii="Arial" w:hAnsi="Arial" w:cs="Arial"/>
        <w:sz w:val="20"/>
        <w:szCs w:val="20"/>
        <w:lang w:val="es"/>
      </w:rPr>
      <w:t>IOC/A-33/SR</w:t>
    </w:r>
    <w:r>
      <w:rPr>
        <w:rFonts w:ascii="Arial" w:hAnsi="Arial" w:cs="Arial"/>
        <w:sz w:val="20"/>
        <w:szCs w:val="20"/>
        <w:lang w:val="es"/>
      </w:rPr>
      <w:br/>
      <w:t>Anexo</w:t>
    </w:r>
  </w:p>
  <w:p w14:paraId="66A7DA5E" w14:textId="77777777" w:rsidR="007B0BF4" w:rsidRDefault="007B0BF4" w:rsidP="00553C6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583B" w14:textId="019D0E8D" w:rsidR="00E76206" w:rsidRPr="006C41C4" w:rsidRDefault="200FC549" w:rsidP="006C41C4">
    <w:pPr>
      <w:pStyle w:val="Marge"/>
      <w:tabs>
        <w:tab w:val="left" w:pos="6379"/>
      </w:tabs>
      <w:spacing w:after="0"/>
      <w:jc w:val="left"/>
      <w:rPr>
        <w:rFonts w:ascii="Arial" w:hAnsi="Arial" w:cs="Arial"/>
        <w:b/>
        <w:bCs/>
        <w:lang w:val="es-ES"/>
      </w:rPr>
    </w:pPr>
    <w:r>
      <w:rPr>
        <w:rFonts w:ascii="Arial" w:hAnsi="Arial"/>
        <w:lang w:val="es"/>
      </w:rPr>
      <w:t>Distribución restringida</w:t>
    </w:r>
    <w:r>
      <w:rPr>
        <w:rFonts w:ascii="Arial" w:hAnsi="Arial"/>
        <w:lang w:val="es"/>
      </w:rPr>
      <w:tab/>
    </w:r>
    <w:r>
      <w:rPr>
        <w:rFonts w:ascii="Arial" w:hAnsi="Arial"/>
        <w:b/>
        <w:bCs/>
        <w:sz w:val="36"/>
        <w:szCs w:val="36"/>
        <w:lang w:val="es"/>
      </w:rPr>
      <w:t>IOC/A-33/SR</w:t>
    </w:r>
  </w:p>
  <w:p w14:paraId="78278A8D" w14:textId="150E5679" w:rsidR="00E76206" w:rsidRPr="006C41C4" w:rsidRDefault="008F3A87" w:rsidP="006C41C4">
    <w:pPr>
      <w:tabs>
        <w:tab w:val="clear" w:pos="567"/>
        <w:tab w:val="left" w:pos="6379"/>
      </w:tabs>
      <w:jc w:val="both"/>
      <w:rPr>
        <w:rFonts w:ascii="Arial" w:hAnsi="Arial" w:cs="Arial"/>
        <w:szCs w:val="22"/>
        <w:lang w:val="es-ES"/>
      </w:rPr>
    </w:pPr>
    <w:r>
      <w:rPr>
        <w:noProof/>
        <w:lang w:val="es"/>
      </w:rPr>
      <w:drawing>
        <wp:anchor distT="0" distB="0" distL="114300" distR="114300" simplePos="0" relativeHeight="251658240" behindDoc="0" locked="0" layoutInCell="1" allowOverlap="1" wp14:anchorId="585A713B" wp14:editId="0833C248">
          <wp:simplePos x="0" y="0"/>
          <wp:positionH relativeFrom="column">
            <wp:posOffset>-110427</wp:posOffset>
          </wp:positionH>
          <wp:positionV relativeFrom="paragraph">
            <wp:posOffset>101600</wp:posOffset>
          </wp:positionV>
          <wp:extent cx="1578610" cy="1047115"/>
          <wp:effectExtent l="0" t="0" r="0" b="0"/>
          <wp:wrapSquare wrapText="bothSides"/>
          <wp:docPr id="1" name="Picture 1"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pic:spPr>
              </pic:pic>
            </a:graphicData>
          </a:graphic>
          <wp14:sizeRelH relativeFrom="page">
            <wp14:pctWidth>0</wp14:pctWidth>
          </wp14:sizeRelH>
          <wp14:sizeRelV relativeFrom="page">
            <wp14:pctHeight>0</wp14:pctHeight>
          </wp14:sizeRelV>
        </wp:anchor>
      </w:drawing>
    </w:r>
    <w:r>
      <w:rPr>
        <w:lang w:val="es"/>
      </w:rPr>
      <w:tab/>
    </w:r>
    <w:r>
      <w:rPr>
        <w:rFonts w:ascii="Arial" w:hAnsi="Arial"/>
        <w:szCs w:val="22"/>
        <w:lang w:val="es"/>
      </w:rPr>
      <w:t>París, 29 de agosto de 2025</w:t>
    </w:r>
  </w:p>
  <w:p w14:paraId="1FFB2921" w14:textId="35A0C444" w:rsidR="00E76206" w:rsidRPr="006C41C4" w:rsidRDefault="009F05D2" w:rsidP="006C41C4">
    <w:pPr>
      <w:tabs>
        <w:tab w:val="clear" w:pos="567"/>
        <w:tab w:val="left" w:pos="6379"/>
      </w:tabs>
      <w:jc w:val="both"/>
      <w:rPr>
        <w:rFonts w:ascii="Arial" w:hAnsi="Arial" w:cs="Arial"/>
        <w:szCs w:val="22"/>
        <w:lang w:val="es-ES"/>
      </w:rPr>
    </w:pPr>
    <w:r>
      <w:rPr>
        <w:rFonts w:ascii="Arial" w:hAnsi="Arial" w:cs="Arial"/>
        <w:szCs w:val="22"/>
        <w:lang w:val="es"/>
      </w:rPr>
      <w:tab/>
      <w:t xml:space="preserve">Original: </w:t>
    </w:r>
    <w:proofErr w:type="gramStart"/>
    <w:r>
      <w:rPr>
        <w:rFonts w:ascii="Arial" w:hAnsi="Arial" w:cs="Arial"/>
        <w:szCs w:val="22"/>
        <w:lang w:val="es"/>
      </w:rPr>
      <w:t>Inglés</w:t>
    </w:r>
    <w:proofErr w:type="gramEnd"/>
  </w:p>
  <w:p w14:paraId="01658BAB" w14:textId="77777777" w:rsidR="00E76206" w:rsidRPr="006C41C4" w:rsidRDefault="00E76206" w:rsidP="000B2343">
    <w:pPr>
      <w:tabs>
        <w:tab w:val="left" w:pos="-1440"/>
        <w:tab w:val="left" w:pos="-720"/>
        <w:tab w:val="left" w:pos="0"/>
        <w:tab w:val="left" w:pos="720"/>
        <w:tab w:val="left" w:pos="1440"/>
        <w:tab w:val="left" w:pos="2160"/>
        <w:tab w:val="left" w:pos="2880"/>
        <w:tab w:val="left" w:pos="3600"/>
        <w:tab w:val="left" w:pos="4320"/>
        <w:tab w:val="left" w:pos="5040"/>
        <w:tab w:val="left" w:pos="5387"/>
        <w:tab w:val="left" w:pos="5812"/>
        <w:tab w:val="left" w:pos="7020"/>
        <w:tab w:val="left" w:pos="7088"/>
      </w:tabs>
      <w:jc w:val="both"/>
      <w:rPr>
        <w:rFonts w:cs="Arial"/>
        <w:b/>
        <w:szCs w:val="22"/>
        <w:lang w:val="es-ES"/>
      </w:rPr>
    </w:pPr>
  </w:p>
  <w:p w14:paraId="2FABC6D6" w14:textId="77777777" w:rsidR="00862E85" w:rsidRPr="006C41C4"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6BF7BD8F" w14:textId="77777777" w:rsidR="00862E85" w:rsidRPr="006C41C4"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1A2FF6AC" w14:textId="77777777" w:rsidR="00862E85" w:rsidRPr="006C41C4"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3D16ECF1" w14:textId="77777777" w:rsidR="00862E85" w:rsidRPr="006C41C4"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338CA5D4" w14:textId="77777777" w:rsidR="00862E85" w:rsidRPr="006C41C4"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es-ES"/>
      </w:rPr>
    </w:pPr>
  </w:p>
  <w:p w14:paraId="35C28C69" w14:textId="77777777" w:rsidR="00E76206" w:rsidRPr="006C41C4" w:rsidRDefault="00E76206"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
        <w:sz w:val="22"/>
        <w:szCs w:val="22"/>
        <w:lang w:val="es-ES"/>
      </w:rPr>
    </w:pPr>
    <w:r>
      <w:rPr>
        <w:rFonts w:ascii="Arial" w:hAnsi="Arial" w:cs="Arial"/>
        <w:b/>
        <w:bCs/>
        <w:sz w:val="22"/>
        <w:szCs w:val="22"/>
        <w:lang w:val="es"/>
      </w:rPr>
      <w:t>COMISIÓN OCEANOGRÁFICA INTERGUBERNAMENTAL</w:t>
    </w:r>
  </w:p>
  <w:p w14:paraId="03915C2F" w14:textId="77777777" w:rsidR="00E76206" w:rsidRPr="006C41C4" w:rsidRDefault="00E76206"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
      </w:rPr>
    </w:pPr>
    <w:r>
      <w:rPr>
        <w:rFonts w:ascii="Arial" w:hAnsi="Arial" w:cs="Arial"/>
        <w:sz w:val="22"/>
        <w:szCs w:val="22"/>
        <w:lang w:val="es"/>
      </w:rPr>
      <w:t>(de la UNESCO)</w:t>
    </w:r>
  </w:p>
  <w:p w14:paraId="7A8A27D9" w14:textId="77777777" w:rsidR="00E76206" w:rsidRPr="006C41C4" w:rsidRDefault="00E76206" w:rsidP="00862E8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2127B98D" w14:textId="2CED4AA1" w:rsidR="00E76206" w:rsidRPr="006C41C4" w:rsidRDefault="00E76206" w:rsidP="00862E8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s-ES"/>
      </w:rPr>
    </w:pPr>
    <w:r>
      <w:rPr>
        <w:rFonts w:ascii="Arial" w:hAnsi="Arial" w:cs="Arial"/>
        <w:b/>
        <w:bCs/>
        <w:lang w:val="es"/>
      </w:rPr>
      <w:t>33ª reunión de la Asamblea</w:t>
    </w:r>
  </w:p>
  <w:p w14:paraId="0C062AAC" w14:textId="7610517F" w:rsidR="00E76206" w:rsidRPr="006C41C4" w:rsidRDefault="00E76206" w:rsidP="00862E8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sz w:val="22"/>
        <w:szCs w:val="22"/>
        <w:lang w:val="es-ES"/>
      </w:rPr>
    </w:pPr>
    <w:r>
      <w:rPr>
        <w:rFonts w:ascii="Arial" w:hAnsi="Arial" w:cs="Arial"/>
        <w:lang w:val="es"/>
      </w:rPr>
      <w:t>UNESCO, 25 de junio-3 de julio de 2025</w:t>
    </w:r>
  </w:p>
  <w:p w14:paraId="639FB0CB" w14:textId="77777777" w:rsidR="00E76206" w:rsidRPr="006C41C4" w:rsidRDefault="00E76206" w:rsidP="00862E85">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
      </w:rPr>
    </w:pPr>
  </w:p>
  <w:p w14:paraId="004E5150" w14:textId="77777777" w:rsidR="00E76206" w:rsidRPr="006C41C4" w:rsidRDefault="00E76206" w:rsidP="008B7757">
    <w:pPr>
      <w:jc w:val="center"/>
      <w:rPr>
        <w:rFonts w:ascii="Arial" w:hAnsi="Arial" w:cs="Arial"/>
        <w:sz w:val="22"/>
        <w:szCs w:val="22"/>
        <w:lang w:val="es-ES"/>
      </w:rPr>
    </w:pPr>
  </w:p>
  <w:p w14:paraId="57921D50" w14:textId="77777777" w:rsidR="00E76206" w:rsidRPr="006C41C4" w:rsidRDefault="00E76206" w:rsidP="008B7757">
    <w:pPr>
      <w:jc w:val="center"/>
      <w:rPr>
        <w:rFonts w:cs="Arial"/>
        <w:szCs w:val="22"/>
        <w:lang w:val="es-ES"/>
      </w:rPr>
    </w:pPr>
  </w:p>
  <w:p w14:paraId="1B7B6932" w14:textId="77777777" w:rsidR="00E76206" w:rsidRPr="006C41C4" w:rsidRDefault="00E76206" w:rsidP="008B7757">
    <w:pPr>
      <w:jc w:val="center"/>
      <w:rPr>
        <w:rFonts w:cs="Arial"/>
        <w:szCs w:val="22"/>
        <w:lang w:val="es-ES"/>
      </w:rPr>
    </w:pPr>
  </w:p>
  <w:p w14:paraId="687F70F0" w14:textId="77777777" w:rsidR="00E76206" w:rsidRPr="006C41C4" w:rsidRDefault="00E76206" w:rsidP="008B7757">
    <w:pPr>
      <w:jc w:val="center"/>
      <w:rPr>
        <w:rFonts w:cs="Arial"/>
        <w:szCs w:val="22"/>
        <w:lang w:val="es-ES"/>
      </w:rPr>
    </w:pPr>
  </w:p>
  <w:p w14:paraId="7C1C95DA" w14:textId="77777777" w:rsidR="00E76206" w:rsidRPr="006C41C4" w:rsidRDefault="00E76206" w:rsidP="008B7757">
    <w:pPr>
      <w:jc w:val="center"/>
      <w:rPr>
        <w:rFonts w:cs="Arial"/>
        <w:szCs w:val="22"/>
        <w:lang w:val="es-ES"/>
      </w:rPr>
    </w:pPr>
  </w:p>
  <w:p w14:paraId="492D512E" w14:textId="77777777" w:rsidR="00E76206" w:rsidRPr="006C41C4" w:rsidRDefault="00E76206" w:rsidP="008B7757">
    <w:pPr>
      <w:rPr>
        <w:rFonts w:cs="Arial"/>
        <w:szCs w:val="22"/>
        <w:lang w:val="es-ES"/>
      </w:rPr>
    </w:pPr>
  </w:p>
  <w:p w14:paraId="6A9036F0" w14:textId="3918C841" w:rsidR="00E76206" w:rsidRPr="009C15B1" w:rsidRDefault="00B024EB" w:rsidP="008B7757">
    <w:pPr>
      <w:pStyle w:val="Docheading"/>
    </w:pPr>
    <w:r>
      <w:rPr>
        <w:lang w:val="es"/>
      </w:rPr>
      <w:t>INFORME RESUMIDO</w:t>
    </w:r>
  </w:p>
  <w:p w14:paraId="39987E3D" w14:textId="77777777" w:rsidR="00E76206" w:rsidRPr="008B7757" w:rsidRDefault="00E76206" w:rsidP="008B7757">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DC2E" w14:textId="717BE1F5" w:rsidR="00E76206" w:rsidRPr="00FD1005" w:rsidRDefault="200FC549" w:rsidP="200FC549">
    <w:pPr>
      <w:pStyle w:val="Header"/>
      <w:tabs>
        <w:tab w:val="clear" w:pos="8306"/>
      </w:tabs>
      <w:rPr>
        <w:rStyle w:val="PageNumber"/>
        <w:rFonts w:ascii="Arial" w:hAnsi="Arial" w:cs="Arial"/>
        <w:sz w:val="20"/>
        <w:szCs w:val="20"/>
      </w:rPr>
    </w:pPr>
    <w:r>
      <w:rPr>
        <w:rFonts w:ascii="Arial" w:hAnsi="Arial" w:cs="Arial"/>
        <w:sz w:val="20"/>
        <w:szCs w:val="20"/>
        <w:lang w:val="es"/>
      </w:rPr>
      <w:t>IOC/A-33/SR - página (</w:t>
    </w:r>
    <w:r>
      <w:rPr>
        <w:rStyle w:val="PageNumber"/>
        <w:rFonts w:ascii="Arial" w:hAnsi="Arial" w:cs="Arial"/>
        <w:noProof/>
        <w:sz w:val="20"/>
        <w:szCs w:val="20"/>
        <w:lang w:val="es"/>
      </w:rPr>
      <w:fldChar w:fldCharType="begin"/>
    </w:r>
    <w:r>
      <w:rPr>
        <w:rStyle w:val="PageNumber"/>
        <w:rFonts w:ascii="Arial" w:hAnsi="Arial" w:cs="Arial"/>
        <w:sz w:val="20"/>
        <w:szCs w:val="20"/>
        <w:lang w:val="es"/>
      </w:rPr>
      <w:instrText xml:space="preserve"> PAGE </w:instrText>
    </w:r>
    <w:r>
      <w:rPr>
        <w:rStyle w:val="PageNumber"/>
        <w:rFonts w:ascii="Arial" w:hAnsi="Arial" w:cs="Arial"/>
        <w:sz w:val="20"/>
        <w:szCs w:val="20"/>
        <w:lang w:val="es"/>
      </w:rPr>
      <w:fldChar w:fldCharType="separate"/>
    </w:r>
    <w:r>
      <w:rPr>
        <w:rStyle w:val="PageNumber"/>
        <w:rFonts w:ascii="Arial" w:hAnsi="Arial" w:cs="Arial"/>
        <w:noProof/>
        <w:sz w:val="20"/>
        <w:szCs w:val="20"/>
        <w:lang w:val="es"/>
      </w:rPr>
      <w:t>ii</w:t>
    </w:r>
    <w:r>
      <w:rPr>
        <w:rStyle w:val="PageNumber"/>
        <w:rFonts w:ascii="Arial" w:hAnsi="Arial" w:cs="Arial"/>
        <w:noProof/>
        <w:sz w:val="20"/>
        <w:szCs w:val="20"/>
        <w:lang w:val="es"/>
      </w:rPr>
      <w:fldChar w:fldCharType="end"/>
    </w:r>
    <w:r>
      <w:rPr>
        <w:rStyle w:val="PageNumber"/>
        <w:rFonts w:ascii="Arial" w:hAnsi="Arial" w:cs="Arial"/>
        <w:sz w:val="20"/>
        <w:szCs w:val="20"/>
        <w:lang w:val="es"/>
      </w:rPr>
      <w:t>)</w:t>
    </w:r>
  </w:p>
  <w:p w14:paraId="012D77E7" w14:textId="77777777" w:rsidR="00E76206" w:rsidRPr="00FD1005" w:rsidRDefault="00E76206" w:rsidP="00513ABF">
    <w:pPr>
      <w:pStyle w:val="Header"/>
      <w:tabs>
        <w:tab w:val="clear" w:pos="8306"/>
      </w:tabs>
      <w:ind w:right="500"/>
      <w:rPr>
        <w:rStyle w:val="PageNumber"/>
        <w:rFonts w:ascii="Arial" w:hAnsi="Arial" w:cs="Arial"/>
        <w:sz w:val="20"/>
        <w:szCs w:val="20"/>
      </w:rPr>
    </w:pPr>
  </w:p>
  <w:p w14:paraId="485D8C52" w14:textId="77777777" w:rsidR="00E76206" w:rsidRPr="00FD1005" w:rsidRDefault="00E762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FAC1" w14:textId="7C8EA0F4" w:rsidR="00E76206" w:rsidRPr="00FD1005" w:rsidRDefault="200FC549" w:rsidP="200FC549">
    <w:pPr>
      <w:pStyle w:val="Header"/>
      <w:tabs>
        <w:tab w:val="clear" w:pos="8306"/>
      </w:tabs>
      <w:jc w:val="right"/>
      <w:rPr>
        <w:rStyle w:val="PageNumber"/>
        <w:rFonts w:ascii="Arial" w:hAnsi="Arial" w:cs="Arial"/>
        <w:sz w:val="20"/>
        <w:szCs w:val="20"/>
      </w:rPr>
    </w:pPr>
    <w:r>
      <w:rPr>
        <w:rFonts w:ascii="Arial" w:hAnsi="Arial" w:cs="Arial"/>
        <w:sz w:val="20"/>
        <w:szCs w:val="20"/>
        <w:lang w:val="es"/>
      </w:rPr>
      <w:t>IOC/A-33/SR - página (</w:t>
    </w:r>
    <w:r>
      <w:rPr>
        <w:rStyle w:val="PageNumber"/>
        <w:rFonts w:ascii="Arial" w:hAnsi="Arial" w:cs="Arial"/>
        <w:noProof/>
        <w:sz w:val="20"/>
        <w:szCs w:val="20"/>
        <w:lang w:val="es"/>
      </w:rPr>
      <w:fldChar w:fldCharType="begin"/>
    </w:r>
    <w:r>
      <w:rPr>
        <w:rStyle w:val="PageNumber"/>
        <w:rFonts w:ascii="Arial" w:hAnsi="Arial" w:cs="Arial"/>
        <w:sz w:val="20"/>
        <w:szCs w:val="20"/>
        <w:lang w:val="es"/>
      </w:rPr>
      <w:instrText xml:space="preserve"> PAGE </w:instrText>
    </w:r>
    <w:r>
      <w:rPr>
        <w:rStyle w:val="PageNumber"/>
        <w:rFonts w:ascii="Arial" w:hAnsi="Arial" w:cs="Arial"/>
        <w:sz w:val="20"/>
        <w:szCs w:val="20"/>
        <w:lang w:val="es"/>
      </w:rPr>
      <w:fldChar w:fldCharType="separate"/>
    </w:r>
    <w:r>
      <w:rPr>
        <w:rStyle w:val="PageNumber"/>
        <w:rFonts w:ascii="Arial" w:hAnsi="Arial" w:cs="Arial"/>
        <w:noProof/>
        <w:sz w:val="20"/>
        <w:szCs w:val="20"/>
        <w:lang w:val="es"/>
      </w:rPr>
      <w:t>i</w:t>
    </w:r>
    <w:r>
      <w:rPr>
        <w:rStyle w:val="PageNumber"/>
        <w:rFonts w:ascii="Arial" w:hAnsi="Arial" w:cs="Arial"/>
        <w:noProof/>
        <w:sz w:val="20"/>
        <w:szCs w:val="20"/>
        <w:lang w:val="es"/>
      </w:rPr>
      <w:fldChar w:fldCharType="end"/>
    </w:r>
    <w:r>
      <w:rPr>
        <w:rStyle w:val="PageNumber"/>
        <w:rFonts w:ascii="Arial" w:hAnsi="Arial" w:cs="Arial"/>
        <w:sz w:val="20"/>
        <w:szCs w:val="20"/>
        <w:lang w:val="es"/>
      </w:rPr>
      <w:t>)</w:t>
    </w:r>
  </w:p>
  <w:p w14:paraId="475A5D95" w14:textId="77777777" w:rsidR="00E76206" w:rsidRPr="00FD1005" w:rsidRDefault="00E76206" w:rsidP="004D45B8">
    <w:pPr>
      <w:pStyle w:val="Header"/>
      <w:tabs>
        <w:tab w:val="clear" w:pos="8306"/>
      </w:tabs>
      <w:ind w:right="500"/>
      <w:rPr>
        <w:rStyle w:val="PageNumber"/>
        <w:rFonts w:ascii="Arial" w:hAnsi="Arial" w:cs="Arial"/>
        <w:sz w:val="20"/>
        <w:szCs w:val="20"/>
      </w:rPr>
    </w:pPr>
  </w:p>
  <w:p w14:paraId="70C5020F" w14:textId="77777777" w:rsidR="00E76206" w:rsidRPr="00FD1005" w:rsidRDefault="00E76206" w:rsidP="002F71F0">
    <w:pPr>
      <w:pStyle w:val="Header"/>
      <w:tabs>
        <w:tab w:val="clear" w:pos="8306"/>
      </w:tabs>
      <w:ind w:right="499"/>
      <w:rPr>
        <w:rStyle w:val="PageNumbe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D1EB" w14:textId="77777777" w:rsidR="00E76206" w:rsidRDefault="00E762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D0F9" w14:textId="018A7F7A" w:rsidR="00E76206" w:rsidRPr="006C41C4" w:rsidRDefault="00E76206" w:rsidP="00913FF3">
    <w:pPr>
      <w:pStyle w:val="Header"/>
      <w:tabs>
        <w:tab w:val="clear" w:pos="8306"/>
      </w:tabs>
      <w:rPr>
        <w:rStyle w:val="PageNumber"/>
        <w:rFonts w:ascii="Arial" w:hAnsi="Arial" w:cs="Arial"/>
        <w:sz w:val="20"/>
        <w:szCs w:val="20"/>
        <w:lang w:val="es-ES"/>
      </w:rPr>
    </w:pPr>
    <w:r>
      <w:rPr>
        <w:rFonts w:ascii="Arial" w:hAnsi="Arial" w:cs="Arial"/>
        <w:sz w:val="20"/>
        <w:szCs w:val="20"/>
        <w:lang w:val="es"/>
      </w:rPr>
      <w:t xml:space="preserve">IOC/A-33/SR - página </w:t>
    </w:r>
    <w:r>
      <w:rPr>
        <w:rStyle w:val="PageNumber"/>
        <w:rFonts w:ascii="Arial" w:hAnsi="Arial" w:cs="Arial"/>
        <w:sz w:val="20"/>
        <w:szCs w:val="20"/>
        <w:lang w:val="es"/>
      </w:rPr>
      <w:fldChar w:fldCharType="begin"/>
    </w:r>
    <w:r>
      <w:rPr>
        <w:rStyle w:val="PageNumber"/>
        <w:rFonts w:ascii="Arial" w:hAnsi="Arial" w:cs="Arial"/>
        <w:sz w:val="20"/>
        <w:szCs w:val="20"/>
        <w:lang w:val="es"/>
      </w:rPr>
      <w:instrText xml:space="preserve"> PAGE </w:instrText>
    </w:r>
    <w:r>
      <w:rPr>
        <w:rStyle w:val="PageNumber"/>
        <w:rFonts w:ascii="Arial" w:hAnsi="Arial" w:cs="Arial"/>
        <w:sz w:val="20"/>
        <w:szCs w:val="20"/>
        <w:lang w:val="es"/>
      </w:rPr>
      <w:fldChar w:fldCharType="separate"/>
    </w:r>
    <w:r>
      <w:rPr>
        <w:rStyle w:val="PageNumber"/>
        <w:rFonts w:ascii="Arial" w:hAnsi="Arial" w:cs="Arial"/>
        <w:noProof/>
        <w:sz w:val="20"/>
        <w:szCs w:val="20"/>
        <w:lang w:val="es"/>
      </w:rPr>
      <w:t>4</w:t>
    </w:r>
    <w:r>
      <w:rPr>
        <w:rStyle w:val="PageNumber"/>
        <w:rFonts w:ascii="Arial" w:hAnsi="Arial" w:cs="Arial"/>
        <w:sz w:val="20"/>
        <w:szCs w:val="20"/>
        <w:lang w:val="es"/>
      </w:rPr>
      <w:fldChar w:fldCharType="end"/>
    </w:r>
  </w:p>
  <w:p w14:paraId="5DA7A2B1" w14:textId="57AA6356" w:rsidR="00E76206" w:rsidRPr="006C41C4" w:rsidRDefault="00E76206" w:rsidP="00513ABF">
    <w:pPr>
      <w:pStyle w:val="Header"/>
      <w:tabs>
        <w:tab w:val="clear" w:pos="8306"/>
      </w:tabs>
      <w:ind w:right="500"/>
      <w:rPr>
        <w:rStyle w:val="PageNumber"/>
        <w:rFonts w:ascii="Arial" w:hAnsi="Arial" w:cs="Arial"/>
        <w:sz w:val="20"/>
        <w:szCs w:val="20"/>
        <w:lang w:val="es-ES"/>
      </w:rPr>
    </w:pPr>
  </w:p>
  <w:p w14:paraId="03195006" w14:textId="77777777" w:rsidR="00E76206" w:rsidRPr="006C41C4" w:rsidRDefault="00E76206">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8F37" w14:textId="5514E37B" w:rsidR="00E76206" w:rsidRPr="006C41C4" w:rsidRDefault="200FC549" w:rsidP="200FC549">
    <w:pPr>
      <w:pStyle w:val="Header"/>
      <w:tabs>
        <w:tab w:val="clear" w:pos="8306"/>
      </w:tabs>
      <w:jc w:val="right"/>
      <w:rPr>
        <w:rStyle w:val="PageNumber"/>
        <w:rFonts w:ascii="Arial" w:hAnsi="Arial" w:cs="Arial"/>
        <w:sz w:val="20"/>
        <w:szCs w:val="20"/>
        <w:lang w:val="es-ES"/>
      </w:rPr>
    </w:pPr>
    <w:r>
      <w:rPr>
        <w:rFonts w:ascii="Arial" w:hAnsi="Arial" w:cs="Arial"/>
        <w:sz w:val="20"/>
        <w:szCs w:val="20"/>
        <w:lang w:val="es"/>
      </w:rPr>
      <w:t xml:space="preserve">IOC/A-33/SR - página </w:t>
    </w:r>
    <w:r>
      <w:rPr>
        <w:rStyle w:val="PageNumber"/>
        <w:rFonts w:ascii="Arial" w:hAnsi="Arial" w:cs="Arial"/>
        <w:noProof/>
        <w:sz w:val="20"/>
        <w:szCs w:val="20"/>
        <w:lang w:val="es"/>
      </w:rPr>
      <w:fldChar w:fldCharType="begin"/>
    </w:r>
    <w:r>
      <w:rPr>
        <w:rStyle w:val="PageNumber"/>
        <w:rFonts w:ascii="Arial" w:hAnsi="Arial" w:cs="Arial"/>
        <w:sz w:val="20"/>
        <w:szCs w:val="20"/>
        <w:lang w:val="es"/>
      </w:rPr>
      <w:instrText xml:space="preserve"> PAGE </w:instrText>
    </w:r>
    <w:r>
      <w:rPr>
        <w:rStyle w:val="PageNumber"/>
        <w:rFonts w:ascii="Arial" w:hAnsi="Arial" w:cs="Arial"/>
        <w:sz w:val="20"/>
        <w:szCs w:val="20"/>
        <w:lang w:val="es"/>
      </w:rPr>
      <w:fldChar w:fldCharType="separate"/>
    </w:r>
    <w:r>
      <w:rPr>
        <w:rStyle w:val="PageNumber"/>
        <w:rFonts w:ascii="Arial" w:hAnsi="Arial" w:cs="Arial"/>
        <w:noProof/>
        <w:sz w:val="20"/>
        <w:szCs w:val="20"/>
        <w:lang w:val="es"/>
      </w:rPr>
      <w:t>3</w:t>
    </w:r>
    <w:r>
      <w:rPr>
        <w:rStyle w:val="PageNumber"/>
        <w:rFonts w:ascii="Arial" w:hAnsi="Arial" w:cs="Arial"/>
        <w:noProof/>
        <w:sz w:val="20"/>
        <w:szCs w:val="20"/>
        <w:lang w:val="es"/>
      </w:rPr>
      <w:fldChar w:fldCharType="end"/>
    </w:r>
  </w:p>
  <w:p w14:paraId="79CF1083" w14:textId="77777777" w:rsidR="00E76206" w:rsidRPr="006C41C4" w:rsidRDefault="00E76206" w:rsidP="00DB6568">
    <w:pPr>
      <w:pStyle w:val="Header"/>
      <w:tabs>
        <w:tab w:val="clear" w:pos="8306"/>
      </w:tabs>
      <w:ind w:right="500"/>
      <w:jc w:val="right"/>
      <w:rPr>
        <w:rStyle w:val="PageNumber"/>
        <w:rFonts w:ascii="Arial" w:hAnsi="Arial" w:cs="Arial"/>
        <w:sz w:val="20"/>
        <w:szCs w:val="20"/>
        <w:lang w:val="es-ES"/>
      </w:rPr>
    </w:pPr>
  </w:p>
  <w:p w14:paraId="17B96223" w14:textId="77777777" w:rsidR="00E76206" w:rsidRPr="006C41C4" w:rsidRDefault="00E76206" w:rsidP="00DB6568">
    <w:pPr>
      <w:pStyle w:val="Header"/>
      <w:tabs>
        <w:tab w:val="clear" w:pos="8306"/>
      </w:tabs>
      <w:ind w:right="499"/>
      <w:jc w:val="right"/>
      <w:rPr>
        <w:rStyle w:val="PageNumber"/>
        <w:rFonts w:ascii="Arial" w:hAnsi="Arial" w:cs="Arial"/>
        <w:sz w:val="20"/>
        <w:szCs w:val="20"/>
        <w:lang w:val="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10DB" w14:textId="129933C1" w:rsidR="00553C64" w:rsidRDefault="200FC549" w:rsidP="00553C64">
    <w:pPr>
      <w:pStyle w:val="Header"/>
      <w:jc w:val="right"/>
    </w:pPr>
    <w:r>
      <w:rPr>
        <w:rFonts w:ascii="Arial" w:hAnsi="Arial" w:cs="Arial"/>
        <w:sz w:val="20"/>
        <w:szCs w:val="20"/>
        <w:lang w:val="es"/>
      </w:rPr>
      <w:t>IOC/A-33/SR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7ECC" w14:textId="659E3566" w:rsidR="007B0BF4" w:rsidRPr="006C41C4" w:rsidRDefault="007B0BF4" w:rsidP="00913FF3">
    <w:pPr>
      <w:pStyle w:val="Header"/>
      <w:tabs>
        <w:tab w:val="clear" w:pos="8306"/>
      </w:tabs>
      <w:rPr>
        <w:rStyle w:val="PageNumber"/>
        <w:rFonts w:ascii="Arial" w:hAnsi="Arial" w:cs="Arial"/>
        <w:sz w:val="20"/>
        <w:szCs w:val="20"/>
        <w:lang w:val="es-ES"/>
      </w:rPr>
    </w:pPr>
    <w:r>
      <w:rPr>
        <w:rFonts w:ascii="Arial" w:hAnsi="Arial"/>
        <w:sz w:val="20"/>
        <w:lang w:val="es"/>
      </w:rPr>
      <w:t>IOC/A-33/SR</w:t>
    </w:r>
  </w:p>
  <w:p w14:paraId="0AD80359" w14:textId="4D8975E8" w:rsidR="007B0BF4" w:rsidRPr="006C41C4" w:rsidRDefault="007B0BF4" w:rsidP="00B21807">
    <w:pPr>
      <w:pStyle w:val="Header"/>
      <w:tabs>
        <w:tab w:val="clear" w:pos="8306"/>
      </w:tabs>
      <w:ind w:right="500"/>
      <w:rPr>
        <w:rStyle w:val="PageNumber"/>
        <w:rFonts w:ascii="Arial" w:hAnsi="Arial" w:cs="Arial"/>
        <w:sz w:val="20"/>
        <w:szCs w:val="20"/>
        <w:lang w:val="es-ES"/>
      </w:rPr>
    </w:pPr>
    <w:r>
      <w:rPr>
        <w:rStyle w:val="PageNumber"/>
        <w:rFonts w:ascii="Arial" w:hAnsi="Arial" w:cs="Arial"/>
        <w:sz w:val="20"/>
        <w:szCs w:val="20"/>
        <w:lang w:val="es"/>
      </w:rPr>
      <w:t>Anexo</w:t>
    </w:r>
    <w:r>
      <w:rPr>
        <w:rFonts w:ascii="Arial" w:hAnsi="Arial" w:cs="Arial"/>
        <w:sz w:val="20"/>
        <w:szCs w:val="20"/>
        <w:lang w:val="es"/>
      </w:rPr>
      <w:t xml:space="preserve"> - página </w:t>
    </w:r>
    <w:r>
      <w:rPr>
        <w:rStyle w:val="PageNumber"/>
        <w:rFonts w:ascii="Arial" w:hAnsi="Arial" w:cs="Arial"/>
        <w:sz w:val="20"/>
        <w:szCs w:val="20"/>
        <w:lang w:val="es"/>
      </w:rPr>
      <w:fldChar w:fldCharType="begin"/>
    </w:r>
    <w:r>
      <w:rPr>
        <w:rStyle w:val="PageNumber"/>
        <w:rFonts w:ascii="Arial" w:hAnsi="Arial" w:cs="Arial"/>
        <w:sz w:val="20"/>
        <w:szCs w:val="20"/>
        <w:lang w:val="es"/>
      </w:rPr>
      <w:instrText xml:space="preserve"> PAGE </w:instrText>
    </w:r>
    <w:r>
      <w:rPr>
        <w:rStyle w:val="PageNumber"/>
        <w:rFonts w:ascii="Arial" w:hAnsi="Arial" w:cs="Arial"/>
        <w:sz w:val="20"/>
        <w:szCs w:val="20"/>
        <w:lang w:val="es"/>
      </w:rPr>
      <w:fldChar w:fldCharType="separate"/>
    </w:r>
    <w:r>
      <w:rPr>
        <w:rStyle w:val="PageNumber"/>
        <w:rFonts w:ascii="Arial" w:hAnsi="Arial" w:cs="Arial"/>
        <w:sz w:val="20"/>
        <w:szCs w:val="20"/>
        <w:lang w:val="es"/>
      </w:rPr>
      <w:t>4</w:t>
    </w:r>
    <w:r>
      <w:rPr>
        <w:rStyle w:val="PageNumber"/>
        <w:rFonts w:ascii="Arial" w:hAnsi="Arial" w:cs="Arial"/>
        <w:sz w:val="20"/>
        <w:szCs w:val="20"/>
        <w:lang w:val="es"/>
      </w:rPr>
      <w:fldChar w:fldCharType="end"/>
    </w:r>
  </w:p>
  <w:p w14:paraId="1C051964" w14:textId="77777777" w:rsidR="007B0BF4" w:rsidRPr="006C41C4" w:rsidRDefault="007B0BF4">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1B6523B6"/>
    <w:multiLevelType w:val="hybridMultilevel"/>
    <w:tmpl w:val="41D600FC"/>
    <w:lvl w:ilvl="0" w:tplc="28106BE4">
      <w:start w:val="1"/>
      <w:numFmt w:val="decimal"/>
      <w:pStyle w:val="CM45"/>
      <w:lvlText w:val="%1."/>
      <w:lvlJc w:val="left"/>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Roman"/>
      <w:lvlText w:val="(%2)"/>
      <w:lvlJc w:val="left"/>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 w15:restartNumberingAfterBreak="0">
    <w:nsid w:val="24225648"/>
    <w:multiLevelType w:val="hybridMultilevel"/>
    <w:tmpl w:val="E6889F8E"/>
    <w:lvl w:ilvl="0" w:tplc="87A09D12">
      <w:start w:val="1"/>
      <w:numFmt w:val="lowerRoman"/>
      <w:lvlText w:val="(%1)"/>
      <w:lvlJc w:val="left"/>
      <w:pPr>
        <w:ind w:left="-131" w:hanging="360"/>
      </w:pPr>
      <w:rPr>
        <w:rFonts w:hint="default"/>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3" w15:restartNumberingAfterBreak="0">
    <w:nsid w:val="24F510EB"/>
    <w:multiLevelType w:val="multilevel"/>
    <w:tmpl w:val="1F3E17BE"/>
    <w:lvl w:ilvl="0">
      <w:start w:val="1"/>
      <w:numFmt w:val="decimal"/>
      <w:lvlText w:val="%1."/>
      <w:lvlJc w:val="left"/>
      <w:pPr>
        <w:ind w:left="480" w:hanging="480"/>
      </w:pPr>
      <w:rPr>
        <w:rFonts w:hint="default"/>
        <w:b/>
        <w:bCs/>
        <w:sz w:val="22"/>
        <w:szCs w:val="22"/>
      </w:rPr>
    </w:lvl>
    <w:lvl w:ilvl="1">
      <w:start w:val="3"/>
      <w:numFmt w:val="decimal"/>
      <w:lvlText w:val="%1.%2"/>
      <w:lvlJc w:val="left"/>
      <w:pPr>
        <w:ind w:left="480" w:hanging="48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5B1F32"/>
    <w:multiLevelType w:val="multilevel"/>
    <w:tmpl w:val="EC7E4422"/>
    <w:lvl w:ilvl="0">
      <w:start w:val="4"/>
      <w:numFmt w:val="decimal"/>
      <w:lvlText w:val="%1"/>
      <w:lvlJc w:val="left"/>
      <w:pPr>
        <w:ind w:left="480" w:hanging="480"/>
      </w:pPr>
      <w:rPr>
        <w:rFonts w:cs="Times New Roman" w:hint="default"/>
        <w:b/>
        <w:sz w:val="22"/>
      </w:rPr>
    </w:lvl>
    <w:lvl w:ilvl="1">
      <w:start w:val="5"/>
      <w:numFmt w:val="decimal"/>
      <w:lvlText w:val="%1.%2"/>
      <w:lvlJc w:val="left"/>
      <w:pPr>
        <w:ind w:left="480" w:hanging="480"/>
      </w:pPr>
      <w:rPr>
        <w:rFonts w:cs="Times New Roman" w:hint="default"/>
        <w:b/>
        <w:sz w:val="22"/>
      </w:rPr>
    </w:lvl>
    <w:lvl w:ilvl="2">
      <w:start w:val="2"/>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7" w15:restartNumberingAfterBreak="0">
    <w:nsid w:val="31AD6689"/>
    <w:multiLevelType w:val="multilevel"/>
    <w:tmpl w:val="A7D4FD5E"/>
    <w:lvl w:ilvl="0">
      <w:start w:val="6"/>
      <w:numFmt w:val="decimal"/>
      <w:lvlText w:val="%1."/>
      <w:lvlJc w:val="left"/>
      <w:pPr>
        <w:ind w:left="720" w:hanging="360"/>
      </w:pPr>
      <w:rPr>
        <w:rFonts w:ascii="Arial" w:hAnsi="Arial" w:cs="Arial" w:hint="default"/>
        <w:b/>
        <w:bCs/>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35937D6B"/>
    <w:multiLevelType w:val="hybridMultilevel"/>
    <w:tmpl w:val="F9BE6F94"/>
    <w:lvl w:ilvl="0" w:tplc="E2243016">
      <w:start w:val="1"/>
      <w:numFmt w:val="decimal"/>
      <w:lvlText w:val="%1."/>
      <w:lvlJc w:val="left"/>
      <w:pPr>
        <w:ind w:left="3904" w:hanging="360"/>
      </w:pPr>
      <w:rPr>
        <w:rFonts w:ascii="Arial" w:hAnsi="Arial" w:cs="Arial" w:hint="default"/>
        <w:b w:val="0"/>
        <w:i w:val="0"/>
        <w:iCs/>
        <w:sz w:val="20"/>
        <w:szCs w:val="20"/>
      </w:rPr>
    </w:lvl>
    <w:lvl w:ilvl="1" w:tplc="15F4ACEE">
      <w:start w:val="1"/>
      <w:numFmt w:val="decimal"/>
      <w:lvlText w:val="%2."/>
      <w:lvlJc w:val="left"/>
      <w:pPr>
        <w:ind w:left="5134" w:hanging="870"/>
      </w:pPr>
      <w:rPr>
        <w:rFonts w:hint="default"/>
      </w:rPr>
    </w:lvl>
    <w:lvl w:ilvl="2" w:tplc="040C001B">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9"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16ACE"/>
    <w:multiLevelType w:val="multilevel"/>
    <w:tmpl w:val="3958485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112935"/>
    <w:multiLevelType w:val="multilevel"/>
    <w:tmpl w:val="2E6E8296"/>
    <w:lvl w:ilvl="0">
      <w:start w:val="3"/>
      <w:numFmt w:val="decimal"/>
      <w:lvlText w:val="%1"/>
      <w:lvlJc w:val="left"/>
      <w:pPr>
        <w:ind w:left="480" w:hanging="480"/>
      </w:pPr>
      <w:rPr>
        <w:rFonts w:cs="Arial" w:hint="default"/>
      </w:rPr>
    </w:lvl>
    <w:lvl w:ilvl="1">
      <w:start w:val="4"/>
      <w:numFmt w:val="decimal"/>
      <w:lvlText w:val="%1.%2"/>
      <w:lvlJc w:val="left"/>
      <w:pPr>
        <w:ind w:left="480" w:hanging="480"/>
      </w:pPr>
      <w:rPr>
        <w:rFonts w:cs="Arial" w:hint="default"/>
      </w:rPr>
    </w:lvl>
    <w:lvl w:ilvl="2">
      <w:start w:val="5"/>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5869737B"/>
    <w:multiLevelType w:val="multilevel"/>
    <w:tmpl w:val="720A44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215950"/>
    <w:multiLevelType w:val="multilevel"/>
    <w:tmpl w:val="DE4A39DA"/>
    <w:lvl w:ilvl="0">
      <w:start w:val="5"/>
      <w:numFmt w:val="decimal"/>
      <w:lvlText w:val="%1"/>
      <w:lvlJc w:val="left"/>
      <w:pPr>
        <w:ind w:left="360" w:hanging="360"/>
      </w:pPr>
      <w:rPr>
        <w:rFonts w:cs="Arial" w:hint="default"/>
        <w:b/>
        <w:bCs/>
        <w:color w:val="000000"/>
        <w:sz w:val="22"/>
        <w:szCs w:val="22"/>
      </w:rPr>
    </w:lvl>
    <w:lvl w:ilvl="1">
      <w:start w:val="1"/>
      <w:numFmt w:val="decimal"/>
      <w:lvlText w:val="%1.%2"/>
      <w:lvlJc w:val="left"/>
      <w:pPr>
        <w:ind w:left="360" w:hanging="360"/>
      </w:pPr>
      <w:rPr>
        <w:rFonts w:cs="Arial" w:hint="default"/>
        <w:color w:val="000000"/>
        <w:sz w:val="22"/>
        <w:szCs w:val="22"/>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15"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BAC6FBA"/>
    <w:multiLevelType w:val="multilevel"/>
    <w:tmpl w:val="13D8B848"/>
    <w:lvl w:ilvl="0">
      <w:start w:val="5"/>
      <w:numFmt w:val="decimal"/>
      <w:lvlText w:val="%1."/>
      <w:lvlJc w:val="left"/>
      <w:pPr>
        <w:ind w:left="480" w:hanging="480"/>
      </w:pPr>
      <w:rPr>
        <w:rFonts w:hint="default"/>
        <w:b/>
        <w:bCs/>
        <w:sz w:val="22"/>
        <w:szCs w:val="22"/>
      </w:rPr>
    </w:lvl>
    <w:lvl w:ilvl="1">
      <w:start w:val="3"/>
      <w:numFmt w:val="decimal"/>
      <w:lvlText w:val="%1.%2"/>
      <w:lvlJc w:val="left"/>
      <w:pPr>
        <w:ind w:left="480" w:hanging="48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7"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1B35A9"/>
    <w:multiLevelType w:val="hybridMultilevel"/>
    <w:tmpl w:val="7CB46D54"/>
    <w:lvl w:ilvl="0" w:tplc="87A09D12">
      <w:start w:val="1"/>
      <w:numFmt w:val="lowerRoman"/>
      <w:lvlText w:val="(%1)"/>
      <w:lvlJc w:val="left"/>
      <w:pPr>
        <w:ind w:left="-131" w:hanging="360"/>
      </w:pPr>
      <w:rPr>
        <w:rFonts w:hint="default"/>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19"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0"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0522976">
    <w:abstractNumId w:val="19"/>
  </w:num>
  <w:num w:numId="2" w16cid:durableId="388235643">
    <w:abstractNumId w:val="15"/>
  </w:num>
  <w:num w:numId="3" w16cid:durableId="174882042">
    <w:abstractNumId w:val="10"/>
  </w:num>
  <w:num w:numId="4" w16cid:durableId="1172792320">
    <w:abstractNumId w:val="20"/>
  </w:num>
  <w:num w:numId="5" w16cid:durableId="603265614">
    <w:abstractNumId w:val="4"/>
  </w:num>
  <w:num w:numId="6" w16cid:durableId="1564754467">
    <w:abstractNumId w:val="0"/>
  </w:num>
  <w:num w:numId="7" w16cid:durableId="1804231747">
    <w:abstractNumId w:val="1"/>
  </w:num>
  <w:num w:numId="8" w16cid:durableId="26950122">
    <w:abstractNumId w:val="8"/>
  </w:num>
  <w:num w:numId="9" w16cid:durableId="1357006144">
    <w:abstractNumId w:val="17"/>
  </w:num>
  <w:num w:numId="10" w16cid:durableId="173292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3489665">
    <w:abstractNumId w:val="5"/>
  </w:num>
  <w:num w:numId="12" w16cid:durableId="900094817">
    <w:abstractNumId w:val="13"/>
  </w:num>
  <w:num w:numId="13" w16cid:durableId="1410542891">
    <w:abstractNumId w:val="14"/>
  </w:num>
  <w:num w:numId="14" w16cid:durableId="210845103">
    <w:abstractNumId w:val="12"/>
  </w:num>
  <w:num w:numId="15" w16cid:durableId="1317688980">
    <w:abstractNumId w:val="18"/>
  </w:num>
  <w:num w:numId="16" w16cid:durableId="1225483887">
    <w:abstractNumId w:val="2"/>
  </w:num>
  <w:num w:numId="17" w16cid:durableId="502746051">
    <w:abstractNumId w:val="7"/>
  </w:num>
  <w:num w:numId="18" w16cid:durableId="1370914317">
    <w:abstractNumId w:val="11"/>
  </w:num>
  <w:num w:numId="19" w16cid:durableId="297149200">
    <w:abstractNumId w:val="6"/>
  </w:num>
  <w:num w:numId="20" w16cid:durableId="66877902">
    <w:abstractNumId w:val="3"/>
  </w:num>
  <w:num w:numId="21" w16cid:durableId="444276710">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PH" w:vendorID="64" w:dllVersion="0" w:nlCheck="1" w:checkStyle="0"/>
  <w:activeWritingStyle w:appName="MSWord" w:lang="en-AU" w:vendorID="64" w:dllVersion="0" w:nlCheck="1" w:checkStyle="0"/>
  <w:activeWritingStyle w:appName="MSWord" w:lang="en-CA" w:vendorID="64" w:dllVersion="0" w:nlCheck="1" w:checkStyle="0"/>
  <w:activeWritingStyle w:appName="MSWord" w:lang="es-ES" w:vendorID="64" w:dllVersion="0" w:nlCheck="1" w:checkStyle="0"/>
  <w:activeWritingStyle w:appName="MSWord" w:lang="es-CL" w:vendorID="64" w:dllVersion="0" w:nlCheck="1" w:checkStyle="0"/>
  <w:activeWritingStyle w:appName="MSWord" w:lang="es-PA"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DC1"/>
    <w:rsid w:val="00000F06"/>
    <w:rsid w:val="0000124F"/>
    <w:rsid w:val="00001936"/>
    <w:rsid w:val="00001F0D"/>
    <w:rsid w:val="000020B6"/>
    <w:rsid w:val="0000272E"/>
    <w:rsid w:val="00003B46"/>
    <w:rsid w:val="00003CD1"/>
    <w:rsid w:val="00004618"/>
    <w:rsid w:val="00004D50"/>
    <w:rsid w:val="00004FAD"/>
    <w:rsid w:val="00005970"/>
    <w:rsid w:val="00005CF9"/>
    <w:rsid w:val="0000615D"/>
    <w:rsid w:val="000063B8"/>
    <w:rsid w:val="00006A4E"/>
    <w:rsid w:val="00006C0D"/>
    <w:rsid w:val="000076D0"/>
    <w:rsid w:val="000100E1"/>
    <w:rsid w:val="000108AD"/>
    <w:rsid w:val="00010CFE"/>
    <w:rsid w:val="00011715"/>
    <w:rsid w:val="000122F5"/>
    <w:rsid w:val="00012A7E"/>
    <w:rsid w:val="00012DDC"/>
    <w:rsid w:val="0001310A"/>
    <w:rsid w:val="000131D0"/>
    <w:rsid w:val="00013BCD"/>
    <w:rsid w:val="00013C1E"/>
    <w:rsid w:val="000152F2"/>
    <w:rsid w:val="000153EC"/>
    <w:rsid w:val="000157D2"/>
    <w:rsid w:val="000165BA"/>
    <w:rsid w:val="00016678"/>
    <w:rsid w:val="00016F40"/>
    <w:rsid w:val="00017136"/>
    <w:rsid w:val="00017A18"/>
    <w:rsid w:val="00017AC1"/>
    <w:rsid w:val="00017CCB"/>
    <w:rsid w:val="00017EDE"/>
    <w:rsid w:val="000202B5"/>
    <w:rsid w:val="000204D3"/>
    <w:rsid w:val="000207FD"/>
    <w:rsid w:val="00020D42"/>
    <w:rsid w:val="000218B7"/>
    <w:rsid w:val="00021AB9"/>
    <w:rsid w:val="00022322"/>
    <w:rsid w:val="00022555"/>
    <w:rsid w:val="00022C6D"/>
    <w:rsid w:val="00022F1F"/>
    <w:rsid w:val="00022FF0"/>
    <w:rsid w:val="00023163"/>
    <w:rsid w:val="000233EB"/>
    <w:rsid w:val="00024176"/>
    <w:rsid w:val="0002593E"/>
    <w:rsid w:val="00026012"/>
    <w:rsid w:val="00026577"/>
    <w:rsid w:val="00027E93"/>
    <w:rsid w:val="0003080C"/>
    <w:rsid w:val="000316F3"/>
    <w:rsid w:val="00031720"/>
    <w:rsid w:val="0003202F"/>
    <w:rsid w:val="00032230"/>
    <w:rsid w:val="00032616"/>
    <w:rsid w:val="000331D9"/>
    <w:rsid w:val="00033B45"/>
    <w:rsid w:val="0003434A"/>
    <w:rsid w:val="000348E3"/>
    <w:rsid w:val="0003504C"/>
    <w:rsid w:val="0003515D"/>
    <w:rsid w:val="00035E3F"/>
    <w:rsid w:val="00036D0B"/>
    <w:rsid w:val="000400AD"/>
    <w:rsid w:val="00040B66"/>
    <w:rsid w:val="0004170F"/>
    <w:rsid w:val="00041C19"/>
    <w:rsid w:val="000432FB"/>
    <w:rsid w:val="00043673"/>
    <w:rsid w:val="000439C3"/>
    <w:rsid w:val="00043A4B"/>
    <w:rsid w:val="0004451E"/>
    <w:rsid w:val="0004473D"/>
    <w:rsid w:val="00044F41"/>
    <w:rsid w:val="00045046"/>
    <w:rsid w:val="000450CD"/>
    <w:rsid w:val="00045CBC"/>
    <w:rsid w:val="00045CE1"/>
    <w:rsid w:val="000464FA"/>
    <w:rsid w:val="0004707E"/>
    <w:rsid w:val="00047324"/>
    <w:rsid w:val="000478B8"/>
    <w:rsid w:val="00047BD8"/>
    <w:rsid w:val="00047E5E"/>
    <w:rsid w:val="0005078A"/>
    <w:rsid w:val="00051215"/>
    <w:rsid w:val="0005139F"/>
    <w:rsid w:val="0005182E"/>
    <w:rsid w:val="000522F8"/>
    <w:rsid w:val="00052425"/>
    <w:rsid w:val="00053068"/>
    <w:rsid w:val="00053198"/>
    <w:rsid w:val="00053363"/>
    <w:rsid w:val="000540E9"/>
    <w:rsid w:val="0005433E"/>
    <w:rsid w:val="000543B6"/>
    <w:rsid w:val="00054498"/>
    <w:rsid w:val="00054698"/>
    <w:rsid w:val="00055A3D"/>
    <w:rsid w:val="00057CA3"/>
    <w:rsid w:val="00060317"/>
    <w:rsid w:val="00060DF6"/>
    <w:rsid w:val="00061603"/>
    <w:rsid w:val="000619B4"/>
    <w:rsid w:val="00061C47"/>
    <w:rsid w:val="00062D35"/>
    <w:rsid w:val="000631CF"/>
    <w:rsid w:val="00063789"/>
    <w:rsid w:val="0006587B"/>
    <w:rsid w:val="00066594"/>
    <w:rsid w:val="000670D4"/>
    <w:rsid w:val="00067ACA"/>
    <w:rsid w:val="00067B02"/>
    <w:rsid w:val="0007086E"/>
    <w:rsid w:val="0007168B"/>
    <w:rsid w:val="00071B48"/>
    <w:rsid w:val="000720D9"/>
    <w:rsid w:val="00072606"/>
    <w:rsid w:val="0007361F"/>
    <w:rsid w:val="00073771"/>
    <w:rsid w:val="000740BA"/>
    <w:rsid w:val="00074704"/>
    <w:rsid w:val="00074AD2"/>
    <w:rsid w:val="00074B60"/>
    <w:rsid w:val="00074BE7"/>
    <w:rsid w:val="00074DC7"/>
    <w:rsid w:val="000751C6"/>
    <w:rsid w:val="000769D6"/>
    <w:rsid w:val="000771F2"/>
    <w:rsid w:val="000771FD"/>
    <w:rsid w:val="0007730F"/>
    <w:rsid w:val="00077362"/>
    <w:rsid w:val="00077578"/>
    <w:rsid w:val="00077B0F"/>
    <w:rsid w:val="000802EB"/>
    <w:rsid w:val="000803C1"/>
    <w:rsid w:val="00081027"/>
    <w:rsid w:val="000816B3"/>
    <w:rsid w:val="00081C59"/>
    <w:rsid w:val="00081CCD"/>
    <w:rsid w:val="00081D82"/>
    <w:rsid w:val="00082465"/>
    <w:rsid w:val="00082A89"/>
    <w:rsid w:val="00082AC1"/>
    <w:rsid w:val="00083008"/>
    <w:rsid w:val="000831CC"/>
    <w:rsid w:val="0008489E"/>
    <w:rsid w:val="00085430"/>
    <w:rsid w:val="00085559"/>
    <w:rsid w:val="000859B0"/>
    <w:rsid w:val="00085BF4"/>
    <w:rsid w:val="00085C6E"/>
    <w:rsid w:val="00085EB3"/>
    <w:rsid w:val="00085F57"/>
    <w:rsid w:val="00086CA9"/>
    <w:rsid w:val="00086ED6"/>
    <w:rsid w:val="00087179"/>
    <w:rsid w:val="00087714"/>
    <w:rsid w:val="00090277"/>
    <w:rsid w:val="00090449"/>
    <w:rsid w:val="00090551"/>
    <w:rsid w:val="0009094D"/>
    <w:rsid w:val="00090C5D"/>
    <w:rsid w:val="00090DCB"/>
    <w:rsid w:val="00091728"/>
    <w:rsid w:val="00091785"/>
    <w:rsid w:val="00091F56"/>
    <w:rsid w:val="00092327"/>
    <w:rsid w:val="00092B77"/>
    <w:rsid w:val="000935A0"/>
    <w:rsid w:val="0009454A"/>
    <w:rsid w:val="0009548E"/>
    <w:rsid w:val="00095AAE"/>
    <w:rsid w:val="00095BC4"/>
    <w:rsid w:val="00095CC7"/>
    <w:rsid w:val="00095D21"/>
    <w:rsid w:val="00096321"/>
    <w:rsid w:val="0009660C"/>
    <w:rsid w:val="000968F7"/>
    <w:rsid w:val="00096BFB"/>
    <w:rsid w:val="000A15A4"/>
    <w:rsid w:val="000A1F8F"/>
    <w:rsid w:val="000A2512"/>
    <w:rsid w:val="000A2DF8"/>
    <w:rsid w:val="000A34FC"/>
    <w:rsid w:val="000A3D8B"/>
    <w:rsid w:val="000A47D1"/>
    <w:rsid w:val="000A5643"/>
    <w:rsid w:val="000A56EC"/>
    <w:rsid w:val="000A606E"/>
    <w:rsid w:val="000A632F"/>
    <w:rsid w:val="000A7031"/>
    <w:rsid w:val="000B051E"/>
    <w:rsid w:val="000B1B40"/>
    <w:rsid w:val="000B2343"/>
    <w:rsid w:val="000B24B1"/>
    <w:rsid w:val="000B269D"/>
    <w:rsid w:val="000B2EAE"/>
    <w:rsid w:val="000B37F4"/>
    <w:rsid w:val="000B3FFD"/>
    <w:rsid w:val="000B5559"/>
    <w:rsid w:val="000B5994"/>
    <w:rsid w:val="000B5F02"/>
    <w:rsid w:val="000B6460"/>
    <w:rsid w:val="000B6D4B"/>
    <w:rsid w:val="000B7332"/>
    <w:rsid w:val="000B7747"/>
    <w:rsid w:val="000B7A03"/>
    <w:rsid w:val="000B7BA2"/>
    <w:rsid w:val="000C0388"/>
    <w:rsid w:val="000C1222"/>
    <w:rsid w:val="000C136A"/>
    <w:rsid w:val="000C162C"/>
    <w:rsid w:val="000C209A"/>
    <w:rsid w:val="000C3195"/>
    <w:rsid w:val="000C3592"/>
    <w:rsid w:val="000C3ADF"/>
    <w:rsid w:val="000C440D"/>
    <w:rsid w:val="000C4506"/>
    <w:rsid w:val="000C4740"/>
    <w:rsid w:val="000C4CC1"/>
    <w:rsid w:val="000C53B4"/>
    <w:rsid w:val="000C5607"/>
    <w:rsid w:val="000C58A3"/>
    <w:rsid w:val="000C5ABF"/>
    <w:rsid w:val="000C5F6D"/>
    <w:rsid w:val="000C6921"/>
    <w:rsid w:val="000C6BF3"/>
    <w:rsid w:val="000D00B6"/>
    <w:rsid w:val="000D1D41"/>
    <w:rsid w:val="000D269F"/>
    <w:rsid w:val="000D2FE5"/>
    <w:rsid w:val="000D304C"/>
    <w:rsid w:val="000D30FF"/>
    <w:rsid w:val="000D3551"/>
    <w:rsid w:val="000D6B8D"/>
    <w:rsid w:val="000D6C96"/>
    <w:rsid w:val="000D6DD2"/>
    <w:rsid w:val="000D74FB"/>
    <w:rsid w:val="000D7B28"/>
    <w:rsid w:val="000D7E56"/>
    <w:rsid w:val="000E0083"/>
    <w:rsid w:val="000E0701"/>
    <w:rsid w:val="000E1465"/>
    <w:rsid w:val="000E1878"/>
    <w:rsid w:val="000E2612"/>
    <w:rsid w:val="000E2CC4"/>
    <w:rsid w:val="000E2F38"/>
    <w:rsid w:val="000E3764"/>
    <w:rsid w:val="000E386E"/>
    <w:rsid w:val="000E4031"/>
    <w:rsid w:val="000E4BA7"/>
    <w:rsid w:val="000E50EF"/>
    <w:rsid w:val="000E6CF1"/>
    <w:rsid w:val="000E6D7A"/>
    <w:rsid w:val="000F08D0"/>
    <w:rsid w:val="000F0BE7"/>
    <w:rsid w:val="000F0CB9"/>
    <w:rsid w:val="000F11C9"/>
    <w:rsid w:val="000F11CB"/>
    <w:rsid w:val="000F1E38"/>
    <w:rsid w:val="000F2E9D"/>
    <w:rsid w:val="000F5299"/>
    <w:rsid w:val="000F564E"/>
    <w:rsid w:val="000F6034"/>
    <w:rsid w:val="000F652E"/>
    <w:rsid w:val="000F6531"/>
    <w:rsid w:val="000F6D82"/>
    <w:rsid w:val="000F6F7E"/>
    <w:rsid w:val="000F740F"/>
    <w:rsid w:val="000F7DEB"/>
    <w:rsid w:val="00100E1C"/>
    <w:rsid w:val="00101095"/>
    <w:rsid w:val="001012C4"/>
    <w:rsid w:val="00101BAD"/>
    <w:rsid w:val="00101BEB"/>
    <w:rsid w:val="00102264"/>
    <w:rsid w:val="001025C0"/>
    <w:rsid w:val="0010274A"/>
    <w:rsid w:val="00102761"/>
    <w:rsid w:val="00103192"/>
    <w:rsid w:val="0010359C"/>
    <w:rsid w:val="00103EEC"/>
    <w:rsid w:val="00104246"/>
    <w:rsid w:val="001043D2"/>
    <w:rsid w:val="00104558"/>
    <w:rsid w:val="0010463F"/>
    <w:rsid w:val="0010496E"/>
    <w:rsid w:val="00104B8F"/>
    <w:rsid w:val="001068A8"/>
    <w:rsid w:val="00106C8B"/>
    <w:rsid w:val="001072BB"/>
    <w:rsid w:val="001072BC"/>
    <w:rsid w:val="00107D5F"/>
    <w:rsid w:val="00110535"/>
    <w:rsid w:val="00110812"/>
    <w:rsid w:val="001108F1"/>
    <w:rsid w:val="00110F4E"/>
    <w:rsid w:val="00111321"/>
    <w:rsid w:val="00112F30"/>
    <w:rsid w:val="001130EE"/>
    <w:rsid w:val="00113386"/>
    <w:rsid w:val="001139AE"/>
    <w:rsid w:val="00113B5D"/>
    <w:rsid w:val="00115C1B"/>
    <w:rsid w:val="0011620D"/>
    <w:rsid w:val="00116BC8"/>
    <w:rsid w:val="00116FA6"/>
    <w:rsid w:val="001178BA"/>
    <w:rsid w:val="00120251"/>
    <w:rsid w:val="001203B9"/>
    <w:rsid w:val="0012058E"/>
    <w:rsid w:val="00121204"/>
    <w:rsid w:val="0012209F"/>
    <w:rsid w:val="00122908"/>
    <w:rsid w:val="0012306C"/>
    <w:rsid w:val="0012379E"/>
    <w:rsid w:val="001249DE"/>
    <w:rsid w:val="00124B57"/>
    <w:rsid w:val="001253C3"/>
    <w:rsid w:val="001265BA"/>
    <w:rsid w:val="00126D1C"/>
    <w:rsid w:val="00126E96"/>
    <w:rsid w:val="001270B9"/>
    <w:rsid w:val="00127C30"/>
    <w:rsid w:val="00127DC3"/>
    <w:rsid w:val="0013099A"/>
    <w:rsid w:val="0013108D"/>
    <w:rsid w:val="00131C31"/>
    <w:rsid w:val="00132315"/>
    <w:rsid w:val="001323A0"/>
    <w:rsid w:val="00132964"/>
    <w:rsid w:val="00133289"/>
    <w:rsid w:val="00133F7D"/>
    <w:rsid w:val="001343E1"/>
    <w:rsid w:val="001349FC"/>
    <w:rsid w:val="00134ED6"/>
    <w:rsid w:val="00135345"/>
    <w:rsid w:val="00135C6D"/>
    <w:rsid w:val="00135E39"/>
    <w:rsid w:val="00140361"/>
    <w:rsid w:val="00140987"/>
    <w:rsid w:val="00140D0D"/>
    <w:rsid w:val="00141031"/>
    <w:rsid w:val="0014119E"/>
    <w:rsid w:val="001412A2"/>
    <w:rsid w:val="00142D9F"/>
    <w:rsid w:val="00142E16"/>
    <w:rsid w:val="00142F35"/>
    <w:rsid w:val="001431DF"/>
    <w:rsid w:val="001436F2"/>
    <w:rsid w:val="00143A10"/>
    <w:rsid w:val="00145273"/>
    <w:rsid w:val="0014531A"/>
    <w:rsid w:val="001456B8"/>
    <w:rsid w:val="0014576B"/>
    <w:rsid w:val="00145E97"/>
    <w:rsid w:val="00146A69"/>
    <w:rsid w:val="00146CB2"/>
    <w:rsid w:val="00146CB5"/>
    <w:rsid w:val="0014734F"/>
    <w:rsid w:val="00150210"/>
    <w:rsid w:val="001507DD"/>
    <w:rsid w:val="0015093C"/>
    <w:rsid w:val="0015099B"/>
    <w:rsid w:val="00150E1A"/>
    <w:rsid w:val="0015121C"/>
    <w:rsid w:val="001513C1"/>
    <w:rsid w:val="00151874"/>
    <w:rsid w:val="00151D73"/>
    <w:rsid w:val="00152B2D"/>
    <w:rsid w:val="00152BE4"/>
    <w:rsid w:val="00153396"/>
    <w:rsid w:val="0015373B"/>
    <w:rsid w:val="0015561C"/>
    <w:rsid w:val="00155F55"/>
    <w:rsid w:val="001561ED"/>
    <w:rsid w:val="00157987"/>
    <w:rsid w:val="00157BE4"/>
    <w:rsid w:val="00157D57"/>
    <w:rsid w:val="00160AEB"/>
    <w:rsid w:val="00161975"/>
    <w:rsid w:val="00162112"/>
    <w:rsid w:val="00162999"/>
    <w:rsid w:val="00162A86"/>
    <w:rsid w:val="00163A6B"/>
    <w:rsid w:val="0016407D"/>
    <w:rsid w:val="001645D8"/>
    <w:rsid w:val="00166174"/>
    <w:rsid w:val="00166837"/>
    <w:rsid w:val="00166A52"/>
    <w:rsid w:val="00166B2F"/>
    <w:rsid w:val="00166F04"/>
    <w:rsid w:val="00167C8A"/>
    <w:rsid w:val="00167FC6"/>
    <w:rsid w:val="0017091F"/>
    <w:rsid w:val="001725CB"/>
    <w:rsid w:val="00172C7C"/>
    <w:rsid w:val="00173742"/>
    <w:rsid w:val="00173EBC"/>
    <w:rsid w:val="001742D7"/>
    <w:rsid w:val="00175B98"/>
    <w:rsid w:val="00175D92"/>
    <w:rsid w:val="001769E5"/>
    <w:rsid w:val="00177560"/>
    <w:rsid w:val="00177862"/>
    <w:rsid w:val="00177CD7"/>
    <w:rsid w:val="00177F5B"/>
    <w:rsid w:val="00180273"/>
    <w:rsid w:val="001805FC"/>
    <w:rsid w:val="001810FE"/>
    <w:rsid w:val="00181571"/>
    <w:rsid w:val="00181EC6"/>
    <w:rsid w:val="00182C68"/>
    <w:rsid w:val="00182CFF"/>
    <w:rsid w:val="00182D74"/>
    <w:rsid w:val="0018308F"/>
    <w:rsid w:val="00183286"/>
    <w:rsid w:val="001834A0"/>
    <w:rsid w:val="00183A31"/>
    <w:rsid w:val="00183C1B"/>
    <w:rsid w:val="00183CFE"/>
    <w:rsid w:val="00183FA4"/>
    <w:rsid w:val="00185048"/>
    <w:rsid w:val="00186CA1"/>
    <w:rsid w:val="0018755B"/>
    <w:rsid w:val="00187648"/>
    <w:rsid w:val="0019022C"/>
    <w:rsid w:val="001909B4"/>
    <w:rsid w:val="00190E8F"/>
    <w:rsid w:val="001911B1"/>
    <w:rsid w:val="00191C2C"/>
    <w:rsid w:val="00191C9C"/>
    <w:rsid w:val="001924D5"/>
    <w:rsid w:val="00192A0C"/>
    <w:rsid w:val="00192AA1"/>
    <w:rsid w:val="00192FFA"/>
    <w:rsid w:val="0019304A"/>
    <w:rsid w:val="00193840"/>
    <w:rsid w:val="00194702"/>
    <w:rsid w:val="001951F5"/>
    <w:rsid w:val="00195725"/>
    <w:rsid w:val="0019576B"/>
    <w:rsid w:val="0019591E"/>
    <w:rsid w:val="001977FD"/>
    <w:rsid w:val="00197803"/>
    <w:rsid w:val="001979E4"/>
    <w:rsid w:val="001A0A2B"/>
    <w:rsid w:val="001A17AC"/>
    <w:rsid w:val="001A17B4"/>
    <w:rsid w:val="001A21EC"/>
    <w:rsid w:val="001A2308"/>
    <w:rsid w:val="001A3490"/>
    <w:rsid w:val="001A4878"/>
    <w:rsid w:val="001A4909"/>
    <w:rsid w:val="001A4E88"/>
    <w:rsid w:val="001A57D8"/>
    <w:rsid w:val="001A5EBF"/>
    <w:rsid w:val="001A6007"/>
    <w:rsid w:val="001A6C82"/>
    <w:rsid w:val="001A7E89"/>
    <w:rsid w:val="001B013F"/>
    <w:rsid w:val="001B0393"/>
    <w:rsid w:val="001B0CE5"/>
    <w:rsid w:val="001B14DD"/>
    <w:rsid w:val="001B1761"/>
    <w:rsid w:val="001B1B4D"/>
    <w:rsid w:val="001B1EB7"/>
    <w:rsid w:val="001B33B7"/>
    <w:rsid w:val="001B3493"/>
    <w:rsid w:val="001B3ED0"/>
    <w:rsid w:val="001B451A"/>
    <w:rsid w:val="001B482D"/>
    <w:rsid w:val="001B4874"/>
    <w:rsid w:val="001B514A"/>
    <w:rsid w:val="001B5878"/>
    <w:rsid w:val="001B6A30"/>
    <w:rsid w:val="001B7520"/>
    <w:rsid w:val="001C1321"/>
    <w:rsid w:val="001C1454"/>
    <w:rsid w:val="001C19A9"/>
    <w:rsid w:val="001C1C16"/>
    <w:rsid w:val="001C2B7D"/>
    <w:rsid w:val="001C37A6"/>
    <w:rsid w:val="001C45C8"/>
    <w:rsid w:val="001C4851"/>
    <w:rsid w:val="001C4CEA"/>
    <w:rsid w:val="001C4D60"/>
    <w:rsid w:val="001C514E"/>
    <w:rsid w:val="001C51BE"/>
    <w:rsid w:val="001C54D9"/>
    <w:rsid w:val="001C7A7D"/>
    <w:rsid w:val="001D0895"/>
    <w:rsid w:val="001D0ED0"/>
    <w:rsid w:val="001D1660"/>
    <w:rsid w:val="001D28B9"/>
    <w:rsid w:val="001D34CC"/>
    <w:rsid w:val="001D3AE2"/>
    <w:rsid w:val="001D3D38"/>
    <w:rsid w:val="001D4B5D"/>
    <w:rsid w:val="001D5DEE"/>
    <w:rsid w:val="001D61C4"/>
    <w:rsid w:val="001D64BC"/>
    <w:rsid w:val="001D67E1"/>
    <w:rsid w:val="001D6BE1"/>
    <w:rsid w:val="001D7F28"/>
    <w:rsid w:val="001E0814"/>
    <w:rsid w:val="001E0D3E"/>
    <w:rsid w:val="001E10B3"/>
    <w:rsid w:val="001E17E4"/>
    <w:rsid w:val="001E184E"/>
    <w:rsid w:val="001E32CA"/>
    <w:rsid w:val="001E350E"/>
    <w:rsid w:val="001E433F"/>
    <w:rsid w:val="001E47BA"/>
    <w:rsid w:val="001E482B"/>
    <w:rsid w:val="001E4C08"/>
    <w:rsid w:val="001E4DC1"/>
    <w:rsid w:val="001E4EF9"/>
    <w:rsid w:val="001E4F98"/>
    <w:rsid w:val="001E502C"/>
    <w:rsid w:val="001E539C"/>
    <w:rsid w:val="001E55F8"/>
    <w:rsid w:val="001E5D6A"/>
    <w:rsid w:val="001E5FA6"/>
    <w:rsid w:val="001E6044"/>
    <w:rsid w:val="001E79DD"/>
    <w:rsid w:val="001F08D6"/>
    <w:rsid w:val="001F0DBC"/>
    <w:rsid w:val="001F100F"/>
    <w:rsid w:val="001F187B"/>
    <w:rsid w:val="001F266A"/>
    <w:rsid w:val="001F2C6F"/>
    <w:rsid w:val="001F30B6"/>
    <w:rsid w:val="001F331E"/>
    <w:rsid w:val="001F33C9"/>
    <w:rsid w:val="001F3412"/>
    <w:rsid w:val="001F3FC3"/>
    <w:rsid w:val="001F4E93"/>
    <w:rsid w:val="001F6078"/>
    <w:rsid w:val="001F739A"/>
    <w:rsid w:val="001F77A4"/>
    <w:rsid w:val="001F7AFF"/>
    <w:rsid w:val="00200D5D"/>
    <w:rsid w:val="00201471"/>
    <w:rsid w:val="002017CC"/>
    <w:rsid w:val="00201B4C"/>
    <w:rsid w:val="002025A5"/>
    <w:rsid w:val="00202778"/>
    <w:rsid w:val="0020297F"/>
    <w:rsid w:val="00203036"/>
    <w:rsid w:val="00204AAE"/>
    <w:rsid w:val="0020590E"/>
    <w:rsid w:val="00206556"/>
    <w:rsid w:val="00207148"/>
    <w:rsid w:val="002074A1"/>
    <w:rsid w:val="00207557"/>
    <w:rsid w:val="00207710"/>
    <w:rsid w:val="0020797B"/>
    <w:rsid w:val="00210449"/>
    <w:rsid w:val="002107FD"/>
    <w:rsid w:val="00211837"/>
    <w:rsid w:val="00211B6B"/>
    <w:rsid w:val="00211BE4"/>
    <w:rsid w:val="00211F51"/>
    <w:rsid w:val="00212292"/>
    <w:rsid w:val="00212938"/>
    <w:rsid w:val="002132A8"/>
    <w:rsid w:val="00213826"/>
    <w:rsid w:val="002138F3"/>
    <w:rsid w:val="00213CB0"/>
    <w:rsid w:val="00214AD8"/>
    <w:rsid w:val="00216D20"/>
    <w:rsid w:val="00217C90"/>
    <w:rsid w:val="00217FD2"/>
    <w:rsid w:val="00220468"/>
    <w:rsid w:val="002208C8"/>
    <w:rsid w:val="00220A14"/>
    <w:rsid w:val="002212C0"/>
    <w:rsid w:val="00221835"/>
    <w:rsid w:val="00222DEF"/>
    <w:rsid w:val="00223164"/>
    <w:rsid w:val="00223787"/>
    <w:rsid w:val="00223E03"/>
    <w:rsid w:val="00223EF0"/>
    <w:rsid w:val="002240DF"/>
    <w:rsid w:val="00224858"/>
    <w:rsid w:val="00224D69"/>
    <w:rsid w:val="00225C22"/>
    <w:rsid w:val="0022605A"/>
    <w:rsid w:val="00226EEA"/>
    <w:rsid w:val="00227218"/>
    <w:rsid w:val="00230567"/>
    <w:rsid w:val="00231086"/>
    <w:rsid w:val="002317BD"/>
    <w:rsid w:val="00231F1F"/>
    <w:rsid w:val="00233313"/>
    <w:rsid w:val="00233C78"/>
    <w:rsid w:val="00233DCA"/>
    <w:rsid w:val="002348C6"/>
    <w:rsid w:val="00234D13"/>
    <w:rsid w:val="00234D27"/>
    <w:rsid w:val="00234F72"/>
    <w:rsid w:val="00235286"/>
    <w:rsid w:val="0023548A"/>
    <w:rsid w:val="00235D85"/>
    <w:rsid w:val="002365F5"/>
    <w:rsid w:val="00236933"/>
    <w:rsid w:val="00236A44"/>
    <w:rsid w:val="00236A8F"/>
    <w:rsid w:val="00236EE4"/>
    <w:rsid w:val="002376C7"/>
    <w:rsid w:val="00237BD8"/>
    <w:rsid w:val="00237DEB"/>
    <w:rsid w:val="00240724"/>
    <w:rsid w:val="00240F49"/>
    <w:rsid w:val="0024174F"/>
    <w:rsid w:val="002420A9"/>
    <w:rsid w:val="00243102"/>
    <w:rsid w:val="002431E5"/>
    <w:rsid w:val="0024359D"/>
    <w:rsid w:val="002436CB"/>
    <w:rsid w:val="00243E45"/>
    <w:rsid w:val="00243F52"/>
    <w:rsid w:val="00244D74"/>
    <w:rsid w:val="00245DEA"/>
    <w:rsid w:val="00245FAC"/>
    <w:rsid w:val="0024622B"/>
    <w:rsid w:val="0024635E"/>
    <w:rsid w:val="002464A5"/>
    <w:rsid w:val="00247FD5"/>
    <w:rsid w:val="0025076A"/>
    <w:rsid w:val="00250E1E"/>
    <w:rsid w:val="00251263"/>
    <w:rsid w:val="002512E1"/>
    <w:rsid w:val="00252B26"/>
    <w:rsid w:val="002533CA"/>
    <w:rsid w:val="00253DC9"/>
    <w:rsid w:val="002545BE"/>
    <w:rsid w:val="00254CBD"/>
    <w:rsid w:val="00254D99"/>
    <w:rsid w:val="00254FBB"/>
    <w:rsid w:val="00255724"/>
    <w:rsid w:val="00255F77"/>
    <w:rsid w:val="0025773F"/>
    <w:rsid w:val="00260341"/>
    <w:rsid w:val="00260961"/>
    <w:rsid w:val="00262137"/>
    <w:rsid w:val="002625B8"/>
    <w:rsid w:val="00263350"/>
    <w:rsid w:val="00263575"/>
    <w:rsid w:val="00263A9D"/>
    <w:rsid w:val="00263D64"/>
    <w:rsid w:val="0026435E"/>
    <w:rsid w:val="00264676"/>
    <w:rsid w:val="00264DF8"/>
    <w:rsid w:val="002659A8"/>
    <w:rsid w:val="00265CF4"/>
    <w:rsid w:val="002675F0"/>
    <w:rsid w:val="00267E33"/>
    <w:rsid w:val="002706AF"/>
    <w:rsid w:val="00270F08"/>
    <w:rsid w:val="00271265"/>
    <w:rsid w:val="00271317"/>
    <w:rsid w:val="0027141C"/>
    <w:rsid w:val="00271E3F"/>
    <w:rsid w:val="0027228C"/>
    <w:rsid w:val="00272D75"/>
    <w:rsid w:val="0027403D"/>
    <w:rsid w:val="002755CC"/>
    <w:rsid w:val="00275668"/>
    <w:rsid w:val="002757F5"/>
    <w:rsid w:val="0027659B"/>
    <w:rsid w:val="00276A5D"/>
    <w:rsid w:val="002771FD"/>
    <w:rsid w:val="0027730C"/>
    <w:rsid w:val="00277DE9"/>
    <w:rsid w:val="00280F2B"/>
    <w:rsid w:val="002820C5"/>
    <w:rsid w:val="002821C7"/>
    <w:rsid w:val="002828A6"/>
    <w:rsid w:val="002830EC"/>
    <w:rsid w:val="002833C4"/>
    <w:rsid w:val="00283F85"/>
    <w:rsid w:val="002849A0"/>
    <w:rsid w:val="00284F07"/>
    <w:rsid w:val="00285006"/>
    <w:rsid w:val="00285B18"/>
    <w:rsid w:val="00286D84"/>
    <w:rsid w:val="00287397"/>
    <w:rsid w:val="00287B66"/>
    <w:rsid w:val="002905DC"/>
    <w:rsid w:val="0029164B"/>
    <w:rsid w:val="00291A24"/>
    <w:rsid w:val="00291B0A"/>
    <w:rsid w:val="0029208D"/>
    <w:rsid w:val="00292A9A"/>
    <w:rsid w:val="00293209"/>
    <w:rsid w:val="002947D9"/>
    <w:rsid w:val="00294FB2"/>
    <w:rsid w:val="00295E42"/>
    <w:rsid w:val="0029604E"/>
    <w:rsid w:val="002963A4"/>
    <w:rsid w:val="00296553"/>
    <w:rsid w:val="002970CE"/>
    <w:rsid w:val="00297854"/>
    <w:rsid w:val="00297FDD"/>
    <w:rsid w:val="002A0C1D"/>
    <w:rsid w:val="002A12A5"/>
    <w:rsid w:val="002A227B"/>
    <w:rsid w:val="002A32AA"/>
    <w:rsid w:val="002A33A4"/>
    <w:rsid w:val="002A3813"/>
    <w:rsid w:val="002A3AF4"/>
    <w:rsid w:val="002A3D0A"/>
    <w:rsid w:val="002A3DA0"/>
    <w:rsid w:val="002A405D"/>
    <w:rsid w:val="002A42CE"/>
    <w:rsid w:val="002A5049"/>
    <w:rsid w:val="002A697B"/>
    <w:rsid w:val="002A7445"/>
    <w:rsid w:val="002A7907"/>
    <w:rsid w:val="002B1892"/>
    <w:rsid w:val="002B1FDE"/>
    <w:rsid w:val="002B2000"/>
    <w:rsid w:val="002B2FA1"/>
    <w:rsid w:val="002B3280"/>
    <w:rsid w:val="002B47F1"/>
    <w:rsid w:val="002B5247"/>
    <w:rsid w:val="002B5DC6"/>
    <w:rsid w:val="002B66AA"/>
    <w:rsid w:val="002B68F9"/>
    <w:rsid w:val="002B706E"/>
    <w:rsid w:val="002C0DDD"/>
    <w:rsid w:val="002C0EF7"/>
    <w:rsid w:val="002C110C"/>
    <w:rsid w:val="002C1569"/>
    <w:rsid w:val="002C1F63"/>
    <w:rsid w:val="002C21DF"/>
    <w:rsid w:val="002C2695"/>
    <w:rsid w:val="002C26CB"/>
    <w:rsid w:val="002C2786"/>
    <w:rsid w:val="002C2B8C"/>
    <w:rsid w:val="002C3BFE"/>
    <w:rsid w:val="002C48DA"/>
    <w:rsid w:val="002C53D3"/>
    <w:rsid w:val="002C586A"/>
    <w:rsid w:val="002C6239"/>
    <w:rsid w:val="002C62DB"/>
    <w:rsid w:val="002C6909"/>
    <w:rsid w:val="002C72BB"/>
    <w:rsid w:val="002D017B"/>
    <w:rsid w:val="002D044F"/>
    <w:rsid w:val="002D091C"/>
    <w:rsid w:val="002D0F7F"/>
    <w:rsid w:val="002D1C1C"/>
    <w:rsid w:val="002D278E"/>
    <w:rsid w:val="002D4461"/>
    <w:rsid w:val="002D449F"/>
    <w:rsid w:val="002D507F"/>
    <w:rsid w:val="002D50AC"/>
    <w:rsid w:val="002D62E2"/>
    <w:rsid w:val="002D66E0"/>
    <w:rsid w:val="002D66ED"/>
    <w:rsid w:val="002D6BF0"/>
    <w:rsid w:val="002D799C"/>
    <w:rsid w:val="002E038B"/>
    <w:rsid w:val="002E08A6"/>
    <w:rsid w:val="002E19AC"/>
    <w:rsid w:val="002E2D03"/>
    <w:rsid w:val="002E2DDD"/>
    <w:rsid w:val="002E321C"/>
    <w:rsid w:val="002E3246"/>
    <w:rsid w:val="002E32B3"/>
    <w:rsid w:val="002E4E70"/>
    <w:rsid w:val="002E6055"/>
    <w:rsid w:val="002E62A2"/>
    <w:rsid w:val="002E67DE"/>
    <w:rsid w:val="002E69BC"/>
    <w:rsid w:val="002E7716"/>
    <w:rsid w:val="002E7A8E"/>
    <w:rsid w:val="002E7BB5"/>
    <w:rsid w:val="002E7DBD"/>
    <w:rsid w:val="002F087E"/>
    <w:rsid w:val="002F0B98"/>
    <w:rsid w:val="002F0BED"/>
    <w:rsid w:val="002F0F61"/>
    <w:rsid w:val="002F1680"/>
    <w:rsid w:val="002F31C0"/>
    <w:rsid w:val="002F41F2"/>
    <w:rsid w:val="002F45A2"/>
    <w:rsid w:val="002F4904"/>
    <w:rsid w:val="002F5C5D"/>
    <w:rsid w:val="002F6237"/>
    <w:rsid w:val="002F6BF2"/>
    <w:rsid w:val="002F71F0"/>
    <w:rsid w:val="002F778C"/>
    <w:rsid w:val="003003B5"/>
    <w:rsid w:val="003003D0"/>
    <w:rsid w:val="003010DD"/>
    <w:rsid w:val="0030204F"/>
    <w:rsid w:val="00303CC9"/>
    <w:rsid w:val="003042FB"/>
    <w:rsid w:val="0030482F"/>
    <w:rsid w:val="00305549"/>
    <w:rsid w:val="00305819"/>
    <w:rsid w:val="003059CD"/>
    <w:rsid w:val="00305B0D"/>
    <w:rsid w:val="00305E95"/>
    <w:rsid w:val="00305FEE"/>
    <w:rsid w:val="00306DCC"/>
    <w:rsid w:val="003073DA"/>
    <w:rsid w:val="0031097C"/>
    <w:rsid w:val="00310E12"/>
    <w:rsid w:val="003111AB"/>
    <w:rsid w:val="0031381E"/>
    <w:rsid w:val="0031460A"/>
    <w:rsid w:val="00314B34"/>
    <w:rsid w:val="003151E0"/>
    <w:rsid w:val="003161CF"/>
    <w:rsid w:val="00316661"/>
    <w:rsid w:val="0031750F"/>
    <w:rsid w:val="003208EF"/>
    <w:rsid w:val="0032115F"/>
    <w:rsid w:val="00321246"/>
    <w:rsid w:val="003237D4"/>
    <w:rsid w:val="00323971"/>
    <w:rsid w:val="00325E95"/>
    <w:rsid w:val="00326B97"/>
    <w:rsid w:val="0032794A"/>
    <w:rsid w:val="00330539"/>
    <w:rsid w:val="00330621"/>
    <w:rsid w:val="003306B6"/>
    <w:rsid w:val="003307B2"/>
    <w:rsid w:val="00330B52"/>
    <w:rsid w:val="00330C10"/>
    <w:rsid w:val="00330F17"/>
    <w:rsid w:val="00333316"/>
    <w:rsid w:val="003343A3"/>
    <w:rsid w:val="003349E0"/>
    <w:rsid w:val="00336077"/>
    <w:rsid w:val="00336172"/>
    <w:rsid w:val="003363B3"/>
    <w:rsid w:val="0033659A"/>
    <w:rsid w:val="003367FE"/>
    <w:rsid w:val="00336E32"/>
    <w:rsid w:val="0033766B"/>
    <w:rsid w:val="00337F7E"/>
    <w:rsid w:val="00340EDA"/>
    <w:rsid w:val="00341957"/>
    <w:rsid w:val="003422E0"/>
    <w:rsid w:val="0034252F"/>
    <w:rsid w:val="00344A32"/>
    <w:rsid w:val="00344CA7"/>
    <w:rsid w:val="00344E6B"/>
    <w:rsid w:val="003451B8"/>
    <w:rsid w:val="00346DFD"/>
    <w:rsid w:val="00347C83"/>
    <w:rsid w:val="0035149D"/>
    <w:rsid w:val="00351B25"/>
    <w:rsid w:val="00351F25"/>
    <w:rsid w:val="00352979"/>
    <w:rsid w:val="00352AEC"/>
    <w:rsid w:val="0035380A"/>
    <w:rsid w:val="00353DEC"/>
    <w:rsid w:val="003541FB"/>
    <w:rsid w:val="00354381"/>
    <w:rsid w:val="00354682"/>
    <w:rsid w:val="003549FF"/>
    <w:rsid w:val="0035519E"/>
    <w:rsid w:val="0035638C"/>
    <w:rsid w:val="00357129"/>
    <w:rsid w:val="0035721F"/>
    <w:rsid w:val="00360241"/>
    <w:rsid w:val="00360B86"/>
    <w:rsid w:val="00360D35"/>
    <w:rsid w:val="003615DC"/>
    <w:rsid w:val="0036390D"/>
    <w:rsid w:val="00364AB4"/>
    <w:rsid w:val="003657EC"/>
    <w:rsid w:val="00365A38"/>
    <w:rsid w:val="00365C82"/>
    <w:rsid w:val="00366FE5"/>
    <w:rsid w:val="00367740"/>
    <w:rsid w:val="003678D9"/>
    <w:rsid w:val="00367C3F"/>
    <w:rsid w:val="0037027B"/>
    <w:rsid w:val="00370D0B"/>
    <w:rsid w:val="00370D1C"/>
    <w:rsid w:val="00370E07"/>
    <w:rsid w:val="00371066"/>
    <w:rsid w:val="0037111C"/>
    <w:rsid w:val="0037129E"/>
    <w:rsid w:val="00372597"/>
    <w:rsid w:val="003727A6"/>
    <w:rsid w:val="00372CC3"/>
    <w:rsid w:val="00373EE6"/>
    <w:rsid w:val="0037500C"/>
    <w:rsid w:val="00375AC9"/>
    <w:rsid w:val="00375ADF"/>
    <w:rsid w:val="003762E5"/>
    <w:rsid w:val="0037674D"/>
    <w:rsid w:val="0037697F"/>
    <w:rsid w:val="003774FA"/>
    <w:rsid w:val="00377903"/>
    <w:rsid w:val="00377B88"/>
    <w:rsid w:val="00377D9F"/>
    <w:rsid w:val="003810E1"/>
    <w:rsid w:val="00382254"/>
    <w:rsid w:val="0038269B"/>
    <w:rsid w:val="00382C1E"/>
    <w:rsid w:val="00382DCB"/>
    <w:rsid w:val="00382FE9"/>
    <w:rsid w:val="00383B03"/>
    <w:rsid w:val="0038417D"/>
    <w:rsid w:val="00384BA0"/>
    <w:rsid w:val="00384DE6"/>
    <w:rsid w:val="00384F8D"/>
    <w:rsid w:val="00385182"/>
    <w:rsid w:val="0038546A"/>
    <w:rsid w:val="0038552B"/>
    <w:rsid w:val="00386296"/>
    <w:rsid w:val="00386515"/>
    <w:rsid w:val="0038699D"/>
    <w:rsid w:val="00386A3A"/>
    <w:rsid w:val="00387570"/>
    <w:rsid w:val="00387ACE"/>
    <w:rsid w:val="003900FD"/>
    <w:rsid w:val="00390DE9"/>
    <w:rsid w:val="00391CCB"/>
    <w:rsid w:val="00391F0B"/>
    <w:rsid w:val="00392809"/>
    <w:rsid w:val="00392B60"/>
    <w:rsid w:val="00392E8A"/>
    <w:rsid w:val="0039311E"/>
    <w:rsid w:val="0039394C"/>
    <w:rsid w:val="00394136"/>
    <w:rsid w:val="0039471F"/>
    <w:rsid w:val="003953E7"/>
    <w:rsid w:val="003964C2"/>
    <w:rsid w:val="00397037"/>
    <w:rsid w:val="003A01B4"/>
    <w:rsid w:val="003A01C5"/>
    <w:rsid w:val="003A03A1"/>
    <w:rsid w:val="003A0C2F"/>
    <w:rsid w:val="003A0CEF"/>
    <w:rsid w:val="003A0F21"/>
    <w:rsid w:val="003A10FE"/>
    <w:rsid w:val="003A136F"/>
    <w:rsid w:val="003A1449"/>
    <w:rsid w:val="003A1474"/>
    <w:rsid w:val="003A1494"/>
    <w:rsid w:val="003A15E6"/>
    <w:rsid w:val="003A17DF"/>
    <w:rsid w:val="003A2764"/>
    <w:rsid w:val="003A31F7"/>
    <w:rsid w:val="003A32A6"/>
    <w:rsid w:val="003A3AF3"/>
    <w:rsid w:val="003A41BA"/>
    <w:rsid w:val="003A49DF"/>
    <w:rsid w:val="003A768D"/>
    <w:rsid w:val="003B056F"/>
    <w:rsid w:val="003B1D87"/>
    <w:rsid w:val="003B1F95"/>
    <w:rsid w:val="003B29A6"/>
    <w:rsid w:val="003B2D60"/>
    <w:rsid w:val="003B2F07"/>
    <w:rsid w:val="003B3D98"/>
    <w:rsid w:val="003B4058"/>
    <w:rsid w:val="003B4059"/>
    <w:rsid w:val="003B4777"/>
    <w:rsid w:val="003B4CC1"/>
    <w:rsid w:val="003B4D64"/>
    <w:rsid w:val="003B564C"/>
    <w:rsid w:val="003B5939"/>
    <w:rsid w:val="003B67EA"/>
    <w:rsid w:val="003B702D"/>
    <w:rsid w:val="003B7616"/>
    <w:rsid w:val="003C01FF"/>
    <w:rsid w:val="003C0F7F"/>
    <w:rsid w:val="003C0F9E"/>
    <w:rsid w:val="003C1589"/>
    <w:rsid w:val="003C15C5"/>
    <w:rsid w:val="003C16AA"/>
    <w:rsid w:val="003C1856"/>
    <w:rsid w:val="003C1AA2"/>
    <w:rsid w:val="003C2058"/>
    <w:rsid w:val="003C2BD6"/>
    <w:rsid w:val="003C2E31"/>
    <w:rsid w:val="003C2EEE"/>
    <w:rsid w:val="003C407E"/>
    <w:rsid w:val="003C4EAD"/>
    <w:rsid w:val="003C525C"/>
    <w:rsid w:val="003C5E7D"/>
    <w:rsid w:val="003C5F6B"/>
    <w:rsid w:val="003C5F6D"/>
    <w:rsid w:val="003C6C72"/>
    <w:rsid w:val="003C72FE"/>
    <w:rsid w:val="003C7424"/>
    <w:rsid w:val="003C7A01"/>
    <w:rsid w:val="003D0DCA"/>
    <w:rsid w:val="003D12E1"/>
    <w:rsid w:val="003D1A41"/>
    <w:rsid w:val="003D1C6F"/>
    <w:rsid w:val="003D2E1E"/>
    <w:rsid w:val="003D303C"/>
    <w:rsid w:val="003D30A9"/>
    <w:rsid w:val="003D32E2"/>
    <w:rsid w:val="003D447E"/>
    <w:rsid w:val="003D48D0"/>
    <w:rsid w:val="003D4D79"/>
    <w:rsid w:val="003D69BF"/>
    <w:rsid w:val="003D6B58"/>
    <w:rsid w:val="003D719A"/>
    <w:rsid w:val="003D7FE8"/>
    <w:rsid w:val="003E0195"/>
    <w:rsid w:val="003E1819"/>
    <w:rsid w:val="003E1BE6"/>
    <w:rsid w:val="003E24A8"/>
    <w:rsid w:val="003E2EB6"/>
    <w:rsid w:val="003E4164"/>
    <w:rsid w:val="003E4A11"/>
    <w:rsid w:val="003E53C2"/>
    <w:rsid w:val="003E5ACF"/>
    <w:rsid w:val="003E5B21"/>
    <w:rsid w:val="003E5D3B"/>
    <w:rsid w:val="003E5FE3"/>
    <w:rsid w:val="003E66E1"/>
    <w:rsid w:val="003E7516"/>
    <w:rsid w:val="003E7B9A"/>
    <w:rsid w:val="003F0659"/>
    <w:rsid w:val="003F0AA4"/>
    <w:rsid w:val="003F1336"/>
    <w:rsid w:val="003F13E7"/>
    <w:rsid w:val="003F1DD1"/>
    <w:rsid w:val="003F24EA"/>
    <w:rsid w:val="003F2576"/>
    <w:rsid w:val="003F2A10"/>
    <w:rsid w:val="003F2AC2"/>
    <w:rsid w:val="003F2C16"/>
    <w:rsid w:val="003F3324"/>
    <w:rsid w:val="003F336E"/>
    <w:rsid w:val="003F36CC"/>
    <w:rsid w:val="003F54AC"/>
    <w:rsid w:val="003F54FF"/>
    <w:rsid w:val="003F559A"/>
    <w:rsid w:val="003F61AA"/>
    <w:rsid w:val="003F6771"/>
    <w:rsid w:val="003F6960"/>
    <w:rsid w:val="003F6BF8"/>
    <w:rsid w:val="003F7230"/>
    <w:rsid w:val="003F7B6E"/>
    <w:rsid w:val="0040082A"/>
    <w:rsid w:val="00400B2C"/>
    <w:rsid w:val="00400B60"/>
    <w:rsid w:val="00400C14"/>
    <w:rsid w:val="00400D71"/>
    <w:rsid w:val="004014A1"/>
    <w:rsid w:val="004018D8"/>
    <w:rsid w:val="00401E98"/>
    <w:rsid w:val="00401F7E"/>
    <w:rsid w:val="004020B0"/>
    <w:rsid w:val="00402586"/>
    <w:rsid w:val="00402D1B"/>
    <w:rsid w:val="00402DD1"/>
    <w:rsid w:val="0040549F"/>
    <w:rsid w:val="004061CC"/>
    <w:rsid w:val="0040635E"/>
    <w:rsid w:val="004064CB"/>
    <w:rsid w:val="00406560"/>
    <w:rsid w:val="00406DA8"/>
    <w:rsid w:val="00407D2F"/>
    <w:rsid w:val="00407F1F"/>
    <w:rsid w:val="00413175"/>
    <w:rsid w:val="00413333"/>
    <w:rsid w:val="00414627"/>
    <w:rsid w:val="00414773"/>
    <w:rsid w:val="004155DE"/>
    <w:rsid w:val="0041561A"/>
    <w:rsid w:val="004156F9"/>
    <w:rsid w:val="0041588A"/>
    <w:rsid w:val="0041602E"/>
    <w:rsid w:val="00416169"/>
    <w:rsid w:val="0041660B"/>
    <w:rsid w:val="00416BF0"/>
    <w:rsid w:val="00417E83"/>
    <w:rsid w:val="00420D28"/>
    <w:rsid w:val="004215D6"/>
    <w:rsid w:val="00421816"/>
    <w:rsid w:val="00421CE6"/>
    <w:rsid w:val="00423467"/>
    <w:rsid w:val="00423BDE"/>
    <w:rsid w:val="00423CA0"/>
    <w:rsid w:val="004241E8"/>
    <w:rsid w:val="00424310"/>
    <w:rsid w:val="004249B7"/>
    <w:rsid w:val="00424C61"/>
    <w:rsid w:val="00425091"/>
    <w:rsid w:val="0042588D"/>
    <w:rsid w:val="00426950"/>
    <w:rsid w:val="004275F8"/>
    <w:rsid w:val="004279DC"/>
    <w:rsid w:val="00427B41"/>
    <w:rsid w:val="00430663"/>
    <w:rsid w:val="00431070"/>
    <w:rsid w:val="0043138D"/>
    <w:rsid w:val="00433B51"/>
    <w:rsid w:val="00434178"/>
    <w:rsid w:val="00434354"/>
    <w:rsid w:val="004347AE"/>
    <w:rsid w:val="00437884"/>
    <w:rsid w:val="00437EA3"/>
    <w:rsid w:val="00437EDD"/>
    <w:rsid w:val="004416BF"/>
    <w:rsid w:val="00441A8F"/>
    <w:rsid w:val="004423B2"/>
    <w:rsid w:val="00443D6F"/>
    <w:rsid w:val="0044492A"/>
    <w:rsid w:val="00444BD8"/>
    <w:rsid w:val="00444F96"/>
    <w:rsid w:val="00445FFC"/>
    <w:rsid w:val="004462BD"/>
    <w:rsid w:val="004463C6"/>
    <w:rsid w:val="00446775"/>
    <w:rsid w:val="0044721A"/>
    <w:rsid w:val="00447906"/>
    <w:rsid w:val="00450246"/>
    <w:rsid w:val="00450686"/>
    <w:rsid w:val="00450D22"/>
    <w:rsid w:val="00451F99"/>
    <w:rsid w:val="00452560"/>
    <w:rsid w:val="00452563"/>
    <w:rsid w:val="0045265F"/>
    <w:rsid w:val="00453464"/>
    <w:rsid w:val="0045360B"/>
    <w:rsid w:val="00454343"/>
    <w:rsid w:val="0045462D"/>
    <w:rsid w:val="00454684"/>
    <w:rsid w:val="00454D8B"/>
    <w:rsid w:val="004553A1"/>
    <w:rsid w:val="004557E3"/>
    <w:rsid w:val="00455D5A"/>
    <w:rsid w:val="00455E18"/>
    <w:rsid w:val="00455E92"/>
    <w:rsid w:val="00456B88"/>
    <w:rsid w:val="00456F09"/>
    <w:rsid w:val="00457150"/>
    <w:rsid w:val="00457E36"/>
    <w:rsid w:val="00460993"/>
    <w:rsid w:val="00460D9A"/>
    <w:rsid w:val="00461CAB"/>
    <w:rsid w:val="00462683"/>
    <w:rsid w:val="00463008"/>
    <w:rsid w:val="00463628"/>
    <w:rsid w:val="004643F9"/>
    <w:rsid w:val="00465121"/>
    <w:rsid w:val="00465B9A"/>
    <w:rsid w:val="00465DB3"/>
    <w:rsid w:val="004666E6"/>
    <w:rsid w:val="00466790"/>
    <w:rsid w:val="00466C09"/>
    <w:rsid w:val="00466D28"/>
    <w:rsid w:val="00466F2A"/>
    <w:rsid w:val="00470766"/>
    <w:rsid w:val="00470942"/>
    <w:rsid w:val="004725D7"/>
    <w:rsid w:val="00472AEA"/>
    <w:rsid w:val="00472C9A"/>
    <w:rsid w:val="00472F54"/>
    <w:rsid w:val="004733B8"/>
    <w:rsid w:val="004736A3"/>
    <w:rsid w:val="0047432B"/>
    <w:rsid w:val="0047458E"/>
    <w:rsid w:val="004749D2"/>
    <w:rsid w:val="004755FD"/>
    <w:rsid w:val="004761DC"/>
    <w:rsid w:val="00476DF6"/>
    <w:rsid w:val="00477978"/>
    <w:rsid w:val="00480294"/>
    <w:rsid w:val="004805CC"/>
    <w:rsid w:val="00480840"/>
    <w:rsid w:val="00481011"/>
    <w:rsid w:val="0048134E"/>
    <w:rsid w:val="0048178A"/>
    <w:rsid w:val="00482974"/>
    <w:rsid w:val="00482F4C"/>
    <w:rsid w:val="00483057"/>
    <w:rsid w:val="0048328B"/>
    <w:rsid w:val="0048405E"/>
    <w:rsid w:val="00484512"/>
    <w:rsid w:val="0048468B"/>
    <w:rsid w:val="004850E4"/>
    <w:rsid w:val="00486484"/>
    <w:rsid w:val="00486CD5"/>
    <w:rsid w:val="00486E89"/>
    <w:rsid w:val="00486F87"/>
    <w:rsid w:val="004875C0"/>
    <w:rsid w:val="0048776E"/>
    <w:rsid w:val="0049066B"/>
    <w:rsid w:val="00490A22"/>
    <w:rsid w:val="00490E6E"/>
    <w:rsid w:val="00492579"/>
    <w:rsid w:val="0049325B"/>
    <w:rsid w:val="0049333D"/>
    <w:rsid w:val="00493B47"/>
    <w:rsid w:val="00494895"/>
    <w:rsid w:val="00495C83"/>
    <w:rsid w:val="00496964"/>
    <w:rsid w:val="0049742B"/>
    <w:rsid w:val="004A030B"/>
    <w:rsid w:val="004A036A"/>
    <w:rsid w:val="004A0ECC"/>
    <w:rsid w:val="004A19BB"/>
    <w:rsid w:val="004A36B2"/>
    <w:rsid w:val="004A383A"/>
    <w:rsid w:val="004A4333"/>
    <w:rsid w:val="004A4856"/>
    <w:rsid w:val="004A5290"/>
    <w:rsid w:val="004A5695"/>
    <w:rsid w:val="004A5803"/>
    <w:rsid w:val="004A5B35"/>
    <w:rsid w:val="004A5F99"/>
    <w:rsid w:val="004A6659"/>
    <w:rsid w:val="004A698F"/>
    <w:rsid w:val="004A77C6"/>
    <w:rsid w:val="004B07A0"/>
    <w:rsid w:val="004B14AE"/>
    <w:rsid w:val="004B16A7"/>
    <w:rsid w:val="004B2515"/>
    <w:rsid w:val="004B27AE"/>
    <w:rsid w:val="004B2F9A"/>
    <w:rsid w:val="004B3BAD"/>
    <w:rsid w:val="004B3FFA"/>
    <w:rsid w:val="004B4DC3"/>
    <w:rsid w:val="004B578C"/>
    <w:rsid w:val="004B6038"/>
    <w:rsid w:val="004B68FC"/>
    <w:rsid w:val="004B7F26"/>
    <w:rsid w:val="004C05C9"/>
    <w:rsid w:val="004C07C4"/>
    <w:rsid w:val="004C107D"/>
    <w:rsid w:val="004C13EB"/>
    <w:rsid w:val="004C19D0"/>
    <w:rsid w:val="004C26FD"/>
    <w:rsid w:val="004C2A55"/>
    <w:rsid w:val="004C37A0"/>
    <w:rsid w:val="004C3BD8"/>
    <w:rsid w:val="004C4B97"/>
    <w:rsid w:val="004C4EBB"/>
    <w:rsid w:val="004C5516"/>
    <w:rsid w:val="004C5E26"/>
    <w:rsid w:val="004C6089"/>
    <w:rsid w:val="004C6676"/>
    <w:rsid w:val="004C7129"/>
    <w:rsid w:val="004C7AD1"/>
    <w:rsid w:val="004D002B"/>
    <w:rsid w:val="004D0774"/>
    <w:rsid w:val="004D0ABE"/>
    <w:rsid w:val="004D0CE4"/>
    <w:rsid w:val="004D0E4E"/>
    <w:rsid w:val="004D147D"/>
    <w:rsid w:val="004D1E29"/>
    <w:rsid w:val="004D2175"/>
    <w:rsid w:val="004D2EBC"/>
    <w:rsid w:val="004D3063"/>
    <w:rsid w:val="004D36EF"/>
    <w:rsid w:val="004D37DC"/>
    <w:rsid w:val="004D42EB"/>
    <w:rsid w:val="004D45B8"/>
    <w:rsid w:val="004D4735"/>
    <w:rsid w:val="004D47E5"/>
    <w:rsid w:val="004D4B76"/>
    <w:rsid w:val="004D5055"/>
    <w:rsid w:val="004D5084"/>
    <w:rsid w:val="004D5BFB"/>
    <w:rsid w:val="004D645F"/>
    <w:rsid w:val="004D6886"/>
    <w:rsid w:val="004D68F0"/>
    <w:rsid w:val="004D6B02"/>
    <w:rsid w:val="004D7314"/>
    <w:rsid w:val="004D73EF"/>
    <w:rsid w:val="004D75DC"/>
    <w:rsid w:val="004D7D27"/>
    <w:rsid w:val="004D7EDF"/>
    <w:rsid w:val="004E0549"/>
    <w:rsid w:val="004E0C86"/>
    <w:rsid w:val="004E0F6B"/>
    <w:rsid w:val="004E10CD"/>
    <w:rsid w:val="004E12BD"/>
    <w:rsid w:val="004E1C2C"/>
    <w:rsid w:val="004E20CC"/>
    <w:rsid w:val="004E252B"/>
    <w:rsid w:val="004E29BD"/>
    <w:rsid w:val="004E2D1B"/>
    <w:rsid w:val="004E2E27"/>
    <w:rsid w:val="004E31E6"/>
    <w:rsid w:val="004E3BEA"/>
    <w:rsid w:val="004E3E86"/>
    <w:rsid w:val="004E4176"/>
    <w:rsid w:val="004E43D0"/>
    <w:rsid w:val="004E48EB"/>
    <w:rsid w:val="004E6998"/>
    <w:rsid w:val="004E6CB1"/>
    <w:rsid w:val="004E7810"/>
    <w:rsid w:val="004F0324"/>
    <w:rsid w:val="004F0729"/>
    <w:rsid w:val="004F12A6"/>
    <w:rsid w:val="004F2D13"/>
    <w:rsid w:val="004F3221"/>
    <w:rsid w:val="004F40F6"/>
    <w:rsid w:val="004F47E0"/>
    <w:rsid w:val="004F4A86"/>
    <w:rsid w:val="004F4C24"/>
    <w:rsid w:val="004F4D59"/>
    <w:rsid w:val="004F5E5D"/>
    <w:rsid w:val="004F60EB"/>
    <w:rsid w:val="004F628C"/>
    <w:rsid w:val="004F7F00"/>
    <w:rsid w:val="005011A7"/>
    <w:rsid w:val="005012A3"/>
    <w:rsid w:val="0050204B"/>
    <w:rsid w:val="00502299"/>
    <w:rsid w:val="005024DA"/>
    <w:rsid w:val="00502A3B"/>
    <w:rsid w:val="00503E8B"/>
    <w:rsid w:val="00503F54"/>
    <w:rsid w:val="005040FB"/>
    <w:rsid w:val="00504F6D"/>
    <w:rsid w:val="00506175"/>
    <w:rsid w:val="0050644F"/>
    <w:rsid w:val="005067AB"/>
    <w:rsid w:val="005067FD"/>
    <w:rsid w:val="00506847"/>
    <w:rsid w:val="00506E85"/>
    <w:rsid w:val="00507752"/>
    <w:rsid w:val="00510602"/>
    <w:rsid w:val="005111BA"/>
    <w:rsid w:val="00511DCB"/>
    <w:rsid w:val="005120B2"/>
    <w:rsid w:val="0051273F"/>
    <w:rsid w:val="0051326D"/>
    <w:rsid w:val="00513ABF"/>
    <w:rsid w:val="00513EE3"/>
    <w:rsid w:val="0051444E"/>
    <w:rsid w:val="00514FAE"/>
    <w:rsid w:val="0051524A"/>
    <w:rsid w:val="00515A31"/>
    <w:rsid w:val="00515DA5"/>
    <w:rsid w:val="00515EC4"/>
    <w:rsid w:val="00516079"/>
    <w:rsid w:val="00516E5A"/>
    <w:rsid w:val="00516EE8"/>
    <w:rsid w:val="00517D2A"/>
    <w:rsid w:val="00520297"/>
    <w:rsid w:val="00521A3A"/>
    <w:rsid w:val="00521EC4"/>
    <w:rsid w:val="00522230"/>
    <w:rsid w:val="00522F24"/>
    <w:rsid w:val="00523B06"/>
    <w:rsid w:val="00523C33"/>
    <w:rsid w:val="00524289"/>
    <w:rsid w:val="005251B1"/>
    <w:rsid w:val="005255DD"/>
    <w:rsid w:val="00525D61"/>
    <w:rsid w:val="00527529"/>
    <w:rsid w:val="00527893"/>
    <w:rsid w:val="005303B1"/>
    <w:rsid w:val="0053100E"/>
    <w:rsid w:val="005319D6"/>
    <w:rsid w:val="00531A5D"/>
    <w:rsid w:val="00531C4D"/>
    <w:rsid w:val="00531E37"/>
    <w:rsid w:val="00532B4D"/>
    <w:rsid w:val="00533347"/>
    <w:rsid w:val="00533EE0"/>
    <w:rsid w:val="00534AD1"/>
    <w:rsid w:val="00534FF4"/>
    <w:rsid w:val="00535A06"/>
    <w:rsid w:val="00536497"/>
    <w:rsid w:val="00536DBD"/>
    <w:rsid w:val="00536F6E"/>
    <w:rsid w:val="00537482"/>
    <w:rsid w:val="00537B98"/>
    <w:rsid w:val="00540065"/>
    <w:rsid w:val="005408B7"/>
    <w:rsid w:val="0054106E"/>
    <w:rsid w:val="005411E6"/>
    <w:rsid w:val="00541C72"/>
    <w:rsid w:val="005422E1"/>
    <w:rsid w:val="0054256D"/>
    <w:rsid w:val="00542950"/>
    <w:rsid w:val="00543767"/>
    <w:rsid w:val="00543B52"/>
    <w:rsid w:val="00543EE7"/>
    <w:rsid w:val="00544040"/>
    <w:rsid w:val="00544D6B"/>
    <w:rsid w:val="00545B24"/>
    <w:rsid w:val="005465A8"/>
    <w:rsid w:val="00546E8C"/>
    <w:rsid w:val="00547488"/>
    <w:rsid w:val="00547A3B"/>
    <w:rsid w:val="00547D9B"/>
    <w:rsid w:val="00550726"/>
    <w:rsid w:val="00551F02"/>
    <w:rsid w:val="005520EA"/>
    <w:rsid w:val="0055295B"/>
    <w:rsid w:val="00552BF3"/>
    <w:rsid w:val="00552D24"/>
    <w:rsid w:val="00553913"/>
    <w:rsid w:val="00553C64"/>
    <w:rsid w:val="0055496B"/>
    <w:rsid w:val="00556415"/>
    <w:rsid w:val="00556C3F"/>
    <w:rsid w:val="005570FB"/>
    <w:rsid w:val="00557332"/>
    <w:rsid w:val="00560131"/>
    <w:rsid w:val="005602F9"/>
    <w:rsid w:val="005608E6"/>
    <w:rsid w:val="005609EA"/>
    <w:rsid w:val="00560AE1"/>
    <w:rsid w:val="00560B49"/>
    <w:rsid w:val="00560E2C"/>
    <w:rsid w:val="00560EA0"/>
    <w:rsid w:val="00560F74"/>
    <w:rsid w:val="0056103A"/>
    <w:rsid w:val="005610F2"/>
    <w:rsid w:val="0056287A"/>
    <w:rsid w:val="005634BD"/>
    <w:rsid w:val="00564805"/>
    <w:rsid w:val="005652C3"/>
    <w:rsid w:val="005661EB"/>
    <w:rsid w:val="005662F6"/>
    <w:rsid w:val="00566815"/>
    <w:rsid w:val="005668FD"/>
    <w:rsid w:val="00566B23"/>
    <w:rsid w:val="00570326"/>
    <w:rsid w:val="005703C3"/>
    <w:rsid w:val="005708C6"/>
    <w:rsid w:val="005719F0"/>
    <w:rsid w:val="00571EB4"/>
    <w:rsid w:val="00571EBD"/>
    <w:rsid w:val="00572888"/>
    <w:rsid w:val="005745B7"/>
    <w:rsid w:val="00574C58"/>
    <w:rsid w:val="00575E5F"/>
    <w:rsid w:val="00576134"/>
    <w:rsid w:val="00576ADA"/>
    <w:rsid w:val="005773D8"/>
    <w:rsid w:val="0058034C"/>
    <w:rsid w:val="00581D34"/>
    <w:rsid w:val="0058272D"/>
    <w:rsid w:val="00582869"/>
    <w:rsid w:val="0058454B"/>
    <w:rsid w:val="00584F2B"/>
    <w:rsid w:val="005855FB"/>
    <w:rsid w:val="0058570A"/>
    <w:rsid w:val="00585B75"/>
    <w:rsid w:val="00585C04"/>
    <w:rsid w:val="0058632D"/>
    <w:rsid w:val="00587BFB"/>
    <w:rsid w:val="00587C88"/>
    <w:rsid w:val="005907A2"/>
    <w:rsid w:val="00590AA6"/>
    <w:rsid w:val="005914EE"/>
    <w:rsid w:val="005916B5"/>
    <w:rsid w:val="005937A7"/>
    <w:rsid w:val="00593C11"/>
    <w:rsid w:val="00594B1C"/>
    <w:rsid w:val="005950BC"/>
    <w:rsid w:val="00595757"/>
    <w:rsid w:val="005960B1"/>
    <w:rsid w:val="005964B7"/>
    <w:rsid w:val="005973A3"/>
    <w:rsid w:val="00597706"/>
    <w:rsid w:val="00597D50"/>
    <w:rsid w:val="005A0469"/>
    <w:rsid w:val="005A06C8"/>
    <w:rsid w:val="005A11F9"/>
    <w:rsid w:val="005A1726"/>
    <w:rsid w:val="005A248C"/>
    <w:rsid w:val="005A3634"/>
    <w:rsid w:val="005A4707"/>
    <w:rsid w:val="005A4BD1"/>
    <w:rsid w:val="005A4C5A"/>
    <w:rsid w:val="005A4EFD"/>
    <w:rsid w:val="005A53DB"/>
    <w:rsid w:val="005A579A"/>
    <w:rsid w:val="005A5C33"/>
    <w:rsid w:val="005A5EA4"/>
    <w:rsid w:val="005A69D5"/>
    <w:rsid w:val="005A6D63"/>
    <w:rsid w:val="005A7097"/>
    <w:rsid w:val="005A7131"/>
    <w:rsid w:val="005A71FD"/>
    <w:rsid w:val="005A7C7E"/>
    <w:rsid w:val="005B037A"/>
    <w:rsid w:val="005B13F7"/>
    <w:rsid w:val="005B1B37"/>
    <w:rsid w:val="005B2AB5"/>
    <w:rsid w:val="005B2B99"/>
    <w:rsid w:val="005B3EFA"/>
    <w:rsid w:val="005B4CED"/>
    <w:rsid w:val="005B5F6C"/>
    <w:rsid w:val="005B6085"/>
    <w:rsid w:val="005B7492"/>
    <w:rsid w:val="005C010E"/>
    <w:rsid w:val="005C1B8B"/>
    <w:rsid w:val="005C1E2B"/>
    <w:rsid w:val="005C2582"/>
    <w:rsid w:val="005C2A88"/>
    <w:rsid w:val="005C32D3"/>
    <w:rsid w:val="005C3598"/>
    <w:rsid w:val="005C3C51"/>
    <w:rsid w:val="005C4AA0"/>
    <w:rsid w:val="005C4BAD"/>
    <w:rsid w:val="005C51E7"/>
    <w:rsid w:val="005C5356"/>
    <w:rsid w:val="005C67B6"/>
    <w:rsid w:val="005C72E3"/>
    <w:rsid w:val="005D0044"/>
    <w:rsid w:val="005D10DF"/>
    <w:rsid w:val="005D16ED"/>
    <w:rsid w:val="005D2272"/>
    <w:rsid w:val="005D2578"/>
    <w:rsid w:val="005D2759"/>
    <w:rsid w:val="005D2F1B"/>
    <w:rsid w:val="005D369C"/>
    <w:rsid w:val="005D3D85"/>
    <w:rsid w:val="005D3F03"/>
    <w:rsid w:val="005D44CB"/>
    <w:rsid w:val="005D4D95"/>
    <w:rsid w:val="005D550A"/>
    <w:rsid w:val="005D6389"/>
    <w:rsid w:val="005D6422"/>
    <w:rsid w:val="005E0A9E"/>
    <w:rsid w:val="005E18C4"/>
    <w:rsid w:val="005E1A91"/>
    <w:rsid w:val="005E3DCC"/>
    <w:rsid w:val="005E42BF"/>
    <w:rsid w:val="005E650D"/>
    <w:rsid w:val="005E6C08"/>
    <w:rsid w:val="005E7E9E"/>
    <w:rsid w:val="005F043C"/>
    <w:rsid w:val="005F0AEA"/>
    <w:rsid w:val="005F1352"/>
    <w:rsid w:val="005F1BF5"/>
    <w:rsid w:val="005F1DFA"/>
    <w:rsid w:val="005F22E2"/>
    <w:rsid w:val="005F24E2"/>
    <w:rsid w:val="005F3A39"/>
    <w:rsid w:val="005F5080"/>
    <w:rsid w:val="005F53AE"/>
    <w:rsid w:val="005F59A9"/>
    <w:rsid w:val="005F64B7"/>
    <w:rsid w:val="006005BE"/>
    <w:rsid w:val="0060132E"/>
    <w:rsid w:val="006015BD"/>
    <w:rsid w:val="00601D15"/>
    <w:rsid w:val="00601E86"/>
    <w:rsid w:val="00601FEA"/>
    <w:rsid w:val="00602326"/>
    <w:rsid w:val="00603968"/>
    <w:rsid w:val="00603E17"/>
    <w:rsid w:val="00604387"/>
    <w:rsid w:val="00604B74"/>
    <w:rsid w:val="00604D9F"/>
    <w:rsid w:val="0060526B"/>
    <w:rsid w:val="006052DE"/>
    <w:rsid w:val="006053BC"/>
    <w:rsid w:val="0060561F"/>
    <w:rsid w:val="00605D94"/>
    <w:rsid w:val="00606532"/>
    <w:rsid w:val="006069E3"/>
    <w:rsid w:val="00606FA1"/>
    <w:rsid w:val="00606FC2"/>
    <w:rsid w:val="0060718E"/>
    <w:rsid w:val="006074C3"/>
    <w:rsid w:val="00607FF0"/>
    <w:rsid w:val="00611083"/>
    <w:rsid w:val="006110A4"/>
    <w:rsid w:val="00611A3C"/>
    <w:rsid w:val="00611DCD"/>
    <w:rsid w:val="006120B4"/>
    <w:rsid w:val="00612CF7"/>
    <w:rsid w:val="00613A41"/>
    <w:rsid w:val="00613C00"/>
    <w:rsid w:val="006141C8"/>
    <w:rsid w:val="00614928"/>
    <w:rsid w:val="006153FB"/>
    <w:rsid w:val="0061561C"/>
    <w:rsid w:val="00616396"/>
    <w:rsid w:val="006169E5"/>
    <w:rsid w:val="00616BFB"/>
    <w:rsid w:val="00617A20"/>
    <w:rsid w:val="00620022"/>
    <w:rsid w:val="00620DEA"/>
    <w:rsid w:val="006225C0"/>
    <w:rsid w:val="006226F7"/>
    <w:rsid w:val="006230A0"/>
    <w:rsid w:val="0062361E"/>
    <w:rsid w:val="00623B3D"/>
    <w:rsid w:val="006243F8"/>
    <w:rsid w:val="00624B8C"/>
    <w:rsid w:val="00625697"/>
    <w:rsid w:val="00625A4B"/>
    <w:rsid w:val="006261B9"/>
    <w:rsid w:val="00626B13"/>
    <w:rsid w:val="00626C61"/>
    <w:rsid w:val="00626C8E"/>
    <w:rsid w:val="006271D1"/>
    <w:rsid w:val="00627C0C"/>
    <w:rsid w:val="00627DB1"/>
    <w:rsid w:val="006303ED"/>
    <w:rsid w:val="006310D8"/>
    <w:rsid w:val="006313F2"/>
    <w:rsid w:val="006314AF"/>
    <w:rsid w:val="00631AF1"/>
    <w:rsid w:val="00631C78"/>
    <w:rsid w:val="00631D48"/>
    <w:rsid w:val="00633885"/>
    <w:rsid w:val="00633962"/>
    <w:rsid w:val="00633C1D"/>
    <w:rsid w:val="00633D59"/>
    <w:rsid w:val="0063482A"/>
    <w:rsid w:val="006348BD"/>
    <w:rsid w:val="00635358"/>
    <w:rsid w:val="006354E4"/>
    <w:rsid w:val="00635BEC"/>
    <w:rsid w:val="0063640A"/>
    <w:rsid w:val="00636896"/>
    <w:rsid w:val="006370DD"/>
    <w:rsid w:val="00637D8F"/>
    <w:rsid w:val="0064108E"/>
    <w:rsid w:val="00641740"/>
    <w:rsid w:val="006419C5"/>
    <w:rsid w:val="00642E9B"/>
    <w:rsid w:val="0064393B"/>
    <w:rsid w:val="00644757"/>
    <w:rsid w:val="0064635A"/>
    <w:rsid w:val="00646488"/>
    <w:rsid w:val="00646DAE"/>
    <w:rsid w:val="00647524"/>
    <w:rsid w:val="0065028A"/>
    <w:rsid w:val="0065044C"/>
    <w:rsid w:val="0065063B"/>
    <w:rsid w:val="00650D1C"/>
    <w:rsid w:val="006513C5"/>
    <w:rsid w:val="0065159A"/>
    <w:rsid w:val="006515DA"/>
    <w:rsid w:val="006534C3"/>
    <w:rsid w:val="00653690"/>
    <w:rsid w:val="0065381F"/>
    <w:rsid w:val="00653A12"/>
    <w:rsid w:val="0065434D"/>
    <w:rsid w:val="00654E68"/>
    <w:rsid w:val="00655262"/>
    <w:rsid w:val="006553F9"/>
    <w:rsid w:val="00655DAF"/>
    <w:rsid w:val="00656254"/>
    <w:rsid w:val="00656368"/>
    <w:rsid w:val="00656E96"/>
    <w:rsid w:val="006570C3"/>
    <w:rsid w:val="00657641"/>
    <w:rsid w:val="00657FFD"/>
    <w:rsid w:val="006603C6"/>
    <w:rsid w:val="00660718"/>
    <w:rsid w:val="00661D71"/>
    <w:rsid w:val="006620C0"/>
    <w:rsid w:val="006620D0"/>
    <w:rsid w:val="006632F7"/>
    <w:rsid w:val="00663600"/>
    <w:rsid w:val="006636EE"/>
    <w:rsid w:val="006637E2"/>
    <w:rsid w:val="00663876"/>
    <w:rsid w:val="0066420F"/>
    <w:rsid w:val="006643FB"/>
    <w:rsid w:val="00664F54"/>
    <w:rsid w:val="006651B5"/>
    <w:rsid w:val="00665793"/>
    <w:rsid w:val="00665A70"/>
    <w:rsid w:val="00667197"/>
    <w:rsid w:val="00667954"/>
    <w:rsid w:val="006705F0"/>
    <w:rsid w:val="0067070C"/>
    <w:rsid w:val="00670ABF"/>
    <w:rsid w:val="00671141"/>
    <w:rsid w:val="0067130B"/>
    <w:rsid w:val="006715DE"/>
    <w:rsid w:val="0067176C"/>
    <w:rsid w:val="00671F35"/>
    <w:rsid w:val="006722CD"/>
    <w:rsid w:val="006727E4"/>
    <w:rsid w:val="006728F6"/>
    <w:rsid w:val="00672C13"/>
    <w:rsid w:val="00672CC7"/>
    <w:rsid w:val="00672D88"/>
    <w:rsid w:val="00672E4B"/>
    <w:rsid w:val="00672FE5"/>
    <w:rsid w:val="0067345E"/>
    <w:rsid w:val="00673FC2"/>
    <w:rsid w:val="006743A0"/>
    <w:rsid w:val="0067486A"/>
    <w:rsid w:val="006748B8"/>
    <w:rsid w:val="00674E13"/>
    <w:rsid w:val="00675C21"/>
    <w:rsid w:val="0067619A"/>
    <w:rsid w:val="006769DD"/>
    <w:rsid w:val="00677A66"/>
    <w:rsid w:val="0067EC0D"/>
    <w:rsid w:val="00680A46"/>
    <w:rsid w:val="006823CB"/>
    <w:rsid w:val="00682E4D"/>
    <w:rsid w:val="006830C3"/>
    <w:rsid w:val="00683252"/>
    <w:rsid w:val="00683347"/>
    <w:rsid w:val="006836A6"/>
    <w:rsid w:val="00683CC6"/>
    <w:rsid w:val="00684C38"/>
    <w:rsid w:val="00685802"/>
    <w:rsid w:val="006862F5"/>
    <w:rsid w:val="00686A6C"/>
    <w:rsid w:val="00686F66"/>
    <w:rsid w:val="00686F67"/>
    <w:rsid w:val="006874CA"/>
    <w:rsid w:val="0068758F"/>
    <w:rsid w:val="0069047A"/>
    <w:rsid w:val="00692BC4"/>
    <w:rsid w:val="00692E61"/>
    <w:rsid w:val="006939CC"/>
    <w:rsid w:val="00693A78"/>
    <w:rsid w:val="00693B17"/>
    <w:rsid w:val="00693DAD"/>
    <w:rsid w:val="006953A6"/>
    <w:rsid w:val="006968E7"/>
    <w:rsid w:val="00696F87"/>
    <w:rsid w:val="00697531"/>
    <w:rsid w:val="006978E9"/>
    <w:rsid w:val="00697BA0"/>
    <w:rsid w:val="00697D79"/>
    <w:rsid w:val="006A0E38"/>
    <w:rsid w:val="006A1220"/>
    <w:rsid w:val="006A1D1B"/>
    <w:rsid w:val="006A2274"/>
    <w:rsid w:val="006A2553"/>
    <w:rsid w:val="006A2EF6"/>
    <w:rsid w:val="006A30D6"/>
    <w:rsid w:val="006A32E1"/>
    <w:rsid w:val="006A46B5"/>
    <w:rsid w:val="006A476B"/>
    <w:rsid w:val="006A48B7"/>
    <w:rsid w:val="006A4C1D"/>
    <w:rsid w:val="006A4D62"/>
    <w:rsid w:val="006A5049"/>
    <w:rsid w:val="006A51D5"/>
    <w:rsid w:val="006A52E9"/>
    <w:rsid w:val="006A5378"/>
    <w:rsid w:val="006A5DB7"/>
    <w:rsid w:val="006A6373"/>
    <w:rsid w:val="006A7008"/>
    <w:rsid w:val="006A737B"/>
    <w:rsid w:val="006A7605"/>
    <w:rsid w:val="006A7614"/>
    <w:rsid w:val="006A7735"/>
    <w:rsid w:val="006A7D54"/>
    <w:rsid w:val="006B0115"/>
    <w:rsid w:val="006B0E5C"/>
    <w:rsid w:val="006B1245"/>
    <w:rsid w:val="006B19D1"/>
    <w:rsid w:val="006B1C8A"/>
    <w:rsid w:val="006B2248"/>
    <w:rsid w:val="006B241C"/>
    <w:rsid w:val="006B27E9"/>
    <w:rsid w:val="006B28EC"/>
    <w:rsid w:val="006B2C39"/>
    <w:rsid w:val="006B3415"/>
    <w:rsid w:val="006B4038"/>
    <w:rsid w:val="006B4852"/>
    <w:rsid w:val="006B5D57"/>
    <w:rsid w:val="006B6657"/>
    <w:rsid w:val="006B6ACD"/>
    <w:rsid w:val="006B6CE1"/>
    <w:rsid w:val="006B6DE8"/>
    <w:rsid w:val="006B72A8"/>
    <w:rsid w:val="006B7E57"/>
    <w:rsid w:val="006C0910"/>
    <w:rsid w:val="006C1E81"/>
    <w:rsid w:val="006C2DC1"/>
    <w:rsid w:val="006C3089"/>
    <w:rsid w:val="006C41C4"/>
    <w:rsid w:val="006C4B04"/>
    <w:rsid w:val="006C5815"/>
    <w:rsid w:val="006C5892"/>
    <w:rsid w:val="006C5CFA"/>
    <w:rsid w:val="006C5D78"/>
    <w:rsid w:val="006C6638"/>
    <w:rsid w:val="006C77AD"/>
    <w:rsid w:val="006C7E77"/>
    <w:rsid w:val="006D118F"/>
    <w:rsid w:val="006D11EA"/>
    <w:rsid w:val="006D1402"/>
    <w:rsid w:val="006D16E2"/>
    <w:rsid w:val="006D17A0"/>
    <w:rsid w:val="006D201D"/>
    <w:rsid w:val="006D2766"/>
    <w:rsid w:val="006D2B98"/>
    <w:rsid w:val="006D3715"/>
    <w:rsid w:val="006D4A5D"/>
    <w:rsid w:val="006D5A5E"/>
    <w:rsid w:val="006D5BCF"/>
    <w:rsid w:val="006D65B5"/>
    <w:rsid w:val="006D7D9A"/>
    <w:rsid w:val="006E0743"/>
    <w:rsid w:val="006E0BE7"/>
    <w:rsid w:val="006E0D94"/>
    <w:rsid w:val="006E15D5"/>
    <w:rsid w:val="006E198A"/>
    <w:rsid w:val="006E1E47"/>
    <w:rsid w:val="006E3A0F"/>
    <w:rsid w:val="006E505F"/>
    <w:rsid w:val="006E523C"/>
    <w:rsid w:val="006E5672"/>
    <w:rsid w:val="006E7708"/>
    <w:rsid w:val="006E78B6"/>
    <w:rsid w:val="006E79A7"/>
    <w:rsid w:val="006E7C19"/>
    <w:rsid w:val="006F1BD9"/>
    <w:rsid w:val="006F2363"/>
    <w:rsid w:val="006F2774"/>
    <w:rsid w:val="006F2A5B"/>
    <w:rsid w:val="006F3B83"/>
    <w:rsid w:val="006F4024"/>
    <w:rsid w:val="006F497F"/>
    <w:rsid w:val="006F4A7E"/>
    <w:rsid w:val="006F5934"/>
    <w:rsid w:val="006F6450"/>
    <w:rsid w:val="006F7164"/>
    <w:rsid w:val="006F7449"/>
    <w:rsid w:val="007000EF"/>
    <w:rsid w:val="0070046B"/>
    <w:rsid w:val="00700F78"/>
    <w:rsid w:val="00700F7D"/>
    <w:rsid w:val="00701182"/>
    <w:rsid w:val="007019C7"/>
    <w:rsid w:val="00701B1B"/>
    <w:rsid w:val="00701E35"/>
    <w:rsid w:val="00701FB6"/>
    <w:rsid w:val="0070244C"/>
    <w:rsid w:val="0070268E"/>
    <w:rsid w:val="007029D1"/>
    <w:rsid w:val="00702F34"/>
    <w:rsid w:val="0070370B"/>
    <w:rsid w:val="00704766"/>
    <w:rsid w:val="00704941"/>
    <w:rsid w:val="0070562E"/>
    <w:rsid w:val="00705ED3"/>
    <w:rsid w:val="0070600C"/>
    <w:rsid w:val="00706086"/>
    <w:rsid w:val="0070752E"/>
    <w:rsid w:val="00707B80"/>
    <w:rsid w:val="00711047"/>
    <w:rsid w:val="00711160"/>
    <w:rsid w:val="0071196E"/>
    <w:rsid w:val="00712854"/>
    <w:rsid w:val="00712BA8"/>
    <w:rsid w:val="00713101"/>
    <w:rsid w:val="00713EDE"/>
    <w:rsid w:val="00714BE2"/>
    <w:rsid w:val="00715D1B"/>
    <w:rsid w:val="00716029"/>
    <w:rsid w:val="0071619D"/>
    <w:rsid w:val="00716624"/>
    <w:rsid w:val="00717FF9"/>
    <w:rsid w:val="007200BA"/>
    <w:rsid w:val="00720214"/>
    <w:rsid w:val="00721758"/>
    <w:rsid w:val="00722C2F"/>
    <w:rsid w:val="007235AB"/>
    <w:rsid w:val="00723B39"/>
    <w:rsid w:val="0072422C"/>
    <w:rsid w:val="007242C1"/>
    <w:rsid w:val="00724568"/>
    <w:rsid w:val="007250F1"/>
    <w:rsid w:val="0072521E"/>
    <w:rsid w:val="00725B59"/>
    <w:rsid w:val="00725FAA"/>
    <w:rsid w:val="00726865"/>
    <w:rsid w:val="007272A8"/>
    <w:rsid w:val="00727569"/>
    <w:rsid w:val="00727A48"/>
    <w:rsid w:val="00730135"/>
    <w:rsid w:val="00730C27"/>
    <w:rsid w:val="00730E28"/>
    <w:rsid w:val="007313C3"/>
    <w:rsid w:val="00731468"/>
    <w:rsid w:val="00731E8A"/>
    <w:rsid w:val="0073204C"/>
    <w:rsid w:val="007320E9"/>
    <w:rsid w:val="00734339"/>
    <w:rsid w:val="0073471F"/>
    <w:rsid w:val="007348F7"/>
    <w:rsid w:val="00734F38"/>
    <w:rsid w:val="00735974"/>
    <w:rsid w:val="0073621A"/>
    <w:rsid w:val="00736D77"/>
    <w:rsid w:val="00736E60"/>
    <w:rsid w:val="00736F30"/>
    <w:rsid w:val="00737065"/>
    <w:rsid w:val="00737435"/>
    <w:rsid w:val="007377D7"/>
    <w:rsid w:val="007379DC"/>
    <w:rsid w:val="00737F5E"/>
    <w:rsid w:val="007400F1"/>
    <w:rsid w:val="00740A59"/>
    <w:rsid w:val="00741075"/>
    <w:rsid w:val="007412D1"/>
    <w:rsid w:val="007415A9"/>
    <w:rsid w:val="00741B16"/>
    <w:rsid w:val="00741B46"/>
    <w:rsid w:val="007421D9"/>
    <w:rsid w:val="00742745"/>
    <w:rsid w:val="00743495"/>
    <w:rsid w:val="0074500D"/>
    <w:rsid w:val="00745C00"/>
    <w:rsid w:val="007460CF"/>
    <w:rsid w:val="007465D4"/>
    <w:rsid w:val="00747286"/>
    <w:rsid w:val="007500B2"/>
    <w:rsid w:val="007504A0"/>
    <w:rsid w:val="00750877"/>
    <w:rsid w:val="00751E7B"/>
    <w:rsid w:val="00752525"/>
    <w:rsid w:val="007527A4"/>
    <w:rsid w:val="00752D26"/>
    <w:rsid w:val="007530DA"/>
    <w:rsid w:val="007538BF"/>
    <w:rsid w:val="00753D09"/>
    <w:rsid w:val="00753D9A"/>
    <w:rsid w:val="00754A06"/>
    <w:rsid w:val="00755F08"/>
    <w:rsid w:val="007567E5"/>
    <w:rsid w:val="0075698B"/>
    <w:rsid w:val="007576B9"/>
    <w:rsid w:val="007577C5"/>
    <w:rsid w:val="0076041F"/>
    <w:rsid w:val="007607C6"/>
    <w:rsid w:val="00761199"/>
    <w:rsid w:val="00761346"/>
    <w:rsid w:val="00761441"/>
    <w:rsid w:val="00761445"/>
    <w:rsid w:val="0076171A"/>
    <w:rsid w:val="0076186A"/>
    <w:rsid w:val="00761AF3"/>
    <w:rsid w:val="00761D26"/>
    <w:rsid w:val="00762083"/>
    <w:rsid w:val="0076218C"/>
    <w:rsid w:val="007623F5"/>
    <w:rsid w:val="007624BA"/>
    <w:rsid w:val="007625C4"/>
    <w:rsid w:val="00762850"/>
    <w:rsid w:val="00762CF3"/>
    <w:rsid w:val="00762F0A"/>
    <w:rsid w:val="00763083"/>
    <w:rsid w:val="0076449B"/>
    <w:rsid w:val="00764933"/>
    <w:rsid w:val="00764ED5"/>
    <w:rsid w:val="007652B2"/>
    <w:rsid w:val="0076531D"/>
    <w:rsid w:val="00766565"/>
    <w:rsid w:val="007675E1"/>
    <w:rsid w:val="00770185"/>
    <w:rsid w:val="0077054F"/>
    <w:rsid w:val="00770D6F"/>
    <w:rsid w:val="00770D71"/>
    <w:rsid w:val="00771008"/>
    <w:rsid w:val="0077150C"/>
    <w:rsid w:val="00771D5D"/>
    <w:rsid w:val="0077250A"/>
    <w:rsid w:val="007726C9"/>
    <w:rsid w:val="0077275A"/>
    <w:rsid w:val="00772B7E"/>
    <w:rsid w:val="00774187"/>
    <w:rsid w:val="0077438B"/>
    <w:rsid w:val="00774BFF"/>
    <w:rsid w:val="00774C3F"/>
    <w:rsid w:val="00774F6D"/>
    <w:rsid w:val="00775584"/>
    <w:rsid w:val="0077604A"/>
    <w:rsid w:val="00777356"/>
    <w:rsid w:val="0078063F"/>
    <w:rsid w:val="007806C3"/>
    <w:rsid w:val="00781392"/>
    <w:rsid w:val="00781C64"/>
    <w:rsid w:val="00781F4C"/>
    <w:rsid w:val="00782260"/>
    <w:rsid w:val="007822DF"/>
    <w:rsid w:val="00782CA2"/>
    <w:rsid w:val="00784178"/>
    <w:rsid w:val="007845C9"/>
    <w:rsid w:val="007847C1"/>
    <w:rsid w:val="00784A27"/>
    <w:rsid w:val="00785993"/>
    <w:rsid w:val="007859E2"/>
    <w:rsid w:val="00786BB1"/>
    <w:rsid w:val="00786C8C"/>
    <w:rsid w:val="00790653"/>
    <w:rsid w:val="00790C4D"/>
    <w:rsid w:val="007915FC"/>
    <w:rsid w:val="007916C6"/>
    <w:rsid w:val="00791E2D"/>
    <w:rsid w:val="0079232F"/>
    <w:rsid w:val="00792B09"/>
    <w:rsid w:val="00792C44"/>
    <w:rsid w:val="00793029"/>
    <w:rsid w:val="007932D4"/>
    <w:rsid w:val="00793AED"/>
    <w:rsid w:val="00793E4C"/>
    <w:rsid w:val="00793FB1"/>
    <w:rsid w:val="007940DC"/>
    <w:rsid w:val="00794629"/>
    <w:rsid w:val="007958B8"/>
    <w:rsid w:val="0079597D"/>
    <w:rsid w:val="0079652C"/>
    <w:rsid w:val="00797C2A"/>
    <w:rsid w:val="007A0180"/>
    <w:rsid w:val="007A039C"/>
    <w:rsid w:val="007A07EA"/>
    <w:rsid w:val="007A1353"/>
    <w:rsid w:val="007A152F"/>
    <w:rsid w:val="007A296C"/>
    <w:rsid w:val="007A2BB2"/>
    <w:rsid w:val="007A2CA6"/>
    <w:rsid w:val="007A2F1D"/>
    <w:rsid w:val="007A39D8"/>
    <w:rsid w:val="007A421F"/>
    <w:rsid w:val="007A4DC6"/>
    <w:rsid w:val="007A547B"/>
    <w:rsid w:val="007A5B70"/>
    <w:rsid w:val="007A5D6E"/>
    <w:rsid w:val="007A5FF2"/>
    <w:rsid w:val="007A644E"/>
    <w:rsid w:val="007A6B46"/>
    <w:rsid w:val="007A6C38"/>
    <w:rsid w:val="007A6CF3"/>
    <w:rsid w:val="007A72F3"/>
    <w:rsid w:val="007B0A68"/>
    <w:rsid w:val="007B0BF4"/>
    <w:rsid w:val="007B1387"/>
    <w:rsid w:val="007B2941"/>
    <w:rsid w:val="007B3F27"/>
    <w:rsid w:val="007B52F3"/>
    <w:rsid w:val="007B56BF"/>
    <w:rsid w:val="007B774B"/>
    <w:rsid w:val="007B794E"/>
    <w:rsid w:val="007B7C4B"/>
    <w:rsid w:val="007C1159"/>
    <w:rsid w:val="007C17CB"/>
    <w:rsid w:val="007C2360"/>
    <w:rsid w:val="007C2BE7"/>
    <w:rsid w:val="007C2ED0"/>
    <w:rsid w:val="007C322B"/>
    <w:rsid w:val="007C3CB4"/>
    <w:rsid w:val="007C45EF"/>
    <w:rsid w:val="007C4712"/>
    <w:rsid w:val="007C5B63"/>
    <w:rsid w:val="007C5B97"/>
    <w:rsid w:val="007C674C"/>
    <w:rsid w:val="007C6B81"/>
    <w:rsid w:val="007C6F4F"/>
    <w:rsid w:val="007C710A"/>
    <w:rsid w:val="007C74F4"/>
    <w:rsid w:val="007C7562"/>
    <w:rsid w:val="007C7E0A"/>
    <w:rsid w:val="007D2467"/>
    <w:rsid w:val="007D306C"/>
    <w:rsid w:val="007D3159"/>
    <w:rsid w:val="007D335E"/>
    <w:rsid w:val="007D36D3"/>
    <w:rsid w:val="007D3E80"/>
    <w:rsid w:val="007D4A36"/>
    <w:rsid w:val="007D4E4C"/>
    <w:rsid w:val="007D6038"/>
    <w:rsid w:val="007D63E7"/>
    <w:rsid w:val="007D6B94"/>
    <w:rsid w:val="007D6DDD"/>
    <w:rsid w:val="007D7968"/>
    <w:rsid w:val="007E0360"/>
    <w:rsid w:val="007E0966"/>
    <w:rsid w:val="007E0CEB"/>
    <w:rsid w:val="007E1B55"/>
    <w:rsid w:val="007E3703"/>
    <w:rsid w:val="007E37AE"/>
    <w:rsid w:val="007E4410"/>
    <w:rsid w:val="007E46A6"/>
    <w:rsid w:val="007E5920"/>
    <w:rsid w:val="007E5A8C"/>
    <w:rsid w:val="007E5C4E"/>
    <w:rsid w:val="007E5E93"/>
    <w:rsid w:val="007E6AC5"/>
    <w:rsid w:val="007E73D2"/>
    <w:rsid w:val="007E7422"/>
    <w:rsid w:val="007E7759"/>
    <w:rsid w:val="007E7A94"/>
    <w:rsid w:val="007E7D04"/>
    <w:rsid w:val="007F0A52"/>
    <w:rsid w:val="007F0A6A"/>
    <w:rsid w:val="007F13C4"/>
    <w:rsid w:val="007F14FF"/>
    <w:rsid w:val="007F2368"/>
    <w:rsid w:val="007F25B4"/>
    <w:rsid w:val="007F2AF8"/>
    <w:rsid w:val="007F34BF"/>
    <w:rsid w:val="007F361F"/>
    <w:rsid w:val="007F393D"/>
    <w:rsid w:val="007F3BE9"/>
    <w:rsid w:val="007F3E85"/>
    <w:rsid w:val="007F4987"/>
    <w:rsid w:val="007F4F12"/>
    <w:rsid w:val="007F5D03"/>
    <w:rsid w:val="007F7029"/>
    <w:rsid w:val="007F7566"/>
    <w:rsid w:val="007F77A0"/>
    <w:rsid w:val="007F78E8"/>
    <w:rsid w:val="007F7ADC"/>
    <w:rsid w:val="007F7E5D"/>
    <w:rsid w:val="007F7F53"/>
    <w:rsid w:val="007FE28F"/>
    <w:rsid w:val="00800389"/>
    <w:rsid w:val="0080095C"/>
    <w:rsid w:val="00801A7A"/>
    <w:rsid w:val="00801FB8"/>
    <w:rsid w:val="0080367B"/>
    <w:rsid w:val="00803703"/>
    <w:rsid w:val="0080372C"/>
    <w:rsid w:val="00803FD4"/>
    <w:rsid w:val="0080559A"/>
    <w:rsid w:val="00805C0C"/>
    <w:rsid w:val="00805C58"/>
    <w:rsid w:val="00810D46"/>
    <w:rsid w:val="0081181F"/>
    <w:rsid w:val="00811C62"/>
    <w:rsid w:val="00812A8D"/>
    <w:rsid w:val="00812C91"/>
    <w:rsid w:val="00813296"/>
    <w:rsid w:val="008139E0"/>
    <w:rsid w:val="00813DA8"/>
    <w:rsid w:val="0081427C"/>
    <w:rsid w:val="00814684"/>
    <w:rsid w:val="00814924"/>
    <w:rsid w:val="0081501A"/>
    <w:rsid w:val="008158AA"/>
    <w:rsid w:val="00815930"/>
    <w:rsid w:val="00815EE5"/>
    <w:rsid w:val="008166C0"/>
    <w:rsid w:val="00816F51"/>
    <w:rsid w:val="008175AB"/>
    <w:rsid w:val="008209ED"/>
    <w:rsid w:val="008211C6"/>
    <w:rsid w:val="0082138A"/>
    <w:rsid w:val="008215A0"/>
    <w:rsid w:val="00822568"/>
    <w:rsid w:val="00822C48"/>
    <w:rsid w:val="00822DCF"/>
    <w:rsid w:val="008239C4"/>
    <w:rsid w:val="00824D55"/>
    <w:rsid w:val="00824FA7"/>
    <w:rsid w:val="00824FBB"/>
    <w:rsid w:val="00825494"/>
    <w:rsid w:val="00825703"/>
    <w:rsid w:val="00825C2E"/>
    <w:rsid w:val="00826341"/>
    <w:rsid w:val="008265DA"/>
    <w:rsid w:val="00826FDD"/>
    <w:rsid w:val="00827557"/>
    <w:rsid w:val="00832766"/>
    <w:rsid w:val="00832777"/>
    <w:rsid w:val="00833B7B"/>
    <w:rsid w:val="00834133"/>
    <w:rsid w:val="00834ED5"/>
    <w:rsid w:val="00835C80"/>
    <w:rsid w:val="0083636E"/>
    <w:rsid w:val="008367F2"/>
    <w:rsid w:val="008369F0"/>
    <w:rsid w:val="00836DCA"/>
    <w:rsid w:val="00837972"/>
    <w:rsid w:val="008379E3"/>
    <w:rsid w:val="00837B55"/>
    <w:rsid w:val="008402AE"/>
    <w:rsid w:val="008404CD"/>
    <w:rsid w:val="00840826"/>
    <w:rsid w:val="00840981"/>
    <w:rsid w:val="00841239"/>
    <w:rsid w:val="008414AC"/>
    <w:rsid w:val="00841D57"/>
    <w:rsid w:val="00842073"/>
    <w:rsid w:val="00843894"/>
    <w:rsid w:val="00844225"/>
    <w:rsid w:val="0084430A"/>
    <w:rsid w:val="008447EA"/>
    <w:rsid w:val="00844B7F"/>
    <w:rsid w:val="00845131"/>
    <w:rsid w:val="008453C5"/>
    <w:rsid w:val="00845B6C"/>
    <w:rsid w:val="00846125"/>
    <w:rsid w:val="00846F2D"/>
    <w:rsid w:val="00847280"/>
    <w:rsid w:val="008475B6"/>
    <w:rsid w:val="008476CC"/>
    <w:rsid w:val="008508D4"/>
    <w:rsid w:val="00851197"/>
    <w:rsid w:val="008517B1"/>
    <w:rsid w:val="00851C28"/>
    <w:rsid w:val="00851F8D"/>
    <w:rsid w:val="0085222D"/>
    <w:rsid w:val="008524A7"/>
    <w:rsid w:val="008526FB"/>
    <w:rsid w:val="00852875"/>
    <w:rsid w:val="00853853"/>
    <w:rsid w:val="00853C2C"/>
    <w:rsid w:val="00853DB3"/>
    <w:rsid w:val="00854D11"/>
    <w:rsid w:val="00855410"/>
    <w:rsid w:val="00855D27"/>
    <w:rsid w:val="00855FFD"/>
    <w:rsid w:val="0085731D"/>
    <w:rsid w:val="00857C55"/>
    <w:rsid w:val="00857CB4"/>
    <w:rsid w:val="00861103"/>
    <w:rsid w:val="008618B4"/>
    <w:rsid w:val="008618D3"/>
    <w:rsid w:val="008618E3"/>
    <w:rsid w:val="00861C2C"/>
    <w:rsid w:val="0086205E"/>
    <w:rsid w:val="00862E85"/>
    <w:rsid w:val="008633E5"/>
    <w:rsid w:val="00863E20"/>
    <w:rsid w:val="00864AD7"/>
    <w:rsid w:val="008651DB"/>
    <w:rsid w:val="008653A8"/>
    <w:rsid w:val="008669D9"/>
    <w:rsid w:val="008677DE"/>
    <w:rsid w:val="00867D9F"/>
    <w:rsid w:val="00870050"/>
    <w:rsid w:val="0087104A"/>
    <w:rsid w:val="0087130F"/>
    <w:rsid w:val="0087179A"/>
    <w:rsid w:val="00871E9E"/>
    <w:rsid w:val="00871F71"/>
    <w:rsid w:val="0087212F"/>
    <w:rsid w:val="00872185"/>
    <w:rsid w:val="008724AD"/>
    <w:rsid w:val="0087296D"/>
    <w:rsid w:val="00872BE1"/>
    <w:rsid w:val="00872C23"/>
    <w:rsid w:val="00872C85"/>
    <w:rsid w:val="008734C8"/>
    <w:rsid w:val="00874452"/>
    <w:rsid w:val="00875167"/>
    <w:rsid w:val="0087587D"/>
    <w:rsid w:val="00875B3F"/>
    <w:rsid w:val="008776AC"/>
    <w:rsid w:val="00877764"/>
    <w:rsid w:val="00877D48"/>
    <w:rsid w:val="00881271"/>
    <w:rsid w:val="00881FE7"/>
    <w:rsid w:val="00882138"/>
    <w:rsid w:val="00882175"/>
    <w:rsid w:val="00882848"/>
    <w:rsid w:val="00882AF4"/>
    <w:rsid w:val="00884D5C"/>
    <w:rsid w:val="00885296"/>
    <w:rsid w:val="00885482"/>
    <w:rsid w:val="008854D8"/>
    <w:rsid w:val="00885ABB"/>
    <w:rsid w:val="00885C2F"/>
    <w:rsid w:val="00885C38"/>
    <w:rsid w:val="00885F5D"/>
    <w:rsid w:val="00885FFB"/>
    <w:rsid w:val="008863FF"/>
    <w:rsid w:val="00887181"/>
    <w:rsid w:val="008876B7"/>
    <w:rsid w:val="008900E2"/>
    <w:rsid w:val="00890AC1"/>
    <w:rsid w:val="00890D6D"/>
    <w:rsid w:val="00891688"/>
    <w:rsid w:val="00891937"/>
    <w:rsid w:val="00891B29"/>
    <w:rsid w:val="00891EDF"/>
    <w:rsid w:val="0089267F"/>
    <w:rsid w:val="008946BD"/>
    <w:rsid w:val="008947BA"/>
    <w:rsid w:val="008948D4"/>
    <w:rsid w:val="008953E5"/>
    <w:rsid w:val="00895A59"/>
    <w:rsid w:val="00895EE7"/>
    <w:rsid w:val="00896638"/>
    <w:rsid w:val="008973CD"/>
    <w:rsid w:val="00897572"/>
    <w:rsid w:val="008979E0"/>
    <w:rsid w:val="008A099D"/>
    <w:rsid w:val="008A0D4B"/>
    <w:rsid w:val="008A254E"/>
    <w:rsid w:val="008A41AC"/>
    <w:rsid w:val="008A44DE"/>
    <w:rsid w:val="008A465E"/>
    <w:rsid w:val="008A4ACA"/>
    <w:rsid w:val="008A537A"/>
    <w:rsid w:val="008A5764"/>
    <w:rsid w:val="008A5D56"/>
    <w:rsid w:val="008A65DF"/>
    <w:rsid w:val="008A6879"/>
    <w:rsid w:val="008A6A09"/>
    <w:rsid w:val="008A6A4D"/>
    <w:rsid w:val="008A6D8E"/>
    <w:rsid w:val="008A7154"/>
    <w:rsid w:val="008A75A1"/>
    <w:rsid w:val="008A7A71"/>
    <w:rsid w:val="008A7FCF"/>
    <w:rsid w:val="008B09CF"/>
    <w:rsid w:val="008B0DEC"/>
    <w:rsid w:val="008B14E2"/>
    <w:rsid w:val="008B1888"/>
    <w:rsid w:val="008B27D5"/>
    <w:rsid w:val="008B2959"/>
    <w:rsid w:val="008B3191"/>
    <w:rsid w:val="008B33DA"/>
    <w:rsid w:val="008B53D3"/>
    <w:rsid w:val="008B715A"/>
    <w:rsid w:val="008B7325"/>
    <w:rsid w:val="008B7744"/>
    <w:rsid w:val="008B7757"/>
    <w:rsid w:val="008B7844"/>
    <w:rsid w:val="008B7B09"/>
    <w:rsid w:val="008C0FB3"/>
    <w:rsid w:val="008C236D"/>
    <w:rsid w:val="008C31A8"/>
    <w:rsid w:val="008C32D1"/>
    <w:rsid w:val="008C36F6"/>
    <w:rsid w:val="008C3FF2"/>
    <w:rsid w:val="008C493F"/>
    <w:rsid w:val="008C5AAA"/>
    <w:rsid w:val="008C5C08"/>
    <w:rsid w:val="008C5FB5"/>
    <w:rsid w:val="008C7129"/>
    <w:rsid w:val="008C72EE"/>
    <w:rsid w:val="008C74D3"/>
    <w:rsid w:val="008C7ABC"/>
    <w:rsid w:val="008D09CC"/>
    <w:rsid w:val="008D1B6F"/>
    <w:rsid w:val="008D2B21"/>
    <w:rsid w:val="008D3D73"/>
    <w:rsid w:val="008D4006"/>
    <w:rsid w:val="008D5469"/>
    <w:rsid w:val="008D54FF"/>
    <w:rsid w:val="008D5E47"/>
    <w:rsid w:val="008D5FD9"/>
    <w:rsid w:val="008D61C2"/>
    <w:rsid w:val="008D6D0C"/>
    <w:rsid w:val="008D7C7D"/>
    <w:rsid w:val="008E09D0"/>
    <w:rsid w:val="008E0AE7"/>
    <w:rsid w:val="008E0E61"/>
    <w:rsid w:val="008E106D"/>
    <w:rsid w:val="008E19F1"/>
    <w:rsid w:val="008E21D2"/>
    <w:rsid w:val="008E3331"/>
    <w:rsid w:val="008E34BF"/>
    <w:rsid w:val="008E4001"/>
    <w:rsid w:val="008E44B7"/>
    <w:rsid w:val="008E4945"/>
    <w:rsid w:val="008E6A2B"/>
    <w:rsid w:val="008E6EAA"/>
    <w:rsid w:val="008E7BBD"/>
    <w:rsid w:val="008F0773"/>
    <w:rsid w:val="008F115B"/>
    <w:rsid w:val="008F1339"/>
    <w:rsid w:val="008F1407"/>
    <w:rsid w:val="008F1647"/>
    <w:rsid w:val="008F1750"/>
    <w:rsid w:val="008F293F"/>
    <w:rsid w:val="008F2999"/>
    <w:rsid w:val="008F34E9"/>
    <w:rsid w:val="008F359C"/>
    <w:rsid w:val="008F3821"/>
    <w:rsid w:val="008F3837"/>
    <w:rsid w:val="008F3A87"/>
    <w:rsid w:val="008F41EA"/>
    <w:rsid w:val="008F426F"/>
    <w:rsid w:val="008F692D"/>
    <w:rsid w:val="008F6D18"/>
    <w:rsid w:val="008F75F3"/>
    <w:rsid w:val="00900088"/>
    <w:rsid w:val="009001C3"/>
    <w:rsid w:val="00900BF8"/>
    <w:rsid w:val="00900F3F"/>
    <w:rsid w:val="00901CB9"/>
    <w:rsid w:val="00901EA1"/>
    <w:rsid w:val="0090211A"/>
    <w:rsid w:val="00902C47"/>
    <w:rsid w:val="00902E07"/>
    <w:rsid w:val="0090339C"/>
    <w:rsid w:val="00903568"/>
    <w:rsid w:val="00904781"/>
    <w:rsid w:val="00905142"/>
    <w:rsid w:val="009058DE"/>
    <w:rsid w:val="00906854"/>
    <w:rsid w:val="009072F7"/>
    <w:rsid w:val="00907CBB"/>
    <w:rsid w:val="00907FED"/>
    <w:rsid w:val="00910D48"/>
    <w:rsid w:val="00911074"/>
    <w:rsid w:val="009118E8"/>
    <w:rsid w:val="009119AC"/>
    <w:rsid w:val="00911D23"/>
    <w:rsid w:val="00911F7F"/>
    <w:rsid w:val="0091228F"/>
    <w:rsid w:val="00913643"/>
    <w:rsid w:val="009136B4"/>
    <w:rsid w:val="00913FF3"/>
    <w:rsid w:val="0091508C"/>
    <w:rsid w:val="00915AEF"/>
    <w:rsid w:val="0091685B"/>
    <w:rsid w:val="00916CAF"/>
    <w:rsid w:val="009170E5"/>
    <w:rsid w:val="00917C96"/>
    <w:rsid w:val="009207AA"/>
    <w:rsid w:val="00920A91"/>
    <w:rsid w:val="00920B7E"/>
    <w:rsid w:val="00920DF0"/>
    <w:rsid w:val="00921197"/>
    <w:rsid w:val="0092246B"/>
    <w:rsid w:val="00922D2E"/>
    <w:rsid w:val="009233A1"/>
    <w:rsid w:val="009234C3"/>
    <w:rsid w:val="00923FF5"/>
    <w:rsid w:val="009244E6"/>
    <w:rsid w:val="009249D8"/>
    <w:rsid w:val="00924DF9"/>
    <w:rsid w:val="009254F8"/>
    <w:rsid w:val="00925704"/>
    <w:rsid w:val="00925E82"/>
    <w:rsid w:val="0092772B"/>
    <w:rsid w:val="0093028B"/>
    <w:rsid w:val="009303C9"/>
    <w:rsid w:val="009306E5"/>
    <w:rsid w:val="009309D4"/>
    <w:rsid w:val="00930B12"/>
    <w:rsid w:val="00931574"/>
    <w:rsid w:val="00932181"/>
    <w:rsid w:val="00932190"/>
    <w:rsid w:val="00933C0D"/>
    <w:rsid w:val="0093426F"/>
    <w:rsid w:val="009356D1"/>
    <w:rsid w:val="00935AA0"/>
    <w:rsid w:val="00935D0B"/>
    <w:rsid w:val="009371F6"/>
    <w:rsid w:val="00937347"/>
    <w:rsid w:val="00937837"/>
    <w:rsid w:val="00940C08"/>
    <w:rsid w:val="0094115B"/>
    <w:rsid w:val="009416E5"/>
    <w:rsid w:val="00941EAC"/>
    <w:rsid w:val="00942989"/>
    <w:rsid w:val="0094323B"/>
    <w:rsid w:val="00943522"/>
    <w:rsid w:val="009439E8"/>
    <w:rsid w:val="0094413F"/>
    <w:rsid w:val="00944A6A"/>
    <w:rsid w:val="00944DC8"/>
    <w:rsid w:val="00944FCA"/>
    <w:rsid w:val="009459BD"/>
    <w:rsid w:val="0094672C"/>
    <w:rsid w:val="00947211"/>
    <w:rsid w:val="00947485"/>
    <w:rsid w:val="00947635"/>
    <w:rsid w:val="009478FE"/>
    <w:rsid w:val="00951B56"/>
    <w:rsid w:val="00951DD5"/>
    <w:rsid w:val="00951F27"/>
    <w:rsid w:val="0095215A"/>
    <w:rsid w:val="009522AC"/>
    <w:rsid w:val="00952CEE"/>
    <w:rsid w:val="00952FA8"/>
    <w:rsid w:val="00954B5D"/>
    <w:rsid w:val="009552B4"/>
    <w:rsid w:val="009555E2"/>
    <w:rsid w:val="00955EBF"/>
    <w:rsid w:val="00956261"/>
    <w:rsid w:val="00956644"/>
    <w:rsid w:val="00957724"/>
    <w:rsid w:val="0095794E"/>
    <w:rsid w:val="00960461"/>
    <w:rsid w:val="009608FC"/>
    <w:rsid w:val="00960EED"/>
    <w:rsid w:val="0096102B"/>
    <w:rsid w:val="009615EB"/>
    <w:rsid w:val="00961C1C"/>
    <w:rsid w:val="00961F0C"/>
    <w:rsid w:val="00962A26"/>
    <w:rsid w:val="00962C8A"/>
    <w:rsid w:val="00963025"/>
    <w:rsid w:val="009638AE"/>
    <w:rsid w:val="00963BBA"/>
    <w:rsid w:val="00963F73"/>
    <w:rsid w:val="00964B17"/>
    <w:rsid w:val="00964C81"/>
    <w:rsid w:val="00965249"/>
    <w:rsid w:val="009653F7"/>
    <w:rsid w:val="00965E51"/>
    <w:rsid w:val="00966BED"/>
    <w:rsid w:val="00966FD1"/>
    <w:rsid w:val="00967307"/>
    <w:rsid w:val="009702FB"/>
    <w:rsid w:val="00970F7F"/>
    <w:rsid w:val="0097102E"/>
    <w:rsid w:val="0097129A"/>
    <w:rsid w:val="009714CB"/>
    <w:rsid w:val="00971887"/>
    <w:rsid w:val="00971E7D"/>
    <w:rsid w:val="0097289C"/>
    <w:rsid w:val="00972DBF"/>
    <w:rsid w:val="00972F41"/>
    <w:rsid w:val="00973B56"/>
    <w:rsid w:val="00973E7B"/>
    <w:rsid w:val="00974042"/>
    <w:rsid w:val="00974EB1"/>
    <w:rsid w:val="00974F61"/>
    <w:rsid w:val="00975318"/>
    <w:rsid w:val="0097536E"/>
    <w:rsid w:val="00975F13"/>
    <w:rsid w:val="00976988"/>
    <w:rsid w:val="00977057"/>
    <w:rsid w:val="00977A36"/>
    <w:rsid w:val="00980918"/>
    <w:rsid w:val="009815B6"/>
    <w:rsid w:val="0098165A"/>
    <w:rsid w:val="00981B34"/>
    <w:rsid w:val="009825E1"/>
    <w:rsid w:val="00982854"/>
    <w:rsid w:val="00982908"/>
    <w:rsid w:val="009838C5"/>
    <w:rsid w:val="009842DB"/>
    <w:rsid w:val="009844AC"/>
    <w:rsid w:val="009845CB"/>
    <w:rsid w:val="0098481A"/>
    <w:rsid w:val="009863A3"/>
    <w:rsid w:val="00986934"/>
    <w:rsid w:val="00986C76"/>
    <w:rsid w:val="00986F26"/>
    <w:rsid w:val="00987C01"/>
    <w:rsid w:val="0099009F"/>
    <w:rsid w:val="00990205"/>
    <w:rsid w:val="009908E5"/>
    <w:rsid w:val="00990938"/>
    <w:rsid w:val="0099145D"/>
    <w:rsid w:val="00991567"/>
    <w:rsid w:val="00991D77"/>
    <w:rsid w:val="00991F14"/>
    <w:rsid w:val="00992CF7"/>
    <w:rsid w:val="00993555"/>
    <w:rsid w:val="00993D31"/>
    <w:rsid w:val="0099439F"/>
    <w:rsid w:val="00994A07"/>
    <w:rsid w:val="00994E69"/>
    <w:rsid w:val="009960FD"/>
    <w:rsid w:val="009975D5"/>
    <w:rsid w:val="00997E57"/>
    <w:rsid w:val="009A08AC"/>
    <w:rsid w:val="009A11FC"/>
    <w:rsid w:val="009A196B"/>
    <w:rsid w:val="009A1B9B"/>
    <w:rsid w:val="009A1D2F"/>
    <w:rsid w:val="009A1F48"/>
    <w:rsid w:val="009A3330"/>
    <w:rsid w:val="009A4598"/>
    <w:rsid w:val="009A4E3E"/>
    <w:rsid w:val="009A5E1F"/>
    <w:rsid w:val="009A6A1F"/>
    <w:rsid w:val="009A6DFC"/>
    <w:rsid w:val="009A719C"/>
    <w:rsid w:val="009A7E81"/>
    <w:rsid w:val="009B021F"/>
    <w:rsid w:val="009B04D1"/>
    <w:rsid w:val="009B09FA"/>
    <w:rsid w:val="009B1C03"/>
    <w:rsid w:val="009B28E8"/>
    <w:rsid w:val="009B48D4"/>
    <w:rsid w:val="009B5307"/>
    <w:rsid w:val="009B5E44"/>
    <w:rsid w:val="009B6080"/>
    <w:rsid w:val="009B6670"/>
    <w:rsid w:val="009B6A5F"/>
    <w:rsid w:val="009B6DCB"/>
    <w:rsid w:val="009B6E65"/>
    <w:rsid w:val="009B70C4"/>
    <w:rsid w:val="009B7E00"/>
    <w:rsid w:val="009B7E99"/>
    <w:rsid w:val="009B7F88"/>
    <w:rsid w:val="009C2591"/>
    <w:rsid w:val="009C2D41"/>
    <w:rsid w:val="009C3E8A"/>
    <w:rsid w:val="009C6662"/>
    <w:rsid w:val="009C6924"/>
    <w:rsid w:val="009C7463"/>
    <w:rsid w:val="009C76D9"/>
    <w:rsid w:val="009D0694"/>
    <w:rsid w:val="009D2299"/>
    <w:rsid w:val="009D413D"/>
    <w:rsid w:val="009D4202"/>
    <w:rsid w:val="009D458E"/>
    <w:rsid w:val="009D477E"/>
    <w:rsid w:val="009D4C1B"/>
    <w:rsid w:val="009D4C2D"/>
    <w:rsid w:val="009D4D6E"/>
    <w:rsid w:val="009D5000"/>
    <w:rsid w:val="009D6A1C"/>
    <w:rsid w:val="009D77F4"/>
    <w:rsid w:val="009E082B"/>
    <w:rsid w:val="009E187B"/>
    <w:rsid w:val="009E22F2"/>
    <w:rsid w:val="009E29A6"/>
    <w:rsid w:val="009E382E"/>
    <w:rsid w:val="009E3BAB"/>
    <w:rsid w:val="009E648A"/>
    <w:rsid w:val="009E6C70"/>
    <w:rsid w:val="009E6FDC"/>
    <w:rsid w:val="009E710C"/>
    <w:rsid w:val="009E715B"/>
    <w:rsid w:val="009E74F1"/>
    <w:rsid w:val="009E7837"/>
    <w:rsid w:val="009F00A5"/>
    <w:rsid w:val="009F05D2"/>
    <w:rsid w:val="009F24D8"/>
    <w:rsid w:val="009F3108"/>
    <w:rsid w:val="009F34B9"/>
    <w:rsid w:val="009F3673"/>
    <w:rsid w:val="009F3744"/>
    <w:rsid w:val="009F464D"/>
    <w:rsid w:val="009F4716"/>
    <w:rsid w:val="009F4C16"/>
    <w:rsid w:val="009F53C6"/>
    <w:rsid w:val="009F560F"/>
    <w:rsid w:val="009F617E"/>
    <w:rsid w:val="009F6182"/>
    <w:rsid w:val="009F67E9"/>
    <w:rsid w:val="009F717B"/>
    <w:rsid w:val="009F742B"/>
    <w:rsid w:val="009F7535"/>
    <w:rsid w:val="009F79F0"/>
    <w:rsid w:val="00A000CA"/>
    <w:rsid w:val="00A00EF5"/>
    <w:rsid w:val="00A014AE"/>
    <w:rsid w:val="00A01CAC"/>
    <w:rsid w:val="00A02178"/>
    <w:rsid w:val="00A02305"/>
    <w:rsid w:val="00A02474"/>
    <w:rsid w:val="00A0286E"/>
    <w:rsid w:val="00A0322F"/>
    <w:rsid w:val="00A03F1D"/>
    <w:rsid w:val="00A0480F"/>
    <w:rsid w:val="00A04B63"/>
    <w:rsid w:val="00A04C43"/>
    <w:rsid w:val="00A05D15"/>
    <w:rsid w:val="00A06403"/>
    <w:rsid w:val="00A07291"/>
    <w:rsid w:val="00A1093D"/>
    <w:rsid w:val="00A1229B"/>
    <w:rsid w:val="00A12640"/>
    <w:rsid w:val="00A12672"/>
    <w:rsid w:val="00A12DA8"/>
    <w:rsid w:val="00A13D70"/>
    <w:rsid w:val="00A13F5F"/>
    <w:rsid w:val="00A16797"/>
    <w:rsid w:val="00A16B09"/>
    <w:rsid w:val="00A17255"/>
    <w:rsid w:val="00A178DE"/>
    <w:rsid w:val="00A215B5"/>
    <w:rsid w:val="00A219C5"/>
    <w:rsid w:val="00A2281E"/>
    <w:rsid w:val="00A22CEB"/>
    <w:rsid w:val="00A22FF9"/>
    <w:rsid w:val="00A24EC7"/>
    <w:rsid w:val="00A251BD"/>
    <w:rsid w:val="00A2574A"/>
    <w:rsid w:val="00A25F4A"/>
    <w:rsid w:val="00A26021"/>
    <w:rsid w:val="00A27937"/>
    <w:rsid w:val="00A27F31"/>
    <w:rsid w:val="00A314ED"/>
    <w:rsid w:val="00A31C75"/>
    <w:rsid w:val="00A32128"/>
    <w:rsid w:val="00A3218A"/>
    <w:rsid w:val="00A323F2"/>
    <w:rsid w:val="00A32544"/>
    <w:rsid w:val="00A32C4A"/>
    <w:rsid w:val="00A331A6"/>
    <w:rsid w:val="00A338F5"/>
    <w:rsid w:val="00A343E5"/>
    <w:rsid w:val="00A34A73"/>
    <w:rsid w:val="00A34DF5"/>
    <w:rsid w:val="00A351EE"/>
    <w:rsid w:val="00A352F0"/>
    <w:rsid w:val="00A357ED"/>
    <w:rsid w:val="00A35C96"/>
    <w:rsid w:val="00A35E61"/>
    <w:rsid w:val="00A36827"/>
    <w:rsid w:val="00A370E4"/>
    <w:rsid w:val="00A406E2"/>
    <w:rsid w:val="00A407B1"/>
    <w:rsid w:val="00A42C28"/>
    <w:rsid w:val="00A42CED"/>
    <w:rsid w:val="00A4503B"/>
    <w:rsid w:val="00A45322"/>
    <w:rsid w:val="00A454ED"/>
    <w:rsid w:val="00A45F69"/>
    <w:rsid w:val="00A46362"/>
    <w:rsid w:val="00A4764B"/>
    <w:rsid w:val="00A47696"/>
    <w:rsid w:val="00A478A1"/>
    <w:rsid w:val="00A50269"/>
    <w:rsid w:val="00A51369"/>
    <w:rsid w:val="00A5141F"/>
    <w:rsid w:val="00A5151C"/>
    <w:rsid w:val="00A51820"/>
    <w:rsid w:val="00A51AE1"/>
    <w:rsid w:val="00A52212"/>
    <w:rsid w:val="00A52C33"/>
    <w:rsid w:val="00A5316E"/>
    <w:rsid w:val="00A54C4C"/>
    <w:rsid w:val="00A5504C"/>
    <w:rsid w:val="00A56BF8"/>
    <w:rsid w:val="00A57713"/>
    <w:rsid w:val="00A578CD"/>
    <w:rsid w:val="00A5797C"/>
    <w:rsid w:val="00A6000A"/>
    <w:rsid w:val="00A60034"/>
    <w:rsid w:val="00A602D9"/>
    <w:rsid w:val="00A61102"/>
    <w:rsid w:val="00A62504"/>
    <w:rsid w:val="00A62A2A"/>
    <w:rsid w:val="00A636DA"/>
    <w:rsid w:val="00A6558E"/>
    <w:rsid w:val="00A65921"/>
    <w:rsid w:val="00A659FE"/>
    <w:rsid w:val="00A65F27"/>
    <w:rsid w:val="00A66617"/>
    <w:rsid w:val="00A66714"/>
    <w:rsid w:val="00A67660"/>
    <w:rsid w:val="00A67AC8"/>
    <w:rsid w:val="00A71550"/>
    <w:rsid w:val="00A7189E"/>
    <w:rsid w:val="00A71E07"/>
    <w:rsid w:val="00A73B05"/>
    <w:rsid w:val="00A73D91"/>
    <w:rsid w:val="00A74079"/>
    <w:rsid w:val="00A741AB"/>
    <w:rsid w:val="00A743AE"/>
    <w:rsid w:val="00A74730"/>
    <w:rsid w:val="00A74B29"/>
    <w:rsid w:val="00A74D1E"/>
    <w:rsid w:val="00A74DAE"/>
    <w:rsid w:val="00A75117"/>
    <w:rsid w:val="00A75ADB"/>
    <w:rsid w:val="00A75E80"/>
    <w:rsid w:val="00A75FA6"/>
    <w:rsid w:val="00A76CA3"/>
    <w:rsid w:val="00A804F1"/>
    <w:rsid w:val="00A808DF"/>
    <w:rsid w:val="00A83BC9"/>
    <w:rsid w:val="00A83E67"/>
    <w:rsid w:val="00A84470"/>
    <w:rsid w:val="00A858AE"/>
    <w:rsid w:val="00A859F4"/>
    <w:rsid w:val="00A85C2A"/>
    <w:rsid w:val="00A879D7"/>
    <w:rsid w:val="00A901EE"/>
    <w:rsid w:val="00A917B0"/>
    <w:rsid w:val="00A91C4C"/>
    <w:rsid w:val="00A92C22"/>
    <w:rsid w:val="00A930B4"/>
    <w:rsid w:val="00A93679"/>
    <w:rsid w:val="00A93735"/>
    <w:rsid w:val="00A94C87"/>
    <w:rsid w:val="00A95896"/>
    <w:rsid w:val="00A95D3A"/>
    <w:rsid w:val="00A967B2"/>
    <w:rsid w:val="00A96B3F"/>
    <w:rsid w:val="00A974EB"/>
    <w:rsid w:val="00A9750E"/>
    <w:rsid w:val="00AA0595"/>
    <w:rsid w:val="00AA090D"/>
    <w:rsid w:val="00AA0E4E"/>
    <w:rsid w:val="00AA1C3C"/>
    <w:rsid w:val="00AA1C42"/>
    <w:rsid w:val="00AA1F58"/>
    <w:rsid w:val="00AA216E"/>
    <w:rsid w:val="00AA2E8A"/>
    <w:rsid w:val="00AA3656"/>
    <w:rsid w:val="00AA365F"/>
    <w:rsid w:val="00AA36A5"/>
    <w:rsid w:val="00AA3A04"/>
    <w:rsid w:val="00AA4120"/>
    <w:rsid w:val="00AA41DE"/>
    <w:rsid w:val="00AA46AA"/>
    <w:rsid w:val="00AA50B6"/>
    <w:rsid w:val="00AA599A"/>
    <w:rsid w:val="00AA5CF4"/>
    <w:rsid w:val="00AA62C6"/>
    <w:rsid w:val="00AA6ABA"/>
    <w:rsid w:val="00AA70D8"/>
    <w:rsid w:val="00AB004C"/>
    <w:rsid w:val="00AB0D09"/>
    <w:rsid w:val="00AB1BD7"/>
    <w:rsid w:val="00AB1E86"/>
    <w:rsid w:val="00AB2522"/>
    <w:rsid w:val="00AB2CBF"/>
    <w:rsid w:val="00AB3AB2"/>
    <w:rsid w:val="00AB3F82"/>
    <w:rsid w:val="00AB3FCC"/>
    <w:rsid w:val="00AB433E"/>
    <w:rsid w:val="00AB4507"/>
    <w:rsid w:val="00AB4909"/>
    <w:rsid w:val="00AB4BAA"/>
    <w:rsid w:val="00AB4DAA"/>
    <w:rsid w:val="00AB4FB7"/>
    <w:rsid w:val="00AB5E8C"/>
    <w:rsid w:val="00AB62EF"/>
    <w:rsid w:val="00AB69FA"/>
    <w:rsid w:val="00AB72D5"/>
    <w:rsid w:val="00AC10DF"/>
    <w:rsid w:val="00AC1ABB"/>
    <w:rsid w:val="00AC25BF"/>
    <w:rsid w:val="00AC280D"/>
    <w:rsid w:val="00AC2A33"/>
    <w:rsid w:val="00AC3A82"/>
    <w:rsid w:val="00AC4038"/>
    <w:rsid w:val="00AC4578"/>
    <w:rsid w:val="00AC4C2E"/>
    <w:rsid w:val="00AC57FA"/>
    <w:rsid w:val="00AC5E44"/>
    <w:rsid w:val="00AC5EA1"/>
    <w:rsid w:val="00AC705A"/>
    <w:rsid w:val="00AD150D"/>
    <w:rsid w:val="00AD1B62"/>
    <w:rsid w:val="00AD2333"/>
    <w:rsid w:val="00AD3089"/>
    <w:rsid w:val="00AD421D"/>
    <w:rsid w:val="00AD437C"/>
    <w:rsid w:val="00AD4792"/>
    <w:rsid w:val="00AD4D43"/>
    <w:rsid w:val="00AD4D4C"/>
    <w:rsid w:val="00AD4FCB"/>
    <w:rsid w:val="00AD58C1"/>
    <w:rsid w:val="00AD61E1"/>
    <w:rsid w:val="00AD684C"/>
    <w:rsid w:val="00AD6D41"/>
    <w:rsid w:val="00AD7F24"/>
    <w:rsid w:val="00ADF23F"/>
    <w:rsid w:val="00AE1753"/>
    <w:rsid w:val="00AE18C5"/>
    <w:rsid w:val="00AE1A0F"/>
    <w:rsid w:val="00AE29AC"/>
    <w:rsid w:val="00AE2E70"/>
    <w:rsid w:val="00AE315E"/>
    <w:rsid w:val="00AE377B"/>
    <w:rsid w:val="00AE3F92"/>
    <w:rsid w:val="00AE444C"/>
    <w:rsid w:val="00AE45B0"/>
    <w:rsid w:val="00AE47B5"/>
    <w:rsid w:val="00AE4EB9"/>
    <w:rsid w:val="00AE4FA2"/>
    <w:rsid w:val="00AE56E0"/>
    <w:rsid w:val="00AE582E"/>
    <w:rsid w:val="00AE5D88"/>
    <w:rsid w:val="00AE5EB0"/>
    <w:rsid w:val="00AE5F90"/>
    <w:rsid w:val="00AE6199"/>
    <w:rsid w:val="00AE6BF3"/>
    <w:rsid w:val="00AE71B5"/>
    <w:rsid w:val="00AE749D"/>
    <w:rsid w:val="00AE7EDF"/>
    <w:rsid w:val="00AF035B"/>
    <w:rsid w:val="00AF0CC4"/>
    <w:rsid w:val="00AF0F7C"/>
    <w:rsid w:val="00AF1B78"/>
    <w:rsid w:val="00AF230B"/>
    <w:rsid w:val="00AF235A"/>
    <w:rsid w:val="00AF23F0"/>
    <w:rsid w:val="00AF2728"/>
    <w:rsid w:val="00AF29F0"/>
    <w:rsid w:val="00AF30B9"/>
    <w:rsid w:val="00AF3AA9"/>
    <w:rsid w:val="00AF3D2C"/>
    <w:rsid w:val="00AF41E2"/>
    <w:rsid w:val="00AF47FA"/>
    <w:rsid w:val="00AF4944"/>
    <w:rsid w:val="00AF4C55"/>
    <w:rsid w:val="00AF532B"/>
    <w:rsid w:val="00AF54BE"/>
    <w:rsid w:val="00AF551E"/>
    <w:rsid w:val="00AF58FA"/>
    <w:rsid w:val="00AF76E4"/>
    <w:rsid w:val="00AF7AE7"/>
    <w:rsid w:val="00B00E16"/>
    <w:rsid w:val="00B010E0"/>
    <w:rsid w:val="00B01578"/>
    <w:rsid w:val="00B0246C"/>
    <w:rsid w:val="00B024EB"/>
    <w:rsid w:val="00B0329A"/>
    <w:rsid w:val="00B037F2"/>
    <w:rsid w:val="00B03836"/>
    <w:rsid w:val="00B03C99"/>
    <w:rsid w:val="00B0414B"/>
    <w:rsid w:val="00B04217"/>
    <w:rsid w:val="00B044AF"/>
    <w:rsid w:val="00B051AD"/>
    <w:rsid w:val="00B056A5"/>
    <w:rsid w:val="00B0587B"/>
    <w:rsid w:val="00B06D44"/>
    <w:rsid w:val="00B071E2"/>
    <w:rsid w:val="00B073F1"/>
    <w:rsid w:val="00B07CEA"/>
    <w:rsid w:val="00B102FB"/>
    <w:rsid w:val="00B1033C"/>
    <w:rsid w:val="00B103EC"/>
    <w:rsid w:val="00B10A0B"/>
    <w:rsid w:val="00B10AFC"/>
    <w:rsid w:val="00B10D65"/>
    <w:rsid w:val="00B114BF"/>
    <w:rsid w:val="00B1168C"/>
    <w:rsid w:val="00B11CA9"/>
    <w:rsid w:val="00B11F8C"/>
    <w:rsid w:val="00B130B3"/>
    <w:rsid w:val="00B13938"/>
    <w:rsid w:val="00B14265"/>
    <w:rsid w:val="00B143D8"/>
    <w:rsid w:val="00B14433"/>
    <w:rsid w:val="00B14E33"/>
    <w:rsid w:val="00B14ECB"/>
    <w:rsid w:val="00B15384"/>
    <w:rsid w:val="00B153AB"/>
    <w:rsid w:val="00B15636"/>
    <w:rsid w:val="00B15957"/>
    <w:rsid w:val="00B15D23"/>
    <w:rsid w:val="00B16056"/>
    <w:rsid w:val="00B16E9B"/>
    <w:rsid w:val="00B17398"/>
    <w:rsid w:val="00B174FC"/>
    <w:rsid w:val="00B17706"/>
    <w:rsid w:val="00B20A06"/>
    <w:rsid w:val="00B20AEF"/>
    <w:rsid w:val="00B20C8C"/>
    <w:rsid w:val="00B21807"/>
    <w:rsid w:val="00B222A4"/>
    <w:rsid w:val="00B22E82"/>
    <w:rsid w:val="00B23706"/>
    <w:rsid w:val="00B23BFD"/>
    <w:rsid w:val="00B23E86"/>
    <w:rsid w:val="00B241E3"/>
    <w:rsid w:val="00B248E5"/>
    <w:rsid w:val="00B24D1D"/>
    <w:rsid w:val="00B25707"/>
    <w:rsid w:val="00B25BEC"/>
    <w:rsid w:val="00B25C1F"/>
    <w:rsid w:val="00B26CA8"/>
    <w:rsid w:val="00B26D6C"/>
    <w:rsid w:val="00B27132"/>
    <w:rsid w:val="00B275FB"/>
    <w:rsid w:val="00B30526"/>
    <w:rsid w:val="00B31AAC"/>
    <w:rsid w:val="00B31B5B"/>
    <w:rsid w:val="00B3234E"/>
    <w:rsid w:val="00B32C51"/>
    <w:rsid w:val="00B335DF"/>
    <w:rsid w:val="00B33A1C"/>
    <w:rsid w:val="00B34531"/>
    <w:rsid w:val="00B34A03"/>
    <w:rsid w:val="00B34E2C"/>
    <w:rsid w:val="00B35BD9"/>
    <w:rsid w:val="00B4058E"/>
    <w:rsid w:val="00B409BC"/>
    <w:rsid w:val="00B40CD9"/>
    <w:rsid w:val="00B40D27"/>
    <w:rsid w:val="00B4119C"/>
    <w:rsid w:val="00B41E08"/>
    <w:rsid w:val="00B42C0B"/>
    <w:rsid w:val="00B4320F"/>
    <w:rsid w:val="00B4488F"/>
    <w:rsid w:val="00B448FE"/>
    <w:rsid w:val="00B44CA2"/>
    <w:rsid w:val="00B44E98"/>
    <w:rsid w:val="00B450FA"/>
    <w:rsid w:val="00B45299"/>
    <w:rsid w:val="00B45821"/>
    <w:rsid w:val="00B45C00"/>
    <w:rsid w:val="00B46AD9"/>
    <w:rsid w:val="00B46CED"/>
    <w:rsid w:val="00B514DC"/>
    <w:rsid w:val="00B5169D"/>
    <w:rsid w:val="00B51D04"/>
    <w:rsid w:val="00B520FC"/>
    <w:rsid w:val="00B525EA"/>
    <w:rsid w:val="00B52757"/>
    <w:rsid w:val="00B52857"/>
    <w:rsid w:val="00B52902"/>
    <w:rsid w:val="00B5342C"/>
    <w:rsid w:val="00B5360E"/>
    <w:rsid w:val="00B53C47"/>
    <w:rsid w:val="00B53CED"/>
    <w:rsid w:val="00B54398"/>
    <w:rsid w:val="00B5475C"/>
    <w:rsid w:val="00B552B7"/>
    <w:rsid w:val="00B55462"/>
    <w:rsid w:val="00B55D5B"/>
    <w:rsid w:val="00B5644F"/>
    <w:rsid w:val="00B565FE"/>
    <w:rsid w:val="00B56BC0"/>
    <w:rsid w:val="00B57213"/>
    <w:rsid w:val="00B601C8"/>
    <w:rsid w:val="00B6092A"/>
    <w:rsid w:val="00B61D7A"/>
    <w:rsid w:val="00B62132"/>
    <w:rsid w:val="00B629F4"/>
    <w:rsid w:val="00B62C59"/>
    <w:rsid w:val="00B637DB"/>
    <w:rsid w:val="00B63A11"/>
    <w:rsid w:val="00B65B05"/>
    <w:rsid w:val="00B6657E"/>
    <w:rsid w:val="00B66684"/>
    <w:rsid w:val="00B67119"/>
    <w:rsid w:val="00B679F9"/>
    <w:rsid w:val="00B67D24"/>
    <w:rsid w:val="00B707AD"/>
    <w:rsid w:val="00B709F3"/>
    <w:rsid w:val="00B70DBA"/>
    <w:rsid w:val="00B70F8F"/>
    <w:rsid w:val="00B711D5"/>
    <w:rsid w:val="00B71C76"/>
    <w:rsid w:val="00B729AA"/>
    <w:rsid w:val="00B736F0"/>
    <w:rsid w:val="00B73731"/>
    <w:rsid w:val="00B73DB7"/>
    <w:rsid w:val="00B742C2"/>
    <w:rsid w:val="00B75147"/>
    <w:rsid w:val="00B755C3"/>
    <w:rsid w:val="00B76C58"/>
    <w:rsid w:val="00B76CA5"/>
    <w:rsid w:val="00B77CDC"/>
    <w:rsid w:val="00B77E01"/>
    <w:rsid w:val="00B8037B"/>
    <w:rsid w:val="00B80CA1"/>
    <w:rsid w:val="00B81190"/>
    <w:rsid w:val="00B8181E"/>
    <w:rsid w:val="00B82225"/>
    <w:rsid w:val="00B838D5"/>
    <w:rsid w:val="00B83AE9"/>
    <w:rsid w:val="00B848E4"/>
    <w:rsid w:val="00B85C50"/>
    <w:rsid w:val="00B85DD1"/>
    <w:rsid w:val="00B861E0"/>
    <w:rsid w:val="00B8663E"/>
    <w:rsid w:val="00B86BD2"/>
    <w:rsid w:val="00B8750A"/>
    <w:rsid w:val="00B87E54"/>
    <w:rsid w:val="00B90017"/>
    <w:rsid w:val="00B90BA6"/>
    <w:rsid w:val="00B92B94"/>
    <w:rsid w:val="00B92BBD"/>
    <w:rsid w:val="00B934F4"/>
    <w:rsid w:val="00B93AB8"/>
    <w:rsid w:val="00B9451A"/>
    <w:rsid w:val="00B95300"/>
    <w:rsid w:val="00B9552C"/>
    <w:rsid w:val="00B9576A"/>
    <w:rsid w:val="00B96A12"/>
    <w:rsid w:val="00BA0861"/>
    <w:rsid w:val="00BA1432"/>
    <w:rsid w:val="00BA203A"/>
    <w:rsid w:val="00BA2174"/>
    <w:rsid w:val="00BA2A75"/>
    <w:rsid w:val="00BA2E07"/>
    <w:rsid w:val="00BA32F6"/>
    <w:rsid w:val="00BA361E"/>
    <w:rsid w:val="00BA3FA8"/>
    <w:rsid w:val="00BA4069"/>
    <w:rsid w:val="00BA4815"/>
    <w:rsid w:val="00BA6181"/>
    <w:rsid w:val="00BA6305"/>
    <w:rsid w:val="00BA68E9"/>
    <w:rsid w:val="00BA7444"/>
    <w:rsid w:val="00BA7615"/>
    <w:rsid w:val="00BA7A6B"/>
    <w:rsid w:val="00BB09EE"/>
    <w:rsid w:val="00BB0FF1"/>
    <w:rsid w:val="00BB10E8"/>
    <w:rsid w:val="00BB11C2"/>
    <w:rsid w:val="00BB1C32"/>
    <w:rsid w:val="00BB2144"/>
    <w:rsid w:val="00BB258E"/>
    <w:rsid w:val="00BB2B2F"/>
    <w:rsid w:val="00BB2EB7"/>
    <w:rsid w:val="00BB4B9C"/>
    <w:rsid w:val="00BB53AF"/>
    <w:rsid w:val="00BB547D"/>
    <w:rsid w:val="00BB54E8"/>
    <w:rsid w:val="00BB5C88"/>
    <w:rsid w:val="00BB6B9D"/>
    <w:rsid w:val="00BB71BD"/>
    <w:rsid w:val="00BB7619"/>
    <w:rsid w:val="00BB7937"/>
    <w:rsid w:val="00BC03BB"/>
    <w:rsid w:val="00BC04EB"/>
    <w:rsid w:val="00BC0AA1"/>
    <w:rsid w:val="00BC1438"/>
    <w:rsid w:val="00BC197D"/>
    <w:rsid w:val="00BC26E3"/>
    <w:rsid w:val="00BC3121"/>
    <w:rsid w:val="00BC34B3"/>
    <w:rsid w:val="00BC43D6"/>
    <w:rsid w:val="00BC46AB"/>
    <w:rsid w:val="00BC4E3B"/>
    <w:rsid w:val="00BC52D2"/>
    <w:rsid w:val="00BC5839"/>
    <w:rsid w:val="00BC5C37"/>
    <w:rsid w:val="00BC5C71"/>
    <w:rsid w:val="00BC6EFE"/>
    <w:rsid w:val="00BC71D0"/>
    <w:rsid w:val="00BC74BC"/>
    <w:rsid w:val="00BD077D"/>
    <w:rsid w:val="00BD08A8"/>
    <w:rsid w:val="00BD0F4D"/>
    <w:rsid w:val="00BD1076"/>
    <w:rsid w:val="00BD1387"/>
    <w:rsid w:val="00BD1428"/>
    <w:rsid w:val="00BD197A"/>
    <w:rsid w:val="00BD223E"/>
    <w:rsid w:val="00BD2648"/>
    <w:rsid w:val="00BD2C88"/>
    <w:rsid w:val="00BD3683"/>
    <w:rsid w:val="00BD3985"/>
    <w:rsid w:val="00BD3B8C"/>
    <w:rsid w:val="00BD400E"/>
    <w:rsid w:val="00BD5D71"/>
    <w:rsid w:val="00BD69B1"/>
    <w:rsid w:val="00BD6ADE"/>
    <w:rsid w:val="00BD7DA5"/>
    <w:rsid w:val="00BE0144"/>
    <w:rsid w:val="00BE0B86"/>
    <w:rsid w:val="00BE114F"/>
    <w:rsid w:val="00BE1835"/>
    <w:rsid w:val="00BE187F"/>
    <w:rsid w:val="00BE1C05"/>
    <w:rsid w:val="00BE2F4E"/>
    <w:rsid w:val="00BE3D0C"/>
    <w:rsid w:val="00BE41FE"/>
    <w:rsid w:val="00BE4A0B"/>
    <w:rsid w:val="00BE4F78"/>
    <w:rsid w:val="00BE5288"/>
    <w:rsid w:val="00BE5451"/>
    <w:rsid w:val="00BE62DF"/>
    <w:rsid w:val="00BE6561"/>
    <w:rsid w:val="00BE7A69"/>
    <w:rsid w:val="00BE7B1B"/>
    <w:rsid w:val="00BF0C89"/>
    <w:rsid w:val="00BF0F07"/>
    <w:rsid w:val="00BF1391"/>
    <w:rsid w:val="00BF1519"/>
    <w:rsid w:val="00BF1686"/>
    <w:rsid w:val="00BF20C1"/>
    <w:rsid w:val="00BF28DD"/>
    <w:rsid w:val="00BF3CD9"/>
    <w:rsid w:val="00BF4225"/>
    <w:rsid w:val="00BF4659"/>
    <w:rsid w:val="00BF4A70"/>
    <w:rsid w:val="00BF523E"/>
    <w:rsid w:val="00BF53DE"/>
    <w:rsid w:val="00BF5CE0"/>
    <w:rsid w:val="00BF5E16"/>
    <w:rsid w:val="00BF68A0"/>
    <w:rsid w:val="00BF7154"/>
    <w:rsid w:val="00BF78CF"/>
    <w:rsid w:val="00C00D9A"/>
    <w:rsid w:val="00C01BC5"/>
    <w:rsid w:val="00C0224D"/>
    <w:rsid w:val="00C042C6"/>
    <w:rsid w:val="00C04450"/>
    <w:rsid w:val="00C04A81"/>
    <w:rsid w:val="00C04EC0"/>
    <w:rsid w:val="00C05B15"/>
    <w:rsid w:val="00C06FFE"/>
    <w:rsid w:val="00C109DF"/>
    <w:rsid w:val="00C11219"/>
    <w:rsid w:val="00C113FE"/>
    <w:rsid w:val="00C11574"/>
    <w:rsid w:val="00C11708"/>
    <w:rsid w:val="00C1321A"/>
    <w:rsid w:val="00C13627"/>
    <w:rsid w:val="00C13F69"/>
    <w:rsid w:val="00C14915"/>
    <w:rsid w:val="00C14986"/>
    <w:rsid w:val="00C1618B"/>
    <w:rsid w:val="00C16AF9"/>
    <w:rsid w:val="00C17641"/>
    <w:rsid w:val="00C17AF1"/>
    <w:rsid w:val="00C17EA5"/>
    <w:rsid w:val="00C20203"/>
    <w:rsid w:val="00C20EF2"/>
    <w:rsid w:val="00C2132F"/>
    <w:rsid w:val="00C21C56"/>
    <w:rsid w:val="00C21DDE"/>
    <w:rsid w:val="00C2263B"/>
    <w:rsid w:val="00C22A4B"/>
    <w:rsid w:val="00C22C24"/>
    <w:rsid w:val="00C233D9"/>
    <w:rsid w:val="00C2368A"/>
    <w:rsid w:val="00C23FDA"/>
    <w:rsid w:val="00C2410F"/>
    <w:rsid w:val="00C2417C"/>
    <w:rsid w:val="00C24B6A"/>
    <w:rsid w:val="00C25611"/>
    <w:rsid w:val="00C26955"/>
    <w:rsid w:val="00C27134"/>
    <w:rsid w:val="00C2D176"/>
    <w:rsid w:val="00C300E7"/>
    <w:rsid w:val="00C306E4"/>
    <w:rsid w:val="00C3078A"/>
    <w:rsid w:val="00C307A2"/>
    <w:rsid w:val="00C30B9D"/>
    <w:rsid w:val="00C30DAC"/>
    <w:rsid w:val="00C30FAD"/>
    <w:rsid w:val="00C312C9"/>
    <w:rsid w:val="00C318DD"/>
    <w:rsid w:val="00C31EBA"/>
    <w:rsid w:val="00C33403"/>
    <w:rsid w:val="00C33A61"/>
    <w:rsid w:val="00C341B4"/>
    <w:rsid w:val="00C342CB"/>
    <w:rsid w:val="00C34496"/>
    <w:rsid w:val="00C345EC"/>
    <w:rsid w:val="00C34EE1"/>
    <w:rsid w:val="00C35F73"/>
    <w:rsid w:val="00C3623D"/>
    <w:rsid w:val="00C365A2"/>
    <w:rsid w:val="00C36D5E"/>
    <w:rsid w:val="00C36F4B"/>
    <w:rsid w:val="00C37271"/>
    <w:rsid w:val="00C3795A"/>
    <w:rsid w:val="00C37B1C"/>
    <w:rsid w:val="00C405D4"/>
    <w:rsid w:val="00C409EA"/>
    <w:rsid w:val="00C40B45"/>
    <w:rsid w:val="00C40BD1"/>
    <w:rsid w:val="00C40F76"/>
    <w:rsid w:val="00C41198"/>
    <w:rsid w:val="00C42262"/>
    <w:rsid w:val="00C423C8"/>
    <w:rsid w:val="00C4269F"/>
    <w:rsid w:val="00C4362A"/>
    <w:rsid w:val="00C43635"/>
    <w:rsid w:val="00C43B13"/>
    <w:rsid w:val="00C4487F"/>
    <w:rsid w:val="00C44FD6"/>
    <w:rsid w:val="00C451D4"/>
    <w:rsid w:val="00C45E58"/>
    <w:rsid w:val="00C46151"/>
    <w:rsid w:val="00C46DBB"/>
    <w:rsid w:val="00C46F68"/>
    <w:rsid w:val="00C47BC2"/>
    <w:rsid w:val="00C505EF"/>
    <w:rsid w:val="00C521D3"/>
    <w:rsid w:val="00C5228C"/>
    <w:rsid w:val="00C5292C"/>
    <w:rsid w:val="00C52BB4"/>
    <w:rsid w:val="00C53046"/>
    <w:rsid w:val="00C543FC"/>
    <w:rsid w:val="00C54573"/>
    <w:rsid w:val="00C54D6B"/>
    <w:rsid w:val="00C55205"/>
    <w:rsid w:val="00C5530E"/>
    <w:rsid w:val="00C5562A"/>
    <w:rsid w:val="00C55AC8"/>
    <w:rsid w:val="00C56A79"/>
    <w:rsid w:val="00C56F0E"/>
    <w:rsid w:val="00C57B98"/>
    <w:rsid w:val="00C57FAB"/>
    <w:rsid w:val="00C57FDB"/>
    <w:rsid w:val="00C602E6"/>
    <w:rsid w:val="00C60EB0"/>
    <w:rsid w:val="00C60F43"/>
    <w:rsid w:val="00C61652"/>
    <w:rsid w:val="00C6285D"/>
    <w:rsid w:val="00C62BAC"/>
    <w:rsid w:val="00C63143"/>
    <w:rsid w:val="00C655DD"/>
    <w:rsid w:val="00C6562E"/>
    <w:rsid w:val="00C65C3F"/>
    <w:rsid w:val="00C65F9B"/>
    <w:rsid w:val="00C65FE7"/>
    <w:rsid w:val="00C66723"/>
    <w:rsid w:val="00C66D5C"/>
    <w:rsid w:val="00C66E40"/>
    <w:rsid w:val="00C67A49"/>
    <w:rsid w:val="00C70021"/>
    <w:rsid w:val="00C704EE"/>
    <w:rsid w:val="00C70E5F"/>
    <w:rsid w:val="00C71E70"/>
    <w:rsid w:val="00C726A2"/>
    <w:rsid w:val="00C72831"/>
    <w:rsid w:val="00C72AB8"/>
    <w:rsid w:val="00C72C66"/>
    <w:rsid w:val="00C73E3A"/>
    <w:rsid w:val="00C75784"/>
    <w:rsid w:val="00C759F7"/>
    <w:rsid w:val="00C75B04"/>
    <w:rsid w:val="00C76154"/>
    <w:rsid w:val="00C76C3B"/>
    <w:rsid w:val="00C770AC"/>
    <w:rsid w:val="00C77490"/>
    <w:rsid w:val="00C777FC"/>
    <w:rsid w:val="00C823E7"/>
    <w:rsid w:val="00C82671"/>
    <w:rsid w:val="00C8358C"/>
    <w:rsid w:val="00C83EDC"/>
    <w:rsid w:val="00C84E4E"/>
    <w:rsid w:val="00C85B37"/>
    <w:rsid w:val="00C865D4"/>
    <w:rsid w:val="00C867C3"/>
    <w:rsid w:val="00C869E1"/>
    <w:rsid w:val="00C871D4"/>
    <w:rsid w:val="00C87230"/>
    <w:rsid w:val="00C8731F"/>
    <w:rsid w:val="00C8740C"/>
    <w:rsid w:val="00C87A7F"/>
    <w:rsid w:val="00C87B80"/>
    <w:rsid w:val="00C9086D"/>
    <w:rsid w:val="00C90909"/>
    <w:rsid w:val="00C90DDB"/>
    <w:rsid w:val="00C924B3"/>
    <w:rsid w:val="00C9289D"/>
    <w:rsid w:val="00C92CDA"/>
    <w:rsid w:val="00C9336A"/>
    <w:rsid w:val="00C937EF"/>
    <w:rsid w:val="00C93DB0"/>
    <w:rsid w:val="00C93F15"/>
    <w:rsid w:val="00C9474D"/>
    <w:rsid w:val="00C9499F"/>
    <w:rsid w:val="00C94B70"/>
    <w:rsid w:val="00C94DD0"/>
    <w:rsid w:val="00C950F7"/>
    <w:rsid w:val="00C9596C"/>
    <w:rsid w:val="00C95BCD"/>
    <w:rsid w:val="00C960AC"/>
    <w:rsid w:val="00C969E2"/>
    <w:rsid w:val="00C96B36"/>
    <w:rsid w:val="00C96E34"/>
    <w:rsid w:val="00C971B9"/>
    <w:rsid w:val="00C97C58"/>
    <w:rsid w:val="00C97E22"/>
    <w:rsid w:val="00CA018B"/>
    <w:rsid w:val="00CA03E6"/>
    <w:rsid w:val="00CA0F07"/>
    <w:rsid w:val="00CA1C2F"/>
    <w:rsid w:val="00CA2DA0"/>
    <w:rsid w:val="00CA2ED9"/>
    <w:rsid w:val="00CA3079"/>
    <w:rsid w:val="00CA3C74"/>
    <w:rsid w:val="00CA3CA1"/>
    <w:rsid w:val="00CA3DD7"/>
    <w:rsid w:val="00CA3EC6"/>
    <w:rsid w:val="00CA3F27"/>
    <w:rsid w:val="00CA47DE"/>
    <w:rsid w:val="00CA5016"/>
    <w:rsid w:val="00CA52FC"/>
    <w:rsid w:val="00CA558E"/>
    <w:rsid w:val="00CA5753"/>
    <w:rsid w:val="00CA59EE"/>
    <w:rsid w:val="00CA5FBC"/>
    <w:rsid w:val="00CA60F7"/>
    <w:rsid w:val="00CA6EBA"/>
    <w:rsid w:val="00CA6F78"/>
    <w:rsid w:val="00CB00E7"/>
    <w:rsid w:val="00CB0C01"/>
    <w:rsid w:val="00CB1945"/>
    <w:rsid w:val="00CB2A70"/>
    <w:rsid w:val="00CB327A"/>
    <w:rsid w:val="00CB36DE"/>
    <w:rsid w:val="00CB55BE"/>
    <w:rsid w:val="00CB580F"/>
    <w:rsid w:val="00CB6194"/>
    <w:rsid w:val="00CC01ED"/>
    <w:rsid w:val="00CC0672"/>
    <w:rsid w:val="00CC0C7C"/>
    <w:rsid w:val="00CC122C"/>
    <w:rsid w:val="00CC1C9A"/>
    <w:rsid w:val="00CC2772"/>
    <w:rsid w:val="00CC2921"/>
    <w:rsid w:val="00CC297C"/>
    <w:rsid w:val="00CC2CFC"/>
    <w:rsid w:val="00CC2DDD"/>
    <w:rsid w:val="00CC388D"/>
    <w:rsid w:val="00CC3A67"/>
    <w:rsid w:val="00CC3CEF"/>
    <w:rsid w:val="00CC426A"/>
    <w:rsid w:val="00CC4EE5"/>
    <w:rsid w:val="00CC4FBA"/>
    <w:rsid w:val="00CC5213"/>
    <w:rsid w:val="00CC6959"/>
    <w:rsid w:val="00CC6B77"/>
    <w:rsid w:val="00CC6BA5"/>
    <w:rsid w:val="00CC71E5"/>
    <w:rsid w:val="00CD0E3D"/>
    <w:rsid w:val="00CD206D"/>
    <w:rsid w:val="00CD2F21"/>
    <w:rsid w:val="00CD2F50"/>
    <w:rsid w:val="00CD3485"/>
    <w:rsid w:val="00CD34A4"/>
    <w:rsid w:val="00CD4263"/>
    <w:rsid w:val="00CD47C6"/>
    <w:rsid w:val="00CD493E"/>
    <w:rsid w:val="00CD4F9F"/>
    <w:rsid w:val="00CD54FC"/>
    <w:rsid w:val="00CD56B4"/>
    <w:rsid w:val="00CD5B4A"/>
    <w:rsid w:val="00CD5EBB"/>
    <w:rsid w:val="00CD74FA"/>
    <w:rsid w:val="00CD77CE"/>
    <w:rsid w:val="00CD7A0B"/>
    <w:rsid w:val="00CE0E38"/>
    <w:rsid w:val="00CE0E5A"/>
    <w:rsid w:val="00CE1000"/>
    <w:rsid w:val="00CE14E8"/>
    <w:rsid w:val="00CE192C"/>
    <w:rsid w:val="00CE1CF6"/>
    <w:rsid w:val="00CE2573"/>
    <w:rsid w:val="00CE2EE4"/>
    <w:rsid w:val="00CE30A4"/>
    <w:rsid w:val="00CE351B"/>
    <w:rsid w:val="00CE3BD0"/>
    <w:rsid w:val="00CE3F72"/>
    <w:rsid w:val="00CE5916"/>
    <w:rsid w:val="00CE5A0F"/>
    <w:rsid w:val="00CE5FF3"/>
    <w:rsid w:val="00CE6C0C"/>
    <w:rsid w:val="00CE6C47"/>
    <w:rsid w:val="00CE74ED"/>
    <w:rsid w:val="00CE7E4B"/>
    <w:rsid w:val="00CF0334"/>
    <w:rsid w:val="00CF08FD"/>
    <w:rsid w:val="00CF24F5"/>
    <w:rsid w:val="00CF3186"/>
    <w:rsid w:val="00CF3385"/>
    <w:rsid w:val="00CF3429"/>
    <w:rsid w:val="00CF3C28"/>
    <w:rsid w:val="00CF3CB5"/>
    <w:rsid w:val="00CF4173"/>
    <w:rsid w:val="00CF451B"/>
    <w:rsid w:val="00CF49FF"/>
    <w:rsid w:val="00CF5068"/>
    <w:rsid w:val="00CF5705"/>
    <w:rsid w:val="00CF5C24"/>
    <w:rsid w:val="00CF5F04"/>
    <w:rsid w:val="00CF5F2A"/>
    <w:rsid w:val="00CF5FFF"/>
    <w:rsid w:val="00CF68C9"/>
    <w:rsid w:val="00CF71E1"/>
    <w:rsid w:val="00CF77F6"/>
    <w:rsid w:val="00CF7B3E"/>
    <w:rsid w:val="00D0066D"/>
    <w:rsid w:val="00D02334"/>
    <w:rsid w:val="00D025CB"/>
    <w:rsid w:val="00D03C48"/>
    <w:rsid w:val="00D045B9"/>
    <w:rsid w:val="00D047AA"/>
    <w:rsid w:val="00D04913"/>
    <w:rsid w:val="00D04B83"/>
    <w:rsid w:val="00D053F9"/>
    <w:rsid w:val="00D0622F"/>
    <w:rsid w:val="00D07278"/>
    <w:rsid w:val="00D0737E"/>
    <w:rsid w:val="00D07592"/>
    <w:rsid w:val="00D07DF9"/>
    <w:rsid w:val="00D10113"/>
    <w:rsid w:val="00D104A1"/>
    <w:rsid w:val="00D11465"/>
    <w:rsid w:val="00D129AD"/>
    <w:rsid w:val="00D1318B"/>
    <w:rsid w:val="00D1399F"/>
    <w:rsid w:val="00D13BD6"/>
    <w:rsid w:val="00D143A7"/>
    <w:rsid w:val="00D147B4"/>
    <w:rsid w:val="00D15473"/>
    <w:rsid w:val="00D15A2D"/>
    <w:rsid w:val="00D15C0F"/>
    <w:rsid w:val="00D168DA"/>
    <w:rsid w:val="00D21537"/>
    <w:rsid w:val="00D21A1B"/>
    <w:rsid w:val="00D21A4B"/>
    <w:rsid w:val="00D21F15"/>
    <w:rsid w:val="00D22233"/>
    <w:rsid w:val="00D228EC"/>
    <w:rsid w:val="00D2499A"/>
    <w:rsid w:val="00D24A0F"/>
    <w:rsid w:val="00D24A9B"/>
    <w:rsid w:val="00D24E91"/>
    <w:rsid w:val="00D25F49"/>
    <w:rsid w:val="00D329DF"/>
    <w:rsid w:val="00D334D6"/>
    <w:rsid w:val="00D33C95"/>
    <w:rsid w:val="00D33CA1"/>
    <w:rsid w:val="00D33D1E"/>
    <w:rsid w:val="00D3474D"/>
    <w:rsid w:val="00D347A6"/>
    <w:rsid w:val="00D34A07"/>
    <w:rsid w:val="00D360D8"/>
    <w:rsid w:val="00D36168"/>
    <w:rsid w:val="00D36B5F"/>
    <w:rsid w:val="00D36B60"/>
    <w:rsid w:val="00D37951"/>
    <w:rsid w:val="00D413B2"/>
    <w:rsid w:val="00D416B2"/>
    <w:rsid w:val="00D416F0"/>
    <w:rsid w:val="00D41D68"/>
    <w:rsid w:val="00D420C7"/>
    <w:rsid w:val="00D4228F"/>
    <w:rsid w:val="00D42D8E"/>
    <w:rsid w:val="00D42EB5"/>
    <w:rsid w:val="00D43A4A"/>
    <w:rsid w:val="00D43CFC"/>
    <w:rsid w:val="00D43D03"/>
    <w:rsid w:val="00D44930"/>
    <w:rsid w:val="00D44C78"/>
    <w:rsid w:val="00D4597E"/>
    <w:rsid w:val="00D45F3A"/>
    <w:rsid w:val="00D464DE"/>
    <w:rsid w:val="00D46E1C"/>
    <w:rsid w:val="00D47ACE"/>
    <w:rsid w:val="00D47F2D"/>
    <w:rsid w:val="00D504B6"/>
    <w:rsid w:val="00D50792"/>
    <w:rsid w:val="00D507A6"/>
    <w:rsid w:val="00D507DB"/>
    <w:rsid w:val="00D50D7E"/>
    <w:rsid w:val="00D5102B"/>
    <w:rsid w:val="00D51850"/>
    <w:rsid w:val="00D52F44"/>
    <w:rsid w:val="00D53362"/>
    <w:rsid w:val="00D5378F"/>
    <w:rsid w:val="00D53A88"/>
    <w:rsid w:val="00D5413F"/>
    <w:rsid w:val="00D54389"/>
    <w:rsid w:val="00D547BE"/>
    <w:rsid w:val="00D55324"/>
    <w:rsid w:val="00D562E6"/>
    <w:rsid w:val="00D563B3"/>
    <w:rsid w:val="00D5660E"/>
    <w:rsid w:val="00D56F68"/>
    <w:rsid w:val="00D60281"/>
    <w:rsid w:val="00D604EE"/>
    <w:rsid w:val="00D6056C"/>
    <w:rsid w:val="00D60D2A"/>
    <w:rsid w:val="00D6112B"/>
    <w:rsid w:val="00D61658"/>
    <w:rsid w:val="00D61884"/>
    <w:rsid w:val="00D6191B"/>
    <w:rsid w:val="00D61D3C"/>
    <w:rsid w:val="00D61FA6"/>
    <w:rsid w:val="00D62C85"/>
    <w:rsid w:val="00D62D18"/>
    <w:rsid w:val="00D63591"/>
    <w:rsid w:val="00D639C4"/>
    <w:rsid w:val="00D63A17"/>
    <w:rsid w:val="00D63A44"/>
    <w:rsid w:val="00D63C36"/>
    <w:rsid w:val="00D63CD9"/>
    <w:rsid w:val="00D64222"/>
    <w:rsid w:val="00D6433D"/>
    <w:rsid w:val="00D64F2B"/>
    <w:rsid w:val="00D65334"/>
    <w:rsid w:val="00D659CD"/>
    <w:rsid w:val="00D6618A"/>
    <w:rsid w:val="00D67371"/>
    <w:rsid w:val="00D67E8E"/>
    <w:rsid w:val="00D704B6"/>
    <w:rsid w:val="00D70716"/>
    <w:rsid w:val="00D7350A"/>
    <w:rsid w:val="00D735E7"/>
    <w:rsid w:val="00D73850"/>
    <w:rsid w:val="00D73C97"/>
    <w:rsid w:val="00D73FB2"/>
    <w:rsid w:val="00D747A6"/>
    <w:rsid w:val="00D74E45"/>
    <w:rsid w:val="00D74F45"/>
    <w:rsid w:val="00D7525B"/>
    <w:rsid w:val="00D75780"/>
    <w:rsid w:val="00D757EF"/>
    <w:rsid w:val="00D75AC1"/>
    <w:rsid w:val="00D75D9B"/>
    <w:rsid w:val="00D75F37"/>
    <w:rsid w:val="00D76B00"/>
    <w:rsid w:val="00D7797D"/>
    <w:rsid w:val="00D77AD2"/>
    <w:rsid w:val="00D77CA5"/>
    <w:rsid w:val="00D807B8"/>
    <w:rsid w:val="00D831B3"/>
    <w:rsid w:val="00D840AD"/>
    <w:rsid w:val="00D84C76"/>
    <w:rsid w:val="00D85A27"/>
    <w:rsid w:val="00D86D97"/>
    <w:rsid w:val="00D86EDD"/>
    <w:rsid w:val="00D8788E"/>
    <w:rsid w:val="00D87B70"/>
    <w:rsid w:val="00D905E5"/>
    <w:rsid w:val="00D906B5"/>
    <w:rsid w:val="00D90F60"/>
    <w:rsid w:val="00D921E1"/>
    <w:rsid w:val="00D922B9"/>
    <w:rsid w:val="00D923F0"/>
    <w:rsid w:val="00D92449"/>
    <w:rsid w:val="00D9293F"/>
    <w:rsid w:val="00D93742"/>
    <w:rsid w:val="00D94235"/>
    <w:rsid w:val="00D94B82"/>
    <w:rsid w:val="00D95981"/>
    <w:rsid w:val="00D96084"/>
    <w:rsid w:val="00D96348"/>
    <w:rsid w:val="00D97743"/>
    <w:rsid w:val="00D97927"/>
    <w:rsid w:val="00DA0146"/>
    <w:rsid w:val="00DA0F69"/>
    <w:rsid w:val="00DA1804"/>
    <w:rsid w:val="00DA1D13"/>
    <w:rsid w:val="00DA228F"/>
    <w:rsid w:val="00DA2836"/>
    <w:rsid w:val="00DA2EA2"/>
    <w:rsid w:val="00DA2FFE"/>
    <w:rsid w:val="00DA33FC"/>
    <w:rsid w:val="00DA37A9"/>
    <w:rsid w:val="00DA38D2"/>
    <w:rsid w:val="00DA3CE6"/>
    <w:rsid w:val="00DA53E8"/>
    <w:rsid w:val="00DA5F55"/>
    <w:rsid w:val="00DA6105"/>
    <w:rsid w:val="00DA6BC9"/>
    <w:rsid w:val="00DA6C05"/>
    <w:rsid w:val="00DB07B5"/>
    <w:rsid w:val="00DB07DF"/>
    <w:rsid w:val="00DB09C1"/>
    <w:rsid w:val="00DB0E25"/>
    <w:rsid w:val="00DB0F9D"/>
    <w:rsid w:val="00DB2607"/>
    <w:rsid w:val="00DB2762"/>
    <w:rsid w:val="00DB364C"/>
    <w:rsid w:val="00DB3868"/>
    <w:rsid w:val="00DB43A0"/>
    <w:rsid w:val="00DB45F3"/>
    <w:rsid w:val="00DB4C31"/>
    <w:rsid w:val="00DB5360"/>
    <w:rsid w:val="00DB5C43"/>
    <w:rsid w:val="00DB6568"/>
    <w:rsid w:val="00DB7746"/>
    <w:rsid w:val="00DC01B9"/>
    <w:rsid w:val="00DC0F6F"/>
    <w:rsid w:val="00DC1291"/>
    <w:rsid w:val="00DC1955"/>
    <w:rsid w:val="00DC1ABB"/>
    <w:rsid w:val="00DC22FB"/>
    <w:rsid w:val="00DC25B5"/>
    <w:rsid w:val="00DC3120"/>
    <w:rsid w:val="00DC3FF6"/>
    <w:rsid w:val="00DC4248"/>
    <w:rsid w:val="00DC4816"/>
    <w:rsid w:val="00DC67B3"/>
    <w:rsid w:val="00DC75A1"/>
    <w:rsid w:val="00DC76FC"/>
    <w:rsid w:val="00DC7889"/>
    <w:rsid w:val="00DD08D3"/>
    <w:rsid w:val="00DD0C79"/>
    <w:rsid w:val="00DD0F78"/>
    <w:rsid w:val="00DD127B"/>
    <w:rsid w:val="00DD1314"/>
    <w:rsid w:val="00DD134A"/>
    <w:rsid w:val="00DD1BA6"/>
    <w:rsid w:val="00DD2477"/>
    <w:rsid w:val="00DD3F2A"/>
    <w:rsid w:val="00DD3FAB"/>
    <w:rsid w:val="00DD4263"/>
    <w:rsid w:val="00DD43F4"/>
    <w:rsid w:val="00DD5567"/>
    <w:rsid w:val="00DD66FA"/>
    <w:rsid w:val="00DD6815"/>
    <w:rsid w:val="00DD7577"/>
    <w:rsid w:val="00DE0271"/>
    <w:rsid w:val="00DE13CA"/>
    <w:rsid w:val="00DE1907"/>
    <w:rsid w:val="00DE2230"/>
    <w:rsid w:val="00DE268E"/>
    <w:rsid w:val="00DE29AF"/>
    <w:rsid w:val="00DE2B08"/>
    <w:rsid w:val="00DE37CA"/>
    <w:rsid w:val="00DE53DE"/>
    <w:rsid w:val="00DE588E"/>
    <w:rsid w:val="00DE588F"/>
    <w:rsid w:val="00DE5FC6"/>
    <w:rsid w:val="00DE5FF6"/>
    <w:rsid w:val="00DE612A"/>
    <w:rsid w:val="00DE679B"/>
    <w:rsid w:val="00DE7B5F"/>
    <w:rsid w:val="00DF084A"/>
    <w:rsid w:val="00DF0855"/>
    <w:rsid w:val="00DF091E"/>
    <w:rsid w:val="00DF0989"/>
    <w:rsid w:val="00DF0A12"/>
    <w:rsid w:val="00DF1F0E"/>
    <w:rsid w:val="00DF261B"/>
    <w:rsid w:val="00DF2EE7"/>
    <w:rsid w:val="00DF363C"/>
    <w:rsid w:val="00DF3BC1"/>
    <w:rsid w:val="00DF3BF4"/>
    <w:rsid w:val="00DF44E7"/>
    <w:rsid w:val="00DF4DB6"/>
    <w:rsid w:val="00DF59EC"/>
    <w:rsid w:val="00DF5D02"/>
    <w:rsid w:val="00DF793D"/>
    <w:rsid w:val="00E00B45"/>
    <w:rsid w:val="00E0177A"/>
    <w:rsid w:val="00E0191B"/>
    <w:rsid w:val="00E02798"/>
    <w:rsid w:val="00E0347F"/>
    <w:rsid w:val="00E03B32"/>
    <w:rsid w:val="00E047C8"/>
    <w:rsid w:val="00E049A7"/>
    <w:rsid w:val="00E04C2B"/>
    <w:rsid w:val="00E05A49"/>
    <w:rsid w:val="00E06186"/>
    <w:rsid w:val="00E067E7"/>
    <w:rsid w:val="00E06BF8"/>
    <w:rsid w:val="00E0754E"/>
    <w:rsid w:val="00E1092F"/>
    <w:rsid w:val="00E10DC3"/>
    <w:rsid w:val="00E10DDC"/>
    <w:rsid w:val="00E114DF"/>
    <w:rsid w:val="00E11C55"/>
    <w:rsid w:val="00E14872"/>
    <w:rsid w:val="00E14C32"/>
    <w:rsid w:val="00E1502E"/>
    <w:rsid w:val="00E15EFF"/>
    <w:rsid w:val="00E167A7"/>
    <w:rsid w:val="00E16A44"/>
    <w:rsid w:val="00E17A99"/>
    <w:rsid w:val="00E204A0"/>
    <w:rsid w:val="00E209F9"/>
    <w:rsid w:val="00E21843"/>
    <w:rsid w:val="00E21A56"/>
    <w:rsid w:val="00E21E58"/>
    <w:rsid w:val="00E21EFB"/>
    <w:rsid w:val="00E22054"/>
    <w:rsid w:val="00E22249"/>
    <w:rsid w:val="00E222AF"/>
    <w:rsid w:val="00E2233E"/>
    <w:rsid w:val="00E22D9C"/>
    <w:rsid w:val="00E22D9E"/>
    <w:rsid w:val="00E23C14"/>
    <w:rsid w:val="00E24EAE"/>
    <w:rsid w:val="00E24EE2"/>
    <w:rsid w:val="00E2505F"/>
    <w:rsid w:val="00E25D8D"/>
    <w:rsid w:val="00E2687E"/>
    <w:rsid w:val="00E26AA9"/>
    <w:rsid w:val="00E26FA4"/>
    <w:rsid w:val="00E27086"/>
    <w:rsid w:val="00E272C2"/>
    <w:rsid w:val="00E300EC"/>
    <w:rsid w:val="00E302B8"/>
    <w:rsid w:val="00E30DFD"/>
    <w:rsid w:val="00E31D86"/>
    <w:rsid w:val="00E32445"/>
    <w:rsid w:val="00E330A2"/>
    <w:rsid w:val="00E35B77"/>
    <w:rsid w:val="00E35ED3"/>
    <w:rsid w:val="00E3691D"/>
    <w:rsid w:val="00E370FB"/>
    <w:rsid w:val="00E3713E"/>
    <w:rsid w:val="00E37203"/>
    <w:rsid w:val="00E3797A"/>
    <w:rsid w:val="00E37B3A"/>
    <w:rsid w:val="00E40AFD"/>
    <w:rsid w:val="00E411A6"/>
    <w:rsid w:val="00E4129B"/>
    <w:rsid w:val="00E414C0"/>
    <w:rsid w:val="00E4191F"/>
    <w:rsid w:val="00E41BA0"/>
    <w:rsid w:val="00E41C92"/>
    <w:rsid w:val="00E42166"/>
    <w:rsid w:val="00E43C4C"/>
    <w:rsid w:val="00E4436F"/>
    <w:rsid w:val="00E44766"/>
    <w:rsid w:val="00E44771"/>
    <w:rsid w:val="00E4495F"/>
    <w:rsid w:val="00E45133"/>
    <w:rsid w:val="00E455E5"/>
    <w:rsid w:val="00E457AC"/>
    <w:rsid w:val="00E46338"/>
    <w:rsid w:val="00E46A6D"/>
    <w:rsid w:val="00E47C7C"/>
    <w:rsid w:val="00E507DB"/>
    <w:rsid w:val="00E50F0E"/>
    <w:rsid w:val="00E514B4"/>
    <w:rsid w:val="00E516CA"/>
    <w:rsid w:val="00E5174A"/>
    <w:rsid w:val="00E51989"/>
    <w:rsid w:val="00E51C3C"/>
    <w:rsid w:val="00E52351"/>
    <w:rsid w:val="00E533F0"/>
    <w:rsid w:val="00E53883"/>
    <w:rsid w:val="00E53BC9"/>
    <w:rsid w:val="00E54602"/>
    <w:rsid w:val="00E5494F"/>
    <w:rsid w:val="00E54976"/>
    <w:rsid w:val="00E5519A"/>
    <w:rsid w:val="00E55B69"/>
    <w:rsid w:val="00E56103"/>
    <w:rsid w:val="00E56346"/>
    <w:rsid w:val="00E56D02"/>
    <w:rsid w:val="00E56FB2"/>
    <w:rsid w:val="00E57406"/>
    <w:rsid w:val="00E5798D"/>
    <w:rsid w:val="00E579F1"/>
    <w:rsid w:val="00E57B00"/>
    <w:rsid w:val="00E57FD9"/>
    <w:rsid w:val="00E609C1"/>
    <w:rsid w:val="00E611C5"/>
    <w:rsid w:val="00E61B26"/>
    <w:rsid w:val="00E6307D"/>
    <w:rsid w:val="00E641E1"/>
    <w:rsid w:val="00E647B1"/>
    <w:rsid w:val="00E65108"/>
    <w:rsid w:val="00E668B4"/>
    <w:rsid w:val="00E66A9C"/>
    <w:rsid w:val="00E66C14"/>
    <w:rsid w:val="00E67575"/>
    <w:rsid w:val="00E67814"/>
    <w:rsid w:val="00E67F0A"/>
    <w:rsid w:val="00E70AB5"/>
    <w:rsid w:val="00E70E6A"/>
    <w:rsid w:val="00E70F56"/>
    <w:rsid w:val="00E7249D"/>
    <w:rsid w:val="00E72768"/>
    <w:rsid w:val="00E72CD4"/>
    <w:rsid w:val="00E731F3"/>
    <w:rsid w:val="00E73EF3"/>
    <w:rsid w:val="00E74348"/>
    <w:rsid w:val="00E747D2"/>
    <w:rsid w:val="00E75575"/>
    <w:rsid w:val="00E76206"/>
    <w:rsid w:val="00E76505"/>
    <w:rsid w:val="00E76C77"/>
    <w:rsid w:val="00E76CE7"/>
    <w:rsid w:val="00E77A73"/>
    <w:rsid w:val="00E800A9"/>
    <w:rsid w:val="00E806C0"/>
    <w:rsid w:val="00E80C25"/>
    <w:rsid w:val="00E82052"/>
    <w:rsid w:val="00E829FB"/>
    <w:rsid w:val="00E832EC"/>
    <w:rsid w:val="00E839E6"/>
    <w:rsid w:val="00E84915"/>
    <w:rsid w:val="00E84C8C"/>
    <w:rsid w:val="00E84FA3"/>
    <w:rsid w:val="00E852D8"/>
    <w:rsid w:val="00E876D5"/>
    <w:rsid w:val="00E87EE7"/>
    <w:rsid w:val="00E91EF1"/>
    <w:rsid w:val="00E91F23"/>
    <w:rsid w:val="00E9232F"/>
    <w:rsid w:val="00E924BF"/>
    <w:rsid w:val="00E92B94"/>
    <w:rsid w:val="00E93BDD"/>
    <w:rsid w:val="00E944A3"/>
    <w:rsid w:val="00E944E6"/>
    <w:rsid w:val="00E94A07"/>
    <w:rsid w:val="00E94F66"/>
    <w:rsid w:val="00E9567C"/>
    <w:rsid w:val="00E9576A"/>
    <w:rsid w:val="00E958D7"/>
    <w:rsid w:val="00E96825"/>
    <w:rsid w:val="00E96A37"/>
    <w:rsid w:val="00E973E2"/>
    <w:rsid w:val="00EA01E0"/>
    <w:rsid w:val="00EA0675"/>
    <w:rsid w:val="00EA1AFD"/>
    <w:rsid w:val="00EA2382"/>
    <w:rsid w:val="00EA2A40"/>
    <w:rsid w:val="00EA2FAE"/>
    <w:rsid w:val="00EA320C"/>
    <w:rsid w:val="00EA3585"/>
    <w:rsid w:val="00EA492C"/>
    <w:rsid w:val="00EA4FE8"/>
    <w:rsid w:val="00EA5B69"/>
    <w:rsid w:val="00EA5F33"/>
    <w:rsid w:val="00EA61A0"/>
    <w:rsid w:val="00EA63C0"/>
    <w:rsid w:val="00EA644D"/>
    <w:rsid w:val="00EA7535"/>
    <w:rsid w:val="00EB015B"/>
    <w:rsid w:val="00EB094C"/>
    <w:rsid w:val="00EB098D"/>
    <w:rsid w:val="00EB1FFA"/>
    <w:rsid w:val="00EB24BF"/>
    <w:rsid w:val="00EB3C06"/>
    <w:rsid w:val="00EB3D92"/>
    <w:rsid w:val="00EB3EC8"/>
    <w:rsid w:val="00EB48DB"/>
    <w:rsid w:val="00EB51CD"/>
    <w:rsid w:val="00EB5893"/>
    <w:rsid w:val="00EB6177"/>
    <w:rsid w:val="00EB690A"/>
    <w:rsid w:val="00EB7008"/>
    <w:rsid w:val="00EB70C5"/>
    <w:rsid w:val="00EB7162"/>
    <w:rsid w:val="00EC00BC"/>
    <w:rsid w:val="00EC01EC"/>
    <w:rsid w:val="00EC0469"/>
    <w:rsid w:val="00EC14B8"/>
    <w:rsid w:val="00EC1E80"/>
    <w:rsid w:val="00EC215D"/>
    <w:rsid w:val="00EC300C"/>
    <w:rsid w:val="00EC30A2"/>
    <w:rsid w:val="00EC313B"/>
    <w:rsid w:val="00EC3613"/>
    <w:rsid w:val="00EC419B"/>
    <w:rsid w:val="00EC4331"/>
    <w:rsid w:val="00EC65EF"/>
    <w:rsid w:val="00EC7053"/>
    <w:rsid w:val="00ED066B"/>
    <w:rsid w:val="00ED0CE0"/>
    <w:rsid w:val="00ED1636"/>
    <w:rsid w:val="00ED1810"/>
    <w:rsid w:val="00ED2035"/>
    <w:rsid w:val="00ED3A58"/>
    <w:rsid w:val="00ED4138"/>
    <w:rsid w:val="00ED5435"/>
    <w:rsid w:val="00ED6207"/>
    <w:rsid w:val="00ED6829"/>
    <w:rsid w:val="00ED68E5"/>
    <w:rsid w:val="00ED690A"/>
    <w:rsid w:val="00ED6963"/>
    <w:rsid w:val="00ED6BED"/>
    <w:rsid w:val="00EE0CB4"/>
    <w:rsid w:val="00EE3CA5"/>
    <w:rsid w:val="00EE4058"/>
    <w:rsid w:val="00EE5B90"/>
    <w:rsid w:val="00EE62D8"/>
    <w:rsid w:val="00EE64F8"/>
    <w:rsid w:val="00EF0586"/>
    <w:rsid w:val="00EF0CDA"/>
    <w:rsid w:val="00EF1617"/>
    <w:rsid w:val="00EF1DC3"/>
    <w:rsid w:val="00EF1E15"/>
    <w:rsid w:val="00EF2FB1"/>
    <w:rsid w:val="00EF3B91"/>
    <w:rsid w:val="00EF42B2"/>
    <w:rsid w:val="00EF4657"/>
    <w:rsid w:val="00EF5321"/>
    <w:rsid w:val="00EF55F8"/>
    <w:rsid w:val="00EF5DA3"/>
    <w:rsid w:val="00F0003A"/>
    <w:rsid w:val="00F006DD"/>
    <w:rsid w:val="00F00750"/>
    <w:rsid w:val="00F015F1"/>
    <w:rsid w:val="00F0176A"/>
    <w:rsid w:val="00F01911"/>
    <w:rsid w:val="00F0200C"/>
    <w:rsid w:val="00F02BF1"/>
    <w:rsid w:val="00F030B1"/>
    <w:rsid w:val="00F03FF4"/>
    <w:rsid w:val="00F05254"/>
    <w:rsid w:val="00F052F9"/>
    <w:rsid w:val="00F057F8"/>
    <w:rsid w:val="00F06FFC"/>
    <w:rsid w:val="00F0725B"/>
    <w:rsid w:val="00F104C5"/>
    <w:rsid w:val="00F1079F"/>
    <w:rsid w:val="00F110B1"/>
    <w:rsid w:val="00F119CF"/>
    <w:rsid w:val="00F11F08"/>
    <w:rsid w:val="00F14361"/>
    <w:rsid w:val="00F1450B"/>
    <w:rsid w:val="00F15310"/>
    <w:rsid w:val="00F1545F"/>
    <w:rsid w:val="00F15541"/>
    <w:rsid w:val="00F15B5A"/>
    <w:rsid w:val="00F15F67"/>
    <w:rsid w:val="00F16579"/>
    <w:rsid w:val="00F16DC0"/>
    <w:rsid w:val="00F16F30"/>
    <w:rsid w:val="00F1758F"/>
    <w:rsid w:val="00F175E9"/>
    <w:rsid w:val="00F17913"/>
    <w:rsid w:val="00F20010"/>
    <w:rsid w:val="00F20645"/>
    <w:rsid w:val="00F2090B"/>
    <w:rsid w:val="00F2091A"/>
    <w:rsid w:val="00F20AD5"/>
    <w:rsid w:val="00F216CC"/>
    <w:rsid w:val="00F223D6"/>
    <w:rsid w:val="00F231C3"/>
    <w:rsid w:val="00F2326A"/>
    <w:rsid w:val="00F239EB"/>
    <w:rsid w:val="00F2452E"/>
    <w:rsid w:val="00F247A9"/>
    <w:rsid w:val="00F24A51"/>
    <w:rsid w:val="00F259F4"/>
    <w:rsid w:val="00F2603D"/>
    <w:rsid w:val="00F262C6"/>
    <w:rsid w:val="00F2684F"/>
    <w:rsid w:val="00F26AF7"/>
    <w:rsid w:val="00F26B84"/>
    <w:rsid w:val="00F27B5E"/>
    <w:rsid w:val="00F307D4"/>
    <w:rsid w:val="00F307D5"/>
    <w:rsid w:val="00F30B0A"/>
    <w:rsid w:val="00F30CB7"/>
    <w:rsid w:val="00F31A67"/>
    <w:rsid w:val="00F32113"/>
    <w:rsid w:val="00F324B4"/>
    <w:rsid w:val="00F32B72"/>
    <w:rsid w:val="00F3335F"/>
    <w:rsid w:val="00F334B4"/>
    <w:rsid w:val="00F335D1"/>
    <w:rsid w:val="00F350E7"/>
    <w:rsid w:val="00F3521F"/>
    <w:rsid w:val="00F3523E"/>
    <w:rsid w:val="00F35D14"/>
    <w:rsid w:val="00F36A4E"/>
    <w:rsid w:val="00F36B22"/>
    <w:rsid w:val="00F37236"/>
    <w:rsid w:val="00F37296"/>
    <w:rsid w:val="00F37380"/>
    <w:rsid w:val="00F40299"/>
    <w:rsid w:val="00F4114C"/>
    <w:rsid w:val="00F419F5"/>
    <w:rsid w:val="00F41D97"/>
    <w:rsid w:val="00F42042"/>
    <w:rsid w:val="00F42138"/>
    <w:rsid w:val="00F4249F"/>
    <w:rsid w:val="00F42E6D"/>
    <w:rsid w:val="00F42E92"/>
    <w:rsid w:val="00F4318D"/>
    <w:rsid w:val="00F43475"/>
    <w:rsid w:val="00F4388A"/>
    <w:rsid w:val="00F43BD7"/>
    <w:rsid w:val="00F442B4"/>
    <w:rsid w:val="00F4481B"/>
    <w:rsid w:val="00F464D0"/>
    <w:rsid w:val="00F4749D"/>
    <w:rsid w:val="00F47A6A"/>
    <w:rsid w:val="00F51367"/>
    <w:rsid w:val="00F51A8D"/>
    <w:rsid w:val="00F51CBD"/>
    <w:rsid w:val="00F52303"/>
    <w:rsid w:val="00F532AB"/>
    <w:rsid w:val="00F54533"/>
    <w:rsid w:val="00F5499A"/>
    <w:rsid w:val="00F5562C"/>
    <w:rsid w:val="00F55841"/>
    <w:rsid w:val="00F559D5"/>
    <w:rsid w:val="00F56562"/>
    <w:rsid w:val="00F56AD3"/>
    <w:rsid w:val="00F571AF"/>
    <w:rsid w:val="00F57793"/>
    <w:rsid w:val="00F60B7D"/>
    <w:rsid w:val="00F61CEF"/>
    <w:rsid w:val="00F621BB"/>
    <w:rsid w:val="00F622A0"/>
    <w:rsid w:val="00F62725"/>
    <w:rsid w:val="00F6372F"/>
    <w:rsid w:val="00F63953"/>
    <w:rsid w:val="00F63C8C"/>
    <w:rsid w:val="00F641B7"/>
    <w:rsid w:val="00F6497B"/>
    <w:rsid w:val="00F64B5D"/>
    <w:rsid w:val="00F64C09"/>
    <w:rsid w:val="00F6510F"/>
    <w:rsid w:val="00F6536B"/>
    <w:rsid w:val="00F657A7"/>
    <w:rsid w:val="00F65DD2"/>
    <w:rsid w:val="00F67492"/>
    <w:rsid w:val="00F67852"/>
    <w:rsid w:val="00F67E32"/>
    <w:rsid w:val="00F70AE2"/>
    <w:rsid w:val="00F70C90"/>
    <w:rsid w:val="00F7102F"/>
    <w:rsid w:val="00F710EF"/>
    <w:rsid w:val="00F7128C"/>
    <w:rsid w:val="00F71CE2"/>
    <w:rsid w:val="00F725F8"/>
    <w:rsid w:val="00F72D14"/>
    <w:rsid w:val="00F73572"/>
    <w:rsid w:val="00F73975"/>
    <w:rsid w:val="00F73FA0"/>
    <w:rsid w:val="00F756A2"/>
    <w:rsid w:val="00F76063"/>
    <w:rsid w:val="00F76687"/>
    <w:rsid w:val="00F7696A"/>
    <w:rsid w:val="00F76C12"/>
    <w:rsid w:val="00F806D3"/>
    <w:rsid w:val="00F81285"/>
    <w:rsid w:val="00F817EB"/>
    <w:rsid w:val="00F82A87"/>
    <w:rsid w:val="00F840F3"/>
    <w:rsid w:val="00F844E5"/>
    <w:rsid w:val="00F8488C"/>
    <w:rsid w:val="00F84E59"/>
    <w:rsid w:val="00F85535"/>
    <w:rsid w:val="00F85AF4"/>
    <w:rsid w:val="00F86092"/>
    <w:rsid w:val="00F865FD"/>
    <w:rsid w:val="00F86BAF"/>
    <w:rsid w:val="00F90255"/>
    <w:rsid w:val="00F9025C"/>
    <w:rsid w:val="00F90548"/>
    <w:rsid w:val="00F91028"/>
    <w:rsid w:val="00F9184A"/>
    <w:rsid w:val="00F91E5D"/>
    <w:rsid w:val="00F92621"/>
    <w:rsid w:val="00F929BD"/>
    <w:rsid w:val="00F92DE8"/>
    <w:rsid w:val="00F92EA7"/>
    <w:rsid w:val="00F933EA"/>
    <w:rsid w:val="00F93450"/>
    <w:rsid w:val="00F934F3"/>
    <w:rsid w:val="00F93825"/>
    <w:rsid w:val="00F93B27"/>
    <w:rsid w:val="00F95D7E"/>
    <w:rsid w:val="00F96F19"/>
    <w:rsid w:val="00F97500"/>
    <w:rsid w:val="00F978DA"/>
    <w:rsid w:val="00F97AC6"/>
    <w:rsid w:val="00F97F9A"/>
    <w:rsid w:val="00FA0162"/>
    <w:rsid w:val="00FA09F0"/>
    <w:rsid w:val="00FA0EAF"/>
    <w:rsid w:val="00FA2C6C"/>
    <w:rsid w:val="00FA300D"/>
    <w:rsid w:val="00FA485F"/>
    <w:rsid w:val="00FA4DD8"/>
    <w:rsid w:val="00FA5692"/>
    <w:rsid w:val="00FA5B11"/>
    <w:rsid w:val="00FA5E1D"/>
    <w:rsid w:val="00FA659E"/>
    <w:rsid w:val="00FA6BE0"/>
    <w:rsid w:val="00FA7CCB"/>
    <w:rsid w:val="00FB132D"/>
    <w:rsid w:val="00FB1E02"/>
    <w:rsid w:val="00FB23FB"/>
    <w:rsid w:val="00FB39C4"/>
    <w:rsid w:val="00FB4266"/>
    <w:rsid w:val="00FB4CF1"/>
    <w:rsid w:val="00FB4F3A"/>
    <w:rsid w:val="00FB5ECA"/>
    <w:rsid w:val="00FB6486"/>
    <w:rsid w:val="00FB69EA"/>
    <w:rsid w:val="00FB6C2D"/>
    <w:rsid w:val="00FB6D55"/>
    <w:rsid w:val="00FB6ECC"/>
    <w:rsid w:val="00FB70DE"/>
    <w:rsid w:val="00FC02B6"/>
    <w:rsid w:val="00FC0BA3"/>
    <w:rsid w:val="00FC237F"/>
    <w:rsid w:val="00FC261B"/>
    <w:rsid w:val="00FC2EEF"/>
    <w:rsid w:val="00FC404C"/>
    <w:rsid w:val="00FC4C5B"/>
    <w:rsid w:val="00FC4E5C"/>
    <w:rsid w:val="00FC584C"/>
    <w:rsid w:val="00FC5942"/>
    <w:rsid w:val="00FC5AAF"/>
    <w:rsid w:val="00FC605C"/>
    <w:rsid w:val="00FC7634"/>
    <w:rsid w:val="00FC7E59"/>
    <w:rsid w:val="00FD1005"/>
    <w:rsid w:val="00FD120D"/>
    <w:rsid w:val="00FD1973"/>
    <w:rsid w:val="00FD2171"/>
    <w:rsid w:val="00FD2535"/>
    <w:rsid w:val="00FD2B71"/>
    <w:rsid w:val="00FD3183"/>
    <w:rsid w:val="00FD3897"/>
    <w:rsid w:val="00FD38CE"/>
    <w:rsid w:val="00FD38DA"/>
    <w:rsid w:val="00FD3A99"/>
    <w:rsid w:val="00FD40EA"/>
    <w:rsid w:val="00FD49EE"/>
    <w:rsid w:val="00FD56B5"/>
    <w:rsid w:val="00FD57BA"/>
    <w:rsid w:val="00FE078D"/>
    <w:rsid w:val="00FE120E"/>
    <w:rsid w:val="00FE1BEE"/>
    <w:rsid w:val="00FE2AD6"/>
    <w:rsid w:val="00FE2E9E"/>
    <w:rsid w:val="00FE2EC0"/>
    <w:rsid w:val="00FE30E2"/>
    <w:rsid w:val="00FE336C"/>
    <w:rsid w:val="00FE36C5"/>
    <w:rsid w:val="00FE466E"/>
    <w:rsid w:val="00FE4797"/>
    <w:rsid w:val="00FE47BF"/>
    <w:rsid w:val="00FE4898"/>
    <w:rsid w:val="00FE4FE8"/>
    <w:rsid w:val="00FE533C"/>
    <w:rsid w:val="00FE53AB"/>
    <w:rsid w:val="00FE553D"/>
    <w:rsid w:val="00FE600C"/>
    <w:rsid w:val="00FE62C7"/>
    <w:rsid w:val="00FE6BDD"/>
    <w:rsid w:val="00FE7163"/>
    <w:rsid w:val="00FE7857"/>
    <w:rsid w:val="00FE7E4C"/>
    <w:rsid w:val="00FF106F"/>
    <w:rsid w:val="00FF25A2"/>
    <w:rsid w:val="00FF2D2B"/>
    <w:rsid w:val="00FF310D"/>
    <w:rsid w:val="00FF3B2F"/>
    <w:rsid w:val="00FF51CE"/>
    <w:rsid w:val="00FF535C"/>
    <w:rsid w:val="00FF575B"/>
    <w:rsid w:val="00FF5AA9"/>
    <w:rsid w:val="00FF5DD6"/>
    <w:rsid w:val="00FF679D"/>
    <w:rsid w:val="00FF72B0"/>
    <w:rsid w:val="0181435B"/>
    <w:rsid w:val="01E625F2"/>
    <w:rsid w:val="0246D2B7"/>
    <w:rsid w:val="02493A59"/>
    <w:rsid w:val="02AC4763"/>
    <w:rsid w:val="03080AA7"/>
    <w:rsid w:val="030AF1A9"/>
    <w:rsid w:val="032C42B7"/>
    <w:rsid w:val="034DC9C8"/>
    <w:rsid w:val="0350854B"/>
    <w:rsid w:val="0398629F"/>
    <w:rsid w:val="03BCAE78"/>
    <w:rsid w:val="03C4B2F0"/>
    <w:rsid w:val="03D8F1F8"/>
    <w:rsid w:val="042593B6"/>
    <w:rsid w:val="0457B851"/>
    <w:rsid w:val="046DE2B9"/>
    <w:rsid w:val="0491A2A7"/>
    <w:rsid w:val="04A95A81"/>
    <w:rsid w:val="04F85B86"/>
    <w:rsid w:val="051DD65B"/>
    <w:rsid w:val="053269AC"/>
    <w:rsid w:val="05419402"/>
    <w:rsid w:val="05525FEB"/>
    <w:rsid w:val="05654A7A"/>
    <w:rsid w:val="056A18B7"/>
    <w:rsid w:val="057A4EA6"/>
    <w:rsid w:val="0582C1C7"/>
    <w:rsid w:val="058CEA9B"/>
    <w:rsid w:val="05A2EA61"/>
    <w:rsid w:val="05CEA418"/>
    <w:rsid w:val="05D4AF6A"/>
    <w:rsid w:val="06032320"/>
    <w:rsid w:val="0611AE7C"/>
    <w:rsid w:val="063B8C23"/>
    <w:rsid w:val="06401020"/>
    <w:rsid w:val="06C030C7"/>
    <w:rsid w:val="06C25037"/>
    <w:rsid w:val="06C9D7F7"/>
    <w:rsid w:val="06F7274A"/>
    <w:rsid w:val="07599182"/>
    <w:rsid w:val="07CB2808"/>
    <w:rsid w:val="08140EA5"/>
    <w:rsid w:val="083A7596"/>
    <w:rsid w:val="08882482"/>
    <w:rsid w:val="08A411D2"/>
    <w:rsid w:val="08D6A44F"/>
    <w:rsid w:val="08E7424F"/>
    <w:rsid w:val="08EB7FDD"/>
    <w:rsid w:val="09084F09"/>
    <w:rsid w:val="09124333"/>
    <w:rsid w:val="091957E2"/>
    <w:rsid w:val="092280FE"/>
    <w:rsid w:val="0930DBDE"/>
    <w:rsid w:val="09416336"/>
    <w:rsid w:val="094D2E94"/>
    <w:rsid w:val="097EDC90"/>
    <w:rsid w:val="09A01737"/>
    <w:rsid w:val="09DB11E1"/>
    <w:rsid w:val="09E5A7D8"/>
    <w:rsid w:val="0A136E0B"/>
    <w:rsid w:val="0A48E69D"/>
    <w:rsid w:val="0A4C9A4C"/>
    <w:rsid w:val="0A73A038"/>
    <w:rsid w:val="0A82B708"/>
    <w:rsid w:val="0AC80F0D"/>
    <w:rsid w:val="0AD24E34"/>
    <w:rsid w:val="0B03E205"/>
    <w:rsid w:val="0B3677A1"/>
    <w:rsid w:val="0B4BCF45"/>
    <w:rsid w:val="0B4C9599"/>
    <w:rsid w:val="0B5513EB"/>
    <w:rsid w:val="0B64412A"/>
    <w:rsid w:val="0B80A384"/>
    <w:rsid w:val="0B913B18"/>
    <w:rsid w:val="0BA31391"/>
    <w:rsid w:val="0BAAB4BD"/>
    <w:rsid w:val="0BB6C8A1"/>
    <w:rsid w:val="0BBAF2E9"/>
    <w:rsid w:val="0BF7B4A8"/>
    <w:rsid w:val="0BFF9FEC"/>
    <w:rsid w:val="0C114CA2"/>
    <w:rsid w:val="0C1D4BB7"/>
    <w:rsid w:val="0C2BE14E"/>
    <w:rsid w:val="0C380324"/>
    <w:rsid w:val="0C8FB6FC"/>
    <w:rsid w:val="0C9DBDEE"/>
    <w:rsid w:val="0CA11F1A"/>
    <w:rsid w:val="0CC11F7D"/>
    <w:rsid w:val="0D70D1E2"/>
    <w:rsid w:val="0DA36000"/>
    <w:rsid w:val="0DB291E1"/>
    <w:rsid w:val="0DE9C778"/>
    <w:rsid w:val="0E00CC41"/>
    <w:rsid w:val="0E094EC7"/>
    <w:rsid w:val="0E2357A0"/>
    <w:rsid w:val="0E296CEE"/>
    <w:rsid w:val="0E575DA8"/>
    <w:rsid w:val="0E59E4CD"/>
    <w:rsid w:val="0E5C770B"/>
    <w:rsid w:val="0E6D1CA4"/>
    <w:rsid w:val="0E900C73"/>
    <w:rsid w:val="0EAE1EC8"/>
    <w:rsid w:val="0EBEF12C"/>
    <w:rsid w:val="0EDEDB88"/>
    <w:rsid w:val="0EECDD07"/>
    <w:rsid w:val="0F0DEFB0"/>
    <w:rsid w:val="0F396FEA"/>
    <w:rsid w:val="0F3F870F"/>
    <w:rsid w:val="0F65377E"/>
    <w:rsid w:val="0F73CF87"/>
    <w:rsid w:val="0F97F63B"/>
    <w:rsid w:val="10A35A31"/>
    <w:rsid w:val="10AEDACB"/>
    <w:rsid w:val="10C72624"/>
    <w:rsid w:val="1100BEE8"/>
    <w:rsid w:val="11198CD5"/>
    <w:rsid w:val="111CDB31"/>
    <w:rsid w:val="111E9EFD"/>
    <w:rsid w:val="119DFAD6"/>
    <w:rsid w:val="11AE76DB"/>
    <w:rsid w:val="12725E4D"/>
    <w:rsid w:val="1290269B"/>
    <w:rsid w:val="12CE79C6"/>
    <w:rsid w:val="12F968D7"/>
    <w:rsid w:val="130645D0"/>
    <w:rsid w:val="133668CD"/>
    <w:rsid w:val="1394FA1B"/>
    <w:rsid w:val="139924E3"/>
    <w:rsid w:val="13A53E2F"/>
    <w:rsid w:val="13ABC991"/>
    <w:rsid w:val="13B46D13"/>
    <w:rsid w:val="13B49EB3"/>
    <w:rsid w:val="13B79833"/>
    <w:rsid w:val="13C08474"/>
    <w:rsid w:val="13E403C3"/>
    <w:rsid w:val="13E9A164"/>
    <w:rsid w:val="13FB454A"/>
    <w:rsid w:val="1402016D"/>
    <w:rsid w:val="14B21AAA"/>
    <w:rsid w:val="14B44883"/>
    <w:rsid w:val="14CC5A2D"/>
    <w:rsid w:val="14DE6562"/>
    <w:rsid w:val="1519F7E3"/>
    <w:rsid w:val="15255021"/>
    <w:rsid w:val="1530832D"/>
    <w:rsid w:val="153700EB"/>
    <w:rsid w:val="153870C1"/>
    <w:rsid w:val="153A827F"/>
    <w:rsid w:val="153BEDCB"/>
    <w:rsid w:val="1540BB56"/>
    <w:rsid w:val="155161D7"/>
    <w:rsid w:val="15811C2E"/>
    <w:rsid w:val="15883750"/>
    <w:rsid w:val="159957A7"/>
    <w:rsid w:val="159B7FA2"/>
    <w:rsid w:val="15A59ADF"/>
    <w:rsid w:val="15B4231F"/>
    <w:rsid w:val="15BC8CC6"/>
    <w:rsid w:val="15DA2A73"/>
    <w:rsid w:val="15DEC329"/>
    <w:rsid w:val="16085D07"/>
    <w:rsid w:val="161DC0C7"/>
    <w:rsid w:val="16460264"/>
    <w:rsid w:val="16788E6F"/>
    <w:rsid w:val="16A46538"/>
    <w:rsid w:val="16AADF93"/>
    <w:rsid w:val="16B24861"/>
    <w:rsid w:val="1713AFC4"/>
    <w:rsid w:val="174677DB"/>
    <w:rsid w:val="1784F644"/>
    <w:rsid w:val="1794387A"/>
    <w:rsid w:val="17973F89"/>
    <w:rsid w:val="17B76848"/>
    <w:rsid w:val="17D56A35"/>
    <w:rsid w:val="17F3F7EC"/>
    <w:rsid w:val="1826D92A"/>
    <w:rsid w:val="18893E98"/>
    <w:rsid w:val="18894C83"/>
    <w:rsid w:val="188CCF98"/>
    <w:rsid w:val="1919A1C9"/>
    <w:rsid w:val="191AB6EB"/>
    <w:rsid w:val="19341A8A"/>
    <w:rsid w:val="19472A16"/>
    <w:rsid w:val="194F8CE4"/>
    <w:rsid w:val="195C2B7C"/>
    <w:rsid w:val="19BAF65A"/>
    <w:rsid w:val="19D492F7"/>
    <w:rsid w:val="1A0A3E7C"/>
    <w:rsid w:val="1A3394EB"/>
    <w:rsid w:val="1A41674B"/>
    <w:rsid w:val="1A8B2438"/>
    <w:rsid w:val="1A9491F1"/>
    <w:rsid w:val="1AA70717"/>
    <w:rsid w:val="1ABE6983"/>
    <w:rsid w:val="1AF86B54"/>
    <w:rsid w:val="1B0F3559"/>
    <w:rsid w:val="1B47277A"/>
    <w:rsid w:val="1B473AC7"/>
    <w:rsid w:val="1B8817D1"/>
    <w:rsid w:val="1B9498E5"/>
    <w:rsid w:val="1B9DE492"/>
    <w:rsid w:val="1BA14A3E"/>
    <w:rsid w:val="1BA2B948"/>
    <w:rsid w:val="1BAFEB6B"/>
    <w:rsid w:val="1BBA55F9"/>
    <w:rsid w:val="1BBB6513"/>
    <w:rsid w:val="1BC91DEC"/>
    <w:rsid w:val="1BC9BC09"/>
    <w:rsid w:val="1BCBBFB3"/>
    <w:rsid w:val="1BE016B9"/>
    <w:rsid w:val="1BEC2868"/>
    <w:rsid w:val="1C183BA5"/>
    <w:rsid w:val="1C3D19BA"/>
    <w:rsid w:val="1C5E066B"/>
    <w:rsid w:val="1C613AD2"/>
    <w:rsid w:val="1C78A708"/>
    <w:rsid w:val="1C7D5E98"/>
    <w:rsid w:val="1CA38BDF"/>
    <w:rsid w:val="1CADD203"/>
    <w:rsid w:val="1CCEC47E"/>
    <w:rsid w:val="1D20EA97"/>
    <w:rsid w:val="1D45F1C6"/>
    <w:rsid w:val="1D7BAB5C"/>
    <w:rsid w:val="1D8ADF77"/>
    <w:rsid w:val="1DAF8741"/>
    <w:rsid w:val="1DB9CCD2"/>
    <w:rsid w:val="1DC5EFC1"/>
    <w:rsid w:val="1DD6CAB0"/>
    <w:rsid w:val="1DEE4D26"/>
    <w:rsid w:val="1DFBFA30"/>
    <w:rsid w:val="1E0828FD"/>
    <w:rsid w:val="1E299E3F"/>
    <w:rsid w:val="1E36BFFA"/>
    <w:rsid w:val="1E48D57A"/>
    <w:rsid w:val="1E4964E4"/>
    <w:rsid w:val="1E83BBB1"/>
    <w:rsid w:val="1ED4091E"/>
    <w:rsid w:val="1ED5CFDD"/>
    <w:rsid w:val="1EDAB4AB"/>
    <w:rsid w:val="1EFC2DDE"/>
    <w:rsid w:val="1F041A84"/>
    <w:rsid w:val="1F0FD171"/>
    <w:rsid w:val="1F375426"/>
    <w:rsid w:val="1F88D3DA"/>
    <w:rsid w:val="1F8B92A5"/>
    <w:rsid w:val="1F96F54B"/>
    <w:rsid w:val="1FC84530"/>
    <w:rsid w:val="1FC9A093"/>
    <w:rsid w:val="1FFC0969"/>
    <w:rsid w:val="1FFF93B4"/>
    <w:rsid w:val="200FC549"/>
    <w:rsid w:val="20332B84"/>
    <w:rsid w:val="204007D1"/>
    <w:rsid w:val="2041024C"/>
    <w:rsid w:val="207C2547"/>
    <w:rsid w:val="20825AD6"/>
    <w:rsid w:val="20B978F7"/>
    <w:rsid w:val="20BEC6BE"/>
    <w:rsid w:val="20EBBA0F"/>
    <w:rsid w:val="21068C60"/>
    <w:rsid w:val="21104F5B"/>
    <w:rsid w:val="2113393E"/>
    <w:rsid w:val="211BB98F"/>
    <w:rsid w:val="214F3859"/>
    <w:rsid w:val="21541582"/>
    <w:rsid w:val="21586243"/>
    <w:rsid w:val="215B4A03"/>
    <w:rsid w:val="21ED702D"/>
    <w:rsid w:val="2250C703"/>
    <w:rsid w:val="225F18CB"/>
    <w:rsid w:val="22AD9A9E"/>
    <w:rsid w:val="22B1540F"/>
    <w:rsid w:val="22C5AB7A"/>
    <w:rsid w:val="230AF355"/>
    <w:rsid w:val="2335E318"/>
    <w:rsid w:val="235D8147"/>
    <w:rsid w:val="23747652"/>
    <w:rsid w:val="237D59E4"/>
    <w:rsid w:val="2387D4E7"/>
    <w:rsid w:val="2395D27D"/>
    <w:rsid w:val="23998965"/>
    <w:rsid w:val="23E80333"/>
    <w:rsid w:val="23F80EF9"/>
    <w:rsid w:val="242D1FFA"/>
    <w:rsid w:val="2445A8B3"/>
    <w:rsid w:val="246DE9BA"/>
    <w:rsid w:val="24D91F40"/>
    <w:rsid w:val="24E8BC5D"/>
    <w:rsid w:val="24E8F1CB"/>
    <w:rsid w:val="24EBBB3C"/>
    <w:rsid w:val="250FC8EF"/>
    <w:rsid w:val="2511D3A4"/>
    <w:rsid w:val="2534455E"/>
    <w:rsid w:val="2576E23B"/>
    <w:rsid w:val="2584C52D"/>
    <w:rsid w:val="25876578"/>
    <w:rsid w:val="259B7651"/>
    <w:rsid w:val="259E4E38"/>
    <w:rsid w:val="25B7804F"/>
    <w:rsid w:val="2626403B"/>
    <w:rsid w:val="2642EE2C"/>
    <w:rsid w:val="264FDBD6"/>
    <w:rsid w:val="265260F1"/>
    <w:rsid w:val="2653ED5E"/>
    <w:rsid w:val="2665566E"/>
    <w:rsid w:val="266E2800"/>
    <w:rsid w:val="2677229E"/>
    <w:rsid w:val="26866445"/>
    <w:rsid w:val="26AE8049"/>
    <w:rsid w:val="26F02CBF"/>
    <w:rsid w:val="273795D8"/>
    <w:rsid w:val="2748537F"/>
    <w:rsid w:val="27827FEB"/>
    <w:rsid w:val="27BC4E98"/>
    <w:rsid w:val="27C7977A"/>
    <w:rsid w:val="27C8028E"/>
    <w:rsid w:val="27CF5DC2"/>
    <w:rsid w:val="27DD3B14"/>
    <w:rsid w:val="27F79EAD"/>
    <w:rsid w:val="28068EA5"/>
    <w:rsid w:val="282C1B9B"/>
    <w:rsid w:val="2836830D"/>
    <w:rsid w:val="283E09AF"/>
    <w:rsid w:val="286C1885"/>
    <w:rsid w:val="2896B373"/>
    <w:rsid w:val="28A08E94"/>
    <w:rsid w:val="28FF66F5"/>
    <w:rsid w:val="290CDEDC"/>
    <w:rsid w:val="2927C0D3"/>
    <w:rsid w:val="29408911"/>
    <w:rsid w:val="296ED083"/>
    <w:rsid w:val="2989B857"/>
    <w:rsid w:val="299E9C73"/>
    <w:rsid w:val="29B211CC"/>
    <w:rsid w:val="29C1FF15"/>
    <w:rsid w:val="29CA874C"/>
    <w:rsid w:val="2A139F7C"/>
    <w:rsid w:val="2A48007C"/>
    <w:rsid w:val="2A60B3A1"/>
    <w:rsid w:val="2A799041"/>
    <w:rsid w:val="2ADAF60C"/>
    <w:rsid w:val="2AF52A80"/>
    <w:rsid w:val="2B06A942"/>
    <w:rsid w:val="2B194F71"/>
    <w:rsid w:val="2B5AF617"/>
    <w:rsid w:val="2B75DAA8"/>
    <w:rsid w:val="2BC9D1BE"/>
    <w:rsid w:val="2BCAD221"/>
    <w:rsid w:val="2BF1B0C8"/>
    <w:rsid w:val="2C2EB81F"/>
    <w:rsid w:val="2CAC544B"/>
    <w:rsid w:val="2CCB3D10"/>
    <w:rsid w:val="2CD10071"/>
    <w:rsid w:val="2CE1836F"/>
    <w:rsid w:val="2D20EE8A"/>
    <w:rsid w:val="2D302746"/>
    <w:rsid w:val="2D444BAC"/>
    <w:rsid w:val="2D716A5C"/>
    <w:rsid w:val="2DA2BCBC"/>
    <w:rsid w:val="2DAFAB63"/>
    <w:rsid w:val="2DF1EC99"/>
    <w:rsid w:val="2E077826"/>
    <w:rsid w:val="2E1B3DA5"/>
    <w:rsid w:val="2E28E9E6"/>
    <w:rsid w:val="2E2B9BDD"/>
    <w:rsid w:val="2E309224"/>
    <w:rsid w:val="2E3811DE"/>
    <w:rsid w:val="2E3EA846"/>
    <w:rsid w:val="2E4EBE6A"/>
    <w:rsid w:val="2E83B328"/>
    <w:rsid w:val="2E9EBA4F"/>
    <w:rsid w:val="2EB93061"/>
    <w:rsid w:val="2EC3FAA5"/>
    <w:rsid w:val="2ECBC490"/>
    <w:rsid w:val="2EE37410"/>
    <w:rsid w:val="2EEFBD7F"/>
    <w:rsid w:val="2F43869D"/>
    <w:rsid w:val="2F4A4808"/>
    <w:rsid w:val="2F4DD82B"/>
    <w:rsid w:val="2FAE3DCF"/>
    <w:rsid w:val="303A556B"/>
    <w:rsid w:val="3070442C"/>
    <w:rsid w:val="307E4C73"/>
    <w:rsid w:val="3088287F"/>
    <w:rsid w:val="30AB250C"/>
    <w:rsid w:val="30AB394C"/>
    <w:rsid w:val="30E10097"/>
    <w:rsid w:val="30ED704B"/>
    <w:rsid w:val="30F305E7"/>
    <w:rsid w:val="311CC72D"/>
    <w:rsid w:val="311E2C93"/>
    <w:rsid w:val="31234084"/>
    <w:rsid w:val="3124703F"/>
    <w:rsid w:val="316BA4EF"/>
    <w:rsid w:val="317A34DF"/>
    <w:rsid w:val="318023B9"/>
    <w:rsid w:val="3196B5C7"/>
    <w:rsid w:val="31A33BDB"/>
    <w:rsid w:val="31DED3A2"/>
    <w:rsid w:val="324BD9A3"/>
    <w:rsid w:val="324CFF2C"/>
    <w:rsid w:val="328AB70D"/>
    <w:rsid w:val="32BF9B84"/>
    <w:rsid w:val="32C65F39"/>
    <w:rsid w:val="32C67D46"/>
    <w:rsid w:val="32DEEA77"/>
    <w:rsid w:val="32F323C4"/>
    <w:rsid w:val="330F6D65"/>
    <w:rsid w:val="33280D1A"/>
    <w:rsid w:val="3336612B"/>
    <w:rsid w:val="336B0759"/>
    <w:rsid w:val="33731B15"/>
    <w:rsid w:val="3373B3B4"/>
    <w:rsid w:val="33BAE9C4"/>
    <w:rsid w:val="33CE051A"/>
    <w:rsid w:val="33DF566D"/>
    <w:rsid w:val="33E19E0A"/>
    <w:rsid w:val="34075138"/>
    <w:rsid w:val="3412D3AC"/>
    <w:rsid w:val="3415416D"/>
    <w:rsid w:val="342720FE"/>
    <w:rsid w:val="344E8152"/>
    <w:rsid w:val="3450AAB2"/>
    <w:rsid w:val="34573AC4"/>
    <w:rsid w:val="3465C753"/>
    <w:rsid w:val="34686FC6"/>
    <w:rsid w:val="346B80CD"/>
    <w:rsid w:val="346C18E5"/>
    <w:rsid w:val="346E53B7"/>
    <w:rsid w:val="34A4AE35"/>
    <w:rsid w:val="34A79469"/>
    <w:rsid w:val="34AFC0F0"/>
    <w:rsid w:val="34E0956F"/>
    <w:rsid w:val="35446797"/>
    <w:rsid w:val="354B8BA6"/>
    <w:rsid w:val="3551DDF0"/>
    <w:rsid w:val="35666F40"/>
    <w:rsid w:val="3570DBB5"/>
    <w:rsid w:val="35751684"/>
    <w:rsid w:val="35974722"/>
    <w:rsid w:val="35C666AE"/>
    <w:rsid w:val="35D17A35"/>
    <w:rsid w:val="35D75B1A"/>
    <w:rsid w:val="35DAFC15"/>
    <w:rsid w:val="35DE0109"/>
    <w:rsid w:val="35E62422"/>
    <w:rsid w:val="35E674D3"/>
    <w:rsid w:val="3606190A"/>
    <w:rsid w:val="3644F699"/>
    <w:rsid w:val="36464327"/>
    <w:rsid w:val="36535A3D"/>
    <w:rsid w:val="365EB61D"/>
    <w:rsid w:val="368B47AD"/>
    <w:rsid w:val="369B1CB1"/>
    <w:rsid w:val="36A0C135"/>
    <w:rsid w:val="36A7BF2C"/>
    <w:rsid w:val="36AB0DDB"/>
    <w:rsid w:val="36C55429"/>
    <w:rsid w:val="36FE3172"/>
    <w:rsid w:val="37136114"/>
    <w:rsid w:val="371D7978"/>
    <w:rsid w:val="3796E4E1"/>
    <w:rsid w:val="379A1A4A"/>
    <w:rsid w:val="37DADB8A"/>
    <w:rsid w:val="38212646"/>
    <w:rsid w:val="386AB01D"/>
    <w:rsid w:val="38A50B10"/>
    <w:rsid w:val="38CBB20A"/>
    <w:rsid w:val="38FBF5A3"/>
    <w:rsid w:val="39102835"/>
    <w:rsid w:val="392608D3"/>
    <w:rsid w:val="3953A632"/>
    <w:rsid w:val="3A166919"/>
    <w:rsid w:val="3A1DA85B"/>
    <w:rsid w:val="3A239E09"/>
    <w:rsid w:val="3A868473"/>
    <w:rsid w:val="3ABF8FE3"/>
    <w:rsid w:val="3AC049CE"/>
    <w:rsid w:val="3AE4B34C"/>
    <w:rsid w:val="3B00ADB5"/>
    <w:rsid w:val="3B7845B9"/>
    <w:rsid w:val="3B8CF035"/>
    <w:rsid w:val="3BA9418C"/>
    <w:rsid w:val="3BBC7761"/>
    <w:rsid w:val="3BF1F5D8"/>
    <w:rsid w:val="3BFE68A2"/>
    <w:rsid w:val="3C0340BF"/>
    <w:rsid w:val="3C777E5F"/>
    <w:rsid w:val="3CA9637E"/>
    <w:rsid w:val="3D13A48F"/>
    <w:rsid w:val="3D1516D1"/>
    <w:rsid w:val="3D19431D"/>
    <w:rsid w:val="3D46B9C8"/>
    <w:rsid w:val="3D767057"/>
    <w:rsid w:val="3D9A5E03"/>
    <w:rsid w:val="3DC6B3C0"/>
    <w:rsid w:val="3E19E10E"/>
    <w:rsid w:val="3E68045C"/>
    <w:rsid w:val="3E8EBFED"/>
    <w:rsid w:val="3E9740F4"/>
    <w:rsid w:val="3EAED844"/>
    <w:rsid w:val="3EB8A1A8"/>
    <w:rsid w:val="3EB8A3CA"/>
    <w:rsid w:val="3EBBEFC7"/>
    <w:rsid w:val="3ECAEA4A"/>
    <w:rsid w:val="3EF88D7E"/>
    <w:rsid w:val="3F445599"/>
    <w:rsid w:val="3F5E8E22"/>
    <w:rsid w:val="3FA911A6"/>
    <w:rsid w:val="3FD06470"/>
    <w:rsid w:val="3FE1C24D"/>
    <w:rsid w:val="3FE539AA"/>
    <w:rsid w:val="3FFE1782"/>
    <w:rsid w:val="4035EA61"/>
    <w:rsid w:val="40586AF0"/>
    <w:rsid w:val="40601F88"/>
    <w:rsid w:val="40722D5C"/>
    <w:rsid w:val="40ABEE27"/>
    <w:rsid w:val="40B09CA2"/>
    <w:rsid w:val="40B45944"/>
    <w:rsid w:val="40B91DA5"/>
    <w:rsid w:val="4115D8E4"/>
    <w:rsid w:val="412865E7"/>
    <w:rsid w:val="413114E9"/>
    <w:rsid w:val="4152C9D2"/>
    <w:rsid w:val="417926C0"/>
    <w:rsid w:val="41B9AE44"/>
    <w:rsid w:val="41C85189"/>
    <w:rsid w:val="421A3BA3"/>
    <w:rsid w:val="42257AB8"/>
    <w:rsid w:val="4241D291"/>
    <w:rsid w:val="425B6D59"/>
    <w:rsid w:val="4263A2A1"/>
    <w:rsid w:val="42822CC4"/>
    <w:rsid w:val="4297CDCB"/>
    <w:rsid w:val="42D34DD6"/>
    <w:rsid w:val="4300C60F"/>
    <w:rsid w:val="430296B9"/>
    <w:rsid w:val="438B1881"/>
    <w:rsid w:val="43A34C25"/>
    <w:rsid w:val="43C22CD1"/>
    <w:rsid w:val="43E5C000"/>
    <w:rsid w:val="43E78FCB"/>
    <w:rsid w:val="43FBEEFC"/>
    <w:rsid w:val="440763E4"/>
    <w:rsid w:val="4432CBDD"/>
    <w:rsid w:val="443CC94A"/>
    <w:rsid w:val="4457C56C"/>
    <w:rsid w:val="44593BD6"/>
    <w:rsid w:val="446AFF3E"/>
    <w:rsid w:val="44758F81"/>
    <w:rsid w:val="44807E5F"/>
    <w:rsid w:val="448F8003"/>
    <w:rsid w:val="44F67D18"/>
    <w:rsid w:val="4525B576"/>
    <w:rsid w:val="453128F5"/>
    <w:rsid w:val="4556A0B4"/>
    <w:rsid w:val="4556ABBF"/>
    <w:rsid w:val="4559A58C"/>
    <w:rsid w:val="4563EA67"/>
    <w:rsid w:val="45869C15"/>
    <w:rsid w:val="459914B3"/>
    <w:rsid w:val="45AAA8EC"/>
    <w:rsid w:val="45B40102"/>
    <w:rsid w:val="45C34C04"/>
    <w:rsid w:val="45CB942F"/>
    <w:rsid w:val="45F467A8"/>
    <w:rsid w:val="46037358"/>
    <w:rsid w:val="46053DB8"/>
    <w:rsid w:val="461867C1"/>
    <w:rsid w:val="46298D07"/>
    <w:rsid w:val="4688CB24"/>
    <w:rsid w:val="46E0BCF0"/>
    <w:rsid w:val="46FEBA3E"/>
    <w:rsid w:val="4702F615"/>
    <w:rsid w:val="47256445"/>
    <w:rsid w:val="4761DE8B"/>
    <w:rsid w:val="476F9300"/>
    <w:rsid w:val="47A04565"/>
    <w:rsid w:val="47A6B71D"/>
    <w:rsid w:val="47F56418"/>
    <w:rsid w:val="480E632D"/>
    <w:rsid w:val="4824381A"/>
    <w:rsid w:val="482772C1"/>
    <w:rsid w:val="4837265B"/>
    <w:rsid w:val="48564506"/>
    <w:rsid w:val="485B2277"/>
    <w:rsid w:val="48BF3C10"/>
    <w:rsid w:val="48E75805"/>
    <w:rsid w:val="490D4434"/>
    <w:rsid w:val="495FA7AE"/>
    <w:rsid w:val="49646F96"/>
    <w:rsid w:val="49A48E71"/>
    <w:rsid w:val="49A99945"/>
    <w:rsid w:val="49C7FD12"/>
    <w:rsid w:val="4A1DF3E3"/>
    <w:rsid w:val="4A291AF1"/>
    <w:rsid w:val="4A3F381C"/>
    <w:rsid w:val="4A5E236E"/>
    <w:rsid w:val="4A631EDB"/>
    <w:rsid w:val="4A766EB7"/>
    <w:rsid w:val="4A7B6E3A"/>
    <w:rsid w:val="4A806EA7"/>
    <w:rsid w:val="4A82787B"/>
    <w:rsid w:val="4AA235BC"/>
    <w:rsid w:val="4AC04FB4"/>
    <w:rsid w:val="4AD99145"/>
    <w:rsid w:val="4AE6C174"/>
    <w:rsid w:val="4AEBEDD6"/>
    <w:rsid w:val="4B030C0C"/>
    <w:rsid w:val="4B042B4C"/>
    <w:rsid w:val="4B048D1B"/>
    <w:rsid w:val="4B27A7FE"/>
    <w:rsid w:val="4B35853A"/>
    <w:rsid w:val="4B658788"/>
    <w:rsid w:val="4B8973B5"/>
    <w:rsid w:val="4C06544C"/>
    <w:rsid w:val="4C1722F4"/>
    <w:rsid w:val="4C1C2AD7"/>
    <w:rsid w:val="4C3C1077"/>
    <w:rsid w:val="4C7634D2"/>
    <w:rsid w:val="4C81953E"/>
    <w:rsid w:val="4CADD84D"/>
    <w:rsid w:val="4CB7F6BF"/>
    <w:rsid w:val="4D242AC7"/>
    <w:rsid w:val="4D2A958D"/>
    <w:rsid w:val="4D33609F"/>
    <w:rsid w:val="4D380D56"/>
    <w:rsid w:val="4D3ABA26"/>
    <w:rsid w:val="4D4ABA34"/>
    <w:rsid w:val="4D65C822"/>
    <w:rsid w:val="4D767DFA"/>
    <w:rsid w:val="4D9D499C"/>
    <w:rsid w:val="4DD2C0BE"/>
    <w:rsid w:val="4E0C3690"/>
    <w:rsid w:val="4E3365FC"/>
    <w:rsid w:val="4E5C2EC7"/>
    <w:rsid w:val="4E7B0DD6"/>
    <w:rsid w:val="4E94E80B"/>
    <w:rsid w:val="4E951325"/>
    <w:rsid w:val="4E9FE608"/>
    <w:rsid w:val="4EC40E38"/>
    <w:rsid w:val="4EC8222E"/>
    <w:rsid w:val="4ED20C54"/>
    <w:rsid w:val="4ED593D1"/>
    <w:rsid w:val="4EFE166B"/>
    <w:rsid w:val="4F0041FA"/>
    <w:rsid w:val="4F101053"/>
    <w:rsid w:val="4F233A19"/>
    <w:rsid w:val="4F2AC4DB"/>
    <w:rsid w:val="4F39097B"/>
    <w:rsid w:val="4F39F5F6"/>
    <w:rsid w:val="4F426A36"/>
    <w:rsid w:val="4F539619"/>
    <w:rsid w:val="4F7F0A68"/>
    <w:rsid w:val="4F94AD6D"/>
    <w:rsid w:val="4FAA0E4D"/>
    <w:rsid w:val="4FB1674C"/>
    <w:rsid w:val="4FBED4C1"/>
    <w:rsid w:val="4FF0FFD0"/>
    <w:rsid w:val="500AB7F6"/>
    <w:rsid w:val="50140325"/>
    <w:rsid w:val="503EE7A2"/>
    <w:rsid w:val="504E0131"/>
    <w:rsid w:val="5079DA24"/>
    <w:rsid w:val="5085836C"/>
    <w:rsid w:val="508D388A"/>
    <w:rsid w:val="5095966A"/>
    <w:rsid w:val="50B61240"/>
    <w:rsid w:val="50D88DF8"/>
    <w:rsid w:val="50FC0BD6"/>
    <w:rsid w:val="513E434C"/>
    <w:rsid w:val="5141C6C9"/>
    <w:rsid w:val="5143DFAA"/>
    <w:rsid w:val="515A7DFA"/>
    <w:rsid w:val="515D98B6"/>
    <w:rsid w:val="51711E62"/>
    <w:rsid w:val="518D9DD7"/>
    <w:rsid w:val="51B13A6B"/>
    <w:rsid w:val="51C37ED0"/>
    <w:rsid w:val="51D3FFDF"/>
    <w:rsid w:val="51E0D9C8"/>
    <w:rsid w:val="5200AF1D"/>
    <w:rsid w:val="52213A1C"/>
    <w:rsid w:val="5239DFF3"/>
    <w:rsid w:val="523ABC9B"/>
    <w:rsid w:val="5254C647"/>
    <w:rsid w:val="5266B690"/>
    <w:rsid w:val="527AE375"/>
    <w:rsid w:val="52827B47"/>
    <w:rsid w:val="5284D601"/>
    <w:rsid w:val="52ADA652"/>
    <w:rsid w:val="52DEF6C3"/>
    <w:rsid w:val="52F942FE"/>
    <w:rsid w:val="53363A48"/>
    <w:rsid w:val="533C54C0"/>
    <w:rsid w:val="53598576"/>
    <w:rsid w:val="53E703AE"/>
    <w:rsid w:val="5419369E"/>
    <w:rsid w:val="5430CFCA"/>
    <w:rsid w:val="54426DF3"/>
    <w:rsid w:val="544656C1"/>
    <w:rsid w:val="546988FD"/>
    <w:rsid w:val="5476AC96"/>
    <w:rsid w:val="5482D242"/>
    <w:rsid w:val="5498C1A0"/>
    <w:rsid w:val="54BE3ACA"/>
    <w:rsid w:val="54CC8ABF"/>
    <w:rsid w:val="54F48ED3"/>
    <w:rsid w:val="550D04D9"/>
    <w:rsid w:val="551A10D2"/>
    <w:rsid w:val="5541B57D"/>
    <w:rsid w:val="5550455C"/>
    <w:rsid w:val="5555D06B"/>
    <w:rsid w:val="5574211E"/>
    <w:rsid w:val="5590EF7F"/>
    <w:rsid w:val="559177A1"/>
    <w:rsid w:val="55A609E3"/>
    <w:rsid w:val="55CF1D38"/>
    <w:rsid w:val="55D506FB"/>
    <w:rsid w:val="56631164"/>
    <w:rsid w:val="568DC589"/>
    <w:rsid w:val="57283C60"/>
    <w:rsid w:val="57743290"/>
    <w:rsid w:val="5787800B"/>
    <w:rsid w:val="57A9B0BB"/>
    <w:rsid w:val="57E3AFBF"/>
    <w:rsid w:val="57FAD693"/>
    <w:rsid w:val="582ABF7B"/>
    <w:rsid w:val="58477469"/>
    <w:rsid w:val="586C9030"/>
    <w:rsid w:val="5871037C"/>
    <w:rsid w:val="587B4B5C"/>
    <w:rsid w:val="58E31C5B"/>
    <w:rsid w:val="58F2EA76"/>
    <w:rsid w:val="5900B1FC"/>
    <w:rsid w:val="590E1ADA"/>
    <w:rsid w:val="5922897E"/>
    <w:rsid w:val="5925BDFE"/>
    <w:rsid w:val="5960C03A"/>
    <w:rsid w:val="59785569"/>
    <w:rsid w:val="59A9E7AB"/>
    <w:rsid w:val="59BE690A"/>
    <w:rsid w:val="59C16FA8"/>
    <w:rsid w:val="59EA7BDE"/>
    <w:rsid w:val="59F285D0"/>
    <w:rsid w:val="59FED3A8"/>
    <w:rsid w:val="5A664CB8"/>
    <w:rsid w:val="5AA2EA2C"/>
    <w:rsid w:val="5AC1CFA8"/>
    <w:rsid w:val="5AF5BB25"/>
    <w:rsid w:val="5B06EBA3"/>
    <w:rsid w:val="5B7A0606"/>
    <w:rsid w:val="5B9BA9F1"/>
    <w:rsid w:val="5C45AC1B"/>
    <w:rsid w:val="5C749F15"/>
    <w:rsid w:val="5CAC392D"/>
    <w:rsid w:val="5CCD0795"/>
    <w:rsid w:val="5CF17EE7"/>
    <w:rsid w:val="5D0C9F1F"/>
    <w:rsid w:val="5D96507B"/>
    <w:rsid w:val="5D9F4D68"/>
    <w:rsid w:val="5DE9D79E"/>
    <w:rsid w:val="5DF20B55"/>
    <w:rsid w:val="5E28C281"/>
    <w:rsid w:val="5E338ED9"/>
    <w:rsid w:val="5E5B7C47"/>
    <w:rsid w:val="5EB0BEE0"/>
    <w:rsid w:val="5EC783D5"/>
    <w:rsid w:val="5ECF2A22"/>
    <w:rsid w:val="5ECF9103"/>
    <w:rsid w:val="5EEBB7A4"/>
    <w:rsid w:val="5F27190D"/>
    <w:rsid w:val="5F2B4A7C"/>
    <w:rsid w:val="5F2C0508"/>
    <w:rsid w:val="5F366004"/>
    <w:rsid w:val="5F61581B"/>
    <w:rsid w:val="5F62CD65"/>
    <w:rsid w:val="5F7380B1"/>
    <w:rsid w:val="5F7ACA4C"/>
    <w:rsid w:val="5F933155"/>
    <w:rsid w:val="5FBCEFA3"/>
    <w:rsid w:val="5FC08AAF"/>
    <w:rsid w:val="5FF44A3C"/>
    <w:rsid w:val="5FFBBE65"/>
    <w:rsid w:val="604F449D"/>
    <w:rsid w:val="60564763"/>
    <w:rsid w:val="608C756A"/>
    <w:rsid w:val="60A7576A"/>
    <w:rsid w:val="60ABD650"/>
    <w:rsid w:val="60C040F0"/>
    <w:rsid w:val="60EC3180"/>
    <w:rsid w:val="60F86F9E"/>
    <w:rsid w:val="610315AB"/>
    <w:rsid w:val="6107B21D"/>
    <w:rsid w:val="61126472"/>
    <w:rsid w:val="6133FCBE"/>
    <w:rsid w:val="61764E57"/>
    <w:rsid w:val="61FEAF6B"/>
    <w:rsid w:val="62011FFF"/>
    <w:rsid w:val="621CDE3B"/>
    <w:rsid w:val="62211B9C"/>
    <w:rsid w:val="622750AD"/>
    <w:rsid w:val="6228AB6C"/>
    <w:rsid w:val="623EE3E6"/>
    <w:rsid w:val="6271E75E"/>
    <w:rsid w:val="62758289"/>
    <w:rsid w:val="6296A5C5"/>
    <w:rsid w:val="629E2C3B"/>
    <w:rsid w:val="62A48B93"/>
    <w:rsid w:val="62CF067E"/>
    <w:rsid w:val="6328D488"/>
    <w:rsid w:val="6367DAF7"/>
    <w:rsid w:val="63768FCF"/>
    <w:rsid w:val="639D8C27"/>
    <w:rsid w:val="63B803E1"/>
    <w:rsid w:val="63D5AE74"/>
    <w:rsid w:val="63E98EEA"/>
    <w:rsid w:val="63F60A1B"/>
    <w:rsid w:val="63F9712A"/>
    <w:rsid w:val="6405EB31"/>
    <w:rsid w:val="6415F959"/>
    <w:rsid w:val="64175C95"/>
    <w:rsid w:val="6419D41D"/>
    <w:rsid w:val="64337186"/>
    <w:rsid w:val="6498D81D"/>
    <w:rsid w:val="64B0F16A"/>
    <w:rsid w:val="64B81061"/>
    <w:rsid w:val="64FDA4AD"/>
    <w:rsid w:val="6503F17F"/>
    <w:rsid w:val="6551990C"/>
    <w:rsid w:val="655DF7F2"/>
    <w:rsid w:val="656435FF"/>
    <w:rsid w:val="6576BF6C"/>
    <w:rsid w:val="65ABAF12"/>
    <w:rsid w:val="65CDF269"/>
    <w:rsid w:val="66084E34"/>
    <w:rsid w:val="6687926D"/>
    <w:rsid w:val="6698F826"/>
    <w:rsid w:val="6761F873"/>
    <w:rsid w:val="6764F43A"/>
    <w:rsid w:val="6772637E"/>
    <w:rsid w:val="67795BB2"/>
    <w:rsid w:val="67D0A168"/>
    <w:rsid w:val="67FC8E7D"/>
    <w:rsid w:val="6803A37F"/>
    <w:rsid w:val="6812898A"/>
    <w:rsid w:val="68232A7C"/>
    <w:rsid w:val="6825649E"/>
    <w:rsid w:val="68604A23"/>
    <w:rsid w:val="6870D296"/>
    <w:rsid w:val="68A3965A"/>
    <w:rsid w:val="68B252B8"/>
    <w:rsid w:val="68C5A70A"/>
    <w:rsid w:val="68CAF0A7"/>
    <w:rsid w:val="68E6ED99"/>
    <w:rsid w:val="69238C93"/>
    <w:rsid w:val="6926354A"/>
    <w:rsid w:val="693E24A5"/>
    <w:rsid w:val="698171F7"/>
    <w:rsid w:val="6982643D"/>
    <w:rsid w:val="69E04956"/>
    <w:rsid w:val="6A1FE0D2"/>
    <w:rsid w:val="6A5184F8"/>
    <w:rsid w:val="6A870F3E"/>
    <w:rsid w:val="6A989348"/>
    <w:rsid w:val="6AA89520"/>
    <w:rsid w:val="6ACA8F62"/>
    <w:rsid w:val="6ACACAFB"/>
    <w:rsid w:val="6AD7FEEF"/>
    <w:rsid w:val="6AE6F1B4"/>
    <w:rsid w:val="6AEF7E16"/>
    <w:rsid w:val="6AFC0719"/>
    <w:rsid w:val="6B001A8D"/>
    <w:rsid w:val="6B2E332C"/>
    <w:rsid w:val="6B756ABA"/>
    <w:rsid w:val="6B82BFEF"/>
    <w:rsid w:val="6B9C0ECD"/>
    <w:rsid w:val="6BA17C4D"/>
    <w:rsid w:val="6BF22820"/>
    <w:rsid w:val="6BF8454F"/>
    <w:rsid w:val="6C4E142E"/>
    <w:rsid w:val="6C74107D"/>
    <w:rsid w:val="6C7E2CEC"/>
    <w:rsid w:val="6C9B09D5"/>
    <w:rsid w:val="6CA24986"/>
    <w:rsid w:val="6CEC98AA"/>
    <w:rsid w:val="6D72913E"/>
    <w:rsid w:val="6D97F5F8"/>
    <w:rsid w:val="6DAC74D5"/>
    <w:rsid w:val="6DB9BDD0"/>
    <w:rsid w:val="6E00D3A4"/>
    <w:rsid w:val="6E3740F0"/>
    <w:rsid w:val="6E3BAD0A"/>
    <w:rsid w:val="6E456624"/>
    <w:rsid w:val="6E4B4848"/>
    <w:rsid w:val="6E5D9491"/>
    <w:rsid w:val="6E70200E"/>
    <w:rsid w:val="6EAB4253"/>
    <w:rsid w:val="6EB03E05"/>
    <w:rsid w:val="6EEE2E2F"/>
    <w:rsid w:val="6EF1E677"/>
    <w:rsid w:val="6EF41E7F"/>
    <w:rsid w:val="6EFFC847"/>
    <w:rsid w:val="6F105999"/>
    <w:rsid w:val="6F121EFD"/>
    <w:rsid w:val="6F14561B"/>
    <w:rsid w:val="6F531784"/>
    <w:rsid w:val="6F9A4F18"/>
    <w:rsid w:val="6F9BE732"/>
    <w:rsid w:val="6FA285A7"/>
    <w:rsid w:val="6FB27DB7"/>
    <w:rsid w:val="6FB6622D"/>
    <w:rsid w:val="6FDF2EA1"/>
    <w:rsid w:val="6FE971F0"/>
    <w:rsid w:val="700164B9"/>
    <w:rsid w:val="700B29D0"/>
    <w:rsid w:val="701BAA3D"/>
    <w:rsid w:val="702E49B7"/>
    <w:rsid w:val="7074C339"/>
    <w:rsid w:val="708AD51C"/>
    <w:rsid w:val="708CC254"/>
    <w:rsid w:val="7091FE63"/>
    <w:rsid w:val="709B5935"/>
    <w:rsid w:val="709E833B"/>
    <w:rsid w:val="7101328E"/>
    <w:rsid w:val="710F02D9"/>
    <w:rsid w:val="711EB17A"/>
    <w:rsid w:val="7129052B"/>
    <w:rsid w:val="714AF0DC"/>
    <w:rsid w:val="71539230"/>
    <w:rsid w:val="7176D458"/>
    <w:rsid w:val="7197951F"/>
    <w:rsid w:val="719AFAB3"/>
    <w:rsid w:val="719FE06F"/>
    <w:rsid w:val="71D8B9C8"/>
    <w:rsid w:val="71E4D8BD"/>
    <w:rsid w:val="728E0793"/>
    <w:rsid w:val="729A2E71"/>
    <w:rsid w:val="72D22E91"/>
    <w:rsid w:val="731BBF4E"/>
    <w:rsid w:val="734B0EFB"/>
    <w:rsid w:val="7358CD8B"/>
    <w:rsid w:val="73628214"/>
    <w:rsid w:val="737956FE"/>
    <w:rsid w:val="738DCAE4"/>
    <w:rsid w:val="73A55384"/>
    <w:rsid w:val="73D7E42D"/>
    <w:rsid w:val="73DC72B4"/>
    <w:rsid w:val="73F13E5C"/>
    <w:rsid w:val="74243C4C"/>
    <w:rsid w:val="746294FF"/>
    <w:rsid w:val="74DFE85B"/>
    <w:rsid w:val="74E6AD6E"/>
    <w:rsid w:val="752A38A7"/>
    <w:rsid w:val="754BA60C"/>
    <w:rsid w:val="757BA097"/>
    <w:rsid w:val="75918A58"/>
    <w:rsid w:val="75927051"/>
    <w:rsid w:val="75A90AD6"/>
    <w:rsid w:val="75AE4BDF"/>
    <w:rsid w:val="76200AFD"/>
    <w:rsid w:val="765C6704"/>
    <w:rsid w:val="765D3C98"/>
    <w:rsid w:val="766DEB46"/>
    <w:rsid w:val="76CC481B"/>
    <w:rsid w:val="771720F0"/>
    <w:rsid w:val="771B03A3"/>
    <w:rsid w:val="771EADE1"/>
    <w:rsid w:val="77224425"/>
    <w:rsid w:val="7748D4F6"/>
    <w:rsid w:val="777E68DC"/>
    <w:rsid w:val="778FB085"/>
    <w:rsid w:val="779D8F22"/>
    <w:rsid w:val="77BBE105"/>
    <w:rsid w:val="77D7B69D"/>
    <w:rsid w:val="7802B630"/>
    <w:rsid w:val="784E0A32"/>
    <w:rsid w:val="786205D6"/>
    <w:rsid w:val="786B31FB"/>
    <w:rsid w:val="794120E4"/>
    <w:rsid w:val="795F3E44"/>
    <w:rsid w:val="79B1C8AA"/>
    <w:rsid w:val="79CA2DF3"/>
    <w:rsid w:val="79E492D5"/>
    <w:rsid w:val="79F0ADE8"/>
    <w:rsid w:val="7A24432D"/>
    <w:rsid w:val="7A49438B"/>
    <w:rsid w:val="7A4E6F65"/>
    <w:rsid w:val="7A62B4C2"/>
    <w:rsid w:val="7AD2DE99"/>
    <w:rsid w:val="7AD7AB4F"/>
    <w:rsid w:val="7AE134C0"/>
    <w:rsid w:val="7AEBEDE5"/>
    <w:rsid w:val="7B11E994"/>
    <w:rsid w:val="7B1693A1"/>
    <w:rsid w:val="7B382E00"/>
    <w:rsid w:val="7B38F784"/>
    <w:rsid w:val="7B4DD1F1"/>
    <w:rsid w:val="7B5B248A"/>
    <w:rsid w:val="7B5C161A"/>
    <w:rsid w:val="7B5C77B3"/>
    <w:rsid w:val="7B686C30"/>
    <w:rsid w:val="7B77A380"/>
    <w:rsid w:val="7B9C8ABA"/>
    <w:rsid w:val="7BC4CACB"/>
    <w:rsid w:val="7BEE580C"/>
    <w:rsid w:val="7C2CFC15"/>
    <w:rsid w:val="7C31B38A"/>
    <w:rsid w:val="7C334FD2"/>
    <w:rsid w:val="7C37C908"/>
    <w:rsid w:val="7CE03BA4"/>
    <w:rsid w:val="7D04F7EF"/>
    <w:rsid w:val="7D36185E"/>
    <w:rsid w:val="7D8D9331"/>
    <w:rsid w:val="7DD56638"/>
    <w:rsid w:val="7DE14293"/>
    <w:rsid w:val="7DE8531F"/>
    <w:rsid w:val="7DEC6BAE"/>
    <w:rsid w:val="7E267173"/>
    <w:rsid w:val="7E349512"/>
    <w:rsid w:val="7E444149"/>
    <w:rsid w:val="7E567112"/>
    <w:rsid w:val="7E6C325F"/>
    <w:rsid w:val="7EAF0F55"/>
    <w:rsid w:val="7EB668DB"/>
    <w:rsid w:val="7F18ACA1"/>
    <w:rsid w:val="7F3F33D3"/>
    <w:rsid w:val="7F696A66"/>
    <w:rsid w:val="7F7787DF"/>
    <w:rsid w:val="7FA51855"/>
    <w:rsid w:val="7FB6E91D"/>
    <w:rsid w:val="7FBE104F"/>
    <w:rsid w:val="7FE169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549EA"/>
  <w15:chartTrackingRefBased/>
  <w15:docId w15:val="{B3B39445-8021-402F-9E9F-AB39ABCA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D1"/>
    <w:pPr>
      <w:tabs>
        <w:tab w:val="left" w:pos="567"/>
      </w:tabs>
      <w:snapToGrid w:val="0"/>
    </w:pPr>
    <w:rPr>
      <w:snapToGrid w:val="0"/>
      <w:sz w:val="24"/>
      <w:szCs w:val="24"/>
      <w:lang w:eastAsia="en-US"/>
    </w:rPr>
  </w:style>
  <w:style w:type="paragraph" w:styleId="Heading1">
    <w:name w:val="heading 1"/>
    <w:basedOn w:val="Normal"/>
    <w:next w:val="Marge"/>
    <w:link w:val="Heading1Char"/>
    <w:qFormat/>
    <w:rsid w:val="003E53C2"/>
    <w:pPr>
      <w:keepNext/>
      <w:keepLines/>
      <w:spacing w:after="240"/>
      <w:outlineLvl w:val="0"/>
    </w:pPr>
    <w:rPr>
      <w:rFonts w:ascii="Arial" w:hAnsi="Arial"/>
      <w:b/>
      <w:bCs/>
      <w:kern w:val="28"/>
      <w:sz w:val="22"/>
    </w:rPr>
  </w:style>
  <w:style w:type="paragraph" w:styleId="Heading2">
    <w:name w:val="heading 2"/>
    <w:basedOn w:val="Normal"/>
    <w:next w:val="Marge"/>
    <w:link w:val="Heading2Char"/>
    <w:uiPriority w:val="9"/>
    <w:qFormat/>
    <w:rsid w:val="003E53C2"/>
    <w:pPr>
      <w:keepNext/>
      <w:keepLines/>
      <w:tabs>
        <w:tab w:val="clear" w:pos="567"/>
        <w:tab w:val="left" w:pos="737"/>
      </w:tabs>
      <w:spacing w:after="240"/>
      <w:outlineLvl w:val="1"/>
    </w:pPr>
    <w:rPr>
      <w:rFonts w:ascii="Arial" w:hAnsi="Arial"/>
      <w:bCs/>
      <w:sz w:val="22"/>
    </w:rPr>
  </w:style>
  <w:style w:type="paragraph" w:styleId="Heading3">
    <w:name w:val="heading 3"/>
    <w:basedOn w:val="Heading2"/>
    <w:next w:val="Marge"/>
    <w:link w:val="Heading3Char"/>
    <w:uiPriority w:val="9"/>
    <w:qFormat/>
    <w:rsid w:val="003E53C2"/>
    <w:pPr>
      <w:numPr>
        <w:ilvl w:val="2"/>
        <w:numId w:val="9"/>
      </w:numPr>
      <w:tabs>
        <w:tab w:val="clear" w:pos="737"/>
        <w:tab w:val="left" w:pos="709"/>
      </w:tabs>
      <w:outlineLvl w:val="2"/>
    </w:pPr>
  </w:style>
  <w:style w:type="paragraph" w:styleId="Heading4">
    <w:name w:val="heading 4"/>
    <w:basedOn w:val="Normal"/>
    <w:next w:val="Marge"/>
    <w:link w:val="Heading4Char"/>
    <w:uiPriority w:val="9"/>
    <w:qFormat/>
    <w:pPr>
      <w:keepNext/>
      <w:keepLines/>
      <w:spacing w:after="240"/>
      <w:outlineLvl w:val="3"/>
    </w:pPr>
    <w:rPr>
      <w:b/>
      <w:bCs/>
    </w:rPr>
  </w:style>
  <w:style w:type="paragraph" w:styleId="Heading5">
    <w:name w:val="heading 5"/>
    <w:basedOn w:val="Normal"/>
    <w:next w:val="Marge"/>
    <w:autoRedefine/>
    <w:qFormat/>
    <w:rsid w:val="001A57D8"/>
    <w:pPr>
      <w:keepNext/>
      <w:keepLines/>
      <w:tabs>
        <w:tab w:val="clear" w:pos="567"/>
      </w:tabs>
      <w:spacing w:after="240"/>
      <w:ind w:left="1843"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B4320F"/>
    <w:pPr>
      <w:shd w:val="clear" w:color="auto" w:fill="FFFFFF"/>
      <w:tabs>
        <w:tab w:val="clear" w:pos="567"/>
        <w:tab w:val="left" w:pos="709"/>
        <w:tab w:val="left" w:pos="2977"/>
      </w:tabs>
      <w:kinsoku w:val="0"/>
      <w:overflowPunct w:val="0"/>
      <w:snapToGrid/>
      <w:ind w:left="720" w:hanging="720"/>
      <w:jc w:val="both"/>
      <w:textAlignment w:val="baseline"/>
    </w:pPr>
    <w:rPr>
      <w:rFonts w:ascii="Arial" w:hAnsi="Arial" w:cs="Arial"/>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DC4248"/>
    <w:pPr>
      <w:tabs>
        <w:tab w:val="clear" w:pos="567"/>
        <w:tab w:val="right" w:leader="dot" w:pos="9207"/>
      </w:tabs>
      <w:spacing w:before="120" w:after="120"/>
      <w:ind w:left="709" w:hanging="709"/>
    </w:pPr>
    <w:rPr>
      <w:rFonts w:ascii="Arial" w:hAnsi="Arial" w:cs="Arial"/>
      <w:b/>
      <w:noProof/>
      <w:color w:val="000000"/>
      <w:sz w:val="22"/>
      <w:szCs w:val="22"/>
    </w:rPr>
  </w:style>
  <w:style w:type="paragraph" w:styleId="TOC2">
    <w:name w:val="toc 2"/>
    <w:basedOn w:val="Normal"/>
    <w:next w:val="Normal"/>
    <w:autoRedefine/>
    <w:uiPriority w:val="39"/>
    <w:rsid w:val="00354381"/>
    <w:pPr>
      <w:tabs>
        <w:tab w:val="clear" w:pos="567"/>
        <w:tab w:val="left" w:pos="1441"/>
        <w:tab w:val="right" w:leader="dot" w:pos="9214"/>
      </w:tabs>
      <w:spacing w:after="120"/>
      <w:ind w:left="709" w:hanging="709"/>
    </w:pPr>
    <w:rPr>
      <w:rFonts w:ascii="Arial" w:hAnsi="Arial" w:cs="Arial"/>
      <w:bCs/>
      <w:noProof/>
      <w:sz w:val="22"/>
      <w:szCs w:val="22"/>
    </w:rPr>
  </w:style>
  <w:style w:type="paragraph" w:styleId="TOC3">
    <w:name w:val="toc 3"/>
    <w:basedOn w:val="Normal"/>
    <w:next w:val="Normal"/>
    <w:autoRedefine/>
    <w:uiPriority w:val="39"/>
    <w:rsid w:val="0058632D"/>
    <w:pPr>
      <w:tabs>
        <w:tab w:val="clear" w:pos="567"/>
        <w:tab w:val="right" w:leader="dot" w:pos="9214"/>
      </w:tabs>
      <w:spacing w:after="120"/>
      <w:ind w:left="1418" w:hanging="709"/>
    </w:pPr>
    <w:rPr>
      <w:rFonts w:ascii="Arial" w:hAnsi="Arial" w:cs="Arial"/>
      <w:b/>
      <w:bCs/>
      <w:noProof/>
      <w:snapToGrid/>
      <w:color w:val="000000" w:themeColor="text1"/>
      <w:sz w:val="22"/>
      <w:szCs w:val="22"/>
    </w:rPr>
  </w:style>
  <w:style w:type="paragraph" w:styleId="TOC4">
    <w:name w:val="toc 4"/>
    <w:basedOn w:val="Normal"/>
    <w:next w:val="Normal"/>
    <w:autoRedefine/>
    <w:uiPriority w:val="39"/>
    <w:rsid w:val="00835C80"/>
    <w:pPr>
      <w:tabs>
        <w:tab w:val="clear" w:pos="567"/>
        <w:tab w:val="left" w:pos="1441"/>
        <w:tab w:val="right" w:leader="dot" w:pos="9214"/>
      </w:tabs>
      <w:spacing w:after="60"/>
      <w:ind w:left="1441" w:hanging="902"/>
    </w:pPr>
    <w:rPr>
      <w:noProof/>
      <w:color w:val="000000"/>
    </w:rPr>
  </w:style>
  <w:style w:type="paragraph" w:styleId="TOC5">
    <w:name w:val="toc 5"/>
    <w:basedOn w:val="Normal"/>
    <w:next w:val="Normal"/>
    <w:autoRedefine/>
    <w:uiPriority w:val="39"/>
    <w:rsid w:val="00792B09"/>
    <w:pPr>
      <w:tabs>
        <w:tab w:val="clear" w:pos="567"/>
        <w:tab w:val="left" w:pos="1920"/>
        <w:tab w:val="left" w:pos="2340"/>
        <w:tab w:val="right" w:leader="dot" w:pos="9207"/>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rPr>
  </w:style>
  <w:style w:type="table" w:styleId="TableGrid">
    <w:name w:val="Table Grid"/>
    <w:basedOn w:val="TableNormal"/>
    <w:uiPriority w:val="39"/>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B4320F"/>
    <w:rPr>
      <w:rFonts w:ascii="Arial" w:hAnsi="Arial" w:cs="Arial"/>
      <w:snapToGrid w:val="0"/>
      <w:sz w:val="22"/>
      <w:szCs w:val="22"/>
      <w:shd w:val="clear" w:color="auto" w:fill="FFFFFF"/>
      <w:lang w:val="en-GB"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OCHeading1">
    <w:name w:val="TOC Heading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Grilleclaire-Accent31">
    <w:name w:val="Grille claire - Accent 31"/>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Listeclaire-Accent31">
    <w:name w:val="Liste claire - Accent 31"/>
    <w:hidden/>
    <w:uiPriority w:val="99"/>
    <w:semiHidden/>
    <w:rsid w:val="00472F54"/>
    <w:rPr>
      <w:snapToGrid w:val="0"/>
      <w:sz w:val="24"/>
      <w:szCs w:val="24"/>
      <w:lang w:eastAsia="en-US"/>
    </w:rPr>
  </w:style>
  <w:style w:type="paragraph" w:customStyle="1" w:styleId="WMOBodyText">
    <w:name w:val="WMO_BodyText"/>
    <w:basedOn w:val="Normal"/>
    <w:link w:val="WMOBodyTextCharChar"/>
    <w:qFormat/>
    <w:rsid w:val="00197803"/>
    <w:pPr>
      <w:tabs>
        <w:tab w:val="clear" w:pos="567"/>
        <w:tab w:val="left" w:pos="1134"/>
      </w:tabs>
      <w:snapToGrid/>
      <w:spacing w:before="240"/>
    </w:pPr>
    <w:rPr>
      <w:rFonts w:ascii="Arial" w:eastAsia="Arial" w:hAnsi="Arial" w:cs="Arial"/>
      <w:snapToGrid/>
      <w:sz w:val="22"/>
      <w:szCs w:val="22"/>
      <w:lang w:eastAsia="zh-TW"/>
    </w:rPr>
  </w:style>
  <w:style w:type="character" w:customStyle="1" w:styleId="WMOBodyTextCharChar">
    <w:name w:val="WMO_BodyText Char Char"/>
    <w:link w:val="WMOBodyText"/>
    <w:rsid w:val="00197803"/>
    <w:rPr>
      <w:rFonts w:ascii="Arial" w:eastAsia="Arial" w:hAnsi="Arial" w:cs="Arial"/>
      <w:sz w:val="22"/>
      <w:szCs w:val="22"/>
      <w:lang w:eastAsia="zh-TW"/>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F52303"/>
    <w:pPr>
      <w:ind w:left="720"/>
      <w:contextualSpacing/>
    </w:pPr>
    <w:rPr>
      <w:rFonts w:ascii="Arial" w:hAnsi="Arial"/>
      <w:sz w:val="22"/>
    </w:rPr>
  </w:style>
  <w:style w:type="character" w:customStyle="1" w:styleId="Heading1Char">
    <w:name w:val="Heading 1 Char"/>
    <w:link w:val="Heading1"/>
    <w:rsid w:val="003E53C2"/>
    <w:rPr>
      <w:rFonts w:ascii="Arial" w:hAnsi="Arial"/>
      <w:b/>
      <w:bCs/>
      <w:snapToGrid w:val="0"/>
      <w:kern w:val="28"/>
      <w:sz w:val="22"/>
      <w:szCs w:val="24"/>
      <w:lang w:val="en-GB"/>
    </w:rPr>
  </w:style>
  <w:style w:type="paragraph" w:customStyle="1" w:styleId="CM45">
    <w:name w:val="CM45"/>
    <w:basedOn w:val="Normal"/>
    <w:rsid w:val="00A343E5"/>
    <w:pPr>
      <w:numPr>
        <w:numId w:val="7"/>
      </w:numPr>
      <w:tabs>
        <w:tab w:val="clear" w:pos="567"/>
        <w:tab w:val="num" w:pos="0"/>
      </w:tabs>
      <w:snapToGrid/>
      <w:ind w:hanging="540"/>
    </w:pPr>
    <w:rPr>
      <w:snapToGrid/>
      <w:lang w:val="en-AU"/>
    </w:rPr>
  </w:style>
  <w:style w:type="paragraph" w:styleId="TOCHeading">
    <w:name w:val="TOC Heading"/>
    <w:basedOn w:val="Heading1"/>
    <w:next w:val="Normal"/>
    <w:uiPriority w:val="39"/>
    <w:unhideWhenUsed/>
    <w:qFormat/>
    <w:rsid w:val="00752D26"/>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Heading4Char">
    <w:name w:val="Heading 4 Char"/>
    <w:link w:val="Heading4"/>
    <w:uiPriority w:val="9"/>
    <w:rsid w:val="00FA659E"/>
    <w:rPr>
      <w:b/>
      <w:bCs/>
      <w:snapToGrid w:val="0"/>
      <w:sz w:val="24"/>
      <w:szCs w:val="24"/>
      <w:lang w:val="en-GB" w:eastAsia="en-US"/>
    </w:rPr>
  </w:style>
  <w:style w:type="character" w:customStyle="1" w:styleId="FootnoteTextChar">
    <w:name w:val="Footnote Text Char"/>
    <w:link w:val="FootnoteText"/>
    <w:uiPriority w:val="99"/>
    <w:semiHidden/>
    <w:rsid w:val="00151874"/>
    <w:rPr>
      <w:snapToGrid w:val="0"/>
      <w:lang w:val="en-GB"/>
    </w:rPr>
  </w:style>
  <w:style w:type="character" w:customStyle="1" w:styleId="Heading3Char">
    <w:name w:val="Heading 3 Char"/>
    <w:link w:val="Heading3"/>
    <w:uiPriority w:val="9"/>
    <w:rsid w:val="003E24A8"/>
    <w:rPr>
      <w:rFonts w:ascii="Arial" w:hAnsi="Arial"/>
      <w:bCs/>
      <w:snapToGrid w:val="0"/>
      <w:sz w:val="22"/>
      <w:szCs w:val="24"/>
      <w:lang w:eastAsia="en-US"/>
    </w:rPr>
  </w:style>
  <w:style w:type="paragraph" w:customStyle="1" w:styleId="WMOResList1">
    <w:name w:val="WMO_ResList1"/>
    <w:basedOn w:val="Normal"/>
    <w:rsid w:val="003E24A8"/>
    <w:pPr>
      <w:snapToGrid/>
      <w:spacing w:before="240"/>
      <w:ind w:left="567" w:hanging="567"/>
    </w:pPr>
    <w:rPr>
      <w:rFonts w:ascii="Verdana" w:eastAsia="Verdana" w:hAnsi="Verdana" w:cs="Verdana"/>
      <w:snapToGrid/>
      <w:sz w:val="20"/>
      <w:szCs w:val="22"/>
      <w:lang w:eastAsia="zh-TW"/>
    </w:rPr>
  </w:style>
  <w:style w:type="character" w:customStyle="1" w:styleId="Bold">
    <w:name w:val="Bold"/>
    <w:rsid w:val="003E24A8"/>
    <w:rPr>
      <w:b/>
    </w:rPr>
  </w:style>
  <w:style w:type="paragraph" w:customStyle="1" w:styleId="Note">
    <w:name w:val="Note"/>
    <w:qFormat/>
    <w:rsid w:val="003E24A8"/>
    <w:pPr>
      <w:tabs>
        <w:tab w:val="left" w:pos="720"/>
      </w:tabs>
      <w:spacing w:before="240"/>
    </w:pPr>
    <w:rPr>
      <w:rFonts w:ascii="Verdana" w:eastAsia="Arial" w:hAnsi="Verdana" w:cs="Arial"/>
      <w:color w:val="000000"/>
      <w:szCs w:val="22"/>
      <w:lang w:eastAsia="en-US"/>
    </w:rPr>
  </w:style>
  <w:style w:type="paragraph" w:customStyle="1" w:styleId="WMOBodyTextspacebefore">
    <w:name w:val="WMO_BodyText_space_before"/>
    <w:basedOn w:val="WMOBodyText"/>
    <w:link w:val="WMOBodyTextspacebeforeChar"/>
    <w:uiPriority w:val="1"/>
    <w:qFormat/>
    <w:rsid w:val="003E24A8"/>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3E24A8"/>
    <w:rPr>
      <w:rFonts w:ascii="Verdana" w:eastAsia="Arial" w:hAnsi="Verdana" w:cs="Arial"/>
      <w:noProof/>
      <w:lang w:val="en-GB" w:eastAsia="zh-TW"/>
    </w:rPr>
  </w:style>
  <w:style w:type="paragraph" w:styleId="Revision">
    <w:name w:val="Revision"/>
    <w:hidden/>
    <w:uiPriority w:val="99"/>
    <w:semiHidden/>
    <w:rsid w:val="00B3234E"/>
    <w:rPr>
      <w:snapToGrid w:val="0"/>
      <w:sz w:val="24"/>
      <w:szCs w:val="24"/>
      <w:lang w:eastAsia="en-US"/>
    </w:rPr>
  </w:style>
  <w:style w:type="character" w:customStyle="1" w:styleId="apple-converted-space">
    <w:name w:val="apple-converted-space"/>
    <w:rsid w:val="00456B88"/>
  </w:style>
  <w:style w:type="paragraph" w:customStyle="1" w:styleId="Style3">
    <w:name w:val="Style3"/>
    <w:basedOn w:val="Normal"/>
    <w:qFormat/>
    <w:rsid w:val="006A0E38"/>
    <w:pPr>
      <w:widowControl w:val="0"/>
      <w:numPr>
        <w:numId w:val="10"/>
      </w:numPr>
      <w:tabs>
        <w:tab w:val="clear" w:pos="567"/>
      </w:tabs>
      <w:autoSpaceDE w:val="0"/>
      <w:autoSpaceDN w:val="0"/>
      <w:adjustRightInd w:val="0"/>
      <w:snapToGrid/>
      <w:spacing w:after="240"/>
      <w:ind w:hanging="709"/>
      <w:jc w:val="both"/>
    </w:pPr>
    <w:rPr>
      <w:rFonts w:ascii="Arial" w:eastAsia="SimSun" w:hAnsi="Arial"/>
      <w:sz w:val="22"/>
      <w:lang w:eastAsia="zh-CN"/>
    </w:rPr>
  </w:style>
  <w:style w:type="character" w:customStyle="1" w:styleId="FooterChar">
    <w:name w:val="Footer Char"/>
    <w:link w:val="Footer"/>
    <w:uiPriority w:val="99"/>
    <w:rsid w:val="008A7FCF"/>
    <w:rPr>
      <w:snapToGrid w:val="0"/>
      <w:sz w:val="24"/>
      <w:szCs w:val="24"/>
      <w:lang w:val="en-GB"/>
    </w:rPr>
  </w:style>
  <w:style w:type="paragraph" w:customStyle="1" w:styleId="num-paragraph">
    <w:name w:val="num-paragraph"/>
    <w:basedOn w:val="NormalWeb"/>
    <w:link w:val="num-paragraphChar"/>
    <w:qFormat/>
    <w:rsid w:val="00657641"/>
    <w:pPr>
      <w:widowControl w:val="0"/>
      <w:numPr>
        <w:numId w:val="11"/>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657641"/>
    <w:rPr>
      <w:rFonts w:ascii="Arial" w:hAnsi="Arial" w:cs="Arial"/>
      <w:snapToGrid w:val="0"/>
      <w:sz w:val="22"/>
      <w:szCs w:val="22"/>
      <w:lang w:eastAsia="es-CO"/>
    </w:rPr>
  </w:style>
  <w:style w:type="character" w:styleId="UnresolvedMention">
    <w:name w:val="Unresolved Mention"/>
    <w:uiPriority w:val="99"/>
    <w:semiHidden/>
    <w:unhideWhenUsed/>
    <w:rsid w:val="000331D9"/>
    <w:rPr>
      <w:color w:val="605E5C"/>
      <w:shd w:val="clear" w:color="auto" w:fill="E1DFDD"/>
    </w:rPr>
  </w:style>
  <w:style w:type="paragraph" w:customStyle="1" w:styleId="Style2">
    <w:name w:val="Style2"/>
    <w:basedOn w:val="Normal"/>
    <w:link w:val="Style2Car"/>
    <w:qFormat/>
    <w:rsid w:val="00B67D24"/>
    <w:pPr>
      <w:shd w:val="clear" w:color="auto" w:fill="FFFFFF"/>
      <w:tabs>
        <w:tab w:val="clear" w:pos="567"/>
        <w:tab w:val="num" w:pos="1400"/>
      </w:tabs>
      <w:snapToGrid/>
      <w:spacing w:after="240"/>
      <w:ind w:left="720"/>
      <w:jc w:val="both"/>
    </w:pPr>
    <w:rPr>
      <w:rFonts w:ascii="Arial" w:hAnsi="Arial"/>
      <w:iCs/>
      <w:sz w:val="22"/>
      <w:szCs w:val="22"/>
    </w:rPr>
  </w:style>
  <w:style w:type="character" w:customStyle="1" w:styleId="Style2Car">
    <w:name w:val="Style2 Car"/>
    <w:link w:val="Style2"/>
    <w:rsid w:val="00B67D24"/>
    <w:rPr>
      <w:rFonts w:ascii="Arial" w:hAnsi="Arial"/>
      <w:iCs/>
      <w:snapToGrid w:val="0"/>
      <w:sz w:val="22"/>
      <w:szCs w:val="22"/>
      <w:shd w:val="clear" w:color="auto" w:fill="FFFFFF"/>
      <w:lang w:val="en-GB" w:eastAsia="en-US"/>
    </w:rPr>
  </w:style>
  <w:style w:type="character" w:customStyle="1" w:styleId="apple-tab-span">
    <w:name w:val="apple-tab-span"/>
    <w:basedOn w:val="DefaultParagraphFont"/>
    <w:rsid w:val="00F259F4"/>
  </w:style>
  <w:style w:type="paragraph" w:styleId="NoSpacing">
    <w:name w:val="No Spacing"/>
    <w:uiPriority w:val="1"/>
    <w:qFormat/>
    <w:rsid w:val="00003CD1"/>
    <w:rPr>
      <w:rFonts w:ascii="Calibri" w:eastAsia="DengXian" w:hAnsi="Calibri" w:cs="Calibri"/>
      <w:sz w:val="22"/>
      <w:szCs w:val="22"/>
      <w:lang w:val="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F20AD5"/>
    <w:rPr>
      <w:rFonts w:ascii="Arial" w:hAnsi="Arial"/>
      <w:snapToGrid w:val="0"/>
      <w:sz w:val="22"/>
      <w:szCs w:val="24"/>
      <w:lang w:eastAsia="en-US"/>
    </w:rPr>
  </w:style>
  <w:style w:type="character" w:customStyle="1" w:styleId="Heading2Char">
    <w:name w:val="Heading 2 Char"/>
    <w:basedOn w:val="DefaultParagraphFont"/>
    <w:link w:val="Heading2"/>
    <w:rsid w:val="00607FF0"/>
    <w:rPr>
      <w:rFonts w:ascii="Arial" w:hAnsi="Arial"/>
      <w:bCs/>
      <w:snapToGrid w:val="0"/>
      <w:sz w:val="22"/>
      <w:szCs w:val="24"/>
      <w:lang w:eastAsia="en-US"/>
    </w:rPr>
  </w:style>
  <w:style w:type="paragraph" w:styleId="HTMLPreformatted">
    <w:name w:val="HTML Preformatted"/>
    <w:basedOn w:val="Normal"/>
    <w:link w:val="HTMLPreformattedChar"/>
    <w:rsid w:val="004C13EB"/>
    <w:rPr>
      <w:rFonts w:ascii="Consolas" w:hAnsi="Consolas"/>
      <w:sz w:val="20"/>
      <w:szCs w:val="20"/>
    </w:rPr>
  </w:style>
  <w:style w:type="character" w:customStyle="1" w:styleId="HTMLPreformattedChar">
    <w:name w:val="HTML Preformatted Char"/>
    <w:basedOn w:val="DefaultParagraphFont"/>
    <w:link w:val="HTMLPreformatted"/>
    <w:rsid w:val="004C13EB"/>
    <w:rPr>
      <w:rFonts w:ascii="Consolas" w:hAnsi="Consolas"/>
      <w:snapToGrid w:val="0"/>
      <w:lang w:eastAsia="en-US"/>
    </w:rPr>
  </w:style>
  <w:style w:type="character" w:customStyle="1" w:styleId="HeaderChar">
    <w:name w:val="Header Char"/>
    <w:basedOn w:val="DefaultParagraphFont"/>
    <w:link w:val="Header"/>
    <w:uiPriority w:val="99"/>
    <w:rsid w:val="00724568"/>
    <w:rPr>
      <w:snapToGrid w:val="0"/>
      <w:sz w:val="24"/>
      <w:szCs w:val="24"/>
      <w:lang w:eastAsia="en-US"/>
    </w:rPr>
  </w:style>
  <w:style w:type="paragraph" w:customStyle="1" w:styleId="p1">
    <w:name w:val="p1"/>
    <w:basedOn w:val="Normal"/>
    <w:rsid w:val="00724568"/>
    <w:pPr>
      <w:tabs>
        <w:tab w:val="clear" w:pos="567"/>
      </w:tabs>
      <w:snapToGrid/>
      <w:spacing w:before="100" w:beforeAutospacing="1" w:after="100" w:afterAutospacing="1"/>
    </w:pPr>
    <w:rPr>
      <w:rFonts w:ascii="Calibri" w:eastAsia="Calibri" w:hAnsi="Calibri" w:cs="Calibri"/>
      <w:snapToGrid/>
      <w:sz w:val="22"/>
      <w:szCs w:val="22"/>
      <w:lang w:val="en-US"/>
    </w:rPr>
  </w:style>
  <w:style w:type="character" w:customStyle="1" w:styleId="s1">
    <w:name w:val="s1"/>
    <w:basedOn w:val="DefaultParagraphFont"/>
    <w:rsid w:val="00724568"/>
  </w:style>
  <w:style w:type="character" w:customStyle="1" w:styleId="s2">
    <w:name w:val="s2"/>
    <w:basedOn w:val="DefaultParagraphFont"/>
    <w:rsid w:val="00724568"/>
  </w:style>
  <w:style w:type="character" w:customStyle="1" w:styleId="s3">
    <w:name w:val="s3"/>
    <w:basedOn w:val="DefaultParagraphFont"/>
    <w:rsid w:val="00724568"/>
  </w:style>
  <w:style w:type="paragraph" w:customStyle="1" w:styleId="paragraph">
    <w:name w:val="paragraph"/>
    <w:basedOn w:val="Normal"/>
    <w:rsid w:val="00724568"/>
    <w:pPr>
      <w:tabs>
        <w:tab w:val="clear" w:pos="567"/>
      </w:tabs>
      <w:snapToGrid/>
      <w:spacing w:before="100" w:beforeAutospacing="1" w:after="100" w:afterAutospacing="1"/>
    </w:pPr>
    <w:rPr>
      <w:rFonts w:ascii="Calibri" w:eastAsiaTheme="minorEastAsia" w:hAnsi="Calibri" w:cs="Calibri"/>
      <w:snapToGrid/>
      <w:sz w:val="22"/>
      <w:szCs w:val="22"/>
      <w:lang w:eastAsia="zh-CN"/>
    </w:rPr>
  </w:style>
  <w:style w:type="character" w:customStyle="1" w:styleId="normaltextrun">
    <w:name w:val="normaltextrun"/>
    <w:basedOn w:val="DefaultParagraphFont"/>
    <w:rsid w:val="00724568"/>
  </w:style>
  <w:style w:type="character" w:customStyle="1" w:styleId="eop">
    <w:name w:val="eop"/>
    <w:basedOn w:val="DefaultParagraphFont"/>
    <w:rsid w:val="0072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946">
      <w:bodyDiv w:val="1"/>
      <w:marLeft w:val="0"/>
      <w:marRight w:val="0"/>
      <w:marTop w:val="0"/>
      <w:marBottom w:val="0"/>
      <w:divBdr>
        <w:top w:val="none" w:sz="0" w:space="0" w:color="auto"/>
        <w:left w:val="none" w:sz="0" w:space="0" w:color="auto"/>
        <w:bottom w:val="none" w:sz="0" w:space="0" w:color="auto"/>
        <w:right w:val="none" w:sz="0" w:space="0" w:color="auto"/>
      </w:divBdr>
    </w:div>
    <w:div w:id="51970090">
      <w:bodyDiv w:val="1"/>
      <w:marLeft w:val="0"/>
      <w:marRight w:val="0"/>
      <w:marTop w:val="0"/>
      <w:marBottom w:val="0"/>
      <w:divBdr>
        <w:top w:val="none" w:sz="0" w:space="0" w:color="auto"/>
        <w:left w:val="none" w:sz="0" w:space="0" w:color="auto"/>
        <w:bottom w:val="none" w:sz="0" w:space="0" w:color="auto"/>
        <w:right w:val="none" w:sz="0" w:space="0" w:color="auto"/>
      </w:divBdr>
    </w:div>
    <w:div w:id="70348463">
      <w:bodyDiv w:val="1"/>
      <w:marLeft w:val="0"/>
      <w:marRight w:val="0"/>
      <w:marTop w:val="0"/>
      <w:marBottom w:val="0"/>
      <w:divBdr>
        <w:top w:val="none" w:sz="0" w:space="0" w:color="auto"/>
        <w:left w:val="none" w:sz="0" w:space="0" w:color="auto"/>
        <w:bottom w:val="none" w:sz="0" w:space="0" w:color="auto"/>
        <w:right w:val="none" w:sz="0" w:space="0" w:color="auto"/>
      </w:divBdr>
    </w:div>
    <w:div w:id="91361543">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22314784">
      <w:bodyDiv w:val="1"/>
      <w:marLeft w:val="0"/>
      <w:marRight w:val="0"/>
      <w:marTop w:val="0"/>
      <w:marBottom w:val="0"/>
      <w:divBdr>
        <w:top w:val="none" w:sz="0" w:space="0" w:color="auto"/>
        <w:left w:val="none" w:sz="0" w:space="0" w:color="auto"/>
        <w:bottom w:val="none" w:sz="0" w:space="0" w:color="auto"/>
        <w:right w:val="none" w:sz="0" w:space="0" w:color="auto"/>
      </w:divBdr>
    </w:div>
    <w:div w:id="135725846">
      <w:bodyDiv w:val="1"/>
      <w:marLeft w:val="0"/>
      <w:marRight w:val="0"/>
      <w:marTop w:val="0"/>
      <w:marBottom w:val="0"/>
      <w:divBdr>
        <w:top w:val="none" w:sz="0" w:space="0" w:color="auto"/>
        <w:left w:val="none" w:sz="0" w:space="0" w:color="auto"/>
        <w:bottom w:val="none" w:sz="0" w:space="0" w:color="auto"/>
        <w:right w:val="none" w:sz="0" w:space="0" w:color="auto"/>
      </w:divBdr>
    </w:div>
    <w:div w:id="154928211">
      <w:bodyDiv w:val="1"/>
      <w:marLeft w:val="0"/>
      <w:marRight w:val="0"/>
      <w:marTop w:val="0"/>
      <w:marBottom w:val="0"/>
      <w:divBdr>
        <w:top w:val="none" w:sz="0" w:space="0" w:color="auto"/>
        <w:left w:val="none" w:sz="0" w:space="0" w:color="auto"/>
        <w:bottom w:val="none" w:sz="0" w:space="0" w:color="auto"/>
        <w:right w:val="none" w:sz="0" w:space="0" w:color="auto"/>
      </w:divBdr>
    </w:div>
    <w:div w:id="162669015">
      <w:bodyDiv w:val="1"/>
      <w:marLeft w:val="0"/>
      <w:marRight w:val="0"/>
      <w:marTop w:val="0"/>
      <w:marBottom w:val="0"/>
      <w:divBdr>
        <w:top w:val="none" w:sz="0" w:space="0" w:color="auto"/>
        <w:left w:val="none" w:sz="0" w:space="0" w:color="auto"/>
        <w:bottom w:val="none" w:sz="0" w:space="0" w:color="auto"/>
        <w:right w:val="none" w:sz="0" w:space="0" w:color="auto"/>
      </w:divBdr>
    </w:div>
    <w:div w:id="229275526">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264003736">
      <w:bodyDiv w:val="1"/>
      <w:marLeft w:val="0"/>
      <w:marRight w:val="0"/>
      <w:marTop w:val="0"/>
      <w:marBottom w:val="0"/>
      <w:divBdr>
        <w:top w:val="none" w:sz="0" w:space="0" w:color="auto"/>
        <w:left w:val="none" w:sz="0" w:space="0" w:color="auto"/>
        <w:bottom w:val="none" w:sz="0" w:space="0" w:color="auto"/>
        <w:right w:val="none" w:sz="0" w:space="0" w:color="auto"/>
      </w:divBdr>
    </w:div>
    <w:div w:id="282419493">
      <w:bodyDiv w:val="1"/>
      <w:marLeft w:val="0"/>
      <w:marRight w:val="0"/>
      <w:marTop w:val="0"/>
      <w:marBottom w:val="0"/>
      <w:divBdr>
        <w:top w:val="none" w:sz="0" w:space="0" w:color="auto"/>
        <w:left w:val="none" w:sz="0" w:space="0" w:color="auto"/>
        <w:bottom w:val="none" w:sz="0" w:space="0" w:color="auto"/>
        <w:right w:val="none" w:sz="0" w:space="0" w:color="auto"/>
      </w:divBdr>
    </w:div>
    <w:div w:id="287663822">
      <w:bodyDiv w:val="1"/>
      <w:marLeft w:val="0"/>
      <w:marRight w:val="0"/>
      <w:marTop w:val="0"/>
      <w:marBottom w:val="0"/>
      <w:divBdr>
        <w:top w:val="none" w:sz="0" w:space="0" w:color="auto"/>
        <w:left w:val="none" w:sz="0" w:space="0" w:color="auto"/>
        <w:bottom w:val="none" w:sz="0" w:space="0" w:color="auto"/>
        <w:right w:val="none" w:sz="0" w:space="0" w:color="auto"/>
      </w:divBdr>
    </w:div>
    <w:div w:id="305015266">
      <w:bodyDiv w:val="1"/>
      <w:marLeft w:val="0"/>
      <w:marRight w:val="0"/>
      <w:marTop w:val="0"/>
      <w:marBottom w:val="0"/>
      <w:divBdr>
        <w:top w:val="none" w:sz="0" w:space="0" w:color="auto"/>
        <w:left w:val="none" w:sz="0" w:space="0" w:color="auto"/>
        <w:bottom w:val="none" w:sz="0" w:space="0" w:color="auto"/>
        <w:right w:val="none" w:sz="0" w:space="0" w:color="auto"/>
      </w:divBdr>
    </w:div>
    <w:div w:id="305083822">
      <w:bodyDiv w:val="1"/>
      <w:marLeft w:val="0"/>
      <w:marRight w:val="0"/>
      <w:marTop w:val="0"/>
      <w:marBottom w:val="0"/>
      <w:divBdr>
        <w:top w:val="none" w:sz="0" w:space="0" w:color="auto"/>
        <w:left w:val="none" w:sz="0" w:space="0" w:color="auto"/>
        <w:bottom w:val="none" w:sz="0" w:space="0" w:color="auto"/>
        <w:right w:val="none" w:sz="0" w:space="0" w:color="auto"/>
      </w:divBdr>
    </w:div>
    <w:div w:id="321354953">
      <w:bodyDiv w:val="1"/>
      <w:marLeft w:val="0"/>
      <w:marRight w:val="0"/>
      <w:marTop w:val="0"/>
      <w:marBottom w:val="0"/>
      <w:divBdr>
        <w:top w:val="none" w:sz="0" w:space="0" w:color="auto"/>
        <w:left w:val="none" w:sz="0" w:space="0" w:color="auto"/>
        <w:bottom w:val="none" w:sz="0" w:space="0" w:color="auto"/>
        <w:right w:val="none" w:sz="0" w:space="0" w:color="auto"/>
      </w:divBdr>
    </w:div>
    <w:div w:id="321469001">
      <w:bodyDiv w:val="1"/>
      <w:marLeft w:val="0"/>
      <w:marRight w:val="0"/>
      <w:marTop w:val="0"/>
      <w:marBottom w:val="0"/>
      <w:divBdr>
        <w:top w:val="none" w:sz="0" w:space="0" w:color="auto"/>
        <w:left w:val="none" w:sz="0" w:space="0" w:color="auto"/>
        <w:bottom w:val="none" w:sz="0" w:space="0" w:color="auto"/>
        <w:right w:val="none" w:sz="0" w:space="0" w:color="auto"/>
      </w:divBdr>
    </w:div>
    <w:div w:id="330717446">
      <w:bodyDiv w:val="1"/>
      <w:marLeft w:val="0"/>
      <w:marRight w:val="0"/>
      <w:marTop w:val="0"/>
      <w:marBottom w:val="0"/>
      <w:divBdr>
        <w:top w:val="none" w:sz="0" w:space="0" w:color="auto"/>
        <w:left w:val="none" w:sz="0" w:space="0" w:color="auto"/>
        <w:bottom w:val="none" w:sz="0" w:space="0" w:color="auto"/>
        <w:right w:val="none" w:sz="0" w:space="0" w:color="auto"/>
      </w:divBdr>
    </w:div>
    <w:div w:id="366878759">
      <w:bodyDiv w:val="1"/>
      <w:marLeft w:val="0"/>
      <w:marRight w:val="0"/>
      <w:marTop w:val="0"/>
      <w:marBottom w:val="0"/>
      <w:divBdr>
        <w:top w:val="none" w:sz="0" w:space="0" w:color="auto"/>
        <w:left w:val="none" w:sz="0" w:space="0" w:color="auto"/>
        <w:bottom w:val="none" w:sz="0" w:space="0" w:color="auto"/>
        <w:right w:val="none" w:sz="0" w:space="0" w:color="auto"/>
      </w:divBdr>
    </w:div>
    <w:div w:id="391738171">
      <w:bodyDiv w:val="1"/>
      <w:marLeft w:val="0"/>
      <w:marRight w:val="0"/>
      <w:marTop w:val="0"/>
      <w:marBottom w:val="0"/>
      <w:divBdr>
        <w:top w:val="none" w:sz="0" w:space="0" w:color="auto"/>
        <w:left w:val="none" w:sz="0" w:space="0" w:color="auto"/>
        <w:bottom w:val="none" w:sz="0" w:space="0" w:color="auto"/>
        <w:right w:val="none" w:sz="0" w:space="0" w:color="auto"/>
      </w:divBdr>
    </w:div>
    <w:div w:id="423382314">
      <w:bodyDiv w:val="1"/>
      <w:marLeft w:val="0"/>
      <w:marRight w:val="0"/>
      <w:marTop w:val="0"/>
      <w:marBottom w:val="0"/>
      <w:divBdr>
        <w:top w:val="none" w:sz="0" w:space="0" w:color="auto"/>
        <w:left w:val="none" w:sz="0" w:space="0" w:color="auto"/>
        <w:bottom w:val="none" w:sz="0" w:space="0" w:color="auto"/>
        <w:right w:val="none" w:sz="0" w:space="0" w:color="auto"/>
      </w:divBdr>
    </w:div>
    <w:div w:id="499076999">
      <w:bodyDiv w:val="1"/>
      <w:marLeft w:val="0"/>
      <w:marRight w:val="0"/>
      <w:marTop w:val="0"/>
      <w:marBottom w:val="0"/>
      <w:divBdr>
        <w:top w:val="none" w:sz="0" w:space="0" w:color="auto"/>
        <w:left w:val="none" w:sz="0" w:space="0" w:color="auto"/>
        <w:bottom w:val="none" w:sz="0" w:space="0" w:color="auto"/>
        <w:right w:val="none" w:sz="0" w:space="0" w:color="auto"/>
      </w:divBdr>
    </w:div>
    <w:div w:id="515921880">
      <w:bodyDiv w:val="1"/>
      <w:marLeft w:val="0"/>
      <w:marRight w:val="0"/>
      <w:marTop w:val="0"/>
      <w:marBottom w:val="0"/>
      <w:divBdr>
        <w:top w:val="none" w:sz="0" w:space="0" w:color="auto"/>
        <w:left w:val="none" w:sz="0" w:space="0" w:color="auto"/>
        <w:bottom w:val="none" w:sz="0" w:space="0" w:color="auto"/>
        <w:right w:val="none" w:sz="0" w:space="0" w:color="auto"/>
      </w:divBdr>
    </w:div>
    <w:div w:id="538248776">
      <w:bodyDiv w:val="1"/>
      <w:marLeft w:val="0"/>
      <w:marRight w:val="0"/>
      <w:marTop w:val="0"/>
      <w:marBottom w:val="0"/>
      <w:divBdr>
        <w:top w:val="none" w:sz="0" w:space="0" w:color="auto"/>
        <w:left w:val="none" w:sz="0" w:space="0" w:color="auto"/>
        <w:bottom w:val="none" w:sz="0" w:space="0" w:color="auto"/>
        <w:right w:val="none" w:sz="0" w:space="0" w:color="auto"/>
      </w:divBdr>
    </w:div>
    <w:div w:id="557979975">
      <w:bodyDiv w:val="1"/>
      <w:marLeft w:val="0"/>
      <w:marRight w:val="0"/>
      <w:marTop w:val="0"/>
      <w:marBottom w:val="0"/>
      <w:divBdr>
        <w:top w:val="none" w:sz="0" w:space="0" w:color="auto"/>
        <w:left w:val="none" w:sz="0" w:space="0" w:color="auto"/>
        <w:bottom w:val="none" w:sz="0" w:space="0" w:color="auto"/>
        <w:right w:val="none" w:sz="0" w:space="0" w:color="auto"/>
      </w:divBdr>
    </w:div>
    <w:div w:id="577789774">
      <w:bodyDiv w:val="1"/>
      <w:marLeft w:val="0"/>
      <w:marRight w:val="0"/>
      <w:marTop w:val="0"/>
      <w:marBottom w:val="0"/>
      <w:divBdr>
        <w:top w:val="none" w:sz="0" w:space="0" w:color="auto"/>
        <w:left w:val="none" w:sz="0" w:space="0" w:color="auto"/>
        <w:bottom w:val="none" w:sz="0" w:space="0" w:color="auto"/>
        <w:right w:val="none" w:sz="0" w:space="0" w:color="auto"/>
      </w:divBdr>
    </w:div>
    <w:div w:id="588733764">
      <w:bodyDiv w:val="1"/>
      <w:marLeft w:val="0"/>
      <w:marRight w:val="0"/>
      <w:marTop w:val="0"/>
      <w:marBottom w:val="0"/>
      <w:divBdr>
        <w:top w:val="none" w:sz="0" w:space="0" w:color="auto"/>
        <w:left w:val="none" w:sz="0" w:space="0" w:color="auto"/>
        <w:bottom w:val="none" w:sz="0" w:space="0" w:color="auto"/>
        <w:right w:val="none" w:sz="0" w:space="0" w:color="auto"/>
      </w:divBdr>
    </w:div>
    <w:div w:id="595332393">
      <w:bodyDiv w:val="1"/>
      <w:marLeft w:val="0"/>
      <w:marRight w:val="0"/>
      <w:marTop w:val="0"/>
      <w:marBottom w:val="0"/>
      <w:divBdr>
        <w:top w:val="none" w:sz="0" w:space="0" w:color="auto"/>
        <w:left w:val="none" w:sz="0" w:space="0" w:color="auto"/>
        <w:bottom w:val="none" w:sz="0" w:space="0" w:color="auto"/>
        <w:right w:val="none" w:sz="0" w:space="0" w:color="auto"/>
      </w:divBdr>
      <w:divsChild>
        <w:div w:id="1202550052">
          <w:marLeft w:val="0"/>
          <w:marRight w:val="0"/>
          <w:marTop w:val="0"/>
          <w:marBottom w:val="0"/>
          <w:divBdr>
            <w:top w:val="none" w:sz="0" w:space="0" w:color="auto"/>
            <w:left w:val="none" w:sz="0" w:space="0" w:color="auto"/>
            <w:bottom w:val="none" w:sz="0" w:space="0" w:color="auto"/>
            <w:right w:val="none" w:sz="0" w:space="0" w:color="auto"/>
          </w:divBdr>
          <w:divsChild>
            <w:div w:id="2109042397">
              <w:marLeft w:val="0"/>
              <w:marRight w:val="0"/>
              <w:marTop w:val="0"/>
              <w:marBottom w:val="0"/>
              <w:divBdr>
                <w:top w:val="none" w:sz="0" w:space="0" w:color="auto"/>
                <w:left w:val="none" w:sz="0" w:space="0" w:color="auto"/>
                <w:bottom w:val="none" w:sz="0" w:space="0" w:color="auto"/>
                <w:right w:val="none" w:sz="0" w:space="0" w:color="auto"/>
              </w:divBdr>
              <w:divsChild>
                <w:div w:id="441341397">
                  <w:marLeft w:val="0"/>
                  <w:marRight w:val="0"/>
                  <w:marTop w:val="0"/>
                  <w:marBottom w:val="0"/>
                  <w:divBdr>
                    <w:top w:val="none" w:sz="0" w:space="0" w:color="auto"/>
                    <w:left w:val="none" w:sz="0" w:space="0" w:color="auto"/>
                    <w:bottom w:val="none" w:sz="0" w:space="0" w:color="auto"/>
                    <w:right w:val="none" w:sz="0" w:space="0" w:color="auto"/>
                  </w:divBdr>
                  <w:divsChild>
                    <w:div w:id="1966957979">
                      <w:marLeft w:val="0"/>
                      <w:marRight w:val="0"/>
                      <w:marTop w:val="0"/>
                      <w:marBottom w:val="0"/>
                      <w:divBdr>
                        <w:top w:val="none" w:sz="0" w:space="0" w:color="auto"/>
                        <w:left w:val="none" w:sz="0" w:space="0" w:color="auto"/>
                        <w:bottom w:val="none" w:sz="0" w:space="0" w:color="auto"/>
                        <w:right w:val="none" w:sz="0" w:space="0" w:color="auto"/>
                      </w:divBdr>
                      <w:divsChild>
                        <w:div w:id="1945578559">
                          <w:marLeft w:val="0"/>
                          <w:marRight w:val="0"/>
                          <w:marTop w:val="0"/>
                          <w:marBottom w:val="0"/>
                          <w:divBdr>
                            <w:top w:val="none" w:sz="0" w:space="0" w:color="auto"/>
                            <w:left w:val="none" w:sz="0" w:space="0" w:color="auto"/>
                            <w:bottom w:val="none" w:sz="0" w:space="0" w:color="auto"/>
                            <w:right w:val="none" w:sz="0" w:space="0" w:color="auto"/>
                          </w:divBdr>
                          <w:divsChild>
                            <w:div w:id="240409960">
                              <w:marLeft w:val="0"/>
                              <w:marRight w:val="0"/>
                              <w:marTop w:val="0"/>
                              <w:marBottom w:val="0"/>
                              <w:divBdr>
                                <w:top w:val="none" w:sz="0" w:space="0" w:color="auto"/>
                                <w:left w:val="none" w:sz="0" w:space="0" w:color="auto"/>
                                <w:bottom w:val="none" w:sz="0" w:space="0" w:color="auto"/>
                                <w:right w:val="none" w:sz="0" w:space="0" w:color="auto"/>
                              </w:divBdr>
                              <w:divsChild>
                                <w:div w:id="60444694">
                                  <w:marLeft w:val="0"/>
                                  <w:marRight w:val="0"/>
                                  <w:marTop w:val="0"/>
                                  <w:marBottom w:val="0"/>
                                  <w:divBdr>
                                    <w:top w:val="none" w:sz="0" w:space="0" w:color="auto"/>
                                    <w:left w:val="none" w:sz="0" w:space="0" w:color="auto"/>
                                    <w:bottom w:val="none" w:sz="0" w:space="0" w:color="auto"/>
                                    <w:right w:val="none" w:sz="0" w:space="0" w:color="auto"/>
                                  </w:divBdr>
                                  <w:divsChild>
                                    <w:div w:id="1658220699">
                                      <w:marLeft w:val="0"/>
                                      <w:marRight w:val="0"/>
                                      <w:marTop w:val="0"/>
                                      <w:marBottom w:val="0"/>
                                      <w:divBdr>
                                        <w:top w:val="none" w:sz="0" w:space="0" w:color="auto"/>
                                        <w:left w:val="none" w:sz="0" w:space="0" w:color="auto"/>
                                        <w:bottom w:val="none" w:sz="0" w:space="0" w:color="auto"/>
                                        <w:right w:val="none" w:sz="0" w:space="0" w:color="auto"/>
                                      </w:divBdr>
                                      <w:divsChild>
                                        <w:div w:id="1870218197">
                                          <w:marLeft w:val="0"/>
                                          <w:marRight w:val="0"/>
                                          <w:marTop w:val="0"/>
                                          <w:marBottom w:val="0"/>
                                          <w:divBdr>
                                            <w:top w:val="none" w:sz="0" w:space="0" w:color="auto"/>
                                            <w:left w:val="none" w:sz="0" w:space="0" w:color="auto"/>
                                            <w:bottom w:val="none" w:sz="0" w:space="0" w:color="auto"/>
                                            <w:right w:val="none" w:sz="0" w:space="0" w:color="auto"/>
                                          </w:divBdr>
                                          <w:divsChild>
                                            <w:div w:id="332220164">
                                              <w:marLeft w:val="0"/>
                                              <w:marRight w:val="0"/>
                                              <w:marTop w:val="0"/>
                                              <w:marBottom w:val="0"/>
                                              <w:divBdr>
                                                <w:top w:val="none" w:sz="0" w:space="0" w:color="auto"/>
                                                <w:left w:val="none" w:sz="0" w:space="0" w:color="auto"/>
                                                <w:bottom w:val="none" w:sz="0" w:space="0" w:color="auto"/>
                                                <w:right w:val="none" w:sz="0" w:space="0" w:color="auto"/>
                                              </w:divBdr>
                                              <w:divsChild>
                                                <w:div w:id="1314068619">
                                                  <w:marLeft w:val="0"/>
                                                  <w:marRight w:val="0"/>
                                                  <w:marTop w:val="0"/>
                                                  <w:marBottom w:val="0"/>
                                                  <w:divBdr>
                                                    <w:top w:val="none" w:sz="0" w:space="0" w:color="auto"/>
                                                    <w:left w:val="none" w:sz="0" w:space="0" w:color="auto"/>
                                                    <w:bottom w:val="none" w:sz="0" w:space="0" w:color="auto"/>
                                                    <w:right w:val="none" w:sz="0" w:space="0" w:color="auto"/>
                                                  </w:divBdr>
                                                  <w:divsChild>
                                                    <w:div w:id="40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485794">
      <w:bodyDiv w:val="1"/>
      <w:marLeft w:val="0"/>
      <w:marRight w:val="0"/>
      <w:marTop w:val="0"/>
      <w:marBottom w:val="0"/>
      <w:divBdr>
        <w:top w:val="none" w:sz="0" w:space="0" w:color="auto"/>
        <w:left w:val="none" w:sz="0" w:space="0" w:color="auto"/>
        <w:bottom w:val="none" w:sz="0" w:space="0" w:color="auto"/>
        <w:right w:val="none" w:sz="0" w:space="0" w:color="auto"/>
      </w:divBdr>
    </w:div>
    <w:div w:id="652176721">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78702927">
      <w:bodyDiv w:val="1"/>
      <w:marLeft w:val="0"/>
      <w:marRight w:val="0"/>
      <w:marTop w:val="0"/>
      <w:marBottom w:val="0"/>
      <w:divBdr>
        <w:top w:val="none" w:sz="0" w:space="0" w:color="auto"/>
        <w:left w:val="none" w:sz="0" w:space="0" w:color="auto"/>
        <w:bottom w:val="none" w:sz="0" w:space="0" w:color="auto"/>
        <w:right w:val="none" w:sz="0" w:space="0" w:color="auto"/>
      </w:divBdr>
    </w:div>
    <w:div w:id="680164829">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16398210">
      <w:bodyDiv w:val="1"/>
      <w:marLeft w:val="0"/>
      <w:marRight w:val="0"/>
      <w:marTop w:val="0"/>
      <w:marBottom w:val="0"/>
      <w:divBdr>
        <w:top w:val="none" w:sz="0" w:space="0" w:color="auto"/>
        <w:left w:val="none" w:sz="0" w:space="0" w:color="auto"/>
        <w:bottom w:val="none" w:sz="0" w:space="0" w:color="auto"/>
        <w:right w:val="none" w:sz="0" w:space="0" w:color="auto"/>
      </w:divBdr>
    </w:div>
    <w:div w:id="758646961">
      <w:bodyDiv w:val="1"/>
      <w:marLeft w:val="0"/>
      <w:marRight w:val="0"/>
      <w:marTop w:val="0"/>
      <w:marBottom w:val="0"/>
      <w:divBdr>
        <w:top w:val="none" w:sz="0" w:space="0" w:color="auto"/>
        <w:left w:val="none" w:sz="0" w:space="0" w:color="auto"/>
        <w:bottom w:val="none" w:sz="0" w:space="0" w:color="auto"/>
        <w:right w:val="none" w:sz="0" w:space="0" w:color="auto"/>
      </w:divBdr>
    </w:div>
    <w:div w:id="760565754">
      <w:bodyDiv w:val="1"/>
      <w:marLeft w:val="0"/>
      <w:marRight w:val="0"/>
      <w:marTop w:val="0"/>
      <w:marBottom w:val="0"/>
      <w:divBdr>
        <w:top w:val="none" w:sz="0" w:space="0" w:color="auto"/>
        <w:left w:val="none" w:sz="0" w:space="0" w:color="auto"/>
        <w:bottom w:val="none" w:sz="0" w:space="0" w:color="auto"/>
        <w:right w:val="none" w:sz="0" w:space="0" w:color="auto"/>
      </w:divBdr>
    </w:div>
    <w:div w:id="786005851">
      <w:bodyDiv w:val="1"/>
      <w:marLeft w:val="0"/>
      <w:marRight w:val="0"/>
      <w:marTop w:val="0"/>
      <w:marBottom w:val="0"/>
      <w:divBdr>
        <w:top w:val="none" w:sz="0" w:space="0" w:color="auto"/>
        <w:left w:val="none" w:sz="0" w:space="0" w:color="auto"/>
        <w:bottom w:val="none" w:sz="0" w:space="0" w:color="auto"/>
        <w:right w:val="none" w:sz="0" w:space="0" w:color="auto"/>
      </w:divBdr>
      <w:divsChild>
        <w:div w:id="5269780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 w:id="502470481">
          <w:marLeft w:val="0"/>
          <w:marRight w:val="0"/>
          <w:marTop w:val="0"/>
          <w:marBottom w:val="0"/>
          <w:divBdr>
            <w:top w:val="none" w:sz="0" w:space="0" w:color="auto"/>
            <w:left w:val="none" w:sz="0" w:space="0" w:color="auto"/>
            <w:bottom w:val="none" w:sz="0" w:space="0" w:color="auto"/>
            <w:right w:val="none" w:sz="0" w:space="0" w:color="auto"/>
          </w:divBdr>
        </w:div>
        <w:div w:id="775296824">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522276685">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 w:id="2128547718">
          <w:marLeft w:val="0"/>
          <w:marRight w:val="0"/>
          <w:marTop w:val="0"/>
          <w:marBottom w:val="0"/>
          <w:divBdr>
            <w:top w:val="none" w:sz="0" w:space="0" w:color="auto"/>
            <w:left w:val="none" w:sz="0" w:space="0" w:color="auto"/>
            <w:bottom w:val="none" w:sz="0" w:space="0" w:color="auto"/>
            <w:right w:val="none" w:sz="0" w:space="0" w:color="auto"/>
          </w:divBdr>
        </w:div>
      </w:divsChild>
    </w:div>
    <w:div w:id="814681178">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43472656">
      <w:bodyDiv w:val="1"/>
      <w:marLeft w:val="0"/>
      <w:marRight w:val="0"/>
      <w:marTop w:val="0"/>
      <w:marBottom w:val="0"/>
      <w:divBdr>
        <w:top w:val="none" w:sz="0" w:space="0" w:color="auto"/>
        <w:left w:val="none" w:sz="0" w:space="0" w:color="auto"/>
        <w:bottom w:val="none" w:sz="0" w:space="0" w:color="auto"/>
        <w:right w:val="none" w:sz="0" w:space="0" w:color="auto"/>
      </w:divBdr>
    </w:div>
    <w:div w:id="850877995">
      <w:bodyDiv w:val="1"/>
      <w:marLeft w:val="0"/>
      <w:marRight w:val="0"/>
      <w:marTop w:val="0"/>
      <w:marBottom w:val="0"/>
      <w:divBdr>
        <w:top w:val="none" w:sz="0" w:space="0" w:color="auto"/>
        <w:left w:val="none" w:sz="0" w:space="0" w:color="auto"/>
        <w:bottom w:val="none" w:sz="0" w:space="0" w:color="auto"/>
        <w:right w:val="none" w:sz="0" w:space="0" w:color="auto"/>
      </w:divBdr>
    </w:div>
    <w:div w:id="851845616">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61361026">
      <w:bodyDiv w:val="1"/>
      <w:marLeft w:val="0"/>
      <w:marRight w:val="0"/>
      <w:marTop w:val="0"/>
      <w:marBottom w:val="0"/>
      <w:divBdr>
        <w:top w:val="none" w:sz="0" w:space="0" w:color="auto"/>
        <w:left w:val="none" w:sz="0" w:space="0" w:color="auto"/>
        <w:bottom w:val="none" w:sz="0" w:space="0" w:color="auto"/>
        <w:right w:val="none" w:sz="0" w:space="0" w:color="auto"/>
      </w:divBdr>
    </w:div>
    <w:div w:id="874849985">
      <w:bodyDiv w:val="1"/>
      <w:marLeft w:val="0"/>
      <w:marRight w:val="0"/>
      <w:marTop w:val="0"/>
      <w:marBottom w:val="0"/>
      <w:divBdr>
        <w:top w:val="none" w:sz="0" w:space="0" w:color="auto"/>
        <w:left w:val="none" w:sz="0" w:space="0" w:color="auto"/>
        <w:bottom w:val="none" w:sz="0" w:space="0" w:color="auto"/>
        <w:right w:val="none" w:sz="0" w:space="0" w:color="auto"/>
      </w:divBdr>
    </w:div>
    <w:div w:id="875508131">
      <w:bodyDiv w:val="1"/>
      <w:marLeft w:val="0"/>
      <w:marRight w:val="0"/>
      <w:marTop w:val="0"/>
      <w:marBottom w:val="0"/>
      <w:divBdr>
        <w:top w:val="none" w:sz="0" w:space="0" w:color="auto"/>
        <w:left w:val="none" w:sz="0" w:space="0" w:color="auto"/>
        <w:bottom w:val="none" w:sz="0" w:space="0" w:color="auto"/>
        <w:right w:val="none" w:sz="0" w:space="0" w:color="auto"/>
      </w:divBdr>
    </w:div>
    <w:div w:id="908423121">
      <w:bodyDiv w:val="1"/>
      <w:marLeft w:val="0"/>
      <w:marRight w:val="0"/>
      <w:marTop w:val="0"/>
      <w:marBottom w:val="0"/>
      <w:divBdr>
        <w:top w:val="none" w:sz="0" w:space="0" w:color="auto"/>
        <w:left w:val="none" w:sz="0" w:space="0" w:color="auto"/>
        <w:bottom w:val="none" w:sz="0" w:space="0" w:color="auto"/>
        <w:right w:val="none" w:sz="0" w:space="0" w:color="auto"/>
      </w:divBdr>
    </w:div>
    <w:div w:id="933130647">
      <w:bodyDiv w:val="1"/>
      <w:marLeft w:val="0"/>
      <w:marRight w:val="0"/>
      <w:marTop w:val="0"/>
      <w:marBottom w:val="0"/>
      <w:divBdr>
        <w:top w:val="none" w:sz="0" w:space="0" w:color="auto"/>
        <w:left w:val="none" w:sz="0" w:space="0" w:color="auto"/>
        <w:bottom w:val="none" w:sz="0" w:space="0" w:color="auto"/>
        <w:right w:val="none" w:sz="0" w:space="0" w:color="auto"/>
      </w:divBdr>
    </w:div>
    <w:div w:id="943195527">
      <w:bodyDiv w:val="1"/>
      <w:marLeft w:val="0"/>
      <w:marRight w:val="0"/>
      <w:marTop w:val="0"/>
      <w:marBottom w:val="0"/>
      <w:divBdr>
        <w:top w:val="none" w:sz="0" w:space="0" w:color="auto"/>
        <w:left w:val="none" w:sz="0" w:space="0" w:color="auto"/>
        <w:bottom w:val="none" w:sz="0" w:space="0" w:color="auto"/>
        <w:right w:val="none" w:sz="0" w:space="0" w:color="auto"/>
      </w:divBdr>
    </w:div>
    <w:div w:id="944844042">
      <w:bodyDiv w:val="1"/>
      <w:marLeft w:val="0"/>
      <w:marRight w:val="0"/>
      <w:marTop w:val="0"/>
      <w:marBottom w:val="0"/>
      <w:divBdr>
        <w:top w:val="none" w:sz="0" w:space="0" w:color="auto"/>
        <w:left w:val="none" w:sz="0" w:space="0" w:color="auto"/>
        <w:bottom w:val="none" w:sz="0" w:space="0" w:color="auto"/>
        <w:right w:val="none" w:sz="0" w:space="0" w:color="auto"/>
      </w:divBdr>
    </w:div>
    <w:div w:id="948051837">
      <w:bodyDiv w:val="1"/>
      <w:marLeft w:val="0"/>
      <w:marRight w:val="0"/>
      <w:marTop w:val="0"/>
      <w:marBottom w:val="0"/>
      <w:divBdr>
        <w:top w:val="none" w:sz="0" w:space="0" w:color="auto"/>
        <w:left w:val="none" w:sz="0" w:space="0" w:color="auto"/>
        <w:bottom w:val="none" w:sz="0" w:space="0" w:color="auto"/>
        <w:right w:val="none" w:sz="0" w:space="0" w:color="auto"/>
      </w:divBdr>
    </w:div>
    <w:div w:id="967198066">
      <w:bodyDiv w:val="1"/>
      <w:marLeft w:val="0"/>
      <w:marRight w:val="0"/>
      <w:marTop w:val="0"/>
      <w:marBottom w:val="0"/>
      <w:divBdr>
        <w:top w:val="none" w:sz="0" w:space="0" w:color="auto"/>
        <w:left w:val="none" w:sz="0" w:space="0" w:color="auto"/>
        <w:bottom w:val="none" w:sz="0" w:space="0" w:color="auto"/>
        <w:right w:val="none" w:sz="0" w:space="0" w:color="auto"/>
      </w:divBdr>
    </w:div>
    <w:div w:id="97491496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1123958">
      <w:bodyDiv w:val="1"/>
      <w:marLeft w:val="0"/>
      <w:marRight w:val="0"/>
      <w:marTop w:val="0"/>
      <w:marBottom w:val="0"/>
      <w:divBdr>
        <w:top w:val="none" w:sz="0" w:space="0" w:color="auto"/>
        <w:left w:val="none" w:sz="0" w:space="0" w:color="auto"/>
        <w:bottom w:val="none" w:sz="0" w:space="0" w:color="auto"/>
        <w:right w:val="none" w:sz="0" w:space="0" w:color="auto"/>
      </w:divBdr>
    </w:div>
    <w:div w:id="1074661441">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079786463">
      <w:bodyDiv w:val="1"/>
      <w:marLeft w:val="0"/>
      <w:marRight w:val="0"/>
      <w:marTop w:val="0"/>
      <w:marBottom w:val="0"/>
      <w:divBdr>
        <w:top w:val="none" w:sz="0" w:space="0" w:color="auto"/>
        <w:left w:val="none" w:sz="0" w:space="0" w:color="auto"/>
        <w:bottom w:val="none" w:sz="0" w:space="0" w:color="auto"/>
        <w:right w:val="none" w:sz="0" w:space="0" w:color="auto"/>
      </w:divBdr>
    </w:div>
    <w:div w:id="1133056741">
      <w:bodyDiv w:val="1"/>
      <w:marLeft w:val="0"/>
      <w:marRight w:val="0"/>
      <w:marTop w:val="0"/>
      <w:marBottom w:val="0"/>
      <w:divBdr>
        <w:top w:val="none" w:sz="0" w:space="0" w:color="auto"/>
        <w:left w:val="none" w:sz="0" w:space="0" w:color="auto"/>
        <w:bottom w:val="none" w:sz="0" w:space="0" w:color="auto"/>
        <w:right w:val="none" w:sz="0" w:space="0" w:color="auto"/>
      </w:divBdr>
    </w:div>
    <w:div w:id="1153716480">
      <w:bodyDiv w:val="1"/>
      <w:marLeft w:val="0"/>
      <w:marRight w:val="0"/>
      <w:marTop w:val="0"/>
      <w:marBottom w:val="0"/>
      <w:divBdr>
        <w:top w:val="none" w:sz="0" w:space="0" w:color="auto"/>
        <w:left w:val="none" w:sz="0" w:space="0" w:color="auto"/>
        <w:bottom w:val="none" w:sz="0" w:space="0" w:color="auto"/>
        <w:right w:val="none" w:sz="0" w:space="0" w:color="auto"/>
      </w:divBdr>
    </w:div>
    <w:div w:id="1169826400">
      <w:bodyDiv w:val="1"/>
      <w:marLeft w:val="0"/>
      <w:marRight w:val="0"/>
      <w:marTop w:val="0"/>
      <w:marBottom w:val="0"/>
      <w:divBdr>
        <w:top w:val="none" w:sz="0" w:space="0" w:color="auto"/>
        <w:left w:val="none" w:sz="0" w:space="0" w:color="auto"/>
        <w:bottom w:val="none" w:sz="0" w:space="0" w:color="auto"/>
        <w:right w:val="none" w:sz="0" w:space="0" w:color="auto"/>
      </w:divBdr>
    </w:div>
    <w:div w:id="1174764494">
      <w:bodyDiv w:val="1"/>
      <w:marLeft w:val="0"/>
      <w:marRight w:val="0"/>
      <w:marTop w:val="0"/>
      <w:marBottom w:val="0"/>
      <w:divBdr>
        <w:top w:val="none" w:sz="0" w:space="0" w:color="auto"/>
        <w:left w:val="none" w:sz="0" w:space="0" w:color="auto"/>
        <w:bottom w:val="none" w:sz="0" w:space="0" w:color="auto"/>
        <w:right w:val="none" w:sz="0" w:space="0" w:color="auto"/>
      </w:divBdr>
    </w:div>
    <w:div w:id="1195924216">
      <w:bodyDiv w:val="1"/>
      <w:marLeft w:val="0"/>
      <w:marRight w:val="0"/>
      <w:marTop w:val="0"/>
      <w:marBottom w:val="0"/>
      <w:divBdr>
        <w:top w:val="none" w:sz="0" w:space="0" w:color="auto"/>
        <w:left w:val="none" w:sz="0" w:space="0" w:color="auto"/>
        <w:bottom w:val="none" w:sz="0" w:space="0" w:color="auto"/>
        <w:right w:val="none" w:sz="0" w:space="0" w:color="auto"/>
      </w:divBdr>
    </w:div>
    <w:div w:id="1222517002">
      <w:bodyDiv w:val="1"/>
      <w:marLeft w:val="0"/>
      <w:marRight w:val="0"/>
      <w:marTop w:val="0"/>
      <w:marBottom w:val="0"/>
      <w:divBdr>
        <w:top w:val="none" w:sz="0" w:space="0" w:color="auto"/>
        <w:left w:val="none" w:sz="0" w:space="0" w:color="auto"/>
        <w:bottom w:val="none" w:sz="0" w:space="0" w:color="auto"/>
        <w:right w:val="none" w:sz="0" w:space="0" w:color="auto"/>
      </w:divBdr>
    </w:div>
    <w:div w:id="1226377589">
      <w:bodyDiv w:val="1"/>
      <w:marLeft w:val="0"/>
      <w:marRight w:val="0"/>
      <w:marTop w:val="0"/>
      <w:marBottom w:val="0"/>
      <w:divBdr>
        <w:top w:val="none" w:sz="0" w:space="0" w:color="auto"/>
        <w:left w:val="none" w:sz="0" w:space="0" w:color="auto"/>
        <w:bottom w:val="none" w:sz="0" w:space="0" w:color="auto"/>
        <w:right w:val="none" w:sz="0" w:space="0" w:color="auto"/>
      </w:divBdr>
    </w:div>
    <w:div w:id="1231188329">
      <w:bodyDiv w:val="1"/>
      <w:marLeft w:val="0"/>
      <w:marRight w:val="0"/>
      <w:marTop w:val="0"/>
      <w:marBottom w:val="0"/>
      <w:divBdr>
        <w:top w:val="none" w:sz="0" w:space="0" w:color="auto"/>
        <w:left w:val="none" w:sz="0" w:space="0" w:color="auto"/>
        <w:bottom w:val="none" w:sz="0" w:space="0" w:color="auto"/>
        <w:right w:val="none" w:sz="0" w:space="0" w:color="auto"/>
      </w:divBdr>
    </w:div>
    <w:div w:id="1243415337">
      <w:bodyDiv w:val="1"/>
      <w:marLeft w:val="0"/>
      <w:marRight w:val="0"/>
      <w:marTop w:val="0"/>
      <w:marBottom w:val="0"/>
      <w:divBdr>
        <w:top w:val="none" w:sz="0" w:space="0" w:color="auto"/>
        <w:left w:val="none" w:sz="0" w:space="0" w:color="auto"/>
        <w:bottom w:val="none" w:sz="0" w:space="0" w:color="auto"/>
        <w:right w:val="none" w:sz="0" w:space="0" w:color="auto"/>
      </w:divBdr>
    </w:div>
    <w:div w:id="1251505487">
      <w:bodyDiv w:val="1"/>
      <w:marLeft w:val="0"/>
      <w:marRight w:val="0"/>
      <w:marTop w:val="0"/>
      <w:marBottom w:val="0"/>
      <w:divBdr>
        <w:top w:val="none" w:sz="0" w:space="0" w:color="auto"/>
        <w:left w:val="none" w:sz="0" w:space="0" w:color="auto"/>
        <w:bottom w:val="none" w:sz="0" w:space="0" w:color="auto"/>
        <w:right w:val="none" w:sz="0" w:space="0" w:color="auto"/>
      </w:divBdr>
    </w:div>
    <w:div w:id="1253591873">
      <w:bodyDiv w:val="1"/>
      <w:marLeft w:val="0"/>
      <w:marRight w:val="0"/>
      <w:marTop w:val="0"/>
      <w:marBottom w:val="0"/>
      <w:divBdr>
        <w:top w:val="none" w:sz="0" w:space="0" w:color="auto"/>
        <w:left w:val="none" w:sz="0" w:space="0" w:color="auto"/>
        <w:bottom w:val="none" w:sz="0" w:space="0" w:color="auto"/>
        <w:right w:val="none" w:sz="0" w:space="0" w:color="auto"/>
      </w:divBdr>
    </w:div>
    <w:div w:id="1256936640">
      <w:bodyDiv w:val="1"/>
      <w:marLeft w:val="0"/>
      <w:marRight w:val="0"/>
      <w:marTop w:val="0"/>
      <w:marBottom w:val="0"/>
      <w:divBdr>
        <w:top w:val="none" w:sz="0" w:space="0" w:color="auto"/>
        <w:left w:val="none" w:sz="0" w:space="0" w:color="auto"/>
        <w:bottom w:val="none" w:sz="0" w:space="0" w:color="auto"/>
        <w:right w:val="none" w:sz="0" w:space="0" w:color="auto"/>
      </w:divBdr>
    </w:div>
    <w:div w:id="1258750062">
      <w:bodyDiv w:val="1"/>
      <w:marLeft w:val="0"/>
      <w:marRight w:val="0"/>
      <w:marTop w:val="0"/>
      <w:marBottom w:val="0"/>
      <w:divBdr>
        <w:top w:val="none" w:sz="0" w:space="0" w:color="auto"/>
        <w:left w:val="none" w:sz="0" w:space="0" w:color="auto"/>
        <w:bottom w:val="none" w:sz="0" w:space="0" w:color="auto"/>
        <w:right w:val="none" w:sz="0" w:space="0" w:color="auto"/>
      </w:divBdr>
    </w:div>
    <w:div w:id="1260719794">
      <w:bodyDiv w:val="1"/>
      <w:marLeft w:val="0"/>
      <w:marRight w:val="0"/>
      <w:marTop w:val="0"/>
      <w:marBottom w:val="0"/>
      <w:divBdr>
        <w:top w:val="none" w:sz="0" w:space="0" w:color="auto"/>
        <w:left w:val="none" w:sz="0" w:space="0" w:color="auto"/>
        <w:bottom w:val="none" w:sz="0" w:space="0" w:color="auto"/>
        <w:right w:val="none" w:sz="0" w:space="0" w:color="auto"/>
      </w:divBdr>
    </w:div>
    <w:div w:id="1266424374">
      <w:bodyDiv w:val="1"/>
      <w:marLeft w:val="0"/>
      <w:marRight w:val="0"/>
      <w:marTop w:val="0"/>
      <w:marBottom w:val="0"/>
      <w:divBdr>
        <w:top w:val="none" w:sz="0" w:space="0" w:color="auto"/>
        <w:left w:val="none" w:sz="0" w:space="0" w:color="auto"/>
        <w:bottom w:val="none" w:sz="0" w:space="0" w:color="auto"/>
        <w:right w:val="none" w:sz="0" w:space="0" w:color="auto"/>
      </w:divBdr>
    </w:div>
    <w:div w:id="1306546725">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9726203">
      <w:bodyDiv w:val="1"/>
      <w:marLeft w:val="0"/>
      <w:marRight w:val="0"/>
      <w:marTop w:val="0"/>
      <w:marBottom w:val="0"/>
      <w:divBdr>
        <w:top w:val="none" w:sz="0" w:space="0" w:color="auto"/>
        <w:left w:val="none" w:sz="0" w:space="0" w:color="auto"/>
        <w:bottom w:val="none" w:sz="0" w:space="0" w:color="auto"/>
        <w:right w:val="none" w:sz="0" w:space="0" w:color="auto"/>
      </w:divBdr>
    </w:div>
    <w:div w:id="1338536504">
      <w:bodyDiv w:val="1"/>
      <w:marLeft w:val="0"/>
      <w:marRight w:val="0"/>
      <w:marTop w:val="0"/>
      <w:marBottom w:val="0"/>
      <w:divBdr>
        <w:top w:val="none" w:sz="0" w:space="0" w:color="auto"/>
        <w:left w:val="none" w:sz="0" w:space="0" w:color="auto"/>
        <w:bottom w:val="none" w:sz="0" w:space="0" w:color="auto"/>
        <w:right w:val="none" w:sz="0" w:space="0" w:color="auto"/>
      </w:divBdr>
    </w:div>
    <w:div w:id="1338921699">
      <w:bodyDiv w:val="1"/>
      <w:marLeft w:val="0"/>
      <w:marRight w:val="0"/>
      <w:marTop w:val="0"/>
      <w:marBottom w:val="0"/>
      <w:divBdr>
        <w:top w:val="none" w:sz="0" w:space="0" w:color="auto"/>
        <w:left w:val="none" w:sz="0" w:space="0" w:color="auto"/>
        <w:bottom w:val="none" w:sz="0" w:space="0" w:color="auto"/>
        <w:right w:val="none" w:sz="0" w:space="0" w:color="auto"/>
      </w:divBdr>
    </w:div>
    <w:div w:id="1358585464">
      <w:bodyDiv w:val="1"/>
      <w:marLeft w:val="0"/>
      <w:marRight w:val="0"/>
      <w:marTop w:val="0"/>
      <w:marBottom w:val="0"/>
      <w:divBdr>
        <w:top w:val="none" w:sz="0" w:space="0" w:color="auto"/>
        <w:left w:val="none" w:sz="0" w:space="0" w:color="auto"/>
        <w:bottom w:val="none" w:sz="0" w:space="0" w:color="auto"/>
        <w:right w:val="none" w:sz="0" w:space="0" w:color="auto"/>
      </w:divBdr>
    </w:div>
    <w:div w:id="136428532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89">
          <w:marLeft w:val="0"/>
          <w:marRight w:val="0"/>
          <w:marTop w:val="0"/>
          <w:marBottom w:val="0"/>
          <w:divBdr>
            <w:top w:val="none" w:sz="0" w:space="0" w:color="auto"/>
            <w:left w:val="none" w:sz="0" w:space="0" w:color="auto"/>
            <w:bottom w:val="none" w:sz="0" w:space="0" w:color="auto"/>
            <w:right w:val="none" w:sz="0" w:space="0" w:color="auto"/>
          </w:divBdr>
        </w:div>
      </w:divsChild>
    </w:div>
    <w:div w:id="1377657937">
      <w:bodyDiv w:val="1"/>
      <w:marLeft w:val="0"/>
      <w:marRight w:val="0"/>
      <w:marTop w:val="0"/>
      <w:marBottom w:val="0"/>
      <w:divBdr>
        <w:top w:val="none" w:sz="0" w:space="0" w:color="auto"/>
        <w:left w:val="none" w:sz="0" w:space="0" w:color="auto"/>
        <w:bottom w:val="none" w:sz="0" w:space="0" w:color="auto"/>
        <w:right w:val="none" w:sz="0" w:space="0" w:color="auto"/>
      </w:divBdr>
    </w:div>
    <w:div w:id="1379009083">
      <w:bodyDiv w:val="1"/>
      <w:marLeft w:val="0"/>
      <w:marRight w:val="0"/>
      <w:marTop w:val="0"/>
      <w:marBottom w:val="0"/>
      <w:divBdr>
        <w:top w:val="none" w:sz="0" w:space="0" w:color="auto"/>
        <w:left w:val="none" w:sz="0" w:space="0" w:color="auto"/>
        <w:bottom w:val="none" w:sz="0" w:space="0" w:color="auto"/>
        <w:right w:val="none" w:sz="0" w:space="0" w:color="auto"/>
      </w:divBdr>
    </w:div>
    <w:div w:id="1390691375">
      <w:bodyDiv w:val="1"/>
      <w:marLeft w:val="0"/>
      <w:marRight w:val="0"/>
      <w:marTop w:val="0"/>
      <w:marBottom w:val="0"/>
      <w:divBdr>
        <w:top w:val="none" w:sz="0" w:space="0" w:color="auto"/>
        <w:left w:val="none" w:sz="0" w:space="0" w:color="auto"/>
        <w:bottom w:val="none" w:sz="0" w:space="0" w:color="auto"/>
        <w:right w:val="none" w:sz="0" w:space="0" w:color="auto"/>
      </w:divBdr>
    </w:div>
    <w:div w:id="1421684493">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40836349">
      <w:bodyDiv w:val="1"/>
      <w:marLeft w:val="0"/>
      <w:marRight w:val="0"/>
      <w:marTop w:val="0"/>
      <w:marBottom w:val="0"/>
      <w:divBdr>
        <w:top w:val="none" w:sz="0" w:space="0" w:color="auto"/>
        <w:left w:val="none" w:sz="0" w:space="0" w:color="auto"/>
        <w:bottom w:val="none" w:sz="0" w:space="0" w:color="auto"/>
        <w:right w:val="none" w:sz="0" w:space="0" w:color="auto"/>
      </w:divBdr>
    </w:div>
    <w:div w:id="1488353445">
      <w:bodyDiv w:val="1"/>
      <w:marLeft w:val="0"/>
      <w:marRight w:val="0"/>
      <w:marTop w:val="0"/>
      <w:marBottom w:val="0"/>
      <w:divBdr>
        <w:top w:val="none" w:sz="0" w:space="0" w:color="auto"/>
        <w:left w:val="none" w:sz="0" w:space="0" w:color="auto"/>
        <w:bottom w:val="none" w:sz="0" w:space="0" w:color="auto"/>
        <w:right w:val="none" w:sz="0" w:space="0" w:color="auto"/>
      </w:divBdr>
    </w:div>
    <w:div w:id="1489786998">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12125452">
      <w:bodyDiv w:val="1"/>
      <w:marLeft w:val="0"/>
      <w:marRight w:val="0"/>
      <w:marTop w:val="0"/>
      <w:marBottom w:val="0"/>
      <w:divBdr>
        <w:top w:val="none" w:sz="0" w:space="0" w:color="auto"/>
        <w:left w:val="none" w:sz="0" w:space="0" w:color="auto"/>
        <w:bottom w:val="none" w:sz="0" w:space="0" w:color="auto"/>
        <w:right w:val="none" w:sz="0" w:space="0" w:color="auto"/>
      </w:divBdr>
    </w:div>
    <w:div w:id="1635405243">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48895130">
      <w:bodyDiv w:val="1"/>
      <w:marLeft w:val="0"/>
      <w:marRight w:val="0"/>
      <w:marTop w:val="0"/>
      <w:marBottom w:val="0"/>
      <w:divBdr>
        <w:top w:val="none" w:sz="0" w:space="0" w:color="auto"/>
        <w:left w:val="none" w:sz="0" w:space="0" w:color="auto"/>
        <w:bottom w:val="none" w:sz="0" w:space="0" w:color="auto"/>
        <w:right w:val="none" w:sz="0" w:space="0" w:color="auto"/>
      </w:divBdr>
    </w:div>
    <w:div w:id="1684626133">
      <w:bodyDiv w:val="1"/>
      <w:marLeft w:val="0"/>
      <w:marRight w:val="0"/>
      <w:marTop w:val="0"/>
      <w:marBottom w:val="0"/>
      <w:divBdr>
        <w:top w:val="none" w:sz="0" w:space="0" w:color="auto"/>
        <w:left w:val="none" w:sz="0" w:space="0" w:color="auto"/>
        <w:bottom w:val="none" w:sz="0" w:space="0" w:color="auto"/>
        <w:right w:val="none" w:sz="0" w:space="0" w:color="auto"/>
      </w:divBdr>
    </w:div>
    <w:div w:id="1703436586">
      <w:bodyDiv w:val="1"/>
      <w:marLeft w:val="0"/>
      <w:marRight w:val="0"/>
      <w:marTop w:val="0"/>
      <w:marBottom w:val="0"/>
      <w:divBdr>
        <w:top w:val="none" w:sz="0" w:space="0" w:color="auto"/>
        <w:left w:val="none" w:sz="0" w:space="0" w:color="auto"/>
        <w:bottom w:val="none" w:sz="0" w:space="0" w:color="auto"/>
        <w:right w:val="none" w:sz="0" w:space="0" w:color="auto"/>
      </w:divBdr>
    </w:div>
    <w:div w:id="1708993309">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10899540">
      <w:bodyDiv w:val="1"/>
      <w:marLeft w:val="0"/>
      <w:marRight w:val="0"/>
      <w:marTop w:val="0"/>
      <w:marBottom w:val="0"/>
      <w:divBdr>
        <w:top w:val="none" w:sz="0" w:space="0" w:color="auto"/>
        <w:left w:val="none" w:sz="0" w:space="0" w:color="auto"/>
        <w:bottom w:val="none" w:sz="0" w:space="0" w:color="auto"/>
        <w:right w:val="none" w:sz="0" w:space="0" w:color="auto"/>
      </w:divBdr>
    </w:div>
    <w:div w:id="1840072435">
      <w:bodyDiv w:val="1"/>
      <w:marLeft w:val="0"/>
      <w:marRight w:val="0"/>
      <w:marTop w:val="0"/>
      <w:marBottom w:val="0"/>
      <w:divBdr>
        <w:top w:val="none" w:sz="0" w:space="0" w:color="auto"/>
        <w:left w:val="none" w:sz="0" w:space="0" w:color="auto"/>
        <w:bottom w:val="none" w:sz="0" w:space="0" w:color="auto"/>
        <w:right w:val="none" w:sz="0" w:space="0" w:color="auto"/>
      </w:divBdr>
    </w:div>
    <w:div w:id="1862428215">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885825654">
      <w:bodyDiv w:val="1"/>
      <w:marLeft w:val="0"/>
      <w:marRight w:val="0"/>
      <w:marTop w:val="0"/>
      <w:marBottom w:val="0"/>
      <w:divBdr>
        <w:top w:val="none" w:sz="0" w:space="0" w:color="auto"/>
        <w:left w:val="none" w:sz="0" w:space="0" w:color="auto"/>
        <w:bottom w:val="none" w:sz="0" w:space="0" w:color="auto"/>
        <w:right w:val="none" w:sz="0" w:space="0" w:color="auto"/>
      </w:divBdr>
    </w:div>
    <w:div w:id="1886868313">
      <w:bodyDiv w:val="1"/>
      <w:marLeft w:val="0"/>
      <w:marRight w:val="0"/>
      <w:marTop w:val="0"/>
      <w:marBottom w:val="0"/>
      <w:divBdr>
        <w:top w:val="none" w:sz="0" w:space="0" w:color="auto"/>
        <w:left w:val="none" w:sz="0" w:space="0" w:color="auto"/>
        <w:bottom w:val="none" w:sz="0" w:space="0" w:color="auto"/>
        <w:right w:val="none" w:sz="0" w:space="0" w:color="auto"/>
      </w:divBdr>
    </w:div>
    <w:div w:id="1887331879">
      <w:bodyDiv w:val="1"/>
      <w:marLeft w:val="0"/>
      <w:marRight w:val="0"/>
      <w:marTop w:val="0"/>
      <w:marBottom w:val="0"/>
      <w:divBdr>
        <w:top w:val="none" w:sz="0" w:space="0" w:color="auto"/>
        <w:left w:val="none" w:sz="0" w:space="0" w:color="auto"/>
        <w:bottom w:val="none" w:sz="0" w:space="0" w:color="auto"/>
        <w:right w:val="none" w:sz="0" w:space="0" w:color="auto"/>
      </w:divBdr>
    </w:div>
    <w:div w:id="1905407466">
      <w:bodyDiv w:val="1"/>
      <w:marLeft w:val="0"/>
      <w:marRight w:val="0"/>
      <w:marTop w:val="0"/>
      <w:marBottom w:val="0"/>
      <w:divBdr>
        <w:top w:val="none" w:sz="0" w:space="0" w:color="auto"/>
        <w:left w:val="none" w:sz="0" w:space="0" w:color="auto"/>
        <w:bottom w:val="none" w:sz="0" w:space="0" w:color="auto"/>
        <w:right w:val="none" w:sz="0" w:space="0" w:color="auto"/>
      </w:divBdr>
    </w:div>
    <w:div w:id="1946111353">
      <w:bodyDiv w:val="1"/>
      <w:marLeft w:val="0"/>
      <w:marRight w:val="0"/>
      <w:marTop w:val="0"/>
      <w:marBottom w:val="0"/>
      <w:divBdr>
        <w:top w:val="none" w:sz="0" w:space="0" w:color="auto"/>
        <w:left w:val="none" w:sz="0" w:space="0" w:color="auto"/>
        <w:bottom w:val="none" w:sz="0" w:space="0" w:color="auto"/>
        <w:right w:val="none" w:sz="0" w:space="0" w:color="auto"/>
      </w:divBdr>
    </w:div>
    <w:div w:id="1970669196">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1999768459">
      <w:bodyDiv w:val="1"/>
      <w:marLeft w:val="0"/>
      <w:marRight w:val="0"/>
      <w:marTop w:val="0"/>
      <w:marBottom w:val="0"/>
      <w:divBdr>
        <w:top w:val="none" w:sz="0" w:space="0" w:color="auto"/>
        <w:left w:val="none" w:sz="0" w:space="0" w:color="auto"/>
        <w:bottom w:val="none" w:sz="0" w:space="0" w:color="auto"/>
        <w:right w:val="none" w:sz="0" w:space="0" w:color="auto"/>
      </w:divBdr>
    </w:div>
    <w:div w:id="1999992186">
      <w:bodyDiv w:val="1"/>
      <w:marLeft w:val="0"/>
      <w:marRight w:val="0"/>
      <w:marTop w:val="0"/>
      <w:marBottom w:val="0"/>
      <w:divBdr>
        <w:top w:val="none" w:sz="0" w:space="0" w:color="auto"/>
        <w:left w:val="none" w:sz="0" w:space="0" w:color="auto"/>
        <w:bottom w:val="none" w:sz="0" w:space="0" w:color="auto"/>
        <w:right w:val="none" w:sz="0" w:space="0" w:color="auto"/>
      </w:divBdr>
    </w:div>
    <w:div w:id="2002149886">
      <w:bodyDiv w:val="1"/>
      <w:marLeft w:val="0"/>
      <w:marRight w:val="0"/>
      <w:marTop w:val="0"/>
      <w:marBottom w:val="0"/>
      <w:divBdr>
        <w:top w:val="none" w:sz="0" w:space="0" w:color="auto"/>
        <w:left w:val="none" w:sz="0" w:space="0" w:color="auto"/>
        <w:bottom w:val="none" w:sz="0" w:space="0" w:color="auto"/>
        <w:right w:val="none" w:sz="0" w:space="0" w:color="auto"/>
      </w:divBdr>
    </w:div>
    <w:div w:id="200261537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19504261">
      <w:bodyDiv w:val="1"/>
      <w:marLeft w:val="0"/>
      <w:marRight w:val="0"/>
      <w:marTop w:val="0"/>
      <w:marBottom w:val="0"/>
      <w:divBdr>
        <w:top w:val="none" w:sz="0" w:space="0" w:color="auto"/>
        <w:left w:val="none" w:sz="0" w:space="0" w:color="auto"/>
        <w:bottom w:val="none" w:sz="0" w:space="0" w:color="auto"/>
        <w:right w:val="none" w:sz="0" w:space="0" w:color="auto"/>
      </w:divBdr>
    </w:div>
    <w:div w:id="2023045526">
      <w:bodyDiv w:val="1"/>
      <w:marLeft w:val="0"/>
      <w:marRight w:val="0"/>
      <w:marTop w:val="0"/>
      <w:marBottom w:val="0"/>
      <w:divBdr>
        <w:top w:val="none" w:sz="0" w:space="0" w:color="auto"/>
        <w:left w:val="none" w:sz="0" w:space="0" w:color="auto"/>
        <w:bottom w:val="none" w:sz="0" w:space="0" w:color="auto"/>
        <w:right w:val="none" w:sz="0" w:space="0" w:color="auto"/>
      </w:divBdr>
    </w:div>
    <w:div w:id="2029871055">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83796682">
      <w:bodyDiv w:val="1"/>
      <w:marLeft w:val="0"/>
      <w:marRight w:val="0"/>
      <w:marTop w:val="0"/>
      <w:marBottom w:val="0"/>
      <w:divBdr>
        <w:top w:val="none" w:sz="0" w:space="0" w:color="auto"/>
        <w:left w:val="none" w:sz="0" w:space="0" w:color="auto"/>
        <w:bottom w:val="none" w:sz="0" w:space="0" w:color="auto"/>
        <w:right w:val="none" w:sz="0" w:space="0" w:color="auto"/>
      </w:divBdr>
    </w:div>
    <w:div w:id="2097625468">
      <w:bodyDiv w:val="1"/>
      <w:marLeft w:val="0"/>
      <w:marRight w:val="0"/>
      <w:marTop w:val="0"/>
      <w:marBottom w:val="0"/>
      <w:divBdr>
        <w:top w:val="none" w:sz="0" w:space="0" w:color="auto"/>
        <w:left w:val="none" w:sz="0" w:space="0" w:color="auto"/>
        <w:bottom w:val="none" w:sz="0" w:space="0" w:color="auto"/>
        <w:right w:val="none" w:sz="0" w:space="0" w:color="auto"/>
      </w:divBdr>
    </w:div>
    <w:div w:id="2114283836">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2651944">
      <w:bodyDiv w:val="1"/>
      <w:marLeft w:val="0"/>
      <w:marRight w:val="0"/>
      <w:marTop w:val="0"/>
      <w:marBottom w:val="0"/>
      <w:divBdr>
        <w:top w:val="none" w:sz="0" w:space="0" w:color="auto"/>
        <w:left w:val="none" w:sz="0" w:space="0" w:color="auto"/>
        <w:bottom w:val="none" w:sz="0" w:space="0" w:color="auto"/>
        <w:right w:val="none" w:sz="0" w:space="0" w:color="auto"/>
      </w:divBdr>
    </w:div>
    <w:div w:id="21459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oc-westpac.org/decade-actions/msp/" TargetMode="External"/><Relationship Id="rId21" Type="http://schemas.openxmlformats.org/officeDocument/2006/relationships/hyperlink" Target="https://eurocean.org/mario-ruivo-memorial-lecture/" TargetMode="External"/><Relationship Id="rId42" Type="http://schemas.openxmlformats.org/officeDocument/2006/relationships/hyperlink" Target="https://ioc-westpac.org/session/xv/UN21-Report%20Annex-Regional%20Action%20Framework_11Feb2025.pdf" TargetMode="External"/><Relationship Id="rId47" Type="http://schemas.openxmlformats.org/officeDocument/2006/relationships/hyperlink" Target="https://tsunami.ioc.unesco.org/en/tsunami-ready/dm/portsmouth" TargetMode="External"/><Relationship Id="rId63" Type="http://schemas.openxmlformats.org/officeDocument/2006/relationships/hyperlink" Target="https://oceanexpert.org/document/35719" TargetMode="External"/><Relationship Id="rId68" Type="http://schemas.openxmlformats.org/officeDocument/2006/relationships/hyperlink" Target="https://oceanexpert.org/document/34332" TargetMode="External"/><Relationship Id="rId84" Type="http://schemas.openxmlformats.org/officeDocument/2006/relationships/hyperlink" Target="https://unesdoc.unesco.org/ark:/48223/pf0000387982.locale=en" TargetMode="External"/><Relationship Id="rId89" Type="http://schemas.openxmlformats.org/officeDocument/2006/relationships/header" Target="header7.xml"/><Relationship Id="rId16" Type="http://schemas.openxmlformats.org/officeDocument/2006/relationships/header" Target="header4.xml"/><Relationship Id="rId11" Type="http://schemas.openxmlformats.org/officeDocument/2006/relationships/endnotes" Target="endnotes.xml"/><Relationship Id="rId32" Type="http://schemas.openxmlformats.org/officeDocument/2006/relationships/hyperlink" Target="https://ioc-westpac.org/event/4th-session-csk-2/" TargetMode="External"/><Relationship Id="rId37" Type="http://schemas.openxmlformats.org/officeDocument/2006/relationships/hyperlink" Target="https://ioc-westpac.org/edna/" TargetMode="External"/><Relationship Id="rId53" Type="http://schemas.openxmlformats.org/officeDocument/2006/relationships/hyperlink" Target="https://www.unesco.org/en/articles/tsunami-risk-mediterranean-malta-and-stromboli-island-focus-new-documentaries" TargetMode="External"/><Relationship Id="rId58" Type="http://schemas.openxmlformats.org/officeDocument/2006/relationships/hyperlink" Target="https://earlywarningsforall.org/site/early-warnings-all" TargetMode="External"/><Relationship Id="rId74" Type="http://schemas.openxmlformats.org/officeDocument/2006/relationships/hyperlink" Target="https://oceanexpert.org/group/540" TargetMode="External"/><Relationship Id="rId79" Type="http://schemas.openxmlformats.org/officeDocument/2006/relationships/hyperlink" Target="https://oceanexpert.org/document/34455" TargetMode="External"/><Relationship Id="rId5" Type="http://schemas.openxmlformats.org/officeDocument/2006/relationships/customXml" Target="../customXml/item5.xml"/><Relationship Id="rId90" Type="http://schemas.openxmlformats.org/officeDocument/2006/relationships/header" Target="header8.xml"/><Relationship Id="rId95" Type="http://schemas.openxmlformats.org/officeDocument/2006/relationships/theme" Target="theme/theme1.xml"/><Relationship Id="rId22" Type="http://schemas.openxmlformats.org/officeDocument/2006/relationships/hyperlink" Target="https://www.oceanexpert.org/document/36831" TargetMode="External"/><Relationship Id="rId27" Type="http://schemas.openxmlformats.org/officeDocument/2006/relationships/hyperlink" Target="https://ioc-westpac.org/decade-actions/riverine-plastics/" TargetMode="External"/><Relationship Id="rId43" Type="http://schemas.openxmlformats.org/officeDocument/2006/relationships/hyperlink" Target="https://ioc-westpac.org/session/xv/Tokyo%20SGO%20statement_adopted_12Mar2025%20FINAL.pdf" TargetMode="External"/><Relationship Id="rId48" Type="http://schemas.openxmlformats.org/officeDocument/2006/relationships/hyperlink" Target="https://tsunami.ioc.unesco.org/en/tsunami-ready/lc/laboriedistrict" TargetMode="External"/><Relationship Id="rId64" Type="http://schemas.openxmlformats.org/officeDocument/2006/relationships/hyperlink" Target="https://oceanexpert.org/document/35428" TargetMode="External"/><Relationship Id="rId69" Type="http://schemas.openxmlformats.org/officeDocument/2006/relationships/hyperlink" Target="https://oceanexpert.org/document/33359" TargetMode="External"/><Relationship Id="rId8" Type="http://schemas.openxmlformats.org/officeDocument/2006/relationships/settings" Target="settings.xml"/><Relationship Id="rId51" Type="http://schemas.openxmlformats.org/officeDocument/2006/relationships/hyperlink" Target="https://cat.ingv.it/en/media-and-documents/events-and-workshops" TargetMode="External"/><Relationship Id="rId72" Type="http://schemas.openxmlformats.org/officeDocument/2006/relationships/hyperlink" Target="https://oceanexpert.org/document/32558" TargetMode="External"/><Relationship Id="rId80" Type="http://schemas.openxmlformats.org/officeDocument/2006/relationships/hyperlink" Target="https://oceanexpert.org/document/34591" TargetMode="External"/><Relationship Id="rId85" Type="http://schemas.openxmlformats.org/officeDocument/2006/relationships/hyperlink" Target="https://unesdoc.unesco.org/ark:/48223/pf0000390822_spa.locale=en" TargetMode="External"/><Relationship Id="rId93"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yperlink" Target="https://www.unesco.org/en/articles/unesco-conferences-ocean-decade-and-marine-sciences-catalyse-action-asia-pacific" TargetMode="External"/><Relationship Id="rId33" Type="http://schemas.openxmlformats.org/officeDocument/2006/relationships/hyperlink" Target="https://ioc-westpac.org/fifth-session-of-the-csk-2/" TargetMode="External"/><Relationship Id="rId38" Type="http://schemas.openxmlformats.org/officeDocument/2006/relationships/hyperlink" Target="https://ioc-westpac.org/asia-riverine-plastic/" TargetMode="External"/><Relationship Id="rId46" Type="http://schemas.openxmlformats.org/officeDocument/2006/relationships/hyperlink" Target="https://tsunami.ioc.unesco.org/en/tsunami-ready/cr/cahuita" TargetMode="External"/><Relationship Id="rId59" Type="http://schemas.openxmlformats.org/officeDocument/2006/relationships/hyperlink" Target="https://civil-protection-humanitarian-aid.ec.europa.eu/what/civil-protection/european-disaster-risk-management/european-disaster-resilience-goals_en" TargetMode="External"/><Relationship Id="rId67" Type="http://schemas.openxmlformats.org/officeDocument/2006/relationships/hyperlink" Target="https://oceanexpert.org/document/32672" TargetMode="External"/><Relationship Id="rId20" Type="http://schemas.openxmlformats.org/officeDocument/2006/relationships/hyperlink" Target="https://www.oceanexpert.org/document/13094" TargetMode="External"/><Relationship Id="rId41" Type="http://schemas.openxmlformats.org/officeDocument/2006/relationships/hyperlink" Target="https://ioc-westpac.org/session/xv/2nd%20NDCs%20Forum_concept%20note_28Feb2025.pdf" TargetMode="External"/><Relationship Id="rId54" Type="http://schemas.openxmlformats.org/officeDocument/2006/relationships/hyperlink" Target="https://www.ioc.unesco.org/en/articles/alexandria-achieves-momentous-recognition-egypt-and-africas-first-unesco-ioc-tsunami-ready-community" TargetMode="External"/><Relationship Id="rId62" Type="http://schemas.openxmlformats.org/officeDocument/2006/relationships/hyperlink" Target="https://oceandataconference.org" TargetMode="External"/><Relationship Id="rId70" Type="http://schemas.openxmlformats.org/officeDocument/2006/relationships/hyperlink" Target="https://oceanexpert.org/document/34472" TargetMode="External"/><Relationship Id="rId75" Type="http://schemas.openxmlformats.org/officeDocument/2006/relationships/hyperlink" Target="https://unesdoc.unesco.org/ark:/48223/pf0000377708.locale=en" TargetMode="External"/><Relationship Id="rId83" Type="http://schemas.openxmlformats.org/officeDocument/2006/relationships/hyperlink" Target="https://unesdoc.unesco.org/ark:/48223/pf0000391112.locale=en" TargetMode="External"/><Relationship Id="rId88" Type="http://schemas.openxmlformats.org/officeDocument/2006/relationships/header" Target="header6.xml"/><Relationship Id="rId9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oceanexpert.org/document/36784" TargetMode="External"/><Relationship Id="rId28" Type="http://schemas.openxmlformats.org/officeDocument/2006/relationships/hyperlink" Target="https://ioc-westpac.org/decade-actions/rtrc/" TargetMode="External"/><Relationship Id="rId36" Type="http://schemas.openxmlformats.org/officeDocument/2006/relationships/hyperlink" Target="https://ioc-westpac.org/CSK-2/CSK2-SAP-27%20Jul%202022%20Final%20Version.pdf" TargetMode="External"/><Relationship Id="rId49" Type="http://schemas.openxmlformats.org/officeDocument/2006/relationships/hyperlink" Target="https://oceanexpert.net/event/4463" TargetMode="External"/><Relationship Id="rId57" Type="http://schemas.openxmlformats.org/officeDocument/2006/relationships/hyperlink" Target="https://www.unesco.org/en/articles/chipiona-honoured-spains-first-unesco-ioc-tsunami-ready-recognized-city" TargetMode="External"/><Relationship Id="rId10" Type="http://schemas.openxmlformats.org/officeDocument/2006/relationships/footnotes" Target="footnotes.xml"/><Relationship Id="rId31" Type="http://schemas.openxmlformats.org/officeDocument/2006/relationships/hyperlink" Target="https://ioc-westpac.org/charting-the-course-of-marine-spatial-planning-in-the-western-pacific/" TargetMode="External"/><Relationship Id="rId44" Type="http://schemas.openxmlformats.org/officeDocument/2006/relationships/hyperlink" Target="https://oceanexpert.org/document/36663" TargetMode="External"/><Relationship Id="rId52" Type="http://schemas.openxmlformats.org/officeDocument/2006/relationships/hyperlink" Target="https://globaltsunamisymposium.bmkg.go.id/" TargetMode="External"/><Relationship Id="rId60" Type="http://schemas.openxmlformats.org/officeDocument/2006/relationships/hyperlink" Target="https://www.smartcables.org/updates/government-of-portugal-formally-commits-to-cam-smart-cable-system" TargetMode="External"/><Relationship Id="rId65" Type="http://schemas.openxmlformats.org/officeDocument/2006/relationships/hyperlink" Target="https://unesdoc.unesco.org/ark:/48223/pf0000387393.locale=en" TargetMode="External"/><Relationship Id="rId73" Type="http://schemas.openxmlformats.org/officeDocument/2006/relationships/hyperlink" Target="https://oceanexpert.org/document/34597" TargetMode="External"/><Relationship Id="rId78" Type="http://schemas.openxmlformats.org/officeDocument/2006/relationships/hyperlink" Target="https://unesdoc.unesco.org/ark:/48223/pf0000394326.locale=en" TargetMode="External"/><Relationship Id="rId81" Type="http://schemas.openxmlformats.org/officeDocument/2006/relationships/hyperlink" Target="https://oceanexpert.org/document/32557" TargetMode="External"/><Relationship Id="rId86" Type="http://schemas.openxmlformats.org/officeDocument/2006/relationships/hyperlink" Target="https://unesdoc.unesco.org/ark:/48223/pf0000390822_spa.locale=en"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hyperlink" Target="https://ioc-westpac.org/decade-actions/rtrc/" TargetMode="External"/><Relationship Id="rId34" Type="http://schemas.openxmlformats.org/officeDocument/2006/relationships/hyperlink" Target="https://ioc-westpac.org/event/csk2-second-symposium/" TargetMode="External"/><Relationship Id="rId50" Type="http://schemas.openxmlformats.org/officeDocument/2006/relationships/hyperlink" Target="https://oceanexpert.net/event/4662" TargetMode="External"/><Relationship Id="rId55" Type="http://schemas.openxmlformats.org/officeDocument/2006/relationships/hyperlink" Target="https://www.ioc.unesco.org/en/articles/cannes-municipality-achieves-historic-recognition-unesco-ioc-tsunami-ready-community" TargetMode="External"/><Relationship Id="rId76" Type="http://schemas.openxmlformats.org/officeDocument/2006/relationships/hyperlink" Target="https://unesdoc.unesco.org/ark:/48223/pf0000393205.locale=en" TargetMode="External"/><Relationship Id="rId7" Type="http://schemas.openxmlformats.org/officeDocument/2006/relationships/styles" Target="styles.xml"/><Relationship Id="rId71" Type="http://schemas.openxmlformats.org/officeDocument/2006/relationships/hyperlink" Target="https://oceanexpert.org/document/34531" TargetMode="External"/><Relationship Id="rId92" Type="http://schemas.openxmlformats.org/officeDocument/2006/relationships/header" Target="header10.xml"/><Relationship Id="rId2" Type="http://schemas.openxmlformats.org/officeDocument/2006/relationships/customXml" Target="../customXml/item2.xml"/><Relationship Id="rId29" Type="http://schemas.openxmlformats.org/officeDocument/2006/relationships/hyperlink" Target="https://ioc-westpac.org/csk2/" TargetMode="External"/><Relationship Id="rId24" Type="http://schemas.openxmlformats.org/officeDocument/2006/relationships/hyperlink" Target="https://ioc-westpac.org/western-pacific-nations-unite/" TargetMode="External"/><Relationship Id="rId40" Type="http://schemas.openxmlformats.org/officeDocument/2006/relationships/hyperlink" Target="https://ioc-westpac.org/session/xv/SGO%20Concept%20note-final.pdf" TargetMode="External"/><Relationship Id="rId45" Type="http://schemas.openxmlformats.org/officeDocument/2006/relationships/hyperlink" Target="https://tsunami.ioc.unesco.org/en/tsunami-ready/bb/stjamescentralcommunity" TargetMode="External"/><Relationship Id="rId66" Type="http://schemas.openxmlformats.org/officeDocument/2006/relationships/hyperlink" Target="https://unesdoc.unesco.org/ark:/48223/pf0000391875.locale=en" TargetMode="External"/><Relationship Id="rId87" Type="http://schemas.openxmlformats.org/officeDocument/2006/relationships/hyperlink" Target="https://www.oceanexpert.org/document/36863" TargetMode="External"/><Relationship Id="rId61" Type="http://schemas.openxmlformats.org/officeDocument/2006/relationships/hyperlink" Target="https://unesdoc.unesco.org/ark:/48223/pf0000246931.locale=en" TargetMode="External"/><Relationship Id="rId82" Type="http://schemas.openxmlformats.org/officeDocument/2006/relationships/hyperlink" Target="https://unesdoc.unesco.org/ark:/48223/pf0000392653.locale=en" TargetMode="External"/><Relationship Id="rId19" Type="http://schemas.openxmlformats.org/officeDocument/2006/relationships/hyperlink" Target="https://www.oceanexpert.org/document/36853" TargetMode="External"/><Relationship Id="rId14" Type="http://schemas.openxmlformats.org/officeDocument/2006/relationships/hyperlink" Target="https://www.oceanexpert.org/document/36863" TargetMode="External"/><Relationship Id="rId30" Type="http://schemas.openxmlformats.org/officeDocument/2006/relationships/hyperlink" Target="https://oceandecade.org/actions/ocean-solutions-in-the-east-asian-seas/" TargetMode="External"/><Relationship Id="rId35" Type="http://schemas.openxmlformats.org/officeDocument/2006/relationships/hyperlink" Target="https://ioc-westpac.org/csk2/actions/" TargetMode="External"/><Relationship Id="rId56" Type="http://schemas.openxmlformats.org/officeDocument/2006/relationships/hyperlink" Target="https://www.unesco.org/en/articles/samos-achieves-unesco-ioc-tsunami-ready-recognition" TargetMode="External"/><Relationship Id="rId77" Type="http://schemas.openxmlformats.org/officeDocument/2006/relationships/hyperlink" Target="https://unesdoc.unesco.org/ark:/48223/pf0000393761.locale=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A1D17BF-D2D6-4EA8-87E9-5C8DAA41A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F66D3-090F-AB4F-ACA1-7BEF72DDBC3D}">
  <ds:schemaRefs>
    <ds:schemaRef ds:uri="http://schemas.openxmlformats.org/officeDocument/2006/bibliography"/>
  </ds:schemaRefs>
</ds:datastoreItem>
</file>

<file path=customXml/itemProps3.xml><?xml version="1.0" encoding="utf-8"?>
<ds:datastoreItem xmlns:ds="http://schemas.openxmlformats.org/officeDocument/2006/customXml" ds:itemID="{337D1B08-190E-4088-96B6-AF2108D079D8}">
  <ds:schemaRefs>
    <ds:schemaRef ds:uri="http://schemas.microsoft.com/sharepoint/v3/contenttype/forms"/>
  </ds:schemaRefs>
</ds:datastoreItem>
</file>

<file path=customXml/itemProps4.xml><?xml version="1.0" encoding="utf-8"?>
<ds:datastoreItem xmlns:ds="http://schemas.openxmlformats.org/officeDocument/2006/customXml" ds:itemID="{05121AF4-519A-4D3F-800E-8C8533086320}">
  <ds:schemaRef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5b799ec2-212c-48b5-b7ff-d14ec6cbce2b"/>
    <ds:schemaRef ds:uri="http://purl.org/dc/terms/"/>
    <ds:schemaRef ds:uri="http://schemas.microsoft.com/office/2006/documentManagement/types"/>
    <ds:schemaRef ds:uri="f8ef70f3-4e3d-42be-bd40-fbc1cacc1519"/>
    <ds:schemaRef ds:uri="http://www.w3.org/XML/1998/namespace"/>
    <ds:schemaRef ds:uri="http://purl.org/dc/dcmitype/"/>
  </ds:schemaRefs>
</ds:datastoreItem>
</file>

<file path=customXml/itemProps5.xml><?xml version="1.0" encoding="utf-8"?>
<ds:datastoreItem xmlns:ds="http://schemas.openxmlformats.org/officeDocument/2006/customXml" ds:itemID="{4B8B71CC-D2EC-444E-BFEC-6EFC8A2CEAE9}">
  <ds:schemaRefs>
    <ds:schemaRef ds:uri="http://schemas.microsoft.com/office/2006/metadata/longPropertie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148</Pages>
  <Words>83899</Words>
  <Characters>474648</Characters>
  <Application>Microsoft Office Word</Application>
  <DocSecurity>0</DocSecurity>
  <Lines>3955</Lines>
  <Paragraphs>1114</Paragraphs>
  <ScaleCrop>false</ScaleCrop>
  <HeadingPairs>
    <vt:vector size="2" baseType="variant">
      <vt:variant>
        <vt:lpstr>Title</vt:lpstr>
      </vt:variant>
      <vt:variant>
        <vt:i4>1</vt:i4>
      </vt:variant>
    </vt:vector>
  </HeadingPairs>
  <TitlesOfParts>
    <vt:vector size="1" baseType="lpstr">
      <vt:lpstr>Restricted Distribution</vt:lpstr>
    </vt:vector>
  </TitlesOfParts>
  <Company>UNESCO</Company>
  <LinksUpToDate>false</LinksUpToDate>
  <CharactersWithSpaces>557433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subject/>
  <dc:creator>p_boned</dc:creator>
  <cp:keywords/>
  <dc:description/>
  <cp:lastModifiedBy>Boned, Patrice</cp:lastModifiedBy>
  <cp:revision>4</cp:revision>
  <cp:lastPrinted>2025-10-24T13:54:00Z</cp:lastPrinted>
  <dcterms:created xsi:type="dcterms:W3CDTF">2025-10-24T13:41:00Z</dcterms:created>
  <dcterms:modified xsi:type="dcterms:W3CDTF">2025-10-24T13:55:00Z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DN3HXZNSAUTS-2414-16</vt:lpwstr>
  </property>
  <property fmtid="{D5CDD505-2E9C-101B-9397-08002B2CF9AE}" pid="3" name="_dlc_DocIdItemGuid">
    <vt:lpwstr>4cb6f7f4-6e29-4d86-b33c-a69f3bdf0e20</vt:lpwstr>
  </property>
  <property fmtid="{D5CDD505-2E9C-101B-9397-08002B2CF9AE}" pid="4" name="_dlc_DocIdUrl">
    <vt:lpwstr>https://teams.unesco.org/ORG/ioc/_layouts/15/DocIdRedir.aspx?ID=DN3HXZNSAUTS-2414-16, DN3HXZNSAUTS-2414-16</vt:lpwstr>
  </property>
  <property fmtid="{D5CDD505-2E9C-101B-9397-08002B2CF9AE}" pid="5" name="ContentRemapped">
    <vt:lpwstr>true</vt:lpwstr>
  </property>
  <property fmtid="{D5CDD505-2E9C-101B-9397-08002B2CF9AE}" pid="6" name="ContentTypeId">
    <vt:lpwstr>0x0101009354335BECF21B40B6CCFAE91E076EEB</vt:lpwstr>
  </property>
  <property fmtid="{D5CDD505-2E9C-101B-9397-08002B2CF9AE}" pid="7" name="MediaServiceImageTags">
    <vt:lpwstr/>
  </property>
</Properties>
</file>