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F00D8" w14:textId="77777777" w:rsidR="0048215C" w:rsidRPr="0048215C" w:rsidRDefault="0048215C" w:rsidP="002005FA">
      <w:pPr>
        <w:tabs>
          <w:tab w:val="left" w:pos="7088"/>
        </w:tabs>
        <w:jc w:val="left"/>
        <w:rPr>
          <w:rFonts w:asciiTheme="minorBidi" w:eastAsia="Calibri" w:hAnsiTheme="minorBidi" w:cstheme="minorBidi"/>
          <w:sz w:val="22"/>
          <w:szCs w:val="22"/>
          <w:lang w:val="fr-FR"/>
        </w:rPr>
      </w:pPr>
      <w:r>
        <w:rPr>
          <w:rFonts w:asciiTheme="minorBidi" w:eastAsia="Calibri" w:hAnsiTheme="minorBidi" w:cstheme="minorBidi"/>
          <w:sz w:val="22"/>
          <w:szCs w:val="22"/>
          <w:lang w:val="fr"/>
        </w:rPr>
        <w:t>Distribution limitée</w:t>
      </w:r>
      <w:r>
        <w:rPr>
          <w:rFonts w:asciiTheme="minorBidi" w:eastAsia="Calibri" w:hAnsiTheme="minorBidi" w:cstheme="minorBidi"/>
          <w:sz w:val="22"/>
          <w:szCs w:val="22"/>
          <w:lang w:val="fr"/>
        </w:rPr>
        <w:tab/>
      </w:r>
      <w:r>
        <w:rPr>
          <w:rFonts w:asciiTheme="minorBidi" w:eastAsia="Calibri" w:hAnsiTheme="minorBidi" w:cstheme="minorBidi"/>
          <w:b/>
          <w:bCs/>
          <w:sz w:val="22"/>
          <w:szCs w:val="22"/>
          <w:lang w:val="fr"/>
        </w:rPr>
        <w:t>IOC/A-33/</w:t>
      </w:r>
      <w:proofErr w:type="gramStart"/>
      <w:r>
        <w:rPr>
          <w:rFonts w:asciiTheme="minorBidi" w:eastAsia="Calibri" w:hAnsiTheme="minorBidi" w:cstheme="minorBidi"/>
          <w:b/>
          <w:bCs/>
          <w:sz w:val="22"/>
          <w:szCs w:val="22"/>
          <w:lang w:val="fr"/>
        </w:rPr>
        <w:t>DR.[</w:t>
      </w:r>
      <w:proofErr w:type="gramEnd"/>
      <w:r>
        <w:rPr>
          <w:rFonts w:asciiTheme="minorBidi" w:eastAsia="Calibri" w:hAnsiTheme="minorBidi" w:cstheme="minorBidi"/>
          <w:b/>
          <w:bCs/>
          <w:sz w:val="22"/>
          <w:szCs w:val="22"/>
          <w:lang w:val="fr"/>
        </w:rPr>
        <w:t>5.4]</w:t>
      </w:r>
    </w:p>
    <w:p w14:paraId="72002F3D" w14:textId="77777777" w:rsidR="0048215C" w:rsidRPr="0048215C" w:rsidRDefault="0048215C" w:rsidP="002005FA">
      <w:pPr>
        <w:tabs>
          <w:tab w:val="left" w:pos="7088"/>
        </w:tabs>
        <w:jc w:val="left"/>
        <w:rPr>
          <w:rFonts w:asciiTheme="minorBidi" w:eastAsia="Calibri" w:hAnsiTheme="minorBidi" w:cstheme="minorBidi"/>
          <w:sz w:val="22"/>
          <w:szCs w:val="22"/>
          <w:lang w:val="fr-FR"/>
        </w:rPr>
      </w:pPr>
      <w:r>
        <w:rPr>
          <w:rFonts w:asciiTheme="minorBidi" w:eastAsia="Calibri" w:hAnsiTheme="minorBidi" w:cstheme="minorBidi"/>
          <w:sz w:val="22"/>
          <w:szCs w:val="22"/>
          <w:lang w:val="fr"/>
        </w:rPr>
        <w:tab/>
      </w:r>
      <w:r>
        <w:rPr>
          <w:rFonts w:asciiTheme="minorBidi" w:eastAsia="Calibri" w:hAnsiTheme="minorBidi" w:cstheme="minorBidi"/>
          <w:sz w:val="22"/>
          <w:szCs w:val="22"/>
          <w:lang w:val="fr"/>
        </w:rPr>
        <w:tab/>
        <w:t>Paris, le 2 juillet 2025</w:t>
      </w:r>
    </w:p>
    <w:p w14:paraId="0C213006" w14:textId="77777777" w:rsidR="0048215C" w:rsidRPr="0048215C" w:rsidRDefault="0048215C" w:rsidP="002005FA">
      <w:pPr>
        <w:tabs>
          <w:tab w:val="left" w:pos="7088"/>
        </w:tabs>
        <w:jc w:val="left"/>
        <w:rPr>
          <w:rFonts w:asciiTheme="minorBidi" w:eastAsia="Calibri" w:hAnsiTheme="minorBidi" w:cstheme="minorBidi"/>
          <w:sz w:val="22"/>
          <w:szCs w:val="22"/>
          <w:lang w:val="fr-FR"/>
        </w:rPr>
      </w:pPr>
      <w:r>
        <w:rPr>
          <w:rFonts w:asciiTheme="minorBidi" w:eastAsia="Calibri" w:hAnsiTheme="minorBidi" w:cstheme="minorBidi"/>
          <w:sz w:val="22"/>
          <w:szCs w:val="22"/>
          <w:lang w:val="fr"/>
        </w:rPr>
        <w:tab/>
      </w:r>
      <w:r>
        <w:rPr>
          <w:rFonts w:asciiTheme="minorBidi" w:eastAsia="Calibri" w:hAnsiTheme="minorBidi" w:cstheme="minorBidi"/>
          <w:sz w:val="22"/>
          <w:szCs w:val="22"/>
          <w:lang w:val="fr"/>
        </w:rPr>
        <w:tab/>
        <w:t>Original : Français</w:t>
      </w:r>
    </w:p>
    <w:p w14:paraId="703C0934" w14:textId="77777777" w:rsidR="0048215C" w:rsidRPr="0048215C" w:rsidRDefault="0048215C" w:rsidP="0048215C">
      <w:pPr>
        <w:tabs>
          <w:tab w:val="left" w:pos="2694"/>
          <w:tab w:val="left" w:pos="7371"/>
        </w:tabs>
        <w:spacing w:after="240"/>
        <w:jc w:val="left"/>
        <w:rPr>
          <w:rFonts w:asciiTheme="minorBidi" w:eastAsia="Calibri" w:hAnsiTheme="minorBidi" w:cstheme="minorBidi"/>
          <w:b/>
          <w:bCs/>
          <w:sz w:val="22"/>
          <w:szCs w:val="22"/>
          <w:lang w:val="fr-FR"/>
        </w:rPr>
      </w:pPr>
    </w:p>
    <w:p w14:paraId="4A3A047B" w14:textId="77777777" w:rsidR="0048215C" w:rsidRPr="0048215C" w:rsidRDefault="0048215C" w:rsidP="0048215C">
      <w:pPr>
        <w:tabs>
          <w:tab w:val="left" w:pos="2694"/>
        </w:tabs>
        <w:spacing w:after="240"/>
        <w:jc w:val="left"/>
        <w:rPr>
          <w:rFonts w:asciiTheme="minorBidi" w:eastAsia="Calibri" w:hAnsiTheme="minorBidi" w:cstheme="minorBidi"/>
          <w:b/>
          <w:bCs/>
          <w:sz w:val="22"/>
          <w:szCs w:val="22"/>
          <w:lang w:val="fr-FR"/>
        </w:rPr>
      </w:pPr>
      <w:r>
        <w:rPr>
          <w:rFonts w:asciiTheme="minorBidi" w:eastAsia="Calibri" w:hAnsiTheme="minorBidi" w:cstheme="minorBidi"/>
          <w:b/>
          <w:bCs/>
          <w:sz w:val="22"/>
          <w:szCs w:val="22"/>
          <w:lang w:val="fr"/>
        </w:rPr>
        <w:t>PROJET DE RÉSOLUTION A-33/</w:t>
      </w:r>
      <w:proofErr w:type="gramStart"/>
      <w:r>
        <w:rPr>
          <w:rFonts w:asciiTheme="minorBidi" w:eastAsia="Calibri" w:hAnsiTheme="minorBidi" w:cstheme="minorBidi"/>
          <w:b/>
          <w:bCs/>
          <w:sz w:val="22"/>
          <w:szCs w:val="22"/>
          <w:lang w:val="fr"/>
        </w:rPr>
        <w:t>DR.[</w:t>
      </w:r>
      <w:proofErr w:type="gramEnd"/>
      <w:r>
        <w:rPr>
          <w:rFonts w:asciiTheme="minorBidi" w:eastAsia="Calibri" w:hAnsiTheme="minorBidi" w:cstheme="minorBidi"/>
          <w:b/>
          <w:bCs/>
          <w:sz w:val="22"/>
          <w:szCs w:val="22"/>
          <w:lang w:val="fr"/>
        </w:rPr>
        <w:t>5.4]</w:t>
      </w:r>
    </w:p>
    <w:p w14:paraId="2ECAAE70" w14:textId="77777777" w:rsidR="0048215C" w:rsidRPr="0048215C" w:rsidRDefault="0048215C" w:rsidP="0048215C">
      <w:pPr>
        <w:tabs>
          <w:tab w:val="left" w:pos="2694"/>
        </w:tabs>
        <w:spacing w:after="360"/>
        <w:jc w:val="left"/>
        <w:rPr>
          <w:rFonts w:asciiTheme="minorBidi" w:eastAsia="Calibri" w:hAnsiTheme="minorBidi" w:cstheme="minorBidi"/>
          <w:sz w:val="22"/>
          <w:szCs w:val="22"/>
          <w:lang w:val="fr-FR"/>
        </w:rPr>
      </w:pPr>
      <w:r>
        <w:rPr>
          <w:rFonts w:asciiTheme="minorBidi" w:eastAsia="Calibri" w:hAnsiTheme="minorBidi"/>
          <w:sz w:val="22"/>
          <w:szCs w:val="22"/>
          <w:lang w:val="fr"/>
        </w:rPr>
        <w:t xml:space="preserve">Soumis par l’Argentine, l’Australie, la Belgique, le Brésil, le Canada, le Chili, la Chine, la Colombie, la France, l’Allemagne, la Grenade, l’Islande, l’Inde, l’Irlande, l’Italie, le Japon, le Kenya, la Malaisie, le Maroc, le Nigéria, la Norvège, le Portugal, la République de Corée, la Fédération de Russie, l’Afrique du Sud, l’Espagne, la Thaïlande, le Togo, la Turquie, le Royaume-Uni de Grande-Bretagne et d’Irlande du Nord, les États-Unis d’Amérique </w:t>
      </w:r>
      <w:r>
        <w:rPr>
          <w:rFonts w:asciiTheme="minorBidi" w:eastAsia="Calibri" w:hAnsiTheme="minorBidi"/>
          <w:i/>
          <w:iCs/>
          <w:sz w:val="22"/>
          <w:lang w:val="fr"/>
        </w:rPr>
        <w:t>(à ajuster en fonction de la liste finale des participants)</w:t>
      </w:r>
    </w:p>
    <w:p w14:paraId="3092CAAB" w14:textId="77777777" w:rsidR="0048215C" w:rsidRPr="0048215C" w:rsidRDefault="0048215C" w:rsidP="0048215C">
      <w:pPr>
        <w:tabs>
          <w:tab w:val="left" w:pos="2694"/>
        </w:tabs>
        <w:spacing w:after="360"/>
        <w:jc w:val="left"/>
        <w:rPr>
          <w:rFonts w:asciiTheme="minorBidi" w:eastAsia="Calibri" w:hAnsiTheme="minorBidi" w:cstheme="minorBidi"/>
          <w:sz w:val="22"/>
          <w:szCs w:val="22"/>
          <w:lang w:val="fr-FR"/>
        </w:rPr>
      </w:pPr>
      <w:r>
        <w:rPr>
          <w:rFonts w:asciiTheme="minorBidi" w:eastAsia="Calibri" w:hAnsiTheme="minorBidi" w:cstheme="minorBidi"/>
          <w:sz w:val="22"/>
          <w:szCs w:val="22"/>
          <w:lang w:val="fr"/>
        </w:rPr>
        <w:t>Point </w:t>
      </w:r>
      <w:r>
        <w:rPr>
          <w:rFonts w:asciiTheme="minorBidi" w:eastAsia="Calibri" w:hAnsiTheme="minorBidi" w:cstheme="minorBidi"/>
          <w:b/>
          <w:bCs/>
          <w:sz w:val="22"/>
          <w:szCs w:val="22"/>
          <w:lang w:val="fr"/>
        </w:rPr>
        <w:t>5.4</w:t>
      </w:r>
      <w:r>
        <w:rPr>
          <w:rFonts w:asciiTheme="minorBidi" w:eastAsia="Calibri" w:hAnsiTheme="minorBidi" w:cstheme="minorBidi"/>
          <w:sz w:val="22"/>
          <w:szCs w:val="22"/>
          <w:lang w:val="fr"/>
        </w:rPr>
        <w:t xml:space="preserve"> de l'ordre du jour</w:t>
      </w:r>
    </w:p>
    <w:p w14:paraId="0A75BCA5" w14:textId="77777777" w:rsidR="0048215C" w:rsidRPr="0048215C" w:rsidRDefault="0048215C" w:rsidP="0048215C">
      <w:pPr>
        <w:tabs>
          <w:tab w:val="left" w:pos="2694"/>
        </w:tabs>
        <w:spacing w:after="480"/>
        <w:jc w:val="left"/>
        <w:rPr>
          <w:rFonts w:asciiTheme="minorBidi" w:eastAsia="Calibri" w:hAnsiTheme="minorBidi" w:cstheme="minorBidi"/>
          <w:b/>
          <w:bCs/>
          <w:sz w:val="22"/>
          <w:szCs w:val="22"/>
          <w:lang w:val="fr-FR"/>
        </w:rPr>
      </w:pPr>
      <w:r>
        <w:rPr>
          <w:rFonts w:asciiTheme="minorBidi" w:eastAsia="Calibri" w:hAnsiTheme="minorBidi" w:cstheme="minorBidi"/>
          <w:b/>
          <w:bCs/>
          <w:sz w:val="22"/>
          <w:szCs w:val="22"/>
          <w:lang w:val="fr"/>
        </w:rPr>
        <w:t>QUESTIONS DE GOUVERNANCE, PROGRAMMATION ET BUDGÉTISATION INTÉRESSANT LA COMMISSION</w:t>
      </w:r>
    </w:p>
    <w:p w14:paraId="61D2B418" w14:textId="77777777" w:rsidR="0048215C" w:rsidRPr="009819DB" w:rsidRDefault="0048215C" w:rsidP="0048215C">
      <w:pPr>
        <w:tabs>
          <w:tab w:val="center" w:pos="4153"/>
          <w:tab w:val="right" w:pos="8306"/>
        </w:tabs>
        <w:snapToGrid w:val="0"/>
        <w:spacing w:after="240"/>
        <w:rPr>
          <w:rFonts w:asciiTheme="minorBidi" w:hAnsiTheme="minorBidi" w:cstheme="minorBidi"/>
          <w:bCs/>
          <w:color w:val="000000"/>
          <w:sz w:val="22"/>
          <w:szCs w:val="22"/>
        </w:rPr>
      </w:pPr>
      <w:r>
        <w:rPr>
          <w:rFonts w:asciiTheme="minorBidi" w:hAnsiTheme="minorBidi" w:cstheme="minorBidi"/>
          <w:color w:val="000000"/>
          <w:sz w:val="22"/>
          <w:szCs w:val="22"/>
          <w:lang w:val="fr"/>
        </w:rPr>
        <w:t>La Commission océanographique intergouvernementale,</w:t>
      </w:r>
    </w:p>
    <w:p w14:paraId="6B53F8B9" w14:textId="77777777" w:rsidR="0048215C" w:rsidRPr="00696C4F" w:rsidRDefault="0048215C" w:rsidP="0048215C">
      <w:pPr>
        <w:pStyle w:val="ListParagraph"/>
        <w:numPr>
          <w:ilvl w:val="0"/>
          <w:numId w:val="11"/>
        </w:numPr>
        <w:tabs>
          <w:tab w:val="clear" w:pos="709"/>
          <w:tab w:val="left" w:pos="567"/>
        </w:tabs>
        <w:snapToGrid w:val="0"/>
        <w:spacing w:after="120" w:line="360" w:lineRule="auto"/>
        <w:ind w:left="0" w:hanging="709"/>
        <w:contextualSpacing w:val="0"/>
        <w:rPr>
          <w:rFonts w:ascii="Arial" w:eastAsia="Calibri" w:hAnsi="Arial" w:cs="Arial"/>
          <w:sz w:val="22"/>
          <w:szCs w:val="22"/>
        </w:rPr>
      </w:pPr>
      <w:r>
        <w:rPr>
          <w:rFonts w:ascii="Arial" w:hAnsi="Arial" w:cs="Arial"/>
          <w:b/>
          <w:bCs/>
          <w:snapToGrid w:val="0"/>
          <w:color w:val="000000"/>
          <w:sz w:val="22"/>
          <w:szCs w:val="22"/>
          <w:lang w:val="fr"/>
        </w:rPr>
        <w:t>Ayant</w:t>
      </w:r>
      <w:r>
        <w:rPr>
          <w:rFonts w:ascii="Arial" w:hAnsi="Arial" w:cs="Arial"/>
          <w:b/>
          <w:bCs/>
          <w:sz w:val="22"/>
          <w:szCs w:val="22"/>
          <w:lang w:val="fr"/>
        </w:rPr>
        <w:t xml:space="preserve"> examiné les</w:t>
      </w:r>
      <w:r>
        <w:rPr>
          <w:rFonts w:ascii="Arial" w:hAnsi="Arial" w:cs="Arial"/>
          <w:sz w:val="22"/>
          <w:szCs w:val="22"/>
          <w:lang w:val="fr"/>
        </w:rPr>
        <w:t xml:space="preserve"> documents :</w:t>
      </w:r>
    </w:p>
    <w:p w14:paraId="0F79C2A7" w14:textId="77777777" w:rsidR="0048215C" w:rsidRPr="0048215C" w:rsidRDefault="0048215C" w:rsidP="0048215C">
      <w:pPr>
        <w:pStyle w:val="b"/>
        <w:numPr>
          <w:ilvl w:val="0"/>
          <w:numId w:val="1"/>
        </w:numPr>
        <w:tabs>
          <w:tab w:val="clear" w:pos="1134"/>
        </w:tabs>
        <w:spacing w:after="120"/>
        <w:ind w:left="851" w:hanging="851"/>
        <w:rPr>
          <w:rFonts w:ascii="Arial" w:eastAsia="Calibri" w:hAnsi="Arial" w:cs="Arial"/>
          <w:sz w:val="22"/>
          <w:szCs w:val="22"/>
          <w:lang w:val="fr-FR"/>
        </w:rPr>
      </w:pPr>
      <w:r>
        <w:rPr>
          <w:rFonts w:ascii="Arial" w:eastAsia="Calibri" w:hAnsi="Arial" w:cs="Arial"/>
          <w:sz w:val="22"/>
          <w:szCs w:val="22"/>
          <w:lang w:val="fr"/>
        </w:rPr>
        <w:t>IOC/A-33/3.</w:t>
      </w:r>
      <w:proofErr w:type="gramStart"/>
      <w:r>
        <w:rPr>
          <w:rFonts w:ascii="Arial" w:eastAsia="Calibri" w:hAnsi="Arial" w:cs="Arial"/>
          <w:sz w:val="22"/>
          <w:szCs w:val="22"/>
          <w:lang w:val="fr"/>
        </w:rPr>
        <w:t>2.Doc</w:t>
      </w:r>
      <w:proofErr w:type="gramEnd"/>
      <w:r>
        <w:rPr>
          <w:rFonts w:ascii="Arial" w:eastAsia="Calibri" w:hAnsi="Arial" w:cs="Arial"/>
          <w:sz w:val="22"/>
          <w:szCs w:val="22"/>
          <w:lang w:val="fr"/>
        </w:rPr>
        <w:t>(2) – Rapport sur l'exécution du budget 2024-2025 (42 C/5) au 31 décembre 2024,</w:t>
      </w:r>
    </w:p>
    <w:p w14:paraId="4D2D3471" w14:textId="77777777" w:rsidR="0048215C" w:rsidRPr="0048215C" w:rsidRDefault="0048215C" w:rsidP="0048215C">
      <w:pPr>
        <w:pStyle w:val="b"/>
        <w:numPr>
          <w:ilvl w:val="0"/>
          <w:numId w:val="1"/>
        </w:numPr>
        <w:tabs>
          <w:tab w:val="clear" w:pos="1134"/>
        </w:tabs>
        <w:spacing w:after="120"/>
        <w:ind w:left="851" w:hanging="851"/>
        <w:rPr>
          <w:rFonts w:ascii="Arial" w:eastAsia="Calibri" w:hAnsi="Arial" w:cs="Arial"/>
          <w:sz w:val="22"/>
          <w:szCs w:val="22"/>
          <w:lang w:val="fr-FR"/>
        </w:rPr>
      </w:pPr>
      <w:r>
        <w:rPr>
          <w:rFonts w:ascii="Arial" w:eastAsia="Calibri" w:hAnsi="Arial" w:cs="Arial"/>
          <w:sz w:val="22"/>
          <w:szCs w:val="22"/>
          <w:lang w:val="fr"/>
        </w:rPr>
        <w:t>IOC/A-33/3.</w:t>
      </w:r>
      <w:proofErr w:type="gramStart"/>
      <w:r>
        <w:rPr>
          <w:rFonts w:ascii="Arial" w:eastAsia="Calibri" w:hAnsi="Arial" w:cs="Arial"/>
          <w:sz w:val="22"/>
          <w:szCs w:val="22"/>
          <w:lang w:val="fr"/>
        </w:rPr>
        <w:t>2.Doc</w:t>
      </w:r>
      <w:proofErr w:type="gramEnd"/>
      <w:r>
        <w:rPr>
          <w:rFonts w:ascii="Arial" w:eastAsia="Calibri" w:hAnsi="Arial" w:cs="Arial"/>
          <w:sz w:val="22"/>
          <w:szCs w:val="22"/>
          <w:lang w:val="fr"/>
        </w:rPr>
        <w:t>(3) – Situation financière du Compte spécial de la COI à la fin de l'année 2024 et prévisions pour 2025,</w:t>
      </w:r>
    </w:p>
    <w:p w14:paraId="5A41C098" w14:textId="77777777" w:rsidR="0048215C" w:rsidRPr="0048215C" w:rsidRDefault="0048215C" w:rsidP="0048215C">
      <w:pPr>
        <w:pStyle w:val="b"/>
        <w:numPr>
          <w:ilvl w:val="0"/>
          <w:numId w:val="1"/>
        </w:numPr>
        <w:tabs>
          <w:tab w:val="clear" w:pos="1134"/>
        </w:tabs>
        <w:spacing w:after="120"/>
        <w:ind w:left="851" w:hanging="851"/>
        <w:rPr>
          <w:rFonts w:ascii="Arial" w:eastAsia="Calibri" w:hAnsi="Arial" w:cs="Arial"/>
          <w:sz w:val="22"/>
          <w:szCs w:val="22"/>
          <w:lang w:val="fr-FR"/>
        </w:rPr>
      </w:pPr>
      <w:r>
        <w:rPr>
          <w:rFonts w:ascii="Arial" w:eastAsia="Calibri" w:hAnsi="Arial" w:cs="Arial"/>
          <w:sz w:val="22"/>
          <w:szCs w:val="22"/>
          <w:lang w:val="fr"/>
        </w:rPr>
        <w:t>IOC/A-33/5.</w:t>
      </w:r>
      <w:proofErr w:type="gramStart"/>
      <w:r>
        <w:rPr>
          <w:rFonts w:ascii="Arial" w:eastAsia="Calibri" w:hAnsi="Arial" w:cs="Arial"/>
          <w:sz w:val="22"/>
          <w:szCs w:val="22"/>
          <w:lang w:val="fr"/>
        </w:rPr>
        <w:t>1.Doc</w:t>
      </w:r>
      <w:proofErr w:type="gramEnd"/>
      <w:r>
        <w:rPr>
          <w:rFonts w:ascii="Arial" w:eastAsia="Calibri" w:hAnsi="Arial" w:cs="Arial"/>
          <w:sz w:val="22"/>
          <w:szCs w:val="22"/>
          <w:lang w:val="fr"/>
        </w:rPr>
        <w:t xml:space="preserve">(1) – </w:t>
      </w:r>
      <w:bookmarkStart w:id="0" w:name="_Hlk137637641"/>
      <w:r>
        <w:rPr>
          <w:rFonts w:ascii="Arial" w:eastAsia="Calibri" w:hAnsi="Arial" w:cs="Arial"/>
          <w:sz w:val="22"/>
          <w:szCs w:val="22"/>
          <w:lang w:val="fr"/>
        </w:rPr>
        <w:t xml:space="preserve">Projet de programme et de budget pour 2026–2027 (projet 43 C/5), premier exercice biennal du </w:t>
      </w:r>
      <w:proofErr w:type="spellStart"/>
      <w:r>
        <w:rPr>
          <w:rFonts w:ascii="Arial" w:eastAsia="Calibri" w:hAnsi="Arial" w:cs="Arial"/>
          <w:sz w:val="22"/>
          <w:szCs w:val="22"/>
          <w:lang w:val="fr"/>
        </w:rPr>
        <w:t>quadriennum</w:t>
      </w:r>
      <w:proofErr w:type="spellEnd"/>
      <w:r>
        <w:rPr>
          <w:rFonts w:ascii="Arial" w:eastAsia="Calibri" w:hAnsi="Arial" w:cs="Arial"/>
          <w:sz w:val="22"/>
          <w:szCs w:val="22"/>
          <w:lang w:val="fr"/>
        </w:rPr>
        <w:t> 2026–2029</w:t>
      </w:r>
      <w:bookmarkEnd w:id="0"/>
      <w:r>
        <w:rPr>
          <w:rFonts w:ascii="Arial" w:eastAsia="Calibri" w:hAnsi="Arial" w:cs="Arial"/>
          <w:sz w:val="22"/>
          <w:szCs w:val="22"/>
          <w:lang w:val="fr"/>
        </w:rPr>
        <w:t>,</w:t>
      </w:r>
    </w:p>
    <w:p w14:paraId="2786767D" w14:textId="77777777" w:rsidR="0048215C" w:rsidRPr="0048215C" w:rsidRDefault="0048215C" w:rsidP="0048215C">
      <w:pPr>
        <w:pStyle w:val="b"/>
        <w:numPr>
          <w:ilvl w:val="0"/>
          <w:numId w:val="1"/>
        </w:numPr>
        <w:tabs>
          <w:tab w:val="clear" w:pos="1134"/>
        </w:tabs>
        <w:spacing w:after="120"/>
        <w:ind w:left="851" w:hanging="851"/>
        <w:rPr>
          <w:rFonts w:ascii="Arial" w:eastAsia="Calibri" w:hAnsi="Arial" w:cs="Arial"/>
          <w:sz w:val="22"/>
          <w:szCs w:val="22"/>
          <w:lang w:val="fr-FR"/>
        </w:rPr>
      </w:pPr>
      <w:r>
        <w:rPr>
          <w:rFonts w:ascii="Arial" w:eastAsia="Calibri" w:hAnsi="Arial" w:cs="Arial"/>
          <w:sz w:val="22"/>
          <w:szCs w:val="22"/>
          <w:lang w:val="fr"/>
        </w:rPr>
        <w:t>IOC/A-33/5.</w:t>
      </w:r>
      <w:proofErr w:type="gramStart"/>
      <w:r>
        <w:rPr>
          <w:rFonts w:ascii="Arial" w:eastAsia="Calibri" w:hAnsi="Arial" w:cs="Arial"/>
          <w:sz w:val="22"/>
          <w:szCs w:val="22"/>
          <w:lang w:val="fr"/>
        </w:rPr>
        <w:t>1.Doc</w:t>
      </w:r>
      <w:proofErr w:type="gramEnd"/>
      <w:r>
        <w:rPr>
          <w:rFonts w:ascii="Arial" w:eastAsia="Calibri" w:hAnsi="Arial" w:cs="Arial"/>
          <w:sz w:val="22"/>
          <w:szCs w:val="22"/>
          <w:lang w:val="fr"/>
        </w:rPr>
        <w:t>(2) – Rapport du Président du Groupe consultatif financier intersessions de la COI (2024-2025)</w:t>
      </w:r>
    </w:p>
    <w:p w14:paraId="6C7C6922" w14:textId="77777777" w:rsidR="0048215C" w:rsidRPr="0048215C" w:rsidRDefault="0048215C" w:rsidP="0048215C">
      <w:pPr>
        <w:pStyle w:val="b"/>
        <w:numPr>
          <w:ilvl w:val="0"/>
          <w:numId w:val="1"/>
        </w:numPr>
        <w:tabs>
          <w:tab w:val="clear" w:pos="1134"/>
        </w:tabs>
        <w:spacing w:after="120"/>
        <w:ind w:left="851" w:hanging="851"/>
        <w:rPr>
          <w:rFonts w:ascii="Arial" w:eastAsia="Calibri" w:hAnsi="Arial" w:cs="Arial"/>
          <w:sz w:val="22"/>
          <w:szCs w:val="22"/>
          <w:lang w:val="fr-FR"/>
        </w:rPr>
      </w:pPr>
      <w:r>
        <w:rPr>
          <w:rFonts w:ascii="Arial" w:hAnsi="Arial" w:cs="Arial"/>
          <w:color w:val="000000"/>
          <w:sz w:val="22"/>
          <w:szCs w:val="22"/>
          <w:lang w:val="fr"/>
        </w:rPr>
        <w:t>IOC/A-33/5.</w:t>
      </w:r>
      <w:proofErr w:type="gramStart"/>
      <w:r>
        <w:rPr>
          <w:rFonts w:ascii="Arial" w:hAnsi="Arial" w:cs="Arial"/>
          <w:color w:val="000000"/>
          <w:sz w:val="22"/>
          <w:szCs w:val="22"/>
          <w:lang w:val="fr"/>
        </w:rPr>
        <w:t>2.Doc</w:t>
      </w:r>
      <w:proofErr w:type="gramEnd"/>
      <w:r>
        <w:rPr>
          <w:rFonts w:ascii="Arial" w:hAnsi="Arial" w:cs="Arial"/>
          <w:color w:val="000000"/>
          <w:sz w:val="22"/>
          <w:szCs w:val="22"/>
          <w:lang w:val="fr"/>
        </w:rPr>
        <w:t>(1) – Évaluation des processus de gouvernance et de gestion de la COI et contribution des États membres au Groupe consultatif intersessions sur les questions financières ;</w:t>
      </w:r>
    </w:p>
    <w:p w14:paraId="7BDA2161" w14:textId="77777777" w:rsidR="0048215C" w:rsidRPr="0048215C" w:rsidRDefault="0048215C" w:rsidP="0048215C">
      <w:pPr>
        <w:pStyle w:val="b"/>
        <w:numPr>
          <w:ilvl w:val="0"/>
          <w:numId w:val="1"/>
        </w:numPr>
        <w:tabs>
          <w:tab w:val="clear" w:pos="1134"/>
        </w:tabs>
        <w:spacing w:after="120"/>
        <w:ind w:left="851" w:hanging="851"/>
        <w:rPr>
          <w:rFonts w:ascii="Arial" w:eastAsia="Calibri" w:hAnsi="Arial" w:cs="Arial"/>
          <w:sz w:val="22"/>
          <w:szCs w:val="22"/>
          <w:lang w:val="fr-FR"/>
        </w:rPr>
      </w:pPr>
      <w:r>
        <w:rPr>
          <w:rFonts w:ascii="Arial" w:hAnsi="Arial" w:cs="Arial"/>
          <w:color w:val="000000"/>
          <w:sz w:val="22"/>
          <w:szCs w:val="22"/>
          <w:lang w:val="fr"/>
        </w:rPr>
        <w:t>IOC/A-33/5.</w:t>
      </w:r>
      <w:proofErr w:type="gramStart"/>
      <w:r>
        <w:rPr>
          <w:rFonts w:ascii="Arial" w:hAnsi="Arial" w:cs="Arial"/>
          <w:color w:val="000000"/>
          <w:sz w:val="22"/>
          <w:szCs w:val="22"/>
          <w:lang w:val="fr"/>
        </w:rPr>
        <w:t>3.Doc</w:t>
      </w:r>
      <w:proofErr w:type="gramEnd"/>
      <w:r>
        <w:rPr>
          <w:rFonts w:ascii="Arial" w:hAnsi="Arial" w:cs="Arial"/>
          <w:color w:val="000000"/>
          <w:sz w:val="22"/>
          <w:szCs w:val="22"/>
          <w:lang w:val="fr"/>
        </w:rPr>
        <w:t>(1) – La COI et l'avenir du processus de consultation sur les océans : résumé de la première phase,</w:t>
      </w:r>
    </w:p>
    <w:p w14:paraId="7A3F72F5" w14:textId="77777777" w:rsidR="0048215C" w:rsidRPr="0048215C" w:rsidRDefault="0048215C" w:rsidP="0048215C">
      <w:pPr>
        <w:pStyle w:val="b"/>
        <w:numPr>
          <w:ilvl w:val="0"/>
          <w:numId w:val="1"/>
        </w:numPr>
        <w:tabs>
          <w:tab w:val="clear" w:pos="1134"/>
        </w:tabs>
        <w:spacing w:after="360"/>
        <w:ind w:left="851" w:hanging="851"/>
        <w:rPr>
          <w:rFonts w:ascii="Arial" w:eastAsia="Calibri" w:hAnsi="Arial" w:cs="Arial"/>
          <w:sz w:val="22"/>
          <w:szCs w:val="22"/>
          <w:lang w:val="fr-FR"/>
        </w:rPr>
      </w:pPr>
      <w:r>
        <w:rPr>
          <w:rFonts w:ascii="Arial" w:hAnsi="Arial" w:cs="Arial"/>
          <w:color w:val="000000"/>
          <w:sz w:val="22"/>
          <w:szCs w:val="22"/>
          <w:lang w:val="fr"/>
        </w:rPr>
        <w:t>IOC/A-33/5.</w:t>
      </w:r>
      <w:proofErr w:type="gramStart"/>
      <w:r>
        <w:rPr>
          <w:rFonts w:ascii="Arial" w:hAnsi="Arial" w:cs="Arial"/>
          <w:color w:val="000000"/>
          <w:sz w:val="22"/>
          <w:szCs w:val="22"/>
          <w:lang w:val="fr"/>
        </w:rPr>
        <w:t>3.Doc</w:t>
      </w:r>
      <w:proofErr w:type="gramEnd"/>
      <w:r>
        <w:rPr>
          <w:rFonts w:ascii="Arial" w:hAnsi="Arial" w:cs="Arial"/>
          <w:color w:val="000000"/>
          <w:sz w:val="22"/>
          <w:szCs w:val="22"/>
          <w:lang w:val="fr"/>
        </w:rPr>
        <w:t>(2) - Plan d’action en réponse à l’évaluation par la COI du positionnement stratégique de la COI : mise à jour sur la mise en œuvre,</w:t>
      </w:r>
    </w:p>
    <w:p w14:paraId="6F2A106B" w14:textId="77777777" w:rsidR="0048215C" w:rsidRPr="0048215C" w:rsidRDefault="0048215C" w:rsidP="0048215C">
      <w:pPr>
        <w:pStyle w:val="b"/>
        <w:tabs>
          <w:tab w:val="clear" w:pos="1134"/>
        </w:tabs>
        <w:ind w:left="0" w:firstLine="0"/>
        <w:jc w:val="center"/>
        <w:rPr>
          <w:rFonts w:ascii="Arial" w:eastAsia="Calibri" w:hAnsi="Arial" w:cs="Arial"/>
          <w:b/>
          <w:sz w:val="22"/>
          <w:szCs w:val="22"/>
          <w:lang w:val="fr-FR"/>
        </w:rPr>
      </w:pPr>
      <w:r>
        <w:rPr>
          <w:rFonts w:ascii="Arial" w:eastAsia="Calibri" w:hAnsi="Arial" w:cs="Arial"/>
          <w:b/>
          <w:bCs/>
          <w:sz w:val="22"/>
          <w:szCs w:val="22"/>
          <w:lang w:val="fr"/>
        </w:rPr>
        <w:t>I.</w:t>
      </w:r>
      <w:r>
        <w:rPr>
          <w:rFonts w:ascii="Arial" w:eastAsia="Calibri" w:hAnsi="Arial" w:cs="Arial"/>
          <w:sz w:val="22"/>
          <w:szCs w:val="22"/>
          <w:lang w:val="fr"/>
        </w:rPr>
        <w:br/>
      </w:r>
      <w:r>
        <w:rPr>
          <w:rFonts w:ascii="Arial" w:eastAsia="Calibri" w:hAnsi="Arial" w:cs="Arial"/>
          <w:b/>
          <w:bCs/>
          <w:sz w:val="22"/>
          <w:szCs w:val="22"/>
          <w:lang w:val="fr"/>
        </w:rPr>
        <w:t xml:space="preserve">Rapport sur l’exécution du budget 2024-2025 (42 C/5) au 31 décembre 2024 </w:t>
      </w:r>
      <w:r>
        <w:rPr>
          <w:rFonts w:ascii="Arial" w:eastAsia="Calibri" w:hAnsi="Arial" w:cs="Arial"/>
          <w:sz w:val="22"/>
          <w:szCs w:val="22"/>
          <w:lang w:val="fr"/>
        </w:rPr>
        <w:br/>
      </w:r>
      <w:r>
        <w:rPr>
          <w:rFonts w:ascii="Arial" w:eastAsia="Calibri" w:hAnsi="Arial" w:cs="Arial"/>
          <w:b/>
          <w:bCs/>
          <w:sz w:val="22"/>
          <w:szCs w:val="22"/>
          <w:lang w:val="fr"/>
        </w:rPr>
        <w:t xml:space="preserve">et Situation financière du compte spécial de la COI à la fin de l'année 2024 </w:t>
      </w:r>
      <w:r>
        <w:rPr>
          <w:rFonts w:ascii="Arial" w:eastAsia="Calibri" w:hAnsi="Arial" w:cs="Arial"/>
          <w:sz w:val="22"/>
          <w:szCs w:val="22"/>
          <w:lang w:val="fr"/>
        </w:rPr>
        <w:br/>
      </w:r>
      <w:r>
        <w:rPr>
          <w:rFonts w:ascii="Arial" w:eastAsia="Calibri" w:hAnsi="Arial" w:cs="Arial"/>
          <w:b/>
          <w:bCs/>
          <w:sz w:val="22"/>
          <w:szCs w:val="22"/>
          <w:lang w:val="fr"/>
        </w:rPr>
        <w:t>et prévisions pour 2025</w:t>
      </w:r>
    </w:p>
    <w:p w14:paraId="3BC4DCF8" w14:textId="77777777" w:rsidR="0048215C" w:rsidRPr="0048215C" w:rsidRDefault="0048215C" w:rsidP="0048215C">
      <w:pPr>
        <w:pStyle w:val="ListParagraph"/>
        <w:numPr>
          <w:ilvl w:val="0"/>
          <w:numId w:val="11"/>
        </w:numPr>
        <w:tabs>
          <w:tab w:val="clear" w:pos="709"/>
          <w:tab w:val="left" w:pos="567"/>
        </w:tabs>
        <w:snapToGrid w:val="0"/>
        <w:spacing w:after="240" w:line="360" w:lineRule="auto"/>
        <w:ind w:left="0" w:hanging="709"/>
        <w:contextualSpacing w:val="0"/>
        <w:rPr>
          <w:rFonts w:ascii="Arial" w:eastAsia="Calibri" w:hAnsi="Arial" w:cs="Arial"/>
          <w:sz w:val="22"/>
          <w:szCs w:val="22"/>
          <w:lang w:val="fr-FR"/>
        </w:rPr>
      </w:pPr>
      <w:r>
        <w:rPr>
          <w:rFonts w:ascii="Arial" w:hAnsi="Arial" w:cs="Arial"/>
          <w:b/>
          <w:bCs/>
          <w:snapToGrid w:val="0"/>
          <w:color w:val="000000"/>
          <w:sz w:val="22"/>
          <w:szCs w:val="22"/>
          <w:lang w:val="fr"/>
        </w:rPr>
        <w:lastRenderedPageBreak/>
        <w:t>Confirme</w:t>
      </w:r>
      <w:r>
        <w:rPr>
          <w:rFonts w:ascii="Arial" w:hAnsi="Arial" w:cs="Arial"/>
          <w:sz w:val="22"/>
          <w:szCs w:val="22"/>
          <w:lang w:val="fr"/>
        </w:rPr>
        <w:t xml:space="preserve"> que le budget de la COI pour 2024-2025, tel que présenté dans le document IOC/A-33/3.</w:t>
      </w:r>
      <w:proofErr w:type="gramStart"/>
      <w:r>
        <w:rPr>
          <w:rFonts w:ascii="Arial" w:hAnsi="Arial" w:cs="Arial"/>
          <w:sz w:val="22"/>
          <w:szCs w:val="22"/>
          <w:lang w:val="fr"/>
        </w:rPr>
        <w:t>2.Doc</w:t>
      </w:r>
      <w:proofErr w:type="gramEnd"/>
      <w:r>
        <w:rPr>
          <w:rFonts w:ascii="Arial" w:hAnsi="Arial" w:cs="Arial"/>
          <w:sz w:val="22"/>
          <w:szCs w:val="22"/>
          <w:lang w:val="fr"/>
        </w:rPr>
        <w:t>(2), a été exécuté au 31 décembre 2024 conformément au Programme et budget approuvé pour 2024-2025 (42 C/5), y compris les crédits budgétaires révisés pour le Compte spécial de la COI, tels qu’approuvés par l’Assemblée de la COI à sa 32</w:t>
      </w:r>
      <w:r>
        <w:rPr>
          <w:rFonts w:ascii="Arial" w:hAnsi="Arial" w:cs="Arial"/>
          <w:sz w:val="22"/>
          <w:szCs w:val="22"/>
          <w:vertAlign w:val="superscript"/>
          <w:lang w:val="fr"/>
        </w:rPr>
        <w:t>e</w:t>
      </w:r>
      <w:r>
        <w:rPr>
          <w:rFonts w:ascii="Arial" w:hAnsi="Arial" w:cs="Arial"/>
          <w:sz w:val="22"/>
          <w:szCs w:val="22"/>
          <w:lang w:val="fr"/>
        </w:rPr>
        <w:t xml:space="preserve"> session dans la résolution A-32/4, et réexaminés par le Conseil exécutif de la COI à sa 57</w:t>
      </w:r>
      <w:r>
        <w:rPr>
          <w:rFonts w:ascii="Arial" w:hAnsi="Arial" w:cs="Arial"/>
          <w:sz w:val="22"/>
          <w:szCs w:val="22"/>
          <w:vertAlign w:val="superscript"/>
          <w:lang w:val="fr"/>
        </w:rPr>
        <w:t>e</w:t>
      </w:r>
      <w:r>
        <w:rPr>
          <w:rFonts w:ascii="Arial" w:hAnsi="Arial" w:cs="Arial"/>
          <w:sz w:val="22"/>
          <w:szCs w:val="22"/>
          <w:lang w:val="fr"/>
        </w:rPr>
        <w:t xml:space="preserve"> session dans la résolution EC-57/2 ;</w:t>
      </w:r>
    </w:p>
    <w:p w14:paraId="0A5DF8EE" w14:textId="77777777" w:rsidR="0048215C" w:rsidRPr="0048215C" w:rsidRDefault="0048215C" w:rsidP="0048215C">
      <w:pPr>
        <w:pStyle w:val="ListParagraph"/>
        <w:numPr>
          <w:ilvl w:val="0"/>
          <w:numId w:val="11"/>
        </w:numPr>
        <w:tabs>
          <w:tab w:val="clear" w:pos="709"/>
          <w:tab w:val="left" w:pos="567"/>
        </w:tabs>
        <w:snapToGrid w:val="0"/>
        <w:spacing w:after="240" w:line="360" w:lineRule="auto"/>
        <w:ind w:left="0" w:hanging="709"/>
        <w:contextualSpacing w:val="0"/>
        <w:rPr>
          <w:rFonts w:ascii="Arial" w:eastAsia="Calibri" w:hAnsi="Arial" w:cs="Arial"/>
          <w:sz w:val="22"/>
          <w:szCs w:val="22"/>
          <w:lang w:val="fr-FR"/>
        </w:rPr>
      </w:pPr>
      <w:r>
        <w:rPr>
          <w:rFonts w:ascii="Arial" w:hAnsi="Arial" w:cs="Arial"/>
          <w:b/>
          <w:bCs/>
          <w:snapToGrid w:val="0"/>
          <w:color w:val="000000"/>
          <w:sz w:val="22"/>
          <w:szCs w:val="22"/>
          <w:lang w:val="fr"/>
        </w:rPr>
        <w:t>A pris acte</w:t>
      </w:r>
      <w:r>
        <w:rPr>
          <w:rFonts w:ascii="Arial" w:hAnsi="Arial" w:cs="Arial"/>
          <w:sz w:val="22"/>
          <w:szCs w:val="22"/>
          <w:lang w:val="fr"/>
        </w:rPr>
        <w:t xml:space="preserve"> des informations sur la situation financière du compte spécial de la COI à la fin de l'année 2024 et des prévisions pour 2025, telles que fournies dans le document IOC/A-33/3.</w:t>
      </w:r>
      <w:proofErr w:type="gramStart"/>
      <w:r>
        <w:rPr>
          <w:rFonts w:ascii="Arial" w:hAnsi="Arial" w:cs="Arial"/>
          <w:sz w:val="22"/>
          <w:szCs w:val="22"/>
          <w:lang w:val="fr"/>
        </w:rPr>
        <w:t>2.Doc</w:t>
      </w:r>
      <w:proofErr w:type="gramEnd"/>
      <w:r>
        <w:rPr>
          <w:rFonts w:ascii="Arial" w:hAnsi="Arial" w:cs="Arial"/>
          <w:sz w:val="22"/>
          <w:szCs w:val="22"/>
          <w:lang w:val="fr"/>
        </w:rPr>
        <w:t>(3) ;</w:t>
      </w:r>
    </w:p>
    <w:p w14:paraId="522365FA" w14:textId="77777777" w:rsidR="0048215C" w:rsidRPr="0048215C" w:rsidRDefault="0048215C" w:rsidP="0048215C">
      <w:pPr>
        <w:pStyle w:val="ListParagraph"/>
        <w:numPr>
          <w:ilvl w:val="0"/>
          <w:numId w:val="11"/>
        </w:numPr>
        <w:tabs>
          <w:tab w:val="clear" w:pos="709"/>
          <w:tab w:val="left" w:pos="567"/>
        </w:tabs>
        <w:snapToGrid w:val="0"/>
        <w:spacing w:after="240" w:line="360" w:lineRule="auto"/>
        <w:ind w:left="0" w:hanging="709"/>
        <w:contextualSpacing w:val="0"/>
        <w:rPr>
          <w:rFonts w:ascii="Arial" w:eastAsia="Calibri" w:hAnsi="Arial" w:cs="Arial"/>
          <w:sz w:val="22"/>
          <w:szCs w:val="22"/>
          <w:lang w:val="fr-FR"/>
        </w:rPr>
      </w:pPr>
      <w:r>
        <w:rPr>
          <w:rFonts w:ascii="Arial" w:hAnsi="Arial" w:cs="Arial"/>
          <w:b/>
          <w:bCs/>
          <w:snapToGrid w:val="0"/>
          <w:color w:val="000000"/>
          <w:sz w:val="22"/>
          <w:szCs w:val="22"/>
          <w:lang w:val="fr"/>
        </w:rPr>
        <w:t>Approuve</w:t>
      </w:r>
      <w:r>
        <w:rPr>
          <w:rFonts w:ascii="Arial" w:hAnsi="Arial" w:cs="Arial"/>
          <w:sz w:val="22"/>
          <w:szCs w:val="22"/>
          <w:lang w:val="fr"/>
        </w:rPr>
        <w:t xml:space="preserve"> les allocations budgétaires révisées pour 2024-2025 du Compte spécial de la COI, telles que proposées dans le tableau 1 du document IOC/A-33/3.</w:t>
      </w:r>
      <w:proofErr w:type="gramStart"/>
      <w:r>
        <w:rPr>
          <w:rFonts w:ascii="Arial" w:hAnsi="Arial" w:cs="Arial"/>
          <w:sz w:val="22"/>
          <w:szCs w:val="22"/>
          <w:lang w:val="fr"/>
        </w:rPr>
        <w:t>2.Doc</w:t>
      </w:r>
      <w:proofErr w:type="gramEnd"/>
      <w:r>
        <w:rPr>
          <w:rFonts w:ascii="Arial" w:hAnsi="Arial" w:cs="Arial"/>
          <w:sz w:val="22"/>
          <w:szCs w:val="22"/>
          <w:lang w:val="fr"/>
        </w:rPr>
        <w:t>(3) ;</w:t>
      </w:r>
    </w:p>
    <w:p w14:paraId="330C0568" w14:textId="77777777" w:rsidR="0048215C" w:rsidRPr="002005FA" w:rsidRDefault="0048215C" w:rsidP="0048215C">
      <w:pPr>
        <w:pStyle w:val="ListParagraph"/>
        <w:numPr>
          <w:ilvl w:val="0"/>
          <w:numId w:val="11"/>
        </w:numPr>
        <w:tabs>
          <w:tab w:val="clear" w:pos="709"/>
          <w:tab w:val="left" w:pos="567"/>
        </w:tabs>
        <w:snapToGrid w:val="0"/>
        <w:spacing w:after="240" w:line="360" w:lineRule="auto"/>
        <w:ind w:left="0" w:hanging="709"/>
        <w:contextualSpacing w:val="0"/>
        <w:rPr>
          <w:rFonts w:ascii="Arial" w:eastAsia="Calibri" w:hAnsi="Arial" w:cs="Arial"/>
          <w:sz w:val="22"/>
          <w:szCs w:val="22"/>
          <w:lang w:val="fr-FR"/>
        </w:rPr>
      </w:pPr>
      <w:r>
        <w:rPr>
          <w:rFonts w:ascii="Arial" w:hAnsi="Arial" w:cs="Arial"/>
          <w:b/>
          <w:bCs/>
          <w:snapToGrid w:val="0"/>
          <w:color w:val="000000"/>
          <w:sz w:val="22"/>
          <w:szCs w:val="22"/>
          <w:lang w:val="fr"/>
        </w:rPr>
        <w:t>Remercie</w:t>
      </w:r>
      <w:r>
        <w:rPr>
          <w:rFonts w:ascii="Arial" w:hAnsi="Arial" w:cs="Arial"/>
          <w:sz w:val="22"/>
          <w:szCs w:val="22"/>
          <w:lang w:val="fr"/>
        </w:rPr>
        <w:t xml:space="preserve"> les États membres et les partenaires ayant apporté des contributions volontaires à la </w:t>
      </w:r>
      <w:r w:rsidRPr="002005FA">
        <w:rPr>
          <w:rFonts w:ascii="Arial" w:hAnsi="Arial" w:cs="Arial"/>
          <w:sz w:val="22"/>
          <w:szCs w:val="22"/>
          <w:lang w:val="fr"/>
        </w:rPr>
        <w:t>mise en œuvre du programme 2024-2025 ;</w:t>
      </w:r>
    </w:p>
    <w:p w14:paraId="6F383B99" w14:textId="77777777" w:rsidR="0048215C" w:rsidRPr="002005FA" w:rsidRDefault="0048215C" w:rsidP="0048215C">
      <w:pPr>
        <w:pStyle w:val="ListParagraph"/>
        <w:numPr>
          <w:ilvl w:val="0"/>
          <w:numId w:val="11"/>
        </w:numPr>
        <w:tabs>
          <w:tab w:val="clear" w:pos="709"/>
          <w:tab w:val="left" w:pos="567"/>
        </w:tabs>
        <w:snapToGrid w:val="0"/>
        <w:spacing w:after="240" w:line="360" w:lineRule="auto"/>
        <w:ind w:left="0" w:hanging="709"/>
        <w:contextualSpacing w:val="0"/>
        <w:rPr>
          <w:rFonts w:ascii="Arial" w:eastAsia="Calibri" w:hAnsi="Arial" w:cs="Arial"/>
          <w:sz w:val="22"/>
          <w:szCs w:val="22"/>
          <w:lang w:val="fr-FR"/>
        </w:rPr>
      </w:pPr>
      <w:r w:rsidRPr="002005FA">
        <w:rPr>
          <w:rFonts w:ascii="Arial" w:hAnsi="Arial" w:cs="Arial"/>
          <w:b/>
          <w:bCs/>
          <w:snapToGrid w:val="0"/>
          <w:color w:val="000000"/>
          <w:sz w:val="22"/>
          <w:szCs w:val="22"/>
          <w:lang w:val="fr"/>
        </w:rPr>
        <w:t>Encourage</w:t>
      </w:r>
      <w:r w:rsidRPr="002005FA">
        <w:rPr>
          <w:rFonts w:ascii="Arial" w:hAnsi="Arial" w:cs="Arial"/>
          <w:sz w:val="22"/>
          <w:szCs w:val="22"/>
          <w:lang w:val="fr"/>
        </w:rPr>
        <w:t xml:space="preserve"> tous les États membres à fournir des contributions volontaires, de préférence non affectées, au Compte spécial de la COI, afin de garantir la pleine réalisation des objectifs programmatiques de la Commission pour 2024-2025 dans l’ensemble des fonctions de la COI.</w:t>
      </w:r>
    </w:p>
    <w:p w14:paraId="5B534E19" w14:textId="77777777" w:rsidR="0048215C" w:rsidRPr="002005FA" w:rsidRDefault="0048215C" w:rsidP="0048215C">
      <w:pPr>
        <w:pStyle w:val="ListParagraph"/>
        <w:numPr>
          <w:ilvl w:val="0"/>
          <w:numId w:val="11"/>
        </w:numPr>
        <w:tabs>
          <w:tab w:val="clear" w:pos="709"/>
          <w:tab w:val="left" w:pos="567"/>
        </w:tabs>
        <w:snapToGrid w:val="0"/>
        <w:spacing w:after="240" w:line="360" w:lineRule="auto"/>
        <w:ind w:left="0" w:hanging="709"/>
        <w:contextualSpacing w:val="0"/>
        <w:rPr>
          <w:rFonts w:ascii="Arial" w:eastAsia="Calibri" w:hAnsi="Arial"/>
          <w:sz w:val="22"/>
          <w:lang w:val="fr-FR"/>
        </w:rPr>
      </w:pPr>
      <w:r w:rsidRPr="002005FA">
        <w:rPr>
          <w:rFonts w:ascii="Arial" w:hAnsi="Arial" w:cs="Arial"/>
          <w:b/>
          <w:bCs/>
          <w:snapToGrid w:val="0"/>
          <w:color w:val="000000"/>
          <w:sz w:val="22"/>
          <w:szCs w:val="22"/>
          <w:lang w:val="fr"/>
        </w:rPr>
        <w:t>Demande</w:t>
      </w:r>
      <w:r w:rsidRPr="002005FA">
        <w:rPr>
          <w:rFonts w:ascii="Arial" w:hAnsi="Arial" w:cs="Arial"/>
          <w:sz w:val="22"/>
          <w:szCs w:val="22"/>
          <w:lang w:val="fr"/>
        </w:rPr>
        <w:t xml:space="preserve"> au Secrétaire exécutif de la COI d’intensifier les efforts proactifs pour obtenir des contributions volontaires supplémentaires, y compris de la part de donateurs du secteur privé et d’autres partenaires, afin d’assurer la pleine mise en œuvre des objectifs programmatiques de la Commission pour 2024-2025, et d’explorer les options permettant de faciliter les processus de partenariat financier, y compris par la mise en place de mécanismes financiers supplémentaires comme le prévoient les Statuts de la COI ;</w:t>
      </w:r>
    </w:p>
    <w:p w14:paraId="25E7F61E" w14:textId="77777777" w:rsidR="0048215C" w:rsidRPr="002005FA" w:rsidRDefault="0048215C" w:rsidP="0048215C">
      <w:pPr>
        <w:pStyle w:val="ListParagraph"/>
        <w:numPr>
          <w:ilvl w:val="0"/>
          <w:numId w:val="11"/>
        </w:numPr>
        <w:tabs>
          <w:tab w:val="clear" w:pos="709"/>
          <w:tab w:val="left" w:pos="567"/>
        </w:tabs>
        <w:snapToGrid w:val="0"/>
        <w:spacing w:after="240" w:line="360" w:lineRule="auto"/>
        <w:ind w:left="0" w:hanging="709"/>
        <w:contextualSpacing w:val="0"/>
        <w:rPr>
          <w:rFonts w:ascii="Arial" w:eastAsia="Calibri" w:hAnsi="Arial" w:cs="Arial"/>
          <w:sz w:val="22"/>
          <w:szCs w:val="22"/>
          <w:lang w:val="fr-FR"/>
        </w:rPr>
      </w:pPr>
      <w:r w:rsidRPr="002005FA">
        <w:rPr>
          <w:rFonts w:ascii="Arial" w:hAnsi="Arial"/>
          <w:b/>
          <w:bCs/>
          <w:snapToGrid w:val="0"/>
          <w:color w:val="000000"/>
          <w:sz w:val="22"/>
          <w:szCs w:val="22"/>
          <w:lang w:val="fr"/>
        </w:rPr>
        <w:t>Note avec préoccupation</w:t>
      </w:r>
      <w:r w:rsidRPr="002005FA">
        <w:rPr>
          <w:rFonts w:ascii="Arial" w:hAnsi="Arial"/>
          <w:color w:val="000000"/>
          <w:sz w:val="22"/>
          <w:lang w:val="fr"/>
        </w:rPr>
        <w:t xml:space="preserve"> </w:t>
      </w:r>
      <w:r w:rsidRPr="002005FA">
        <w:rPr>
          <w:rFonts w:ascii="Arial" w:hAnsi="Arial"/>
          <w:snapToGrid w:val="0"/>
          <w:color w:val="000000"/>
          <w:sz w:val="22"/>
          <w:szCs w:val="22"/>
          <w:lang w:val="fr"/>
        </w:rPr>
        <w:t>que les décisions de l’Assemblée de la COI, adoptées par la résolution A-32/4, visant à « accorder la priorité à la stabilisation des fonctions de la COI, y compris les ressources humaines », n’ont pas été pleinement mises en œuvre, notamment en raison de l’impossibilité de pourvoir les postes établis, y compris dans les fonctions les plus critiques et les plus sous-dotées de la Commission, ce qui ralentit l’exécution du programme de la COI et a des répercussions sur le personnel en place ;</w:t>
      </w:r>
    </w:p>
    <w:p w14:paraId="4ED998FE" w14:textId="77777777" w:rsidR="0048215C" w:rsidRPr="0048215C" w:rsidRDefault="0048215C" w:rsidP="0048215C">
      <w:pPr>
        <w:pStyle w:val="ListParagraph"/>
        <w:numPr>
          <w:ilvl w:val="0"/>
          <w:numId w:val="11"/>
        </w:numPr>
        <w:tabs>
          <w:tab w:val="clear" w:pos="709"/>
          <w:tab w:val="left" w:pos="567"/>
        </w:tabs>
        <w:snapToGrid w:val="0"/>
        <w:spacing w:after="240" w:line="360" w:lineRule="auto"/>
        <w:ind w:left="0" w:hanging="709"/>
        <w:contextualSpacing w:val="0"/>
        <w:rPr>
          <w:rFonts w:ascii="Arial" w:eastAsia="Calibri" w:hAnsi="Arial" w:cs="Arial"/>
          <w:b/>
          <w:bCs/>
          <w:sz w:val="22"/>
          <w:szCs w:val="22"/>
          <w:lang w:val="fr-FR"/>
        </w:rPr>
      </w:pPr>
      <w:r>
        <w:rPr>
          <w:rFonts w:ascii="Arial" w:eastAsia="Calibri" w:hAnsi="Arial" w:cs="Arial"/>
          <w:b/>
          <w:bCs/>
          <w:sz w:val="22"/>
          <w:szCs w:val="22"/>
          <w:lang w:val="fr"/>
        </w:rPr>
        <w:lastRenderedPageBreak/>
        <w:t>Note également avec préoccupation</w:t>
      </w:r>
      <w:r>
        <w:rPr>
          <w:rFonts w:ascii="Arial" w:eastAsia="Calibri" w:hAnsi="Arial" w:cs="Arial"/>
          <w:sz w:val="22"/>
          <w:szCs w:val="22"/>
          <w:lang w:val="fr"/>
        </w:rPr>
        <w:t xml:space="preserve"> que l’exécution du programme de la COI pour 2025 est gravement affectée par la réduction disproportionnée de l’allocation budgétaire ordinaire de la COI pour 2025, résultant des mesures de gestion prises par l’UNESCO pour se prémunir contre un </w:t>
      </w:r>
      <w:proofErr w:type="gramStart"/>
      <w:r>
        <w:rPr>
          <w:rFonts w:ascii="Arial" w:eastAsia="Calibri" w:hAnsi="Arial" w:cs="Arial"/>
          <w:sz w:val="22"/>
          <w:szCs w:val="22"/>
          <w:lang w:val="fr"/>
        </w:rPr>
        <w:t>risque potentiel</w:t>
      </w:r>
      <w:proofErr w:type="gramEnd"/>
      <w:r>
        <w:rPr>
          <w:rFonts w:ascii="Arial" w:eastAsia="Calibri" w:hAnsi="Arial" w:cs="Arial"/>
          <w:sz w:val="22"/>
          <w:szCs w:val="22"/>
          <w:lang w:val="fr"/>
        </w:rPr>
        <w:t xml:space="preserve"> de perte de revenus pour le programme et budget ordinaires (42 C/5) ;</w:t>
      </w:r>
    </w:p>
    <w:p w14:paraId="0CCF15AE" w14:textId="77777777" w:rsidR="0048215C" w:rsidRPr="0048215C" w:rsidRDefault="0048215C" w:rsidP="0048215C">
      <w:pPr>
        <w:pStyle w:val="ListParagraph"/>
        <w:numPr>
          <w:ilvl w:val="0"/>
          <w:numId w:val="11"/>
        </w:numPr>
        <w:tabs>
          <w:tab w:val="clear" w:pos="709"/>
          <w:tab w:val="left" w:pos="567"/>
        </w:tabs>
        <w:snapToGrid w:val="0"/>
        <w:spacing w:after="240" w:line="360" w:lineRule="auto"/>
        <w:ind w:left="0" w:hanging="709"/>
        <w:contextualSpacing w:val="0"/>
        <w:rPr>
          <w:rFonts w:ascii="Arial" w:eastAsia="Calibri" w:hAnsi="Arial" w:cs="Arial"/>
          <w:b/>
          <w:bCs/>
          <w:sz w:val="22"/>
          <w:szCs w:val="22"/>
          <w:lang w:val="fr-FR"/>
        </w:rPr>
      </w:pPr>
      <w:r>
        <w:rPr>
          <w:rFonts w:ascii="Arial" w:eastAsia="Calibri" w:hAnsi="Arial" w:cs="Arial"/>
          <w:b/>
          <w:bCs/>
          <w:sz w:val="22"/>
          <w:szCs w:val="22"/>
          <w:lang w:val="fr"/>
        </w:rPr>
        <w:t xml:space="preserve">Demande </w:t>
      </w:r>
      <w:r>
        <w:rPr>
          <w:rFonts w:ascii="Arial" w:eastAsia="Calibri" w:hAnsi="Arial" w:cs="Arial"/>
          <w:sz w:val="22"/>
          <w:szCs w:val="22"/>
          <w:lang w:val="fr"/>
        </w:rPr>
        <w:t>à la Directrice générale de l’UNESCO de prendre sans délai les mesures de gestion nécessaires pour assurer le respect de la décision prise par les États membres lors de la 216</w:t>
      </w:r>
      <w:r>
        <w:rPr>
          <w:rFonts w:ascii="Arial" w:eastAsia="Calibri" w:hAnsi="Arial" w:cs="Arial"/>
          <w:sz w:val="22"/>
          <w:szCs w:val="22"/>
          <w:vertAlign w:val="superscript"/>
          <w:lang w:val="fr"/>
        </w:rPr>
        <w:t>e</w:t>
      </w:r>
      <w:r>
        <w:rPr>
          <w:rFonts w:ascii="Arial" w:eastAsia="Calibri" w:hAnsi="Arial" w:cs="Arial"/>
          <w:sz w:val="22"/>
          <w:szCs w:val="22"/>
          <w:lang w:val="fr"/>
        </w:rPr>
        <w:t xml:space="preserve"> session du Conseil exécutif de l’UNESCO, et entérinée par la Conférence générale dans la résolution d’ouverture de crédits du 42 C/5, selon laquelle la part de la COI dans le budget ordinaire global disponible de l’UNESCO ne doit pas être inférieure à 3 %.</w:t>
      </w:r>
    </w:p>
    <w:p w14:paraId="7F7F59AC" w14:textId="77777777" w:rsidR="0048215C" w:rsidRPr="0048215C" w:rsidRDefault="0048215C" w:rsidP="0048215C">
      <w:pPr>
        <w:pStyle w:val="ListParagraph"/>
        <w:ind w:left="0"/>
        <w:contextualSpacing w:val="0"/>
        <w:jc w:val="center"/>
        <w:rPr>
          <w:rFonts w:ascii="Arial" w:eastAsia="Calibri" w:hAnsi="Arial" w:cs="Arial"/>
          <w:b/>
          <w:bCs/>
          <w:sz w:val="22"/>
          <w:szCs w:val="22"/>
          <w:lang w:val="fr-FR"/>
        </w:rPr>
      </w:pPr>
      <w:r>
        <w:rPr>
          <w:rFonts w:ascii="Arial" w:eastAsia="Calibri" w:hAnsi="Arial" w:cs="Arial"/>
          <w:b/>
          <w:bCs/>
          <w:sz w:val="22"/>
          <w:szCs w:val="22"/>
          <w:lang w:val="fr"/>
        </w:rPr>
        <w:t>II.</w:t>
      </w:r>
      <w:r>
        <w:rPr>
          <w:rFonts w:ascii="Arial" w:eastAsia="Calibri" w:hAnsi="Arial" w:cs="Arial"/>
          <w:sz w:val="22"/>
          <w:szCs w:val="22"/>
          <w:lang w:val="fr"/>
        </w:rPr>
        <w:br/>
      </w:r>
      <w:r>
        <w:rPr>
          <w:rFonts w:ascii="Arial" w:eastAsia="Calibri" w:hAnsi="Arial" w:cs="Arial"/>
          <w:b/>
          <w:bCs/>
          <w:sz w:val="22"/>
          <w:szCs w:val="22"/>
          <w:lang w:val="fr"/>
        </w:rPr>
        <w:t xml:space="preserve">Projet de programme et de budget pour 2026-2027 (projet de 43 C/5), </w:t>
      </w:r>
    </w:p>
    <w:p w14:paraId="53A014CB" w14:textId="77777777" w:rsidR="0048215C" w:rsidRPr="0048215C" w:rsidRDefault="0048215C" w:rsidP="0048215C">
      <w:pPr>
        <w:pStyle w:val="ListParagraph"/>
        <w:ind w:left="0"/>
        <w:contextualSpacing w:val="0"/>
        <w:jc w:val="center"/>
        <w:rPr>
          <w:rFonts w:ascii="Arial" w:eastAsia="Calibri" w:hAnsi="Arial" w:cs="Arial"/>
          <w:b/>
          <w:bCs/>
          <w:sz w:val="22"/>
          <w:szCs w:val="22"/>
          <w:lang w:val="fr-FR"/>
        </w:rPr>
      </w:pPr>
      <w:proofErr w:type="gramStart"/>
      <w:r>
        <w:rPr>
          <w:rFonts w:ascii="Arial" w:eastAsia="Calibri" w:hAnsi="Arial" w:cs="Arial"/>
          <w:b/>
          <w:bCs/>
          <w:sz w:val="22"/>
          <w:szCs w:val="22"/>
          <w:lang w:val="fr"/>
        </w:rPr>
        <w:t>premier</w:t>
      </w:r>
      <w:proofErr w:type="gramEnd"/>
      <w:r>
        <w:rPr>
          <w:rFonts w:ascii="Arial" w:eastAsia="Calibri" w:hAnsi="Arial" w:cs="Arial"/>
          <w:b/>
          <w:bCs/>
          <w:sz w:val="22"/>
          <w:szCs w:val="22"/>
          <w:lang w:val="fr"/>
        </w:rPr>
        <w:t xml:space="preserve"> exercice biennal du </w:t>
      </w:r>
      <w:proofErr w:type="spellStart"/>
      <w:r>
        <w:rPr>
          <w:rFonts w:ascii="Arial" w:eastAsia="Calibri" w:hAnsi="Arial" w:cs="Arial"/>
          <w:b/>
          <w:bCs/>
          <w:sz w:val="22"/>
          <w:szCs w:val="22"/>
          <w:lang w:val="fr"/>
        </w:rPr>
        <w:t>quadriennum</w:t>
      </w:r>
      <w:proofErr w:type="spellEnd"/>
      <w:r>
        <w:rPr>
          <w:rFonts w:ascii="Arial" w:eastAsia="Calibri" w:hAnsi="Arial" w:cs="Arial"/>
          <w:b/>
          <w:bCs/>
          <w:sz w:val="22"/>
          <w:szCs w:val="22"/>
          <w:lang w:val="fr"/>
        </w:rPr>
        <w:t> 2026–2029</w:t>
      </w:r>
    </w:p>
    <w:p w14:paraId="3F4A8C95" w14:textId="77777777" w:rsidR="0048215C" w:rsidRPr="0048215C" w:rsidRDefault="0048215C" w:rsidP="0048215C">
      <w:pPr>
        <w:pStyle w:val="ListParagraph"/>
        <w:ind w:left="0"/>
        <w:contextualSpacing w:val="0"/>
        <w:jc w:val="center"/>
        <w:rPr>
          <w:rFonts w:ascii="Arial" w:eastAsia="Calibri" w:hAnsi="Arial" w:cs="Arial"/>
          <w:b/>
          <w:bCs/>
          <w:sz w:val="22"/>
          <w:szCs w:val="22"/>
          <w:lang w:val="fr-FR"/>
        </w:rPr>
      </w:pPr>
    </w:p>
    <w:p w14:paraId="2A000BFE" w14:textId="77777777" w:rsidR="0048215C" w:rsidRPr="0048215C" w:rsidRDefault="0048215C" w:rsidP="0048215C">
      <w:pPr>
        <w:pStyle w:val="ListParagraph"/>
        <w:numPr>
          <w:ilvl w:val="0"/>
          <w:numId w:val="11"/>
        </w:numPr>
        <w:tabs>
          <w:tab w:val="clear" w:pos="709"/>
          <w:tab w:val="left" w:pos="567"/>
        </w:tabs>
        <w:snapToGrid w:val="0"/>
        <w:spacing w:after="240" w:line="360" w:lineRule="auto"/>
        <w:ind w:left="0" w:hanging="728"/>
        <w:contextualSpacing w:val="0"/>
        <w:rPr>
          <w:rFonts w:ascii="Arial" w:hAnsi="Arial" w:cs="Arial"/>
          <w:bCs/>
          <w:sz w:val="22"/>
          <w:szCs w:val="22"/>
          <w:lang w:val="fr-FR"/>
        </w:rPr>
      </w:pPr>
      <w:r>
        <w:rPr>
          <w:rFonts w:ascii="Arial" w:hAnsi="Arial" w:cs="Arial"/>
          <w:b/>
          <w:bCs/>
          <w:snapToGrid w:val="0"/>
          <w:color w:val="000000"/>
          <w:sz w:val="22"/>
          <w:szCs w:val="22"/>
          <w:lang w:val="fr"/>
        </w:rPr>
        <w:t>Rappelle</w:t>
      </w:r>
      <w:r>
        <w:rPr>
          <w:rFonts w:ascii="Arial" w:hAnsi="Arial" w:cs="Arial"/>
          <w:sz w:val="22"/>
          <w:szCs w:val="22"/>
          <w:lang w:val="fr"/>
        </w:rPr>
        <w:t xml:space="preserve"> la décision du Conseil exécutif de l’UNESCO à sa 216</w:t>
      </w:r>
      <w:r>
        <w:rPr>
          <w:rFonts w:ascii="Arial" w:hAnsi="Arial" w:cs="Arial"/>
          <w:sz w:val="22"/>
          <w:szCs w:val="22"/>
          <w:vertAlign w:val="superscript"/>
          <w:lang w:val="fr"/>
        </w:rPr>
        <w:t>e</w:t>
      </w:r>
      <w:r>
        <w:rPr>
          <w:rFonts w:ascii="Arial" w:hAnsi="Arial" w:cs="Arial"/>
          <w:sz w:val="22"/>
          <w:szCs w:val="22"/>
          <w:lang w:val="fr"/>
        </w:rPr>
        <w:t xml:space="preserve"> session, recommandant à la Conférence générale de l’UNESCO, à sa 42</w:t>
      </w:r>
      <w:r>
        <w:rPr>
          <w:rFonts w:ascii="Arial" w:hAnsi="Arial" w:cs="Arial"/>
          <w:sz w:val="22"/>
          <w:szCs w:val="22"/>
          <w:vertAlign w:val="superscript"/>
          <w:lang w:val="fr"/>
        </w:rPr>
        <w:t>e</w:t>
      </w:r>
      <w:r>
        <w:rPr>
          <w:rFonts w:ascii="Arial" w:hAnsi="Arial" w:cs="Arial"/>
          <w:sz w:val="22"/>
          <w:szCs w:val="22"/>
          <w:lang w:val="fr"/>
        </w:rPr>
        <w:t xml:space="preserve"> session, d’approuver une augmentation de la part de la COI dans le budget ordinaire de l’UNESCO de [1%], sans diminution par transferts de fonds vers d’autres sections du budget, et « qu’un niveau de référence soit défini et approuvé pour la part de la COI dans le budget ordinaire de l’UNESCO dans le cadre du document 42 C/5 et des futurs documents C/5, et qu’aucune réduction de ce niveau de référence ne soit effectuée à l’avenir sauf décision de la Conférence générale » ;</w:t>
      </w:r>
    </w:p>
    <w:p w14:paraId="5ED8DD46" w14:textId="77777777" w:rsidR="0048215C" w:rsidRPr="0048215C" w:rsidRDefault="0048215C" w:rsidP="0048215C">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lang w:val="fr-FR"/>
        </w:rPr>
      </w:pPr>
      <w:r>
        <w:rPr>
          <w:rFonts w:ascii="Arial" w:hAnsi="Arial" w:cs="Arial"/>
          <w:b/>
          <w:bCs/>
          <w:snapToGrid w:val="0"/>
          <w:color w:val="000000"/>
          <w:sz w:val="22"/>
          <w:szCs w:val="22"/>
          <w:lang w:val="fr"/>
        </w:rPr>
        <w:t>Note</w:t>
      </w:r>
      <w:r>
        <w:rPr>
          <w:rFonts w:ascii="Arial" w:hAnsi="Arial" w:cs="Arial"/>
          <w:b/>
          <w:bCs/>
          <w:sz w:val="22"/>
          <w:szCs w:val="22"/>
          <w:lang w:val="fr"/>
        </w:rPr>
        <w:t xml:space="preserve"> avec reconnaissance</w:t>
      </w:r>
      <w:r>
        <w:rPr>
          <w:rFonts w:ascii="Arial" w:hAnsi="Arial" w:cs="Arial"/>
          <w:sz w:val="22"/>
          <w:szCs w:val="22"/>
          <w:lang w:val="fr"/>
        </w:rPr>
        <w:t xml:space="preserve"> que les trois scénarios proposés dans le projet de 43 C/5 respectent cette décision, en allouant 3 % du budget ordinaire global de l’UNESCO à la COI ; </w:t>
      </w:r>
    </w:p>
    <w:p w14:paraId="40ADA3A4" w14:textId="77777777" w:rsidR="0048215C" w:rsidRPr="0048215C" w:rsidRDefault="0048215C" w:rsidP="0048215C">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lang w:val="fr-FR"/>
        </w:rPr>
      </w:pPr>
      <w:r>
        <w:rPr>
          <w:rFonts w:ascii="Arial" w:hAnsi="Arial" w:cs="Arial"/>
          <w:b/>
          <w:bCs/>
          <w:snapToGrid w:val="0"/>
          <w:color w:val="000000"/>
          <w:sz w:val="22"/>
          <w:szCs w:val="22"/>
          <w:lang w:val="fr"/>
        </w:rPr>
        <w:t>Prend acte</w:t>
      </w:r>
      <w:r>
        <w:rPr>
          <w:rFonts w:ascii="Arial" w:hAnsi="Arial" w:cs="Arial"/>
          <w:sz w:val="22"/>
          <w:szCs w:val="22"/>
          <w:lang w:val="fr"/>
        </w:rPr>
        <w:t xml:space="preserve"> de la présentation du projet de programme et de budget pour 2026-2027 (projet de 43 C/5), premier exercice biennal du </w:t>
      </w:r>
      <w:proofErr w:type="spellStart"/>
      <w:r>
        <w:rPr>
          <w:rFonts w:ascii="Arial" w:hAnsi="Arial" w:cs="Arial"/>
          <w:sz w:val="22"/>
          <w:szCs w:val="22"/>
          <w:lang w:val="fr"/>
        </w:rPr>
        <w:t>quadriennum</w:t>
      </w:r>
      <w:proofErr w:type="spellEnd"/>
      <w:r>
        <w:rPr>
          <w:rFonts w:ascii="Arial" w:hAnsi="Arial" w:cs="Arial"/>
          <w:sz w:val="22"/>
          <w:szCs w:val="22"/>
          <w:lang w:val="fr"/>
        </w:rPr>
        <w:t xml:space="preserve"> 2026-2029, tel que présenté dans le document IOC/A-33/5.</w:t>
      </w:r>
      <w:proofErr w:type="gramStart"/>
      <w:r>
        <w:rPr>
          <w:rFonts w:ascii="Arial" w:hAnsi="Arial" w:cs="Arial"/>
          <w:sz w:val="22"/>
          <w:szCs w:val="22"/>
          <w:lang w:val="fr"/>
        </w:rPr>
        <w:t>1.Doc</w:t>
      </w:r>
      <w:proofErr w:type="gramEnd"/>
      <w:r>
        <w:rPr>
          <w:rFonts w:ascii="Arial" w:hAnsi="Arial" w:cs="Arial"/>
          <w:sz w:val="22"/>
          <w:szCs w:val="22"/>
          <w:lang w:val="fr"/>
        </w:rPr>
        <w:t>(1), préparé comme partie intégrante du projet de programme et de budget de l’UNESCO pour 2026-2029 (projet de 43 C/5), soumis par la Directrice générale de l’UNESCO au Conseil exécutif de l’UNESCO à sa 221</w:t>
      </w:r>
      <w:r>
        <w:rPr>
          <w:rFonts w:ascii="Arial" w:hAnsi="Arial" w:cs="Arial"/>
          <w:sz w:val="22"/>
          <w:szCs w:val="22"/>
          <w:vertAlign w:val="superscript"/>
          <w:lang w:val="fr"/>
        </w:rPr>
        <w:t>e </w:t>
      </w:r>
      <w:r>
        <w:rPr>
          <w:rFonts w:ascii="Arial" w:hAnsi="Arial" w:cs="Arial"/>
          <w:sz w:val="22"/>
          <w:szCs w:val="22"/>
          <w:lang w:val="fr"/>
        </w:rPr>
        <w:t>session ;</w:t>
      </w:r>
    </w:p>
    <w:p w14:paraId="606BA2EB" w14:textId="77777777" w:rsidR="0048215C" w:rsidRPr="0048215C" w:rsidRDefault="0048215C" w:rsidP="0048215C">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lang w:val="fr-FR"/>
        </w:rPr>
      </w:pPr>
      <w:r>
        <w:rPr>
          <w:rFonts w:ascii="Arial" w:eastAsia="Calibri" w:hAnsi="Arial" w:cs="Arial"/>
          <w:b/>
          <w:bCs/>
          <w:sz w:val="22"/>
          <w:szCs w:val="22"/>
          <w:lang w:val="fr"/>
        </w:rPr>
        <w:t>Se félicite</w:t>
      </w:r>
      <w:r>
        <w:rPr>
          <w:rFonts w:ascii="Arial" w:eastAsia="Calibri" w:hAnsi="Arial" w:cs="Arial"/>
          <w:sz w:val="22"/>
          <w:szCs w:val="22"/>
          <w:lang w:val="fr"/>
        </w:rPr>
        <w:t xml:space="preserve"> de la décision 221 EX/Déc.20 du Conseil exécutif de l’UNESCO, selon laquelle, </w:t>
      </w:r>
      <w:r>
        <w:rPr>
          <w:rFonts w:ascii="Arial" w:eastAsia="Calibri" w:hAnsi="Arial" w:cs="Arial"/>
          <w:i/>
          <w:iCs/>
          <w:sz w:val="22"/>
          <w:szCs w:val="22"/>
          <w:lang w:val="fr"/>
        </w:rPr>
        <w:t>« considérant que la Commission océanographique intergouvernementale (COI) est établie en tant qu’organe doté d’une autonomie fonctionnelle au sein de l’UNESCO, l’Assemblée de la COI étant l’organe principal en vertu des Statuts de la COI, le Secrétaire exécutif de la COI est invité à soumettre à l’Assemblée de la COI, à sa 33</w:t>
      </w:r>
      <w:r>
        <w:rPr>
          <w:rFonts w:ascii="Arial" w:eastAsia="Calibri" w:hAnsi="Arial" w:cs="Arial"/>
          <w:i/>
          <w:iCs/>
          <w:sz w:val="22"/>
          <w:szCs w:val="22"/>
          <w:vertAlign w:val="superscript"/>
          <w:lang w:val="fr"/>
        </w:rPr>
        <w:t>e </w:t>
      </w:r>
      <w:r>
        <w:rPr>
          <w:rFonts w:ascii="Arial" w:eastAsia="Calibri" w:hAnsi="Arial" w:cs="Arial"/>
          <w:i/>
          <w:iCs/>
          <w:sz w:val="22"/>
          <w:szCs w:val="22"/>
          <w:lang w:val="fr"/>
        </w:rPr>
        <w:t xml:space="preserve">session, les sections relatives à la Commission </w:t>
      </w:r>
      <w:r>
        <w:rPr>
          <w:rFonts w:ascii="Arial" w:eastAsia="Calibri" w:hAnsi="Arial" w:cs="Arial"/>
          <w:i/>
          <w:iCs/>
          <w:sz w:val="22"/>
          <w:szCs w:val="22"/>
          <w:lang w:val="fr"/>
        </w:rPr>
        <w:lastRenderedPageBreak/>
        <w:t>océanographique intergouvernementale des volumes I et II du projet de programme et de budget pour 2026-2029 (43 C/5), et à transmettre les recommandations de l’Assemblée de la COI à la Conférence générale à sa 43</w:t>
      </w:r>
      <w:r>
        <w:rPr>
          <w:rFonts w:ascii="Arial" w:eastAsia="Calibri" w:hAnsi="Arial" w:cs="Arial"/>
          <w:i/>
          <w:iCs/>
          <w:sz w:val="22"/>
          <w:szCs w:val="22"/>
          <w:vertAlign w:val="superscript"/>
          <w:lang w:val="fr"/>
        </w:rPr>
        <w:t>e </w:t>
      </w:r>
      <w:r>
        <w:rPr>
          <w:rFonts w:ascii="Arial" w:eastAsia="Calibri" w:hAnsi="Arial" w:cs="Arial"/>
          <w:i/>
          <w:iCs/>
          <w:sz w:val="22"/>
          <w:szCs w:val="22"/>
          <w:lang w:val="fr"/>
        </w:rPr>
        <w:t>session » </w:t>
      </w:r>
      <w:r>
        <w:rPr>
          <w:rFonts w:ascii="Arial" w:eastAsia="Calibri" w:hAnsi="Arial" w:cs="Arial"/>
          <w:sz w:val="22"/>
          <w:szCs w:val="22"/>
          <w:lang w:val="fr"/>
        </w:rPr>
        <w:t>;</w:t>
      </w:r>
    </w:p>
    <w:p w14:paraId="1C55F122" w14:textId="77777777" w:rsidR="0048215C" w:rsidRPr="0048215C" w:rsidRDefault="0048215C" w:rsidP="0048215C">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lang w:val="fr-FR"/>
        </w:rPr>
      </w:pPr>
      <w:r>
        <w:rPr>
          <w:rFonts w:ascii="Arial" w:eastAsia="Calibri" w:hAnsi="Arial" w:cs="Arial"/>
          <w:b/>
          <w:bCs/>
          <w:sz w:val="22"/>
          <w:szCs w:val="22"/>
          <w:lang w:val="fr"/>
        </w:rPr>
        <w:t xml:space="preserve">Remercie </w:t>
      </w:r>
      <w:r>
        <w:rPr>
          <w:rFonts w:ascii="Arial" w:eastAsia="Calibri" w:hAnsi="Arial" w:cs="Arial"/>
          <w:sz w:val="22"/>
          <w:szCs w:val="22"/>
          <w:lang w:val="fr"/>
        </w:rPr>
        <w:t>la présidente du Groupe consultatif intersessions sur les questions financières (IFAG), ainsi que le Secrétaire exécutif de la COI et son équipe, pour avoir associé les États membres à des sessions en ligne régulières, leur permettant ainsi de suivre et de contribuer activement à l’ensemble des développements pertinents concernant le présent point et les autres points abordés dans la présente résolution, conformément à la décision du Conseil exécutif de la COI, reflétée dans la résolution IOC/EC-57/4 ;</w:t>
      </w:r>
    </w:p>
    <w:p w14:paraId="28105E13" w14:textId="77777777" w:rsidR="0048215C" w:rsidRPr="0048215C" w:rsidRDefault="0048215C" w:rsidP="0048215C">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lang w:val="fr-FR"/>
        </w:rPr>
      </w:pPr>
      <w:r>
        <w:rPr>
          <w:rFonts w:ascii="Arial" w:eastAsia="Calibri" w:hAnsi="Arial" w:cs="Arial"/>
          <w:b/>
          <w:bCs/>
          <w:sz w:val="22"/>
          <w:szCs w:val="22"/>
          <w:lang w:val="fr"/>
        </w:rPr>
        <w:t>Se félicite également</w:t>
      </w:r>
      <w:r>
        <w:rPr>
          <w:rFonts w:ascii="Arial" w:eastAsia="Calibri" w:hAnsi="Arial" w:cs="Arial"/>
          <w:sz w:val="22"/>
          <w:szCs w:val="22"/>
          <w:lang w:val="fr"/>
        </w:rPr>
        <w:t xml:space="preserve"> des efforts déployés pour l’élaboration du nouveau projet de Cadre de résultats de la COI pour 2026-2027, aligné sur la Stratégie à moyen terme de la COI 2022-2029, tel que présenté dans la partie II du document IOC/A-33/5.</w:t>
      </w:r>
      <w:proofErr w:type="gramStart"/>
      <w:r>
        <w:rPr>
          <w:rFonts w:ascii="Arial" w:eastAsia="Calibri" w:hAnsi="Arial" w:cs="Arial"/>
          <w:sz w:val="22"/>
          <w:szCs w:val="22"/>
          <w:lang w:val="fr"/>
        </w:rPr>
        <w:t>1.Doc</w:t>
      </w:r>
      <w:proofErr w:type="gramEnd"/>
      <w:r>
        <w:rPr>
          <w:rFonts w:ascii="Arial" w:eastAsia="Calibri" w:hAnsi="Arial" w:cs="Arial"/>
          <w:sz w:val="22"/>
          <w:szCs w:val="22"/>
          <w:lang w:val="fr"/>
        </w:rPr>
        <w:t>(1) ;</w:t>
      </w:r>
    </w:p>
    <w:p w14:paraId="16F5C5A3" w14:textId="77777777" w:rsidR="0048215C" w:rsidRPr="0048215C" w:rsidRDefault="0048215C" w:rsidP="0048215C">
      <w:pPr>
        <w:pStyle w:val="ListParagraph"/>
        <w:numPr>
          <w:ilvl w:val="0"/>
          <w:numId w:val="11"/>
        </w:numPr>
        <w:tabs>
          <w:tab w:val="clear" w:pos="709"/>
          <w:tab w:val="left" w:pos="567"/>
        </w:tabs>
        <w:snapToGrid w:val="0"/>
        <w:spacing w:after="240" w:line="360" w:lineRule="auto"/>
        <w:ind w:left="0" w:hanging="728"/>
        <w:contextualSpacing w:val="0"/>
        <w:rPr>
          <w:rFonts w:ascii="Arial" w:hAnsi="Arial" w:cs="Arial"/>
          <w:sz w:val="22"/>
          <w:szCs w:val="22"/>
          <w:lang w:val="fr-FR"/>
        </w:rPr>
      </w:pPr>
      <w:r>
        <w:rPr>
          <w:rFonts w:ascii="Arial" w:hAnsi="Arial" w:cs="Arial"/>
          <w:b/>
          <w:bCs/>
          <w:snapToGrid w:val="0"/>
          <w:color w:val="000000"/>
          <w:sz w:val="22"/>
          <w:szCs w:val="22"/>
          <w:lang w:val="fr"/>
        </w:rPr>
        <w:t>Estime</w:t>
      </w:r>
      <w:r>
        <w:rPr>
          <w:rFonts w:ascii="Arial" w:hAnsi="Arial" w:cs="Arial"/>
          <w:sz w:val="22"/>
          <w:szCs w:val="22"/>
          <w:lang w:val="fr"/>
        </w:rPr>
        <w:t xml:space="preserve"> que les choix programmatiques opérés par le Secrétariat dans l’élaboration du projet de programme et de budget pour 2026-2027 sont conformes aux orientations stratégiques des États membres, en adéquation avec les domaines prioritaires du 42 C/5 et dans l’esprit de préservation des acquis relatifs aux principes directeurs énoncés dans les résolutions A-32/4 et IOC/EC-57/2 de la COI ;</w:t>
      </w:r>
    </w:p>
    <w:p w14:paraId="6DABC3AC" w14:textId="77777777" w:rsidR="0048215C" w:rsidRPr="0048215C" w:rsidRDefault="0048215C" w:rsidP="0048215C">
      <w:pPr>
        <w:pStyle w:val="ListParagraph"/>
        <w:numPr>
          <w:ilvl w:val="0"/>
          <w:numId w:val="11"/>
        </w:numPr>
        <w:tabs>
          <w:tab w:val="clear" w:pos="709"/>
          <w:tab w:val="left" w:pos="567"/>
        </w:tabs>
        <w:snapToGrid w:val="0"/>
        <w:spacing w:after="240" w:line="360" w:lineRule="auto"/>
        <w:ind w:left="0" w:hanging="728"/>
        <w:contextualSpacing w:val="0"/>
        <w:rPr>
          <w:rFonts w:ascii="Arial" w:hAnsi="Arial" w:cs="Arial"/>
          <w:sz w:val="22"/>
          <w:szCs w:val="22"/>
          <w:lang w:val="fr-FR"/>
        </w:rPr>
      </w:pPr>
      <w:r>
        <w:rPr>
          <w:rFonts w:ascii="Arial" w:hAnsi="Arial" w:cs="Arial"/>
          <w:b/>
          <w:bCs/>
          <w:sz w:val="22"/>
          <w:szCs w:val="22"/>
          <w:lang w:val="fr"/>
        </w:rPr>
        <w:t>Reconnaît également</w:t>
      </w:r>
      <w:r>
        <w:rPr>
          <w:rFonts w:ascii="Arial" w:hAnsi="Arial" w:cs="Arial"/>
          <w:sz w:val="22"/>
          <w:szCs w:val="22"/>
          <w:lang w:val="fr"/>
        </w:rPr>
        <w:t xml:space="preserve"> que les hypothèses de travail sur lesquelles reposent les scénarios budgétaires proposés pour 2026-2027 pourraient évoluer en raison d’une éventuelle diminution du financement du budget ordinaire et des contributions volontaires, ce qui aurait un impact négatif sur les allocations allouées à la COI, alors que certaines fonctions critiques de la Commission restent toujours en sous-effectif et insuffisamment dotées en ressources ; </w:t>
      </w:r>
    </w:p>
    <w:p w14:paraId="717E85EF" w14:textId="77777777" w:rsidR="0048215C" w:rsidRPr="0048215C" w:rsidRDefault="0048215C" w:rsidP="0048215C">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lang w:val="fr-FR"/>
        </w:rPr>
      </w:pPr>
      <w:r>
        <w:rPr>
          <w:rFonts w:ascii="Arial" w:hAnsi="Arial" w:cs="Arial"/>
          <w:b/>
          <w:bCs/>
          <w:snapToGrid w:val="0"/>
          <w:color w:val="000000"/>
          <w:sz w:val="22"/>
          <w:szCs w:val="22"/>
          <w:lang w:val="fr"/>
        </w:rPr>
        <w:t>Demande</w:t>
      </w:r>
      <w:r>
        <w:rPr>
          <w:rFonts w:ascii="Arial" w:hAnsi="Arial" w:cs="Arial"/>
          <w:snapToGrid w:val="0"/>
          <w:color w:val="000000"/>
          <w:sz w:val="22"/>
          <w:szCs w:val="22"/>
          <w:lang w:val="fr"/>
        </w:rPr>
        <w:t xml:space="preserve"> au Secrétaire exécutif de la COI, en consultation avec l’IFAG, d’examiner les options permettant de maintenir et d’optimiser le projet de 43 C/5, en prenant comme référence minimale le nombre et le niveau de postes prévus dans le 42 C/5, lors de la finalisation de la proposition budgétaire de la COI pour le(s) scénario(s) du 43 C/5 à présenter à la 43</w:t>
      </w:r>
      <w:r>
        <w:rPr>
          <w:rFonts w:ascii="Arial" w:hAnsi="Arial" w:cs="Arial"/>
          <w:snapToGrid w:val="0"/>
          <w:color w:val="000000"/>
          <w:sz w:val="22"/>
          <w:szCs w:val="22"/>
          <w:vertAlign w:val="superscript"/>
          <w:lang w:val="fr"/>
        </w:rPr>
        <w:t>e</w:t>
      </w:r>
      <w:r>
        <w:rPr>
          <w:rFonts w:ascii="Arial" w:hAnsi="Arial" w:cs="Arial"/>
          <w:snapToGrid w:val="0"/>
          <w:color w:val="000000"/>
          <w:sz w:val="22"/>
          <w:szCs w:val="22"/>
          <w:lang w:val="fr"/>
        </w:rPr>
        <w:t xml:space="preserve"> session de la Conférence générale de l’UNESCO ; </w:t>
      </w:r>
    </w:p>
    <w:p w14:paraId="1DE503C2" w14:textId="77777777" w:rsidR="0048215C" w:rsidRPr="0048215C" w:rsidRDefault="0048215C" w:rsidP="0048215C">
      <w:pPr>
        <w:pStyle w:val="ListParagraph"/>
        <w:numPr>
          <w:ilvl w:val="0"/>
          <w:numId w:val="11"/>
        </w:numPr>
        <w:tabs>
          <w:tab w:val="clear" w:pos="709"/>
          <w:tab w:val="left" w:pos="567"/>
        </w:tabs>
        <w:snapToGrid w:val="0"/>
        <w:spacing w:after="240" w:line="360" w:lineRule="auto"/>
        <w:ind w:left="0" w:hanging="728"/>
        <w:contextualSpacing w:val="0"/>
        <w:rPr>
          <w:rFonts w:ascii="Arial" w:hAnsi="Arial" w:cs="Arial"/>
          <w:sz w:val="22"/>
          <w:szCs w:val="22"/>
          <w:lang w:val="fr-FR"/>
        </w:rPr>
      </w:pPr>
      <w:r>
        <w:rPr>
          <w:rFonts w:ascii="Arial" w:hAnsi="Arial" w:cs="Arial"/>
          <w:b/>
          <w:bCs/>
          <w:snapToGrid w:val="0"/>
          <w:color w:val="000000"/>
          <w:sz w:val="22"/>
          <w:szCs w:val="22"/>
          <w:lang w:val="fr"/>
        </w:rPr>
        <w:t>Approuve</w:t>
      </w:r>
      <w:r>
        <w:rPr>
          <w:rFonts w:ascii="Arial" w:hAnsi="Arial" w:cs="Arial"/>
          <w:sz w:val="22"/>
          <w:szCs w:val="22"/>
          <w:lang w:val="fr"/>
        </w:rPr>
        <w:t xml:space="preserve"> l’approche de la COI concernant les propositions préliminaires relatives au programme et budget pour 2026-2027 (projet de 43 C/5), y compris le nouveau Cadre de résultats de la COI tel que présenté dans la partie II du document IOC/A-33/5.</w:t>
      </w:r>
      <w:proofErr w:type="gramStart"/>
      <w:r>
        <w:rPr>
          <w:rFonts w:ascii="Arial" w:hAnsi="Arial" w:cs="Arial"/>
          <w:sz w:val="22"/>
          <w:szCs w:val="22"/>
          <w:lang w:val="fr"/>
        </w:rPr>
        <w:t>1.Doc</w:t>
      </w:r>
      <w:proofErr w:type="gramEnd"/>
      <w:r>
        <w:rPr>
          <w:rFonts w:ascii="Arial" w:hAnsi="Arial" w:cs="Arial"/>
          <w:sz w:val="22"/>
          <w:szCs w:val="22"/>
          <w:lang w:val="fr"/>
        </w:rPr>
        <w:t>(1) ;</w:t>
      </w:r>
    </w:p>
    <w:p w14:paraId="75CDEC89" w14:textId="77777777" w:rsidR="0048215C" w:rsidRPr="0048215C" w:rsidRDefault="0048215C" w:rsidP="0048215C">
      <w:pPr>
        <w:pStyle w:val="ListParagraph"/>
        <w:numPr>
          <w:ilvl w:val="0"/>
          <w:numId w:val="11"/>
        </w:numPr>
        <w:tabs>
          <w:tab w:val="clear" w:pos="709"/>
          <w:tab w:val="left" w:pos="567"/>
        </w:tabs>
        <w:snapToGrid w:val="0"/>
        <w:spacing w:after="240" w:line="360" w:lineRule="auto"/>
        <w:ind w:left="0" w:hanging="728"/>
        <w:contextualSpacing w:val="0"/>
        <w:rPr>
          <w:rFonts w:ascii="Arial" w:hAnsi="Arial" w:cs="Arial"/>
          <w:sz w:val="22"/>
          <w:szCs w:val="22"/>
          <w:lang w:val="fr-FR"/>
        </w:rPr>
      </w:pPr>
      <w:r>
        <w:rPr>
          <w:rFonts w:ascii="Arial" w:hAnsi="Arial" w:cs="Arial"/>
          <w:b/>
          <w:bCs/>
          <w:sz w:val="22"/>
          <w:szCs w:val="22"/>
          <w:lang w:val="fr"/>
        </w:rPr>
        <w:lastRenderedPageBreak/>
        <w:t>Demande également</w:t>
      </w:r>
      <w:r>
        <w:rPr>
          <w:rFonts w:ascii="Arial" w:hAnsi="Arial" w:cs="Arial"/>
          <w:sz w:val="22"/>
          <w:szCs w:val="22"/>
          <w:lang w:val="fr"/>
        </w:rPr>
        <w:t xml:space="preserve"> au Secrétaire exécutif de la COI de veiller à la transmission de la présente résolution à la 43</w:t>
      </w:r>
      <w:r>
        <w:rPr>
          <w:rFonts w:ascii="Arial" w:hAnsi="Arial" w:cs="Arial"/>
          <w:sz w:val="22"/>
          <w:szCs w:val="22"/>
          <w:vertAlign w:val="superscript"/>
          <w:lang w:val="fr"/>
        </w:rPr>
        <w:t>e</w:t>
      </w:r>
      <w:r>
        <w:rPr>
          <w:rFonts w:ascii="Arial" w:hAnsi="Arial" w:cs="Arial"/>
          <w:sz w:val="22"/>
          <w:szCs w:val="22"/>
          <w:lang w:val="fr"/>
        </w:rPr>
        <w:t xml:space="preserve"> session de la Conférence générale de l’UNESCO ;</w:t>
      </w:r>
    </w:p>
    <w:p w14:paraId="77F83369" w14:textId="77777777" w:rsidR="0048215C" w:rsidRPr="0048215C" w:rsidRDefault="0048215C" w:rsidP="0048215C">
      <w:pPr>
        <w:pStyle w:val="ListParagraph"/>
        <w:numPr>
          <w:ilvl w:val="0"/>
          <w:numId w:val="11"/>
        </w:numPr>
        <w:tabs>
          <w:tab w:val="clear" w:pos="709"/>
          <w:tab w:val="left" w:pos="567"/>
        </w:tabs>
        <w:snapToGrid w:val="0"/>
        <w:spacing w:after="240" w:line="360" w:lineRule="auto"/>
        <w:ind w:left="0" w:hanging="728"/>
        <w:contextualSpacing w:val="0"/>
        <w:rPr>
          <w:rFonts w:ascii="Arial" w:hAnsi="Arial" w:cs="Arial"/>
          <w:sz w:val="22"/>
          <w:szCs w:val="22"/>
          <w:lang w:val="fr-FR"/>
        </w:rPr>
      </w:pPr>
      <w:r>
        <w:rPr>
          <w:rFonts w:ascii="Arial" w:hAnsi="Arial" w:cs="Arial"/>
          <w:b/>
          <w:bCs/>
          <w:snapToGrid w:val="0"/>
          <w:color w:val="000000"/>
          <w:sz w:val="22"/>
          <w:szCs w:val="22"/>
          <w:lang w:val="fr"/>
        </w:rPr>
        <w:t>Souligne</w:t>
      </w:r>
      <w:r>
        <w:rPr>
          <w:rFonts w:ascii="Arial" w:hAnsi="Arial" w:cs="Arial"/>
          <w:sz w:val="22"/>
          <w:szCs w:val="22"/>
          <w:lang w:val="fr"/>
        </w:rPr>
        <w:t xml:space="preserve"> le caractère crucial de la poursuite et du renforcement d'un processus de consultation clair et complet avec les États membres de la COI sur les questions de gouvernance, de programmation et de budgétisation de la Commission ;</w:t>
      </w:r>
    </w:p>
    <w:p w14:paraId="07D935DD" w14:textId="77777777" w:rsidR="0048215C" w:rsidRPr="0048215C" w:rsidRDefault="0048215C" w:rsidP="0048215C">
      <w:pPr>
        <w:pStyle w:val="ListParagraph"/>
        <w:numPr>
          <w:ilvl w:val="0"/>
          <w:numId w:val="11"/>
        </w:numPr>
        <w:tabs>
          <w:tab w:val="clear" w:pos="709"/>
          <w:tab w:val="left" w:pos="567"/>
        </w:tabs>
        <w:snapToGrid w:val="0"/>
        <w:spacing w:after="240" w:line="360" w:lineRule="auto"/>
        <w:ind w:left="0" w:hanging="728"/>
        <w:contextualSpacing w:val="0"/>
        <w:rPr>
          <w:rFonts w:ascii="Arial" w:hAnsi="Arial" w:cs="Arial"/>
          <w:sz w:val="22"/>
          <w:szCs w:val="22"/>
          <w:lang w:val="fr-FR"/>
        </w:rPr>
      </w:pPr>
      <w:r>
        <w:rPr>
          <w:rFonts w:ascii="Arial" w:hAnsi="Arial" w:cs="Arial"/>
          <w:b/>
          <w:bCs/>
          <w:snapToGrid w:val="0"/>
          <w:color w:val="000000"/>
          <w:sz w:val="22"/>
          <w:szCs w:val="22"/>
          <w:lang w:val="fr"/>
        </w:rPr>
        <w:t>Se félicite</w:t>
      </w:r>
      <w:r>
        <w:rPr>
          <w:rFonts w:ascii="Arial" w:hAnsi="Arial" w:cs="Arial"/>
          <w:snapToGrid w:val="0"/>
          <w:color w:val="000000"/>
          <w:sz w:val="22"/>
          <w:szCs w:val="22"/>
          <w:lang w:val="fr"/>
        </w:rPr>
        <w:t xml:space="preserve">, dans ce contexte, de la proposition du Secrétaire exécutif de la COI visant à mieux aligner le calendrier des réunions des organes subsidiaires de la COI avec celui des principaux organes directeurs de la COI et de l’ensemble du cycle de programmation et de budgétisation de l’UNESCO ; </w:t>
      </w:r>
    </w:p>
    <w:p w14:paraId="32F4165C" w14:textId="77777777" w:rsidR="0048215C" w:rsidRPr="0048215C" w:rsidRDefault="0048215C" w:rsidP="0048215C">
      <w:pPr>
        <w:pStyle w:val="ListParagraph"/>
        <w:numPr>
          <w:ilvl w:val="0"/>
          <w:numId w:val="11"/>
        </w:numPr>
        <w:tabs>
          <w:tab w:val="clear" w:pos="709"/>
          <w:tab w:val="left" w:pos="567"/>
        </w:tabs>
        <w:snapToGrid w:val="0"/>
        <w:spacing w:after="240" w:line="360" w:lineRule="auto"/>
        <w:ind w:left="0" w:hanging="728"/>
        <w:contextualSpacing w:val="0"/>
        <w:rPr>
          <w:rFonts w:ascii="Arial" w:hAnsi="Arial" w:cs="Arial"/>
          <w:sz w:val="22"/>
          <w:szCs w:val="22"/>
          <w:lang w:val="fr-FR"/>
        </w:rPr>
      </w:pPr>
      <w:r>
        <w:rPr>
          <w:rFonts w:ascii="Arial" w:hAnsi="Arial" w:cs="Arial"/>
          <w:b/>
          <w:bCs/>
          <w:snapToGrid w:val="0"/>
          <w:color w:val="000000"/>
          <w:sz w:val="22"/>
          <w:szCs w:val="22"/>
          <w:lang w:val="fr"/>
        </w:rPr>
        <w:t>Demande en outre</w:t>
      </w:r>
      <w:r>
        <w:rPr>
          <w:rFonts w:ascii="Arial" w:hAnsi="Arial" w:cs="Arial"/>
          <w:sz w:val="22"/>
          <w:szCs w:val="22"/>
          <w:lang w:val="fr"/>
        </w:rPr>
        <w:t xml:space="preserve"> au Secrétaire exécutif de la COI de continuer à présenter tous les développements pertinents concernant cette question et les autres aspects importants liés à la gouvernance, à la programmation et à la budgétisation de la COI lors des réunions en ligne régulières et en temps opportun de l’IFAG. </w:t>
      </w:r>
    </w:p>
    <w:p w14:paraId="3510D8FB" w14:textId="64CB7CA3" w:rsidR="007B7C66" w:rsidRPr="0048215C" w:rsidRDefault="007B7C66" w:rsidP="007B7C66">
      <w:pPr>
        <w:pStyle w:val="ListParagraph"/>
        <w:tabs>
          <w:tab w:val="clear" w:pos="709"/>
          <w:tab w:val="left" w:pos="567"/>
        </w:tabs>
        <w:snapToGrid w:val="0"/>
        <w:ind w:left="0"/>
        <w:contextualSpacing w:val="0"/>
        <w:jc w:val="center"/>
        <w:rPr>
          <w:rFonts w:ascii="Arial" w:eastAsia="Calibri" w:hAnsi="Arial" w:cs="Arial"/>
          <w:b/>
          <w:bCs/>
          <w:sz w:val="22"/>
          <w:szCs w:val="22"/>
          <w:lang w:val="fr-FR"/>
        </w:rPr>
      </w:pPr>
      <w:r w:rsidRPr="0048215C">
        <w:rPr>
          <w:rFonts w:ascii="Arial" w:eastAsia="Calibri" w:hAnsi="Arial" w:cs="Arial"/>
          <w:b/>
          <w:bCs/>
          <w:sz w:val="22"/>
          <w:szCs w:val="22"/>
          <w:lang w:val="fr"/>
        </w:rPr>
        <w:t>III.</w:t>
      </w:r>
    </w:p>
    <w:p w14:paraId="6260F743" w14:textId="77777777" w:rsidR="007B7C66" w:rsidRPr="0048215C" w:rsidRDefault="007B7C66" w:rsidP="007B7C66">
      <w:pPr>
        <w:pStyle w:val="ListParagraph"/>
        <w:tabs>
          <w:tab w:val="clear" w:pos="709"/>
          <w:tab w:val="left" w:pos="567"/>
        </w:tabs>
        <w:snapToGrid w:val="0"/>
        <w:ind w:left="0"/>
        <w:contextualSpacing w:val="0"/>
        <w:jc w:val="center"/>
        <w:rPr>
          <w:rFonts w:ascii="Arial" w:eastAsia="Calibri" w:hAnsi="Arial" w:cs="Arial"/>
          <w:b/>
          <w:bCs/>
          <w:sz w:val="22"/>
          <w:szCs w:val="22"/>
          <w:lang w:val="fr-FR"/>
        </w:rPr>
      </w:pPr>
      <w:r w:rsidRPr="0048215C">
        <w:rPr>
          <w:rFonts w:ascii="Arial" w:eastAsia="Calibri" w:hAnsi="Arial" w:cs="Arial"/>
          <w:b/>
          <w:bCs/>
          <w:sz w:val="22"/>
          <w:szCs w:val="22"/>
          <w:lang w:val="fr"/>
        </w:rPr>
        <w:t>Évaluation des processus de gouvernance et de gestion</w:t>
      </w:r>
    </w:p>
    <w:p w14:paraId="3CFABCA0" w14:textId="77777777" w:rsidR="007B7C66" w:rsidRPr="0048215C" w:rsidRDefault="007B7C66" w:rsidP="007B7C66">
      <w:pPr>
        <w:pStyle w:val="ListParagraph"/>
        <w:tabs>
          <w:tab w:val="clear" w:pos="709"/>
          <w:tab w:val="left" w:pos="567"/>
        </w:tabs>
        <w:snapToGrid w:val="0"/>
        <w:spacing w:line="360" w:lineRule="auto"/>
        <w:ind w:left="0"/>
        <w:contextualSpacing w:val="0"/>
        <w:rPr>
          <w:rFonts w:ascii="Arial" w:eastAsia="Calibri" w:hAnsi="Arial" w:cs="Arial"/>
          <w:b/>
          <w:bCs/>
          <w:sz w:val="22"/>
          <w:szCs w:val="22"/>
          <w:lang w:val="fr-FR"/>
        </w:rPr>
      </w:pPr>
    </w:p>
    <w:p w14:paraId="7A23268E" w14:textId="64682D8B" w:rsidR="007B7C66" w:rsidRPr="0048215C"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lang w:val="fr-FR"/>
        </w:rPr>
      </w:pPr>
      <w:r w:rsidRPr="0048215C">
        <w:rPr>
          <w:rFonts w:ascii="Arial" w:hAnsi="Arial" w:cs="Arial"/>
          <w:b/>
          <w:bCs/>
          <w:snapToGrid w:val="0"/>
          <w:color w:val="000000"/>
          <w:sz w:val="22"/>
          <w:szCs w:val="22"/>
          <w:lang w:val="fr"/>
        </w:rPr>
        <w:t>Rappelant que</w:t>
      </w:r>
      <w:r w:rsidRPr="0048215C">
        <w:rPr>
          <w:rFonts w:ascii="Arial" w:hAnsi="Arial" w:cs="Arial"/>
          <w:sz w:val="22"/>
          <w:szCs w:val="22"/>
          <w:lang w:val="fr"/>
        </w:rPr>
        <w:t xml:space="preserve">, dans sa résolution EC-57/2, le Conseil exécutif de la COI a prié le Secrétaire exécutif de la COI </w:t>
      </w:r>
      <w:r w:rsidRPr="0048215C">
        <w:rPr>
          <w:rFonts w:ascii="Arial" w:hAnsi="Arial" w:cs="Arial"/>
          <w:i/>
          <w:iCs/>
          <w:sz w:val="22"/>
          <w:szCs w:val="22"/>
          <w:lang w:val="fr"/>
        </w:rPr>
        <w:t>« en consultation avec le Bureau de la Commission, de lancer une évaluation externe des processus de gouvernance et de gestion de la COI, en vue de rationaliser les opérations et d’optimiser l’utilisation des ressources, de façon à fournir la réponse la plus adaptée face à l’évolution rapide de l’agenda relatif à l’océan et aux demandes croissantes des États membres et des processus multilatéraux. »</w:t>
      </w:r>
    </w:p>
    <w:p w14:paraId="318B0D06" w14:textId="313B27A4" w:rsidR="007B7C66" w:rsidRPr="0048215C"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Theme="minorBidi" w:eastAsia="Calibri" w:hAnsiTheme="minorBidi" w:cstheme="minorBidi"/>
          <w:sz w:val="22"/>
          <w:szCs w:val="22"/>
          <w:lang w:val="fr-FR"/>
        </w:rPr>
      </w:pPr>
      <w:r w:rsidRPr="0048215C">
        <w:rPr>
          <w:rFonts w:ascii="Arial" w:hAnsi="Arial"/>
          <w:b/>
          <w:bCs/>
          <w:sz w:val="22"/>
          <w:szCs w:val="22"/>
          <w:lang w:val="fr"/>
        </w:rPr>
        <w:t>Prenant note</w:t>
      </w:r>
      <w:r w:rsidRPr="0048215C">
        <w:rPr>
          <w:rFonts w:ascii="Arial" w:hAnsi="Arial"/>
          <w:sz w:val="22"/>
          <w:szCs w:val="22"/>
          <w:lang w:val="fr"/>
        </w:rPr>
        <w:t xml:space="preserve"> de l’analyse, des conclusions et des recommandations issues des entretiens, telles que présentées dans le document IOC/A-33/5.</w:t>
      </w:r>
      <w:proofErr w:type="gramStart"/>
      <w:r w:rsidRPr="0048215C">
        <w:rPr>
          <w:rFonts w:ascii="Arial" w:hAnsi="Arial"/>
          <w:sz w:val="22"/>
          <w:szCs w:val="22"/>
          <w:lang w:val="fr"/>
        </w:rPr>
        <w:t>2.</w:t>
      </w:r>
      <w:r w:rsidRPr="0048215C">
        <w:rPr>
          <w:rFonts w:asciiTheme="minorBidi" w:hAnsiTheme="minorBidi"/>
          <w:sz w:val="22"/>
          <w:szCs w:val="22"/>
          <w:lang w:val="fr"/>
        </w:rPr>
        <w:t>Doc</w:t>
      </w:r>
      <w:proofErr w:type="gramEnd"/>
      <w:r w:rsidRPr="0048215C">
        <w:rPr>
          <w:rFonts w:asciiTheme="minorBidi" w:hAnsiTheme="minorBidi"/>
          <w:sz w:val="22"/>
          <w:szCs w:val="22"/>
          <w:lang w:val="fr"/>
        </w:rPr>
        <w:t xml:space="preserve">(1), </w:t>
      </w:r>
      <w:r w:rsidRPr="0048215C">
        <w:rPr>
          <w:rFonts w:asciiTheme="minorBidi" w:hAnsiTheme="minorBidi"/>
          <w:color w:val="000000"/>
          <w:sz w:val="22"/>
          <w:szCs w:val="22"/>
          <w:lang w:val="fr"/>
        </w:rPr>
        <w:t>tout en reconnaissant que ces éléments ne reflètent pas nécessairement les points de vue de l’ensemble des États membres de la COI </w:t>
      </w:r>
      <w:r w:rsidRPr="0048215C">
        <w:rPr>
          <w:rFonts w:asciiTheme="minorBidi" w:hAnsiTheme="minorBidi"/>
          <w:sz w:val="22"/>
          <w:szCs w:val="22"/>
          <w:lang w:val="fr"/>
        </w:rPr>
        <w:t xml:space="preserve">; </w:t>
      </w:r>
    </w:p>
    <w:p w14:paraId="3E7F6756" w14:textId="77777777" w:rsidR="007B7C66" w:rsidRPr="0048215C"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lang w:val="fr-FR"/>
        </w:rPr>
      </w:pPr>
      <w:r w:rsidRPr="0048215C">
        <w:rPr>
          <w:rFonts w:ascii="Arial" w:hAnsi="Arial" w:cs="Arial"/>
          <w:b/>
          <w:bCs/>
          <w:snapToGrid w:val="0"/>
          <w:color w:val="000000"/>
          <w:sz w:val="22"/>
          <w:szCs w:val="22"/>
          <w:lang w:val="fr"/>
        </w:rPr>
        <w:t>Se félicitant</w:t>
      </w:r>
      <w:r w:rsidRPr="0048215C">
        <w:rPr>
          <w:rFonts w:ascii="Arial" w:hAnsi="Arial" w:cs="Arial"/>
          <w:sz w:val="22"/>
          <w:szCs w:val="22"/>
          <w:lang w:val="fr"/>
        </w:rPr>
        <w:t xml:space="preserve"> de la contribution substantielle des États membres à ce processus, notamment en tant qu’éléments de référence pour les discussions de l’IFAG, telles que reflétées dans le document IOC/A-33/5.</w:t>
      </w:r>
      <w:proofErr w:type="gramStart"/>
      <w:r w:rsidRPr="0048215C">
        <w:rPr>
          <w:rFonts w:ascii="Arial" w:hAnsi="Arial" w:cs="Arial"/>
          <w:sz w:val="22"/>
          <w:szCs w:val="22"/>
          <w:lang w:val="fr"/>
        </w:rPr>
        <w:t>1.Doc</w:t>
      </w:r>
      <w:proofErr w:type="gramEnd"/>
      <w:r w:rsidRPr="0048215C">
        <w:rPr>
          <w:rFonts w:ascii="Arial" w:hAnsi="Arial" w:cs="Arial"/>
          <w:sz w:val="22"/>
          <w:szCs w:val="22"/>
          <w:lang w:val="fr"/>
        </w:rPr>
        <w:t>(2) ;</w:t>
      </w:r>
    </w:p>
    <w:p w14:paraId="38AC2503" w14:textId="4DB72875" w:rsidR="007B7C66" w:rsidRPr="0048215C"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lang w:val="fr-FR"/>
        </w:rPr>
      </w:pPr>
      <w:r w:rsidRPr="0048215C">
        <w:rPr>
          <w:rFonts w:ascii="Arial" w:hAnsi="Arial" w:cs="Arial"/>
          <w:b/>
          <w:bCs/>
          <w:snapToGrid w:val="0"/>
          <w:color w:val="000000"/>
          <w:sz w:val="22"/>
          <w:szCs w:val="22"/>
          <w:lang w:val="fr"/>
        </w:rPr>
        <w:t>Demande</w:t>
      </w:r>
      <w:r w:rsidRPr="0048215C">
        <w:rPr>
          <w:rFonts w:ascii="Arial" w:hAnsi="Arial" w:cs="Arial"/>
          <w:b/>
          <w:bCs/>
          <w:sz w:val="22"/>
          <w:szCs w:val="22"/>
          <w:lang w:val="fr"/>
        </w:rPr>
        <w:t xml:space="preserve"> </w:t>
      </w:r>
      <w:r w:rsidRPr="0048215C">
        <w:rPr>
          <w:rFonts w:ascii="Arial" w:hAnsi="Arial" w:cs="Arial"/>
          <w:sz w:val="22"/>
          <w:szCs w:val="22"/>
          <w:lang w:val="fr"/>
        </w:rPr>
        <w:t xml:space="preserve">au Secrétaire exécutif de la COI, en consultation avec le Bureau de la Commission et l’IFAG, de revoir les méthodes de travail des organes directeurs de la COI, afin de renforcer </w:t>
      </w:r>
      <w:r w:rsidRPr="0048215C">
        <w:rPr>
          <w:rFonts w:ascii="Arial" w:hAnsi="Arial" w:cs="Arial"/>
          <w:sz w:val="22"/>
          <w:szCs w:val="22"/>
          <w:lang w:val="fr"/>
        </w:rPr>
        <w:lastRenderedPageBreak/>
        <w:t>l’efficacité, l’efficience et l’inclusivité de la gouvernance de la Commission, et de présenter au Conseil exécutif de la COI, à sa 59</w:t>
      </w:r>
      <w:r w:rsidRPr="0048215C">
        <w:rPr>
          <w:rFonts w:ascii="Arial" w:hAnsi="Arial" w:cs="Arial"/>
          <w:sz w:val="22"/>
          <w:szCs w:val="22"/>
          <w:vertAlign w:val="superscript"/>
          <w:lang w:val="fr"/>
        </w:rPr>
        <w:t>e</w:t>
      </w:r>
      <w:r w:rsidRPr="0048215C">
        <w:rPr>
          <w:rFonts w:ascii="Arial" w:hAnsi="Arial" w:cs="Arial"/>
          <w:sz w:val="22"/>
          <w:szCs w:val="22"/>
          <w:lang w:val="fr"/>
        </w:rPr>
        <w:t xml:space="preserve"> session, des recommandations concrètes susceptibles d’être mises en œuvre lors de la 34</w:t>
      </w:r>
      <w:r w:rsidRPr="0048215C">
        <w:rPr>
          <w:rFonts w:ascii="Arial" w:hAnsi="Arial" w:cs="Arial"/>
          <w:sz w:val="22"/>
          <w:szCs w:val="22"/>
          <w:vertAlign w:val="superscript"/>
          <w:lang w:val="fr"/>
        </w:rPr>
        <w:t>e</w:t>
      </w:r>
      <w:r w:rsidRPr="0048215C">
        <w:rPr>
          <w:rFonts w:ascii="Arial" w:hAnsi="Arial" w:cs="Arial"/>
          <w:sz w:val="22"/>
          <w:szCs w:val="22"/>
          <w:lang w:val="fr"/>
        </w:rPr>
        <w:t xml:space="preserve"> session de l’Assemblée de la COI ;</w:t>
      </w:r>
    </w:p>
    <w:p w14:paraId="3F14A49A" w14:textId="0697DF08" w:rsidR="007B7C66" w:rsidRPr="0048215C"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lang w:val="fr-FR"/>
        </w:rPr>
      </w:pPr>
      <w:r w:rsidRPr="0048215C">
        <w:rPr>
          <w:rFonts w:ascii="Arial" w:hAnsi="Arial" w:cs="Arial"/>
          <w:b/>
          <w:bCs/>
          <w:snapToGrid w:val="0"/>
          <w:color w:val="000000"/>
          <w:sz w:val="22"/>
          <w:szCs w:val="22"/>
          <w:lang w:val="fr"/>
        </w:rPr>
        <w:t>Souligne</w:t>
      </w:r>
      <w:r w:rsidRPr="0048215C">
        <w:rPr>
          <w:rFonts w:ascii="Arial" w:hAnsi="Arial" w:cs="Arial"/>
          <w:sz w:val="22"/>
          <w:szCs w:val="22"/>
          <w:lang w:val="fr"/>
        </w:rPr>
        <w:t xml:space="preserve"> le large mandat et les vastes responsabilités de la COI face à l’accélération des changements affectant l’océan et à l’augmentation des besoins et des demandes adressés à la Commission, tout </w:t>
      </w:r>
      <w:r w:rsidRPr="0048215C">
        <w:rPr>
          <w:rFonts w:ascii="Arial" w:hAnsi="Arial" w:cs="Arial"/>
          <w:b/>
          <w:bCs/>
          <w:sz w:val="22"/>
          <w:szCs w:val="22"/>
          <w:lang w:val="fr"/>
        </w:rPr>
        <w:t>en notant</w:t>
      </w:r>
      <w:r w:rsidRPr="0048215C">
        <w:rPr>
          <w:rFonts w:ascii="Arial" w:hAnsi="Arial" w:cs="Arial"/>
          <w:sz w:val="22"/>
          <w:szCs w:val="22"/>
          <w:lang w:val="fr"/>
        </w:rPr>
        <w:t xml:space="preserve"> les préoccupations exprimées à plusieurs reprises par les organes directeurs de la COI concernant la vulnérabilité critique de certains domaines fonctionnels ;</w:t>
      </w:r>
    </w:p>
    <w:p w14:paraId="15FB90D9" w14:textId="77777777" w:rsidR="007B7C66" w:rsidRPr="0048215C"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lang w:val="fr-FR"/>
        </w:rPr>
      </w:pPr>
      <w:r w:rsidRPr="0048215C">
        <w:rPr>
          <w:rFonts w:ascii="Arial" w:hAnsi="Arial" w:cs="Arial"/>
          <w:b/>
          <w:bCs/>
          <w:snapToGrid w:val="0"/>
          <w:color w:val="000000"/>
          <w:sz w:val="22"/>
          <w:szCs w:val="22"/>
          <w:lang w:val="fr"/>
        </w:rPr>
        <w:t>Met l’accent</w:t>
      </w:r>
      <w:r w:rsidRPr="0048215C">
        <w:rPr>
          <w:rFonts w:ascii="Arial" w:hAnsi="Arial" w:cs="Arial"/>
          <w:sz w:val="22"/>
          <w:szCs w:val="22"/>
          <w:lang w:val="fr"/>
        </w:rPr>
        <w:t xml:space="preserve"> sur son engagement à rendre la COI pleinement adaptée à sa mission, en garantissant des processus de gouvernance et de gestion efficaces et performants, au moyen d’un cadre de responsabilité clairement défini, conforme aux Statuts de la COI ;</w:t>
      </w:r>
    </w:p>
    <w:p w14:paraId="6EF093B2" w14:textId="77777777" w:rsidR="007B7C66" w:rsidRPr="0048215C"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lang w:val="fr-FR"/>
        </w:rPr>
      </w:pPr>
      <w:r w:rsidRPr="0048215C">
        <w:rPr>
          <w:rFonts w:ascii="Arial" w:hAnsi="Arial" w:cs="Arial"/>
          <w:b/>
          <w:bCs/>
          <w:snapToGrid w:val="0"/>
          <w:color w:val="000000"/>
          <w:sz w:val="22"/>
          <w:szCs w:val="22"/>
          <w:lang w:val="fr"/>
        </w:rPr>
        <w:t>Souligne</w:t>
      </w:r>
      <w:r w:rsidRPr="0048215C">
        <w:rPr>
          <w:rFonts w:ascii="Arial" w:hAnsi="Arial" w:cs="Arial"/>
          <w:sz w:val="22"/>
          <w:szCs w:val="22"/>
          <w:lang w:val="fr"/>
        </w:rPr>
        <w:t xml:space="preserve"> que la finalité statutaire de la COI est de servir de vecteur à la collaboration et à la coordination entre les États membres ainsi qu’à l’échelle multilatérale, dans les domaines de la recherche océanique, des services, de la gestion et du renforcement des capacités, et que l’un des atouts majeurs de la COI réside dans sa relation opérationnelle étroite avec les institutions des États membres et avec les cadres et processus océaniques pertinents des Nations Unies auxquels elle contribue ;</w:t>
      </w:r>
    </w:p>
    <w:p w14:paraId="3D11C56F" w14:textId="77777777" w:rsidR="007B7C66" w:rsidRPr="0048215C"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lang w:val="fr-FR"/>
        </w:rPr>
      </w:pPr>
      <w:r w:rsidRPr="0048215C">
        <w:rPr>
          <w:rFonts w:ascii="Arial" w:hAnsi="Arial" w:cs="Arial"/>
          <w:b/>
          <w:bCs/>
          <w:snapToGrid w:val="0"/>
          <w:color w:val="000000"/>
          <w:sz w:val="22"/>
          <w:szCs w:val="22"/>
          <w:lang w:val="fr"/>
        </w:rPr>
        <w:t>Affirme</w:t>
      </w:r>
      <w:r w:rsidRPr="0048215C">
        <w:rPr>
          <w:rFonts w:ascii="Arial" w:hAnsi="Arial" w:cs="Arial"/>
          <w:sz w:val="22"/>
          <w:szCs w:val="22"/>
          <w:lang w:val="fr"/>
        </w:rPr>
        <w:t xml:space="preserve"> que la COI, en tant qu’« </w:t>
      </w:r>
      <w:r w:rsidRPr="0048215C">
        <w:rPr>
          <w:rFonts w:ascii="Arial" w:hAnsi="Arial" w:cs="Arial"/>
          <w:i/>
          <w:iCs/>
          <w:sz w:val="22"/>
          <w:szCs w:val="22"/>
          <w:lang w:val="fr"/>
        </w:rPr>
        <w:t>organisation internationale compétente </w:t>
      </w:r>
      <w:r w:rsidRPr="0048215C">
        <w:rPr>
          <w:rFonts w:ascii="Arial" w:hAnsi="Arial" w:cs="Arial"/>
          <w:sz w:val="22"/>
          <w:szCs w:val="22"/>
          <w:lang w:val="fr"/>
        </w:rPr>
        <w:t>» (article 3.1 des Statuts de la COI) et « </w:t>
      </w:r>
      <w:r w:rsidRPr="0048215C">
        <w:rPr>
          <w:rFonts w:ascii="Arial" w:hAnsi="Arial" w:cs="Arial"/>
          <w:i/>
          <w:iCs/>
          <w:sz w:val="22"/>
          <w:szCs w:val="22"/>
          <w:lang w:val="fr"/>
        </w:rPr>
        <w:t>organe jouissant d’une autonomie fonctionnelle au sein de l’UNESCO </w:t>
      </w:r>
      <w:r w:rsidRPr="0048215C">
        <w:rPr>
          <w:rFonts w:ascii="Arial" w:hAnsi="Arial" w:cs="Arial"/>
          <w:sz w:val="22"/>
          <w:szCs w:val="22"/>
          <w:lang w:val="fr"/>
        </w:rPr>
        <w:t>» (article 1.1 des Statuts de la COI), doit désormais fonctionner comme tel et conformément aux dispositions de ses Statuts ;</w:t>
      </w:r>
    </w:p>
    <w:p w14:paraId="6DCFFBB4" w14:textId="77777777" w:rsidR="007B7C66" w:rsidRPr="0048215C"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lang w:val="fr-FR"/>
        </w:rPr>
      </w:pPr>
      <w:r w:rsidRPr="0048215C">
        <w:rPr>
          <w:rFonts w:ascii="Arial" w:hAnsi="Arial" w:cs="Arial"/>
          <w:b/>
          <w:bCs/>
          <w:snapToGrid w:val="0"/>
          <w:color w:val="000000"/>
          <w:sz w:val="22"/>
          <w:szCs w:val="22"/>
          <w:lang w:val="fr"/>
        </w:rPr>
        <w:t>Rappelle</w:t>
      </w:r>
      <w:r w:rsidRPr="0048215C">
        <w:rPr>
          <w:rFonts w:ascii="Arial" w:hAnsi="Arial" w:cs="Arial"/>
          <w:sz w:val="22"/>
          <w:szCs w:val="22"/>
          <w:lang w:val="fr"/>
        </w:rPr>
        <w:t xml:space="preserve"> que, conformément aux Statuts de la COI, la Conférence générale de l’UNESCO alloue le budget ordinaire de la COI et que, en conséquence, l’Assemblée de la COI rend directement compte à la Conférence générale de l’UNESCO de l’exécution de ce budget ; </w:t>
      </w:r>
    </w:p>
    <w:p w14:paraId="5EF81410" w14:textId="73971199" w:rsidR="007B7C66" w:rsidRPr="0048215C"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lang w:val="fr-FR"/>
        </w:rPr>
      </w:pPr>
      <w:r w:rsidRPr="0048215C">
        <w:rPr>
          <w:rFonts w:ascii="Arial" w:hAnsi="Arial" w:cs="Arial"/>
          <w:b/>
          <w:bCs/>
          <w:snapToGrid w:val="0"/>
          <w:color w:val="000000"/>
          <w:sz w:val="22"/>
          <w:szCs w:val="22"/>
          <w:lang w:val="fr"/>
        </w:rPr>
        <w:t>Rappelle également</w:t>
      </w:r>
      <w:r w:rsidRPr="0048215C">
        <w:rPr>
          <w:rFonts w:ascii="Arial" w:hAnsi="Arial" w:cs="Arial"/>
          <w:sz w:val="22"/>
          <w:szCs w:val="22"/>
          <w:lang w:val="fr"/>
        </w:rPr>
        <w:t xml:space="preserve"> que, dans le cadre de ce budget, la COI définit et met en œuvre son programme ;</w:t>
      </w:r>
    </w:p>
    <w:p w14:paraId="6E268466" w14:textId="1EDB8C8A" w:rsidR="007B7C66" w:rsidRPr="0048215C"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lang w:val="fr-FR"/>
        </w:rPr>
      </w:pPr>
      <w:r w:rsidRPr="0048215C">
        <w:rPr>
          <w:rFonts w:ascii="Arial" w:hAnsi="Arial" w:cs="Arial"/>
          <w:b/>
          <w:bCs/>
          <w:snapToGrid w:val="0"/>
          <w:color w:val="000000"/>
          <w:sz w:val="22"/>
          <w:szCs w:val="22"/>
          <w:lang w:val="fr"/>
        </w:rPr>
        <w:t>Souligne également</w:t>
      </w:r>
      <w:r w:rsidRPr="0048215C">
        <w:rPr>
          <w:rFonts w:ascii="Arial" w:hAnsi="Arial" w:cs="Arial"/>
          <w:sz w:val="22"/>
          <w:szCs w:val="22"/>
          <w:lang w:val="fr"/>
        </w:rPr>
        <w:t xml:space="preserve"> que tous les États membres de la COI, qu’ils soient ou non membres de l’UNESCO, ont un droit égal à exercer une gouvernance sur la COI et à demander des comptes à son Secrétariat et à son Secrétaire exécutif au regard des Statuts de la COI ;</w:t>
      </w:r>
    </w:p>
    <w:p w14:paraId="56B22E0C" w14:textId="2F253E52" w:rsidR="007B7C66" w:rsidRPr="0048215C"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lang w:val="fr-FR"/>
        </w:rPr>
      </w:pPr>
      <w:r w:rsidRPr="0048215C">
        <w:rPr>
          <w:rFonts w:ascii="Arial" w:hAnsi="Arial" w:cs="Arial"/>
          <w:b/>
          <w:bCs/>
          <w:snapToGrid w:val="0"/>
          <w:color w:val="000000"/>
          <w:sz w:val="22"/>
          <w:szCs w:val="22"/>
          <w:lang w:val="fr"/>
        </w:rPr>
        <w:lastRenderedPageBreak/>
        <w:t>Souligne</w:t>
      </w:r>
      <w:r w:rsidRPr="0048215C">
        <w:rPr>
          <w:rFonts w:ascii="Arial" w:hAnsi="Arial" w:cs="Arial"/>
          <w:b/>
          <w:bCs/>
          <w:sz w:val="22"/>
          <w:szCs w:val="22"/>
          <w:lang w:val="fr"/>
        </w:rPr>
        <w:t xml:space="preserve"> en outre</w:t>
      </w:r>
      <w:r w:rsidRPr="0048215C">
        <w:rPr>
          <w:rFonts w:ascii="Arial" w:hAnsi="Arial" w:cs="Arial"/>
          <w:sz w:val="22"/>
          <w:szCs w:val="22"/>
          <w:lang w:val="fr"/>
        </w:rPr>
        <w:t xml:space="preserve"> que, selon les Statuts de la COI, l’Assemblée est l’organe principal de la COI et « </w:t>
      </w:r>
      <w:r w:rsidRPr="0048215C">
        <w:rPr>
          <w:rFonts w:ascii="Arial" w:hAnsi="Arial" w:cs="Arial"/>
          <w:i/>
          <w:iCs/>
          <w:sz w:val="22"/>
          <w:szCs w:val="22"/>
          <w:lang w:val="fr"/>
        </w:rPr>
        <w:t xml:space="preserve">s’acquitte de toutes les fonctions de celle-ci, sauf dispositions contraires des présents Statuts ou si elle-même délègue certaines fonctions à d’autres organes de la Commission » </w:t>
      </w:r>
      <w:r w:rsidRPr="0048215C">
        <w:rPr>
          <w:rFonts w:ascii="Arial" w:hAnsi="Arial" w:cs="Arial"/>
          <w:sz w:val="22"/>
          <w:szCs w:val="22"/>
          <w:lang w:val="fr"/>
        </w:rPr>
        <w:t xml:space="preserve">(article 6.2 des Statuts de la COI) ; </w:t>
      </w:r>
    </w:p>
    <w:p w14:paraId="0C9D58E8" w14:textId="30C988EE" w:rsidR="007B7C66" w:rsidRPr="0048215C"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lang w:val="fr-FR"/>
        </w:rPr>
      </w:pPr>
      <w:r w:rsidRPr="0048215C">
        <w:rPr>
          <w:rFonts w:ascii="Arial" w:hAnsi="Arial" w:cs="Arial"/>
          <w:b/>
          <w:bCs/>
          <w:snapToGrid w:val="0"/>
          <w:color w:val="000000"/>
          <w:sz w:val="22"/>
          <w:szCs w:val="22"/>
          <w:lang w:val="fr"/>
        </w:rPr>
        <w:t>Affirme également</w:t>
      </w:r>
      <w:r w:rsidRPr="0048215C">
        <w:rPr>
          <w:rFonts w:ascii="Arial" w:hAnsi="Arial" w:cs="Arial"/>
          <w:sz w:val="22"/>
          <w:szCs w:val="22"/>
          <w:lang w:val="fr"/>
        </w:rPr>
        <w:t xml:space="preserve"> que le budget ordinaire de la COI, tel qu’alloué par la Conférence générale de l’UNESCO, doit être consacré à la mise en œuvre du programme de la COI ;</w:t>
      </w:r>
    </w:p>
    <w:p w14:paraId="0B6867E5" w14:textId="3B9B7E2F" w:rsidR="007B7C66" w:rsidRPr="0048215C" w:rsidRDefault="007B7C66" w:rsidP="007B7C66">
      <w:pPr>
        <w:pStyle w:val="ListParagraph"/>
        <w:numPr>
          <w:ilvl w:val="0"/>
          <w:numId w:val="11"/>
        </w:numPr>
        <w:tabs>
          <w:tab w:val="clear" w:pos="709"/>
          <w:tab w:val="left" w:pos="567"/>
        </w:tabs>
        <w:snapToGrid w:val="0"/>
        <w:spacing w:after="120" w:line="360" w:lineRule="auto"/>
        <w:ind w:left="0" w:hanging="726"/>
        <w:contextualSpacing w:val="0"/>
        <w:rPr>
          <w:rFonts w:asciiTheme="minorBidi" w:hAnsiTheme="minorBidi" w:cstheme="minorBidi"/>
          <w:sz w:val="22"/>
          <w:szCs w:val="22"/>
          <w:lang w:val="fr-FR"/>
        </w:rPr>
      </w:pPr>
      <w:r w:rsidRPr="0048215C">
        <w:rPr>
          <w:rFonts w:ascii="Arial" w:hAnsi="Arial"/>
          <w:b/>
          <w:bCs/>
          <w:snapToGrid w:val="0"/>
          <w:color w:val="000000"/>
          <w:sz w:val="22"/>
          <w:szCs w:val="22"/>
          <w:lang w:val="fr"/>
        </w:rPr>
        <w:t>Affirme</w:t>
      </w:r>
      <w:r w:rsidRPr="0048215C">
        <w:rPr>
          <w:rFonts w:asciiTheme="minorBidi" w:hAnsiTheme="minorBidi"/>
          <w:b/>
          <w:bCs/>
          <w:sz w:val="22"/>
          <w:szCs w:val="22"/>
          <w:lang w:val="fr"/>
        </w:rPr>
        <w:t xml:space="preserve"> en outre</w:t>
      </w:r>
      <w:r w:rsidRPr="0048215C">
        <w:rPr>
          <w:rFonts w:asciiTheme="minorBidi" w:hAnsiTheme="minorBidi"/>
          <w:sz w:val="22"/>
          <w:szCs w:val="22"/>
          <w:lang w:val="fr"/>
        </w:rPr>
        <w:t xml:space="preserve"> que le Secrétaire exécutif de la COI, dont le rang est équivalent à celui d’un Sous-Directeur général (SDG) et qui agit sur la base des instructions données par l’Assemblée de la COI et le Conseil exécutif, est, sans préjudice des autres tâches qui lui ont été ou pourront lui être confiées, responsable des missions suivantes :</w:t>
      </w:r>
    </w:p>
    <w:p w14:paraId="3F6664BA" w14:textId="77777777" w:rsidR="007B7C66" w:rsidRPr="0048215C" w:rsidRDefault="007B7C66" w:rsidP="007B7C66">
      <w:pPr>
        <w:tabs>
          <w:tab w:val="clear" w:pos="709"/>
        </w:tabs>
        <w:spacing w:after="120" w:line="360" w:lineRule="auto"/>
        <w:ind w:left="1276" w:hanging="730"/>
        <w:rPr>
          <w:rFonts w:asciiTheme="minorBidi" w:hAnsiTheme="minorBidi" w:cstheme="minorBidi"/>
          <w:color w:val="000000"/>
          <w:sz w:val="22"/>
          <w:szCs w:val="22"/>
          <w:lang w:val="fr-FR"/>
        </w:rPr>
      </w:pPr>
      <w:r w:rsidRPr="0048215C">
        <w:rPr>
          <w:rFonts w:asciiTheme="minorBidi" w:hAnsiTheme="minorBidi" w:cstheme="minorBidi"/>
          <w:color w:val="000000"/>
          <w:sz w:val="22"/>
          <w:szCs w:val="22"/>
          <w:lang w:val="fr"/>
        </w:rPr>
        <w:t>(i)</w:t>
      </w:r>
      <w:r w:rsidRPr="0048215C">
        <w:rPr>
          <w:rFonts w:asciiTheme="minorBidi" w:hAnsiTheme="minorBidi" w:cstheme="minorBidi"/>
          <w:color w:val="000000"/>
          <w:sz w:val="22"/>
          <w:szCs w:val="22"/>
          <w:lang w:val="fr"/>
        </w:rPr>
        <w:tab/>
        <w:t>exécuter le programme approuvé de la COI et le budget disponible, y compris toute contribution volontaire, et rendre compte de cette exécution au Conseil exécutif et à l’Assemblée de la COI, ainsi que rédiger le rapport devant être présenté par l’Assemblée à la Conférence générale de l’UNESCO ;</w:t>
      </w:r>
    </w:p>
    <w:p w14:paraId="563317AC" w14:textId="39101468" w:rsidR="007B7C66" w:rsidRPr="0048215C" w:rsidRDefault="007B7C66" w:rsidP="007B7C66">
      <w:pPr>
        <w:tabs>
          <w:tab w:val="clear" w:pos="709"/>
        </w:tabs>
        <w:spacing w:after="120" w:line="360" w:lineRule="auto"/>
        <w:ind w:left="1276" w:hanging="730"/>
        <w:rPr>
          <w:rFonts w:asciiTheme="minorBidi" w:hAnsiTheme="minorBidi" w:cstheme="minorBidi"/>
          <w:color w:val="000000"/>
          <w:sz w:val="22"/>
          <w:szCs w:val="22"/>
          <w:lang w:val="fr-FR"/>
        </w:rPr>
      </w:pPr>
      <w:r w:rsidRPr="0048215C">
        <w:rPr>
          <w:rFonts w:asciiTheme="minorBidi" w:hAnsiTheme="minorBidi" w:cstheme="minorBidi"/>
          <w:color w:val="000000"/>
          <w:sz w:val="22"/>
          <w:szCs w:val="22"/>
          <w:lang w:val="fr"/>
        </w:rPr>
        <w:t xml:space="preserve">(ii) </w:t>
      </w:r>
      <w:r w:rsidRPr="0048215C">
        <w:rPr>
          <w:rFonts w:asciiTheme="minorBidi" w:hAnsiTheme="minorBidi" w:cstheme="minorBidi"/>
          <w:color w:val="000000"/>
          <w:sz w:val="22"/>
          <w:szCs w:val="22"/>
          <w:lang w:val="fr"/>
        </w:rPr>
        <w:tab/>
        <w:t>élaborer les propositions relatives à la Stratégie à moyen terme de la COI ainsi qu’au programme et au budget de la COI à soumettre à l’Assemblée de la COI ;</w:t>
      </w:r>
    </w:p>
    <w:p w14:paraId="0120151A" w14:textId="77777777" w:rsidR="007B7C66" w:rsidRPr="0048215C" w:rsidRDefault="007B7C66" w:rsidP="007B7C66">
      <w:pPr>
        <w:tabs>
          <w:tab w:val="clear" w:pos="709"/>
        </w:tabs>
        <w:spacing w:after="120" w:line="360" w:lineRule="auto"/>
        <w:ind w:left="1276" w:hanging="730"/>
        <w:rPr>
          <w:rFonts w:asciiTheme="minorBidi" w:hAnsiTheme="minorBidi" w:cstheme="minorBidi"/>
          <w:color w:val="000000"/>
          <w:sz w:val="22"/>
          <w:szCs w:val="22"/>
          <w:lang w:val="fr-FR"/>
        </w:rPr>
      </w:pPr>
      <w:r w:rsidRPr="0048215C">
        <w:rPr>
          <w:rFonts w:asciiTheme="minorBidi" w:hAnsiTheme="minorBidi" w:cstheme="minorBidi"/>
          <w:color w:val="000000"/>
          <w:sz w:val="22"/>
          <w:szCs w:val="22"/>
          <w:lang w:val="fr"/>
        </w:rPr>
        <w:t>(iii)</w:t>
      </w:r>
      <w:r w:rsidRPr="0048215C">
        <w:rPr>
          <w:rFonts w:asciiTheme="minorBidi" w:hAnsiTheme="minorBidi" w:cstheme="minorBidi"/>
          <w:color w:val="000000"/>
          <w:sz w:val="22"/>
          <w:szCs w:val="22"/>
          <w:lang w:val="fr"/>
        </w:rPr>
        <w:tab/>
        <w:t>définir les besoins en personnel conformément à l’article 8 des Statuts de la COI et à l’article 14(b) du Règlement intérieur de la COI ;</w:t>
      </w:r>
    </w:p>
    <w:p w14:paraId="46D64456" w14:textId="77777777" w:rsidR="007B7C66" w:rsidRPr="0048215C" w:rsidRDefault="007B7C66" w:rsidP="007B7C66">
      <w:pPr>
        <w:tabs>
          <w:tab w:val="clear" w:pos="709"/>
        </w:tabs>
        <w:spacing w:after="120" w:line="360" w:lineRule="auto"/>
        <w:ind w:left="1276" w:hanging="730"/>
        <w:rPr>
          <w:rFonts w:asciiTheme="minorBidi" w:hAnsiTheme="minorBidi" w:cstheme="minorBidi"/>
          <w:color w:val="000000"/>
          <w:sz w:val="22"/>
          <w:szCs w:val="22"/>
          <w:lang w:val="fr-FR"/>
        </w:rPr>
      </w:pPr>
      <w:r w:rsidRPr="0048215C">
        <w:rPr>
          <w:rFonts w:asciiTheme="minorBidi" w:hAnsiTheme="minorBidi" w:cstheme="minorBidi"/>
          <w:color w:val="000000"/>
          <w:sz w:val="22"/>
          <w:szCs w:val="22"/>
          <w:lang w:val="fr"/>
        </w:rPr>
        <w:t>(iv)</w:t>
      </w:r>
      <w:r w:rsidRPr="0048215C">
        <w:rPr>
          <w:rFonts w:asciiTheme="minorBidi" w:hAnsiTheme="minorBidi" w:cstheme="minorBidi"/>
          <w:color w:val="000000"/>
          <w:sz w:val="22"/>
          <w:szCs w:val="22"/>
          <w:lang w:val="fr"/>
        </w:rPr>
        <w:tab/>
        <w:t>assurer, conformément aux Statuts de la COI, la gestion de la collaboration avec les institutions multilatérales et les États membres, ainsi que la représentation auprès de celles-ci, y compris l’accréditation propre de la COI auprès d’institutions et de processus intergouvernementaux ; et</w:t>
      </w:r>
    </w:p>
    <w:p w14:paraId="501ACD70" w14:textId="77777777" w:rsidR="007B7C66" w:rsidRPr="0048215C" w:rsidRDefault="007B7C66" w:rsidP="00C759B3">
      <w:pPr>
        <w:tabs>
          <w:tab w:val="clear" w:pos="709"/>
        </w:tabs>
        <w:spacing w:after="240" w:line="360" w:lineRule="auto"/>
        <w:ind w:left="1275" w:hanging="731"/>
        <w:rPr>
          <w:rFonts w:asciiTheme="minorBidi" w:hAnsiTheme="minorBidi" w:cstheme="minorBidi"/>
          <w:color w:val="000000"/>
          <w:sz w:val="22"/>
          <w:szCs w:val="22"/>
          <w:lang w:val="fr-FR"/>
        </w:rPr>
      </w:pPr>
      <w:r w:rsidRPr="0048215C">
        <w:rPr>
          <w:rFonts w:asciiTheme="minorBidi" w:hAnsiTheme="minorBidi" w:cstheme="minorBidi"/>
          <w:color w:val="000000"/>
          <w:sz w:val="22"/>
          <w:szCs w:val="22"/>
          <w:lang w:val="fr"/>
        </w:rPr>
        <w:t xml:space="preserve">(v) </w:t>
      </w:r>
      <w:r w:rsidRPr="0048215C">
        <w:rPr>
          <w:rFonts w:asciiTheme="minorBidi" w:hAnsiTheme="minorBidi" w:cstheme="minorBidi"/>
          <w:color w:val="000000"/>
          <w:sz w:val="22"/>
          <w:szCs w:val="22"/>
          <w:lang w:val="fr"/>
        </w:rPr>
        <w:tab/>
        <w:t>diffuser et promouvoir la reconnaissance et l’utilisation des résultats des programmes de la COI et des programmes coparrainés, notamment en rétablissant et en utilisant systématiquement l’identité visuelle distincte de la COI dans les communications et les publications.</w:t>
      </w:r>
    </w:p>
    <w:p w14:paraId="7B71C5EE" w14:textId="750CE774" w:rsidR="007B7C66" w:rsidRPr="0048215C"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Theme="minorBidi" w:hAnsiTheme="minorBidi" w:cstheme="minorBidi"/>
          <w:color w:val="000000"/>
          <w:sz w:val="22"/>
          <w:szCs w:val="22"/>
          <w:lang w:val="fr-FR"/>
        </w:rPr>
      </w:pPr>
      <w:r w:rsidRPr="0048215C">
        <w:rPr>
          <w:rFonts w:ascii="Arial" w:hAnsi="Arial"/>
          <w:b/>
          <w:bCs/>
          <w:snapToGrid w:val="0"/>
          <w:color w:val="000000"/>
          <w:sz w:val="22"/>
          <w:szCs w:val="22"/>
          <w:lang w:val="fr"/>
        </w:rPr>
        <w:t>Souligne</w:t>
      </w:r>
      <w:r w:rsidRPr="0048215C">
        <w:rPr>
          <w:rFonts w:asciiTheme="minorBidi" w:hAnsiTheme="minorBidi"/>
          <w:color w:val="000000"/>
          <w:sz w:val="22"/>
          <w:szCs w:val="22"/>
          <w:lang w:val="fr"/>
        </w:rPr>
        <w:t xml:space="preserve"> l’importance d’assurer le recrutement de personnel techniquement compétent, apte à interagir avec les communautés d’experts des États membres, en vue de la mise en œuvre des programmes de la COI ;</w:t>
      </w:r>
    </w:p>
    <w:p w14:paraId="56C32782" w14:textId="3DC3A1A5" w:rsidR="007B7C66" w:rsidRPr="0048215C"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Theme="minorBidi" w:hAnsiTheme="minorBidi" w:cstheme="minorBidi"/>
          <w:color w:val="000000"/>
          <w:sz w:val="22"/>
          <w:szCs w:val="22"/>
          <w:lang w:val="fr-FR"/>
        </w:rPr>
      </w:pPr>
      <w:r w:rsidRPr="0048215C">
        <w:rPr>
          <w:rFonts w:ascii="Arial" w:hAnsi="Arial"/>
          <w:b/>
          <w:bCs/>
          <w:snapToGrid w:val="0"/>
          <w:color w:val="000000"/>
          <w:sz w:val="22"/>
          <w:szCs w:val="22"/>
          <w:lang w:val="fr"/>
        </w:rPr>
        <w:lastRenderedPageBreak/>
        <w:t>Exhorte</w:t>
      </w:r>
      <w:r w:rsidRPr="0048215C">
        <w:rPr>
          <w:rFonts w:asciiTheme="minorBidi" w:hAnsiTheme="minorBidi"/>
          <w:b/>
          <w:bCs/>
          <w:color w:val="000000"/>
          <w:sz w:val="22"/>
          <w:szCs w:val="22"/>
          <w:lang w:val="fr"/>
        </w:rPr>
        <w:t xml:space="preserve"> </w:t>
      </w:r>
      <w:r w:rsidRPr="0048215C">
        <w:rPr>
          <w:rFonts w:asciiTheme="minorBidi" w:hAnsiTheme="minorBidi"/>
          <w:color w:val="000000"/>
          <w:sz w:val="22"/>
          <w:szCs w:val="22"/>
          <w:lang w:val="fr"/>
        </w:rPr>
        <w:t xml:space="preserve">la Directrice générale de l’UNESCO à déléguer au Secrétaire exécutif de la COI l’autorité de gérer les recrutements et de sélectionner le personnel de la COI ; </w:t>
      </w:r>
    </w:p>
    <w:p w14:paraId="17CF7D5F" w14:textId="175BB75B" w:rsidR="007B7C66" w:rsidRPr="0048215C"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Theme="minorBidi" w:hAnsiTheme="minorBidi" w:cstheme="minorBidi"/>
          <w:color w:val="000000"/>
          <w:sz w:val="22"/>
          <w:szCs w:val="22"/>
          <w:lang w:val="fr-FR"/>
        </w:rPr>
      </w:pPr>
      <w:r w:rsidRPr="0048215C">
        <w:rPr>
          <w:rFonts w:ascii="Arial" w:hAnsi="Arial"/>
          <w:b/>
          <w:bCs/>
          <w:snapToGrid w:val="0"/>
          <w:color w:val="000000"/>
          <w:sz w:val="22"/>
          <w:szCs w:val="22"/>
          <w:lang w:val="fr"/>
        </w:rPr>
        <w:t>Invite</w:t>
      </w:r>
      <w:r w:rsidRPr="0048215C">
        <w:rPr>
          <w:rFonts w:asciiTheme="minorBidi" w:hAnsiTheme="minorBidi"/>
          <w:color w:val="000000"/>
          <w:sz w:val="22"/>
          <w:szCs w:val="22"/>
          <w:lang w:val="fr"/>
        </w:rPr>
        <w:t xml:space="preserve"> la Directrice générale de l’UNESCO à contribuer à la pleine mise en œuvre des fonctions de la Commission telles qu’établies dans ses Statuts, ainsi qu’aux tâches susmentionnées confiées au Secrétariat de la COI, notamment par la délégation d’autorité au Secrétaire exécutif de la COI, lorsque cela est applicable ;</w:t>
      </w:r>
    </w:p>
    <w:p w14:paraId="0E096282" w14:textId="77777777" w:rsidR="007B7C66" w:rsidRPr="0048215C"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Theme="minorBidi" w:eastAsia="Calibri" w:hAnsiTheme="minorBidi" w:cstheme="minorBidi"/>
          <w:sz w:val="22"/>
          <w:szCs w:val="22"/>
          <w:lang w:val="fr-FR"/>
        </w:rPr>
      </w:pPr>
      <w:r w:rsidRPr="0048215C">
        <w:rPr>
          <w:rFonts w:ascii="Arial" w:hAnsi="Arial"/>
          <w:b/>
          <w:bCs/>
          <w:snapToGrid w:val="0"/>
          <w:color w:val="000000"/>
          <w:sz w:val="22"/>
          <w:szCs w:val="22"/>
          <w:lang w:val="fr"/>
        </w:rPr>
        <w:t>Demande</w:t>
      </w:r>
      <w:r w:rsidRPr="0048215C">
        <w:rPr>
          <w:rFonts w:asciiTheme="minorBidi" w:hAnsiTheme="minorBidi"/>
          <w:sz w:val="22"/>
          <w:szCs w:val="22"/>
          <w:lang w:val="fr"/>
        </w:rPr>
        <w:t xml:space="preserve"> au Secrétaire exécutif de la COI de rechercher un accord avec l’UNESCO concernant la récupération des frais de gestion imputés aux contributions volontaires à la COI et d’inclure, le cas échéant, les coûts directs de la COI dans les propositions de projet ; </w:t>
      </w:r>
    </w:p>
    <w:p w14:paraId="1914C329" w14:textId="00172F13" w:rsidR="007B7C66" w:rsidRPr="0048215C" w:rsidRDefault="00C759B3" w:rsidP="007B7C66">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lang w:val="fr-FR"/>
        </w:rPr>
      </w:pPr>
      <w:r w:rsidRPr="0048215C">
        <w:rPr>
          <w:rFonts w:ascii="Arial" w:hAnsi="Arial" w:cs="Arial"/>
          <w:b/>
          <w:bCs/>
          <w:snapToGrid w:val="0"/>
          <w:color w:val="000000"/>
          <w:sz w:val="22"/>
          <w:szCs w:val="22"/>
          <w:lang w:val="fr"/>
        </w:rPr>
        <w:t>Demande</w:t>
      </w:r>
      <w:r w:rsidRPr="0048215C">
        <w:rPr>
          <w:rFonts w:ascii="Arial" w:hAnsi="Arial" w:cs="Arial"/>
          <w:b/>
          <w:bCs/>
          <w:sz w:val="22"/>
          <w:szCs w:val="22"/>
          <w:lang w:val="fr"/>
        </w:rPr>
        <w:t xml:space="preserve"> également </w:t>
      </w:r>
      <w:r w:rsidRPr="0048215C">
        <w:rPr>
          <w:rFonts w:ascii="Arial" w:hAnsi="Arial" w:cs="Arial"/>
          <w:sz w:val="22"/>
          <w:szCs w:val="22"/>
          <w:lang w:val="fr"/>
        </w:rPr>
        <w:t>au Secrétaire exécutif de la COI de tenir l’IFAG informé des progrès réalisés dans l’alignement complet des processus de gouvernance et de gestion de la COI avec ses Statuts, et de faire rapport sur la mise en œuvre au Conseil exécutif de la COI à sa 59</w:t>
      </w:r>
      <w:r w:rsidRPr="0048215C">
        <w:rPr>
          <w:rFonts w:ascii="Arial" w:hAnsi="Arial" w:cs="Arial"/>
          <w:sz w:val="22"/>
          <w:szCs w:val="22"/>
          <w:vertAlign w:val="superscript"/>
          <w:lang w:val="fr"/>
        </w:rPr>
        <w:t>e</w:t>
      </w:r>
      <w:r w:rsidRPr="0048215C">
        <w:rPr>
          <w:rFonts w:ascii="Arial" w:hAnsi="Arial" w:cs="Arial"/>
          <w:sz w:val="22"/>
          <w:szCs w:val="22"/>
          <w:lang w:val="fr"/>
        </w:rPr>
        <w:t xml:space="preserve"> session ainsi qu’à l’Assemblée de la COI à sa 34</w:t>
      </w:r>
      <w:r w:rsidRPr="0048215C">
        <w:rPr>
          <w:rFonts w:ascii="Arial" w:hAnsi="Arial" w:cs="Arial"/>
          <w:sz w:val="22"/>
          <w:szCs w:val="22"/>
          <w:vertAlign w:val="superscript"/>
          <w:lang w:val="fr"/>
        </w:rPr>
        <w:t>e</w:t>
      </w:r>
      <w:r w:rsidRPr="0048215C">
        <w:rPr>
          <w:rFonts w:ascii="Arial" w:hAnsi="Arial" w:cs="Arial"/>
          <w:sz w:val="22"/>
          <w:szCs w:val="22"/>
          <w:lang w:val="fr"/>
        </w:rPr>
        <w:t xml:space="preserve"> session.</w:t>
      </w:r>
    </w:p>
    <w:p w14:paraId="4C8FBCA2" w14:textId="77777777" w:rsidR="007B7C66" w:rsidRPr="0048215C" w:rsidRDefault="007B7C66" w:rsidP="007B7C66">
      <w:pPr>
        <w:pStyle w:val="ListParagraph"/>
        <w:tabs>
          <w:tab w:val="clear" w:pos="709"/>
          <w:tab w:val="left" w:pos="567"/>
        </w:tabs>
        <w:snapToGrid w:val="0"/>
        <w:spacing w:after="240" w:line="360" w:lineRule="auto"/>
        <w:ind w:left="0"/>
        <w:contextualSpacing w:val="0"/>
        <w:jc w:val="center"/>
        <w:rPr>
          <w:rFonts w:ascii="Arial" w:hAnsi="Arial" w:cs="Arial"/>
          <w:b/>
          <w:bCs/>
          <w:iCs/>
          <w:snapToGrid w:val="0"/>
          <w:color w:val="000000"/>
          <w:sz w:val="22"/>
          <w:szCs w:val="22"/>
          <w:lang w:val="fr-FR"/>
        </w:rPr>
      </w:pPr>
      <w:r w:rsidRPr="0048215C">
        <w:rPr>
          <w:rFonts w:ascii="Arial" w:hAnsi="Arial" w:cs="Arial"/>
          <w:b/>
          <w:bCs/>
          <w:snapToGrid w:val="0"/>
          <w:color w:val="000000"/>
          <w:sz w:val="22"/>
          <w:szCs w:val="22"/>
          <w:lang w:val="fr"/>
        </w:rPr>
        <w:t>IV. La COI et l’avenir du processus de consultation sur les océans</w:t>
      </w:r>
    </w:p>
    <w:p w14:paraId="41446A4B" w14:textId="77777777" w:rsidR="007B7C66" w:rsidRPr="0048215C"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Theme="minorBidi" w:hAnsiTheme="minorBidi" w:cstheme="minorBidi"/>
          <w:color w:val="000000"/>
          <w:sz w:val="22"/>
          <w:szCs w:val="22"/>
          <w:lang w:val="fr-FR"/>
        </w:rPr>
      </w:pPr>
      <w:r w:rsidRPr="0048215C">
        <w:rPr>
          <w:rFonts w:ascii="Arial" w:hAnsi="Arial"/>
          <w:b/>
          <w:bCs/>
          <w:snapToGrid w:val="0"/>
          <w:color w:val="000000"/>
          <w:sz w:val="22"/>
          <w:szCs w:val="22"/>
          <w:lang w:val="fr"/>
        </w:rPr>
        <w:t>Rappelle</w:t>
      </w:r>
      <w:r w:rsidRPr="0048215C">
        <w:rPr>
          <w:rFonts w:asciiTheme="minorBidi" w:hAnsiTheme="minorBidi"/>
          <w:color w:val="000000"/>
          <w:sz w:val="22"/>
          <w:szCs w:val="22"/>
          <w:lang w:val="fr"/>
        </w:rPr>
        <w:t xml:space="preserve"> que la Décision A-32/5 de la COI a entériné « </w:t>
      </w:r>
      <w:r w:rsidRPr="0048215C">
        <w:rPr>
          <w:rFonts w:asciiTheme="minorBidi" w:hAnsiTheme="minorBidi"/>
          <w:i/>
          <w:iCs/>
          <w:color w:val="000000"/>
          <w:sz w:val="22"/>
          <w:szCs w:val="22"/>
          <w:lang w:val="fr"/>
        </w:rPr>
        <w:t>le lancement d’un processus de consultation sur la manière dont la COI pourrait, sur la base de sa finalité telle que définie dans ses Statuts, faciliter de manière optimale les activités des États membres et des autres parties prenantes en matière de planification durable de l’océan fondée sur la science, d’appui scientifique à la mise en œuvre des conventions et cadres environnementaux des Nations Unies, ainsi que de développement d’une économie océanique durable » </w:t>
      </w:r>
      <w:r w:rsidRPr="0048215C">
        <w:rPr>
          <w:rFonts w:asciiTheme="minorBidi" w:hAnsiTheme="minorBidi"/>
          <w:color w:val="000000"/>
          <w:sz w:val="22"/>
          <w:szCs w:val="22"/>
          <w:lang w:val="fr"/>
        </w:rPr>
        <w:t>;</w:t>
      </w:r>
    </w:p>
    <w:p w14:paraId="78AE981C" w14:textId="3E7B44E8" w:rsidR="007B7C66" w:rsidRPr="0048215C" w:rsidRDefault="00C759B3" w:rsidP="00C759B3">
      <w:pPr>
        <w:pStyle w:val="ListParagraph"/>
        <w:numPr>
          <w:ilvl w:val="0"/>
          <w:numId w:val="11"/>
        </w:numPr>
        <w:tabs>
          <w:tab w:val="clear" w:pos="709"/>
          <w:tab w:val="left" w:pos="567"/>
        </w:tabs>
        <w:snapToGrid w:val="0"/>
        <w:spacing w:after="120" w:line="360" w:lineRule="auto"/>
        <w:ind w:left="0" w:hanging="726"/>
        <w:contextualSpacing w:val="0"/>
        <w:rPr>
          <w:rFonts w:asciiTheme="minorBidi" w:hAnsiTheme="minorBidi" w:cstheme="minorBidi"/>
          <w:color w:val="000000"/>
          <w:sz w:val="22"/>
          <w:szCs w:val="22"/>
          <w:lang w:val="fr-FR"/>
        </w:rPr>
      </w:pPr>
      <w:r w:rsidRPr="0048215C">
        <w:rPr>
          <w:rFonts w:ascii="Arial" w:hAnsi="Arial"/>
          <w:b/>
          <w:bCs/>
          <w:snapToGrid w:val="0"/>
          <w:color w:val="000000"/>
          <w:sz w:val="22"/>
          <w:szCs w:val="22"/>
          <w:lang w:val="fr"/>
        </w:rPr>
        <w:t>Rappelle également</w:t>
      </w:r>
      <w:r w:rsidRPr="0048215C">
        <w:rPr>
          <w:rFonts w:asciiTheme="minorBidi" w:hAnsiTheme="minorBidi"/>
          <w:color w:val="000000"/>
          <w:sz w:val="22"/>
          <w:szCs w:val="22"/>
          <w:lang w:val="fr"/>
        </w:rPr>
        <w:t xml:space="preserve"> la décision du Conseil exécutif de la COI dans sa Résolution EC-57/2 selon laquelle : </w:t>
      </w:r>
    </w:p>
    <w:p w14:paraId="5D0E5458" w14:textId="2553A88B" w:rsidR="007B7C66" w:rsidRPr="0048215C" w:rsidRDefault="007B7C66" w:rsidP="00C759B3">
      <w:pPr>
        <w:pStyle w:val="ListParagraph"/>
        <w:numPr>
          <w:ilvl w:val="0"/>
          <w:numId w:val="17"/>
        </w:numPr>
        <w:tabs>
          <w:tab w:val="clear" w:pos="709"/>
        </w:tabs>
        <w:snapToGrid w:val="0"/>
        <w:spacing w:after="120" w:line="360" w:lineRule="auto"/>
        <w:ind w:left="924"/>
        <w:contextualSpacing w:val="0"/>
        <w:rPr>
          <w:rFonts w:asciiTheme="minorBidi" w:hAnsiTheme="minorBidi" w:cstheme="minorBidi"/>
          <w:color w:val="000000"/>
          <w:sz w:val="22"/>
          <w:szCs w:val="22"/>
          <w:lang w:val="fr-FR"/>
        </w:rPr>
      </w:pPr>
      <w:r w:rsidRPr="0048215C">
        <w:rPr>
          <w:rFonts w:asciiTheme="minorBidi" w:hAnsiTheme="minorBidi" w:cstheme="minorBidi"/>
          <w:color w:val="000000"/>
          <w:sz w:val="22"/>
          <w:szCs w:val="22"/>
          <w:lang w:val="fr"/>
        </w:rPr>
        <w:t>le processus de consultation sur la COI et l’avenir de l’océan « </w:t>
      </w:r>
      <w:r w:rsidRPr="0048215C">
        <w:rPr>
          <w:rFonts w:asciiTheme="minorBidi" w:hAnsiTheme="minorBidi" w:cstheme="minorBidi"/>
          <w:i/>
          <w:iCs/>
          <w:color w:val="000000"/>
          <w:sz w:val="22"/>
          <w:szCs w:val="22"/>
          <w:lang w:val="fr"/>
        </w:rPr>
        <w:t>devra s’inscrire dans un cycle de trois ans, synchronisé avec le calendrier des sessions des organes directeurs de la COI »</w:t>
      </w:r>
      <w:r w:rsidRPr="0048215C">
        <w:rPr>
          <w:rFonts w:asciiTheme="minorBidi" w:hAnsiTheme="minorBidi" w:cstheme="minorBidi"/>
          <w:color w:val="000000"/>
          <w:sz w:val="22"/>
          <w:szCs w:val="22"/>
          <w:lang w:val="fr"/>
        </w:rPr>
        <w:t>, et que « </w:t>
      </w:r>
      <w:r w:rsidRPr="0048215C">
        <w:rPr>
          <w:rFonts w:asciiTheme="minorBidi" w:hAnsiTheme="minorBidi" w:cstheme="minorBidi"/>
          <w:i/>
          <w:iCs/>
          <w:color w:val="000000"/>
          <w:sz w:val="22"/>
          <w:szCs w:val="22"/>
          <w:lang w:val="fr"/>
        </w:rPr>
        <w:t xml:space="preserve">ce processus de consultation portera dans un premier temps sur un inventaire général des activités pertinentes au regard du rôle de la COI dans l’appui aux États membres et aux autres parties prenantes, y compris l’identification des lacunes et besoins concernant la mise en œuvre des programmes existants de la COI, afin de faciliter de manière optimale les activités actuelles et émergentes en matière de planification durable de l’océan fondée sur la science, d’appui scientifique à la mise en </w:t>
      </w:r>
      <w:r w:rsidRPr="0048215C">
        <w:rPr>
          <w:rFonts w:asciiTheme="minorBidi" w:hAnsiTheme="minorBidi" w:cstheme="minorBidi"/>
          <w:i/>
          <w:iCs/>
          <w:color w:val="000000"/>
          <w:sz w:val="22"/>
          <w:szCs w:val="22"/>
          <w:lang w:val="fr"/>
        </w:rPr>
        <w:lastRenderedPageBreak/>
        <w:t>œuvre des conventions et cadres pertinents des Nations Unies, et de soutien au développement d’une économie océanique durable » ;</w:t>
      </w:r>
    </w:p>
    <w:p w14:paraId="09C69CA6" w14:textId="73E30E16" w:rsidR="007B7C66" w:rsidRPr="0048215C" w:rsidRDefault="007B7C66" w:rsidP="00C759B3">
      <w:pPr>
        <w:pStyle w:val="ListParagraph"/>
        <w:numPr>
          <w:ilvl w:val="0"/>
          <w:numId w:val="17"/>
        </w:numPr>
        <w:tabs>
          <w:tab w:val="clear" w:pos="709"/>
        </w:tabs>
        <w:snapToGrid w:val="0"/>
        <w:spacing w:after="240" w:line="360" w:lineRule="auto"/>
        <w:ind w:left="918" w:hanging="357"/>
        <w:contextualSpacing w:val="0"/>
        <w:rPr>
          <w:rFonts w:asciiTheme="minorBidi" w:hAnsiTheme="minorBidi" w:cstheme="minorBidi"/>
          <w:color w:val="000000"/>
          <w:sz w:val="22"/>
          <w:szCs w:val="22"/>
          <w:lang w:val="fr-FR"/>
        </w:rPr>
      </w:pPr>
      <w:r w:rsidRPr="0048215C">
        <w:rPr>
          <w:rFonts w:asciiTheme="minorBidi" w:hAnsiTheme="minorBidi" w:cstheme="minorBidi"/>
          <w:i/>
          <w:iCs/>
          <w:color w:val="000000"/>
          <w:sz w:val="22"/>
          <w:szCs w:val="22"/>
          <w:lang w:val="fr"/>
        </w:rPr>
        <w:t>« l’évaluation des lacunes sera menée par le Secrétariat de la COI en consultation avec les programmes de la COI, les organes régionaux subsidiaires de la COI, les États membres de la COI – notamment par l’intermédiaire du Groupe consultatif intersessions sur les questions financières – ainsi que d’autres groupes de travail intersessions pertinents de la COI, en particulier le groupe de travail de la COI sur la planification et la gestion durables de l’océan, et d’autres parties prenantes concernées, si nécessaire. Cette évaluation s’appuiera sur le Plan d’action en réponse à l’évaluation IOS du positionnement stratégique de la COI, sur la Stratégie à moyen terme de la COI (2022–2029), ainsi que sur d’autres ressources pertinentes, le cas échéant » ;</w:t>
      </w:r>
    </w:p>
    <w:p w14:paraId="23743644" w14:textId="0E9AC63A" w:rsidR="007B7C66" w:rsidRPr="0048215C"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Theme="minorBidi" w:hAnsiTheme="minorBidi" w:cstheme="minorBidi"/>
          <w:color w:val="000000"/>
          <w:sz w:val="22"/>
          <w:szCs w:val="22"/>
          <w:lang w:val="fr-FR"/>
        </w:rPr>
      </w:pPr>
      <w:r w:rsidRPr="0048215C">
        <w:rPr>
          <w:rFonts w:ascii="Arial" w:hAnsi="Arial"/>
          <w:b/>
          <w:bCs/>
          <w:snapToGrid w:val="0"/>
          <w:color w:val="000000"/>
          <w:sz w:val="22"/>
          <w:szCs w:val="22"/>
          <w:lang w:val="fr"/>
        </w:rPr>
        <w:t>Prend</w:t>
      </w:r>
      <w:r w:rsidRPr="0048215C">
        <w:rPr>
          <w:rFonts w:asciiTheme="minorBidi" w:hAnsiTheme="minorBidi"/>
          <w:b/>
          <w:bCs/>
          <w:color w:val="000000"/>
          <w:sz w:val="22"/>
          <w:szCs w:val="22"/>
          <w:lang w:val="fr"/>
        </w:rPr>
        <w:t xml:space="preserve"> note</w:t>
      </w:r>
      <w:r w:rsidRPr="0048215C">
        <w:rPr>
          <w:rFonts w:asciiTheme="minorBidi" w:hAnsiTheme="minorBidi"/>
          <w:color w:val="000000"/>
          <w:sz w:val="22"/>
          <w:szCs w:val="22"/>
          <w:lang w:val="fr"/>
        </w:rPr>
        <w:t xml:space="preserve"> du résumé de la phase 1 du processus de consultation présenté dans le document IOC/A-33/5.</w:t>
      </w:r>
      <w:proofErr w:type="gramStart"/>
      <w:r w:rsidRPr="0048215C">
        <w:rPr>
          <w:rFonts w:asciiTheme="minorBidi" w:hAnsiTheme="minorBidi"/>
          <w:color w:val="000000"/>
          <w:sz w:val="22"/>
          <w:szCs w:val="22"/>
          <w:lang w:val="fr"/>
        </w:rPr>
        <w:t>3.Doc</w:t>
      </w:r>
      <w:proofErr w:type="gramEnd"/>
      <w:r w:rsidRPr="0048215C">
        <w:rPr>
          <w:rFonts w:asciiTheme="minorBidi" w:hAnsiTheme="minorBidi"/>
          <w:color w:val="000000"/>
          <w:sz w:val="22"/>
          <w:szCs w:val="22"/>
          <w:lang w:val="fr"/>
        </w:rPr>
        <w:t>(1) ;</w:t>
      </w:r>
    </w:p>
    <w:p w14:paraId="3C529DC1" w14:textId="30270A49" w:rsidR="007B7C66" w:rsidRPr="0048215C" w:rsidRDefault="00C759B3" w:rsidP="007B7C66">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lang w:val="fr-FR"/>
        </w:rPr>
      </w:pPr>
      <w:r w:rsidRPr="0048215C">
        <w:rPr>
          <w:rFonts w:ascii="Arial" w:hAnsi="Arial" w:cs="Arial"/>
          <w:b/>
          <w:bCs/>
          <w:snapToGrid w:val="0"/>
          <w:color w:val="000000"/>
          <w:sz w:val="22"/>
          <w:szCs w:val="22"/>
          <w:lang w:val="fr"/>
        </w:rPr>
        <w:t>Rappelle en outre</w:t>
      </w:r>
      <w:r w:rsidRPr="0048215C">
        <w:rPr>
          <w:rFonts w:ascii="Arial" w:hAnsi="Arial" w:cs="Arial"/>
          <w:sz w:val="22"/>
          <w:szCs w:val="22"/>
          <w:lang w:val="fr"/>
        </w:rPr>
        <w:t xml:space="preserve"> que l’Assemblée de la COI, à sa 32</w:t>
      </w:r>
      <w:r w:rsidRPr="0048215C">
        <w:rPr>
          <w:rFonts w:ascii="Arial" w:hAnsi="Arial" w:cs="Arial"/>
          <w:sz w:val="22"/>
          <w:szCs w:val="22"/>
          <w:vertAlign w:val="superscript"/>
          <w:lang w:val="fr"/>
        </w:rPr>
        <w:t>e</w:t>
      </w:r>
      <w:r w:rsidRPr="0048215C">
        <w:rPr>
          <w:rFonts w:ascii="Arial" w:hAnsi="Arial" w:cs="Arial"/>
          <w:sz w:val="22"/>
          <w:szCs w:val="22"/>
          <w:lang w:val="fr"/>
        </w:rPr>
        <w:t xml:space="preserve"> session, a prié le Secrétariat d’avancer dans la mise en œuvre du Plan d’action, « </w:t>
      </w:r>
      <w:r w:rsidRPr="0048215C">
        <w:rPr>
          <w:rFonts w:ascii="Arial" w:hAnsi="Arial" w:cs="Arial"/>
          <w:i/>
          <w:iCs/>
          <w:sz w:val="22"/>
          <w:szCs w:val="22"/>
          <w:lang w:val="fr"/>
        </w:rPr>
        <w:t>en tenant compte de l’évolution de la situation de la COI, y compris des ressources disponibles, en proposant les ajustements nécessaires et en rendant compte des progrès réalisés aux organes directeurs de la COI et de l’UNESCO » </w:t>
      </w:r>
      <w:r w:rsidRPr="0048215C">
        <w:rPr>
          <w:rFonts w:ascii="Arial" w:hAnsi="Arial" w:cs="Arial"/>
          <w:sz w:val="22"/>
          <w:szCs w:val="22"/>
          <w:lang w:val="fr"/>
        </w:rPr>
        <w:t>;</w:t>
      </w:r>
    </w:p>
    <w:p w14:paraId="487AC0CA" w14:textId="77777777" w:rsidR="007B7C66" w:rsidRPr="0048215C"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lang w:val="fr-FR"/>
        </w:rPr>
      </w:pPr>
      <w:r w:rsidRPr="0048215C">
        <w:rPr>
          <w:rFonts w:ascii="Arial" w:hAnsi="Arial" w:cs="Arial"/>
          <w:b/>
          <w:bCs/>
          <w:snapToGrid w:val="0"/>
          <w:color w:val="000000"/>
          <w:sz w:val="22"/>
          <w:szCs w:val="22"/>
          <w:lang w:val="fr"/>
        </w:rPr>
        <w:t>Prend acte</w:t>
      </w:r>
      <w:r w:rsidRPr="0048215C">
        <w:rPr>
          <w:rFonts w:ascii="Arial" w:hAnsi="Arial" w:cs="Arial"/>
          <w:sz w:val="22"/>
          <w:szCs w:val="22"/>
          <w:lang w:val="fr"/>
        </w:rPr>
        <w:t xml:space="preserve"> de la mise à jour relative à la mise en œuvre, telle que présentée dans le document IOC/A-33/5.</w:t>
      </w:r>
      <w:proofErr w:type="gramStart"/>
      <w:r w:rsidRPr="0048215C">
        <w:rPr>
          <w:rFonts w:ascii="Arial" w:hAnsi="Arial" w:cs="Arial"/>
          <w:sz w:val="22"/>
          <w:szCs w:val="22"/>
          <w:lang w:val="fr"/>
        </w:rPr>
        <w:t>3.Doc</w:t>
      </w:r>
      <w:proofErr w:type="gramEnd"/>
      <w:r w:rsidRPr="0048215C">
        <w:rPr>
          <w:rFonts w:ascii="Arial" w:hAnsi="Arial" w:cs="Arial"/>
          <w:sz w:val="22"/>
          <w:szCs w:val="22"/>
          <w:lang w:val="fr"/>
        </w:rPr>
        <w:t>(2) ;</w:t>
      </w:r>
    </w:p>
    <w:p w14:paraId="2842F0C2" w14:textId="77777777" w:rsidR="007B7C66" w:rsidRPr="0048215C"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lang w:val="fr-FR"/>
        </w:rPr>
      </w:pPr>
      <w:r w:rsidRPr="0048215C">
        <w:rPr>
          <w:rFonts w:ascii="Arial" w:hAnsi="Arial" w:cs="Arial"/>
          <w:b/>
          <w:bCs/>
          <w:snapToGrid w:val="0"/>
          <w:color w:val="000000"/>
          <w:sz w:val="22"/>
          <w:szCs w:val="22"/>
          <w:lang w:val="fr"/>
        </w:rPr>
        <w:t>Demande</w:t>
      </w:r>
      <w:r w:rsidRPr="0048215C">
        <w:rPr>
          <w:rFonts w:ascii="Arial" w:hAnsi="Arial" w:cs="Arial"/>
          <w:sz w:val="22"/>
          <w:szCs w:val="22"/>
          <w:lang w:val="fr"/>
        </w:rPr>
        <w:t xml:space="preserve"> au Secrétaire exécutif de la COI de poursuivre la mise en œuvre des recommandations restantes telles que proposées dans le document IOC/A-33/5.</w:t>
      </w:r>
      <w:proofErr w:type="gramStart"/>
      <w:r w:rsidRPr="0048215C">
        <w:rPr>
          <w:rFonts w:ascii="Arial" w:hAnsi="Arial" w:cs="Arial"/>
          <w:sz w:val="22"/>
          <w:szCs w:val="22"/>
          <w:lang w:val="fr"/>
        </w:rPr>
        <w:t>3.Doc</w:t>
      </w:r>
      <w:proofErr w:type="gramEnd"/>
      <w:r w:rsidRPr="0048215C">
        <w:rPr>
          <w:rFonts w:ascii="Arial" w:hAnsi="Arial" w:cs="Arial"/>
          <w:sz w:val="22"/>
          <w:szCs w:val="22"/>
          <w:lang w:val="fr"/>
        </w:rPr>
        <w:t>(2) et de soumettre le rapport au Conseil exécutif de la COI à sa 59</w:t>
      </w:r>
      <w:r w:rsidRPr="0048215C">
        <w:rPr>
          <w:rFonts w:ascii="Arial" w:hAnsi="Arial" w:cs="Arial"/>
          <w:sz w:val="22"/>
          <w:szCs w:val="22"/>
          <w:vertAlign w:val="superscript"/>
          <w:lang w:val="fr"/>
        </w:rPr>
        <w:t>e</w:t>
      </w:r>
      <w:r w:rsidRPr="0048215C">
        <w:rPr>
          <w:rFonts w:ascii="Arial" w:hAnsi="Arial" w:cs="Arial"/>
          <w:sz w:val="22"/>
          <w:szCs w:val="22"/>
          <w:lang w:val="fr"/>
        </w:rPr>
        <w:t xml:space="preserve"> session ;</w:t>
      </w:r>
    </w:p>
    <w:p w14:paraId="2B1B011E" w14:textId="64C26769" w:rsidR="007B7C66" w:rsidRPr="0048215C"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Theme="minorBidi" w:hAnsiTheme="minorBidi" w:cstheme="minorBidi"/>
          <w:color w:val="000000"/>
          <w:sz w:val="22"/>
          <w:szCs w:val="22"/>
          <w:lang w:val="fr-FR"/>
        </w:rPr>
      </w:pPr>
      <w:r w:rsidRPr="0048215C">
        <w:rPr>
          <w:rFonts w:asciiTheme="minorBidi" w:hAnsiTheme="minorBidi"/>
          <w:b/>
          <w:bCs/>
          <w:color w:val="000000"/>
          <w:sz w:val="22"/>
          <w:szCs w:val="22"/>
          <w:lang w:val="fr"/>
        </w:rPr>
        <w:t xml:space="preserve">Demande </w:t>
      </w:r>
      <w:r w:rsidRPr="0048215C">
        <w:rPr>
          <w:rFonts w:ascii="Arial" w:hAnsi="Arial"/>
          <w:b/>
          <w:bCs/>
          <w:snapToGrid w:val="0"/>
          <w:color w:val="000000"/>
          <w:sz w:val="22"/>
          <w:szCs w:val="22"/>
          <w:lang w:val="fr"/>
        </w:rPr>
        <w:t>également</w:t>
      </w:r>
      <w:r w:rsidRPr="0048215C">
        <w:rPr>
          <w:rFonts w:asciiTheme="minorBidi" w:hAnsiTheme="minorBidi"/>
          <w:color w:val="000000"/>
          <w:sz w:val="22"/>
          <w:szCs w:val="22"/>
          <w:lang w:val="fr"/>
        </w:rPr>
        <w:t xml:space="preserve"> au Secrétaire exécutif de la COI de procéder à la phase 2 du processus de consultation, telle que décrite dans le document IOC/A-33/5.</w:t>
      </w:r>
      <w:proofErr w:type="gramStart"/>
      <w:r w:rsidRPr="0048215C">
        <w:rPr>
          <w:rFonts w:asciiTheme="minorBidi" w:hAnsiTheme="minorBidi"/>
          <w:color w:val="000000"/>
          <w:sz w:val="22"/>
          <w:szCs w:val="22"/>
          <w:lang w:val="fr"/>
        </w:rPr>
        <w:t>3.Doc</w:t>
      </w:r>
      <w:proofErr w:type="gramEnd"/>
      <w:r w:rsidRPr="0048215C">
        <w:rPr>
          <w:rFonts w:asciiTheme="minorBidi" w:hAnsiTheme="minorBidi"/>
          <w:color w:val="000000"/>
          <w:sz w:val="22"/>
          <w:szCs w:val="22"/>
          <w:lang w:val="fr"/>
        </w:rPr>
        <w:t xml:space="preserve">(1), afin </w:t>
      </w:r>
      <w:r w:rsidRPr="0048215C">
        <w:rPr>
          <w:rFonts w:asciiTheme="minorBidi" w:hAnsiTheme="minorBidi"/>
          <w:sz w:val="22"/>
          <w:szCs w:val="22"/>
          <w:lang w:val="fr"/>
        </w:rPr>
        <w:t>d’analyser dans quelle mesure l’offre actuelle permet de répondre efficacement aux besoins des États membres et des partenaires identifiés lors de la phase 1 de la consultation, y compris au travers des cadres océaniques multilatéraux et d’autres processus pertinents ;</w:t>
      </w:r>
    </w:p>
    <w:p w14:paraId="4606B00B" w14:textId="40B04374" w:rsidR="007B7C66" w:rsidRPr="0048215C"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Theme="minorBidi" w:hAnsiTheme="minorBidi" w:cstheme="minorBidi"/>
          <w:color w:val="000000"/>
          <w:sz w:val="22"/>
          <w:szCs w:val="22"/>
          <w:lang w:val="fr-FR"/>
        </w:rPr>
      </w:pPr>
      <w:r w:rsidRPr="0048215C">
        <w:rPr>
          <w:rFonts w:ascii="Arial" w:hAnsi="Arial"/>
          <w:b/>
          <w:bCs/>
          <w:snapToGrid w:val="0"/>
          <w:color w:val="000000"/>
          <w:sz w:val="22"/>
          <w:szCs w:val="22"/>
          <w:lang w:val="fr"/>
        </w:rPr>
        <w:t>Décide</w:t>
      </w:r>
      <w:r w:rsidRPr="0048215C">
        <w:rPr>
          <w:rFonts w:asciiTheme="minorBidi" w:hAnsiTheme="minorBidi"/>
          <w:color w:val="000000"/>
          <w:sz w:val="22"/>
          <w:szCs w:val="22"/>
          <w:lang w:val="fr"/>
        </w:rPr>
        <w:t xml:space="preserve"> que la phase 2 du processus de consultation soit menée avec les programmes de la COI, les organes régionaux subsidiaires, (les États membres, notamment par l’intermédiaire de l’IFAG) ainsi que d’autres groupes de travail intersessions et parties prenantes concernées, le cas </w:t>
      </w:r>
      <w:r w:rsidRPr="0048215C">
        <w:rPr>
          <w:rFonts w:asciiTheme="minorBidi" w:hAnsiTheme="minorBidi"/>
          <w:color w:val="000000"/>
          <w:sz w:val="22"/>
          <w:szCs w:val="22"/>
          <w:lang w:val="fr"/>
        </w:rPr>
        <w:lastRenderedPageBreak/>
        <w:t>échéant, en s’appuyant sur le Plan d’action élaboré en réponse à l’évaluation IOS du positionnement stratégique de la COI, sur la réponse de gestion à l’évaluation à mi-parcours de la Décennie des sciences océaniques, sur la Stratégie à moyen terme de la COI (2022–2029), ainsi que sur d’autres ressources pertinentes, le cas échéant ;</w:t>
      </w:r>
    </w:p>
    <w:p w14:paraId="26C77081" w14:textId="797F1DAF" w:rsidR="000E7F51" w:rsidRPr="0048215C"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Theme="minorBidi" w:hAnsiTheme="minorBidi" w:cstheme="minorBidi"/>
          <w:color w:val="000000"/>
          <w:sz w:val="22"/>
          <w:szCs w:val="22"/>
          <w:lang w:val="fr-FR"/>
        </w:rPr>
      </w:pPr>
      <w:r w:rsidRPr="0048215C">
        <w:rPr>
          <w:rFonts w:ascii="Arial" w:hAnsi="Arial"/>
          <w:b/>
          <w:bCs/>
          <w:snapToGrid w:val="0"/>
          <w:color w:val="000000"/>
          <w:sz w:val="22"/>
          <w:szCs w:val="22"/>
          <w:lang w:val="fr"/>
        </w:rPr>
        <w:t>Demande</w:t>
      </w:r>
      <w:r w:rsidRPr="0048215C">
        <w:rPr>
          <w:rFonts w:asciiTheme="minorBidi" w:hAnsiTheme="minorBidi"/>
          <w:b/>
          <w:bCs/>
          <w:color w:val="000000"/>
          <w:sz w:val="22"/>
          <w:szCs w:val="22"/>
          <w:lang w:val="fr"/>
        </w:rPr>
        <w:t xml:space="preserve"> en outre</w:t>
      </w:r>
      <w:r w:rsidRPr="0048215C">
        <w:rPr>
          <w:rFonts w:asciiTheme="minorBidi" w:hAnsiTheme="minorBidi"/>
          <w:color w:val="000000"/>
          <w:sz w:val="22"/>
          <w:szCs w:val="22"/>
          <w:lang w:val="fr"/>
        </w:rPr>
        <w:t xml:space="preserve"> au Secrétaire exécutif de la COI de faire rapport sur les résultats de la phase 2 du processus de consultation au Conseil exécutif de la COI à sa 59</w:t>
      </w:r>
      <w:r w:rsidRPr="0048215C">
        <w:rPr>
          <w:rFonts w:asciiTheme="minorBidi" w:hAnsiTheme="minorBidi"/>
          <w:color w:val="000000"/>
          <w:sz w:val="22"/>
          <w:szCs w:val="22"/>
          <w:vertAlign w:val="superscript"/>
          <w:lang w:val="fr"/>
        </w:rPr>
        <w:t>e </w:t>
      </w:r>
      <w:r w:rsidRPr="0048215C">
        <w:rPr>
          <w:rFonts w:asciiTheme="minorBidi" w:hAnsiTheme="minorBidi"/>
          <w:color w:val="000000"/>
          <w:sz w:val="22"/>
          <w:szCs w:val="22"/>
          <w:lang w:val="fr"/>
        </w:rPr>
        <w:t>session.</w:t>
      </w:r>
    </w:p>
    <w:sectPr w:rsidR="000E7F51" w:rsidRPr="0048215C" w:rsidSect="001A697C">
      <w:headerReference w:type="even" r:id="rId7"/>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3BC42" w14:textId="77777777" w:rsidR="00771A23" w:rsidRDefault="00771A23" w:rsidP="00CF5319">
      <w:r>
        <w:separator/>
      </w:r>
    </w:p>
  </w:endnote>
  <w:endnote w:type="continuationSeparator" w:id="0">
    <w:p w14:paraId="1D463E42" w14:textId="77777777" w:rsidR="00771A23" w:rsidRDefault="00771A23" w:rsidP="00CF5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A5FAA" w14:textId="77777777" w:rsidR="00771A23" w:rsidRDefault="00771A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38D09" w14:textId="77777777" w:rsidR="00771A23" w:rsidRDefault="00771A23" w:rsidP="00CF5319">
      <w:r>
        <w:separator/>
      </w:r>
    </w:p>
  </w:footnote>
  <w:footnote w:type="continuationSeparator" w:id="0">
    <w:p w14:paraId="02C0FE9C" w14:textId="77777777" w:rsidR="00771A23" w:rsidRDefault="00771A23" w:rsidP="00CF5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AEDCE" w14:textId="06903F86" w:rsidR="00B95D28" w:rsidRPr="00CA6CC2" w:rsidRDefault="00511FDA" w:rsidP="00B95D28">
    <w:pPr>
      <w:pStyle w:val="Header"/>
      <w:rPr>
        <w:rFonts w:asciiTheme="minorBidi" w:hAnsiTheme="minorBidi" w:cstheme="minorBidi"/>
        <w:bCs/>
        <w:sz w:val="22"/>
        <w:szCs w:val="22"/>
      </w:rPr>
    </w:pPr>
    <w:r>
      <w:rPr>
        <w:rFonts w:asciiTheme="minorBidi" w:hAnsiTheme="minorBidi" w:cstheme="minorBidi"/>
        <w:sz w:val="22"/>
        <w:szCs w:val="22"/>
        <w:lang w:val="fr"/>
      </w:rPr>
      <w:t>A-33/</w:t>
    </w:r>
    <w:proofErr w:type="gramStart"/>
    <w:r>
      <w:rPr>
        <w:rFonts w:asciiTheme="minorBidi" w:hAnsiTheme="minorBidi" w:cstheme="minorBidi"/>
        <w:sz w:val="22"/>
        <w:szCs w:val="22"/>
        <w:lang w:val="fr"/>
      </w:rPr>
      <w:t>DR.[</w:t>
    </w:r>
    <w:proofErr w:type="gramEnd"/>
    <w:r>
      <w:rPr>
        <w:rFonts w:asciiTheme="minorBidi" w:hAnsiTheme="minorBidi" w:cstheme="minorBidi"/>
        <w:sz w:val="22"/>
        <w:szCs w:val="22"/>
        <w:lang w:val="fr"/>
      </w:rPr>
      <w:t>5.4]</w:t>
    </w:r>
  </w:p>
  <w:p w14:paraId="0FC1B43B" w14:textId="77777777" w:rsidR="00B95D28" w:rsidRPr="00CA6CC2" w:rsidRDefault="00B95D28" w:rsidP="00B95D28">
    <w:pPr>
      <w:pStyle w:val="Header"/>
      <w:rPr>
        <w:rFonts w:asciiTheme="minorBidi" w:hAnsiTheme="minorBidi" w:cstheme="minorBidi"/>
        <w:sz w:val="22"/>
        <w:szCs w:val="22"/>
      </w:rPr>
    </w:pPr>
    <w:proofErr w:type="gramStart"/>
    <w:r>
      <w:rPr>
        <w:rFonts w:asciiTheme="minorBidi" w:hAnsiTheme="minorBidi" w:cstheme="minorBidi"/>
        <w:sz w:val="22"/>
        <w:szCs w:val="22"/>
        <w:lang w:val="fr"/>
      </w:rPr>
      <w:t>page</w:t>
    </w:r>
    <w:proofErr w:type="gramEnd"/>
    <w:r>
      <w:rPr>
        <w:rFonts w:asciiTheme="minorBidi" w:hAnsiTheme="minorBidi" w:cstheme="minorBidi"/>
        <w:sz w:val="22"/>
        <w:szCs w:val="22"/>
        <w:lang w:val="fr"/>
      </w:rPr>
      <w:t> </w:t>
    </w:r>
    <w:r>
      <w:rPr>
        <w:rFonts w:asciiTheme="minorBidi" w:hAnsiTheme="minorBidi" w:cstheme="minorBidi"/>
        <w:sz w:val="22"/>
        <w:szCs w:val="22"/>
        <w:lang w:val="fr"/>
      </w:rPr>
      <w:fldChar w:fldCharType="begin"/>
    </w:r>
    <w:r>
      <w:rPr>
        <w:rFonts w:asciiTheme="minorBidi" w:hAnsiTheme="minorBidi" w:cstheme="minorBidi"/>
        <w:sz w:val="22"/>
        <w:szCs w:val="22"/>
        <w:lang w:val="fr"/>
      </w:rPr>
      <w:instrText xml:space="preserve"> PAGE   \* MERGEFORMAT </w:instrText>
    </w:r>
    <w:r>
      <w:rPr>
        <w:rFonts w:asciiTheme="minorBidi" w:hAnsiTheme="minorBidi" w:cstheme="minorBidi"/>
        <w:sz w:val="22"/>
        <w:szCs w:val="22"/>
        <w:lang w:val="fr"/>
      </w:rPr>
      <w:fldChar w:fldCharType="separate"/>
    </w:r>
    <w:r>
      <w:rPr>
        <w:rFonts w:asciiTheme="minorBidi" w:hAnsiTheme="minorBidi" w:cstheme="minorBidi"/>
        <w:sz w:val="22"/>
        <w:szCs w:val="22"/>
        <w:lang w:val="fr"/>
      </w:rPr>
      <w:t>2</w:t>
    </w:r>
    <w:r>
      <w:rPr>
        <w:rFonts w:asciiTheme="minorBidi" w:hAnsiTheme="minorBidi" w:cstheme="minorBidi"/>
        <w:noProof/>
        <w:sz w:val="22"/>
        <w:szCs w:val="22"/>
        <w:lang w:val="fr"/>
      </w:rPr>
      <w:fldChar w:fldCharType="end"/>
    </w:r>
  </w:p>
  <w:p w14:paraId="53C957AD" w14:textId="77777777" w:rsidR="00B95D28" w:rsidRPr="009C4402" w:rsidRDefault="00B95D28" w:rsidP="00B95D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1E922" w14:textId="66E1B425" w:rsidR="000B1580" w:rsidRPr="00CA6CC2" w:rsidRDefault="000B1580" w:rsidP="000B1580">
    <w:pPr>
      <w:pStyle w:val="Header"/>
      <w:ind w:left="7938"/>
      <w:rPr>
        <w:rFonts w:asciiTheme="minorBidi" w:hAnsiTheme="minorBidi" w:cstheme="minorBidi"/>
        <w:bCs/>
        <w:sz w:val="22"/>
        <w:szCs w:val="22"/>
      </w:rPr>
    </w:pPr>
    <w:r>
      <w:rPr>
        <w:rFonts w:asciiTheme="minorBidi" w:hAnsiTheme="minorBidi" w:cstheme="minorBidi"/>
        <w:sz w:val="22"/>
        <w:szCs w:val="22"/>
        <w:lang w:val="fr"/>
      </w:rPr>
      <w:t>A-33/</w:t>
    </w:r>
    <w:proofErr w:type="gramStart"/>
    <w:r>
      <w:rPr>
        <w:rFonts w:asciiTheme="minorBidi" w:hAnsiTheme="minorBidi" w:cstheme="minorBidi"/>
        <w:sz w:val="22"/>
        <w:szCs w:val="22"/>
        <w:lang w:val="fr"/>
      </w:rPr>
      <w:t>DR.[</w:t>
    </w:r>
    <w:proofErr w:type="gramEnd"/>
    <w:r>
      <w:rPr>
        <w:rFonts w:asciiTheme="minorBidi" w:hAnsiTheme="minorBidi" w:cstheme="minorBidi"/>
        <w:sz w:val="22"/>
        <w:szCs w:val="22"/>
        <w:lang w:val="fr"/>
      </w:rPr>
      <w:t>5.4]</w:t>
    </w:r>
  </w:p>
  <w:p w14:paraId="18199AA4" w14:textId="77777777" w:rsidR="000B1580" w:rsidRPr="00CA6CC2" w:rsidRDefault="000B1580" w:rsidP="000B1580">
    <w:pPr>
      <w:pStyle w:val="Header"/>
      <w:ind w:left="7938"/>
      <w:rPr>
        <w:rFonts w:asciiTheme="minorBidi" w:hAnsiTheme="minorBidi" w:cstheme="minorBidi"/>
        <w:sz w:val="22"/>
        <w:szCs w:val="22"/>
      </w:rPr>
    </w:pPr>
    <w:proofErr w:type="gramStart"/>
    <w:r>
      <w:rPr>
        <w:rFonts w:asciiTheme="minorBidi" w:hAnsiTheme="minorBidi" w:cstheme="minorBidi"/>
        <w:sz w:val="22"/>
        <w:szCs w:val="22"/>
        <w:lang w:val="fr"/>
      </w:rPr>
      <w:t>page</w:t>
    </w:r>
    <w:proofErr w:type="gramEnd"/>
    <w:r>
      <w:rPr>
        <w:rFonts w:asciiTheme="minorBidi" w:hAnsiTheme="minorBidi" w:cstheme="minorBidi"/>
        <w:sz w:val="22"/>
        <w:szCs w:val="22"/>
        <w:lang w:val="fr"/>
      </w:rPr>
      <w:t> </w:t>
    </w:r>
    <w:r>
      <w:rPr>
        <w:rFonts w:asciiTheme="minorBidi" w:hAnsiTheme="minorBidi" w:cstheme="minorBidi"/>
        <w:sz w:val="22"/>
        <w:szCs w:val="22"/>
        <w:lang w:val="fr"/>
      </w:rPr>
      <w:fldChar w:fldCharType="begin"/>
    </w:r>
    <w:r>
      <w:rPr>
        <w:rFonts w:asciiTheme="minorBidi" w:hAnsiTheme="minorBidi" w:cstheme="minorBidi"/>
        <w:sz w:val="22"/>
        <w:szCs w:val="22"/>
        <w:lang w:val="fr"/>
      </w:rPr>
      <w:instrText xml:space="preserve"> PAGE   \* MERGEFORMAT </w:instrText>
    </w:r>
    <w:r>
      <w:rPr>
        <w:rFonts w:asciiTheme="minorBidi" w:hAnsiTheme="minorBidi" w:cstheme="minorBidi"/>
        <w:sz w:val="22"/>
        <w:szCs w:val="22"/>
        <w:lang w:val="fr"/>
      </w:rPr>
      <w:fldChar w:fldCharType="separate"/>
    </w:r>
    <w:r>
      <w:rPr>
        <w:rFonts w:asciiTheme="minorBidi" w:hAnsiTheme="minorBidi" w:cstheme="minorBidi"/>
        <w:sz w:val="22"/>
        <w:szCs w:val="22"/>
        <w:lang w:val="fr"/>
      </w:rPr>
      <w:t>6</w:t>
    </w:r>
    <w:r>
      <w:rPr>
        <w:rFonts w:asciiTheme="minorBidi" w:hAnsiTheme="minorBidi" w:cstheme="minorBidi"/>
        <w:noProof/>
        <w:sz w:val="22"/>
        <w:szCs w:val="22"/>
        <w:lang w:val="fr"/>
      </w:rPr>
      <w:fldChar w:fldCharType="end"/>
    </w:r>
  </w:p>
  <w:p w14:paraId="478D4620" w14:textId="77777777" w:rsidR="00B95D28" w:rsidRDefault="00B95D28" w:rsidP="000B1580">
    <w:pPr>
      <w:pStyle w:val="Header"/>
      <w:ind w:left="793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12089" w14:textId="7BC8DFAE" w:rsidR="00C965D5" w:rsidRDefault="00C965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D3688"/>
    <w:multiLevelType w:val="hybridMultilevel"/>
    <w:tmpl w:val="9552FFF6"/>
    <w:lvl w:ilvl="0" w:tplc="FFFFFFFF">
      <w:start w:val="1"/>
      <w:numFmt w:val="lowerRoman"/>
      <w:lvlText w:val="(%1)"/>
      <w:lvlJc w:val="left"/>
      <w:pPr>
        <w:ind w:left="1080" w:hanging="72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902DD7"/>
    <w:multiLevelType w:val="hybridMultilevel"/>
    <w:tmpl w:val="FE78E686"/>
    <w:lvl w:ilvl="0" w:tplc="040C0017">
      <w:start w:val="1"/>
      <w:numFmt w:val="lowerLetter"/>
      <w:lvlText w:val="%1)"/>
      <w:lvlJc w:val="left"/>
      <w:pPr>
        <w:ind w:left="924" w:hanging="564"/>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0661500"/>
    <w:multiLevelType w:val="hybridMultilevel"/>
    <w:tmpl w:val="452ABF16"/>
    <w:lvl w:ilvl="0" w:tplc="040C0017">
      <w:start w:val="1"/>
      <w:numFmt w:val="lowerLetter"/>
      <w:lvlText w:val="%1)"/>
      <w:lvlJc w:val="left"/>
      <w:pPr>
        <w:ind w:left="720" w:hanging="360"/>
      </w:pPr>
      <w:rPr>
        <w:rFonts w:hint="default"/>
      </w:rPr>
    </w:lvl>
    <w:lvl w:ilvl="1" w:tplc="FFFFFFFF">
      <w:numFmt w:val="bullet"/>
      <w:lvlText w:val="·"/>
      <w:lvlJc w:val="left"/>
      <w:pPr>
        <w:ind w:left="1644" w:hanging="564"/>
      </w:pPr>
      <w:rPr>
        <w:rFonts w:ascii="Arial" w:eastAsia="Arial"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D1D5D18"/>
    <w:multiLevelType w:val="hybridMultilevel"/>
    <w:tmpl w:val="D0329826"/>
    <w:lvl w:ilvl="0" w:tplc="FFFFFFFF">
      <w:start w:val="1"/>
      <w:numFmt w:val="lowerRoman"/>
      <w:lvlText w:val="(%1)"/>
      <w:lvlJc w:val="left"/>
      <w:pPr>
        <w:ind w:left="720" w:hanging="360"/>
      </w:pPr>
      <w:rPr>
        <w:rFonts w:hint="default"/>
      </w:rPr>
    </w:lvl>
    <w:lvl w:ilvl="1" w:tplc="A9BC0BD8">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1541017"/>
    <w:multiLevelType w:val="hybridMultilevel"/>
    <w:tmpl w:val="666A51D2"/>
    <w:lvl w:ilvl="0" w:tplc="665E9F4E">
      <w:start w:val="1"/>
      <w:numFmt w:val="decimal"/>
      <w:lvlText w:val="%1."/>
      <w:lvlJc w:val="left"/>
      <w:pPr>
        <w:ind w:left="-207" w:hanging="360"/>
      </w:pPr>
      <w:rPr>
        <w:rFonts w:eastAsia="Times New Roman" w:hint="default"/>
        <w:b w:val="0"/>
        <w:bCs/>
        <w:i/>
        <w:color w:val="000000"/>
      </w:rPr>
    </w:lvl>
    <w:lvl w:ilvl="1" w:tplc="A9BC0BD8">
      <w:start w:val="1"/>
      <w:numFmt w:val="lowerRoman"/>
      <w:lvlText w:val="%2)"/>
      <w:lvlJc w:val="left"/>
      <w:pPr>
        <w:ind w:left="1188" w:hanging="1035"/>
      </w:pPr>
      <w:rPr>
        <w:rFonts w:hint="default"/>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5" w15:restartNumberingAfterBreak="0">
    <w:nsid w:val="32103E4E"/>
    <w:multiLevelType w:val="hybridMultilevel"/>
    <w:tmpl w:val="D50A87C2"/>
    <w:lvl w:ilvl="0" w:tplc="8F0AEB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C53C78"/>
    <w:multiLevelType w:val="hybridMultilevel"/>
    <w:tmpl w:val="9552FFF6"/>
    <w:lvl w:ilvl="0" w:tplc="99B4303A">
      <w:start w:val="1"/>
      <w:numFmt w:val="lowerRoman"/>
      <w:lvlText w:val="(%1)"/>
      <w:lvlJc w:val="left"/>
      <w:pPr>
        <w:ind w:left="1080" w:hanging="72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CE43EF"/>
    <w:multiLevelType w:val="hybridMultilevel"/>
    <w:tmpl w:val="FB22D9F2"/>
    <w:lvl w:ilvl="0" w:tplc="9DF8C1A8">
      <w:start w:val="1"/>
      <w:numFmt w:val="lowerRoman"/>
      <w:lvlText w:val="(%1)"/>
      <w:lvlJc w:val="left"/>
      <w:pPr>
        <w:ind w:left="1789" w:hanging="720"/>
      </w:pPr>
      <w:rPr>
        <w:rFonts w:hint="default"/>
        <w:b w:val="0"/>
        <w:b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4BD036A5"/>
    <w:multiLevelType w:val="hybridMultilevel"/>
    <w:tmpl w:val="256E4C88"/>
    <w:lvl w:ilvl="0" w:tplc="728A86C0">
      <w:start w:val="1"/>
      <w:numFmt w:val="lowerRoman"/>
      <w:lvlText w:val="(%1)"/>
      <w:lvlJc w:val="left"/>
      <w:pPr>
        <w:ind w:left="870" w:hanging="510"/>
      </w:pPr>
      <w:rPr>
        <w:rFonts w:asciiTheme="minorBidi" w:eastAsia="Times New Roman" w:hAnsiTheme="minorBid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756988"/>
    <w:multiLevelType w:val="hybridMultilevel"/>
    <w:tmpl w:val="A0EE5886"/>
    <w:lvl w:ilvl="0" w:tplc="FFFFFFFF">
      <w:start w:val="1"/>
      <w:numFmt w:val="decimal"/>
      <w:lvlText w:val="%1."/>
      <w:lvlJc w:val="left"/>
      <w:pPr>
        <w:ind w:left="-207" w:hanging="360"/>
      </w:pPr>
      <w:rPr>
        <w:rFonts w:eastAsia="Times New Roman" w:hint="default"/>
        <w:b w:val="0"/>
        <w:bCs/>
        <w:i/>
        <w:color w:val="000000"/>
      </w:rPr>
    </w:lvl>
    <w:lvl w:ilvl="1" w:tplc="87A09D12">
      <w:start w:val="1"/>
      <w:numFmt w:val="lowerRoman"/>
      <w:lvlText w:val="(%2)"/>
      <w:lvlJc w:val="left"/>
      <w:pPr>
        <w:ind w:left="513" w:hanging="360"/>
      </w:pPr>
      <w:rPr>
        <w:rFonts w:hint="default"/>
      </w:rPr>
    </w:lvl>
    <w:lvl w:ilvl="2" w:tplc="FFFFFFFF">
      <w:start w:val="1"/>
      <w:numFmt w:val="lowerRoman"/>
      <w:lvlText w:val="%3."/>
      <w:lvlJc w:val="right"/>
      <w:pPr>
        <w:ind w:left="1233" w:hanging="180"/>
      </w:pPr>
    </w:lvl>
    <w:lvl w:ilvl="3" w:tplc="FFFFFFFF" w:tentative="1">
      <w:start w:val="1"/>
      <w:numFmt w:val="decimal"/>
      <w:lvlText w:val="%4."/>
      <w:lvlJc w:val="left"/>
      <w:pPr>
        <w:ind w:left="1953" w:hanging="360"/>
      </w:pPr>
    </w:lvl>
    <w:lvl w:ilvl="4" w:tplc="FFFFFFFF" w:tentative="1">
      <w:start w:val="1"/>
      <w:numFmt w:val="lowerLetter"/>
      <w:lvlText w:val="%5."/>
      <w:lvlJc w:val="left"/>
      <w:pPr>
        <w:ind w:left="2673" w:hanging="360"/>
      </w:pPr>
    </w:lvl>
    <w:lvl w:ilvl="5" w:tplc="FFFFFFFF" w:tentative="1">
      <w:start w:val="1"/>
      <w:numFmt w:val="lowerRoman"/>
      <w:lvlText w:val="%6."/>
      <w:lvlJc w:val="right"/>
      <w:pPr>
        <w:ind w:left="3393" w:hanging="180"/>
      </w:pPr>
    </w:lvl>
    <w:lvl w:ilvl="6" w:tplc="FFFFFFFF" w:tentative="1">
      <w:start w:val="1"/>
      <w:numFmt w:val="decimal"/>
      <w:lvlText w:val="%7."/>
      <w:lvlJc w:val="left"/>
      <w:pPr>
        <w:ind w:left="4113" w:hanging="360"/>
      </w:pPr>
    </w:lvl>
    <w:lvl w:ilvl="7" w:tplc="FFFFFFFF" w:tentative="1">
      <w:start w:val="1"/>
      <w:numFmt w:val="lowerLetter"/>
      <w:lvlText w:val="%8."/>
      <w:lvlJc w:val="left"/>
      <w:pPr>
        <w:ind w:left="4833" w:hanging="360"/>
      </w:pPr>
    </w:lvl>
    <w:lvl w:ilvl="8" w:tplc="FFFFFFFF" w:tentative="1">
      <w:start w:val="1"/>
      <w:numFmt w:val="lowerRoman"/>
      <w:lvlText w:val="%9."/>
      <w:lvlJc w:val="right"/>
      <w:pPr>
        <w:ind w:left="5553" w:hanging="180"/>
      </w:pPr>
    </w:lvl>
  </w:abstractNum>
  <w:abstractNum w:abstractNumId="10" w15:restartNumberingAfterBreak="0">
    <w:nsid w:val="682777F5"/>
    <w:multiLevelType w:val="hybridMultilevel"/>
    <w:tmpl w:val="42A42252"/>
    <w:lvl w:ilvl="0" w:tplc="EC40FBD8">
      <w:start w:val="1"/>
      <w:numFmt w:val="lowerRoman"/>
      <w:lvlText w:val="(%1)"/>
      <w:lvlJc w:val="left"/>
      <w:pPr>
        <w:ind w:left="1440" w:hanging="720"/>
      </w:pPr>
      <w:rPr>
        <w:rFonts w:asciiTheme="minorBidi" w:eastAsia="Times New Roman" w:hAnsiTheme="minorBidi" w:cstheme="minorBidi" w:hint="default"/>
        <w:b w:val="0"/>
        <w:bCs/>
        <w:color w:val="231F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8BF310F"/>
    <w:multiLevelType w:val="hybridMultilevel"/>
    <w:tmpl w:val="2E40D9DA"/>
    <w:lvl w:ilvl="0" w:tplc="0E40006E">
      <w:start w:val="1"/>
      <w:numFmt w:val="lowerRoman"/>
      <w:lvlText w:val="(%1)"/>
      <w:lvlJc w:val="left"/>
      <w:pPr>
        <w:ind w:left="870" w:hanging="510"/>
      </w:pPr>
      <w:rPr>
        <w:rFonts w:asciiTheme="minorBidi" w:eastAsia="Times New Roman" w:hAnsiTheme="minorBid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C653688"/>
    <w:multiLevelType w:val="hybridMultilevel"/>
    <w:tmpl w:val="8DA461F4"/>
    <w:lvl w:ilvl="0" w:tplc="FFFFFFFF">
      <w:start w:val="1"/>
      <w:numFmt w:val="lowerRoman"/>
      <w:lvlText w:val="(%1)"/>
      <w:lvlJc w:val="left"/>
      <w:pPr>
        <w:ind w:left="720" w:hanging="360"/>
      </w:pPr>
      <w:rPr>
        <w:rFonts w:hint="default"/>
      </w:rPr>
    </w:lvl>
    <w:lvl w:ilvl="1" w:tplc="88F488E2">
      <w:start w:val="1"/>
      <w:numFmt w:val="lowerRoman"/>
      <w:lvlText w:val="(%2)"/>
      <w:lvlJc w:val="left"/>
      <w:pPr>
        <w:ind w:left="927"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D965BD3"/>
    <w:multiLevelType w:val="hybridMultilevel"/>
    <w:tmpl w:val="FAA41842"/>
    <w:lvl w:ilvl="0" w:tplc="BDF4C346">
      <w:start w:val="2"/>
      <w:numFmt w:val="bullet"/>
      <w:lvlText w:val="-"/>
      <w:lvlJc w:val="left"/>
      <w:pPr>
        <w:ind w:left="720" w:hanging="360"/>
      </w:pPr>
      <w:rPr>
        <w:rFonts w:ascii="Arial" w:eastAsia="Calibr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800265"/>
    <w:multiLevelType w:val="hybridMultilevel"/>
    <w:tmpl w:val="25EAE0F6"/>
    <w:lvl w:ilvl="0" w:tplc="FFFFFFFF">
      <w:start w:val="1"/>
      <w:numFmt w:val="decimal"/>
      <w:lvlText w:val="%1."/>
      <w:lvlJc w:val="left"/>
      <w:pPr>
        <w:ind w:left="-207" w:hanging="360"/>
      </w:pPr>
      <w:rPr>
        <w:rFonts w:eastAsia="Times New Roman" w:hint="default"/>
        <w:b w:val="0"/>
        <w:bCs/>
        <w:i/>
        <w:color w:val="000000"/>
      </w:rPr>
    </w:lvl>
    <w:lvl w:ilvl="1" w:tplc="FFFFFFFF">
      <w:start w:val="1"/>
      <w:numFmt w:val="lowerRoman"/>
      <w:lvlText w:val="%2)"/>
      <w:lvlJc w:val="left"/>
      <w:pPr>
        <w:ind w:left="1188" w:hanging="1035"/>
      </w:pPr>
      <w:rPr>
        <w:rFonts w:hint="default"/>
      </w:rPr>
    </w:lvl>
    <w:lvl w:ilvl="2" w:tplc="FFFFFFFF" w:tentative="1">
      <w:start w:val="1"/>
      <w:numFmt w:val="lowerRoman"/>
      <w:lvlText w:val="%3."/>
      <w:lvlJc w:val="right"/>
      <w:pPr>
        <w:ind w:left="1233" w:hanging="180"/>
      </w:pPr>
    </w:lvl>
    <w:lvl w:ilvl="3" w:tplc="FFFFFFFF" w:tentative="1">
      <w:start w:val="1"/>
      <w:numFmt w:val="decimal"/>
      <w:lvlText w:val="%4."/>
      <w:lvlJc w:val="left"/>
      <w:pPr>
        <w:ind w:left="1953" w:hanging="360"/>
      </w:pPr>
    </w:lvl>
    <w:lvl w:ilvl="4" w:tplc="FFFFFFFF" w:tentative="1">
      <w:start w:val="1"/>
      <w:numFmt w:val="lowerLetter"/>
      <w:lvlText w:val="%5."/>
      <w:lvlJc w:val="left"/>
      <w:pPr>
        <w:ind w:left="2673" w:hanging="360"/>
      </w:pPr>
    </w:lvl>
    <w:lvl w:ilvl="5" w:tplc="FFFFFFFF" w:tentative="1">
      <w:start w:val="1"/>
      <w:numFmt w:val="lowerRoman"/>
      <w:lvlText w:val="%6."/>
      <w:lvlJc w:val="right"/>
      <w:pPr>
        <w:ind w:left="3393" w:hanging="180"/>
      </w:pPr>
    </w:lvl>
    <w:lvl w:ilvl="6" w:tplc="FFFFFFFF" w:tentative="1">
      <w:start w:val="1"/>
      <w:numFmt w:val="decimal"/>
      <w:lvlText w:val="%7."/>
      <w:lvlJc w:val="left"/>
      <w:pPr>
        <w:ind w:left="4113" w:hanging="360"/>
      </w:pPr>
    </w:lvl>
    <w:lvl w:ilvl="7" w:tplc="FFFFFFFF" w:tentative="1">
      <w:start w:val="1"/>
      <w:numFmt w:val="lowerLetter"/>
      <w:lvlText w:val="%8."/>
      <w:lvlJc w:val="left"/>
      <w:pPr>
        <w:ind w:left="4833" w:hanging="360"/>
      </w:pPr>
    </w:lvl>
    <w:lvl w:ilvl="8" w:tplc="FFFFFFFF" w:tentative="1">
      <w:start w:val="1"/>
      <w:numFmt w:val="lowerRoman"/>
      <w:lvlText w:val="%9."/>
      <w:lvlJc w:val="right"/>
      <w:pPr>
        <w:ind w:left="5553" w:hanging="180"/>
      </w:pPr>
    </w:lvl>
  </w:abstractNum>
  <w:abstractNum w:abstractNumId="15" w15:restartNumberingAfterBreak="0">
    <w:nsid w:val="74F24005"/>
    <w:multiLevelType w:val="hybridMultilevel"/>
    <w:tmpl w:val="751E73DE"/>
    <w:lvl w:ilvl="0" w:tplc="1D9EAB5C">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6D22F0E"/>
    <w:multiLevelType w:val="hybridMultilevel"/>
    <w:tmpl w:val="60808838"/>
    <w:lvl w:ilvl="0" w:tplc="58DEBA08">
      <w:start w:val="1"/>
      <w:numFmt w:val="lowerLetter"/>
      <w:lvlText w:val="%1)"/>
      <w:lvlJc w:val="left"/>
      <w:pPr>
        <w:ind w:left="1211" w:hanging="360"/>
      </w:pPr>
      <w:rPr>
        <w:rFonts w:hint="default"/>
        <w:i w:val="0"/>
        <w:iCs w:val="0"/>
        <w:sz w:val="22"/>
        <w:szCs w:val="22"/>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7" w15:restartNumberingAfterBreak="0">
    <w:nsid w:val="7BB525F8"/>
    <w:multiLevelType w:val="hybridMultilevel"/>
    <w:tmpl w:val="AF2840C4"/>
    <w:lvl w:ilvl="0" w:tplc="88F488E2">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C755613"/>
    <w:multiLevelType w:val="hybridMultilevel"/>
    <w:tmpl w:val="95546196"/>
    <w:lvl w:ilvl="0" w:tplc="2CA6570E">
      <w:start w:val="1"/>
      <w:numFmt w:val="lowerRoman"/>
      <w:lvlText w:val="(%1)"/>
      <w:lvlJc w:val="left"/>
      <w:pPr>
        <w:ind w:left="1287" w:hanging="720"/>
      </w:pPr>
      <w:rPr>
        <w:rFonts w:hint="default"/>
        <w:lang w:val="en-US"/>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9" w15:restartNumberingAfterBreak="0">
    <w:nsid w:val="7E695DCC"/>
    <w:multiLevelType w:val="hybridMultilevel"/>
    <w:tmpl w:val="40C8B202"/>
    <w:lvl w:ilvl="0" w:tplc="541E8CA0">
      <w:start w:val="1"/>
      <w:numFmt w:val="upperLetter"/>
      <w:lvlText w:val="%1."/>
      <w:lvlJc w:val="left"/>
      <w:pPr>
        <w:ind w:left="1647" w:hanging="360"/>
      </w:pPr>
      <w:rPr>
        <w:rFonts w:hint="default"/>
      </w:r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num w:numId="1" w16cid:durableId="779032969">
    <w:abstractNumId w:val="18"/>
  </w:num>
  <w:num w:numId="2" w16cid:durableId="1084686854">
    <w:abstractNumId w:val="19"/>
  </w:num>
  <w:num w:numId="3" w16cid:durableId="1433893519">
    <w:abstractNumId w:val="7"/>
  </w:num>
  <w:num w:numId="4" w16cid:durableId="486897565">
    <w:abstractNumId w:val="10"/>
  </w:num>
  <w:num w:numId="5" w16cid:durableId="574628637">
    <w:abstractNumId w:val="16"/>
  </w:num>
  <w:num w:numId="6" w16cid:durableId="1190025939">
    <w:abstractNumId w:val="8"/>
  </w:num>
  <w:num w:numId="7" w16cid:durableId="397672789">
    <w:abstractNumId w:val="11"/>
  </w:num>
  <w:num w:numId="8" w16cid:durableId="934099398">
    <w:abstractNumId w:val="2"/>
  </w:num>
  <w:num w:numId="9" w16cid:durableId="829759316">
    <w:abstractNumId w:val="1"/>
  </w:num>
  <w:num w:numId="10" w16cid:durableId="1219129233">
    <w:abstractNumId w:val="6"/>
  </w:num>
  <w:num w:numId="11" w16cid:durableId="933979956">
    <w:abstractNumId w:val="4"/>
  </w:num>
  <w:num w:numId="12" w16cid:durableId="161241800">
    <w:abstractNumId w:val="17"/>
  </w:num>
  <w:num w:numId="13" w16cid:durableId="560946474">
    <w:abstractNumId w:val="3"/>
  </w:num>
  <w:num w:numId="14" w16cid:durableId="1161964731">
    <w:abstractNumId w:val="12"/>
  </w:num>
  <w:num w:numId="15" w16cid:durableId="866911339">
    <w:abstractNumId w:val="0"/>
  </w:num>
  <w:num w:numId="16" w16cid:durableId="174610146">
    <w:abstractNumId w:val="13"/>
  </w:num>
  <w:num w:numId="17" w16cid:durableId="1192917341">
    <w:abstractNumId w:val="5"/>
  </w:num>
  <w:num w:numId="18" w16cid:durableId="390232482">
    <w:abstractNumId w:val="15"/>
  </w:num>
  <w:num w:numId="19" w16cid:durableId="1637027221">
    <w:abstractNumId w:val="9"/>
  </w:num>
  <w:num w:numId="20" w16cid:durableId="20315611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DE2"/>
    <w:rsid w:val="000071A0"/>
    <w:rsid w:val="00017337"/>
    <w:rsid w:val="00022184"/>
    <w:rsid w:val="00026789"/>
    <w:rsid w:val="00027405"/>
    <w:rsid w:val="00027819"/>
    <w:rsid w:val="0003083B"/>
    <w:rsid w:val="00031269"/>
    <w:rsid w:val="00035A74"/>
    <w:rsid w:val="000407D1"/>
    <w:rsid w:val="00044D38"/>
    <w:rsid w:val="00045FA3"/>
    <w:rsid w:val="00053717"/>
    <w:rsid w:val="0005372A"/>
    <w:rsid w:val="000542B0"/>
    <w:rsid w:val="0005571B"/>
    <w:rsid w:val="00062736"/>
    <w:rsid w:val="00064805"/>
    <w:rsid w:val="000736E2"/>
    <w:rsid w:val="00081CD1"/>
    <w:rsid w:val="00082F06"/>
    <w:rsid w:val="000848FD"/>
    <w:rsid w:val="00087843"/>
    <w:rsid w:val="00094DF7"/>
    <w:rsid w:val="00097110"/>
    <w:rsid w:val="000A58D8"/>
    <w:rsid w:val="000A6C66"/>
    <w:rsid w:val="000B14FC"/>
    <w:rsid w:val="000B1580"/>
    <w:rsid w:val="000B1E02"/>
    <w:rsid w:val="000B7F05"/>
    <w:rsid w:val="000C4334"/>
    <w:rsid w:val="000C4BB8"/>
    <w:rsid w:val="000C520D"/>
    <w:rsid w:val="000E2312"/>
    <w:rsid w:val="000E725F"/>
    <w:rsid w:val="000E7F51"/>
    <w:rsid w:val="000F15EE"/>
    <w:rsid w:val="000F51BF"/>
    <w:rsid w:val="000F6486"/>
    <w:rsid w:val="00101E28"/>
    <w:rsid w:val="00106412"/>
    <w:rsid w:val="001079C4"/>
    <w:rsid w:val="001109FE"/>
    <w:rsid w:val="00116A57"/>
    <w:rsid w:val="00121ACD"/>
    <w:rsid w:val="00125E89"/>
    <w:rsid w:val="00131748"/>
    <w:rsid w:val="00132B4A"/>
    <w:rsid w:val="00134C2E"/>
    <w:rsid w:val="00136ED3"/>
    <w:rsid w:val="0014195C"/>
    <w:rsid w:val="00146D9D"/>
    <w:rsid w:val="00152BC4"/>
    <w:rsid w:val="001659EC"/>
    <w:rsid w:val="00166933"/>
    <w:rsid w:val="00167CB0"/>
    <w:rsid w:val="00170E46"/>
    <w:rsid w:val="00172AD7"/>
    <w:rsid w:val="00177AFB"/>
    <w:rsid w:val="00181216"/>
    <w:rsid w:val="00184FC0"/>
    <w:rsid w:val="00191633"/>
    <w:rsid w:val="00195248"/>
    <w:rsid w:val="001973C2"/>
    <w:rsid w:val="001A4016"/>
    <w:rsid w:val="001A623D"/>
    <w:rsid w:val="001A697C"/>
    <w:rsid w:val="001B28A5"/>
    <w:rsid w:val="001B513D"/>
    <w:rsid w:val="001C3204"/>
    <w:rsid w:val="001C3C73"/>
    <w:rsid w:val="001C3F03"/>
    <w:rsid w:val="001C6878"/>
    <w:rsid w:val="001E2BB8"/>
    <w:rsid w:val="001E5B12"/>
    <w:rsid w:val="001F09DA"/>
    <w:rsid w:val="001F2799"/>
    <w:rsid w:val="001F5A3F"/>
    <w:rsid w:val="002005FA"/>
    <w:rsid w:val="002010EC"/>
    <w:rsid w:val="00223FED"/>
    <w:rsid w:val="002249EC"/>
    <w:rsid w:val="002378E1"/>
    <w:rsid w:val="00254D3D"/>
    <w:rsid w:val="00267D74"/>
    <w:rsid w:val="002755A2"/>
    <w:rsid w:val="002805CC"/>
    <w:rsid w:val="00292A2D"/>
    <w:rsid w:val="0029386E"/>
    <w:rsid w:val="00295FE5"/>
    <w:rsid w:val="00297BD8"/>
    <w:rsid w:val="002A39AB"/>
    <w:rsid w:val="002A7390"/>
    <w:rsid w:val="002A7397"/>
    <w:rsid w:val="002A7ED5"/>
    <w:rsid w:val="002C270F"/>
    <w:rsid w:val="002E47D5"/>
    <w:rsid w:val="002F1CD6"/>
    <w:rsid w:val="00300736"/>
    <w:rsid w:val="003018E2"/>
    <w:rsid w:val="0030390A"/>
    <w:rsid w:val="00311C11"/>
    <w:rsid w:val="003132D4"/>
    <w:rsid w:val="00314932"/>
    <w:rsid w:val="00326347"/>
    <w:rsid w:val="003371C6"/>
    <w:rsid w:val="00343951"/>
    <w:rsid w:val="0035070B"/>
    <w:rsid w:val="00353327"/>
    <w:rsid w:val="00357C97"/>
    <w:rsid w:val="00364CE9"/>
    <w:rsid w:val="003716E1"/>
    <w:rsid w:val="00372DF9"/>
    <w:rsid w:val="00373BD4"/>
    <w:rsid w:val="00380100"/>
    <w:rsid w:val="00384844"/>
    <w:rsid w:val="00387AF2"/>
    <w:rsid w:val="00391510"/>
    <w:rsid w:val="0039565C"/>
    <w:rsid w:val="003971C0"/>
    <w:rsid w:val="003A143A"/>
    <w:rsid w:val="003A2223"/>
    <w:rsid w:val="003A7D8E"/>
    <w:rsid w:val="003B282F"/>
    <w:rsid w:val="003B2914"/>
    <w:rsid w:val="003B44EE"/>
    <w:rsid w:val="003B4BA7"/>
    <w:rsid w:val="003C354F"/>
    <w:rsid w:val="003C52E6"/>
    <w:rsid w:val="003D6105"/>
    <w:rsid w:val="003E52D5"/>
    <w:rsid w:val="003E5498"/>
    <w:rsid w:val="003E5EF6"/>
    <w:rsid w:val="003E7407"/>
    <w:rsid w:val="003F1C25"/>
    <w:rsid w:val="00401764"/>
    <w:rsid w:val="004048AB"/>
    <w:rsid w:val="00404DC8"/>
    <w:rsid w:val="0040544C"/>
    <w:rsid w:val="00406463"/>
    <w:rsid w:val="00407535"/>
    <w:rsid w:val="00407FDA"/>
    <w:rsid w:val="00411762"/>
    <w:rsid w:val="0041349A"/>
    <w:rsid w:val="00420422"/>
    <w:rsid w:val="00421575"/>
    <w:rsid w:val="004215FB"/>
    <w:rsid w:val="004264E1"/>
    <w:rsid w:val="00426CAF"/>
    <w:rsid w:val="00430828"/>
    <w:rsid w:val="0043231A"/>
    <w:rsid w:val="00443A0E"/>
    <w:rsid w:val="00445506"/>
    <w:rsid w:val="00445F6D"/>
    <w:rsid w:val="00450D2C"/>
    <w:rsid w:val="00454674"/>
    <w:rsid w:val="0045487E"/>
    <w:rsid w:val="0045793A"/>
    <w:rsid w:val="00473347"/>
    <w:rsid w:val="0048122E"/>
    <w:rsid w:val="00481E11"/>
    <w:rsid w:val="0048215C"/>
    <w:rsid w:val="0048634E"/>
    <w:rsid w:val="00494BD6"/>
    <w:rsid w:val="004961BE"/>
    <w:rsid w:val="004A3002"/>
    <w:rsid w:val="004A7A0B"/>
    <w:rsid w:val="004A7A5F"/>
    <w:rsid w:val="004B51E7"/>
    <w:rsid w:val="004B5314"/>
    <w:rsid w:val="004D3595"/>
    <w:rsid w:val="004D3B28"/>
    <w:rsid w:val="004E3BD7"/>
    <w:rsid w:val="004F2008"/>
    <w:rsid w:val="004F6B4E"/>
    <w:rsid w:val="005016C7"/>
    <w:rsid w:val="005032F1"/>
    <w:rsid w:val="005040E1"/>
    <w:rsid w:val="00506DDA"/>
    <w:rsid w:val="00511FDA"/>
    <w:rsid w:val="005132CC"/>
    <w:rsid w:val="0051798F"/>
    <w:rsid w:val="00517E37"/>
    <w:rsid w:val="00526D62"/>
    <w:rsid w:val="00533158"/>
    <w:rsid w:val="005426B2"/>
    <w:rsid w:val="0054508A"/>
    <w:rsid w:val="005460E8"/>
    <w:rsid w:val="005473D3"/>
    <w:rsid w:val="00564F26"/>
    <w:rsid w:val="00575A04"/>
    <w:rsid w:val="00580084"/>
    <w:rsid w:val="005825A9"/>
    <w:rsid w:val="00585F84"/>
    <w:rsid w:val="005978AA"/>
    <w:rsid w:val="00597CA2"/>
    <w:rsid w:val="005A019E"/>
    <w:rsid w:val="005A5995"/>
    <w:rsid w:val="005B33AB"/>
    <w:rsid w:val="005B5ACA"/>
    <w:rsid w:val="005D4747"/>
    <w:rsid w:val="005D7619"/>
    <w:rsid w:val="005F0B12"/>
    <w:rsid w:val="005F3547"/>
    <w:rsid w:val="005F3EBA"/>
    <w:rsid w:val="005F6D52"/>
    <w:rsid w:val="005F756A"/>
    <w:rsid w:val="00602886"/>
    <w:rsid w:val="00605EA7"/>
    <w:rsid w:val="0063389C"/>
    <w:rsid w:val="006441CA"/>
    <w:rsid w:val="00644E84"/>
    <w:rsid w:val="00650A7F"/>
    <w:rsid w:val="00651694"/>
    <w:rsid w:val="00652E6B"/>
    <w:rsid w:val="00652FFC"/>
    <w:rsid w:val="00654B8C"/>
    <w:rsid w:val="00661614"/>
    <w:rsid w:val="006625F1"/>
    <w:rsid w:val="00670FC3"/>
    <w:rsid w:val="0068577C"/>
    <w:rsid w:val="00690547"/>
    <w:rsid w:val="0069222A"/>
    <w:rsid w:val="00693578"/>
    <w:rsid w:val="0069495C"/>
    <w:rsid w:val="00696A44"/>
    <w:rsid w:val="006A3208"/>
    <w:rsid w:val="006A392B"/>
    <w:rsid w:val="006A52C6"/>
    <w:rsid w:val="006C20E0"/>
    <w:rsid w:val="006C6238"/>
    <w:rsid w:val="006D5BCD"/>
    <w:rsid w:val="006E0B13"/>
    <w:rsid w:val="006E27A9"/>
    <w:rsid w:val="006F3365"/>
    <w:rsid w:val="006F38C8"/>
    <w:rsid w:val="006F4ED1"/>
    <w:rsid w:val="006F6729"/>
    <w:rsid w:val="00700E15"/>
    <w:rsid w:val="0070440C"/>
    <w:rsid w:val="00704D86"/>
    <w:rsid w:val="00712358"/>
    <w:rsid w:val="00714C46"/>
    <w:rsid w:val="00716814"/>
    <w:rsid w:val="00717CF8"/>
    <w:rsid w:val="0072115B"/>
    <w:rsid w:val="00726388"/>
    <w:rsid w:val="007353F9"/>
    <w:rsid w:val="00737133"/>
    <w:rsid w:val="00741231"/>
    <w:rsid w:val="0075046D"/>
    <w:rsid w:val="0075709F"/>
    <w:rsid w:val="00760914"/>
    <w:rsid w:val="00761AF7"/>
    <w:rsid w:val="0076224B"/>
    <w:rsid w:val="00765306"/>
    <w:rsid w:val="007672C2"/>
    <w:rsid w:val="00771A23"/>
    <w:rsid w:val="00772205"/>
    <w:rsid w:val="00773735"/>
    <w:rsid w:val="00773DFD"/>
    <w:rsid w:val="00777ECA"/>
    <w:rsid w:val="0078106F"/>
    <w:rsid w:val="00783103"/>
    <w:rsid w:val="00784FB2"/>
    <w:rsid w:val="007867E9"/>
    <w:rsid w:val="00791289"/>
    <w:rsid w:val="00792AB7"/>
    <w:rsid w:val="00793E60"/>
    <w:rsid w:val="00797ACE"/>
    <w:rsid w:val="007A02FF"/>
    <w:rsid w:val="007A45F2"/>
    <w:rsid w:val="007B2388"/>
    <w:rsid w:val="007B6372"/>
    <w:rsid w:val="007B69FA"/>
    <w:rsid w:val="007B7C66"/>
    <w:rsid w:val="007B7F4A"/>
    <w:rsid w:val="007C0551"/>
    <w:rsid w:val="007C0926"/>
    <w:rsid w:val="007C3D26"/>
    <w:rsid w:val="007C5561"/>
    <w:rsid w:val="007C7844"/>
    <w:rsid w:val="007D0032"/>
    <w:rsid w:val="007D16D0"/>
    <w:rsid w:val="007D3331"/>
    <w:rsid w:val="007D3B50"/>
    <w:rsid w:val="007D612A"/>
    <w:rsid w:val="007E3FBB"/>
    <w:rsid w:val="007E4547"/>
    <w:rsid w:val="007E5514"/>
    <w:rsid w:val="007E6781"/>
    <w:rsid w:val="007F12FA"/>
    <w:rsid w:val="007F1827"/>
    <w:rsid w:val="007F5C4A"/>
    <w:rsid w:val="007F718F"/>
    <w:rsid w:val="0080483E"/>
    <w:rsid w:val="0081295C"/>
    <w:rsid w:val="008131C2"/>
    <w:rsid w:val="008134BE"/>
    <w:rsid w:val="008136BB"/>
    <w:rsid w:val="008222CC"/>
    <w:rsid w:val="00823448"/>
    <w:rsid w:val="0082683E"/>
    <w:rsid w:val="00826B89"/>
    <w:rsid w:val="0083606B"/>
    <w:rsid w:val="00836827"/>
    <w:rsid w:val="0084086A"/>
    <w:rsid w:val="00843E6F"/>
    <w:rsid w:val="00845BF0"/>
    <w:rsid w:val="0084656F"/>
    <w:rsid w:val="00847BFD"/>
    <w:rsid w:val="00851A65"/>
    <w:rsid w:val="008550A3"/>
    <w:rsid w:val="0085513E"/>
    <w:rsid w:val="00863602"/>
    <w:rsid w:val="00867003"/>
    <w:rsid w:val="0087097C"/>
    <w:rsid w:val="008740B7"/>
    <w:rsid w:val="00876B7E"/>
    <w:rsid w:val="00876D23"/>
    <w:rsid w:val="00882065"/>
    <w:rsid w:val="00885134"/>
    <w:rsid w:val="00885241"/>
    <w:rsid w:val="008929A9"/>
    <w:rsid w:val="008A57A3"/>
    <w:rsid w:val="008A57E0"/>
    <w:rsid w:val="008A7C9A"/>
    <w:rsid w:val="008B03CA"/>
    <w:rsid w:val="008B7509"/>
    <w:rsid w:val="008B7881"/>
    <w:rsid w:val="008B7C09"/>
    <w:rsid w:val="008C1B50"/>
    <w:rsid w:val="008C4A61"/>
    <w:rsid w:val="008C63D9"/>
    <w:rsid w:val="008D2C9E"/>
    <w:rsid w:val="008D328A"/>
    <w:rsid w:val="008D3F15"/>
    <w:rsid w:val="008D7EA7"/>
    <w:rsid w:val="008E1981"/>
    <w:rsid w:val="008E1CBC"/>
    <w:rsid w:val="008E39A1"/>
    <w:rsid w:val="008F2F05"/>
    <w:rsid w:val="008F443E"/>
    <w:rsid w:val="00901754"/>
    <w:rsid w:val="00903D4F"/>
    <w:rsid w:val="0090596E"/>
    <w:rsid w:val="009064A1"/>
    <w:rsid w:val="00907376"/>
    <w:rsid w:val="00911B8E"/>
    <w:rsid w:val="00916A87"/>
    <w:rsid w:val="00916B1E"/>
    <w:rsid w:val="00923A19"/>
    <w:rsid w:val="009279A8"/>
    <w:rsid w:val="00931739"/>
    <w:rsid w:val="009331E4"/>
    <w:rsid w:val="00935EA2"/>
    <w:rsid w:val="00954801"/>
    <w:rsid w:val="00955B51"/>
    <w:rsid w:val="00957C75"/>
    <w:rsid w:val="00967034"/>
    <w:rsid w:val="009729E9"/>
    <w:rsid w:val="00972D54"/>
    <w:rsid w:val="00976715"/>
    <w:rsid w:val="009813A8"/>
    <w:rsid w:val="00986D57"/>
    <w:rsid w:val="00992703"/>
    <w:rsid w:val="00994DED"/>
    <w:rsid w:val="009A0A1D"/>
    <w:rsid w:val="009A2AA7"/>
    <w:rsid w:val="009C14DE"/>
    <w:rsid w:val="009C19B0"/>
    <w:rsid w:val="009C229F"/>
    <w:rsid w:val="009C2777"/>
    <w:rsid w:val="009C4896"/>
    <w:rsid w:val="009E2B59"/>
    <w:rsid w:val="009E3D9C"/>
    <w:rsid w:val="009E4D28"/>
    <w:rsid w:val="009E4F9D"/>
    <w:rsid w:val="009F61BC"/>
    <w:rsid w:val="009F6AB5"/>
    <w:rsid w:val="009F7B91"/>
    <w:rsid w:val="00A021DD"/>
    <w:rsid w:val="00A10A02"/>
    <w:rsid w:val="00A1110F"/>
    <w:rsid w:val="00A11CA1"/>
    <w:rsid w:val="00A151C2"/>
    <w:rsid w:val="00A21539"/>
    <w:rsid w:val="00A24414"/>
    <w:rsid w:val="00A27396"/>
    <w:rsid w:val="00A31CB9"/>
    <w:rsid w:val="00A3217B"/>
    <w:rsid w:val="00A37EA5"/>
    <w:rsid w:val="00A40E6D"/>
    <w:rsid w:val="00A43243"/>
    <w:rsid w:val="00A4696D"/>
    <w:rsid w:val="00A5393E"/>
    <w:rsid w:val="00A554C4"/>
    <w:rsid w:val="00A559F3"/>
    <w:rsid w:val="00A727A1"/>
    <w:rsid w:val="00A7290B"/>
    <w:rsid w:val="00A74251"/>
    <w:rsid w:val="00A745FB"/>
    <w:rsid w:val="00A752FC"/>
    <w:rsid w:val="00A77C6A"/>
    <w:rsid w:val="00A8152F"/>
    <w:rsid w:val="00A82B78"/>
    <w:rsid w:val="00A82E6C"/>
    <w:rsid w:val="00A85E19"/>
    <w:rsid w:val="00A93F96"/>
    <w:rsid w:val="00A94D28"/>
    <w:rsid w:val="00A9783E"/>
    <w:rsid w:val="00AA0DBB"/>
    <w:rsid w:val="00AA4677"/>
    <w:rsid w:val="00AB0EFF"/>
    <w:rsid w:val="00AC778D"/>
    <w:rsid w:val="00AD0651"/>
    <w:rsid w:val="00AD28A9"/>
    <w:rsid w:val="00AD3D64"/>
    <w:rsid w:val="00AD6946"/>
    <w:rsid w:val="00AE0BE5"/>
    <w:rsid w:val="00AF0414"/>
    <w:rsid w:val="00AF357A"/>
    <w:rsid w:val="00AF4218"/>
    <w:rsid w:val="00AF4547"/>
    <w:rsid w:val="00AF4ABE"/>
    <w:rsid w:val="00B01802"/>
    <w:rsid w:val="00B03752"/>
    <w:rsid w:val="00B06A6B"/>
    <w:rsid w:val="00B07BFF"/>
    <w:rsid w:val="00B12944"/>
    <w:rsid w:val="00B15F6D"/>
    <w:rsid w:val="00B2584E"/>
    <w:rsid w:val="00B30A65"/>
    <w:rsid w:val="00B33851"/>
    <w:rsid w:val="00B36B24"/>
    <w:rsid w:val="00B40B39"/>
    <w:rsid w:val="00B46217"/>
    <w:rsid w:val="00B53014"/>
    <w:rsid w:val="00B54EE0"/>
    <w:rsid w:val="00B6071F"/>
    <w:rsid w:val="00B85673"/>
    <w:rsid w:val="00B85E5F"/>
    <w:rsid w:val="00B93F92"/>
    <w:rsid w:val="00B95D28"/>
    <w:rsid w:val="00B971AF"/>
    <w:rsid w:val="00BA2175"/>
    <w:rsid w:val="00BA6030"/>
    <w:rsid w:val="00BA638E"/>
    <w:rsid w:val="00BA73A5"/>
    <w:rsid w:val="00BB4C32"/>
    <w:rsid w:val="00BB507B"/>
    <w:rsid w:val="00BB7DB4"/>
    <w:rsid w:val="00BC244A"/>
    <w:rsid w:val="00BC4AED"/>
    <w:rsid w:val="00BC502F"/>
    <w:rsid w:val="00BC76F5"/>
    <w:rsid w:val="00BD20F9"/>
    <w:rsid w:val="00BE270A"/>
    <w:rsid w:val="00BE4E58"/>
    <w:rsid w:val="00BE6117"/>
    <w:rsid w:val="00BE62DD"/>
    <w:rsid w:val="00BE6D47"/>
    <w:rsid w:val="00BF2FF1"/>
    <w:rsid w:val="00BF6CA4"/>
    <w:rsid w:val="00C12A01"/>
    <w:rsid w:val="00C12B0C"/>
    <w:rsid w:val="00C14730"/>
    <w:rsid w:val="00C16755"/>
    <w:rsid w:val="00C22CF5"/>
    <w:rsid w:val="00C3377F"/>
    <w:rsid w:val="00C3492C"/>
    <w:rsid w:val="00C3714F"/>
    <w:rsid w:val="00C45ACA"/>
    <w:rsid w:val="00C51396"/>
    <w:rsid w:val="00C54544"/>
    <w:rsid w:val="00C625C0"/>
    <w:rsid w:val="00C721E0"/>
    <w:rsid w:val="00C759B3"/>
    <w:rsid w:val="00C75FD1"/>
    <w:rsid w:val="00C774AE"/>
    <w:rsid w:val="00C807FA"/>
    <w:rsid w:val="00C82434"/>
    <w:rsid w:val="00C83A82"/>
    <w:rsid w:val="00C84419"/>
    <w:rsid w:val="00C87E5E"/>
    <w:rsid w:val="00C90751"/>
    <w:rsid w:val="00C94F61"/>
    <w:rsid w:val="00C965D5"/>
    <w:rsid w:val="00CA10BB"/>
    <w:rsid w:val="00CA3D01"/>
    <w:rsid w:val="00CB6D83"/>
    <w:rsid w:val="00CC088C"/>
    <w:rsid w:val="00CC3063"/>
    <w:rsid w:val="00CC4908"/>
    <w:rsid w:val="00CC67B5"/>
    <w:rsid w:val="00CC71E5"/>
    <w:rsid w:val="00CE2D24"/>
    <w:rsid w:val="00CE47DE"/>
    <w:rsid w:val="00CE5839"/>
    <w:rsid w:val="00CF5319"/>
    <w:rsid w:val="00CF5E8F"/>
    <w:rsid w:val="00CF5EE3"/>
    <w:rsid w:val="00CF6387"/>
    <w:rsid w:val="00D1014B"/>
    <w:rsid w:val="00D1068D"/>
    <w:rsid w:val="00D218EB"/>
    <w:rsid w:val="00D27E51"/>
    <w:rsid w:val="00D33B67"/>
    <w:rsid w:val="00D42912"/>
    <w:rsid w:val="00D50717"/>
    <w:rsid w:val="00D51502"/>
    <w:rsid w:val="00D5357F"/>
    <w:rsid w:val="00D54D41"/>
    <w:rsid w:val="00D7224F"/>
    <w:rsid w:val="00D820D7"/>
    <w:rsid w:val="00D8517E"/>
    <w:rsid w:val="00D855D0"/>
    <w:rsid w:val="00D917BE"/>
    <w:rsid w:val="00D9693F"/>
    <w:rsid w:val="00DA356C"/>
    <w:rsid w:val="00DA6A5B"/>
    <w:rsid w:val="00DB0F98"/>
    <w:rsid w:val="00DB73C3"/>
    <w:rsid w:val="00DC33BB"/>
    <w:rsid w:val="00DC62B7"/>
    <w:rsid w:val="00DC6652"/>
    <w:rsid w:val="00DD32B1"/>
    <w:rsid w:val="00DD472D"/>
    <w:rsid w:val="00DD4993"/>
    <w:rsid w:val="00DD4CDF"/>
    <w:rsid w:val="00DE00B2"/>
    <w:rsid w:val="00DE1C04"/>
    <w:rsid w:val="00DE28F2"/>
    <w:rsid w:val="00DE5447"/>
    <w:rsid w:val="00DE57DA"/>
    <w:rsid w:val="00DF050E"/>
    <w:rsid w:val="00DF3445"/>
    <w:rsid w:val="00DF5F4F"/>
    <w:rsid w:val="00E00693"/>
    <w:rsid w:val="00E01275"/>
    <w:rsid w:val="00E01969"/>
    <w:rsid w:val="00E043A4"/>
    <w:rsid w:val="00E2024A"/>
    <w:rsid w:val="00E217E4"/>
    <w:rsid w:val="00E245A4"/>
    <w:rsid w:val="00E30158"/>
    <w:rsid w:val="00E31D82"/>
    <w:rsid w:val="00E348A5"/>
    <w:rsid w:val="00E3508D"/>
    <w:rsid w:val="00E404B0"/>
    <w:rsid w:val="00E43170"/>
    <w:rsid w:val="00E50DE1"/>
    <w:rsid w:val="00E52F0C"/>
    <w:rsid w:val="00E551FB"/>
    <w:rsid w:val="00E57C6C"/>
    <w:rsid w:val="00E57F88"/>
    <w:rsid w:val="00E62FC3"/>
    <w:rsid w:val="00E643AE"/>
    <w:rsid w:val="00E65B7E"/>
    <w:rsid w:val="00E7271E"/>
    <w:rsid w:val="00E747F3"/>
    <w:rsid w:val="00E8018A"/>
    <w:rsid w:val="00E8231B"/>
    <w:rsid w:val="00E87FEF"/>
    <w:rsid w:val="00E92C6F"/>
    <w:rsid w:val="00E93452"/>
    <w:rsid w:val="00E93ED6"/>
    <w:rsid w:val="00EA47D6"/>
    <w:rsid w:val="00EA7C6B"/>
    <w:rsid w:val="00EB0222"/>
    <w:rsid w:val="00EB4868"/>
    <w:rsid w:val="00EB4C0F"/>
    <w:rsid w:val="00EC372A"/>
    <w:rsid w:val="00EC75B3"/>
    <w:rsid w:val="00EC7F65"/>
    <w:rsid w:val="00ED02BD"/>
    <w:rsid w:val="00EE3DE2"/>
    <w:rsid w:val="00EE5B15"/>
    <w:rsid w:val="00EE6BB9"/>
    <w:rsid w:val="00EE6E10"/>
    <w:rsid w:val="00EF1548"/>
    <w:rsid w:val="00EF7F0A"/>
    <w:rsid w:val="00EF7FBC"/>
    <w:rsid w:val="00F00231"/>
    <w:rsid w:val="00F011AA"/>
    <w:rsid w:val="00F05B0D"/>
    <w:rsid w:val="00F068BC"/>
    <w:rsid w:val="00F06D56"/>
    <w:rsid w:val="00F10354"/>
    <w:rsid w:val="00F1218B"/>
    <w:rsid w:val="00F122C3"/>
    <w:rsid w:val="00F12C2A"/>
    <w:rsid w:val="00F13E41"/>
    <w:rsid w:val="00F1589D"/>
    <w:rsid w:val="00F16B88"/>
    <w:rsid w:val="00F224F0"/>
    <w:rsid w:val="00F3007B"/>
    <w:rsid w:val="00F3129E"/>
    <w:rsid w:val="00F378C8"/>
    <w:rsid w:val="00F37E20"/>
    <w:rsid w:val="00F50807"/>
    <w:rsid w:val="00F529AA"/>
    <w:rsid w:val="00F573B3"/>
    <w:rsid w:val="00F57DEE"/>
    <w:rsid w:val="00F61205"/>
    <w:rsid w:val="00F82DBC"/>
    <w:rsid w:val="00F84A56"/>
    <w:rsid w:val="00F97C80"/>
    <w:rsid w:val="00FA19DE"/>
    <w:rsid w:val="00FA2577"/>
    <w:rsid w:val="00FA4BE9"/>
    <w:rsid w:val="00FA6000"/>
    <w:rsid w:val="00FA6345"/>
    <w:rsid w:val="00FA7179"/>
    <w:rsid w:val="00FB2ADC"/>
    <w:rsid w:val="00FB541B"/>
    <w:rsid w:val="00FC1183"/>
    <w:rsid w:val="00FC5CC5"/>
    <w:rsid w:val="00FD25BA"/>
    <w:rsid w:val="00FD365E"/>
    <w:rsid w:val="00FE2C81"/>
    <w:rsid w:val="00FF081E"/>
    <w:rsid w:val="00FF0D71"/>
    <w:rsid w:val="00FF30F3"/>
    <w:rsid w:val="00FF41F1"/>
    <w:rsid w:val="00FF46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196C0"/>
  <w15:chartTrackingRefBased/>
  <w15:docId w15:val="{61F3E1C0-DF80-4920-8CA4-6FA1C1439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DE2"/>
    <w:pPr>
      <w:tabs>
        <w:tab w:val="left" w:pos="709"/>
      </w:tabs>
      <w:spacing w:after="0" w:line="240" w:lineRule="auto"/>
      <w:jc w:val="both"/>
    </w:pPr>
    <w:rPr>
      <w:rFonts w:ascii="Times New Roman" w:eastAsia="Times New Roman" w:hAnsi="Times New Roman" w:cs="Times New Roman"/>
      <w:kern w:val="0"/>
      <w:szCs w:val="20"/>
      <w:lang w:val="en-GB" w:eastAsia="en-US"/>
      <w14:ligatures w14:val="none"/>
    </w:rPr>
  </w:style>
  <w:style w:type="paragraph" w:styleId="Heading1">
    <w:name w:val="heading 1"/>
    <w:basedOn w:val="Normal"/>
    <w:next w:val="Normal"/>
    <w:link w:val="Heading1Char"/>
    <w:qFormat/>
    <w:rsid w:val="00EE3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3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3D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3D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3D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3D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D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D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D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3D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3D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3D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3D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3D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3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DE2"/>
    <w:rPr>
      <w:rFonts w:eastAsiaTheme="majorEastAsia" w:cstheme="majorBidi"/>
      <w:color w:val="272727" w:themeColor="text1" w:themeTint="D8"/>
    </w:rPr>
  </w:style>
  <w:style w:type="paragraph" w:styleId="Title">
    <w:name w:val="Title"/>
    <w:basedOn w:val="Normal"/>
    <w:next w:val="Normal"/>
    <w:link w:val="TitleChar"/>
    <w:uiPriority w:val="10"/>
    <w:qFormat/>
    <w:rsid w:val="00EE3D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D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DE2"/>
    <w:pPr>
      <w:spacing w:before="160"/>
      <w:jc w:val="center"/>
    </w:pPr>
    <w:rPr>
      <w:i/>
      <w:iCs/>
      <w:color w:val="404040" w:themeColor="text1" w:themeTint="BF"/>
    </w:rPr>
  </w:style>
  <w:style w:type="character" w:customStyle="1" w:styleId="QuoteChar">
    <w:name w:val="Quote Char"/>
    <w:basedOn w:val="DefaultParagraphFont"/>
    <w:link w:val="Quote"/>
    <w:uiPriority w:val="29"/>
    <w:rsid w:val="00EE3DE2"/>
    <w:rPr>
      <w:i/>
      <w:iCs/>
      <w:color w:val="404040" w:themeColor="text1" w:themeTint="BF"/>
    </w:rPr>
  </w:style>
  <w:style w:type="paragraph" w:styleId="ListParagraph">
    <w:name w:val="List Paragraph"/>
    <w:aliases w:val="ADB List Paragraph,Dot pt,List Paragraph Char Char Char,Indicator Text,Numbered Para 1,List Paragraph12,Bullet Points,MAIN CONTENT,Bullet 1,Light Grid - Accent 31,References,Indent Paragraph,stil3"/>
    <w:basedOn w:val="Normal"/>
    <w:link w:val="ListParagraphChar"/>
    <w:uiPriority w:val="34"/>
    <w:qFormat/>
    <w:rsid w:val="00EE3DE2"/>
    <w:pPr>
      <w:ind w:left="720"/>
      <w:contextualSpacing/>
    </w:pPr>
  </w:style>
  <w:style w:type="character" w:styleId="IntenseEmphasis">
    <w:name w:val="Intense Emphasis"/>
    <w:basedOn w:val="DefaultParagraphFont"/>
    <w:uiPriority w:val="21"/>
    <w:qFormat/>
    <w:rsid w:val="00EE3DE2"/>
    <w:rPr>
      <w:i/>
      <w:iCs/>
      <w:color w:val="0F4761" w:themeColor="accent1" w:themeShade="BF"/>
    </w:rPr>
  </w:style>
  <w:style w:type="paragraph" w:styleId="IntenseQuote">
    <w:name w:val="Intense Quote"/>
    <w:basedOn w:val="Normal"/>
    <w:next w:val="Normal"/>
    <w:link w:val="IntenseQuoteChar"/>
    <w:uiPriority w:val="30"/>
    <w:qFormat/>
    <w:rsid w:val="00EE3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3DE2"/>
    <w:rPr>
      <w:i/>
      <w:iCs/>
      <w:color w:val="0F4761" w:themeColor="accent1" w:themeShade="BF"/>
    </w:rPr>
  </w:style>
  <w:style w:type="character" w:styleId="IntenseReference">
    <w:name w:val="Intense Reference"/>
    <w:basedOn w:val="DefaultParagraphFont"/>
    <w:uiPriority w:val="32"/>
    <w:qFormat/>
    <w:rsid w:val="00EE3DE2"/>
    <w:rPr>
      <w:b/>
      <w:bCs/>
      <w:smallCaps/>
      <w:color w:val="0F4761" w:themeColor="accent1" w:themeShade="BF"/>
      <w:spacing w:val="5"/>
    </w:rPr>
  </w:style>
  <w:style w:type="paragraph" w:customStyle="1" w:styleId="b">
    <w:name w:val="(b)"/>
    <w:basedOn w:val="Normal"/>
    <w:rsid w:val="00EE3DE2"/>
    <w:pPr>
      <w:tabs>
        <w:tab w:val="clear" w:pos="709"/>
        <w:tab w:val="left" w:pos="-737"/>
        <w:tab w:val="left" w:pos="1134"/>
      </w:tabs>
      <w:snapToGrid w:val="0"/>
      <w:spacing w:after="240"/>
      <w:ind w:left="1134" w:hanging="567"/>
    </w:pPr>
    <w:rPr>
      <w:snapToGrid w:val="0"/>
      <w:szCs w:val="24"/>
    </w:rPr>
  </w:style>
  <w:style w:type="character" w:customStyle="1" w:styleId="ListParagraphChar">
    <w:name w:val="List Paragraph Char"/>
    <w:aliases w:val="ADB List Paragraph Char,Dot pt Char,List Paragraph Char Char Char Char,Indicator Text Char,Numbered Para 1 Char,List Paragraph12 Char,Bullet Points Char,MAIN CONTENT Char,Bullet 1 Char,Light Grid - Accent 31 Char,References Char"/>
    <w:link w:val="ListParagraph"/>
    <w:uiPriority w:val="34"/>
    <w:qFormat/>
    <w:locked/>
    <w:rsid w:val="00EE3DE2"/>
  </w:style>
  <w:style w:type="paragraph" w:styleId="Header">
    <w:name w:val="header"/>
    <w:basedOn w:val="Normal"/>
    <w:link w:val="HeaderChar"/>
    <w:uiPriority w:val="99"/>
    <w:unhideWhenUsed/>
    <w:rsid w:val="00CF5319"/>
    <w:pPr>
      <w:tabs>
        <w:tab w:val="clear" w:pos="709"/>
        <w:tab w:val="center" w:pos="4513"/>
        <w:tab w:val="right" w:pos="9026"/>
      </w:tabs>
    </w:pPr>
  </w:style>
  <w:style w:type="character" w:customStyle="1" w:styleId="HeaderChar">
    <w:name w:val="Header Char"/>
    <w:basedOn w:val="DefaultParagraphFont"/>
    <w:link w:val="Header"/>
    <w:uiPriority w:val="99"/>
    <w:rsid w:val="00CF5319"/>
    <w:rPr>
      <w:rFonts w:ascii="Times New Roman" w:eastAsia="Times New Roman" w:hAnsi="Times New Roman" w:cs="Times New Roman"/>
      <w:kern w:val="0"/>
      <w:szCs w:val="20"/>
      <w:lang w:val="en-GB" w:eastAsia="en-US"/>
      <w14:ligatures w14:val="none"/>
    </w:rPr>
  </w:style>
  <w:style w:type="paragraph" w:styleId="Footer">
    <w:name w:val="footer"/>
    <w:basedOn w:val="Normal"/>
    <w:link w:val="FooterChar"/>
    <w:uiPriority w:val="99"/>
    <w:unhideWhenUsed/>
    <w:rsid w:val="00CF5319"/>
    <w:pPr>
      <w:tabs>
        <w:tab w:val="clear" w:pos="709"/>
        <w:tab w:val="center" w:pos="4513"/>
        <w:tab w:val="right" w:pos="9026"/>
      </w:tabs>
    </w:pPr>
  </w:style>
  <w:style w:type="character" w:customStyle="1" w:styleId="FooterChar">
    <w:name w:val="Footer Char"/>
    <w:basedOn w:val="DefaultParagraphFont"/>
    <w:link w:val="Footer"/>
    <w:uiPriority w:val="99"/>
    <w:rsid w:val="00CF5319"/>
    <w:rPr>
      <w:rFonts w:ascii="Times New Roman" w:eastAsia="Times New Roman" w:hAnsi="Times New Roman" w:cs="Times New Roman"/>
      <w:kern w:val="0"/>
      <w:szCs w:val="20"/>
      <w:lang w:val="en-GB" w:eastAsia="en-US"/>
      <w14:ligatures w14:val="none"/>
    </w:rPr>
  </w:style>
  <w:style w:type="paragraph" w:styleId="Revision">
    <w:name w:val="Revision"/>
    <w:hidden/>
    <w:uiPriority w:val="99"/>
    <w:semiHidden/>
    <w:rsid w:val="00CF5319"/>
    <w:pPr>
      <w:spacing w:after="0" w:line="240" w:lineRule="auto"/>
    </w:pPr>
    <w:rPr>
      <w:rFonts w:ascii="Times New Roman" w:eastAsia="Times New Roman" w:hAnsi="Times New Roman" w:cs="Times New Roman"/>
      <w:kern w:val="0"/>
      <w:szCs w:val="20"/>
      <w:lang w:val="en-GB" w:eastAsia="en-US"/>
      <w14:ligatures w14:val="none"/>
    </w:rPr>
  </w:style>
  <w:style w:type="character" w:styleId="Hyperlink">
    <w:name w:val="Hyperlink"/>
    <w:basedOn w:val="DefaultParagraphFont"/>
    <w:uiPriority w:val="99"/>
    <w:semiHidden/>
    <w:unhideWhenUsed/>
    <w:rsid w:val="00FB541B"/>
    <w:rPr>
      <w:color w:val="0000FF"/>
      <w:u w:val="single"/>
    </w:rPr>
  </w:style>
  <w:style w:type="character" w:styleId="CommentReference">
    <w:name w:val="annotation reference"/>
    <w:basedOn w:val="DefaultParagraphFont"/>
    <w:uiPriority w:val="99"/>
    <w:semiHidden/>
    <w:unhideWhenUsed/>
    <w:rsid w:val="008C63D9"/>
    <w:rPr>
      <w:sz w:val="16"/>
      <w:szCs w:val="16"/>
    </w:rPr>
  </w:style>
  <w:style w:type="paragraph" w:styleId="CommentText">
    <w:name w:val="annotation text"/>
    <w:basedOn w:val="Normal"/>
    <w:link w:val="CommentTextChar"/>
    <w:uiPriority w:val="99"/>
    <w:unhideWhenUsed/>
    <w:rsid w:val="008C63D9"/>
    <w:rPr>
      <w:sz w:val="20"/>
    </w:rPr>
  </w:style>
  <w:style w:type="character" w:customStyle="1" w:styleId="CommentTextChar">
    <w:name w:val="Comment Text Char"/>
    <w:basedOn w:val="DefaultParagraphFont"/>
    <w:link w:val="CommentText"/>
    <w:uiPriority w:val="99"/>
    <w:rsid w:val="008C63D9"/>
    <w:rPr>
      <w:rFonts w:ascii="Times New Roman" w:eastAsia="Times New Roman" w:hAnsi="Times New Roman" w:cs="Times New Roman"/>
      <w:kern w:val="0"/>
      <w:sz w:val="20"/>
      <w:szCs w:val="20"/>
      <w:lang w:val="en-GB" w:eastAsia="en-US"/>
      <w14:ligatures w14:val="none"/>
    </w:rPr>
  </w:style>
  <w:style w:type="paragraph" w:styleId="CommentSubject">
    <w:name w:val="annotation subject"/>
    <w:basedOn w:val="CommentText"/>
    <w:next w:val="CommentText"/>
    <w:link w:val="CommentSubjectChar"/>
    <w:uiPriority w:val="99"/>
    <w:semiHidden/>
    <w:unhideWhenUsed/>
    <w:rsid w:val="008C63D9"/>
    <w:rPr>
      <w:b/>
      <w:bCs/>
    </w:rPr>
  </w:style>
  <w:style w:type="character" w:customStyle="1" w:styleId="CommentSubjectChar">
    <w:name w:val="Comment Subject Char"/>
    <w:basedOn w:val="CommentTextChar"/>
    <w:link w:val="CommentSubject"/>
    <w:uiPriority w:val="99"/>
    <w:semiHidden/>
    <w:rsid w:val="008C63D9"/>
    <w:rPr>
      <w:rFonts w:ascii="Times New Roman" w:eastAsia="Times New Roman" w:hAnsi="Times New Roman" w:cs="Times New Roman"/>
      <w:b/>
      <w:bCs/>
      <w:kern w:val="0"/>
      <w:sz w:val="20"/>
      <w:szCs w:val="20"/>
      <w:lang w:val="en-GB"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80856">
      <w:bodyDiv w:val="1"/>
      <w:marLeft w:val="0"/>
      <w:marRight w:val="0"/>
      <w:marTop w:val="0"/>
      <w:marBottom w:val="0"/>
      <w:divBdr>
        <w:top w:val="none" w:sz="0" w:space="0" w:color="auto"/>
        <w:left w:val="none" w:sz="0" w:space="0" w:color="auto"/>
        <w:bottom w:val="none" w:sz="0" w:space="0" w:color="auto"/>
        <w:right w:val="none" w:sz="0" w:space="0" w:color="auto"/>
      </w:divBdr>
    </w:div>
    <w:div w:id="1113282397">
      <w:bodyDiv w:val="1"/>
      <w:marLeft w:val="0"/>
      <w:marRight w:val="0"/>
      <w:marTop w:val="0"/>
      <w:marBottom w:val="0"/>
      <w:divBdr>
        <w:top w:val="none" w:sz="0" w:space="0" w:color="auto"/>
        <w:left w:val="none" w:sz="0" w:space="0" w:color="auto"/>
        <w:bottom w:val="none" w:sz="0" w:space="0" w:color="auto"/>
        <w:right w:val="none" w:sz="0" w:space="0" w:color="auto"/>
      </w:divBdr>
    </w:div>
    <w:div w:id="1160273369">
      <w:bodyDiv w:val="1"/>
      <w:marLeft w:val="0"/>
      <w:marRight w:val="0"/>
      <w:marTop w:val="0"/>
      <w:marBottom w:val="0"/>
      <w:divBdr>
        <w:top w:val="none" w:sz="0" w:space="0" w:color="auto"/>
        <w:left w:val="none" w:sz="0" w:space="0" w:color="auto"/>
        <w:bottom w:val="none" w:sz="0" w:space="0" w:color="auto"/>
        <w:right w:val="none" w:sz="0" w:space="0" w:color="auto"/>
      </w:divBdr>
    </w:div>
    <w:div w:id="1463305422">
      <w:bodyDiv w:val="1"/>
      <w:marLeft w:val="0"/>
      <w:marRight w:val="0"/>
      <w:marTop w:val="0"/>
      <w:marBottom w:val="0"/>
      <w:divBdr>
        <w:top w:val="none" w:sz="0" w:space="0" w:color="auto"/>
        <w:left w:val="none" w:sz="0" w:space="0" w:color="auto"/>
        <w:bottom w:val="none" w:sz="0" w:space="0" w:color="auto"/>
        <w:right w:val="none" w:sz="0" w:space="0" w:color="auto"/>
      </w:divBdr>
    </w:div>
    <w:div w:id="1630671897">
      <w:bodyDiv w:val="1"/>
      <w:marLeft w:val="0"/>
      <w:marRight w:val="0"/>
      <w:marTop w:val="0"/>
      <w:marBottom w:val="0"/>
      <w:divBdr>
        <w:top w:val="none" w:sz="0" w:space="0" w:color="auto"/>
        <w:left w:val="none" w:sz="0" w:space="0" w:color="auto"/>
        <w:bottom w:val="none" w:sz="0" w:space="0" w:color="auto"/>
        <w:right w:val="none" w:sz="0" w:space="0" w:color="auto"/>
      </w:divBdr>
    </w:div>
    <w:div w:id="1858763514">
      <w:bodyDiv w:val="1"/>
      <w:marLeft w:val="0"/>
      <w:marRight w:val="0"/>
      <w:marTop w:val="0"/>
      <w:marBottom w:val="0"/>
      <w:divBdr>
        <w:top w:val="none" w:sz="0" w:space="0" w:color="auto"/>
        <w:left w:val="none" w:sz="0" w:space="0" w:color="auto"/>
        <w:bottom w:val="none" w:sz="0" w:space="0" w:color="auto"/>
        <w:right w:val="none" w:sz="0" w:space="0" w:color="auto"/>
      </w:divBdr>
    </w:div>
    <w:div w:id="210615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c2f03b8-0213-4c72-a772-ef3d7143aa1c}" enabled="1" method="Privileged" siteId="{612e3f19-36e9-44c6-a7f0-9daa3a334fb9}" removed="0"/>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10</Pages>
  <Words>3321</Words>
  <Characters>18270</Characters>
  <Application>Microsoft Office Word</Application>
  <DocSecurity>4</DocSecurity>
  <Lines>152</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21548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Yvinec, Ksenia</dc:creator>
  <cp:keywords/>
  <dc:description/>
  <cp:lastModifiedBy>Boned, Patrice</cp:lastModifiedBy>
  <cp:revision>2</cp:revision>
  <cp:lastPrinted>2025-07-02T18:24:00Z</cp:lastPrinted>
  <dcterms:created xsi:type="dcterms:W3CDTF">2025-07-03T10:04:00Z</dcterms:created>
  <dcterms:modified xsi:type="dcterms:W3CDTF">2025-07-03T10:04:00Z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28e9b58a,25008101,5380a2ca</vt:lpwstr>
  </property>
  <property fmtid="{D5CDD505-2E9C-101B-9397-08002B2CF9AE}" pid="3" name="ClassificationContentMarkingHeaderFontProps">
    <vt:lpwstr>#000000,10,Calibri</vt:lpwstr>
  </property>
  <property fmtid="{D5CDD505-2E9C-101B-9397-08002B2CF9AE}" pid="4" name="ClassificationContentMarkingHeaderText">
    <vt:lpwstr>UNCLASSIFIED | NON CLASSIFIÉ</vt:lpwstr>
  </property>
</Properties>
</file>