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941"/>
      </w:tblGrid>
      <w:tr w:rsidR="00BC394C" w:rsidRPr="001137C0" w14:paraId="73E8AC93" w14:textId="77777777">
        <w:tc>
          <w:tcPr>
            <w:tcW w:w="6345" w:type="dxa"/>
          </w:tcPr>
          <w:p w14:paraId="2B6CAE22" w14:textId="77777777" w:rsidR="00BC394C" w:rsidRPr="001137C0" w:rsidRDefault="00BC394C" w:rsidP="001137C0">
            <w:pPr>
              <w:spacing w:after="240"/>
              <w:ind w:left="-105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1137C0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Распространяется по списку</w:t>
            </w:r>
          </w:p>
          <w:p w14:paraId="03611ED4" w14:textId="77777777" w:rsidR="00BC394C" w:rsidRPr="001137C0" w:rsidRDefault="00BC394C" w:rsidP="001137C0">
            <w:pPr>
              <w:spacing w:after="240"/>
              <w:ind w:left="-105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41" w:type="dxa"/>
          </w:tcPr>
          <w:p w14:paraId="3FE861A4" w14:textId="2FC3F6D4" w:rsidR="00BC394C" w:rsidRPr="001137C0" w:rsidRDefault="005002AE" w:rsidP="001137C0">
            <w:pPr>
              <w:tabs>
                <w:tab w:val="clear" w:pos="567"/>
              </w:tabs>
              <w:jc w:val="both"/>
              <w:rPr>
                <w:rFonts w:asciiTheme="minorBidi" w:hAnsiTheme="minorBidi" w:cstheme="minorBidi"/>
                <w:b/>
                <w:sz w:val="22"/>
                <w:szCs w:val="22"/>
                <w:lang w:val="ru-RU"/>
              </w:rPr>
            </w:pPr>
            <w:r w:rsidRPr="001137C0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ru-RU"/>
              </w:rPr>
              <w:t>IOC/A-33/DR.[3.3.1]</w:t>
            </w:r>
          </w:p>
          <w:p w14:paraId="50F69403" w14:textId="16D64567" w:rsidR="00BC394C" w:rsidRPr="001137C0" w:rsidRDefault="00BC394C" w:rsidP="001137C0">
            <w:pPr>
              <w:tabs>
                <w:tab w:val="clear" w:pos="567"/>
              </w:tabs>
              <w:jc w:val="both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1137C0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Париж, 2 ию</w:t>
            </w:r>
            <w:r w:rsidR="004749E6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л</w:t>
            </w:r>
            <w:r w:rsidRPr="001137C0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я 2025</w:t>
            </w:r>
            <w:r w:rsidR="00F4571C" w:rsidRPr="001137C0">
              <w:rPr>
                <w:rFonts w:asciiTheme="minorBidi" w:hAnsiTheme="minorBidi" w:cstheme="minorBidi"/>
                <w:color w:val="000000"/>
                <w:sz w:val="22"/>
                <w:szCs w:val="22"/>
                <w:lang w:val="en-US"/>
              </w:rPr>
              <w:t> </w:t>
            </w:r>
            <w:r w:rsidRPr="001137C0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г.</w:t>
            </w:r>
          </w:p>
          <w:p w14:paraId="1E992337" w14:textId="77777777" w:rsidR="00BC394C" w:rsidRPr="001137C0" w:rsidRDefault="00BC394C" w:rsidP="001137C0">
            <w:pPr>
              <w:tabs>
                <w:tab w:val="clear" w:pos="567"/>
              </w:tabs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1137C0">
              <w:rPr>
                <w:rFonts w:asciiTheme="minorBidi" w:hAnsiTheme="minorBidi" w:cstheme="minorBidi"/>
                <w:color w:val="000000"/>
                <w:sz w:val="22"/>
                <w:szCs w:val="22"/>
                <w:lang w:val="ru-RU"/>
              </w:rPr>
              <w:t>Оригинал: английский</w:t>
            </w:r>
          </w:p>
        </w:tc>
      </w:tr>
    </w:tbl>
    <w:p w14:paraId="40317B10" w14:textId="77777777" w:rsidR="00BC394C" w:rsidRPr="001137C0" w:rsidRDefault="00BC394C" w:rsidP="001137C0">
      <w:pPr>
        <w:spacing w:after="240"/>
        <w:jc w:val="both"/>
        <w:rPr>
          <w:rFonts w:asciiTheme="minorBidi" w:hAnsiTheme="minorBidi" w:cstheme="minorBidi"/>
          <w:sz w:val="22"/>
          <w:szCs w:val="22"/>
        </w:rPr>
      </w:pPr>
    </w:p>
    <w:p w14:paraId="454AF1CC" w14:textId="2DC9BF7D" w:rsidR="002C28A8" w:rsidRPr="001137C0" w:rsidRDefault="002C28A8" w:rsidP="001137C0">
      <w:pPr>
        <w:spacing w:after="240"/>
        <w:jc w:val="both"/>
        <w:rPr>
          <w:rFonts w:asciiTheme="minorBidi" w:eastAsia="Calibri" w:hAnsiTheme="minorBidi" w:cstheme="minorBidi"/>
          <w:b/>
          <w:sz w:val="22"/>
          <w:szCs w:val="22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ПРОЕКТ РЕЗОЛЮЦИИ A-33/DR.[3.3.1],</w:t>
      </w:r>
    </w:p>
    <w:p w14:paraId="05F0BDD2" w14:textId="2BDA49B5" w:rsidR="005533C7" w:rsidRPr="001137C0" w:rsidRDefault="002C28A8" w:rsidP="001137C0">
      <w:pPr>
        <w:spacing w:after="240"/>
        <w:jc w:val="both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t>представленный Гвинеей, Демократической Республикой Конго, Кенией, Коморскими Островами, Либерией, Намибией, Нигерией, Сенегалом, Того, Южной Африкой</w:t>
      </w:r>
    </w:p>
    <w:p w14:paraId="79019866" w14:textId="59F839AF" w:rsidR="004B1009" w:rsidRPr="001137C0" w:rsidRDefault="005533C7" w:rsidP="001137C0">
      <w:pPr>
        <w:spacing w:after="240"/>
        <w:rPr>
          <w:rStyle w:val="Heading2Char"/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Укрепление секретариата МОКАФРИКА: стратегическое условие развития </w:t>
      </w:r>
      <w:r w:rsidR="001137C0" w:rsidRPr="00390947">
        <w:rPr>
          <w:rFonts w:asciiTheme="minorBidi" w:hAnsiTheme="minorBidi" w:cstheme="minorBidi"/>
          <w:b/>
          <w:bCs/>
          <w:sz w:val="22"/>
          <w:szCs w:val="22"/>
          <w:lang w:val="ru-RU"/>
        </w:rPr>
        <w:br/>
      </w: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океан</w:t>
      </w:r>
      <w:r w:rsidR="00F4571C"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ографии</w:t>
      </w: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и управления в Африке и малых островных государствах</w:t>
      </w:r>
    </w:p>
    <w:p w14:paraId="4D408561" w14:textId="2840F1C5" w:rsidR="002C28A8" w:rsidRPr="001137C0" w:rsidRDefault="00252C0F" w:rsidP="001137C0">
      <w:pPr>
        <w:spacing w:after="240"/>
        <w:jc w:val="both"/>
        <w:rPr>
          <w:rFonts w:asciiTheme="minorBidi" w:hAnsiTheme="minorBidi" w:cstheme="minorBidi"/>
          <w:b/>
          <w:bCs/>
          <w:iCs/>
          <w:sz w:val="22"/>
          <w:szCs w:val="22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Межправительственная океанографическая комиссия,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2D4311E3" w14:textId="371B93A8" w:rsidR="00E17E7F" w:rsidRPr="001137C0" w:rsidRDefault="00E17E7F" w:rsidP="001137C0">
      <w:pPr>
        <w:pStyle w:val="NormalWeb"/>
        <w:numPr>
          <w:ilvl w:val="0"/>
          <w:numId w:val="7"/>
        </w:numPr>
        <w:spacing w:before="0" w:beforeAutospacing="0" w:after="240" w:afterAutospacing="0"/>
        <w:ind w:left="0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bookmarkStart w:id="0" w:name="_Hlk201915201"/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ссылаясь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на резолюцию 41 С/56 Генеральной конференции, решение 216 ЕХ/44 Исполнительного совета и резолюцию А-32/4 МОК,</w:t>
      </w:r>
    </w:p>
    <w:bookmarkEnd w:id="0"/>
    <w:p w14:paraId="2485AFDF" w14:textId="20124C38" w:rsidR="004A7CAE" w:rsidRPr="001137C0" w:rsidRDefault="00A94BC2" w:rsidP="001137C0">
      <w:pPr>
        <w:pStyle w:val="NormalWeb"/>
        <w:numPr>
          <w:ilvl w:val="0"/>
          <w:numId w:val="7"/>
        </w:numPr>
        <w:spacing w:before="0" w:beforeAutospacing="0" w:after="240" w:afterAutospacing="0"/>
        <w:ind w:left="0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признавая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стратегическое значение океана и прибрежных районов Африки для выполнения мандата Межправительственной океанографической комиссии (МОК), населения Африки и всего мира,</w:t>
      </w:r>
    </w:p>
    <w:p w14:paraId="1FA3AF13" w14:textId="1252F474" w:rsidR="004A7CAE" w:rsidRPr="001137C0" w:rsidRDefault="00A866AA" w:rsidP="001137C0">
      <w:pPr>
        <w:pStyle w:val="NormalWeb"/>
        <w:numPr>
          <w:ilvl w:val="0"/>
          <w:numId w:val="7"/>
        </w:numPr>
        <w:spacing w:before="0" w:beforeAutospacing="0" w:after="240" w:afterAutospacing="0"/>
        <w:ind w:left="0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напоминая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, что провозглашение Африки в качестве глобального приоритета ЮНЕСКО и дальнейшее выполнение обязательств в рамках Повестки-2030 и Повестки дня Африканского союза на период до 2063 г. обеспечивает рамочную основу для работы, тесно связанную с целями МОК в области справедливого и инклюзивного научного сотрудничества,</w:t>
      </w:r>
    </w:p>
    <w:p w14:paraId="774E843E" w14:textId="7A1A5D10" w:rsidR="00397F12" w:rsidRPr="001137C0" w:rsidRDefault="00A866AA" w:rsidP="001137C0">
      <w:pPr>
        <w:pStyle w:val="NormalWeb"/>
        <w:numPr>
          <w:ilvl w:val="0"/>
          <w:numId w:val="7"/>
        </w:numPr>
        <w:spacing w:before="0" w:beforeAutospacing="0" w:after="240" w:afterAutospacing="0"/>
        <w:ind w:left="0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напоминая также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о резолюциях IOC-XXIX/2 и IOC-XXXI/2, в соответствии с которыми Подкомиссия МОКАФРИКА была учреждена в качестве регионального вспомогательного органа, отвечающего за координацию работы в области морских наук, оказания услуг и развития потенциала в Африке и прилегающих островных государствах,</w:t>
      </w:r>
    </w:p>
    <w:p w14:paraId="33286F9F" w14:textId="76D56E45" w:rsidR="00360551" w:rsidRPr="001137C0" w:rsidRDefault="00A866AA" w:rsidP="001137C0">
      <w:pPr>
        <w:pStyle w:val="NormalWeb"/>
        <w:numPr>
          <w:ilvl w:val="0"/>
          <w:numId w:val="7"/>
        </w:numPr>
        <w:spacing w:before="0" w:beforeAutospacing="0" w:after="240" w:afterAutospacing="0"/>
        <w:ind w:left="0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признавая также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важнейшую роль МОКАФРИКА в содействии осуществлению среднесрочной стратегии МОК (2022-2029 гг.), Стратегии Африканского союза в области </w:t>
      </w:r>
      <w:r w:rsidR="001137C0" w:rsidRPr="001137C0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голубой</w:t>
      </w:r>
      <w:r w:rsidR="001137C0" w:rsidRPr="001137C0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экономики, Повестки-2063 и Десятилетия Организации Объединенных Наций, посвященного науке об океане в интересах устойчивого развития (2021-2030 гг.),</w:t>
      </w:r>
    </w:p>
    <w:p w14:paraId="51382C15" w14:textId="3D1E5334" w:rsidR="000D35C3" w:rsidRPr="001137C0" w:rsidRDefault="000D35C3" w:rsidP="001137C0">
      <w:pPr>
        <w:pStyle w:val="NormalWeb"/>
        <w:numPr>
          <w:ilvl w:val="0"/>
          <w:numId w:val="7"/>
        </w:numPr>
        <w:spacing w:before="0" w:beforeAutospacing="0" w:after="240" w:afterAutospacing="0"/>
        <w:ind w:left="0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подтверждая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, что морские и прибрежные зоны Африки и прилегающих островных государств имеют жизненно важное значение для глобального биоразнообразия, продовольственной безопасности, защиты средств к существованию и экономического развития, но при этом остаются недостаточно представленными в океанографических исследованиях, системах данных и структурах управления,</w:t>
      </w:r>
    </w:p>
    <w:p w14:paraId="4578FE35" w14:textId="4F6AB5C6" w:rsidR="00397F12" w:rsidRPr="001137C0" w:rsidRDefault="00360551" w:rsidP="001137C0">
      <w:pPr>
        <w:pStyle w:val="NormalWeb"/>
        <w:numPr>
          <w:ilvl w:val="0"/>
          <w:numId w:val="7"/>
        </w:numPr>
        <w:spacing w:before="0" w:beforeAutospacing="0" w:after="240" w:afterAutospacing="0"/>
        <w:ind w:left="0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напоминая далее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, что МОКАФРИКА стала фундаментальным компонентом проведения в Африке и прилегающих островных государствах Десятилетия ООН, посвященного науке об океане в интересах устойчивого развития, а также является главным механизмом, обеспечивающим выполнение мандата МОК на африканском континенте и в прилегающих островных государствах,</w:t>
      </w:r>
    </w:p>
    <w:p w14:paraId="1166D33D" w14:textId="4BCC5C7F" w:rsidR="004A7CAE" w:rsidRPr="001137C0" w:rsidRDefault="004A7CAE" w:rsidP="001137C0">
      <w:pPr>
        <w:pStyle w:val="NormalWeb"/>
        <w:numPr>
          <w:ilvl w:val="0"/>
          <w:numId w:val="7"/>
        </w:numPr>
        <w:spacing w:before="0" w:beforeAutospacing="0" w:after="240" w:afterAutospacing="0"/>
        <w:ind w:left="0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подчеркивая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необходимость укрепления МОК программной поддержки, институционального потенциала и представительства африканских и прилегающих островных государств-членов для обеспечения их всестороннего и активного участия в формировании глобальной политики в сфере океана и программ научных исследований,</w:t>
      </w:r>
    </w:p>
    <w:p w14:paraId="5346A004" w14:textId="7A055FBB" w:rsidR="00397F12" w:rsidRPr="001137C0" w:rsidRDefault="00360551" w:rsidP="001137C0">
      <w:pPr>
        <w:pStyle w:val="NormalWeb"/>
        <w:numPr>
          <w:ilvl w:val="0"/>
          <w:numId w:val="7"/>
        </w:numPr>
        <w:spacing w:before="0" w:beforeAutospacing="0" w:after="240" w:afterAutospacing="0"/>
        <w:ind w:left="0" w:hanging="567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подчеркивая также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, что предоставление секретариату МОКАФРИКА надлежащих ресурсов и его стратегическое позиционирование необходимо для обеспечения справедливого участия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lastRenderedPageBreak/>
        <w:t>и ведущей роли Африки и прилегающих островных государств в глобальном управлении в сфере океана, научном сотрудничестве и политическом диалоге,</w:t>
      </w:r>
    </w:p>
    <w:p w14:paraId="440735FF" w14:textId="3B3682D8" w:rsidR="00574B99" w:rsidRPr="001137C0" w:rsidRDefault="00E679DD" w:rsidP="001137C0">
      <w:pPr>
        <w:pStyle w:val="NormalWeb"/>
        <w:numPr>
          <w:ilvl w:val="0"/>
          <w:numId w:val="7"/>
        </w:numPr>
        <w:spacing w:before="0" w:beforeAutospacing="0" w:after="240" w:afterAutospacing="0"/>
        <w:ind w:left="0" w:hanging="567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отмечая с удовлетворением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растущий объем проектов, осуществляемых под руководством африканских и прилегающих островных государств, а также расширение региональных партнерских связей и международного сотрудничества при содействии МОКАФРИКА, что свидетельствует как об актуальности, так и об эффективности работы ее секретариата,</w:t>
      </w:r>
    </w:p>
    <w:p w14:paraId="6ED7B9DF" w14:textId="1F77BCC7" w:rsidR="00397F12" w:rsidRPr="001137C0" w:rsidRDefault="00BA7FAD" w:rsidP="001137C0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отмечая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рост обязанностей МОКАФРИКА по координации осуществления плана действий по проведению Десятилетия океана в Африке (документ IOC/2022/ODS/36 Rev.2), региональных систем раннего оповещения, инфраструктуры океанографических данных и информации, а также инициатив по развитию потенциала в более чем 35 прибрежных и островных государствах Африки,</w:t>
      </w:r>
    </w:p>
    <w:p w14:paraId="268C7435" w14:textId="7C6CC076" w:rsidR="009E1F6C" w:rsidRPr="001137C0" w:rsidRDefault="00A866AA" w:rsidP="001137C0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признавая далее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, что Секретариат МОКАФРИКА параллельно со своей работой выполняет функции бюро по координации Десятилетия океана в Африке и прилегающих островных государствах и таким образом взял на себя двойные обязанности, которые выходят далеко за рамки развития потенциала и включают стратегическую координацию, осуществление программы, техническую поддержку и взаимодействие с заинтересованными сторонами на африканском континенте,</w:t>
      </w:r>
    </w:p>
    <w:p w14:paraId="6677E116" w14:textId="73206CD2" w:rsidR="004B1009" w:rsidRPr="001137C0" w:rsidRDefault="00BA7FAD" w:rsidP="001137C0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отмечая также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, что государства-члены подчеркнули необходимость сохранения Африки в качестве бюджетного приоритета при составлении программ МОК в ходе обсуждений на сессиях Ассамблеи и Исполнительного совета МОК, сессиях МОКАФРИКА, заседаниях межсессионной финансовой консультативной группы открытого состава (МФКГ) и комитета МОК по финансовым вопросам, и высказывали аналогичную обеспокоенность в отношении недостаточного финансирования региональных вспомогательных органов МОК,</w:t>
      </w:r>
    </w:p>
    <w:p w14:paraId="3B93DECB" w14:textId="57C71924" w:rsidR="00A267F1" w:rsidRPr="001137C0" w:rsidRDefault="00182D16" w:rsidP="001137C0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отмечая с признательностью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, что с июля 2025 г. в штатное расписание будет включена вторая должность категории специалистов, финансируемая по линии обычной программы, и </w:t>
      </w: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отмечая</w:t>
      </w:r>
      <w:r w:rsidR="00F4571C"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далее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, что ни одна должность категории общих служб или другие крайне необходимые должности в настоящее время не финансируются за счет ассигнований из обычного бюджета,</w:t>
      </w:r>
    </w:p>
    <w:p w14:paraId="6695B1C6" w14:textId="3D6CFE7B" w:rsidR="00A267F1" w:rsidRPr="001137C0" w:rsidRDefault="00A267F1" w:rsidP="001137C0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признавая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, что административная и оперативная поддержка обеспечивается за счет поддержки в натуральной форме со стороны правительства Кении путем прикомандирования сотрудников и совместных договоренностей с бюро по координации Десятилетия для африканского океана,</w:t>
      </w:r>
    </w:p>
    <w:p w14:paraId="5C0EBAB7" w14:textId="196B81A3" w:rsidR="00DD049A" w:rsidRPr="001137C0" w:rsidRDefault="00B90E4D" w:rsidP="001137C0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принимая к сведению с большой обеспокоенностью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информацию о временном замораживании бюджетных ассигнований и мероприятий МОКАФРИКИ в рамках действующих в настоящее время в ЮНЕСКО мер ответственного управления и </w:t>
      </w: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признавая также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негативное воздействие таких мер на непрерывное осуществление программы и региональную поддержку,</w:t>
      </w:r>
    </w:p>
    <w:p w14:paraId="6C9F4B86" w14:textId="0C1C677A" w:rsidR="00061735" w:rsidRPr="001137C0" w:rsidRDefault="00061735" w:rsidP="007829DE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отмечая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необходимость укрепления кадрового состава Секретариата МОКАФРИКА путем укрепления группы специалистов старшего звена, обладающих соответствующей квалификацией и надлежащим опытом в целях формирования необходимого потенциала для осуществления технической программы, привлечения средств и работы с донорами, информационно-разъяснительной работы и взаимодействия с партнерами, а также для выполнения ряда оперативных и административных функций,</w:t>
      </w:r>
    </w:p>
    <w:p w14:paraId="36028184" w14:textId="16F6B99A" w:rsidR="00807CA8" w:rsidRPr="001137C0" w:rsidRDefault="00807CA8" w:rsidP="007829DE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просит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Исполнительного секретаря МОК подготовить аналитический документ с указанием расходов для различных сценариев оптимального кадрового обеспечения секретариатов региональных подкомиссий в будущем для обеспечения эффективного выполнения программы в соответствии с документом IOC/INF-1412 </w:t>
      </w:r>
      <w:r w:rsidR="007829DE" w:rsidRPr="007829DE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Среднесрочная стратегия МОК на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lastRenderedPageBreak/>
        <w:t>2022-2029 гг.</w:t>
      </w:r>
      <w:r w:rsidR="007829DE" w:rsidRPr="007829DE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и глобальным приоритетом Организации </w:t>
      </w:r>
      <w:r w:rsidR="007829DE" w:rsidRPr="007829DE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Африка</w:t>
      </w:r>
      <w:r w:rsidR="007829DE" w:rsidRPr="007829DE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и приоритетной группой МОСРГ, а также с учетом рекомендаций среднесрочной оценки Десятилетия океана и результатов процесса консультаций по теме </w:t>
      </w:r>
      <w:r w:rsidR="007829DE" w:rsidRPr="007829DE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МОК и будущее Мирового океана</w:t>
      </w:r>
      <w:r w:rsidR="007829DE" w:rsidRPr="007829DE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и представить этот аналитический документ Исполнительному совету на его 59-й сессии;</w:t>
      </w:r>
    </w:p>
    <w:p w14:paraId="2E0B01A8" w14:textId="4E044AC7" w:rsidR="004D6A2C" w:rsidRPr="001137C0" w:rsidRDefault="00A866AA" w:rsidP="001137C0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просит также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Исполнительного секретаря МОК изучить возможности:</w:t>
      </w:r>
    </w:p>
    <w:p w14:paraId="5950DBFA" w14:textId="0359F875" w:rsidR="0092035F" w:rsidRPr="001137C0" w:rsidRDefault="0092035F" w:rsidP="001137C0">
      <w:pPr>
        <w:pStyle w:val="ListParagraph"/>
        <w:numPr>
          <w:ilvl w:val="0"/>
          <w:numId w:val="10"/>
        </w:numPr>
        <w:tabs>
          <w:tab w:val="clear" w:pos="567"/>
        </w:tabs>
        <w:snapToGrid/>
        <w:spacing w:after="240"/>
        <w:ind w:left="567" w:hanging="567"/>
        <w:contextualSpacing w:val="0"/>
        <w:jc w:val="both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t>официального включения должностей сотрудников категории общих служб в обычный бюджет секретариата МОКАФРИКА;</w:t>
      </w:r>
    </w:p>
    <w:p w14:paraId="56469868" w14:textId="692EC72D" w:rsidR="0092035F" w:rsidRPr="001137C0" w:rsidRDefault="00E52DB2" w:rsidP="001137C0">
      <w:pPr>
        <w:pStyle w:val="ListParagraph"/>
        <w:numPr>
          <w:ilvl w:val="0"/>
          <w:numId w:val="10"/>
        </w:numPr>
        <w:tabs>
          <w:tab w:val="clear" w:pos="567"/>
        </w:tabs>
        <w:snapToGrid/>
        <w:spacing w:after="240"/>
        <w:ind w:left="567" w:hanging="567"/>
        <w:contextualSpacing w:val="0"/>
        <w:jc w:val="both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t>привлечения дополнительных ресурсов, включая внебюджетное финансирование и механизмы совместного финансирования, а также налаживания партнерских связей в области кадровых ресурсов для поддержки основных штатных должностей;</w:t>
      </w:r>
    </w:p>
    <w:p w14:paraId="40F76661" w14:textId="429BFA7D" w:rsidR="00DD049A" w:rsidRPr="001137C0" w:rsidRDefault="00E52DB2" w:rsidP="001137C0">
      <w:pPr>
        <w:pStyle w:val="ListParagraph"/>
        <w:numPr>
          <w:ilvl w:val="0"/>
          <w:numId w:val="10"/>
        </w:numPr>
        <w:tabs>
          <w:tab w:val="clear" w:pos="567"/>
        </w:tabs>
        <w:snapToGrid/>
        <w:spacing w:after="240"/>
        <w:ind w:left="567" w:hanging="567"/>
        <w:contextualSpacing w:val="0"/>
        <w:jc w:val="both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обеспечения оптимального финансирования практического функционирования секретариата и программных мероприятий; </w:t>
      </w:r>
    </w:p>
    <w:p w14:paraId="202A852E" w14:textId="6871D4A7" w:rsidR="00E52DB2" w:rsidRPr="001137C0" w:rsidRDefault="00E52DB2" w:rsidP="001137C0">
      <w:pPr>
        <w:pStyle w:val="ListParagraph"/>
        <w:numPr>
          <w:ilvl w:val="0"/>
          <w:numId w:val="10"/>
        </w:numPr>
        <w:tabs>
          <w:tab w:val="clear" w:pos="567"/>
        </w:tabs>
        <w:snapToGrid/>
        <w:spacing w:after="240"/>
        <w:ind w:left="567" w:hanging="567"/>
        <w:contextualSpacing w:val="0"/>
        <w:jc w:val="both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обеспечения приоритетного характера оперативного бюджета Секретариата МОКАФРИКА во всех бюджетных сценариях в соответствии со статусом Африки в качестве глобального приоритета ЮНЕСКО; </w:t>
      </w:r>
    </w:p>
    <w:p w14:paraId="6D45F5DE" w14:textId="272F447B" w:rsidR="004D6A2C" w:rsidRPr="001137C0" w:rsidRDefault="004D6A2C" w:rsidP="002F07F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eastAsiaTheme="minorEastAsia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настоятельно призывает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государства</w:t>
      </w:r>
      <w:r w:rsidR="002F07F4" w:rsidRPr="002F07F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2F07F4">
        <w:rPr>
          <w:rFonts w:asciiTheme="minorBidi" w:hAnsiTheme="minorBidi" w:cstheme="minorBidi"/>
          <w:sz w:val="22"/>
          <w:szCs w:val="22"/>
          <w:lang w:val="ru-RU"/>
        </w:rPr>
        <w:t>–</w:t>
      </w:r>
      <w:r w:rsidR="002F07F4" w:rsidRPr="002F07F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члены МОК, особенно государства</w:t>
      </w:r>
      <w:r w:rsidR="002F07F4" w:rsidRPr="002F07F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2F07F4">
        <w:rPr>
          <w:rFonts w:asciiTheme="minorBidi" w:hAnsiTheme="minorBidi" w:cstheme="minorBidi"/>
          <w:sz w:val="22"/>
          <w:szCs w:val="22"/>
          <w:lang w:val="ru-RU"/>
        </w:rPr>
        <w:t>–</w:t>
      </w:r>
      <w:r w:rsidR="002F07F4" w:rsidRPr="002F07F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члены МОКАФРИКА, увеличить свою поддержку МОКАФРИКА в форме добровольных взносов и взносов в натуральной форме, включая прикомандирование и направление технических и административных сотрудников, а также финансовые взносы, предназначенные для укрепления Секретариата;</w:t>
      </w:r>
    </w:p>
    <w:p w14:paraId="1BE707F9" w14:textId="75C22EAA" w:rsidR="00733A53" w:rsidRPr="001137C0" w:rsidRDefault="002E03E9" w:rsidP="001137C0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поощряет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укрепление сотрудничества со стратегическими партнерами, региональными экономическими сообществами и агентствами по вопросам развития в целях создания совместно финансируемых должностей технической и программной поддержки;</w:t>
      </w:r>
    </w:p>
    <w:p w14:paraId="71080706" w14:textId="3585185C" w:rsidR="007F4DC0" w:rsidRPr="001137C0" w:rsidRDefault="007F4DC0" w:rsidP="001137C0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признавая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важность формирования стабильной финансовой базы, позволяющей МОКАФРИКА эффективно выполнять свой двойной мандат в качестве регионального координационного механизма МОК и бюро по координации Десятилетия в африканском океане,</w:t>
      </w:r>
    </w:p>
    <w:p w14:paraId="59092DB3" w14:textId="63B7B4D6" w:rsidR="008871E8" w:rsidRPr="001137C0" w:rsidRDefault="00C17960" w:rsidP="001137C0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>просит далее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 Исполнительного секретаря МОК в консультации с должностными лицами МОКАФРИКА рассмотреть:</w:t>
      </w:r>
    </w:p>
    <w:p w14:paraId="00899A7F" w14:textId="07A12BAF" w:rsidR="008871E8" w:rsidRPr="001137C0" w:rsidRDefault="007F4DC0" w:rsidP="001137C0">
      <w:pPr>
        <w:pStyle w:val="ListParagraph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t xml:space="preserve">возможность подготовки предложения о создании Специального фонда поддержки МОКАФРИКА в рамках специального счета МОК, которое будет представлено Исполнительному совету МОК на его 59-й сессии; </w:t>
      </w:r>
    </w:p>
    <w:p w14:paraId="5C0265FE" w14:textId="5EBD6D42" w:rsidR="007F4DC0" w:rsidRPr="001137C0" w:rsidRDefault="007F4DC0" w:rsidP="001137C0">
      <w:pPr>
        <w:pStyle w:val="ListParagraph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sz w:val="22"/>
          <w:szCs w:val="22"/>
          <w:lang w:val="ru-RU"/>
        </w:rPr>
        <w:t>возможности, предоставляемые статьей 10.4 Устава Комиссии, в частности создание финансовых механизмов специального назначения или механизмов совместного покрытия расходов с государствами-членами, являющимися донорами, и представить соответствующее предложение Ассамблее МОК на ее 34-й сессии;</w:t>
      </w:r>
    </w:p>
    <w:p w14:paraId="332781AA" w14:textId="6384EC84" w:rsidR="0052525E" w:rsidRPr="001137C0" w:rsidRDefault="00361A7F" w:rsidP="002F07F4">
      <w:pPr>
        <w:pStyle w:val="ListParagraph"/>
        <w:numPr>
          <w:ilvl w:val="0"/>
          <w:numId w:val="7"/>
        </w:numPr>
        <w:tabs>
          <w:tab w:val="clear" w:pos="567"/>
        </w:tabs>
        <w:spacing w:after="240"/>
        <w:ind w:left="0" w:hanging="567"/>
        <w:contextualSpacing w:val="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1137C0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призывает </w:t>
      </w:r>
      <w:r w:rsidRPr="001137C0">
        <w:rPr>
          <w:rFonts w:asciiTheme="minorBidi" w:hAnsiTheme="minorBidi" w:cstheme="minorBidi"/>
          <w:sz w:val="22"/>
          <w:szCs w:val="22"/>
          <w:lang w:val="ru-RU"/>
        </w:rPr>
        <w:t>подразделения ЮНЕСКО на местах и центры категории 2 в Африке согласовать свои рамочные структуры технического сотрудничества с приоритетами и кадровыми потребностями МОКАФРИКА, создавая, где это возможно, условия для объединения технической помощи;</w:t>
      </w:r>
    </w:p>
    <w:p w14:paraId="16CD1F15" w14:textId="3A156203" w:rsidR="004749E6" w:rsidRPr="004749E6" w:rsidRDefault="004749E6" w:rsidP="002F07F4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A3685">
        <w:rPr>
          <w:rFonts w:asciiTheme="minorBidi" w:hAnsiTheme="minorBidi" w:cstheme="minorBidi"/>
          <w:b/>
          <w:bCs/>
          <w:sz w:val="22"/>
          <w:szCs w:val="22"/>
          <w:lang w:val="ru-RU"/>
        </w:rPr>
        <w:t>напоминая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о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провозглашении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Африки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глобальным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приоритетом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ЮНЕСКО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и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решении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о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сохранении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доли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ассигнований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МОК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из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общего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обычного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бюджета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ЮНЕСКО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на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уровне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не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менее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3%</w:t>
      </w:r>
      <w:r>
        <w:rPr>
          <w:rFonts w:asciiTheme="minorBidi" w:hAnsiTheme="minorBidi" w:cstheme="minorBidi"/>
          <w:sz w:val="22"/>
          <w:szCs w:val="22"/>
          <w:lang w:val="ru-RU"/>
        </w:rPr>
        <w:t>,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принятом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государствами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>-</w:t>
      </w:r>
      <w:r>
        <w:rPr>
          <w:rFonts w:asciiTheme="minorBidi" w:hAnsiTheme="minorBidi" w:cstheme="minorBidi"/>
          <w:sz w:val="22"/>
          <w:szCs w:val="22"/>
          <w:lang w:val="ru-RU"/>
        </w:rPr>
        <w:t>членами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 </w:t>
      </w:r>
      <w:r>
        <w:rPr>
          <w:rFonts w:asciiTheme="minorBidi" w:hAnsiTheme="minorBidi" w:cstheme="minorBidi"/>
          <w:sz w:val="22"/>
          <w:szCs w:val="22"/>
          <w:lang w:val="ru-RU"/>
        </w:rPr>
        <w:t>на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216-</w:t>
      </w:r>
      <w:r>
        <w:rPr>
          <w:rFonts w:asciiTheme="minorBidi" w:hAnsiTheme="minorBidi" w:cstheme="minorBidi"/>
          <w:sz w:val="22"/>
          <w:szCs w:val="22"/>
          <w:lang w:val="ru-RU"/>
        </w:rPr>
        <w:t>й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сессии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Исполнительного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совета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lastRenderedPageBreak/>
        <w:t>ЮНЕСКО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и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одобренном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Генеральной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конференцией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ЮНЕСКО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в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резолюции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об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ассигнованиях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по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>
        <w:rPr>
          <w:rFonts w:asciiTheme="minorBidi" w:hAnsiTheme="minorBidi" w:cstheme="minorBidi"/>
          <w:sz w:val="22"/>
          <w:szCs w:val="22"/>
          <w:lang w:val="ru-RU"/>
        </w:rPr>
        <w:t>документу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42 </w:t>
      </w:r>
      <w:r>
        <w:rPr>
          <w:rFonts w:asciiTheme="minorBidi" w:hAnsiTheme="minorBidi" w:cstheme="minorBidi"/>
          <w:sz w:val="22"/>
          <w:szCs w:val="22"/>
          <w:lang w:val="ru-RU"/>
        </w:rPr>
        <w:t>С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>/5,</w:t>
      </w:r>
    </w:p>
    <w:p w14:paraId="27348657" w14:textId="3C65F09C" w:rsidR="005D56A6" w:rsidRPr="008A3685" w:rsidRDefault="004749E6" w:rsidP="008A3685">
      <w:pPr>
        <w:pStyle w:val="ListParagraph"/>
        <w:numPr>
          <w:ilvl w:val="0"/>
          <w:numId w:val="7"/>
        </w:numPr>
        <w:spacing w:after="240"/>
        <w:ind w:left="0" w:hanging="567"/>
        <w:contextualSpacing w:val="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8A3685">
        <w:rPr>
          <w:rFonts w:asciiTheme="minorBidi" w:hAnsiTheme="minorBidi" w:cstheme="minorBidi"/>
          <w:b/>
          <w:bCs/>
          <w:sz w:val="22"/>
          <w:szCs w:val="22"/>
          <w:lang w:val="ru-RU"/>
        </w:rPr>
        <w:t>настоятельно призывает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Генерального директора ЮНЕСКО безотлагательно принять управленческие меры для </w:t>
      </w:r>
      <w:r>
        <w:rPr>
          <w:rFonts w:asciiTheme="minorBidi" w:hAnsiTheme="minorBidi" w:cstheme="minorBidi"/>
          <w:sz w:val="22"/>
          <w:szCs w:val="22"/>
          <w:lang w:val="ru-RU"/>
        </w:rPr>
        <w:t xml:space="preserve">высвобождения 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средств, необходимых для завершения </w:t>
      </w:r>
      <w:r w:rsidR="00FC7BDB">
        <w:rPr>
          <w:rFonts w:asciiTheme="minorBidi" w:hAnsiTheme="minorBidi" w:cstheme="minorBidi"/>
          <w:sz w:val="22"/>
          <w:szCs w:val="22"/>
          <w:lang w:val="ru-RU"/>
        </w:rPr>
        <w:t xml:space="preserve">работы по 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>утвержденны</w:t>
      </w:r>
      <w:r w:rsidR="00FC7BDB">
        <w:rPr>
          <w:rFonts w:asciiTheme="minorBidi" w:hAnsiTheme="minorBidi" w:cstheme="minorBidi"/>
          <w:sz w:val="22"/>
          <w:szCs w:val="22"/>
          <w:lang w:val="ru-RU"/>
        </w:rPr>
        <w:t>м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мероприяти</w:t>
      </w:r>
      <w:r w:rsidR="00FC7BDB">
        <w:rPr>
          <w:rFonts w:asciiTheme="minorBidi" w:hAnsiTheme="minorBidi" w:cstheme="minorBidi"/>
          <w:sz w:val="22"/>
          <w:szCs w:val="22"/>
          <w:lang w:val="ru-RU"/>
        </w:rPr>
        <w:t>ям</w:t>
      </w:r>
      <w:r w:rsidRPr="004749E6">
        <w:rPr>
          <w:rFonts w:asciiTheme="minorBidi" w:hAnsiTheme="minorBidi" w:cstheme="minorBidi"/>
          <w:sz w:val="22"/>
          <w:szCs w:val="22"/>
          <w:lang w:val="ru-RU"/>
        </w:rPr>
        <w:t xml:space="preserve"> МОКАФРИКА в последней части двухлетнего периода 2024-2025 гг. </w:t>
      </w:r>
    </w:p>
    <w:sectPr w:rsidR="005D56A6" w:rsidRPr="008A3685" w:rsidSect="001137C0">
      <w:headerReference w:type="even" r:id="rId8"/>
      <w:headerReference w:type="default" r:id="rId9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A9C4" w14:textId="77777777" w:rsidR="003C16B0" w:rsidRDefault="003C16B0" w:rsidP="0073078E">
      <w:r>
        <w:separator/>
      </w:r>
    </w:p>
  </w:endnote>
  <w:endnote w:type="continuationSeparator" w:id="0">
    <w:p w14:paraId="58354DA1" w14:textId="77777777" w:rsidR="003C16B0" w:rsidRDefault="003C16B0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AAF7" w14:textId="77777777" w:rsidR="003C16B0" w:rsidRDefault="003C16B0" w:rsidP="0073078E">
      <w:r>
        <w:separator/>
      </w:r>
    </w:p>
  </w:footnote>
  <w:footnote w:type="continuationSeparator" w:id="0">
    <w:p w14:paraId="2A0F03A0" w14:textId="77777777" w:rsidR="003C16B0" w:rsidRDefault="003C16B0" w:rsidP="007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C89D" w14:textId="1031A342" w:rsidR="00751574" w:rsidRPr="002F07F4" w:rsidRDefault="00231E87" w:rsidP="002F07F4">
    <w:pPr>
      <w:pStyle w:val="Header"/>
      <w:rPr>
        <w:rFonts w:asciiTheme="minorBidi" w:hAnsiTheme="minorBidi" w:cstheme="minorBidi"/>
        <w:bCs/>
        <w:sz w:val="22"/>
        <w:szCs w:val="22"/>
        <w:lang w:val="fr-FR"/>
      </w:rPr>
    </w:pPr>
    <w:r w:rsidRPr="002F07F4">
      <w:rPr>
        <w:rFonts w:asciiTheme="minorBidi" w:hAnsiTheme="minorBidi" w:cstheme="minorBidi"/>
        <w:sz w:val="22"/>
        <w:szCs w:val="22"/>
        <w:lang w:val="ru-RU"/>
      </w:rPr>
      <w:t>IOC-33/</w:t>
    </w:r>
    <w:r w:rsidRPr="002F07F4">
      <w:rPr>
        <w:rFonts w:asciiTheme="minorBidi" w:hAnsiTheme="minorBidi" w:cstheme="minorBidi"/>
        <w:sz w:val="22"/>
        <w:szCs w:val="22"/>
        <w:lang w:val="ru-RU"/>
      </w:rPr>
      <w:t>DR.[3.3.1]</w:t>
    </w:r>
    <w:r w:rsidR="002F07F4" w:rsidRPr="002F07F4">
      <w:rPr>
        <w:rFonts w:asciiTheme="minorBidi" w:hAnsiTheme="minorBidi" w:cstheme="minorBidi"/>
        <w:sz w:val="22"/>
        <w:szCs w:val="22"/>
        <w:lang w:val="en-US"/>
      </w:rPr>
      <w:t xml:space="preserve"> – </w:t>
    </w:r>
    <w:r w:rsidR="0073078E" w:rsidRPr="002F07F4">
      <w:rPr>
        <w:rFonts w:asciiTheme="minorBidi" w:hAnsiTheme="minorBidi" w:cstheme="minorBidi"/>
        <w:bCs/>
        <w:sz w:val="22"/>
        <w:szCs w:val="22"/>
        <w:lang w:val="fr-FR"/>
      </w:rPr>
      <w:t xml:space="preserve">page </w:t>
    </w:r>
    <w:r w:rsidR="00DC168C" w:rsidRPr="002F07F4">
      <w:rPr>
        <w:rFonts w:asciiTheme="minorBidi" w:hAnsiTheme="minorBidi" w:cstheme="minorBidi"/>
        <w:bCs/>
        <w:sz w:val="22"/>
        <w:szCs w:val="22"/>
        <w:lang w:val="fr-FR"/>
      </w:rPr>
      <w:fldChar w:fldCharType="begin"/>
    </w:r>
    <w:r w:rsidR="00DC168C" w:rsidRPr="002F07F4">
      <w:rPr>
        <w:rFonts w:asciiTheme="minorBidi" w:hAnsiTheme="minorBidi" w:cstheme="minorBidi"/>
        <w:bCs/>
        <w:sz w:val="22"/>
        <w:szCs w:val="22"/>
        <w:lang w:val="fr-FR"/>
      </w:rPr>
      <w:instrText xml:space="preserve"> PAGE   \* MERGEFORMAT </w:instrText>
    </w:r>
    <w:r w:rsidR="00DC168C" w:rsidRPr="002F07F4">
      <w:rPr>
        <w:rFonts w:asciiTheme="minorBidi" w:hAnsiTheme="minorBidi" w:cstheme="minorBidi"/>
        <w:bCs/>
        <w:sz w:val="22"/>
        <w:szCs w:val="22"/>
        <w:lang w:val="fr-FR"/>
      </w:rPr>
      <w:fldChar w:fldCharType="separate"/>
    </w:r>
    <w:r w:rsidR="00397F12" w:rsidRPr="002F07F4">
      <w:rPr>
        <w:rFonts w:asciiTheme="minorBidi" w:hAnsiTheme="minorBidi" w:cstheme="minorBidi"/>
        <w:bCs/>
        <w:noProof/>
        <w:sz w:val="22"/>
        <w:szCs w:val="22"/>
        <w:lang w:val="fr-FR"/>
      </w:rPr>
      <w:t>4</w:t>
    </w:r>
    <w:r w:rsidR="00DC168C" w:rsidRPr="002F07F4">
      <w:rPr>
        <w:rFonts w:asciiTheme="minorBidi" w:hAnsiTheme="minorBidi" w:cstheme="minorBidi"/>
        <w:bCs/>
        <w:noProof/>
        <w:sz w:val="22"/>
        <w:szCs w:val="22"/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8E59" w14:textId="49AC77A3" w:rsidR="00751574" w:rsidRPr="002F07F4" w:rsidRDefault="002F07F4" w:rsidP="002F07F4">
    <w:pPr>
      <w:pStyle w:val="Header"/>
      <w:jc w:val="right"/>
      <w:rPr>
        <w:rFonts w:asciiTheme="minorBidi" w:hAnsiTheme="minorBidi" w:cstheme="minorBidi"/>
        <w:bCs/>
        <w:sz w:val="22"/>
        <w:szCs w:val="22"/>
        <w:lang w:val="fr-FR"/>
      </w:rPr>
    </w:pPr>
    <w:r w:rsidRPr="002F07F4">
      <w:rPr>
        <w:rFonts w:asciiTheme="minorBidi" w:hAnsiTheme="minorBidi" w:cstheme="minorBidi"/>
        <w:sz w:val="22"/>
        <w:szCs w:val="22"/>
        <w:lang w:val="ru-RU"/>
      </w:rPr>
      <w:t>IOC-33/</w:t>
    </w:r>
    <w:r w:rsidRPr="002F07F4">
      <w:rPr>
        <w:rFonts w:asciiTheme="minorBidi" w:hAnsiTheme="minorBidi" w:cstheme="minorBidi"/>
        <w:sz w:val="22"/>
        <w:szCs w:val="22"/>
        <w:lang w:val="ru-RU"/>
      </w:rPr>
      <w:t>DR.[3.3.1]</w:t>
    </w:r>
    <w:r w:rsidRPr="002F07F4">
      <w:rPr>
        <w:rFonts w:asciiTheme="minorBidi" w:hAnsiTheme="minorBidi" w:cstheme="minorBidi"/>
        <w:sz w:val="22"/>
        <w:szCs w:val="22"/>
        <w:lang w:val="en-US"/>
      </w:rPr>
      <w:t xml:space="preserve"> – </w:t>
    </w:r>
    <w:r w:rsidRPr="002F07F4">
      <w:rPr>
        <w:rFonts w:asciiTheme="minorBidi" w:hAnsiTheme="minorBidi" w:cstheme="minorBidi"/>
        <w:bCs/>
        <w:sz w:val="22"/>
        <w:szCs w:val="22"/>
        <w:lang w:val="fr-FR"/>
      </w:rPr>
      <w:t xml:space="preserve">page </w:t>
    </w:r>
    <w:r w:rsidRPr="002F07F4">
      <w:rPr>
        <w:rFonts w:asciiTheme="minorBidi" w:hAnsiTheme="minorBidi" w:cstheme="minorBidi"/>
        <w:bCs/>
        <w:sz w:val="22"/>
        <w:szCs w:val="22"/>
        <w:lang w:val="fr-FR"/>
      </w:rPr>
      <w:fldChar w:fldCharType="begin"/>
    </w:r>
    <w:r w:rsidRPr="002F07F4">
      <w:rPr>
        <w:rFonts w:asciiTheme="minorBidi" w:hAnsiTheme="minorBidi" w:cstheme="minorBidi"/>
        <w:bCs/>
        <w:sz w:val="22"/>
        <w:szCs w:val="22"/>
        <w:lang w:val="fr-FR"/>
      </w:rPr>
      <w:instrText xml:space="preserve"> PAGE   \* MERGEFORMAT </w:instrText>
    </w:r>
    <w:r w:rsidRPr="002F07F4">
      <w:rPr>
        <w:rFonts w:asciiTheme="minorBidi" w:hAnsiTheme="minorBidi" w:cstheme="minorBidi"/>
        <w:bCs/>
        <w:sz w:val="22"/>
        <w:szCs w:val="22"/>
        <w:lang w:val="fr-FR"/>
      </w:rPr>
      <w:fldChar w:fldCharType="separate"/>
    </w:r>
    <w:r>
      <w:rPr>
        <w:rFonts w:asciiTheme="minorBidi" w:hAnsiTheme="minorBidi"/>
        <w:bCs/>
        <w:sz w:val="22"/>
        <w:szCs w:val="22"/>
      </w:rPr>
      <w:t>2</w:t>
    </w:r>
    <w:r w:rsidRPr="002F07F4">
      <w:rPr>
        <w:rFonts w:asciiTheme="minorBidi" w:hAnsiTheme="minorBidi" w:cstheme="minorBidi"/>
        <w:bCs/>
        <w:noProof/>
        <w:sz w:val="22"/>
        <w:szCs w:val="22"/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6437A2"/>
    <w:multiLevelType w:val="hybridMultilevel"/>
    <w:tmpl w:val="E3F82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D2F43"/>
    <w:multiLevelType w:val="hybridMultilevel"/>
    <w:tmpl w:val="7B26EED4"/>
    <w:lvl w:ilvl="0" w:tplc="1700C858">
      <w:start w:val="1"/>
      <w:numFmt w:val="lowerRoman"/>
      <w:lvlText w:val="%1)"/>
      <w:lvlJc w:val="left"/>
      <w:pPr>
        <w:ind w:left="72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C66605E"/>
    <w:multiLevelType w:val="hybridMultilevel"/>
    <w:tmpl w:val="5A76F010"/>
    <w:lvl w:ilvl="0" w:tplc="454CD878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CBF20D8"/>
    <w:multiLevelType w:val="hybridMultilevel"/>
    <w:tmpl w:val="6972A358"/>
    <w:lvl w:ilvl="0" w:tplc="8B98BED4">
      <w:start w:val="1"/>
      <w:numFmt w:val="upperRoman"/>
      <w:lvlText w:val="%1."/>
      <w:lvlJc w:val="left"/>
      <w:pPr>
        <w:ind w:left="72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59B7"/>
    <w:multiLevelType w:val="hybridMultilevel"/>
    <w:tmpl w:val="8736BA4C"/>
    <w:lvl w:ilvl="0" w:tplc="AAEC8A8C">
      <w:start w:val="1"/>
      <w:numFmt w:val="lowerRoman"/>
      <w:lvlText w:val="%1)"/>
      <w:lvlJc w:val="left"/>
      <w:pPr>
        <w:ind w:left="873" w:hanging="72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33" w:hanging="360"/>
      </w:pPr>
    </w:lvl>
    <w:lvl w:ilvl="2" w:tplc="040C001B" w:tentative="1">
      <w:start w:val="1"/>
      <w:numFmt w:val="lowerRoman"/>
      <w:lvlText w:val="%3."/>
      <w:lvlJc w:val="right"/>
      <w:pPr>
        <w:ind w:left="1953" w:hanging="180"/>
      </w:pPr>
    </w:lvl>
    <w:lvl w:ilvl="3" w:tplc="040C000F" w:tentative="1">
      <w:start w:val="1"/>
      <w:numFmt w:val="decimal"/>
      <w:lvlText w:val="%4."/>
      <w:lvlJc w:val="left"/>
      <w:pPr>
        <w:ind w:left="2673" w:hanging="360"/>
      </w:pPr>
    </w:lvl>
    <w:lvl w:ilvl="4" w:tplc="040C0019" w:tentative="1">
      <w:start w:val="1"/>
      <w:numFmt w:val="lowerLetter"/>
      <w:lvlText w:val="%5."/>
      <w:lvlJc w:val="left"/>
      <w:pPr>
        <w:ind w:left="3393" w:hanging="360"/>
      </w:pPr>
    </w:lvl>
    <w:lvl w:ilvl="5" w:tplc="040C001B" w:tentative="1">
      <w:start w:val="1"/>
      <w:numFmt w:val="lowerRoman"/>
      <w:lvlText w:val="%6."/>
      <w:lvlJc w:val="right"/>
      <w:pPr>
        <w:ind w:left="4113" w:hanging="180"/>
      </w:pPr>
    </w:lvl>
    <w:lvl w:ilvl="6" w:tplc="040C000F" w:tentative="1">
      <w:start w:val="1"/>
      <w:numFmt w:val="decimal"/>
      <w:lvlText w:val="%7."/>
      <w:lvlJc w:val="left"/>
      <w:pPr>
        <w:ind w:left="4833" w:hanging="360"/>
      </w:pPr>
    </w:lvl>
    <w:lvl w:ilvl="7" w:tplc="040C0019" w:tentative="1">
      <w:start w:val="1"/>
      <w:numFmt w:val="lowerLetter"/>
      <w:lvlText w:val="%8."/>
      <w:lvlJc w:val="left"/>
      <w:pPr>
        <w:ind w:left="5553" w:hanging="360"/>
      </w:pPr>
    </w:lvl>
    <w:lvl w:ilvl="8" w:tplc="040C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3C426100"/>
    <w:multiLevelType w:val="hybridMultilevel"/>
    <w:tmpl w:val="6C14D09E"/>
    <w:lvl w:ilvl="0" w:tplc="FFFFFFFF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429475A6"/>
    <w:multiLevelType w:val="hybridMultilevel"/>
    <w:tmpl w:val="F3BE6406"/>
    <w:lvl w:ilvl="0" w:tplc="6D68BCE4">
      <w:start w:val="1"/>
      <w:numFmt w:val="lowerRoman"/>
      <w:lvlText w:val="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9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D1D01"/>
    <w:multiLevelType w:val="hybridMultilevel"/>
    <w:tmpl w:val="43FC94BA"/>
    <w:lvl w:ilvl="0" w:tplc="D1728D3A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A077E"/>
    <w:multiLevelType w:val="hybridMultilevel"/>
    <w:tmpl w:val="D9345BD0"/>
    <w:lvl w:ilvl="0" w:tplc="90AC98C0">
      <w:start w:val="1"/>
      <w:numFmt w:val="lowerRoman"/>
      <w:lvlText w:val="(%1)"/>
      <w:lvlJc w:val="left"/>
      <w:pPr>
        <w:ind w:left="159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3" w15:restartNumberingAfterBreak="0">
    <w:nsid w:val="52BF3846"/>
    <w:multiLevelType w:val="hybridMultilevel"/>
    <w:tmpl w:val="A6F46BCA"/>
    <w:lvl w:ilvl="0" w:tplc="0950C40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91846286">
    <w:abstractNumId w:val="11"/>
  </w:num>
  <w:num w:numId="2" w16cid:durableId="2034111246">
    <w:abstractNumId w:val="14"/>
  </w:num>
  <w:num w:numId="3" w16cid:durableId="1369715812">
    <w:abstractNumId w:val="0"/>
  </w:num>
  <w:num w:numId="4" w16cid:durableId="1910117983">
    <w:abstractNumId w:val="5"/>
  </w:num>
  <w:num w:numId="5" w16cid:durableId="450707388">
    <w:abstractNumId w:val="9"/>
  </w:num>
  <w:num w:numId="6" w16cid:durableId="1716541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8155905">
    <w:abstractNumId w:val="3"/>
  </w:num>
  <w:num w:numId="8" w16cid:durableId="663246826">
    <w:abstractNumId w:val="15"/>
  </w:num>
  <w:num w:numId="9" w16cid:durableId="661743285">
    <w:abstractNumId w:val="4"/>
  </w:num>
  <w:num w:numId="10" w16cid:durableId="1387794734">
    <w:abstractNumId w:val="13"/>
  </w:num>
  <w:num w:numId="11" w16cid:durableId="1338002809">
    <w:abstractNumId w:val="2"/>
  </w:num>
  <w:num w:numId="12" w16cid:durableId="1527060483">
    <w:abstractNumId w:val="1"/>
  </w:num>
  <w:num w:numId="13" w16cid:durableId="1929461373">
    <w:abstractNumId w:val="10"/>
  </w:num>
  <w:num w:numId="14" w16cid:durableId="255404126">
    <w:abstractNumId w:val="7"/>
  </w:num>
  <w:num w:numId="15" w16cid:durableId="1967273215">
    <w:abstractNumId w:val="6"/>
  </w:num>
  <w:num w:numId="16" w16cid:durableId="1420173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zh-CN" w:vendorID="64" w:dllVersion="0" w:nlCheck="1" w:checkStyle="1"/>
  <w:activeWritingStyle w:appName="MSWord" w:lang="ru-RU" w:vendorID="64" w:dllVersion="0" w:nlCheck="1" w:checkStyle="0"/>
  <w:proofState w:spelling="clean" w:grammar="clean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6D"/>
    <w:rsid w:val="00033DD2"/>
    <w:rsid w:val="00052B5A"/>
    <w:rsid w:val="00061735"/>
    <w:rsid w:val="00067B5F"/>
    <w:rsid w:val="000A0070"/>
    <w:rsid w:val="000A29CD"/>
    <w:rsid w:val="000A3C01"/>
    <w:rsid w:val="000B314C"/>
    <w:rsid w:val="000B377E"/>
    <w:rsid w:val="000D0C6F"/>
    <w:rsid w:val="000D312B"/>
    <w:rsid w:val="000D35C3"/>
    <w:rsid w:val="000D4EDB"/>
    <w:rsid w:val="000E3A32"/>
    <w:rsid w:val="000E6B8F"/>
    <w:rsid w:val="00104463"/>
    <w:rsid w:val="001105FE"/>
    <w:rsid w:val="00112CC0"/>
    <w:rsid w:val="001137C0"/>
    <w:rsid w:val="0011490A"/>
    <w:rsid w:val="00130704"/>
    <w:rsid w:val="00130FBD"/>
    <w:rsid w:val="00135422"/>
    <w:rsid w:val="00156031"/>
    <w:rsid w:val="00157FCD"/>
    <w:rsid w:val="001718C4"/>
    <w:rsid w:val="00182D16"/>
    <w:rsid w:val="00183205"/>
    <w:rsid w:val="00185EA1"/>
    <w:rsid w:val="00185F80"/>
    <w:rsid w:val="00187E6C"/>
    <w:rsid w:val="001916E4"/>
    <w:rsid w:val="001A1199"/>
    <w:rsid w:val="001E3923"/>
    <w:rsid w:val="001E4EA6"/>
    <w:rsid w:val="001F064E"/>
    <w:rsid w:val="001F199F"/>
    <w:rsid w:val="001F3D2C"/>
    <w:rsid w:val="00205DCB"/>
    <w:rsid w:val="002066D1"/>
    <w:rsid w:val="00230B63"/>
    <w:rsid w:val="00231E87"/>
    <w:rsid w:val="00237A3F"/>
    <w:rsid w:val="00252C0F"/>
    <w:rsid w:val="00271D0B"/>
    <w:rsid w:val="00276749"/>
    <w:rsid w:val="00283D29"/>
    <w:rsid w:val="00292E37"/>
    <w:rsid w:val="00297B99"/>
    <w:rsid w:val="002A5A2E"/>
    <w:rsid w:val="002B0C6F"/>
    <w:rsid w:val="002C28A8"/>
    <w:rsid w:val="002C505E"/>
    <w:rsid w:val="002D0C14"/>
    <w:rsid w:val="002D6E25"/>
    <w:rsid w:val="002E03E9"/>
    <w:rsid w:val="002E41A7"/>
    <w:rsid w:val="002F07F4"/>
    <w:rsid w:val="002F22D2"/>
    <w:rsid w:val="002F5EF5"/>
    <w:rsid w:val="00302C61"/>
    <w:rsid w:val="00311005"/>
    <w:rsid w:val="003336D2"/>
    <w:rsid w:val="00360551"/>
    <w:rsid w:val="00361A7F"/>
    <w:rsid w:val="0038787F"/>
    <w:rsid w:val="00390947"/>
    <w:rsid w:val="00396BE3"/>
    <w:rsid w:val="00397F12"/>
    <w:rsid w:val="003A13BA"/>
    <w:rsid w:val="003A3132"/>
    <w:rsid w:val="003A770C"/>
    <w:rsid w:val="003B2914"/>
    <w:rsid w:val="003C1033"/>
    <w:rsid w:val="003C16B0"/>
    <w:rsid w:val="003C28D9"/>
    <w:rsid w:val="003C3575"/>
    <w:rsid w:val="003C6064"/>
    <w:rsid w:val="00413BC8"/>
    <w:rsid w:val="00416789"/>
    <w:rsid w:val="004373DA"/>
    <w:rsid w:val="00450D22"/>
    <w:rsid w:val="00454349"/>
    <w:rsid w:val="00457E71"/>
    <w:rsid w:val="00460755"/>
    <w:rsid w:val="004749E6"/>
    <w:rsid w:val="004810F4"/>
    <w:rsid w:val="004900DC"/>
    <w:rsid w:val="0049169A"/>
    <w:rsid w:val="00494C9A"/>
    <w:rsid w:val="004A4311"/>
    <w:rsid w:val="004A7CAE"/>
    <w:rsid w:val="004B1009"/>
    <w:rsid w:val="004D6A2C"/>
    <w:rsid w:val="004F0700"/>
    <w:rsid w:val="004F46DE"/>
    <w:rsid w:val="004F59BF"/>
    <w:rsid w:val="005002AE"/>
    <w:rsid w:val="0050224F"/>
    <w:rsid w:val="005039BF"/>
    <w:rsid w:val="0051682A"/>
    <w:rsid w:val="00523EB5"/>
    <w:rsid w:val="0052525E"/>
    <w:rsid w:val="00545B24"/>
    <w:rsid w:val="005533C7"/>
    <w:rsid w:val="00574B99"/>
    <w:rsid w:val="00575373"/>
    <w:rsid w:val="00582E0E"/>
    <w:rsid w:val="0058380E"/>
    <w:rsid w:val="005B33AB"/>
    <w:rsid w:val="005B3C25"/>
    <w:rsid w:val="005C3114"/>
    <w:rsid w:val="005C3138"/>
    <w:rsid w:val="005D56A6"/>
    <w:rsid w:val="005E3B34"/>
    <w:rsid w:val="005E6386"/>
    <w:rsid w:val="006051FA"/>
    <w:rsid w:val="006057C7"/>
    <w:rsid w:val="006146B3"/>
    <w:rsid w:val="00621A35"/>
    <w:rsid w:val="00630B82"/>
    <w:rsid w:val="00637E65"/>
    <w:rsid w:val="00681F73"/>
    <w:rsid w:val="00684C62"/>
    <w:rsid w:val="006906F7"/>
    <w:rsid w:val="00696F63"/>
    <w:rsid w:val="006B2C31"/>
    <w:rsid w:val="006D4CD7"/>
    <w:rsid w:val="006D76FD"/>
    <w:rsid w:val="006E5381"/>
    <w:rsid w:val="006F2AFB"/>
    <w:rsid w:val="00716A98"/>
    <w:rsid w:val="00721A29"/>
    <w:rsid w:val="0073078E"/>
    <w:rsid w:val="00733A53"/>
    <w:rsid w:val="007350B4"/>
    <w:rsid w:val="007353C1"/>
    <w:rsid w:val="0073685D"/>
    <w:rsid w:val="00751574"/>
    <w:rsid w:val="00764F6E"/>
    <w:rsid w:val="007829DE"/>
    <w:rsid w:val="007A423A"/>
    <w:rsid w:val="007D3460"/>
    <w:rsid w:val="007E2A6D"/>
    <w:rsid w:val="007E2D31"/>
    <w:rsid w:val="007F4DC0"/>
    <w:rsid w:val="00807CA8"/>
    <w:rsid w:val="00825241"/>
    <w:rsid w:val="00827259"/>
    <w:rsid w:val="00844556"/>
    <w:rsid w:val="00856C2C"/>
    <w:rsid w:val="00857749"/>
    <w:rsid w:val="008871E8"/>
    <w:rsid w:val="00891A95"/>
    <w:rsid w:val="008A3665"/>
    <w:rsid w:val="008A3685"/>
    <w:rsid w:val="008B69B4"/>
    <w:rsid w:val="008B6AA0"/>
    <w:rsid w:val="008D77DB"/>
    <w:rsid w:val="008E03E6"/>
    <w:rsid w:val="008F68DC"/>
    <w:rsid w:val="009049D4"/>
    <w:rsid w:val="0092035F"/>
    <w:rsid w:val="009371D8"/>
    <w:rsid w:val="00947577"/>
    <w:rsid w:val="00957CC5"/>
    <w:rsid w:val="00971C83"/>
    <w:rsid w:val="009820EB"/>
    <w:rsid w:val="00984EB6"/>
    <w:rsid w:val="00992E9D"/>
    <w:rsid w:val="009B4714"/>
    <w:rsid w:val="009B7B94"/>
    <w:rsid w:val="009C4402"/>
    <w:rsid w:val="009D068C"/>
    <w:rsid w:val="009E1F6C"/>
    <w:rsid w:val="009F7E71"/>
    <w:rsid w:val="00A01DAE"/>
    <w:rsid w:val="00A267F1"/>
    <w:rsid w:val="00A271D2"/>
    <w:rsid w:val="00A458E4"/>
    <w:rsid w:val="00A50A2B"/>
    <w:rsid w:val="00A6250E"/>
    <w:rsid w:val="00A7066A"/>
    <w:rsid w:val="00A72D8D"/>
    <w:rsid w:val="00A80C6B"/>
    <w:rsid w:val="00A866AA"/>
    <w:rsid w:val="00A94BC2"/>
    <w:rsid w:val="00AC1B19"/>
    <w:rsid w:val="00AF2865"/>
    <w:rsid w:val="00AF47F9"/>
    <w:rsid w:val="00B03CAA"/>
    <w:rsid w:val="00B06D09"/>
    <w:rsid w:val="00B11D93"/>
    <w:rsid w:val="00B15066"/>
    <w:rsid w:val="00B206AF"/>
    <w:rsid w:val="00B2159F"/>
    <w:rsid w:val="00B501B6"/>
    <w:rsid w:val="00B636EE"/>
    <w:rsid w:val="00B70C61"/>
    <w:rsid w:val="00B90E4D"/>
    <w:rsid w:val="00BA7FAD"/>
    <w:rsid w:val="00BB175E"/>
    <w:rsid w:val="00BB35BB"/>
    <w:rsid w:val="00BC394C"/>
    <w:rsid w:val="00BC46DF"/>
    <w:rsid w:val="00BC4EC3"/>
    <w:rsid w:val="00BD60D4"/>
    <w:rsid w:val="00BE3096"/>
    <w:rsid w:val="00C143AE"/>
    <w:rsid w:val="00C16EAA"/>
    <w:rsid w:val="00C17960"/>
    <w:rsid w:val="00C31575"/>
    <w:rsid w:val="00C63E45"/>
    <w:rsid w:val="00C674F9"/>
    <w:rsid w:val="00C72FF1"/>
    <w:rsid w:val="00C81BBE"/>
    <w:rsid w:val="00C94407"/>
    <w:rsid w:val="00C964DA"/>
    <w:rsid w:val="00CA4E58"/>
    <w:rsid w:val="00CB100B"/>
    <w:rsid w:val="00CC3161"/>
    <w:rsid w:val="00CC71E5"/>
    <w:rsid w:val="00CE56BD"/>
    <w:rsid w:val="00D0146F"/>
    <w:rsid w:val="00D04B3D"/>
    <w:rsid w:val="00D060C1"/>
    <w:rsid w:val="00D268CA"/>
    <w:rsid w:val="00D275A8"/>
    <w:rsid w:val="00D31E7B"/>
    <w:rsid w:val="00D46D6A"/>
    <w:rsid w:val="00D61245"/>
    <w:rsid w:val="00D77373"/>
    <w:rsid w:val="00D81C6F"/>
    <w:rsid w:val="00D94742"/>
    <w:rsid w:val="00DB552E"/>
    <w:rsid w:val="00DC0DA4"/>
    <w:rsid w:val="00DC168C"/>
    <w:rsid w:val="00DD049A"/>
    <w:rsid w:val="00DD3E05"/>
    <w:rsid w:val="00DD7428"/>
    <w:rsid w:val="00DE18E8"/>
    <w:rsid w:val="00DF483F"/>
    <w:rsid w:val="00E0532A"/>
    <w:rsid w:val="00E065D5"/>
    <w:rsid w:val="00E11E30"/>
    <w:rsid w:val="00E17E7F"/>
    <w:rsid w:val="00E279D9"/>
    <w:rsid w:val="00E315BC"/>
    <w:rsid w:val="00E43149"/>
    <w:rsid w:val="00E50EA9"/>
    <w:rsid w:val="00E5236D"/>
    <w:rsid w:val="00E52DB2"/>
    <w:rsid w:val="00E6318B"/>
    <w:rsid w:val="00E66C0A"/>
    <w:rsid w:val="00E679DD"/>
    <w:rsid w:val="00E74967"/>
    <w:rsid w:val="00E90DFA"/>
    <w:rsid w:val="00E92003"/>
    <w:rsid w:val="00EA5B3D"/>
    <w:rsid w:val="00EB57B7"/>
    <w:rsid w:val="00EF710D"/>
    <w:rsid w:val="00F205A6"/>
    <w:rsid w:val="00F2071E"/>
    <w:rsid w:val="00F235C4"/>
    <w:rsid w:val="00F33149"/>
    <w:rsid w:val="00F34EC0"/>
    <w:rsid w:val="00F36C85"/>
    <w:rsid w:val="00F4571C"/>
    <w:rsid w:val="00F5309B"/>
    <w:rsid w:val="00F625AE"/>
    <w:rsid w:val="00F66E45"/>
    <w:rsid w:val="00F731F2"/>
    <w:rsid w:val="00F837FD"/>
    <w:rsid w:val="00F8714C"/>
    <w:rsid w:val="00F901AC"/>
    <w:rsid w:val="00F97EE6"/>
    <w:rsid w:val="00FA056D"/>
    <w:rsid w:val="00FC7BDB"/>
    <w:rsid w:val="00FD65C9"/>
    <w:rsid w:val="00FF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7A67F2"/>
  <w15:docId w15:val="{FDB65319-D660-4881-8ECC-6D63E30C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A8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4B1009"/>
    <w:pPr>
      <w:tabs>
        <w:tab w:val="num" w:pos="360"/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53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33C7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75A8"/>
    <w:rPr>
      <w:rFonts w:ascii="Times New Roman" w:eastAsia="Times New Roman" w:hAnsi="Times New Roman" w:cs="Times New Roman"/>
      <w:b/>
      <w:bCs/>
      <w:snapToGrid w:val="0"/>
      <w:kern w:val="44"/>
      <w:sz w:val="44"/>
      <w:szCs w:val="44"/>
      <w:lang w:val="en-GB" w:eastAsia="en-US"/>
    </w:rPr>
  </w:style>
  <w:style w:type="paragraph" w:styleId="NormalWeb">
    <w:name w:val="Normal (Web)"/>
    <w:basedOn w:val="Normal"/>
    <w:uiPriority w:val="99"/>
    <w:unhideWhenUsed/>
    <w:rsid w:val="00A94BC2"/>
    <w:pPr>
      <w:tabs>
        <w:tab w:val="clear" w:pos="567"/>
      </w:tabs>
      <w:snapToGrid/>
      <w:spacing w:before="100" w:beforeAutospacing="1" w:after="100" w:afterAutospacing="1"/>
    </w:pPr>
    <w:rPr>
      <w:snapToGrid/>
      <w:lang w:val="en-US"/>
    </w:rPr>
  </w:style>
  <w:style w:type="paragraph" w:styleId="Revision">
    <w:name w:val="Revision"/>
    <w:hidden/>
    <w:uiPriority w:val="99"/>
    <w:semiHidden/>
    <w:rsid w:val="0082725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1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5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59F"/>
    <w:rPr>
      <w:rFonts w:ascii="Times New Roman" w:eastAsia="Times New Roman" w:hAnsi="Times New Roman" w:cs="Times New Roman"/>
      <w:snapToGrid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59F"/>
    <w:rPr>
      <w:rFonts w:ascii="Times New Roman" w:eastAsia="Times New Roman" w:hAnsi="Times New Roman" w:cs="Times New Roman"/>
      <w:b/>
      <w:bCs/>
      <w:snapToGrid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B348-8D1F-455D-9933-5266C71B99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1150</Words>
  <Characters>8442</Characters>
  <Application>Microsoft Office Word</Application>
  <DocSecurity>4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Укрепление секретариата МОКАФРИКА: стратегическое условие развития _x000d_
океанографии и управления в Африке и малых островных государствах</dc:title>
  <dc:subject>IOC/A-33/DR.[3.3.1]</dc:subject>
  <dc:creator>Delegation Kenya</dc:creator>
  <dc:description/>
  <cp:lastModifiedBy>Boned, Patrice</cp:lastModifiedBy>
  <cp:revision>2</cp:revision>
  <cp:lastPrinted>2025-06-30T13:23:00Z</cp:lastPrinted>
  <dcterms:created xsi:type="dcterms:W3CDTF">2025-07-03T08:14:00Z</dcterms:created>
  <dcterms:modified xsi:type="dcterms:W3CDTF">2025-07-03T08:14:00Z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b0e6f0c5-2294-4c2c-90fa-1647aefdfb7d</vt:lpwstr>
  </property>
  <property fmtid="{D5CDD505-2E9C-101B-9397-08002B2CF9AE}" pid="3" name="TranslatedWith">
    <vt:lpwstr>Mercury</vt:lpwstr>
  </property>
  <property fmtid="{D5CDD505-2E9C-101B-9397-08002B2CF9AE}" pid="4" name="GeneratedBy">
    <vt:lpwstr>n.bogdanova@unesco.org</vt:lpwstr>
  </property>
  <property fmtid="{D5CDD505-2E9C-101B-9397-08002B2CF9AE}" pid="5" name="GeneratedDate">
    <vt:lpwstr>07/01/2025 09:22:17</vt:lpwstr>
  </property>
  <property fmtid="{D5CDD505-2E9C-101B-9397-08002B2CF9AE}" pid="6" name="OriginalDocID">
    <vt:lpwstr>cbde134c-a65b-4779-b91a-616ffb07a579</vt:lpwstr>
  </property>
  <property fmtid="{D5CDD505-2E9C-101B-9397-08002B2CF9AE}" pid="7" name="Language">
    <vt:lpwstr>R</vt:lpwstr>
  </property>
  <property fmtid="{D5CDD505-2E9C-101B-9397-08002B2CF9AE}" pid="8" name="JobNumber">
    <vt:lpwstr>2500546R</vt:lpwstr>
  </property>
  <property fmtid="{D5CDD505-2E9C-101B-9397-08002B2CF9AE}" pid="9" name="ForceJobNumber">
    <vt:bool>false</vt:bool>
  </property>
</Properties>
</file>