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2941"/>
      </w:tblGrid>
      <w:tr w:rsidR="00BC394C" w:rsidRPr="00F2792A" w14:paraId="73E8AC93" w14:textId="77777777">
        <w:tc>
          <w:tcPr>
            <w:tcW w:w="6345" w:type="dxa"/>
          </w:tcPr>
          <w:p w14:paraId="2B6CAE22" w14:textId="77777777" w:rsidR="00BC394C" w:rsidRPr="00290E29" w:rsidRDefault="00BC394C" w:rsidP="00DC11A8">
            <w:pPr>
              <w:spacing w:after="240"/>
              <w:ind w:left="-10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0E29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Distribution limitée</w:t>
            </w:r>
          </w:p>
          <w:p w14:paraId="03611ED4" w14:textId="77777777" w:rsidR="00BC394C" w:rsidRPr="00290E29" w:rsidRDefault="00BC394C" w:rsidP="00DC11A8">
            <w:pPr>
              <w:spacing w:after="240"/>
              <w:ind w:left="-10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1" w:type="dxa"/>
          </w:tcPr>
          <w:p w14:paraId="3FE861A4" w14:textId="2FC3F6D4" w:rsidR="00BC394C" w:rsidRPr="00C3754F" w:rsidRDefault="005002AE" w:rsidP="00DC11A8">
            <w:pPr>
              <w:ind w:left="459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290E2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IOC/A-33/</w:t>
            </w:r>
            <w:proofErr w:type="gramStart"/>
            <w:r w:rsidRPr="00290E2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DR.[</w:t>
            </w:r>
            <w:proofErr w:type="gramEnd"/>
            <w:r w:rsidRPr="00290E2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3.3.1]</w:t>
            </w:r>
          </w:p>
          <w:p w14:paraId="50F69403" w14:textId="7FDAA1E0" w:rsidR="00BC394C" w:rsidRPr="00C3754F" w:rsidRDefault="00BC394C" w:rsidP="00DC11A8">
            <w:pPr>
              <w:ind w:left="459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290E29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PARIS, le 2 jui</w:t>
            </w:r>
            <w:r w:rsidR="008F6776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llet</w:t>
            </w:r>
            <w:r w:rsidRPr="00290E29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2025</w:t>
            </w:r>
          </w:p>
          <w:p w14:paraId="1E992337" w14:textId="77777777" w:rsidR="00BC394C" w:rsidRPr="00F2792A" w:rsidRDefault="00BC394C" w:rsidP="00DC11A8">
            <w:pPr>
              <w:spacing w:after="240"/>
              <w:ind w:left="459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290E29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Original anglais</w:t>
            </w:r>
          </w:p>
        </w:tc>
      </w:tr>
    </w:tbl>
    <w:p w14:paraId="454AF1CC" w14:textId="2DC9BF7D" w:rsidR="002C28A8" w:rsidRPr="00290E29" w:rsidRDefault="002C28A8" w:rsidP="00DC11A8">
      <w:pPr>
        <w:spacing w:before="240"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290E29">
        <w:rPr>
          <w:rFonts w:ascii="Arial" w:hAnsi="Arial" w:cs="Arial"/>
          <w:b/>
          <w:bCs/>
          <w:sz w:val="22"/>
          <w:szCs w:val="22"/>
          <w:lang w:val="fr-FR"/>
        </w:rPr>
        <w:t>PROJET DE RÉSOLUTION A-33</w:t>
      </w:r>
      <w:proofErr w:type="gramStart"/>
      <w:r w:rsidRPr="00290E29">
        <w:rPr>
          <w:rFonts w:ascii="Arial" w:hAnsi="Arial" w:cs="Arial"/>
          <w:b/>
          <w:bCs/>
          <w:sz w:val="22"/>
          <w:szCs w:val="22"/>
          <w:lang w:val="fr-FR"/>
        </w:rPr>
        <w:t>/[</w:t>
      </w:r>
      <w:proofErr w:type="gramEnd"/>
      <w:r w:rsidRPr="00290E29">
        <w:rPr>
          <w:rFonts w:ascii="Arial" w:hAnsi="Arial" w:cs="Arial"/>
          <w:b/>
          <w:bCs/>
          <w:sz w:val="22"/>
          <w:szCs w:val="22"/>
          <w:lang w:val="fr-FR"/>
        </w:rPr>
        <w:t>3.3.1]</w:t>
      </w:r>
    </w:p>
    <w:p w14:paraId="05F0BDD2" w14:textId="5F47183A" w:rsidR="005533C7" w:rsidRPr="00C3754F" w:rsidRDefault="002C28A8" w:rsidP="00DC11A8">
      <w:pPr>
        <w:spacing w:after="240"/>
        <w:jc w:val="both"/>
        <w:rPr>
          <w:rFonts w:ascii="Arial" w:eastAsiaTheme="minorEastAsia" w:hAnsi="Arial" w:cs="Arial"/>
          <w:sz w:val="22"/>
          <w:szCs w:val="22"/>
          <w:lang w:val="fr-FR"/>
        </w:rPr>
      </w:pPr>
      <w:r w:rsidRPr="00290E29">
        <w:rPr>
          <w:rFonts w:ascii="Arial" w:hAnsi="Arial" w:cs="Arial"/>
          <w:sz w:val="22"/>
          <w:szCs w:val="22"/>
          <w:lang w:val="fr-FR"/>
        </w:rPr>
        <w:t xml:space="preserve">Présenté par </w:t>
      </w:r>
      <w:r w:rsidR="00DC11A8">
        <w:rPr>
          <w:rFonts w:ascii="Arial" w:hAnsi="Arial" w:cs="Arial"/>
          <w:sz w:val="22"/>
          <w:szCs w:val="22"/>
          <w:lang w:val="fr-FR"/>
        </w:rPr>
        <w:t>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Afrique du Sud, </w:t>
      </w:r>
      <w:r w:rsidR="00DC11A8">
        <w:rPr>
          <w:rFonts w:ascii="Arial" w:hAnsi="Arial" w:cs="Arial"/>
          <w:sz w:val="22"/>
          <w:szCs w:val="22"/>
          <w:lang w:val="fr-FR"/>
        </w:rPr>
        <w:t xml:space="preserve">les </w:t>
      </w:r>
      <w:r w:rsidR="00DC11A8" w:rsidRPr="00290E29">
        <w:rPr>
          <w:rFonts w:ascii="Arial" w:hAnsi="Arial" w:cs="Arial"/>
          <w:sz w:val="22"/>
          <w:szCs w:val="22"/>
          <w:lang w:val="fr-FR"/>
        </w:rPr>
        <w:t xml:space="preserve">Comores, </w:t>
      </w:r>
      <w:r w:rsidR="00DC11A8">
        <w:rPr>
          <w:rFonts w:ascii="Arial" w:hAnsi="Arial" w:cs="Arial"/>
          <w:sz w:val="22"/>
          <w:szCs w:val="22"/>
          <w:lang w:val="fr-FR"/>
        </w:rPr>
        <w:t>la</w:t>
      </w:r>
      <w:r w:rsidR="00DC11A8" w:rsidRPr="00290E29">
        <w:rPr>
          <w:rFonts w:ascii="Arial" w:hAnsi="Arial" w:cs="Arial"/>
          <w:sz w:val="22"/>
          <w:szCs w:val="22"/>
          <w:lang w:val="fr-FR"/>
        </w:rPr>
        <w:t xml:space="preserve"> Guinée, </w:t>
      </w:r>
      <w:r w:rsidR="00DC11A8">
        <w:rPr>
          <w:rFonts w:ascii="Arial" w:hAnsi="Arial" w:cs="Arial"/>
          <w:sz w:val="22"/>
          <w:szCs w:val="22"/>
          <w:lang w:val="fr-FR"/>
        </w:rPr>
        <w:t xml:space="preserve">le </w:t>
      </w:r>
      <w:r w:rsidRPr="00290E29">
        <w:rPr>
          <w:rFonts w:ascii="Arial" w:hAnsi="Arial" w:cs="Arial"/>
          <w:sz w:val="22"/>
          <w:szCs w:val="22"/>
          <w:lang w:val="fr-FR"/>
        </w:rPr>
        <w:t>Kenya,</w:t>
      </w:r>
      <w:r w:rsidR="00DC11A8">
        <w:rPr>
          <w:rFonts w:ascii="Arial" w:hAnsi="Arial" w:cs="Arial"/>
          <w:sz w:val="22"/>
          <w:szCs w:val="22"/>
          <w:lang w:val="fr-FR"/>
        </w:rPr>
        <w:t xml:space="preserve"> le 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Libéria, </w:t>
      </w:r>
      <w:r w:rsidR="00DC11A8">
        <w:rPr>
          <w:rFonts w:ascii="Arial" w:hAnsi="Arial" w:cs="Arial"/>
          <w:sz w:val="22"/>
          <w:szCs w:val="22"/>
          <w:lang w:val="fr-FR"/>
        </w:rPr>
        <w:t xml:space="preserve">la 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Namibie, </w:t>
      </w:r>
      <w:r w:rsidR="00DC11A8">
        <w:rPr>
          <w:rFonts w:ascii="Arial" w:hAnsi="Arial" w:cs="Arial"/>
          <w:sz w:val="22"/>
          <w:szCs w:val="22"/>
          <w:lang w:val="fr-FR"/>
        </w:rPr>
        <w:t xml:space="preserve">le 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Nigéria, </w:t>
      </w:r>
      <w:r w:rsidR="00DC11A8">
        <w:rPr>
          <w:rFonts w:ascii="Arial" w:hAnsi="Arial" w:cs="Arial"/>
          <w:sz w:val="22"/>
          <w:szCs w:val="22"/>
          <w:lang w:val="fr-FR"/>
        </w:rPr>
        <w:t>la</w:t>
      </w:r>
      <w:r w:rsidR="00C3754F">
        <w:rPr>
          <w:rFonts w:ascii="Arial" w:hAnsi="Arial" w:cs="Arial"/>
          <w:sz w:val="22"/>
          <w:szCs w:val="22"/>
          <w:lang w:val="fr-FR"/>
        </w:rPr>
        <w:t> 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République démocratique du Congo, </w:t>
      </w:r>
      <w:r w:rsidR="00DC11A8">
        <w:rPr>
          <w:rFonts w:ascii="Arial" w:hAnsi="Arial" w:cs="Arial"/>
          <w:sz w:val="22"/>
          <w:szCs w:val="22"/>
          <w:lang w:val="fr-FR"/>
        </w:rPr>
        <w:t xml:space="preserve">le </w:t>
      </w:r>
      <w:r w:rsidRPr="00290E29">
        <w:rPr>
          <w:rFonts w:ascii="Arial" w:hAnsi="Arial" w:cs="Arial"/>
          <w:sz w:val="22"/>
          <w:szCs w:val="22"/>
          <w:lang w:val="fr-FR"/>
        </w:rPr>
        <w:t>Sénégal</w:t>
      </w:r>
      <w:r w:rsidR="00DC11A8">
        <w:rPr>
          <w:rFonts w:ascii="Arial" w:hAnsi="Arial" w:cs="Arial"/>
          <w:sz w:val="22"/>
          <w:szCs w:val="22"/>
          <w:lang w:val="fr-FR"/>
        </w:rPr>
        <w:t xml:space="preserve"> et le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Togo</w:t>
      </w:r>
    </w:p>
    <w:p w14:paraId="5E87E5E3" w14:textId="2D649992" w:rsidR="00BD60D4" w:rsidRPr="00C3754F" w:rsidRDefault="00B70C23" w:rsidP="00B70C23">
      <w:pPr>
        <w:spacing w:after="240"/>
        <w:jc w:val="both"/>
        <w:rPr>
          <w:rFonts w:ascii="Arial" w:eastAsiaTheme="majorEastAsia" w:hAnsi="Arial" w:cs="Arial"/>
          <w:b/>
          <w:bCs/>
          <w:iCs/>
          <w:caps/>
          <w:snapToGrid/>
          <w:sz w:val="22"/>
          <w:szCs w:val="22"/>
          <w:lang w:val="fr-FR"/>
        </w:rPr>
      </w:pPr>
      <w:r w:rsidRPr="00290E29">
        <w:rPr>
          <w:rFonts w:ascii="Arial" w:hAnsi="Arial" w:cs="Arial"/>
          <w:b/>
          <w:bCs/>
          <w:sz w:val="22"/>
          <w:szCs w:val="22"/>
          <w:lang w:val="fr-FR"/>
        </w:rPr>
        <w:t>RENFORCER LE SECRÉTARIAT DE L</w:t>
      </w:r>
      <w:r>
        <w:rPr>
          <w:rFonts w:ascii="Arial" w:hAnsi="Arial" w:cs="Arial"/>
          <w:b/>
          <w:bCs/>
          <w:sz w:val="22"/>
          <w:szCs w:val="22"/>
          <w:lang w:val="fr-FR"/>
        </w:rPr>
        <w:t>’</w:t>
      </w:r>
      <w:r w:rsidRPr="00290E29">
        <w:rPr>
          <w:rFonts w:ascii="Arial" w:hAnsi="Arial" w:cs="Arial"/>
          <w:b/>
          <w:bCs/>
          <w:sz w:val="22"/>
          <w:szCs w:val="22"/>
          <w:lang w:val="fr-FR"/>
        </w:rPr>
        <w:t>IOCAFRICA</w:t>
      </w:r>
      <w:r>
        <w:rPr>
          <w:rFonts w:ascii="Arial" w:hAnsi="Arial" w:cs="Arial"/>
          <w:b/>
          <w:bCs/>
          <w:sz w:val="22"/>
          <w:szCs w:val="22"/>
          <w:lang w:val="fr-FR"/>
        </w:rPr>
        <w:t> :</w:t>
      </w:r>
      <w:r w:rsidRPr="00290E29">
        <w:rPr>
          <w:rFonts w:ascii="Arial" w:hAnsi="Arial" w:cs="Arial"/>
          <w:b/>
          <w:bCs/>
          <w:sz w:val="22"/>
          <w:szCs w:val="22"/>
          <w:lang w:val="fr-FR"/>
        </w:rPr>
        <w:t xml:space="preserve"> UN IMPÉRATIF STRATÉGIQUE AU SERVICE DES SCIENCES OCÉANIQUES ET DE LA GOUVERNANCE EN AFRIQUE ET DANS LES PETITS ÉTATS INSULAIRES</w:t>
      </w:r>
    </w:p>
    <w:p w14:paraId="4D408561" w14:textId="2840F1C5" w:rsidR="002C28A8" w:rsidRPr="00F2792A" w:rsidRDefault="00252C0F" w:rsidP="00DC11A8">
      <w:pPr>
        <w:spacing w:before="240" w:after="240"/>
        <w:jc w:val="both"/>
        <w:rPr>
          <w:rFonts w:ascii="Arial" w:hAnsi="Arial" w:cs="Arial"/>
          <w:iCs/>
          <w:sz w:val="22"/>
          <w:szCs w:val="22"/>
        </w:rPr>
      </w:pPr>
      <w:r w:rsidRPr="00F2792A">
        <w:rPr>
          <w:rFonts w:ascii="Arial" w:hAnsi="Arial" w:cs="Arial"/>
          <w:sz w:val="22"/>
          <w:szCs w:val="22"/>
          <w:lang w:val="fr-FR"/>
        </w:rPr>
        <w:t>La Commission océanographique intergouvernementale,</w:t>
      </w:r>
      <w:r w:rsidRPr="002728E2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2D4311E3" w14:textId="2F3438C9" w:rsidR="00E17E7F" w:rsidRPr="00C3754F" w:rsidRDefault="00E17E7F" w:rsidP="00DC11A8">
      <w:pPr>
        <w:pStyle w:val="NormalWeb"/>
        <w:numPr>
          <w:ilvl w:val="0"/>
          <w:numId w:val="7"/>
        </w:numPr>
        <w:spacing w:after="240" w:afterAutospacing="0"/>
        <w:ind w:left="0" w:hanging="567"/>
        <w:jc w:val="both"/>
        <w:rPr>
          <w:rFonts w:ascii="Arial" w:hAnsi="Arial" w:cs="Arial"/>
          <w:sz w:val="22"/>
          <w:szCs w:val="22"/>
          <w:lang w:val="fr-FR"/>
        </w:rPr>
      </w:pPr>
      <w:bookmarkStart w:id="0" w:name="_Hlk201915201"/>
      <w:r w:rsidRPr="00DC11A8">
        <w:rPr>
          <w:rFonts w:ascii="Arial" w:hAnsi="Arial" w:cs="Arial"/>
          <w:b/>
          <w:sz w:val="22"/>
          <w:szCs w:val="22"/>
          <w:lang w:val="fr-FR"/>
        </w:rPr>
        <w:t>Rappelant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la résolution 41</w:t>
      </w:r>
      <w:r w:rsidR="00DC11A8">
        <w:rPr>
          <w:rFonts w:ascii="Arial" w:hAnsi="Arial" w:cs="Arial"/>
          <w:sz w:val="22"/>
          <w:szCs w:val="22"/>
          <w:lang w:val="fr-FR"/>
        </w:rPr>
        <w:t> </w:t>
      </w:r>
      <w:r w:rsidRPr="00290E29">
        <w:rPr>
          <w:rFonts w:ascii="Arial" w:hAnsi="Arial" w:cs="Arial"/>
          <w:sz w:val="22"/>
          <w:szCs w:val="22"/>
          <w:lang w:val="fr-FR"/>
        </w:rPr>
        <w:t>C/56 de la Conférence générale, la décision 216</w:t>
      </w:r>
      <w:r w:rsidR="00DC11A8">
        <w:rPr>
          <w:rFonts w:ascii="Arial" w:hAnsi="Arial" w:cs="Arial"/>
          <w:sz w:val="22"/>
          <w:szCs w:val="22"/>
          <w:lang w:val="fr-FR"/>
        </w:rPr>
        <w:t> </w:t>
      </w:r>
      <w:r w:rsidRPr="00290E29">
        <w:rPr>
          <w:rFonts w:ascii="Arial" w:hAnsi="Arial" w:cs="Arial"/>
          <w:sz w:val="22"/>
          <w:szCs w:val="22"/>
          <w:lang w:val="fr-FR"/>
        </w:rPr>
        <w:t>EX/44 du Conseil exécutif et la résolution A-32/4 de la COI,</w:t>
      </w:r>
    </w:p>
    <w:bookmarkEnd w:id="0"/>
    <w:p w14:paraId="2485AFDF" w14:textId="37C40048" w:rsidR="004A7CAE" w:rsidRPr="00C3754F" w:rsidRDefault="00DC11A8" w:rsidP="00DC11A8">
      <w:pPr>
        <w:pStyle w:val="NormalWeb"/>
        <w:numPr>
          <w:ilvl w:val="0"/>
          <w:numId w:val="7"/>
        </w:numPr>
        <w:spacing w:after="240" w:afterAutospacing="0"/>
        <w:ind w:left="0" w:hanging="567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Considérant</w:t>
      </w:r>
      <w:r w:rsidR="00A94BC2" w:rsidRPr="00290E29">
        <w:rPr>
          <w:rFonts w:ascii="Arial" w:hAnsi="Arial" w:cs="Arial"/>
          <w:sz w:val="22"/>
          <w:szCs w:val="22"/>
          <w:lang w:val="fr-FR"/>
        </w:rPr>
        <w:t xml:space="preserve">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="00A94BC2" w:rsidRPr="00290E29">
        <w:rPr>
          <w:rFonts w:ascii="Arial" w:hAnsi="Arial" w:cs="Arial"/>
          <w:sz w:val="22"/>
          <w:szCs w:val="22"/>
          <w:lang w:val="fr-FR"/>
        </w:rPr>
        <w:t>importance stratégique des régions océaniques et côtières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="00A94BC2" w:rsidRPr="00290E29">
        <w:rPr>
          <w:rFonts w:ascii="Arial" w:hAnsi="Arial" w:cs="Arial"/>
          <w:sz w:val="22"/>
          <w:szCs w:val="22"/>
          <w:lang w:val="fr-FR"/>
        </w:rPr>
        <w:t>Afrique pour le mandat de la Commission océanographique intergouvernementale (COI), la population africaine et la planète,</w:t>
      </w:r>
    </w:p>
    <w:p w14:paraId="1FA3AF13" w14:textId="40F8BC68" w:rsidR="004A7CAE" w:rsidRPr="00C3754F" w:rsidRDefault="00A866AA" w:rsidP="00DC11A8">
      <w:pPr>
        <w:pStyle w:val="NormalWeb"/>
        <w:numPr>
          <w:ilvl w:val="0"/>
          <w:numId w:val="7"/>
        </w:numPr>
        <w:spacing w:after="240" w:afterAutospacing="0"/>
        <w:ind w:left="0" w:hanging="567"/>
        <w:jc w:val="both"/>
        <w:rPr>
          <w:rFonts w:ascii="Arial" w:hAnsi="Arial" w:cs="Arial"/>
          <w:sz w:val="22"/>
          <w:szCs w:val="22"/>
          <w:lang w:val="fr-FR"/>
        </w:rPr>
      </w:pPr>
      <w:r w:rsidRPr="00DC11A8">
        <w:rPr>
          <w:rFonts w:ascii="Arial" w:hAnsi="Arial" w:cs="Arial"/>
          <w:b/>
          <w:sz w:val="22"/>
          <w:szCs w:val="22"/>
          <w:lang w:val="fr-FR"/>
        </w:rPr>
        <w:t>Rappelant également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que la désignation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Afrique comme priorité globale </w:t>
      </w:r>
      <w:r w:rsidR="00DC11A8" w:rsidRPr="00290E29">
        <w:rPr>
          <w:rFonts w:ascii="Arial" w:hAnsi="Arial" w:cs="Arial"/>
          <w:sz w:val="22"/>
          <w:szCs w:val="22"/>
          <w:lang w:val="fr-FR"/>
        </w:rPr>
        <w:t>par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="00DC11A8" w:rsidRPr="00290E29">
        <w:rPr>
          <w:rFonts w:ascii="Arial" w:hAnsi="Arial" w:cs="Arial"/>
          <w:sz w:val="22"/>
          <w:szCs w:val="22"/>
          <w:lang w:val="fr-FR"/>
        </w:rPr>
        <w:t xml:space="preserve">UNESCO </w:t>
      </w:r>
      <w:r w:rsidRPr="00290E29">
        <w:rPr>
          <w:rFonts w:ascii="Arial" w:hAnsi="Arial" w:cs="Arial"/>
          <w:sz w:val="22"/>
          <w:szCs w:val="22"/>
          <w:lang w:val="fr-FR"/>
        </w:rPr>
        <w:t>et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engagement </w:t>
      </w:r>
      <w:r w:rsidRPr="00F553F2">
        <w:rPr>
          <w:rFonts w:ascii="Arial" w:hAnsi="Arial" w:cs="Arial"/>
          <w:sz w:val="22"/>
          <w:szCs w:val="22"/>
          <w:lang w:val="fr-FR"/>
        </w:rPr>
        <w:t xml:space="preserve">constant </w:t>
      </w:r>
      <w:r w:rsidRPr="00290E29">
        <w:rPr>
          <w:rFonts w:ascii="Arial" w:hAnsi="Arial" w:cs="Arial"/>
          <w:sz w:val="22"/>
          <w:szCs w:val="22"/>
          <w:lang w:val="fr-FR"/>
        </w:rPr>
        <w:t>dans le cadre du Programme 2030 et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Agenda 2063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Union africaine constituent un cadre </w:t>
      </w:r>
      <w:r w:rsidR="00900761">
        <w:rPr>
          <w:rFonts w:ascii="Arial" w:hAnsi="Arial" w:cs="Arial"/>
          <w:sz w:val="22"/>
          <w:szCs w:val="22"/>
          <w:lang w:val="fr-FR"/>
        </w:rPr>
        <w:t>qui correspond étroitement aux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objectifs de la COI en matière de coopération scientifique équitable et inclusive,</w:t>
      </w:r>
    </w:p>
    <w:p w14:paraId="774E843E" w14:textId="339F8B7B" w:rsidR="00397F12" w:rsidRPr="00C3754F" w:rsidRDefault="00A866AA" w:rsidP="00DC11A8">
      <w:pPr>
        <w:pStyle w:val="NormalWeb"/>
        <w:numPr>
          <w:ilvl w:val="0"/>
          <w:numId w:val="7"/>
        </w:numPr>
        <w:spacing w:after="240" w:afterAutospacing="0"/>
        <w:ind w:left="0" w:hanging="567"/>
        <w:jc w:val="both"/>
        <w:rPr>
          <w:rFonts w:ascii="Arial" w:hAnsi="Arial" w:cs="Arial"/>
          <w:sz w:val="22"/>
          <w:szCs w:val="22"/>
          <w:lang w:val="fr-FR"/>
        </w:rPr>
      </w:pPr>
      <w:r w:rsidRPr="00900761">
        <w:rPr>
          <w:rFonts w:ascii="Arial" w:hAnsi="Arial" w:cs="Arial"/>
          <w:b/>
          <w:sz w:val="22"/>
          <w:szCs w:val="22"/>
          <w:lang w:val="fr-FR"/>
        </w:rPr>
        <w:t>Rappelant en outre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les résolutions IOC-XXIX/2 et IOC-XXXI/2 </w:t>
      </w:r>
      <w:r w:rsidR="002728E2">
        <w:rPr>
          <w:rFonts w:ascii="Arial" w:hAnsi="Arial" w:cs="Arial"/>
          <w:sz w:val="22"/>
          <w:szCs w:val="22"/>
          <w:lang w:val="fr-FR"/>
        </w:rPr>
        <w:t>établissant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IOCAFRICA en tant qu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organe subsidiaire régional chargé de coordonner les sciences de la mer, les services et le développement des capacités en Afrique et dans les États insulaires adjacents,</w:t>
      </w:r>
    </w:p>
    <w:p w14:paraId="33286F9F" w14:textId="75A4328A" w:rsidR="00360551" w:rsidRPr="00C3754F" w:rsidRDefault="00900761" w:rsidP="00DC11A8">
      <w:pPr>
        <w:pStyle w:val="NormalWeb"/>
        <w:numPr>
          <w:ilvl w:val="0"/>
          <w:numId w:val="7"/>
        </w:numPr>
        <w:spacing w:after="240" w:afterAutospacing="0"/>
        <w:ind w:left="0" w:hanging="567"/>
        <w:jc w:val="both"/>
        <w:rPr>
          <w:rFonts w:ascii="Arial" w:hAnsi="Arial" w:cs="Arial"/>
          <w:sz w:val="22"/>
          <w:szCs w:val="22"/>
          <w:lang w:val="fr-FR"/>
        </w:rPr>
      </w:pPr>
      <w:r w:rsidRPr="00900761">
        <w:rPr>
          <w:rFonts w:ascii="Arial" w:hAnsi="Arial" w:cs="Arial"/>
          <w:b/>
          <w:sz w:val="22"/>
          <w:szCs w:val="22"/>
          <w:lang w:val="fr-FR"/>
        </w:rPr>
        <w:t>Considérant</w:t>
      </w:r>
      <w:r w:rsidR="00A866AA" w:rsidRPr="00900761">
        <w:rPr>
          <w:rFonts w:ascii="Arial" w:hAnsi="Arial" w:cs="Arial"/>
          <w:b/>
          <w:sz w:val="22"/>
          <w:szCs w:val="22"/>
          <w:lang w:val="fr-FR"/>
        </w:rPr>
        <w:t xml:space="preserve"> également</w:t>
      </w:r>
      <w:r w:rsidR="00A866AA" w:rsidRPr="00290E29">
        <w:rPr>
          <w:rFonts w:ascii="Arial" w:hAnsi="Arial" w:cs="Arial"/>
          <w:sz w:val="22"/>
          <w:szCs w:val="22"/>
          <w:lang w:val="fr-FR"/>
        </w:rPr>
        <w:t xml:space="preserve"> le rôle essentiel de l</w:t>
      </w:r>
      <w:r>
        <w:rPr>
          <w:rFonts w:ascii="Arial" w:hAnsi="Arial" w:cs="Arial"/>
          <w:sz w:val="22"/>
          <w:szCs w:val="22"/>
          <w:lang w:val="fr-FR"/>
        </w:rPr>
        <w:t>’</w:t>
      </w:r>
      <w:r w:rsidR="00A866AA" w:rsidRPr="00290E29">
        <w:rPr>
          <w:rFonts w:ascii="Arial" w:hAnsi="Arial" w:cs="Arial"/>
          <w:sz w:val="22"/>
          <w:szCs w:val="22"/>
          <w:lang w:val="fr-FR"/>
        </w:rPr>
        <w:t>IOCAFRICA dans les progrès de la mise en œuvre de la Stratégie à moyen terme de la COI (2022-2029), de la Stratégie de l</w:t>
      </w:r>
      <w:r>
        <w:rPr>
          <w:rFonts w:ascii="Arial" w:hAnsi="Arial" w:cs="Arial"/>
          <w:sz w:val="22"/>
          <w:szCs w:val="22"/>
          <w:lang w:val="fr-FR"/>
        </w:rPr>
        <w:t>’</w:t>
      </w:r>
      <w:r w:rsidR="00A866AA" w:rsidRPr="00290E29">
        <w:rPr>
          <w:rFonts w:ascii="Arial" w:hAnsi="Arial" w:cs="Arial"/>
          <w:sz w:val="22"/>
          <w:szCs w:val="22"/>
          <w:lang w:val="fr-FR"/>
        </w:rPr>
        <w:t>Union africaine pour l</w:t>
      </w:r>
      <w:r>
        <w:rPr>
          <w:rFonts w:ascii="Arial" w:hAnsi="Arial" w:cs="Arial"/>
          <w:sz w:val="22"/>
          <w:szCs w:val="22"/>
          <w:lang w:val="fr-FR"/>
        </w:rPr>
        <w:t>’</w:t>
      </w:r>
      <w:r w:rsidR="00A866AA" w:rsidRPr="00290E29">
        <w:rPr>
          <w:rFonts w:ascii="Arial" w:hAnsi="Arial" w:cs="Arial"/>
          <w:sz w:val="22"/>
          <w:szCs w:val="22"/>
          <w:lang w:val="fr-FR"/>
        </w:rPr>
        <w:t>économie bleue, de l</w:t>
      </w:r>
      <w:r>
        <w:rPr>
          <w:rFonts w:ascii="Arial" w:hAnsi="Arial" w:cs="Arial"/>
          <w:sz w:val="22"/>
          <w:szCs w:val="22"/>
          <w:lang w:val="fr-FR"/>
        </w:rPr>
        <w:t>’</w:t>
      </w:r>
      <w:r w:rsidR="00A866AA" w:rsidRPr="00290E29">
        <w:rPr>
          <w:rFonts w:ascii="Arial" w:hAnsi="Arial" w:cs="Arial"/>
          <w:sz w:val="22"/>
          <w:szCs w:val="22"/>
          <w:lang w:val="fr-FR"/>
        </w:rPr>
        <w:t>Agenda 2063</w:t>
      </w:r>
      <w:r>
        <w:rPr>
          <w:rFonts w:ascii="Arial" w:hAnsi="Arial" w:cs="Arial"/>
          <w:sz w:val="22"/>
          <w:szCs w:val="22"/>
          <w:lang w:val="fr-FR"/>
        </w:rPr>
        <w:t xml:space="preserve"> de l’Union africaine</w:t>
      </w:r>
      <w:r w:rsidR="00A866AA" w:rsidRPr="00290E29">
        <w:rPr>
          <w:rFonts w:ascii="Arial" w:hAnsi="Arial" w:cs="Arial"/>
          <w:sz w:val="22"/>
          <w:szCs w:val="22"/>
          <w:lang w:val="fr-FR"/>
        </w:rPr>
        <w:t xml:space="preserve"> et de la Décennie des Nations Unies pour les sciences océaniques au service du développement durable (2021-2030),</w:t>
      </w:r>
    </w:p>
    <w:p w14:paraId="51382C15" w14:textId="232C1935" w:rsidR="000D35C3" w:rsidRPr="00C3754F" w:rsidRDefault="000D35C3" w:rsidP="00DC11A8">
      <w:pPr>
        <w:pStyle w:val="NormalWeb"/>
        <w:numPr>
          <w:ilvl w:val="0"/>
          <w:numId w:val="7"/>
        </w:numPr>
        <w:spacing w:after="240" w:afterAutospacing="0"/>
        <w:ind w:left="0" w:hanging="567"/>
        <w:jc w:val="both"/>
        <w:rPr>
          <w:rFonts w:ascii="Arial" w:hAnsi="Arial" w:cs="Arial"/>
          <w:sz w:val="22"/>
          <w:szCs w:val="22"/>
          <w:lang w:val="fr-FR"/>
        </w:rPr>
      </w:pPr>
      <w:r w:rsidRPr="00900761">
        <w:rPr>
          <w:rFonts w:ascii="Arial" w:hAnsi="Arial" w:cs="Arial"/>
          <w:b/>
          <w:sz w:val="22"/>
          <w:szCs w:val="22"/>
          <w:lang w:val="fr-FR"/>
        </w:rPr>
        <w:t>Réaffirmant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que les zones marines et côtières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Afrique et des États insulaires adjacents sont primordiales pour la biodiversité, la sécurité alimentaire, les moyens de subsistance et le développement économique</w:t>
      </w:r>
      <w:r w:rsidR="00BE2FCE">
        <w:rPr>
          <w:rFonts w:ascii="Arial" w:hAnsi="Arial" w:cs="Arial"/>
          <w:sz w:val="22"/>
          <w:szCs w:val="22"/>
          <w:lang w:val="fr-FR"/>
        </w:rPr>
        <w:t xml:space="preserve"> dans le monde</w:t>
      </w:r>
      <w:r w:rsidRPr="00290E29">
        <w:rPr>
          <w:rFonts w:ascii="Arial" w:hAnsi="Arial" w:cs="Arial"/>
          <w:sz w:val="22"/>
          <w:szCs w:val="22"/>
          <w:lang w:val="fr-FR"/>
        </w:rPr>
        <w:t>, mais qu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elles ne sont </w:t>
      </w:r>
      <w:r w:rsidR="00BE2FCE">
        <w:rPr>
          <w:rFonts w:ascii="Arial" w:hAnsi="Arial" w:cs="Arial"/>
          <w:sz w:val="22"/>
          <w:szCs w:val="22"/>
          <w:lang w:val="fr-FR"/>
        </w:rPr>
        <w:t xml:space="preserve">toujours </w:t>
      </w:r>
      <w:r w:rsidRPr="00290E29">
        <w:rPr>
          <w:rFonts w:ascii="Arial" w:hAnsi="Arial" w:cs="Arial"/>
          <w:sz w:val="22"/>
          <w:szCs w:val="22"/>
          <w:lang w:val="fr-FR"/>
        </w:rPr>
        <w:t>pas assez représentées dans la recherche océanographique, les systèmes de données et les structures de gouvernance,</w:t>
      </w:r>
    </w:p>
    <w:p w14:paraId="4578FE35" w14:textId="13F05899" w:rsidR="00397F12" w:rsidRPr="00C3754F" w:rsidRDefault="00360551" w:rsidP="00DC11A8">
      <w:pPr>
        <w:pStyle w:val="NormalWeb"/>
        <w:numPr>
          <w:ilvl w:val="0"/>
          <w:numId w:val="7"/>
        </w:numPr>
        <w:spacing w:after="240" w:afterAutospacing="0"/>
        <w:ind w:left="0" w:hanging="567"/>
        <w:jc w:val="both"/>
        <w:rPr>
          <w:rFonts w:ascii="Arial" w:hAnsi="Arial" w:cs="Arial"/>
          <w:sz w:val="22"/>
          <w:szCs w:val="22"/>
          <w:lang w:val="fr-FR"/>
        </w:rPr>
      </w:pPr>
      <w:r w:rsidRPr="00BE2FCE">
        <w:rPr>
          <w:rFonts w:ascii="Arial" w:hAnsi="Arial" w:cs="Arial"/>
          <w:b/>
          <w:sz w:val="22"/>
          <w:szCs w:val="22"/>
          <w:lang w:val="fr-FR"/>
        </w:rPr>
        <w:t>Rappelant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que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IOCAFRICA est devenue la pierre angulaire de la mise en œuvre de la Décennie des Nations Unies pour les sciences océaniques au service du développement durable (2021-2030) </w:t>
      </w:r>
      <w:r w:rsidR="00BE2FCE">
        <w:rPr>
          <w:rFonts w:ascii="Arial" w:hAnsi="Arial" w:cs="Arial"/>
          <w:sz w:val="22"/>
          <w:szCs w:val="22"/>
          <w:lang w:val="fr-FR"/>
        </w:rPr>
        <w:t xml:space="preserve">en </w:t>
      </w:r>
      <w:r w:rsidR="00BE2FCE" w:rsidRPr="00290E29">
        <w:rPr>
          <w:rFonts w:ascii="Arial" w:hAnsi="Arial" w:cs="Arial"/>
          <w:sz w:val="22"/>
          <w:szCs w:val="22"/>
          <w:lang w:val="fr-FR"/>
        </w:rPr>
        <w:t xml:space="preserve">Afrique et </w:t>
      </w:r>
      <w:r w:rsidR="00BE2FCE">
        <w:rPr>
          <w:rFonts w:ascii="Arial" w:hAnsi="Arial" w:cs="Arial"/>
          <w:sz w:val="22"/>
          <w:szCs w:val="22"/>
          <w:lang w:val="fr-FR"/>
        </w:rPr>
        <w:t xml:space="preserve">dans </w:t>
      </w:r>
      <w:r w:rsidR="00BE2FCE" w:rsidRPr="00290E29">
        <w:rPr>
          <w:rFonts w:ascii="Arial" w:hAnsi="Arial" w:cs="Arial"/>
          <w:sz w:val="22"/>
          <w:szCs w:val="22"/>
          <w:lang w:val="fr-FR"/>
        </w:rPr>
        <w:t xml:space="preserve">les États insulaires adjacents </w:t>
      </w:r>
      <w:r w:rsidRPr="00290E29">
        <w:rPr>
          <w:rFonts w:ascii="Arial" w:hAnsi="Arial" w:cs="Arial"/>
          <w:sz w:val="22"/>
          <w:szCs w:val="22"/>
          <w:lang w:val="fr-FR"/>
        </w:rPr>
        <w:t>et qu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elle a fait office de principal mécanisme pour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exécution du mandat de la COI dans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ensemble du continent africain et des États insulaires adjacents,</w:t>
      </w:r>
    </w:p>
    <w:p w14:paraId="1166D33D" w14:textId="40934E5F" w:rsidR="004A7CAE" w:rsidRPr="00C3754F" w:rsidRDefault="004A7CAE" w:rsidP="00DC11A8">
      <w:pPr>
        <w:pStyle w:val="NormalWeb"/>
        <w:numPr>
          <w:ilvl w:val="0"/>
          <w:numId w:val="7"/>
        </w:numPr>
        <w:spacing w:after="240" w:afterAutospacing="0"/>
        <w:ind w:left="0" w:hanging="567"/>
        <w:jc w:val="both"/>
        <w:rPr>
          <w:rFonts w:ascii="Arial" w:hAnsi="Arial" w:cs="Arial"/>
          <w:sz w:val="22"/>
          <w:szCs w:val="22"/>
          <w:lang w:val="fr-FR"/>
        </w:rPr>
      </w:pPr>
      <w:r w:rsidRPr="00B366ED">
        <w:rPr>
          <w:rFonts w:ascii="Arial" w:hAnsi="Arial" w:cs="Arial"/>
          <w:b/>
          <w:sz w:val="22"/>
          <w:szCs w:val="22"/>
          <w:lang w:val="fr-FR"/>
        </w:rPr>
        <w:t>Soulignant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la nécessité pour la COI de renforcer le soutien programmatique apporté aux États membres africains et insulaires adjacents ainsi que leurs capacités institutionnelles et leur représentation</w:t>
      </w:r>
      <w:r w:rsidR="00B366ED">
        <w:rPr>
          <w:rFonts w:ascii="Arial" w:hAnsi="Arial" w:cs="Arial"/>
          <w:sz w:val="22"/>
          <w:szCs w:val="22"/>
          <w:lang w:val="fr-FR"/>
        </w:rPr>
        <w:t>,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afin de garantir </w:t>
      </w:r>
      <w:r w:rsidR="00B366ED">
        <w:rPr>
          <w:rFonts w:ascii="Arial" w:hAnsi="Arial" w:cs="Arial"/>
          <w:sz w:val="22"/>
          <w:szCs w:val="22"/>
          <w:lang w:val="fr-FR"/>
        </w:rPr>
        <w:t>qu’ils participent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pleine</w:t>
      </w:r>
      <w:r w:rsidR="00B366ED">
        <w:rPr>
          <w:rFonts w:ascii="Arial" w:hAnsi="Arial" w:cs="Arial"/>
          <w:sz w:val="22"/>
          <w:szCs w:val="22"/>
          <w:lang w:val="fr-FR"/>
        </w:rPr>
        <w:t>ment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et active</w:t>
      </w:r>
      <w:r w:rsidR="00B366ED">
        <w:rPr>
          <w:rFonts w:ascii="Arial" w:hAnsi="Arial" w:cs="Arial"/>
          <w:sz w:val="22"/>
          <w:szCs w:val="22"/>
          <w:lang w:val="fr-FR"/>
        </w:rPr>
        <w:t>ment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à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élaboration des orientations mondiales en matière de politiques et de sciences relatives à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océan,</w:t>
      </w:r>
    </w:p>
    <w:p w14:paraId="5346A004" w14:textId="7D172F08" w:rsidR="00397F12" w:rsidRPr="00C3754F" w:rsidRDefault="00360551" w:rsidP="00DC11A8">
      <w:pPr>
        <w:pStyle w:val="NormalWeb"/>
        <w:numPr>
          <w:ilvl w:val="0"/>
          <w:numId w:val="7"/>
        </w:numPr>
        <w:spacing w:after="240" w:afterAutospacing="0"/>
        <w:ind w:left="0" w:hanging="567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B366ED">
        <w:rPr>
          <w:rFonts w:ascii="Arial" w:hAnsi="Arial" w:cs="Arial"/>
          <w:b/>
          <w:sz w:val="22"/>
          <w:szCs w:val="22"/>
          <w:lang w:val="fr-FR"/>
        </w:rPr>
        <w:t>Soulignant également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qu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il est indispensable que le Secrétariat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IOCAFRICA soit doté de ressources suffisantes et occupe une position stratégique pour garantir à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Afrique et aux États </w:t>
      </w:r>
      <w:r w:rsidRPr="00290E29">
        <w:rPr>
          <w:rFonts w:ascii="Arial" w:hAnsi="Arial" w:cs="Arial"/>
          <w:sz w:val="22"/>
          <w:szCs w:val="22"/>
          <w:lang w:val="fr-FR"/>
        </w:rPr>
        <w:lastRenderedPageBreak/>
        <w:t xml:space="preserve">insulaires adjacents une participation et une prise de responsabilité équitables </w:t>
      </w:r>
      <w:r w:rsidR="00B366ED">
        <w:rPr>
          <w:rFonts w:ascii="Arial" w:hAnsi="Arial" w:cs="Arial"/>
          <w:sz w:val="22"/>
          <w:szCs w:val="22"/>
          <w:lang w:val="fr-FR"/>
        </w:rPr>
        <w:t>en matière de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gouvernance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océan, </w:t>
      </w:r>
      <w:r w:rsidR="00B366ED">
        <w:rPr>
          <w:rFonts w:ascii="Arial" w:hAnsi="Arial" w:cs="Arial"/>
          <w:sz w:val="22"/>
          <w:szCs w:val="22"/>
          <w:lang w:val="fr-FR"/>
        </w:rPr>
        <w:t>de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coopération scientifique et </w:t>
      </w:r>
      <w:r w:rsidR="00B366ED">
        <w:rPr>
          <w:rFonts w:ascii="Arial" w:hAnsi="Arial" w:cs="Arial"/>
          <w:sz w:val="22"/>
          <w:szCs w:val="22"/>
          <w:lang w:val="fr-FR"/>
        </w:rPr>
        <w:t>de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concertation politique à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échelle mondiale,</w:t>
      </w:r>
    </w:p>
    <w:p w14:paraId="440735FF" w14:textId="152B65CB" w:rsidR="00574B99" w:rsidRPr="00C3754F" w:rsidRDefault="00E679DD" w:rsidP="00DC11A8">
      <w:pPr>
        <w:pStyle w:val="NormalWeb"/>
        <w:numPr>
          <w:ilvl w:val="0"/>
          <w:numId w:val="7"/>
        </w:numPr>
        <w:spacing w:before="0" w:beforeAutospacing="0" w:after="240" w:afterAutospacing="0"/>
        <w:ind w:left="0" w:hanging="567"/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916592">
        <w:rPr>
          <w:rFonts w:ascii="Arial" w:hAnsi="Arial" w:cs="Arial"/>
          <w:b/>
          <w:sz w:val="22"/>
          <w:szCs w:val="22"/>
          <w:lang w:val="fr-FR"/>
        </w:rPr>
        <w:t>Prenant note avec satisfaction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du volume croissant de projets</w:t>
      </w:r>
      <w:r w:rsidR="00916592" w:rsidRPr="00916592">
        <w:rPr>
          <w:rFonts w:ascii="Arial" w:hAnsi="Arial" w:cs="Arial"/>
          <w:sz w:val="22"/>
          <w:szCs w:val="22"/>
          <w:lang w:val="fr-FR"/>
        </w:rPr>
        <w:t xml:space="preserve"> </w:t>
      </w:r>
      <w:r w:rsidR="00916592" w:rsidRPr="00290E29">
        <w:rPr>
          <w:rFonts w:ascii="Arial" w:hAnsi="Arial" w:cs="Arial"/>
          <w:sz w:val="22"/>
          <w:szCs w:val="22"/>
          <w:lang w:val="fr-FR"/>
        </w:rPr>
        <w:t>menés par des États africains et des États insulaires adjacents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, de partenariats régionaux et de collaborations internationales </w:t>
      </w:r>
      <w:r w:rsidR="00916592">
        <w:rPr>
          <w:rFonts w:ascii="Arial" w:hAnsi="Arial" w:cs="Arial"/>
          <w:sz w:val="22"/>
          <w:szCs w:val="22"/>
          <w:lang w:val="fr-FR"/>
        </w:rPr>
        <w:t>ayant été facilités par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IOCAFRICA, ce qui démontre à la fois la pertinence et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efficacité de son Secrétariat,</w:t>
      </w:r>
    </w:p>
    <w:p w14:paraId="6ED7B9DF" w14:textId="5AF6A2C4" w:rsidR="00397F12" w:rsidRPr="00C3754F" w:rsidRDefault="00BA7FAD" w:rsidP="00DC11A8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="Arial" w:hAnsi="Arial" w:cs="Arial"/>
          <w:sz w:val="22"/>
          <w:szCs w:val="22"/>
          <w:lang w:val="fr-FR"/>
        </w:rPr>
      </w:pPr>
      <w:r w:rsidRPr="00916592">
        <w:rPr>
          <w:rFonts w:ascii="Arial" w:hAnsi="Arial" w:cs="Arial"/>
          <w:b/>
          <w:sz w:val="22"/>
          <w:szCs w:val="22"/>
          <w:lang w:val="fr-FR"/>
        </w:rPr>
        <w:t>Prenant note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des responsabilités accrues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IOCAFRICA </w:t>
      </w:r>
      <w:r w:rsidR="00916592">
        <w:rPr>
          <w:rFonts w:ascii="Arial" w:hAnsi="Arial" w:cs="Arial"/>
          <w:sz w:val="22"/>
          <w:szCs w:val="22"/>
          <w:lang w:val="fr-FR"/>
        </w:rPr>
        <w:t>s’agissant de coordonner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la mise en œuvre de la Feuille de route de la Décennie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Océan pour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Afrique (IOC/2022/ODS/36 Rev.2), </w:t>
      </w:r>
      <w:r w:rsidR="00916592">
        <w:rPr>
          <w:rFonts w:ascii="Arial" w:hAnsi="Arial" w:cs="Arial"/>
          <w:sz w:val="22"/>
          <w:szCs w:val="22"/>
          <w:lang w:val="fr-FR"/>
        </w:rPr>
        <w:t>l</w:t>
      </w:r>
      <w:r w:rsidRPr="00290E29">
        <w:rPr>
          <w:rFonts w:ascii="Arial" w:hAnsi="Arial" w:cs="Arial"/>
          <w:sz w:val="22"/>
          <w:szCs w:val="22"/>
          <w:lang w:val="fr-FR"/>
        </w:rPr>
        <w:t>es systèmes régionaux d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alerte rapide,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infrastructure de données et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information océanographiques et </w:t>
      </w:r>
      <w:r w:rsidR="00916592">
        <w:rPr>
          <w:rFonts w:ascii="Arial" w:hAnsi="Arial" w:cs="Arial"/>
          <w:sz w:val="22"/>
          <w:szCs w:val="22"/>
          <w:lang w:val="fr-FR"/>
        </w:rPr>
        <w:t>l</w:t>
      </w:r>
      <w:r w:rsidRPr="00290E29">
        <w:rPr>
          <w:rFonts w:ascii="Arial" w:hAnsi="Arial" w:cs="Arial"/>
          <w:sz w:val="22"/>
          <w:szCs w:val="22"/>
          <w:lang w:val="fr-FR"/>
        </w:rPr>
        <w:t>es initiatives de développement des capacités dans plus de 35 États côtiers et insulaires d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Afrique,</w:t>
      </w:r>
    </w:p>
    <w:p w14:paraId="268C7435" w14:textId="0F2F0EFA" w:rsidR="009E1F6C" w:rsidRPr="00C3754F" w:rsidRDefault="00916592" w:rsidP="00DC11A8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="Arial" w:hAnsi="Arial" w:cs="Arial"/>
          <w:sz w:val="22"/>
          <w:szCs w:val="22"/>
          <w:lang w:val="fr-FR"/>
        </w:rPr>
      </w:pPr>
      <w:r w:rsidRPr="00916592">
        <w:rPr>
          <w:rFonts w:ascii="Arial" w:hAnsi="Arial" w:cs="Arial"/>
          <w:b/>
          <w:sz w:val="22"/>
          <w:szCs w:val="22"/>
          <w:lang w:val="fr-FR"/>
        </w:rPr>
        <w:t>Considérant</w:t>
      </w:r>
      <w:r w:rsidR="00A866AA" w:rsidRPr="00916592">
        <w:rPr>
          <w:rFonts w:ascii="Arial" w:hAnsi="Arial" w:cs="Arial"/>
          <w:b/>
          <w:sz w:val="22"/>
          <w:szCs w:val="22"/>
          <w:lang w:val="fr-FR"/>
        </w:rPr>
        <w:t xml:space="preserve"> en outre</w:t>
      </w:r>
      <w:r w:rsidR="00A866AA" w:rsidRPr="00290E29">
        <w:rPr>
          <w:rFonts w:ascii="Arial" w:hAnsi="Arial" w:cs="Arial"/>
          <w:sz w:val="22"/>
          <w:szCs w:val="22"/>
          <w:lang w:val="fr-FR"/>
        </w:rPr>
        <w:t xml:space="preserve"> que le Secrétariat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="00A866AA" w:rsidRPr="00290E29">
        <w:rPr>
          <w:rFonts w:ascii="Arial" w:hAnsi="Arial" w:cs="Arial"/>
          <w:sz w:val="22"/>
          <w:szCs w:val="22"/>
          <w:lang w:val="fr-FR"/>
        </w:rPr>
        <w:t xml:space="preserve">IOCAFRICA fait </w:t>
      </w:r>
      <w:r>
        <w:rPr>
          <w:rFonts w:ascii="Arial" w:hAnsi="Arial" w:cs="Arial"/>
          <w:sz w:val="22"/>
          <w:szCs w:val="22"/>
          <w:lang w:val="fr-FR"/>
        </w:rPr>
        <w:t>également</w:t>
      </w:r>
      <w:r w:rsidR="00A866AA" w:rsidRPr="00290E29">
        <w:rPr>
          <w:rFonts w:ascii="Arial" w:hAnsi="Arial" w:cs="Arial"/>
          <w:sz w:val="22"/>
          <w:szCs w:val="22"/>
          <w:lang w:val="fr-FR"/>
        </w:rPr>
        <w:t xml:space="preserve"> office de Bureau de coordination de la Décennie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="00A866AA" w:rsidRPr="00290E29">
        <w:rPr>
          <w:rFonts w:ascii="Arial" w:hAnsi="Arial" w:cs="Arial"/>
          <w:sz w:val="22"/>
          <w:szCs w:val="22"/>
          <w:lang w:val="fr-FR"/>
        </w:rPr>
        <w:t>Océan pour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="00A866AA" w:rsidRPr="00290E29">
        <w:rPr>
          <w:rFonts w:ascii="Arial" w:hAnsi="Arial" w:cs="Arial"/>
          <w:sz w:val="22"/>
          <w:szCs w:val="22"/>
          <w:lang w:val="fr-FR"/>
        </w:rPr>
        <w:t xml:space="preserve">Afrique et les États insulaires adjacents, assumant ainsi une double </w:t>
      </w:r>
      <w:r>
        <w:rPr>
          <w:rFonts w:ascii="Arial" w:hAnsi="Arial" w:cs="Arial"/>
          <w:sz w:val="22"/>
          <w:szCs w:val="22"/>
          <w:lang w:val="fr-FR"/>
        </w:rPr>
        <w:t>fonction</w:t>
      </w:r>
      <w:r w:rsidR="00A866AA" w:rsidRPr="00290E29">
        <w:rPr>
          <w:rFonts w:ascii="Arial" w:hAnsi="Arial" w:cs="Arial"/>
          <w:sz w:val="22"/>
          <w:szCs w:val="22"/>
          <w:lang w:val="fr-FR"/>
        </w:rPr>
        <w:t xml:space="preserve"> qui </w:t>
      </w:r>
      <w:r>
        <w:rPr>
          <w:rFonts w:ascii="Arial" w:hAnsi="Arial" w:cs="Arial"/>
          <w:sz w:val="22"/>
          <w:szCs w:val="22"/>
          <w:lang w:val="fr-FR"/>
        </w:rPr>
        <w:t>s’étend</w:t>
      </w:r>
      <w:r w:rsidR="00A866AA" w:rsidRPr="00290E29">
        <w:rPr>
          <w:rFonts w:ascii="Arial" w:hAnsi="Arial" w:cs="Arial"/>
          <w:sz w:val="22"/>
          <w:szCs w:val="22"/>
          <w:lang w:val="fr-FR"/>
        </w:rPr>
        <w:t xml:space="preserve"> bien au-delà du renforcement des capacités et comprend la coordination stratégique,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="00A866AA" w:rsidRPr="00290E29">
        <w:rPr>
          <w:rFonts w:ascii="Arial" w:hAnsi="Arial" w:cs="Arial"/>
          <w:sz w:val="22"/>
          <w:szCs w:val="22"/>
          <w:lang w:val="fr-FR"/>
        </w:rPr>
        <w:t>exécution du programme,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="00A866AA" w:rsidRPr="00290E29">
        <w:rPr>
          <w:rFonts w:ascii="Arial" w:hAnsi="Arial" w:cs="Arial"/>
          <w:sz w:val="22"/>
          <w:szCs w:val="22"/>
          <w:lang w:val="fr-FR"/>
        </w:rPr>
        <w:t>appui technique et la mobilisation des parties prenantes à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="00A866AA" w:rsidRPr="00290E29">
        <w:rPr>
          <w:rFonts w:ascii="Arial" w:hAnsi="Arial" w:cs="Arial"/>
          <w:sz w:val="22"/>
          <w:szCs w:val="22"/>
          <w:lang w:val="fr-FR"/>
        </w:rPr>
        <w:t>échelle du continent,</w:t>
      </w:r>
    </w:p>
    <w:p w14:paraId="6677E116" w14:textId="76BE2B1D" w:rsidR="004B1009" w:rsidRPr="00C3754F" w:rsidRDefault="00BA7FAD" w:rsidP="00DC11A8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916592">
        <w:rPr>
          <w:rFonts w:ascii="Arial" w:hAnsi="Arial" w:cs="Arial"/>
          <w:b/>
          <w:sz w:val="22"/>
          <w:szCs w:val="22"/>
          <w:lang w:val="fr-FR"/>
        </w:rPr>
        <w:t>Notant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que la nécessité de maintenir la priorité budgétaire accordée à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Afrique dans la programmation de la COI a été soulignée par les États membres lors des discussions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Assemblée et du Conseil exécutif de la COI, des sessions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IOCAFRICA, des réunions du Groupe consultatif financier intersessions à composition non limitée et </w:t>
      </w:r>
      <w:r w:rsidR="003746F5">
        <w:rPr>
          <w:rFonts w:ascii="Arial" w:hAnsi="Arial" w:cs="Arial"/>
          <w:sz w:val="22"/>
          <w:szCs w:val="22"/>
          <w:lang w:val="fr-FR"/>
        </w:rPr>
        <w:t>par le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Comité financier de la COI, où des préoccupations similaires concernant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insuffisance des ressources des organes subsidiaires régionaux de la COI ont été exprimées,</w:t>
      </w:r>
    </w:p>
    <w:p w14:paraId="3B93DECB" w14:textId="77A95DAE" w:rsidR="00A267F1" w:rsidRPr="00C3754F" w:rsidRDefault="00182D16" w:rsidP="00DC11A8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3746F5">
        <w:rPr>
          <w:rFonts w:ascii="Arial" w:hAnsi="Arial" w:cs="Arial"/>
          <w:b/>
          <w:sz w:val="22"/>
          <w:szCs w:val="22"/>
          <w:lang w:val="fr-FR"/>
        </w:rPr>
        <w:t>Se félicitant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qu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un deuxième poste du cadre organique, financé au titre du Programme ordinaire, soit opérationnel à partir de juillet 2025 et </w:t>
      </w:r>
      <w:r w:rsidRPr="003746F5">
        <w:rPr>
          <w:rFonts w:ascii="Arial" w:hAnsi="Arial" w:cs="Arial"/>
          <w:b/>
          <w:sz w:val="22"/>
          <w:szCs w:val="22"/>
          <w:lang w:val="fr-FR"/>
        </w:rPr>
        <w:t>notant</w:t>
      </w:r>
      <w:r w:rsidR="003746F5" w:rsidRPr="003746F5">
        <w:rPr>
          <w:rFonts w:ascii="Arial" w:hAnsi="Arial" w:cs="Arial"/>
          <w:b/>
          <w:sz w:val="22"/>
          <w:szCs w:val="22"/>
          <w:lang w:val="fr-FR"/>
        </w:rPr>
        <w:t xml:space="preserve"> également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qu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aucun poste du cadre de service et de bureau ou autre poste indispensable n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est financé par des crédits ouverts au titre du budget ordinaire,</w:t>
      </w:r>
    </w:p>
    <w:p w14:paraId="6695B1C6" w14:textId="5C417FAC" w:rsidR="00A267F1" w:rsidRPr="00C3754F" w:rsidRDefault="00A267F1" w:rsidP="00DC11A8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3746F5">
        <w:rPr>
          <w:rFonts w:ascii="Arial" w:hAnsi="Arial" w:cs="Arial"/>
          <w:b/>
          <w:sz w:val="22"/>
          <w:szCs w:val="22"/>
          <w:lang w:val="fr-FR"/>
        </w:rPr>
        <w:t>Constatant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que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appui administratif et opérationnel a été maintenu grâce à un détachement en nature du Gouvernement du Kenya et à des </w:t>
      </w:r>
      <w:r w:rsidR="003746F5">
        <w:rPr>
          <w:rFonts w:ascii="Arial" w:hAnsi="Arial" w:cs="Arial"/>
          <w:sz w:val="22"/>
          <w:szCs w:val="22"/>
          <w:lang w:val="fr-FR"/>
        </w:rPr>
        <w:t>modalités partagées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avec le Bureau de coordination de la Décennie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Océan pour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Afrique,</w:t>
      </w:r>
    </w:p>
    <w:p w14:paraId="5C0EBAB7" w14:textId="4841436F" w:rsidR="00DD049A" w:rsidRPr="00C3754F" w:rsidRDefault="00B90E4D" w:rsidP="00107644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3746F5">
        <w:rPr>
          <w:rFonts w:ascii="Arial" w:hAnsi="Arial" w:cs="Arial"/>
          <w:b/>
          <w:sz w:val="22"/>
          <w:szCs w:val="22"/>
          <w:lang w:val="fr-FR"/>
        </w:rPr>
        <w:t xml:space="preserve">Prenant note avec une grande </w:t>
      </w:r>
      <w:r w:rsidR="003746F5" w:rsidRPr="003746F5">
        <w:rPr>
          <w:rFonts w:ascii="Arial" w:hAnsi="Arial" w:cs="Arial"/>
          <w:b/>
          <w:sz w:val="22"/>
          <w:szCs w:val="22"/>
          <w:lang w:val="fr-FR"/>
        </w:rPr>
        <w:t>préoccupation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du gel temporaire des allocations budgétaires et des activités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IOCAFRICA dans le cadre des mesures actuelles de gestion responsable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UNESCO, et </w:t>
      </w:r>
      <w:r w:rsidR="00C4044B" w:rsidRPr="00C4044B">
        <w:rPr>
          <w:rFonts w:ascii="Arial" w:hAnsi="Arial" w:cs="Arial"/>
          <w:b/>
          <w:sz w:val="22"/>
          <w:szCs w:val="22"/>
          <w:lang w:val="fr-FR"/>
        </w:rPr>
        <w:t>considérant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les effets négatifs de ces mesures sur la poursuite du programme et le soutien régional,</w:t>
      </w:r>
    </w:p>
    <w:p w14:paraId="6C9F4B86" w14:textId="449DCCC0" w:rsidR="00061735" w:rsidRPr="00C3754F" w:rsidRDefault="00061735" w:rsidP="00107644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="Arial" w:hAnsi="Arial" w:cs="Arial"/>
          <w:sz w:val="22"/>
          <w:szCs w:val="22"/>
          <w:lang w:val="fr-FR"/>
        </w:rPr>
      </w:pPr>
      <w:r w:rsidRPr="00977830">
        <w:rPr>
          <w:rFonts w:ascii="Arial" w:hAnsi="Arial" w:cs="Arial"/>
          <w:b/>
          <w:sz w:val="22"/>
          <w:szCs w:val="22"/>
          <w:lang w:val="fr-FR"/>
        </w:rPr>
        <w:t>Notant</w:t>
      </w:r>
      <w:r w:rsidR="00977830" w:rsidRPr="00977830">
        <w:rPr>
          <w:rFonts w:ascii="Arial" w:hAnsi="Arial" w:cs="Arial"/>
          <w:b/>
          <w:sz w:val="22"/>
          <w:szCs w:val="22"/>
          <w:lang w:val="fr-FR"/>
        </w:rPr>
        <w:t xml:space="preserve"> également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qu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il est nécessaire de renforcer les effectifs du Secrétariat d</w:t>
      </w:r>
      <w:r w:rsidR="00977830">
        <w:rPr>
          <w:rFonts w:ascii="Arial" w:hAnsi="Arial" w:cs="Arial"/>
          <w:sz w:val="22"/>
          <w:szCs w:val="22"/>
          <w:lang w:val="fr-FR"/>
        </w:rPr>
        <w:t>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IOCAFRICA en </w:t>
      </w:r>
      <w:r w:rsidR="00CA6E8A">
        <w:rPr>
          <w:rFonts w:ascii="Arial" w:hAnsi="Arial" w:cs="Arial"/>
          <w:sz w:val="22"/>
          <w:szCs w:val="22"/>
          <w:lang w:val="fr-FR"/>
        </w:rPr>
        <w:t>rassemblant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une équipe suffisamment qualifiée et d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un rang suffisamment élevé pour garantir une capacité réelle de mise en œuvre du programme technique, de mobilisation de ressources ainsi que de gestion, de sensibilisation et </w:t>
      </w:r>
      <w:r w:rsidR="00CA6E8A">
        <w:rPr>
          <w:rFonts w:ascii="Arial" w:hAnsi="Arial" w:cs="Arial"/>
          <w:sz w:val="22"/>
          <w:szCs w:val="22"/>
          <w:lang w:val="fr-FR"/>
        </w:rPr>
        <w:t>de mobilisation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des donateurs, et assurer une série de fonctions opérationnelles et administratives,</w:t>
      </w:r>
    </w:p>
    <w:p w14:paraId="36028184" w14:textId="4BC488A9" w:rsidR="00807CA8" w:rsidRPr="00C3754F" w:rsidRDefault="00807CA8" w:rsidP="00107644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="Arial" w:hAnsi="Arial" w:cs="Arial"/>
          <w:sz w:val="22"/>
          <w:szCs w:val="22"/>
          <w:lang w:val="fr-FR"/>
        </w:rPr>
      </w:pPr>
      <w:r w:rsidRPr="00CA6E8A">
        <w:rPr>
          <w:rFonts w:ascii="Arial" w:hAnsi="Arial" w:cs="Arial"/>
          <w:b/>
          <w:sz w:val="22"/>
          <w:szCs w:val="22"/>
          <w:lang w:val="fr-FR"/>
        </w:rPr>
        <w:t>Prie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le Secrétaire exécutif de la COI d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élaborer une analyse chiffrée de différents scénarios visant à optimiser les effectifs</w:t>
      </w:r>
      <w:r w:rsidR="00CA6E8A">
        <w:rPr>
          <w:rFonts w:ascii="Arial" w:hAnsi="Arial" w:cs="Arial"/>
          <w:sz w:val="22"/>
          <w:szCs w:val="22"/>
          <w:lang w:val="fr-FR"/>
        </w:rPr>
        <w:t xml:space="preserve"> futurs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des </w:t>
      </w:r>
      <w:r w:rsidR="00CA6E8A">
        <w:rPr>
          <w:rFonts w:ascii="Arial" w:hAnsi="Arial" w:cs="Arial"/>
          <w:sz w:val="22"/>
          <w:szCs w:val="22"/>
          <w:lang w:val="fr-FR"/>
        </w:rPr>
        <w:t>s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ecrétariats des </w:t>
      </w:r>
      <w:r w:rsidR="00CA6E8A">
        <w:rPr>
          <w:rFonts w:ascii="Arial" w:hAnsi="Arial" w:cs="Arial"/>
          <w:sz w:val="22"/>
          <w:szCs w:val="22"/>
          <w:lang w:val="fr-FR"/>
        </w:rPr>
        <w:t>s</w:t>
      </w:r>
      <w:r w:rsidRPr="00290E29">
        <w:rPr>
          <w:rFonts w:ascii="Arial" w:hAnsi="Arial" w:cs="Arial"/>
          <w:sz w:val="22"/>
          <w:szCs w:val="22"/>
          <w:lang w:val="fr-FR"/>
        </w:rPr>
        <w:t>ous-</w:t>
      </w:r>
      <w:r w:rsidR="00CA6E8A">
        <w:rPr>
          <w:rFonts w:ascii="Arial" w:hAnsi="Arial" w:cs="Arial"/>
          <w:sz w:val="22"/>
          <w:szCs w:val="22"/>
          <w:lang w:val="fr-FR"/>
        </w:rPr>
        <w:t>c</w:t>
      </w:r>
      <w:r w:rsidRPr="00290E29">
        <w:rPr>
          <w:rFonts w:ascii="Arial" w:hAnsi="Arial" w:cs="Arial"/>
          <w:sz w:val="22"/>
          <w:szCs w:val="22"/>
          <w:lang w:val="fr-FR"/>
        </w:rPr>
        <w:t>ommissions régionales, afin d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assurer une exécution efficace du programme </w:t>
      </w:r>
      <w:r w:rsidR="00CA6E8A">
        <w:rPr>
          <w:rFonts w:ascii="Arial" w:hAnsi="Arial" w:cs="Arial"/>
          <w:sz w:val="22"/>
          <w:szCs w:val="22"/>
          <w:lang w:val="fr-FR"/>
        </w:rPr>
        <w:t>en accord avec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la Stratégie à moyen terme de la COI (2022-2029) (IOC/INF-1412) ainsi qu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="00CA6E8A">
        <w:rPr>
          <w:rFonts w:ascii="Arial" w:hAnsi="Arial" w:cs="Arial"/>
          <w:sz w:val="22"/>
          <w:szCs w:val="22"/>
          <w:lang w:val="fr-FR"/>
        </w:rPr>
        <w:t>avec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sa priorité globale Afrique et </w:t>
      </w:r>
      <w:r w:rsidR="00CA6E8A">
        <w:rPr>
          <w:rFonts w:ascii="Arial" w:hAnsi="Arial" w:cs="Arial"/>
          <w:sz w:val="22"/>
          <w:szCs w:val="22"/>
          <w:lang w:val="fr-FR"/>
        </w:rPr>
        <w:t>le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groupe prioritaire des PEID, en tenant compte des recommandations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évaluation à mi-parcours de la Décennie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Océan et des résultats du processus de consultation </w:t>
      </w:r>
      <w:r w:rsidR="00CA6E8A">
        <w:rPr>
          <w:rFonts w:ascii="Arial" w:hAnsi="Arial" w:cs="Arial"/>
          <w:sz w:val="22"/>
          <w:szCs w:val="22"/>
          <w:lang w:val="fr-FR"/>
        </w:rPr>
        <w:t>« </w:t>
      </w:r>
      <w:r w:rsidRPr="00290E29">
        <w:rPr>
          <w:rFonts w:ascii="Arial" w:hAnsi="Arial" w:cs="Arial"/>
          <w:sz w:val="22"/>
          <w:szCs w:val="22"/>
          <w:lang w:val="fr-FR"/>
        </w:rPr>
        <w:t>La COI et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avenir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océan</w:t>
      </w:r>
      <w:r w:rsidR="00CA6E8A">
        <w:rPr>
          <w:rFonts w:ascii="Arial" w:hAnsi="Arial" w:cs="Arial"/>
          <w:sz w:val="22"/>
          <w:szCs w:val="22"/>
          <w:lang w:val="fr-FR"/>
        </w:rPr>
        <w:t> »</w:t>
      </w:r>
      <w:r w:rsidRPr="00290E29">
        <w:rPr>
          <w:rFonts w:ascii="Arial" w:hAnsi="Arial" w:cs="Arial"/>
          <w:sz w:val="22"/>
          <w:szCs w:val="22"/>
          <w:lang w:val="fr-FR"/>
        </w:rPr>
        <w:t>, et de présenter cette analyse au Conseil exécutif de la COI à sa 59</w:t>
      </w:r>
      <w:r w:rsidRPr="00CA6E8A">
        <w:rPr>
          <w:rFonts w:ascii="Arial" w:hAnsi="Arial" w:cs="Arial"/>
          <w:sz w:val="22"/>
          <w:szCs w:val="22"/>
          <w:vertAlign w:val="superscript"/>
          <w:lang w:val="fr-FR"/>
        </w:rPr>
        <w:t>e</w:t>
      </w:r>
      <w:r w:rsidR="00CA6E8A">
        <w:rPr>
          <w:rFonts w:ascii="Arial" w:hAnsi="Arial" w:cs="Arial"/>
          <w:sz w:val="22"/>
          <w:szCs w:val="22"/>
          <w:lang w:val="fr-FR"/>
        </w:rPr>
        <w:t> </w:t>
      </w:r>
      <w:r w:rsidRPr="00290E29">
        <w:rPr>
          <w:rFonts w:ascii="Arial" w:hAnsi="Arial" w:cs="Arial"/>
          <w:sz w:val="22"/>
          <w:szCs w:val="22"/>
          <w:lang w:val="fr-FR"/>
        </w:rPr>
        <w:t>session ;</w:t>
      </w:r>
    </w:p>
    <w:p w14:paraId="2E0B01A8" w14:textId="222DB41D" w:rsidR="004D6A2C" w:rsidRPr="00C3754F" w:rsidRDefault="00CA6E8A" w:rsidP="00C44F8A">
      <w:pPr>
        <w:pStyle w:val="ListParagraph"/>
        <w:keepNext/>
        <w:keepLines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CA6E8A">
        <w:rPr>
          <w:rFonts w:ascii="Arial" w:hAnsi="Arial" w:cs="Arial"/>
          <w:b/>
          <w:sz w:val="22"/>
          <w:szCs w:val="22"/>
          <w:lang w:val="fr-FR"/>
        </w:rPr>
        <w:lastRenderedPageBreak/>
        <w:t>Prie</w:t>
      </w:r>
      <w:r w:rsidR="00A866AA" w:rsidRPr="00CA6E8A">
        <w:rPr>
          <w:rFonts w:ascii="Arial" w:hAnsi="Arial" w:cs="Arial"/>
          <w:b/>
          <w:sz w:val="22"/>
          <w:szCs w:val="22"/>
          <w:lang w:val="fr-FR"/>
        </w:rPr>
        <w:t xml:space="preserve"> également</w:t>
      </w:r>
      <w:r w:rsidR="00A866AA" w:rsidRPr="00290E29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le</w:t>
      </w:r>
      <w:r w:rsidR="00A866AA" w:rsidRPr="00290E29">
        <w:rPr>
          <w:rFonts w:ascii="Arial" w:hAnsi="Arial" w:cs="Arial"/>
          <w:sz w:val="22"/>
          <w:szCs w:val="22"/>
          <w:lang w:val="fr-FR"/>
        </w:rPr>
        <w:t xml:space="preserve"> Secrétaire exécutif de la COI d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="00A866AA" w:rsidRPr="00290E29">
        <w:rPr>
          <w:rFonts w:ascii="Arial" w:hAnsi="Arial" w:cs="Arial"/>
          <w:sz w:val="22"/>
          <w:szCs w:val="22"/>
          <w:lang w:val="fr-FR"/>
        </w:rPr>
        <w:t>étudier les possibilités :</w:t>
      </w:r>
    </w:p>
    <w:p w14:paraId="5950DBFA" w14:textId="36E1BEFC" w:rsidR="0092035F" w:rsidRPr="00C3754F" w:rsidRDefault="0092035F" w:rsidP="00DC11A8">
      <w:pPr>
        <w:pStyle w:val="ListParagraph"/>
        <w:numPr>
          <w:ilvl w:val="0"/>
          <w:numId w:val="10"/>
        </w:numPr>
        <w:tabs>
          <w:tab w:val="clear" w:pos="567"/>
        </w:tabs>
        <w:snapToGrid/>
        <w:spacing w:after="240"/>
        <w:ind w:left="567" w:hanging="567"/>
        <w:contextualSpacing w:val="0"/>
        <w:jc w:val="both"/>
        <w:rPr>
          <w:rFonts w:ascii="Arial" w:eastAsiaTheme="minorEastAsia" w:hAnsi="Arial" w:cs="Arial"/>
          <w:sz w:val="22"/>
          <w:szCs w:val="22"/>
          <w:lang w:val="fr-FR"/>
        </w:rPr>
      </w:pPr>
      <w:proofErr w:type="gramStart"/>
      <w:r w:rsidRPr="00290E29">
        <w:rPr>
          <w:rFonts w:ascii="Arial" w:hAnsi="Arial" w:cs="Arial"/>
          <w:sz w:val="22"/>
          <w:szCs w:val="22"/>
          <w:lang w:val="fr-FR"/>
        </w:rPr>
        <w:t>d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in</w:t>
      </w:r>
      <w:r w:rsidR="00C30461">
        <w:rPr>
          <w:rFonts w:ascii="Arial" w:hAnsi="Arial" w:cs="Arial"/>
          <w:sz w:val="22"/>
          <w:szCs w:val="22"/>
          <w:lang w:val="fr-FR"/>
        </w:rPr>
        <w:t>tégrer</w:t>
      </w:r>
      <w:proofErr w:type="gramEnd"/>
      <w:r w:rsidRPr="00290E29">
        <w:rPr>
          <w:rFonts w:ascii="Arial" w:hAnsi="Arial" w:cs="Arial"/>
          <w:sz w:val="22"/>
          <w:szCs w:val="22"/>
          <w:lang w:val="fr-FR"/>
        </w:rPr>
        <w:t xml:space="preserve"> formellement les postes du </w:t>
      </w:r>
      <w:r w:rsidR="00004BC0">
        <w:rPr>
          <w:rFonts w:ascii="Arial" w:hAnsi="Arial" w:cs="Arial"/>
          <w:sz w:val="22"/>
          <w:szCs w:val="22"/>
          <w:lang w:val="fr-FR"/>
        </w:rPr>
        <w:t>cadre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de service et de bureau </w:t>
      </w:r>
      <w:r w:rsidR="00C30461">
        <w:rPr>
          <w:rFonts w:ascii="Arial" w:hAnsi="Arial" w:cs="Arial"/>
          <w:sz w:val="22"/>
          <w:szCs w:val="22"/>
          <w:lang w:val="fr-FR"/>
        </w:rPr>
        <w:t>dans le cadre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du budget ordinaire du Secrétariat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IOCAFRICA ;</w:t>
      </w:r>
    </w:p>
    <w:p w14:paraId="56469868" w14:textId="613BA748" w:rsidR="0092035F" w:rsidRPr="00C3754F" w:rsidRDefault="00E52DB2" w:rsidP="00DC11A8">
      <w:pPr>
        <w:pStyle w:val="ListParagraph"/>
        <w:numPr>
          <w:ilvl w:val="0"/>
          <w:numId w:val="10"/>
        </w:numPr>
        <w:tabs>
          <w:tab w:val="clear" w:pos="567"/>
        </w:tabs>
        <w:snapToGrid/>
        <w:spacing w:after="240"/>
        <w:ind w:left="567" w:hanging="567"/>
        <w:contextualSpacing w:val="0"/>
        <w:jc w:val="both"/>
        <w:rPr>
          <w:rFonts w:ascii="Arial" w:eastAsiaTheme="minorEastAsia" w:hAnsi="Arial" w:cs="Arial"/>
          <w:sz w:val="22"/>
          <w:szCs w:val="22"/>
          <w:lang w:val="fr-FR"/>
        </w:rPr>
      </w:pPr>
      <w:proofErr w:type="gramStart"/>
      <w:r w:rsidRPr="00290E29">
        <w:rPr>
          <w:rFonts w:ascii="Arial" w:hAnsi="Arial" w:cs="Arial"/>
          <w:sz w:val="22"/>
          <w:szCs w:val="22"/>
          <w:lang w:val="fr-FR"/>
        </w:rPr>
        <w:t>de</w:t>
      </w:r>
      <w:proofErr w:type="gramEnd"/>
      <w:r w:rsidRPr="00290E29">
        <w:rPr>
          <w:rFonts w:ascii="Arial" w:hAnsi="Arial" w:cs="Arial"/>
          <w:sz w:val="22"/>
          <w:szCs w:val="22"/>
          <w:lang w:val="fr-FR"/>
        </w:rPr>
        <w:t xml:space="preserve"> mobiliser des ressources supplémentaires, </w:t>
      </w:r>
      <w:r w:rsidR="00C30461">
        <w:rPr>
          <w:rFonts w:ascii="Arial" w:hAnsi="Arial" w:cs="Arial"/>
          <w:sz w:val="22"/>
          <w:szCs w:val="22"/>
          <w:lang w:val="fr-FR"/>
        </w:rPr>
        <w:t>notamment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des fonds extrabudgétaires et des accords de cofinancement, ainsi que des partenariats en matière de ressources humaines </w:t>
      </w:r>
      <w:r w:rsidR="00C30461">
        <w:rPr>
          <w:rFonts w:ascii="Arial" w:hAnsi="Arial" w:cs="Arial"/>
          <w:sz w:val="22"/>
          <w:szCs w:val="22"/>
          <w:lang w:val="fr-FR"/>
        </w:rPr>
        <w:t>à l’appui d</w:t>
      </w:r>
      <w:r w:rsidRPr="00290E29">
        <w:rPr>
          <w:rFonts w:ascii="Arial" w:hAnsi="Arial" w:cs="Arial"/>
          <w:sz w:val="22"/>
          <w:szCs w:val="22"/>
          <w:lang w:val="fr-FR"/>
        </w:rPr>
        <w:t>es postes essentiels ;</w:t>
      </w:r>
    </w:p>
    <w:p w14:paraId="40F76661" w14:textId="2AC4AB4E" w:rsidR="00DD049A" w:rsidRPr="00C3754F" w:rsidRDefault="00C30461" w:rsidP="00DC11A8">
      <w:pPr>
        <w:pStyle w:val="ListParagraph"/>
        <w:numPr>
          <w:ilvl w:val="0"/>
          <w:numId w:val="10"/>
        </w:numPr>
        <w:tabs>
          <w:tab w:val="clear" w:pos="567"/>
        </w:tabs>
        <w:snapToGrid/>
        <w:spacing w:after="240"/>
        <w:ind w:left="567" w:hanging="567"/>
        <w:contextualSpacing w:val="0"/>
        <w:jc w:val="both"/>
        <w:rPr>
          <w:rFonts w:ascii="Arial" w:eastAsiaTheme="minorEastAsia" w:hAnsi="Arial" w:cs="Arial"/>
          <w:sz w:val="22"/>
          <w:szCs w:val="22"/>
          <w:lang w:val="fr-FR"/>
        </w:rPr>
      </w:pPr>
      <w:proofErr w:type="gramStart"/>
      <w:r>
        <w:rPr>
          <w:rFonts w:ascii="Arial" w:hAnsi="Arial" w:cs="Arial"/>
          <w:sz w:val="22"/>
          <w:szCs w:val="22"/>
          <w:lang w:val="fr-FR"/>
        </w:rPr>
        <w:t>d’</w:t>
      </w:r>
      <w:r w:rsidR="00E52DB2" w:rsidRPr="00290E29">
        <w:rPr>
          <w:rFonts w:ascii="Arial" w:hAnsi="Arial" w:cs="Arial"/>
          <w:sz w:val="22"/>
          <w:szCs w:val="22"/>
          <w:lang w:val="fr-FR"/>
        </w:rPr>
        <w:t>assurer</w:t>
      </w:r>
      <w:proofErr w:type="gramEnd"/>
      <w:r w:rsidR="00E52DB2" w:rsidRPr="00290E29">
        <w:rPr>
          <w:rFonts w:ascii="Arial" w:hAnsi="Arial" w:cs="Arial"/>
          <w:sz w:val="22"/>
          <w:szCs w:val="22"/>
          <w:lang w:val="fr-FR"/>
        </w:rPr>
        <w:t xml:space="preserve"> un financement optimal pour </w:t>
      </w:r>
      <w:r>
        <w:rPr>
          <w:rFonts w:ascii="Arial" w:hAnsi="Arial" w:cs="Arial"/>
          <w:sz w:val="22"/>
          <w:szCs w:val="22"/>
          <w:lang w:val="fr-FR"/>
        </w:rPr>
        <w:t>la mise en œuvre opérationnelle</w:t>
      </w:r>
      <w:r w:rsidR="00E52DB2" w:rsidRPr="00290E29">
        <w:rPr>
          <w:rFonts w:ascii="Arial" w:hAnsi="Arial" w:cs="Arial"/>
          <w:sz w:val="22"/>
          <w:szCs w:val="22"/>
          <w:lang w:val="fr-FR"/>
        </w:rPr>
        <w:t xml:space="preserve"> du bureau et des activités du programme ; et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202A852E" w14:textId="30CA3784" w:rsidR="00E52DB2" w:rsidRPr="00C3754F" w:rsidRDefault="00E52DB2" w:rsidP="00DC11A8">
      <w:pPr>
        <w:pStyle w:val="ListParagraph"/>
        <w:numPr>
          <w:ilvl w:val="0"/>
          <w:numId w:val="10"/>
        </w:numPr>
        <w:tabs>
          <w:tab w:val="clear" w:pos="567"/>
        </w:tabs>
        <w:snapToGrid/>
        <w:spacing w:after="240"/>
        <w:ind w:left="567" w:hanging="567"/>
        <w:contextualSpacing w:val="0"/>
        <w:jc w:val="both"/>
        <w:rPr>
          <w:rFonts w:ascii="Arial" w:eastAsiaTheme="minorEastAsia" w:hAnsi="Arial" w:cs="Arial"/>
          <w:sz w:val="22"/>
          <w:szCs w:val="22"/>
          <w:lang w:val="fr-FR"/>
        </w:rPr>
      </w:pPr>
      <w:proofErr w:type="gramStart"/>
      <w:r w:rsidRPr="00290E29">
        <w:rPr>
          <w:rFonts w:ascii="Arial" w:hAnsi="Arial" w:cs="Arial"/>
          <w:sz w:val="22"/>
          <w:szCs w:val="22"/>
          <w:lang w:val="fr-FR"/>
        </w:rPr>
        <w:t>de</w:t>
      </w:r>
      <w:proofErr w:type="gramEnd"/>
      <w:r w:rsidRPr="00290E29">
        <w:rPr>
          <w:rFonts w:ascii="Arial" w:hAnsi="Arial" w:cs="Arial"/>
          <w:sz w:val="22"/>
          <w:szCs w:val="22"/>
          <w:lang w:val="fr-FR"/>
        </w:rPr>
        <w:t xml:space="preserve"> garantir </w:t>
      </w:r>
      <w:proofErr w:type="gramStart"/>
      <w:r w:rsidRPr="00290E29">
        <w:rPr>
          <w:rFonts w:ascii="Arial" w:hAnsi="Arial" w:cs="Arial"/>
          <w:sz w:val="22"/>
          <w:szCs w:val="22"/>
          <w:lang w:val="fr-FR"/>
        </w:rPr>
        <w:t>la caractère prioritaire</w:t>
      </w:r>
      <w:proofErr w:type="gramEnd"/>
      <w:r w:rsidRPr="00290E29">
        <w:rPr>
          <w:rFonts w:ascii="Arial" w:hAnsi="Arial" w:cs="Arial"/>
          <w:sz w:val="22"/>
          <w:szCs w:val="22"/>
          <w:lang w:val="fr-FR"/>
        </w:rPr>
        <w:t xml:space="preserve"> du budget de fonctionnement du Secrétariat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IOCAFRICA dans tous les scénarios budgétaires, conformément au statut </w:t>
      </w:r>
      <w:r w:rsidR="007C64D2">
        <w:rPr>
          <w:rFonts w:ascii="Arial" w:hAnsi="Arial" w:cs="Arial"/>
          <w:sz w:val="22"/>
          <w:szCs w:val="22"/>
          <w:lang w:val="fr-FR"/>
        </w:rPr>
        <w:t xml:space="preserve">de </w:t>
      </w:r>
      <w:r w:rsidR="007C64D2" w:rsidRPr="00290E29">
        <w:rPr>
          <w:rFonts w:ascii="Arial" w:hAnsi="Arial" w:cs="Arial"/>
          <w:sz w:val="22"/>
          <w:szCs w:val="22"/>
          <w:lang w:val="fr-FR"/>
        </w:rPr>
        <w:t>priorité globale de l</w:t>
      </w:r>
      <w:r w:rsidR="007C64D2">
        <w:rPr>
          <w:rFonts w:ascii="Arial" w:hAnsi="Arial" w:cs="Arial"/>
          <w:sz w:val="22"/>
          <w:szCs w:val="22"/>
          <w:lang w:val="fr-FR"/>
        </w:rPr>
        <w:t>’</w:t>
      </w:r>
      <w:r w:rsidR="007C64D2" w:rsidRPr="00290E29">
        <w:rPr>
          <w:rFonts w:ascii="Arial" w:hAnsi="Arial" w:cs="Arial"/>
          <w:sz w:val="22"/>
          <w:szCs w:val="22"/>
          <w:lang w:val="fr-FR"/>
        </w:rPr>
        <w:t xml:space="preserve">UNESCO </w:t>
      </w:r>
      <w:r w:rsidR="007C64D2">
        <w:rPr>
          <w:rFonts w:ascii="Arial" w:hAnsi="Arial" w:cs="Arial"/>
          <w:sz w:val="22"/>
          <w:szCs w:val="22"/>
          <w:lang w:val="fr-FR"/>
        </w:rPr>
        <w:t>accordé à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Afrique ; </w:t>
      </w:r>
    </w:p>
    <w:p w14:paraId="6D45F5DE" w14:textId="69C475C8" w:rsidR="004D6A2C" w:rsidRPr="00C3754F" w:rsidRDefault="004D6A2C" w:rsidP="00107644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="Arial" w:eastAsiaTheme="minorEastAsia" w:hAnsi="Arial" w:cs="Arial"/>
          <w:sz w:val="22"/>
          <w:szCs w:val="22"/>
          <w:lang w:val="fr-FR"/>
        </w:rPr>
      </w:pPr>
      <w:r w:rsidRPr="007C64D2">
        <w:rPr>
          <w:rFonts w:ascii="Arial" w:hAnsi="Arial" w:cs="Arial"/>
          <w:b/>
          <w:sz w:val="22"/>
          <w:szCs w:val="22"/>
          <w:lang w:val="fr-FR"/>
        </w:rPr>
        <w:t>Prie instamment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les États membres de la COI, en particulier les États membres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IOCAFRICA, d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accroître leur contribution volontaire et en nature à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IOCAFRICA, notamment le détachement et le prêt de personnel technique et administratif, ainsi que les contributions financières affectées au renforcement du Secrétariat ;</w:t>
      </w:r>
    </w:p>
    <w:p w14:paraId="1BE707F9" w14:textId="368C1486" w:rsidR="00733A53" w:rsidRPr="00C3754F" w:rsidRDefault="002E03E9" w:rsidP="00DC11A8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="Arial" w:hAnsi="Arial" w:cs="Arial"/>
          <w:sz w:val="22"/>
          <w:szCs w:val="22"/>
          <w:lang w:val="fr-FR"/>
        </w:rPr>
      </w:pPr>
      <w:r w:rsidRPr="007C64D2">
        <w:rPr>
          <w:rFonts w:ascii="Arial" w:hAnsi="Arial" w:cs="Arial"/>
          <w:b/>
          <w:sz w:val="22"/>
          <w:szCs w:val="22"/>
          <w:lang w:val="fr-FR"/>
        </w:rPr>
        <w:t>Encourage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le renforcement de la collaboration avec les partenaires stratégiques, les communautés économiques régionales et les organismes de développement afin d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établir des postes de soutien technique et programmatique financés conjointement ;</w:t>
      </w:r>
    </w:p>
    <w:p w14:paraId="71080706" w14:textId="0EF06905" w:rsidR="007F4DC0" w:rsidRPr="00C3754F" w:rsidRDefault="007F4DC0" w:rsidP="00DC11A8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="Arial" w:hAnsi="Arial" w:cs="Arial"/>
          <w:sz w:val="22"/>
          <w:szCs w:val="22"/>
          <w:lang w:val="fr-FR"/>
        </w:rPr>
      </w:pPr>
      <w:r w:rsidRPr="007C64D2">
        <w:rPr>
          <w:rFonts w:ascii="Arial" w:hAnsi="Arial" w:cs="Arial"/>
          <w:b/>
          <w:sz w:val="22"/>
          <w:szCs w:val="22"/>
          <w:lang w:val="fr-FR"/>
        </w:rPr>
        <w:t>Reconnaissant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</w:t>
      </w:r>
      <w:r w:rsidR="007C64D2">
        <w:rPr>
          <w:rFonts w:ascii="Arial" w:hAnsi="Arial" w:cs="Arial"/>
          <w:sz w:val="22"/>
          <w:szCs w:val="22"/>
          <w:lang w:val="fr-FR"/>
        </w:rPr>
        <w:t>qu’il importe que l’IOCAFRICA dispose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d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une base de financement stable </w:t>
      </w:r>
      <w:r w:rsidR="00877AFF">
        <w:rPr>
          <w:rFonts w:ascii="Arial" w:hAnsi="Arial" w:cs="Arial"/>
          <w:sz w:val="22"/>
          <w:szCs w:val="22"/>
          <w:lang w:val="fr-FR"/>
        </w:rPr>
        <w:t>qui lui</w:t>
      </w:r>
      <w:r w:rsidR="007C64D2">
        <w:rPr>
          <w:rFonts w:ascii="Arial" w:hAnsi="Arial" w:cs="Arial"/>
          <w:sz w:val="22"/>
          <w:szCs w:val="22"/>
          <w:lang w:val="fr-FR"/>
        </w:rPr>
        <w:t xml:space="preserve"> </w:t>
      </w:r>
      <w:r w:rsidRPr="00290E29">
        <w:rPr>
          <w:rFonts w:ascii="Arial" w:hAnsi="Arial" w:cs="Arial"/>
          <w:sz w:val="22"/>
          <w:szCs w:val="22"/>
          <w:lang w:val="fr-FR"/>
        </w:rPr>
        <w:t>permett</w:t>
      </w:r>
      <w:r w:rsidR="00877AFF">
        <w:rPr>
          <w:rFonts w:ascii="Arial" w:hAnsi="Arial" w:cs="Arial"/>
          <w:sz w:val="22"/>
          <w:szCs w:val="22"/>
          <w:lang w:val="fr-FR"/>
        </w:rPr>
        <w:t>e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de s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acquitter efficacement </w:t>
      </w:r>
      <w:r w:rsidR="007C64D2">
        <w:rPr>
          <w:rFonts w:ascii="Arial" w:hAnsi="Arial" w:cs="Arial"/>
          <w:sz w:val="22"/>
          <w:szCs w:val="22"/>
          <w:lang w:val="fr-FR"/>
        </w:rPr>
        <w:t xml:space="preserve">de </w:t>
      </w:r>
      <w:r w:rsidRPr="00290E29">
        <w:rPr>
          <w:rFonts w:ascii="Arial" w:hAnsi="Arial" w:cs="Arial"/>
          <w:sz w:val="22"/>
          <w:szCs w:val="22"/>
          <w:lang w:val="fr-FR"/>
        </w:rPr>
        <w:t>son double mandat de mécanisme de coordination régionale de la COI et de Bureau de coordination de la Décennie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Océan pour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Afrique,</w:t>
      </w:r>
    </w:p>
    <w:p w14:paraId="59092DB3" w14:textId="0C48529C" w:rsidR="008871E8" w:rsidRPr="00C3754F" w:rsidRDefault="00C17960" w:rsidP="00DC11A8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="Arial" w:hAnsi="Arial" w:cs="Arial"/>
          <w:sz w:val="22"/>
          <w:szCs w:val="22"/>
          <w:lang w:val="fr-FR"/>
        </w:rPr>
      </w:pPr>
      <w:r w:rsidRPr="00877AFF">
        <w:rPr>
          <w:rFonts w:ascii="Arial" w:hAnsi="Arial" w:cs="Arial"/>
          <w:b/>
          <w:sz w:val="22"/>
          <w:szCs w:val="22"/>
          <w:lang w:val="fr-FR"/>
        </w:rPr>
        <w:t>Prie en outre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le Secrétaire exécutif de la COI, en consultation avec le bureau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IOCAFRICA, d</w:t>
      </w:r>
      <w:r w:rsidR="00877AFF">
        <w:rPr>
          <w:rFonts w:ascii="Arial" w:hAnsi="Arial" w:cs="Arial"/>
          <w:sz w:val="22"/>
          <w:szCs w:val="22"/>
          <w:lang w:val="fr-FR"/>
        </w:rPr>
        <w:t>e réfléchir</w:t>
      </w:r>
      <w:r w:rsidRPr="00290E29">
        <w:rPr>
          <w:rFonts w:ascii="Arial" w:hAnsi="Arial" w:cs="Arial"/>
          <w:sz w:val="22"/>
          <w:szCs w:val="22"/>
          <w:lang w:val="fr-FR"/>
        </w:rPr>
        <w:t> :</w:t>
      </w:r>
    </w:p>
    <w:p w14:paraId="00899A7F" w14:textId="602F12EC" w:rsidR="008871E8" w:rsidRPr="00C3754F" w:rsidRDefault="00877AFF" w:rsidP="00DC11A8">
      <w:pPr>
        <w:pStyle w:val="ListParagraph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>
        <w:rPr>
          <w:rFonts w:ascii="Arial" w:hAnsi="Arial" w:cs="Arial"/>
          <w:sz w:val="22"/>
          <w:szCs w:val="22"/>
          <w:lang w:val="fr-FR"/>
        </w:rPr>
        <w:t>à</w:t>
      </w:r>
      <w:proofErr w:type="gramEnd"/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="007F4DC0" w:rsidRPr="00290E29">
        <w:rPr>
          <w:rFonts w:ascii="Arial" w:hAnsi="Arial" w:cs="Arial"/>
          <w:sz w:val="22"/>
          <w:szCs w:val="22"/>
          <w:lang w:val="fr-FR"/>
        </w:rPr>
        <w:t>une proposition de fonds de soutien consacré à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="007F4DC0" w:rsidRPr="00290E29">
        <w:rPr>
          <w:rFonts w:ascii="Arial" w:hAnsi="Arial" w:cs="Arial"/>
          <w:sz w:val="22"/>
          <w:szCs w:val="22"/>
          <w:lang w:val="fr-FR"/>
        </w:rPr>
        <w:t>IOCAFRICA au titre du Compte spécial de la COI qui serait présentée au Conseil exécutif de la COI à sa 59</w:t>
      </w:r>
      <w:r w:rsidR="007F4DC0" w:rsidRPr="00877AFF">
        <w:rPr>
          <w:rFonts w:ascii="Arial" w:hAnsi="Arial" w:cs="Arial"/>
          <w:sz w:val="22"/>
          <w:szCs w:val="22"/>
          <w:vertAlign w:val="superscript"/>
          <w:lang w:val="fr-FR"/>
        </w:rPr>
        <w:t>e</w:t>
      </w:r>
      <w:r>
        <w:rPr>
          <w:rFonts w:ascii="Arial" w:hAnsi="Arial" w:cs="Arial"/>
          <w:sz w:val="22"/>
          <w:szCs w:val="22"/>
          <w:lang w:val="fr-FR"/>
        </w:rPr>
        <w:t> </w:t>
      </w:r>
      <w:r w:rsidR="007F4DC0" w:rsidRPr="00290E29">
        <w:rPr>
          <w:rFonts w:ascii="Arial" w:hAnsi="Arial" w:cs="Arial"/>
          <w:sz w:val="22"/>
          <w:szCs w:val="22"/>
          <w:lang w:val="fr-FR"/>
        </w:rPr>
        <w:t>session ; et</w:t>
      </w:r>
    </w:p>
    <w:p w14:paraId="5C0265FE" w14:textId="11A7748D" w:rsidR="007F4DC0" w:rsidRPr="00C3754F" w:rsidRDefault="00877AFF" w:rsidP="00DC11A8">
      <w:pPr>
        <w:pStyle w:val="ListParagraph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>
        <w:rPr>
          <w:rFonts w:ascii="Arial" w:hAnsi="Arial" w:cs="Arial"/>
          <w:sz w:val="22"/>
          <w:szCs w:val="22"/>
          <w:lang w:val="fr-FR"/>
        </w:rPr>
        <w:t>aux</w:t>
      </w:r>
      <w:proofErr w:type="gramEnd"/>
      <w:r w:rsidR="007F4DC0" w:rsidRPr="00290E29">
        <w:rPr>
          <w:rFonts w:ascii="Arial" w:hAnsi="Arial" w:cs="Arial"/>
          <w:sz w:val="22"/>
          <w:szCs w:val="22"/>
          <w:lang w:val="fr-FR"/>
        </w:rPr>
        <w:t xml:space="preserve"> possibilités </w:t>
      </w:r>
      <w:r>
        <w:rPr>
          <w:rFonts w:ascii="Arial" w:hAnsi="Arial" w:cs="Arial"/>
          <w:sz w:val="22"/>
          <w:szCs w:val="22"/>
          <w:lang w:val="fr-FR"/>
        </w:rPr>
        <w:t>offertes</w:t>
      </w:r>
      <w:r w:rsidR="007F4DC0" w:rsidRPr="00290E29">
        <w:rPr>
          <w:rFonts w:ascii="Arial" w:hAnsi="Arial" w:cs="Arial"/>
          <w:sz w:val="22"/>
          <w:szCs w:val="22"/>
          <w:lang w:val="fr-FR"/>
        </w:rPr>
        <w:t xml:space="preserve"> par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="007F4DC0" w:rsidRPr="00290E29">
        <w:rPr>
          <w:rFonts w:ascii="Arial" w:hAnsi="Arial" w:cs="Arial"/>
          <w:sz w:val="22"/>
          <w:szCs w:val="22"/>
          <w:lang w:val="fr-FR"/>
        </w:rPr>
        <w:t>article 10.4 des Statuts de la Commission, telles que la mise en place de mécanismes financiers à des fins spécifiques ou d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="007F4DC0" w:rsidRPr="00290E29">
        <w:rPr>
          <w:rFonts w:ascii="Arial" w:hAnsi="Arial" w:cs="Arial"/>
          <w:sz w:val="22"/>
          <w:szCs w:val="22"/>
          <w:lang w:val="fr-FR"/>
        </w:rPr>
        <w:t>accords de partage des coûts avec les États membres donateurs, et de présenter une proposition à cet égard à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="007F4DC0" w:rsidRPr="00290E29">
        <w:rPr>
          <w:rFonts w:ascii="Arial" w:hAnsi="Arial" w:cs="Arial"/>
          <w:sz w:val="22"/>
          <w:szCs w:val="22"/>
          <w:lang w:val="fr-FR"/>
        </w:rPr>
        <w:t>Assemblée de la COI à sa 34</w:t>
      </w:r>
      <w:r w:rsidR="007F4DC0" w:rsidRPr="00877AFF">
        <w:rPr>
          <w:rFonts w:ascii="Arial" w:hAnsi="Arial" w:cs="Arial"/>
          <w:sz w:val="22"/>
          <w:szCs w:val="22"/>
          <w:vertAlign w:val="superscript"/>
          <w:lang w:val="fr-FR"/>
        </w:rPr>
        <w:t>e</w:t>
      </w:r>
      <w:r>
        <w:rPr>
          <w:rFonts w:ascii="Arial" w:hAnsi="Arial" w:cs="Arial"/>
          <w:sz w:val="22"/>
          <w:szCs w:val="22"/>
          <w:lang w:val="fr-FR"/>
        </w:rPr>
        <w:t> </w:t>
      </w:r>
      <w:r w:rsidR="007F4DC0" w:rsidRPr="00290E29">
        <w:rPr>
          <w:rFonts w:ascii="Arial" w:hAnsi="Arial" w:cs="Arial"/>
          <w:sz w:val="22"/>
          <w:szCs w:val="22"/>
          <w:lang w:val="fr-FR"/>
        </w:rPr>
        <w:t>session ;</w:t>
      </w:r>
    </w:p>
    <w:p w14:paraId="332781AA" w14:textId="4111C3B7" w:rsidR="0052525E" w:rsidRPr="00F2792A" w:rsidRDefault="00361A7F" w:rsidP="00C44F8A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877AFF">
        <w:rPr>
          <w:rFonts w:ascii="Arial" w:hAnsi="Arial" w:cs="Arial"/>
          <w:b/>
          <w:sz w:val="22"/>
          <w:szCs w:val="22"/>
          <w:lang w:val="fr-FR"/>
        </w:rPr>
        <w:t>Appelle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les bureaux hors Siège et les centres de catégorie 2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UNESCO en Afrique à harmoniser leurs cadres de coopération technique avec les priorités et les besoins en personnel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IOCAFRICA, en </w:t>
      </w:r>
      <w:r w:rsidR="00994128">
        <w:rPr>
          <w:rFonts w:ascii="Arial" w:hAnsi="Arial" w:cs="Arial"/>
          <w:sz w:val="22"/>
          <w:szCs w:val="22"/>
          <w:lang w:val="fr-FR"/>
        </w:rPr>
        <w:t>favorisant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la mise en commun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assistance technique lorsque cela est possible ;</w:t>
      </w:r>
    </w:p>
    <w:p w14:paraId="71B840AA" w14:textId="3F887869" w:rsidR="008F6776" w:rsidRPr="00C3754F" w:rsidRDefault="008F6776" w:rsidP="00C44F8A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="Arial" w:hAnsi="Arial" w:cs="Arial"/>
          <w:bCs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Rappelant</w:t>
      </w:r>
      <w:r w:rsidR="00F03497">
        <w:rPr>
          <w:rFonts w:ascii="Arial" w:hAnsi="Arial" w:cs="Arial"/>
          <w:b/>
          <w:sz w:val="22"/>
          <w:szCs w:val="22"/>
          <w:lang w:val="fr-FR"/>
        </w:rPr>
        <w:t xml:space="preserve"> également</w:t>
      </w:r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r>
        <w:rPr>
          <w:rFonts w:ascii="Arial" w:hAnsi="Arial" w:cs="Arial"/>
          <w:bCs/>
          <w:sz w:val="22"/>
          <w:szCs w:val="22"/>
          <w:lang w:val="fr-FR"/>
        </w:rPr>
        <w:t>la désignation de l’Afrique comme priorité globale et la décision prise par les États membres du Conseil exécutif à sa 216</w:t>
      </w:r>
      <w:r w:rsidRPr="00F2792A">
        <w:rPr>
          <w:rFonts w:ascii="Arial" w:hAnsi="Arial" w:cs="Arial"/>
          <w:bCs/>
          <w:sz w:val="22"/>
          <w:szCs w:val="22"/>
          <w:vertAlign w:val="superscript"/>
          <w:lang w:val="fr-FR"/>
        </w:rPr>
        <w:t>e</w:t>
      </w:r>
      <w:r>
        <w:rPr>
          <w:rFonts w:ascii="Arial" w:hAnsi="Arial" w:cs="Arial"/>
          <w:bCs/>
          <w:sz w:val="22"/>
          <w:szCs w:val="22"/>
          <w:lang w:val="fr-FR"/>
        </w:rPr>
        <w:t xml:space="preserve"> session, approuvée par la Conférence générale</w:t>
      </w:r>
      <w:r w:rsidRPr="008F6776">
        <w:rPr>
          <w:rFonts w:ascii="Arial" w:hAnsi="Arial" w:cs="Arial"/>
          <w:sz w:val="22"/>
          <w:szCs w:val="22"/>
          <w:lang w:val="fr-FR"/>
        </w:rPr>
        <w:t xml:space="preserve"> </w:t>
      </w:r>
      <w:r w:rsidRPr="00290E29">
        <w:rPr>
          <w:rFonts w:ascii="Arial" w:hAnsi="Arial" w:cs="Arial"/>
          <w:sz w:val="22"/>
          <w:szCs w:val="22"/>
          <w:lang w:val="fr-FR"/>
        </w:rPr>
        <w:t>de l</w:t>
      </w:r>
      <w:r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UNESCO dans </w:t>
      </w:r>
      <w:r>
        <w:rPr>
          <w:rFonts w:ascii="Arial" w:hAnsi="Arial" w:cs="Arial"/>
          <w:sz w:val="22"/>
          <w:szCs w:val="22"/>
          <w:lang w:val="fr-FR"/>
        </w:rPr>
        <w:t>l</w:t>
      </w:r>
      <w:r w:rsidRPr="00290E29">
        <w:rPr>
          <w:rFonts w:ascii="Arial" w:hAnsi="Arial" w:cs="Arial"/>
          <w:sz w:val="22"/>
          <w:szCs w:val="22"/>
          <w:lang w:val="fr-FR"/>
        </w:rPr>
        <w:t>a Résolution portant ouverture de crédits du 42</w:t>
      </w:r>
      <w:r>
        <w:rPr>
          <w:rFonts w:ascii="Arial" w:hAnsi="Arial" w:cs="Arial"/>
          <w:sz w:val="22"/>
          <w:szCs w:val="22"/>
          <w:lang w:val="fr-FR"/>
        </w:rPr>
        <w:t> 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C/5, selon laquelle la part </w:t>
      </w:r>
      <w:r w:rsidR="00582CB6" w:rsidRPr="00290E29">
        <w:rPr>
          <w:rFonts w:ascii="Arial" w:hAnsi="Arial" w:cs="Arial"/>
          <w:sz w:val="22"/>
          <w:szCs w:val="22"/>
          <w:lang w:val="fr-FR"/>
        </w:rPr>
        <w:t>alloué</w:t>
      </w:r>
      <w:r w:rsidR="00582CB6">
        <w:rPr>
          <w:rFonts w:ascii="Arial" w:hAnsi="Arial" w:cs="Arial"/>
          <w:sz w:val="22"/>
          <w:szCs w:val="22"/>
          <w:lang w:val="fr-FR"/>
        </w:rPr>
        <w:t>e</w:t>
      </w:r>
      <w:r w:rsidR="00582CB6" w:rsidRPr="00290E29">
        <w:rPr>
          <w:rFonts w:ascii="Arial" w:hAnsi="Arial" w:cs="Arial"/>
          <w:sz w:val="22"/>
          <w:szCs w:val="22"/>
          <w:lang w:val="fr-FR"/>
        </w:rPr>
        <w:t xml:space="preserve"> à la COI </w:t>
      </w:r>
      <w:r w:rsidR="00582CB6">
        <w:rPr>
          <w:rFonts w:ascii="Arial" w:hAnsi="Arial" w:cs="Arial"/>
          <w:sz w:val="22"/>
          <w:szCs w:val="22"/>
          <w:lang w:val="fr-FR"/>
        </w:rPr>
        <w:t>dans le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budget ordinaire</w:t>
      </w:r>
      <w:r w:rsidR="00582CB6">
        <w:rPr>
          <w:rFonts w:ascii="Arial" w:hAnsi="Arial" w:cs="Arial"/>
          <w:sz w:val="22"/>
          <w:szCs w:val="22"/>
          <w:lang w:val="fr-FR"/>
        </w:rPr>
        <w:t xml:space="preserve"> global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disponible de l</w:t>
      </w:r>
      <w:r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UNESCO ne doit pas être inférieure à 3</w:t>
      </w:r>
      <w:r>
        <w:rPr>
          <w:rFonts w:ascii="Arial" w:hAnsi="Arial" w:cs="Arial"/>
          <w:sz w:val="22"/>
          <w:szCs w:val="22"/>
          <w:lang w:val="fr-FR"/>
        </w:rPr>
        <w:t> </w:t>
      </w:r>
      <w:r w:rsidRPr="00290E29">
        <w:rPr>
          <w:rFonts w:ascii="Arial" w:hAnsi="Arial" w:cs="Arial"/>
          <w:sz w:val="22"/>
          <w:szCs w:val="22"/>
          <w:lang w:val="fr-FR"/>
        </w:rPr>
        <w:t>%,</w:t>
      </w:r>
    </w:p>
    <w:p w14:paraId="27348657" w14:textId="751D8811" w:rsidR="005D56A6" w:rsidRPr="00C3754F" w:rsidRDefault="005D56A6" w:rsidP="00C44F8A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="Arial" w:hAnsi="Arial" w:cs="Arial"/>
          <w:sz w:val="22"/>
          <w:szCs w:val="22"/>
          <w:lang w:val="fr-FR"/>
        </w:rPr>
      </w:pPr>
      <w:r w:rsidRPr="00877AFF">
        <w:rPr>
          <w:rFonts w:ascii="Arial" w:hAnsi="Arial" w:cs="Arial"/>
          <w:b/>
          <w:sz w:val="22"/>
          <w:szCs w:val="22"/>
          <w:lang w:val="fr-FR"/>
        </w:rPr>
        <w:t>Prie</w:t>
      </w:r>
      <w:r w:rsidR="008F6776">
        <w:rPr>
          <w:rFonts w:ascii="Arial" w:hAnsi="Arial" w:cs="Arial"/>
          <w:b/>
          <w:sz w:val="22"/>
          <w:szCs w:val="22"/>
          <w:lang w:val="fr-FR"/>
        </w:rPr>
        <w:t xml:space="preserve"> instamment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 la Directrice générale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 xml:space="preserve">UNESCO de prendre sans délai des mesures de gestion </w:t>
      </w:r>
      <w:r w:rsidR="00F03497">
        <w:rPr>
          <w:rFonts w:ascii="Arial" w:hAnsi="Arial" w:cs="Arial"/>
          <w:sz w:val="22"/>
          <w:szCs w:val="22"/>
          <w:lang w:val="fr-FR"/>
        </w:rPr>
        <w:t xml:space="preserve">afin de mettre à disposition </w:t>
      </w:r>
      <w:r w:rsidRPr="00290E29">
        <w:rPr>
          <w:rFonts w:ascii="Arial" w:hAnsi="Arial" w:cs="Arial"/>
          <w:sz w:val="22"/>
          <w:szCs w:val="22"/>
          <w:lang w:val="fr-FR"/>
        </w:rPr>
        <w:t>les fonds nécessaires pour achever la mise en œuvre des activités approuvées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IOCAFRICA pour le reste de l</w:t>
      </w:r>
      <w:r w:rsidR="00900761">
        <w:rPr>
          <w:rFonts w:ascii="Arial" w:hAnsi="Arial" w:cs="Arial"/>
          <w:sz w:val="22"/>
          <w:szCs w:val="22"/>
          <w:lang w:val="fr-FR"/>
        </w:rPr>
        <w:t>’</w:t>
      </w:r>
      <w:r w:rsidRPr="00290E29">
        <w:rPr>
          <w:rFonts w:ascii="Arial" w:hAnsi="Arial" w:cs="Arial"/>
          <w:sz w:val="22"/>
          <w:szCs w:val="22"/>
          <w:lang w:val="fr-FR"/>
        </w:rPr>
        <w:t>exercice biennal 2024-2025.</w:t>
      </w:r>
    </w:p>
    <w:sectPr w:rsidR="005D56A6" w:rsidRPr="00C3754F" w:rsidSect="0049169A">
      <w:headerReference w:type="even" r:id="rId8"/>
      <w:headerReference w:type="default" r:id="rId9"/>
      <w:pgSz w:w="11906" w:h="16838"/>
      <w:pgMar w:top="1440" w:right="1080" w:bottom="1440" w:left="10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1E49F" w14:textId="77777777" w:rsidR="00D971A4" w:rsidRDefault="00D971A4" w:rsidP="0073078E">
      <w:r>
        <w:separator/>
      </w:r>
    </w:p>
  </w:endnote>
  <w:endnote w:type="continuationSeparator" w:id="0">
    <w:p w14:paraId="33C89B3F" w14:textId="77777777" w:rsidR="00D971A4" w:rsidRDefault="00D971A4" w:rsidP="0073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DFE9C" w14:textId="77777777" w:rsidR="00D971A4" w:rsidRDefault="00D971A4" w:rsidP="0073078E">
      <w:r>
        <w:separator/>
      </w:r>
    </w:p>
  </w:footnote>
  <w:footnote w:type="continuationSeparator" w:id="0">
    <w:p w14:paraId="2159B331" w14:textId="77777777" w:rsidR="00D971A4" w:rsidRDefault="00D971A4" w:rsidP="00730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3D00" w14:textId="6611831B" w:rsidR="00DC168C" w:rsidRPr="005533C7" w:rsidRDefault="00231E87" w:rsidP="00DC168C">
    <w:pPr>
      <w:pStyle w:val="Header"/>
      <w:rPr>
        <w:rFonts w:ascii="Arial" w:hAnsi="Arial" w:cs="Arial"/>
        <w:bCs/>
        <w:sz w:val="20"/>
        <w:szCs w:val="20"/>
        <w:lang w:val="en-US"/>
      </w:rPr>
    </w:pPr>
    <w:r w:rsidRPr="00231E87">
      <w:rPr>
        <w:rFonts w:ascii="Arial" w:hAnsi="Arial" w:cs="Arial"/>
        <w:bCs/>
        <w:sz w:val="20"/>
        <w:szCs w:val="20"/>
      </w:rPr>
      <w:t>IOC</w:t>
    </w:r>
    <w:r w:rsidR="00C3754F">
      <w:rPr>
        <w:rFonts w:ascii="Arial" w:hAnsi="Arial" w:cs="Arial"/>
        <w:bCs/>
        <w:sz w:val="20"/>
        <w:szCs w:val="20"/>
      </w:rPr>
      <w:t>/A</w:t>
    </w:r>
    <w:r w:rsidRPr="00231E87">
      <w:rPr>
        <w:rFonts w:ascii="Arial" w:hAnsi="Arial" w:cs="Arial"/>
        <w:bCs/>
        <w:sz w:val="20"/>
        <w:szCs w:val="20"/>
      </w:rPr>
      <w:t>-33/</w:t>
    </w:r>
    <w:r w:rsidRPr="00231E87">
      <w:rPr>
        <w:rFonts w:ascii="Arial" w:hAnsi="Arial" w:cs="Arial"/>
        <w:bCs/>
        <w:sz w:val="20"/>
        <w:szCs w:val="20"/>
      </w:rPr>
      <w:t>DR.[</w:t>
    </w:r>
    <w:r w:rsidR="00BD60D4">
      <w:rPr>
        <w:rFonts w:ascii="Arial" w:hAnsi="Arial" w:cs="Arial"/>
        <w:bCs/>
        <w:sz w:val="20"/>
        <w:szCs w:val="20"/>
      </w:rPr>
      <w:t>3.3.1</w:t>
    </w:r>
    <w:r w:rsidRPr="00231E87">
      <w:rPr>
        <w:rFonts w:ascii="Arial" w:hAnsi="Arial" w:cs="Arial"/>
        <w:bCs/>
        <w:sz w:val="20"/>
        <w:szCs w:val="20"/>
      </w:rPr>
      <w:t>]</w:t>
    </w:r>
  </w:p>
  <w:p w14:paraId="4027C89D" w14:textId="4548E32B" w:rsidR="00751574" w:rsidRPr="00C75ECE" w:rsidRDefault="0073078E" w:rsidP="00C75ECE">
    <w:pPr>
      <w:pStyle w:val="Header"/>
      <w:rPr>
        <w:rFonts w:ascii="Arial" w:hAnsi="Arial" w:cs="Arial"/>
        <w:bCs/>
        <w:sz w:val="20"/>
        <w:szCs w:val="20"/>
        <w:lang w:val="fr-FR"/>
      </w:rPr>
    </w:pPr>
    <w:r w:rsidRPr="00231E87">
      <w:rPr>
        <w:rFonts w:ascii="Arial" w:hAnsi="Arial" w:cs="Arial"/>
        <w:bCs/>
        <w:sz w:val="20"/>
        <w:szCs w:val="20"/>
        <w:lang w:val="fr-FR"/>
      </w:rPr>
      <w:t xml:space="preserve">page </w:t>
    </w:r>
    <w:r w:rsidR="00DC168C" w:rsidRPr="00231E87">
      <w:rPr>
        <w:rFonts w:ascii="Arial" w:hAnsi="Arial" w:cs="Arial"/>
        <w:bCs/>
        <w:sz w:val="20"/>
        <w:szCs w:val="20"/>
        <w:lang w:val="fr-FR"/>
      </w:rPr>
      <w:fldChar w:fldCharType="begin"/>
    </w:r>
    <w:r w:rsidR="00DC168C" w:rsidRPr="00231E87">
      <w:rPr>
        <w:rFonts w:ascii="Arial" w:hAnsi="Arial" w:cs="Arial"/>
        <w:bCs/>
        <w:sz w:val="20"/>
        <w:szCs w:val="20"/>
        <w:lang w:val="fr-FR"/>
      </w:rPr>
      <w:instrText xml:space="preserve"> PAGE   \* MERGEFORMAT </w:instrText>
    </w:r>
    <w:r w:rsidR="00DC168C" w:rsidRPr="00231E87">
      <w:rPr>
        <w:rFonts w:ascii="Arial" w:hAnsi="Arial" w:cs="Arial"/>
        <w:bCs/>
        <w:sz w:val="20"/>
        <w:szCs w:val="20"/>
        <w:lang w:val="fr-FR"/>
      </w:rPr>
      <w:fldChar w:fldCharType="separate"/>
    </w:r>
    <w:r w:rsidR="00397F12">
      <w:rPr>
        <w:rFonts w:ascii="Arial" w:hAnsi="Arial" w:cs="Arial"/>
        <w:bCs/>
        <w:noProof/>
        <w:sz w:val="20"/>
        <w:szCs w:val="20"/>
        <w:lang w:val="fr-FR"/>
      </w:rPr>
      <w:t>4</w:t>
    </w:r>
    <w:r w:rsidR="00DC168C" w:rsidRPr="00231E87">
      <w:rPr>
        <w:rFonts w:ascii="Arial" w:hAnsi="Arial" w:cs="Arial"/>
        <w:bCs/>
        <w:noProof/>
        <w:sz w:val="20"/>
        <w:szCs w:val="20"/>
        <w:lang w:val="fr-F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EE603" w14:textId="4258CB7C" w:rsidR="00231E87" w:rsidRPr="00BA7FAD" w:rsidRDefault="00231E87" w:rsidP="00231E87">
    <w:pPr>
      <w:pStyle w:val="Header"/>
      <w:rPr>
        <w:rFonts w:ascii="Arial" w:eastAsiaTheme="minorEastAsia" w:hAnsi="Arial" w:cs="Arial"/>
        <w:bCs/>
        <w:sz w:val="20"/>
        <w:szCs w:val="20"/>
        <w:lang w:eastAsia="zh-CN"/>
      </w:rPr>
    </w:pPr>
    <w:r w:rsidRPr="00231E87">
      <w:rPr>
        <w:rFonts w:ascii="Arial" w:hAnsi="Arial" w:cs="Arial"/>
        <w:bCs/>
        <w:sz w:val="20"/>
        <w:szCs w:val="20"/>
      </w:rPr>
      <w:t>IOC</w:t>
    </w:r>
    <w:r w:rsidR="00C3754F">
      <w:rPr>
        <w:rFonts w:ascii="Arial" w:hAnsi="Arial" w:cs="Arial"/>
        <w:bCs/>
        <w:sz w:val="20"/>
        <w:szCs w:val="20"/>
      </w:rPr>
      <w:t>/A</w:t>
    </w:r>
    <w:r w:rsidRPr="00231E87">
      <w:rPr>
        <w:rFonts w:ascii="Arial" w:hAnsi="Arial" w:cs="Arial"/>
        <w:bCs/>
        <w:sz w:val="20"/>
        <w:szCs w:val="20"/>
      </w:rPr>
      <w:t>-33/</w:t>
    </w:r>
    <w:r w:rsidRPr="00231E87">
      <w:rPr>
        <w:rFonts w:ascii="Arial" w:hAnsi="Arial" w:cs="Arial"/>
        <w:bCs/>
        <w:sz w:val="20"/>
        <w:szCs w:val="20"/>
      </w:rPr>
      <w:t>DR.[</w:t>
    </w:r>
    <w:r w:rsidR="00BA7FAD">
      <w:rPr>
        <w:rFonts w:ascii="Arial" w:eastAsiaTheme="minorEastAsia" w:hAnsi="Arial" w:cs="Arial" w:hint="eastAsia"/>
        <w:bCs/>
        <w:sz w:val="20"/>
        <w:szCs w:val="20"/>
        <w:lang w:eastAsia="zh-CN"/>
      </w:rPr>
      <w:t>3.3.1</w:t>
    </w:r>
    <w:r w:rsidRPr="00231E87">
      <w:rPr>
        <w:rFonts w:ascii="Arial" w:hAnsi="Arial" w:cs="Arial"/>
        <w:bCs/>
        <w:sz w:val="20"/>
        <w:szCs w:val="20"/>
      </w:rPr>
      <w:t>]</w:t>
    </w:r>
  </w:p>
  <w:p w14:paraId="4A248E59" w14:textId="5BBA62F2" w:rsidR="00751574" w:rsidRPr="00C75ECE" w:rsidRDefault="00DC168C" w:rsidP="00C75ECE">
    <w:pPr>
      <w:pStyle w:val="Header"/>
      <w:rPr>
        <w:rFonts w:ascii="Arial" w:hAnsi="Arial" w:cs="Arial"/>
        <w:bCs/>
        <w:sz w:val="20"/>
        <w:szCs w:val="20"/>
        <w:lang w:val="fr-FR"/>
      </w:rPr>
    </w:pPr>
    <w:r w:rsidRPr="00231E87">
      <w:rPr>
        <w:rFonts w:ascii="Arial" w:hAnsi="Arial" w:cs="Arial"/>
        <w:bCs/>
        <w:sz w:val="20"/>
        <w:szCs w:val="20"/>
        <w:lang w:val="fr-FR"/>
      </w:rPr>
      <w:t>p</w:t>
    </w:r>
    <w:r w:rsidR="0073078E" w:rsidRPr="00231E87">
      <w:rPr>
        <w:rFonts w:ascii="Arial" w:hAnsi="Arial" w:cs="Arial"/>
        <w:bCs/>
        <w:sz w:val="20"/>
        <w:szCs w:val="20"/>
        <w:lang w:val="fr-FR"/>
      </w:rPr>
      <w:t xml:space="preserve">age </w:t>
    </w:r>
    <w:r w:rsidR="00413BC8" w:rsidRPr="00231E87">
      <w:rPr>
        <w:rFonts w:ascii="Arial" w:hAnsi="Arial" w:cs="Arial"/>
        <w:bCs/>
        <w:sz w:val="20"/>
        <w:szCs w:val="20"/>
        <w:lang w:val="fr-FR"/>
      </w:rPr>
      <w:fldChar w:fldCharType="begin"/>
    </w:r>
    <w:r w:rsidR="00413BC8" w:rsidRPr="00231E87">
      <w:rPr>
        <w:rFonts w:ascii="Arial" w:hAnsi="Arial" w:cs="Arial"/>
        <w:bCs/>
        <w:sz w:val="20"/>
        <w:szCs w:val="20"/>
        <w:lang w:val="fr-FR"/>
      </w:rPr>
      <w:instrText xml:space="preserve"> PAGE   \* MERGEFORMAT </w:instrText>
    </w:r>
    <w:r w:rsidR="00413BC8" w:rsidRPr="00231E87">
      <w:rPr>
        <w:rFonts w:ascii="Arial" w:hAnsi="Arial" w:cs="Arial"/>
        <w:bCs/>
        <w:sz w:val="20"/>
        <w:szCs w:val="20"/>
        <w:lang w:val="fr-FR"/>
      </w:rPr>
      <w:fldChar w:fldCharType="separate"/>
    </w:r>
    <w:r w:rsidR="00397F12">
      <w:rPr>
        <w:rFonts w:ascii="Arial" w:hAnsi="Arial" w:cs="Arial"/>
        <w:bCs/>
        <w:noProof/>
        <w:sz w:val="20"/>
        <w:szCs w:val="20"/>
        <w:lang w:val="fr-FR"/>
      </w:rPr>
      <w:t>5</w:t>
    </w:r>
    <w:r w:rsidR="00413BC8" w:rsidRPr="00231E87">
      <w:rPr>
        <w:rFonts w:ascii="Arial" w:hAnsi="Arial" w:cs="Arial"/>
        <w:bCs/>
        <w:noProof/>
        <w:sz w:val="20"/>
        <w:szCs w:val="20"/>
        <w:lang w:val="fr-F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39FB"/>
    <w:multiLevelType w:val="multilevel"/>
    <w:tmpl w:val="8214B8B2"/>
    <w:styleLink w:val="JCOMM-list"/>
    <w:lvl w:ilvl="0">
      <w:start w:val="1"/>
      <w:numFmt w:val="none"/>
      <w:suff w:val="nothing"/>
      <w:lvlText w:val=""/>
      <w:lvlJc w:val="center"/>
      <w:pPr>
        <w:ind w:left="0" w:firstLine="288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2"/>
      <w:lvlText w:val="%2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%3.%2"/>
      <w:lvlJc w:val="left"/>
      <w:pPr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5.%2.%3.%4."/>
      <w:lvlJc w:val="left"/>
      <w:pPr>
        <w:ind w:left="720" w:hanging="720"/>
      </w:pPr>
      <w:rPr>
        <w:rFonts w:ascii="Arial" w:hAnsi="Arial"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6437A2"/>
    <w:multiLevelType w:val="hybridMultilevel"/>
    <w:tmpl w:val="E3F82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D2F43"/>
    <w:multiLevelType w:val="hybridMultilevel"/>
    <w:tmpl w:val="7B26EED4"/>
    <w:lvl w:ilvl="0" w:tplc="1700C858">
      <w:start w:val="1"/>
      <w:numFmt w:val="lowerRoman"/>
      <w:lvlText w:val="(%1)"/>
      <w:lvlJc w:val="left"/>
      <w:pPr>
        <w:ind w:left="72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C66605E"/>
    <w:multiLevelType w:val="hybridMultilevel"/>
    <w:tmpl w:val="5A76F010"/>
    <w:lvl w:ilvl="0" w:tplc="454CD878">
      <w:start w:val="1"/>
      <w:numFmt w:val="decimal"/>
      <w:lvlText w:val="%1."/>
      <w:lvlJc w:val="left"/>
      <w:pPr>
        <w:ind w:left="153" w:hanging="360"/>
      </w:pPr>
      <w:rPr>
        <w:rFonts w:ascii="Arial" w:hAnsi="Arial" w:hint="default"/>
        <w:b w:val="0"/>
        <w:i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0CBF20D8"/>
    <w:multiLevelType w:val="hybridMultilevel"/>
    <w:tmpl w:val="6972A358"/>
    <w:lvl w:ilvl="0" w:tplc="8B98BED4">
      <w:start w:val="1"/>
      <w:numFmt w:val="upperRoman"/>
      <w:lvlText w:val="%1."/>
      <w:lvlJc w:val="left"/>
      <w:pPr>
        <w:ind w:left="72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F4138E1"/>
    <w:multiLevelType w:val="hybridMultilevel"/>
    <w:tmpl w:val="CEAC1B78"/>
    <w:lvl w:ilvl="0" w:tplc="3C8ADC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B59B7"/>
    <w:multiLevelType w:val="hybridMultilevel"/>
    <w:tmpl w:val="8736BA4C"/>
    <w:lvl w:ilvl="0" w:tplc="AAEC8A8C">
      <w:start w:val="1"/>
      <w:numFmt w:val="lowerRoman"/>
      <w:lvlText w:val="(%1)"/>
      <w:lvlJc w:val="left"/>
      <w:pPr>
        <w:ind w:left="873" w:hanging="720"/>
      </w:pPr>
      <w:rPr>
        <w:rFonts w:ascii="Arial" w:hAnsi="Arial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33" w:hanging="360"/>
      </w:pPr>
    </w:lvl>
    <w:lvl w:ilvl="2" w:tplc="040C001B" w:tentative="1">
      <w:start w:val="1"/>
      <w:numFmt w:val="lowerRoman"/>
      <w:lvlText w:val="%3."/>
      <w:lvlJc w:val="right"/>
      <w:pPr>
        <w:ind w:left="1953" w:hanging="180"/>
      </w:pPr>
    </w:lvl>
    <w:lvl w:ilvl="3" w:tplc="040C000F" w:tentative="1">
      <w:start w:val="1"/>
      <w:numFmt w:val="decimal"/>
      <w:lvlText w:val="%4."/>
      <w:lvlJc w:val="left"/>
      <w:pPr>
        <w:ind w:left="2673" w:hanging="360"/>
      </w:pPr>
    </w:lvl>
    <w:lvl w:ilvl="4" w:tplc="040C0019" w:tentative="1">
      <w:start w:val="1"/>
      <w:numFmt w:val="lowerLetter"/>
      <w:lvlText w:val="%5."/>
      <w:lvlJc w:val="left"/>
      <w:pPr>
        <w:ind w:left="3393" w:hanging="360"/>
      </w:pPr>
    </w:lvl>
    <w:lvl w:ilvl="5" w:tplc="040C001B" w:tentative="1">
      <w:start w:val="1"/>
      <w:numFmt w:val="lowerRoman"/>
      <w:lvlText w:val="%6."/>
      <w:lvlJc w:val="right"/>
      <w:pPr>
        <w:ind w:left="4113" w:hanging="180"/>
      </w:pPr>
    </w:lvl>
    <w:lvl w:ilvl="6" w:tplc="040C000F" w:tentative="1">
      <w:start w:val="1"/>
      <w:numFmt w:val="decimal"/>
      <w:lvlText w:val="%7."/>
      <w:lvlJc w:val="left"/>
      <w:pPr>
        <w:ind w:left="4833" w:hanging="360"/>
      </w:pPr>
    </w:lvl>
    <w:lvl w:ilvl="7" w:tplc="040C0019" w:tentative="1">
      <w:start w:val="1"/>
      <w:numFmt w:val="lowerLetter"/>
      <w:lvlText w:val="%8."/>
      <w:lvlJc w:val="left"/>
      <w:pPr>
        <w:ind w:left="5553" w:hanging="360"/>
      </w:pPr>
    </w:lvl>
    <w:lvl w:ilvl="8" w:tplc="040C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" w15:restartNumberingAfterBreak="0">
    <w:nsid w:val="3C426100"/>
    <w:multiLevelType w:val="hybridMultilevel"/>
    <w:tmpl w:val="6C14D09E"/>
    <w:lvl w:ilvl="0" w:tplc="FFFFFFFF">
      <w:start w:val="1"/>
      <w:numFmt w:val="decimal"/>
      <w:lvlText w:val="%1."/>
      <w:lvlJc w:val="left"/>
      <w:pPr>
        <w:ind w:left="153" w:hanging="360"/>
      </w:pPr>
      <w:rPr>
        <w:rFonts w:ascii="Arial" w:hAnsi="Arial" w:hint="default"/>
        <w:b w:val="0"/>
        <w:i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429475A6"/>
    <w:multiLevelType w:val="hybridMultilevel"/>
    <w:tmpl w:val="F3BE6406"/>
    <w:lvl w:ilvl="0" w:tplc="6D68BCE4">
      <w:start w:val="1"/>
      <w:numFmt w:val="lowerRoman"/>
      <w:lvlText w:val="(%1)"/>
      <w:lvlJc w:val="left"/>
      <w:pPr>
        <w:ind w:left="1290" w:hanging="72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9" w15:restartNumberingAfterBreak="0">
    <w:nsid w:val="42C13349"/>
    <w:multiLevelType w:val="hybridMultilevel"/>
    <w:tmpl w:val="8B9E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D1D01"/>
    <w:multiLevelType w:val="hybridMultilevel"/>
    <w:tmpl w:val="43FC94BA"/>
    <w:lvl w:ilvl="0" w:tplc="D1728D3A">
      <w:start w:val="1"/>
      <w:numFmt w:val="decimal"/>
      <w:lvlText w:val="%1."/>
      <w:lvlJc w:val="left"/>
      <w:pPr>
        <w:ind w:left="153" w:hanging="360"/>
      </w:pPr>
      <w:rPr>
        <w:rFonts w:ascii="Arial" w:hAnsi="Arial" w:hint="default"/>
        <w:b w:val="0"/>
        <w:i/>
        <w:sz w:val="20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4BD450B7"/>
    <w:multiLevelType w:val="hybridMultilevel"/>
    <w:tmpl w:val="A1F85074"/>
    <w:lvl w:ilvl="0" w:tplc="9BC8D4F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A077E"/>
    <w:multiLevelType w:val="hybridMultilevel"/>
    <w:tmpl w:val="72D012A6"/>
    <w:lvl w:ilvl="0" w:tplc="CAA2271A">
      <w:start w:val="1"/>
      <w:numFmt w:val="lowerRoman"/>
      <w:lvlText w:val="(%1)"/>
      <w:lvlJc w:val="left"/>
      <w:pPr>
        <w:ind w:left="159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3" w:hanging="360"/>
      </w:pPr>
    </w:lvl>
    <w:lvl w:ilvl="2" w:tplc="040C001B" w:tentative="1">
      <w:start w:val="1"/>
      <w:numFmt w:val="lowerRoman"/>
      <w:lvlText w:val="%3."/>
      <w:lvlJc w:val="right"/>
      <w:pPr>
        <w:ind w:left="2673" w:hanging="180"/>
      </w:pPr>
    </w:lvl>
    <w:lvl w:ilvl="3" w:tplc="040C000F" w:tentative="1">
      <w:start w:val="1"/>
      <w:numFmt w:val="decimal"/>
      <w:lvlText w:val="%4."/>
      <w:lvlJc w:val="left"/>
      <w:pPr>
        <w:ind w:left="3393" w:hanging="360"/>
      </w:pPr>
    </w:lvl>
    <w:lvl w:ilvl="4" w:tplc="040C0019" w:tentative="1">
      <w:start w:val="1"/>
      <w:numFmt w:val="lowerLetter"/>
      <w:lvlText w:val="%5."/>
      <w:lvlJc w:val="left"/>
      <w:pPr>
        <w:ind w:left="4113" w:hanging="360"/>
      </w:pPr>
    </w:lvl>
    <w:lvl w:ilvl="5" w:tplc="040C001B" w:tentative="1">
      <w:start w:val="1"/>
      <w:numFmt w:val="lowerRoman"/>
      <w:lvlText w:val="%6."/>
      <w:lvlJc w:val="right"/>
      <w:pPr>
        <w:ind w:left="4833" w:hanging="180"/>
      </w:pPr>
    </w:lvl>
    <w:lvl w:ilvl="6" w:tplc="040C000F" w:tentative="1">
      <w:start w:val="1"/>
      <w:numFmt w:val="decimal"/>
      <w:lvlText w:val="%7."/>
      <w:lvlJc w:val="left"/>
      <w:pPr>
        <w:ind w:left="5553" w:hanging="360"/>
      </w:pPr>
    </w:lvl>
    <w:lvl w:ilvl="7" w:tplc="040C0019" w:tentative="1">
      <w:start w:val="1"/>
      <w:numFmt w:val="lowerLetter"/>
      <w:lvlText w:val="%8."/>
      <w:lvlJc w:val="left"/>
      <w:pPr>
        <w:ind w:left="6273" w:hanging="360"/>
      </w:pPr>
    </w:lvl>
    <w:lvl w:ilvl="8" w:tplc="040C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3" w15:restartNumberingAfterBreak="0">
    <w:nsid w:val="52BF3846"/>
    <w:multiLevelType w:val="hybridMultilevel"/>
    <w:tmpl w:val="837A42F0"/>
    <w:lvl w:ilvl="0" w:tplc="90AC98C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601432EB"/>
    <w:multiLevelType w:val="hybridMultilevel"/>
    <w:tmpl w:val="5F0E0364"/>
    <w:lvl w:ilvl="0" w:tplc="957430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C76A1"/>
    <w:multiLevelType w:val="hybridMultilevel"/>
    <w:tmpl w:val="5AA4A35A"/>
    <w:lvl w:ilvl="0" w:tplc="6C544708">
      <w:start w:val="1"/>
      <w:numFmt w:val="decimal"/>
      <w:lvlText w:val="%1."/>
      <w:lvlJc w:val="left"/>
      <w:pPr>
        <w:ind w:left="-3" w:hanging="564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871453652">
    <w:abstractNumId w:val="11"/>
  </w:num>
  <w:num w:numId="2" w16cid:durableId="602036850">
    <w:abstractNumId w:val="14"/>
  </w:num>
  <w:num w:numId="3" w16cid:durableId="394742402">
    <w:abstractNumId w:val="0"/>
  </w:num>
  <w:num w:numId="4" w16cid:durableId="2101221934">
    <w:abstractNumId w:val="5"/>
  </w:num>
  <w:num w:numId="5" w16cid:durableId="640963930">
    <w:abstractNumId w:val="9"/>
  </w:num>
  <w:num w:numId="6" w16cid:durableId="18883735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7990778">
    <w:abstractNumId w:val="3"/>
  </w:num>
  <w:num w:numId="8" w16cid:durableId="987171366">
    <w:abstractNumId w:val="15"/>
  </w:num>
  <w:num w:numId="9" w16cid:durableId="751269832">
    <w:abstractNumId w:val="4"/>
  </w:num>
  <w:num w:numId="10" w16cid:durableId="1131050691">
    <w:abstractNumId w:val="13"/>
  </w:num>
  <w:num w:numId="11" w16cid:durableId="1094477694">
    <w:abstractNumId w:val="2"/>
  </w:num>
  <w:num w:numId="12" w16cid:durableId="1172061223">
    <w:abstractNumId w:val="1"/>
  </w:num>
  <w:num w:numId="13" w16cid:durableId="1263998746">
    <w:abstractNumId w:val="10"/>
  </w:num>
  <w:num w:numId="14" w16cid:durableId="1811245860">
    <w:abstractNumId w:val="7"/>
  </w:num>
  <w:num w:numId="15" w16cid:durableId="69161188">
    <w:abstractNumId w:val="6"/>
  </w:num>
  <w:num w:numId="16" w16cid:durableId="13366906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zh-CN" w:vendorID="64" w:dllVersion="0" w:nlCheck="1" w:checkStyle="1"/>
  <w:proofState w:spelling="clean" w:grammar="clean"/>
  <w:trackRevision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56D"/>
    <w:rsid w:val="00004BC0"/>
    <w:rsid w:val="00033DD2"/>
    <w:rsid w:val="00052B5A"/>
    <w:rsid w:val="00061735"/>
    <w:rsid w:val="0006242A"/>
    <w:rsid w:val="00067B5F"/>
    <w:rsid w:val="0009625F"/>
    <w:rsid w:val="000A29CD"/>
    <w:rsid w:val="000A3C01"/>
    <w:rsid w:val="000B314C"/>
    <w:rsid w:val="000B377E"/>
    <w:rsid w:val="000D0C6F"/>
    <w:rsid w:val="000D312B"/>
    <w:rsid w:val="000D35C3"/>
    <w:rsid w:val="000D4EDB"/>
    <w:rsid w:val="000E3A32"/>
    <w:rsid w:val="000E6B8F"/>
    <w:rsid w:val="00107644"/>
    <w:rsid w:val="001105FE"/>
    <w:rsid w:val="00112CC0"/>
    <w:rsid w:val="0011490A"/>
    <w:rsid w:val="00130704"/>
    <w:rsid w:val="00130FBD"/>
    <w:rsid w:val="00135422"/>
    <w:rsid w:val="00156031"/>
    <w:rsid w:val="00157FCD"/>
    <w:rsid w:val="001718C4"/>
    <w:rsid w:val="00176D9F"/>
    <w:rsid w:val="00182D16"/>
    <w:rsid w:val="00183205"/>
    <w:rsid w:val="00183670"/>
    <w:rsid w:val="00185F80"/>
    <w:rsid w:val="00187E6C"/>
    <w:rsid w:val="001916E4"/>
    <w:rsid w:val="001A1199"/>
    <w:rsid w:val="001E3923"/>
    <w:rsid w:val="001E4EA6"/>
    <w:rsid w:val="001F064E"/>
    <w:rsid w:val="001F3D2C"/>
    <w:rsid w:val="00205DCB"/>
    <w:rsid w:val="002066D1"/>
    <w:rsid w:val="00230B63"/>
    <w:rsid w:val="00231E87"/>
    <w:rsid w:val="00252C0F"/>
    <w:rsid w:val="00271D0B"/>
    <w:rsid w:val="002728E2"/>
    <w:rsid w:val="00276749"/>
    <w:rsid w:val="00283D29"/>
    <w:rsid w:val="00290E29"/>
    <w:rsid w:val="00292E37"/>
    <w:rsid w:val="00297B99"/>
    <w:rsid w:val="002B0C6F"/>
    <w:rsid w:val="002C28A8"/>
    <w:rsid w:val="002C505E"/>
    <w:rsid w:val="002D0C14"/>
    <w:rsid w:val="002D6E25"/>
    <w:rsid w:val="002E03E9"/>
    <w:rsid w:val="002E41A7"/>
    <w:rsid w:val="002F22D2"/>
    <w:rsid w:val="002F5EF5"/>
    <w:rsid w:val="00302C61"/>
    <w:rsid w:val="00311005"/>
    <w:rsid w:val="003336D2"/>
    <w:rsid w:val="00360551"/>
    <w:rsid w:val="00361A7F"/>
    <w:rsid w:val="003746F5"/>
    <w:rsid w:val="0038787F"/>
    <w:rsid w:val="00396BE3"/>
    <w:rsid w:val="00397F12"/>
    <w:rsid w:val="003A13BA"/>
    <w:rsid w:val="003A3132"/>
    <w:rsid w:val="003A770C"/>
    <w:rsid w:val="003B2914"/>
    <w:rsid w:val="003C1033"/>
    <w:rsid w:val="003C28D9"/>
    <w:rsid w:val="003C3575"/>
    <w:rsid w:val="003C6064"/>
    <w:rsid w:val="00413BC8"/>
    <w:rsid w:val="00416789"/>
    <w:rsid w:val="004373DA"/>
    <w:rsid w:val="00441AF1"/>
    <w:rsid w:val="00450D22"/>
    <w:rsid w:val="00454349"/>
    <w:rsid w:val="00457E71"/>
    <w:rsid w:val="00460755"/>
    <w:rsid w:val="004900DC"/>
    <w:rsid w:val="0049169A"/>
    <w:rsid w:val="00494C9A"/>
    <w:rsid w:val="004A4311"/>
    <w:rsid w:val="004A7CAE"/>
    <w:rsid w:val="004B1009"/>
    <w:rsid w:val="004D6A2C"/>
    <w:rsid w:val="004F0700"/>
    <w:rsid w:val="004F46DE"/>
    <w:rsid w:val="004F59BF"/>
    <w:rsid w:val="005002AE"/>
    <w:rsid w:val="0050224F"/>
    <w:rsid w:val="005039BF"/>
    <w:rsid w:val="0051682A"/>
    <w:rsid w:val="00523EB5"/>
    <w:rsid w:val="0052525E"/>
    <w:rsid w:val="00545B24"/>
    <w:rsid w:val="005533C7"/>
    <w:rsid w:val="00574B99"/>
    <w:rsid w:val="00575373"/>
    <w:rsid w:val="00582CB6"/>
    <w:rsid w:val="00582E0E"/>
    <w:rsid w:val="0058380E"/>
    <w:rsid w:val="005B33AB"/>
    <w:rsid w:val="005B3C25"/>
    <w:rsid w:val="005B4481"/>
    <w:rsid w:val="005C3114"/>
    <w:rsid w:val="005C3138"/>
    <w:rsid w:val="005D56A6"/>
    <w:rsid w:val="005E3B34"/>
    <w:rsid w:val="005E6386"/>
    <w:rsid w:val="006051FA"/>
    <w:rsid w:val="006057C7"/>
    <w:rsid w:val="006146B3"/>
    <w:rsid w:val="00621A35"/>
    <w:rsid w:val="00630B82"/>
    <w:rsid w:val="00637E65"/>
    <w:rsid w:val="00681F73"/>
    <w:rsid w:val="00684C62"/>
    <w:rsid w:val="006906F7"/>
    <w:rsid w:val="00696F63"/>
    <w:rsid w:val="006B2C31"/>
    <w:rsid w:val="006D4CD7"/>
    <w:rsid w:val="006D76FD"/>
    <w:rsid w:val="006E5381"/>
    <w:rsid w:val="006F2AFB"/>
    <w:rsid w:val="00716A98"/>
    <w:rsid w:val="00721A29"/>
    <w:rsid w:val="0073078E"/>
    <w:rsid w:val="00733A53"/>
    <w:rsid w:val="007353C1"/>
    <w:rsid w:val="0073685D"/>
    <w:rsid w:val="00751574"/>
    <w:rsid w:val="00764F6E"/>
    <w:rsid w:val="007A423A"/>
    <w:rsid w:val="007B238C"/>
    <w:rsid w:val="007B2FFB"/>
    <w:rsid w:val="007C64D2"/>
    <w:rsid w:val="007D3460"/>
    <w:rsid w:val="007E2A6D"/>
    <w:rsid w:val="007E2D31"/>
    <w:rsid w:val="007F4DC0"/>
    <w:rsid w:val="00807CA8"/>
    <w:rsid w:val="00825241"/>
    <w:rsid w:val="00827259"/>
    <w:rsid w:val="00856C2C"/>
    <w:rsid w:val="00857749"/>
    <w:rsid w:val="00877AFF"/>
    <w:rsid w:val="008871E8"/>
    <w:rsid w:val="00891A95"/>
    <w:rsid w:val="008A3665"/>
    <w:rsid w:val="008B69B4"/>
    <w:rsid w:val="008B6AA0"/>
    <w:rsid w:val="008E03E6"/>
    <w:rsid w:val="008F6776"/>
    <w:rsid w:val="008F68DC"/>
    <w:rsid w:val="00900761"/>
    <w:rsid w:val="00916592"/>
    <w:rsid w:val="0092035F"/>
    <w:rsid w:val="009371D8"/>
    <w:rsid w:val="00946F49"/>
    <w:rsid w:val="00947577"/>
    <w:rsid w:val="00971C83"/>
    <w:rsid w:val="00977830"/>
    <w:rsid w:val="00984EB6"/>
    <w:rsid w:val="00992E9D"/>
    <w:rsid w:val="00994128"/>
    <w:rsid w:val="009C4402"/>
    <w:rsid w:val="009D068C"/>
    <w:rsid w:val="009E1F6C"/>
    <w:rsid w:val="009F7E71"/>
    <w:rsid w:val="00A01DAE"/>
    <w:rsid w:val="00A047B1"/>
    <w:rsid w:val="00A267F1"/>
    <w:rsid w:val="00A271D2"/>
    <w:rsid w:val="00A458E4"/>
    <w:rsid w:val="00A50A2B"/>
    <w:rsid w:val="00A6250E"/>
    <w:rsid w:val="00A72D8D"/>
    <w:rsid w:val="00A80C6B"/>
    <w:rsid w:val="00A866AA"/>
    <w:rsid w:val="00A94BC2"/>
    <w:rsid w:val="00AC1B19"/>
    <w:rsid w:val="00AF2865"/>
    <w:rsid w:val="00B03769"/>
    <w:rsid w:val="00B03CAA"/>
    <w:rsid w:val="00B06D09"/>
    <w:rsid w:val="00B11D93"/>
    <w:rsid w:val="00B15066"/>
    <w:rsid w:val="00B206AF"/>
    <w:rsid w:val="00B2159F"/>
    <w:rsid w:val="00B366ED"/>
    <w:rsid w:val="00B501B6"/>
    <w:rsid w:val="00B636EE"/>
    <w:rsid w:val="00B70C23"/>
    <w:rsid w:val="00B70C61"/>
    <w:rsid w:val="00B90E4D"/>
    <w:rsid w:val="00BA7FAD"/>
    <w:rsid w:val="00BB175E"/>
    <w:rsid w:val="00BB35BB"/>
    <w:rsid w:val="00BC394C"/>
    <w:rsid w:val="00BC46DF"/>
    <w:rsid w:val="00BC4EC3"/>
    <w:rsid w:val="00BD60D4"/>
    <w:rsid w:val="00BE2FCE"/>
    <w:rsid w:val="00BE3096"/>
    <w:rsid w:val="00C143AE"/>
    <w:rsid w:val="00C16EAA"/>
    <w:rsid w:val="00C17960"/>
    <w:rsid w:val="00C30461"/>
    <w:rsid w:val="00C3754F"/>
    <w:rsid w:val="00C4044B"/>
    <w:rsid w:val="00C41CF2"/>
    <w:rsid w:val="00C44F8A"/>
    <w:rsid w:val="00C63E45"/>
    <w:rsid w:val="00C674F9"/>
    <w:rsid w:val="00C75ECE"/>
    <w:rsid w:val="00C81BBE"/>
    <w:rsid w:val="00C94407"/>
    <w:rsid w:val="00C964DA"/>
    <w:rsid w:val="00CA4E58"/>
    <w:rsid w:val="00CA6E8A"/>
    <w:rsid w:val="00CB100B"/>
    <w:rsid w:val="00CC3161"/>
    <w:rsid w:val="00CC71E5"/>
    <w:rsid w:val="00CE56BD"/>
    <w:rsid w:val="00D0146F"/>
    <w:rsid w:val="00D04B3D"/>
    <w:rsid w:val="00D060C1"/>
    <w:rsid w:val="00D268CA"/>
    <w:rsid w:val="00D275A8"/>
    <w:rsid w:val="00D31E7B"/>
    <w:rsid w:val="00D46D6A"/>
    <w:rsid w:val="00D61245"/>
    <w:rsid w:val="00D77373"/>
    <w:rsid w:val="00D81C6F"/>
    <w:rsid w:val="00D94742"/>
    <w:rsid w:val="00D971A4"/>
    <w:rsid w:val="00DB52AB"/>
    <w:rsid w:val="00DB552E"/>
    <w:rsid w:val="00DC0DA4"/>
    <w:rsid w:val="00DC11A8"/>
    <w:rsid w:val="00DC168C"/>
    <w:rsid w:val="00DD049A"/>
    <w:rsid w:val="00DD3E05"/>
    <w:rsid w:val="00DD7428"/>
    <w:rsid w:val="00DE18E8"/>
    <w:rsid w:val="00DF483F"/>
    <w:rsid w:val="00E0532A"/>
    <w:rsid w:val="00E065D5"/>
    <w:rsid w:val="00E11E30"/>
    <w:rsid w:val="00E17E7F"/>
    <w:rsid w:val="00E25490"/>
    <w:rsid w:val="00E279D9"/>
    <w:rsid w:val="00E315BC"/>
    <w:rsid w:val="00E43149"/>
    <w:rsid w:val="00E50EA9"/>
    <w:rsid w:val="00E5236D"/>
    <w:rsid w:val="00E52DB2"/>
    <w:rsid w:val="00E6318B"/>
    <w:rsid w:val="00E66C0A"/>
    <w:rsid w:val="00E679DD"/>
    <w:rsid w:val="00E74896"/>
    <w:rsid w:val="00E74967"/>
    <w:rsid w:val="00E90DFA"/>
    <w:rsid w:val="00E92003"/>
    <w:rsid w:val="00EA5B3D"/>
    <w:rsid w:val="00EB57B7"/>
    <w:rsid w:val="00EF710D"/>
    <w:rsid w:val="00F03497"/>
    <w:rsid w:val="00F205A6"/>
    <w:rsid w:val="00F2071E"/>
    <w:rsid w:val="00F21F1E"/>
    <w:rsid w:val="00F2792A"/>
    <w:rsid w:val="00F34EC0"/>
    <w:rsid w:val="00F36C85"/>
    <w:rsid w:val="00F5309B"/>
    <w:rsid w:val="00F553F2"/>
    <w:rsid w:val="00F625AE"/>
    <w:rsid w:val="00F66E45"/>
    <w:rsid w:val="00F731F2"/>
    <w:rsid w:val="00F77721"/>
    <w:rsid w:val="00F837FD"/>
    <w:rsid w:val="00F8714C"/>
    <w:rsid w:val="00F901AC"/>
    <w:rsid w:val="00F97EE6"/>
    <w:rsid w:val="00F97F80"/>
    <w:rsid w:val="00FA056D"/>
    <w:rsid w:val="00FC6741"/>
    <w:rsid w:val="00FD1CBB"/>
    <w:rsid w:val="00FD65C9"/>
    <w:rsid w:val="00FE38BE"/>
    <w:rsid w:val="00FF5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7A67F2"/>
  <w15:docId w15:val="{FDB65319-D660-4881-8ECC-6D63E30C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A8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5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autoRedefine/>
    <w:qFormat/>
    <w:rsid w:val="00947577"/>
    <w:pPr>
      <w:keepNext/>
      <w:widowControl w:val="0"/>
      <w:numPr>
        <w:ilvl w:val="2"/>
        <w:numId w:val="3"/>
      </w:numPr>
      <w:spacing w:before="240" w:after="60"/>
      <w:outlineLvl w:val="1"/>
    </w:pPr>
    <w:rPr>
      <w:rFonts w:ascii="Arial" w:eastAsiaTheme="majorEastAsia" w:hAnsi="Arial" w:cstheme="majorBidi"/>
      <w:b/>
      <w:bCs/>
      <w:iCs/>
      <w:snapToGrid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2Car">
    <w:name w:val="Titre 2 Car"/>
    <w:rsid w:val="00947577"/>
    <w:rPr>
      <w:rFonts w:ascii="Arial" w:eastAsia="Times New Roman" w:hAnsi="Arial" w:cs="Arial"/>
      <w:b/>
      <w:bCs/>
      <w:iCs/>
      <w:snapToGrid w:val="0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947577"/>
    <w:rPr>
      <w:rFonts w:ascii="Arial" w:eastAsiaTheme="majorEastAsia" w:hAnsi="Arial" w:cstheme="majorBidi"/>
      <w:b/>
      <w:bCs/>
      <w:iCs/>
      <w:snapToGrid w:val="0"/>
      <w:szCs w:val="28"/>
      <w:lang w:val="en-GB"/>
    </w:rPr>
  </w:style>
  <w:style w:type="paragraph" w:customStyle="1" w:styleId="JCOMM">
    <w:name w:val="JCOMM"/>
    <w:basedOn w:val="Normal"/>
    <w:next w:val="Normal"/>
    <w:qFormat/>
    <w:rsid w:val="00947577"/>
    <w:pPr>
      <w:widowControl w:val="0"/>
      <w:spacing w:before="360" w:after="240"/>
      <w:jc w:val="center"/>
    </w:pPr>
    <w:rPr>
      <w:rFonts w:ascii="Arial" w:eastAsia="MS Mincho" w:hAnsi="Arial"/>
      <w:b/>
      <w:snapToGrid/>
      <w:sz w:val="16"/>
    </w:rPr>
  </w:style>
  <w:style w:type="numbering" w:customStyle="1" w:styleId="JCOMM-list">
    <w:name w:val="JCOMM-list"/>
    <w:uiPriority w:val="99"/>
    <w:rsid w:val="00947577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BBE"/>
    <w:rPr>
      <w:rFonts w:ascii="Tahoma" w:eastAsia="Times New Roman" w:hAnsi="Tahoma" w:cs="Tahoma"/>
      <w:snapToGrid w:val="0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character" w:styleId="FootnoteReference">
    <w:name w:val="footnote reference"/>
    <w:rsid w:val="004B10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B1009"/>
    <w:pPr>
      <w:tabs>
        <w:tab w:val="clear" w:pos="567"/>
        <w:tab w:val="left" w:pos="709"/>
      </w:tabs>
      <w:ind w:left="567" w:hanging="567"/>
    </w:pPr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1009"/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COI">
    <w:name w:val="COI"/>
    <w:basedOn w:val="Normal"/>
    <w:link w:val="COIChar"/>
    <w:rsid w:val="004B1009"/>
    <w:pPr>
      <w:tabs>
        <w:tab w:val="clear" w:pos="567"/>
        <w:tab w:val="left" w:pos="709"/>
      </w:tabs>
      <w:spacing w:after="240"/>
      <w:ind w:left="720" w:hanging="360"/>
      <w:jc w:val="both"/>
    </w:pPr>
    <w:rPr>
      <w:lang w:val="fr-FR"/>
    </w:rPr>
  </w:style>
  <w:style w:type="character" w:customStyle="1" w:styleId="COIChar">
    <w:name w:val="COI Char"/>
    <w:link w:val="COI"/>
    <w:rsid w:val="004B1009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paragraph" w:customStyle="1" w:styleId="Listnumbered">
    <w:name w:val="List numbered"/>
    <w:basedOn w:val="ListBullet2"/>
    <w:autoRedefine/>
    <w:rsid w:val="004B1009"/>
    <w:pPr>
      <w:tabs>
        <w:tab w:val="num" w:pos="360"/>
        <w:tab w:val="left" w:pos="709"/>
      </w:tabs>
      <w:spacing w:after="240"/>
      <w:contextualSpacing w:val="0"/>
    </w:pPr>
    <w:rPr>
      <w:rFonts w:ascii="Arial" w:hAnsi="Arial"/>
      <w:sz w:val="22"/>
      <w:lang w:val="fr-FR"/>
    </w:rPr>
  </w:style>
  <w:style w:type="paragraph" w:customStyle="1" w:styleId="Listecouleur-Accent11">
    <w:name w:val="Liste couleur - Accent 11"/>
    <w:basedOn w:val="Normal"/>
    <w:qFormat/>
    <w:rsid w:val="004B1009"/>
    <w:pPr>
      <w:ind w:left="720"/>
      <w:contextualSpacing/>
    </w:pPr>
    <w:rPr>
      <w:rFonts w:ascii="Arial" w:hAnsi="Arial"/>
      <w:snapToGrid/>
      <w:sz w:val="22"/>
    </w:rPr>
  </w:style>
  <w:style w:type="paragraph" w:styleId="ListBullet2">
    <w:name w:val="List Bullet 2"/>
    <w:basedOn w:val="Normal"/>
    <w:uiPriority w:val="99"/>
    <w:semiHidden/>
    <w:unhideWhenUsed/>
    <w:rsid w:val="004B1009"/>
    <w:pPr>
      <w:ind w:left="1290" w:hanging="720"/>
      <w:contextualSpacing/>
    </w:pPr>
  </w:style>
  <w:style w:type="paragraph" w:styleId="ListParagraph">
    <w:name w:val="List Paragraph"/>
    <w:basedOn w:val="Normal"/>
    <w:uiPriority w:val="34"/>
    <w:qFormat/>
    <w:rsid w:val="004B100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5533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533C7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275A8"/>
    <w:rPr>
      <w:rFonts w:ascii="Times New Roman" w:eastAsia="Times New Roman" w:hAnsi="Times New Roman" w:cs="Times New Roman"/>
      <w:b/>
      <w:bCs/>
      <w:snapToGrid w:val="0"/>
      <w:kern w:val="44"/>
      <w:sz w:val="44"/>
      <w:szCs w:val="44"/>
      <w:lang w:val="en-GB" w:eastAsia="en-US"/>
    </w:rPr>
  </w:style>
  <w:style w:type="paragraph" w:styleId="NormalWeb">
    <w:name w:val="Normal (Web)"/>
    <w:basedOn w:val="Normal"/>
    <w:uiPriority w:val="99"/>
    <w:unhideWhenUsed/>
    <w:rsid w:val="00A94BC2"/>
    <w:pPr>
      <w:tabs>
        <w:tab w:val="clear" w:pos="567"/>
      </w:tabs>
      <w:snapToGrid/>
      <w:spacing w:before="100" w:beforeAutospacing="1" w:after="100" w:afterAutospacing="1"/>
    </w:pPr>
    <w:rPr>
      <w:snapToGrid/>
      <w:lang w:val="en-US"/>
    </w:rPr>
  </w:style>
  <w:style w:type="paragraph" w:styleId="Revision">
    <w:name w:val="Revision"/>
    <w:hidden/>
    <w:uiPriority w:val="99"/>
    <w:semiHidden/>
    <w:rsid w:val="0082725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1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15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159F"/>
    <w:rPr>
      <w:rFonts w:ascii="Times New Roman" w:eastAsia="Times New Roman" w:hAnsi="Times New Roman" w:cs="Times New Roman"/>
      <w:snapToGrid w:val="0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5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59F"/>
    <w:rPr>
      <w:rFonts w:ascii="Times New Roman" w:eastAsia="Times New Roman" w:hAnsi="Times New Roman" w:cs="Times New Roman"/>
      <w:b/>
      <w:bCs/>
      <w:snapToGrid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30098-C307-9A4C-AE36-A8885A8F03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1528</Words>
  <Characters>8425</Characters>
  <Application>Microsoft Office Word</Application>
  <DocSecurity>4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Projet de résolution A-33/DR.[3.3.1]</vt:lpstr>
      <vt:lpstr/>
    </vt:vector>
  </TitlesOfParts>
  <Company>Hewlett-Packard Company</Company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résolution A-33/DR.[3.3.1]</dc:title>
  <dc:subject>IOC/A-33/DR.[3.3.1]</dc:subject>
  <dc:creator>Delegation Kenya</dc:creator>
  <dc:description/>
  <cp:lastModifiedBy>Boned, Patrice</cp:lastModifiedBy>
  <cp:revision>2</cp:revision>
  <cp:lastPrinted>2025-06-30T13:23:00Z</cp:lastPrinted>
  <dcterms:created xsi:type="dcterms:W3CDTF">2025-07-03T08:16:00Z</dcterms:created>
  <dcterms:modified xsi:type="dcterms:W3CDTF">2025-07-03T08:16:00Z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b0e6f0c5-2294-4c2c-90fa-1647aefdfb7d</vt:lpwstr>
  </property>
  <property fmtid="{D5CDD505-2E9C-101B-9397-08002B2CF9AE}" pid="3" name="Language">
    <vt:lpwstr>F</vt:lpwstr>
  </property>
  <property fmtid="{D5CDD505-2E9C-101B-9397-08002B2CF9AE}" pid="4" name="JobNumber">
    <vt:lpwstr>2500546F</vt:lpwstr>
  </property>
  <property fmtid="{D5CDD505-2E9C-101B-9397-08002B2CF9AE}" pid="5" name="ForceJobNumber">
    <vt:bool>false</vt:bool>
  </property>
  <property fmtid="{D5CDD505-2E9C-101B-9397-08002B2CF9AE}" pid="6" name="TranslatedWith">
    <vt:lpwstr>Mercury</vt:lpwstr>
  </property>
  <property fmtid="{D5CDD505-2E9C-101B-9397-08002B2CF9AE}" pid="7" name="GeneratedBy">
    <vt:lpwstr>c.roth@unesco.org</vt:lpwstr>
  </property>
  <property fmtid="{D5CDD505-2E9C-101B-9397-08002B2CF9AE}" pid="8" name="GeneratedDate">
    <vt:lpwstr>07/02/2025 10:07:37</vt:lpwstr>
  </property>
  <property fmtid="{D5CDD505-2E9C-101B-9397-08002B2CF9AE}" pid="9" name="OriginalDocID">
    <vt:lpwstr>e308d441-0063-4f5d-821f-b3545ffee704</vt:lpwstr>
  </property>
</Properties>
</file>