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Layout w:type="fixed"/>
        <w:tblLook w:val="0000" w:firstRow="0" w:lastRow="0" w:firstColumn="0" w:lastColumn="0" w:noHBand="0" w:noVBand="0"/>
      </w:tblPr>
      <w:tblGrid>
        <w:gridCol w:w="6345"/>
        <w:gridCol w:w="3289"/>
      </w:tblGrid>
      <w:tr w:rsidR="00A40529" w:rsidRPr="00A40529" w14:paraId="068CDDBC" w14:textId="77777777" w:rsidTr="004C42E8">
        <w:tc>
          <w:tcPr>
            <w:tcW w:w="6345" w:type="dxa"/>
          </w:tcPr>
          <w:p w14:paraId="0B5AA16D" w14:textId="1AA3C7D9" w:rsidR="00A33F60" w:rsidRPr="00A40529" w:rsidRDefault="00A33F60" w:rsidP="00A33F60">
            <w:pPr>
              <w:ind w:left="-105"/>
              <w:rPr>
                <w:rFonts w:eastAsia="Times New Roman" w:cs="Arial"/>
                <w:sz w:val="24"/>
                <w:lang w:eastAsia="en-US"/>
              </w:rPr>
            </w:pPr>
            <w:r w:rsidRPr="00A40529">
              <w:rPr>
                <w:rFonts w:eastAsia="Times New Roman" w:cs="Arial"/>
                <w:szCs w:val="22"/>
                <w:lang w:eastAsia="en-US"/>
              </w:rPr>
              <w:t>Distribution limitée</w:t>
            </w:r>
          </w:p>
        </w:tc>
        <w:tc>
          <w:tcPr>
            <w:tcW w:w="3289" w:type="dxa"/>
          </w:tcPr>
          <w:p w14:paraId="2EEF8A6C" w14:textId="77777777" w:rsidR="00A33F60" w:rsidRPr="00A40529" w:rsidRDefault="00A33F60" w:rsidP="00314FEB">
            <w:pPr>
              <w:tabs>
                <w:tab w:val="clear" w:pos="567"/>
              </w:tabs>
              <w:ind w:left="921" w:right="-603"/>
              <w:rPr>
                <w:rFonts w:eastAsia="Times New Roman" w:cs="Arial"/>
                <w:b/>
                <w:sz w:val="24"/>
                <w:lang w:eastAsia="en-US"/>
              </w:rPr>
            </w:pPr>
            <w:r w:rsidRPr="00A40529">
              <w:rPr>
                <w:rFonts w:eastAsia="Times New Roman" w:cs="Arial"/>
                <w:b/>
                <w:szCs w:val="22"/>
                <w:lang w:eastAsia="en-US"/>
              </w:rPr>
              <w:t>IOC/A-33/DR.[4.8]</w:t>
            </w:r>
          </w:p>
          <w:p w14:paraId="369E1113" w14:textId="39ED453D" w:rsidR="00A33F60" w:rsidRPr="00A40529" w:rsidRDefault="00A33F60" w:rsidP="00314FEB">
            <w:pPr>
              <w:tabs>
                <w:tab w:val="clear" w:pos="567"/>
              </w:tabs>
              <w:ind w:left="921"/>
              <w:rPr>
                <w:rFonts w:eastAsia="Times New Roman" w:cs="Arial"/>
                <w:sz w:val="24"/>
                <w:lang w:eastAsia="en-US"/>
              </w:rPr>
            </w:pPr>
            <w:r w:rsidRPr="00A40529">
              <w:rPr>
                <w:rFonts w:eastAsia="Times New Roman" w:cs="Arial"/>
                <w:szCs w:val="22"/>
                <w:lang w:eastAsia="en-US"/>
              </w:rPr>
              <w:t xml:space="preserve">Paris, </w:t>
            </w:r>
            <w:r w:rsidR="006C6149" w:rsidRPr="00A40529">
              <w:rPr>
                <w:rFonts w:eastAsia="Times New Roman" w:cs="Arial"/>
                <w:szCs w:val="22"/>
                <w:lang w:eastAsia="en-US"/>
              </w:rPr>
              <w:t>1</w:t>
            </w:r>
            <w:r w:rsidR="006C6149" w:rsidRPr="00A40529">
              <w:rPr>
                <w:rFonts w:eastAsia="Times New Roman" w:cs="Arial"/>
                <w:szCs w:val="22"/>
                <w:vertAlign w:val="superscript"/>
                <w:lang w:eastAsia="en-US"/>
              </w:rPr>
              <w:t>er</w:t>
            </w:r>
            <w:r w:rsidR="006C6149" w:rsidRPr="00A40529">
              <w:rPr>
                <w:rFonts w:eastAsia="Times New Roman" w:cs="Arial"/>
                <w:szCs w:val="22"/>
                <w:lang w:eastAsia="en-US"/>
              </w:rPr>
              <w:t> juillet</w:t>
            </w:r>
            <w:r w:rsidRPr="00A40529">
              <w:rPr>
                <w:rFonts w:eastAsia="Times New Roman" w:cs="Arial"/>
                <w:szCs w:val="22"/>
                <w:lang w:eastAsia="en-US"/>
              </w:rPr>
              <w:t xml:space="preserve"> 2025</w:t>
            </w:r>
          </w:p>
          <w:p w14:paraId="6901D673" w14:textId="77777777" w:rsidR="00A33F60" w:rsidRPr="00A40529" w:rsidRDefault="00A33F60" w:rsidP="00314FEB">
            <w:pPr>
              <w:tabs>
                <w:tab w:val="clear" w:pos="567"/>
              </w:tabs>
              <w:spacing w:after="120"/>
              <w:ind w:left="921"/>
              <w:rPr>
                <w:rFonts w:eastAsia="Times New Roman" w:cs="Arial"/>
                <w:sz w:val="24"/>
                <w:lang w:eastAsia="en-US"/>
              </w:rPr>
            </w:pPr>
            <w:r w:rsidRPr="00A40529">
              <w:rPr>
                <w:rFonts w:eastAsia="Times New Roman" w:cs="Arial"/>
                <w:szCs w:val="22"/>
                <w:lang w:eastAsia="en-US"/>
              </w:rPr>
              <w:t>Original anglais</w:t>
            </w:r>
          </w:p>
        </w:tc>
      </w:tr>
    </w:tbl>
    <w:p w14:paraId="12A6312C" w14:textId="77777777" w:rsidR="00A33F60" w:rsidRPr="00A40529" w:rsidRDefault="00A33F60" w:rsidP="00A33F60">
      <w:pPr>
        <w:spacing w:before="240" w:after="120" w:line="360" w:lineRule="auto"/>
        <w:rPr>
          <w:rFonts w:eastAsia="Calibri" w:cs="Arial"/>
          <w:b/>
          <w:szCs w:val="22"/>
          <w:lang w:eastAsia="en-US"/>
        </w:rPr>
      </w:pPr>
      <w:r w:rsidRPr="00A40529">
        <w:rPr>
          <w:rFonts w:eastAsia="Calibri" w:cs="Arial"/>
          <w:b/>
          <w:szCs w:val="22"/>
          <w:lang w:eastAsia="en-US"/>
        </w:rPr>
        <w:t xml:space="preserve">PROJET DE RÉSOLUTION </w:t>
      </w:r>
      <w:r w:rsidRPr="00A40529">
        <w:rPr>
          <w:rFonts w:eastAsia="Times New Roman" w:cs="Arial"/>
          <w:b/>
          <w:szCs w:val="22"/>
          <w:lang w:eastAsia="en-US"/>
        </w:rPr>
        <w:t>A-33/[4.8]</w:t>
      </w:r>
    </w:p>
    <w:p w14:paraId="0B0F7BFD" w14:textId="7354CC2E" w:rsidR="00A33F60" w:rsidRPr="00A40529" w:rsidRDefault="00A33F60" w:rsidP="00A33F60">
      <w:pPr>
        <w:spacing w:before="240" w:after="240" w:line="360" w:lineRule="auto"/>
        <w:rPr>
          <w:rFonts w:eastAsia="Calibri" w:cs="Arial"/>
          <w:szCs w:val="22"/>
          <w:lang w:eastAsia="en-US"/>
        </w:rPr>
      </w:pPr>
      <w:r w:rsidRPr="00A40529">
        <w:rPr>
          <w:rFonts w:eastAsia="Calibri" w:cs="Arial"/>
          <w:szCs w:val="22"/>
          <w:lang w:eastAsia="en-US"/>
        </w:rPr>
        <w:t>Présenté par Monaco</w:t>
      </w:r>
      <w:r w:rsidR="006E1917">
        <w:rPr>
          <w:rFonts w:eastAsia="Calibri" w:cs="Arial"/>
          <w:szCs w:val="22"/>
          <w:lang w:eastAsia="en-US"/>
        </w:rPr>
        <w:t>, Portugal</w:t>
      </w:r>
    </w:p>
    <w:p w14:paraId="6C145992" w14:textId="77777777" w:rsidR="00A33F60" w:rsidRPr="00A40529" w:rsidRDefault="00A33F60" w:rsidP="00A33F60">
      <w:pPr>
        <w:spacing w:after="360"/>
        <w:rPr>
          <w:rFonts w:eastAsiaTheme="majorEastAsia" w:cs="Arial"/>
          <w:b/>
          <w:bCs/>
          <w:iCs/>
          <w:caps/>
          <w:snapToGrid/>
          <w:szCs w:val="22"/>
          <w:lang w:eastAsia="en-US"/>
        </w:rPr>
      </w:pPr>
      <w:r w:rsidRPr="00A40529">
        <w:rPr>
          <w:rFonts w:eastAsia="Times New Roman" w:cs="Arial"/>
          <w:b/>
          <w:bCs/>
          <w:szCs w:val="22"/>
          <w:lang w:eastAsia="en-US"/>
        </w:rPr>
        <w:t>MISE EN ŒUVRE DE LA DÉCENNIE DES NATIONS UNIES POUR LES SCIENCES OCÉANIQUES AU SERVICE DU DÉVELOPPEMENT DURABLE (2021-2030)</w:t>
      </w:r>
    </w:p>
    <w:p w14:paraId="6B6F6A82" w14:textId="77777777" w:rsidR="00A33F60" w:rsidRPr="00A40529" w:rsidRDefault="00A33F60" w:rsidP="00A33F60">
      <w:pPr>
        <w:spacing w:after="240" w:line="360" w:lineRule="auto"/>
        <w:rPr>
          <w:rFonts w:eastAsia="Times New Roman" w:cs="Arial"/>
          <w:iCs/>
          <w:szCs w:val="22"/>
          <w:lang w:eastAsia="en-US"/>
        </w:rPr>
      </w:pPr>
      <w:r w:rsidRPr="00A40529">
        <w:rPr>
          <w:rFonts w:eastAsia="Times New Roman" w:cs="Arial"/>
          <w:snapToGrid/>
          <w:szCs w:val="22"/>
          <w:lang w:eastAsia="en-US"/>
        </w:rPr>
        <w:t>La Commission océanographique intergouvernementale,</w:t>
      </w:r>
    </w:p>
    <w:p w14:paraId="2C55F4F7" w14:textId="77777777" w:rsidR="00A33F60" w:rsidRPr="00A40529" w:rsidRDefault="00A33F60" w:rsidP="00A33F60">
      <w:pPr>
        <w:spacing w:after="240" w:line="360" w:lineRule="auto"/>
        <w:jc w:val="center"/>
        <w:rPr>
          <w:rFonts w:eastAsia="Times New Roman" w:cs="Arial"/>
          <w:b/>
          <w:bCs/>
          <w:iCs/>
          <w:szCs w:val="22"/>
          <w:lang w:eastAsia="en-US"/>
        </w:rPr>
      </w:pPr>
      <w:r w:rsidRPr="00A40529">
        <w:rPr>
          <w:rFonts w:eastAsia="Times New Roman" w:cs="Arial"/>
          <w:b/>
          <w:bCs/>
          <w:iCs/>
          <w:szCs w:val="22"/>
          <w:lang w:eastAsia="en-US"/>
        </w:rPr>
        <w:t>Partie I</w:t>
      </w:r>
    </w:p>
    <w:p w14:paraId="78A36565" w14:textId="77777777" w:rsidR="00A33F60" w:rsidRPr="00A40529" w:rsidRDefault="00A33F60" w:rsidP="00A33F60">
      <w:pPr>
        <w:numPr>
          <w:ilvl w:val="0"/>
          <w:numId w:val="44"/>
        </w:numPr>
        <w:spacing w:after="240"/>
        <w:ind w:left="0" w:hanging="567"/>
        <w:jc w:val="both"/>
        <w:rPr>
          <w:rFonts w:eastAsia="Times New Roman" w:cs="Arial"/>
          <w:szCs w:val="22"/>
          <w:lang w:eastAsia="en-US"/>
        </w:rPr>
      </w:pPr>
      <w:r w:rsidRPr="00A40529">
        <w:rPr>
          <w:rFonts w:eastAsia="Times New Roman" w:cs="Arial"/>
          <w:b/>
          <w:bCs/>
          <w:szCs w:val="22"/>
          <w:lang w:eastAsia="en-US"/>
        </w:rPr>
        <w:t>Rappelant</w:t>
      </w:r>
      <w:r w:rsidRPr="00A40529">
        <w:rPr>
          <w:rFonts w:eastAsia="Times New Roman" w:cs="Arial"/>
          <w:szCs w:val="22"/>
          <w:lang w:eastAsia="en-US"/>
        </w:rPr>
        <w:t xml:space="preserve"> les résolutions EC-53/1, A-31/1, A-32/3, EC-55/1 et EC-57/1 de la COI sur la mise en œuvre de la Décennie des Nations Unies pour les sciences océaniques au service du développement durable (2021-2030), ci-après la Décennie,</w:t>
      </w:r>
    </w:p>
    <w:p w14:paraId="2F75C057" w14:textId="77777777" w:rsidR="00A33F60" w:rsidRPr="00A40529" w:rsidRDefault="00A33F60" w:rsidP="0039334A">
      <w:pPr>
        <w:numPr>
          <w:ilvl w:val="0"/>
          <w:numId w:val="44"/>
        </w:numPr>
        <w:spacing w:after="240"/>
        <w:ind w:left="0" w:right="-1" w:hanging="567"/>
        <w:jc w:val="both"/>
        <w:rPr>
          <w:rFonts w:eastAsia="Times New Roman" w:cs="Arial"/>
          <w:bCs/>
          <w:szCs w:val="22"/>
          <w:lang w:eastAsia="en-US"/>
        </w:rPr>
      </w:pPr>
      <w:r w:rsidRPr="00A40529">
        <w:rPr>
          <w:rFonts w:eastAsia="Times New Roman" w:cs="Arial"/>
          <w:b/>
          <w:szCs w:val="22"/>
          <w:lang w:eastAsia="en-US"/>
        </w:rPr>
        <w:t>Prenant en considération</w:t>
      </w:r>
      <w:r w:rsidRPr="00A40529">
        <w:rPr>
          <w:rFonts w:eastAsia="Times New Roman" w:cs="Arial"/>
          <w:bCs/>
          <w:szCs w:val="22"/>
          <w:lang w:eastAsia="en-US"/>
        </w:rPr>
        <w:t xml:space="preserve"> le document IOC/A-33/4.8.Doc(1) sur l’état de la mise en œuvre de la Décennie des Nations Unies pour les sciences océaniques au service du développement durable,</w:t>
      </w:r>
    </w:p>
    <w:p w14:paraId="53608BC4" w14:textId="3D2996BF" w:rsidR="00A33F60" w:rsidRPr="00A40529" w:rsidRDefault="006C6149" w:rsidP="00A33F60">
      <w:pPr>
        <w:numPr>
          <w:ilvl w:val="0"/>
          <w:numId w:val="44"/>
        </w:numPr>
        <w:spacing w:after="240"/>
        <w:ind w:left="0" w:hanging="567"/>
        <w:jc w:val="both"/>
        <w:rPr>
          <w:rFonts w:eastAsia="Times New Roman" w:cs="Arial"/>
          <w:b/>
          <w:szCs w:val="22"/>
          <w:lang w:eastAsia="en-US"/>
        </w:rPr>
      </w:pPr>
      <w:r w:rsidRPr="00A40529">
        <w:rPr>
          <w:rFonts w:eastAsia="Times New Roman" w:cs="Arial"/>
          <w:b/>
          <w:szCs w:val="22"/>
          <w:lang w:eastAsia="en-US"/>
        </w:rPr>
        <w:t>Reconnaissant</w:t>
      </w:r>
      <w:r w:rsidRPr="00A40529">
        <w:rPr>
          <w:rFonts w:eastAsia="Times New Roman" w:cs="Arial"/>
          <w:bCs/>
          <w:szCs w:val="22"/>
          <w:lang w:eastAsia="en-US"/>
        </w:rPr>
        <w:t xml:space="preserve"> </w:t>
      </w:r>
      <w:r w:rsidR="00A33F60" w:rsidRPr="00A40529">
        <w:rPr>
          <w:rFonts w:eastAsia="Times New Roman" w:cs="Arial"/>
          <w:bCs/>
          <w:szCs w:val="22"/>
          <w:lang w:eastAsia="en-US"/>
        </w:rPr>
        <w:t>qu’il est important que les États membres et les partenaires accroissent leur soutien à la Décennie pour lui permettre de réaliser ses ambitions au cours de la seconde moitié de sa mise en œuvre</w:t>
      </w:r>
      <w:r w:rsidRPr="00A40529">
        <w:rPr>
          <w:rFonts w:eastAsia="Times New Roman" w:cs="Arial"/>
          <w:bCs/>
          <w:szCs w:val="22"/>
          <w:lang w:eastAsia="en-US"/>
        </w:rPr>
        <w:t>,</w:t>
      </w:r>
    </w:p>
    <w:p w14:paraId="39DEC6F4" w14:textId="1AEB2EEC" w:rsidR="00A33F60" w:rsidRPr="00A40529" w:rsidRDefault="006C6149" w:rsidP="00A33F60">
      <w:pPr>
        <w:numPr>
          <w:ilvl w:val="0"/>
          <w:numId w:val="44"/>
        </w:numPr>
        <w:spacing w:after="240"/>
        <w:ind w:left="0" w:hanging="567"/>
        <w:jc w:val="both"/>
        <w:rPr>
          <w:rFonts w:eastAsia="Times New Roman" w:cs="Arial"/>
          <w:b/>
          <w:szCs w:val="22"/>
          <w:lang w:eastAsia="en-US"/>
        </w:rPr>
      </w:pPr>
      <w:r w:rsidRPr="00A40529">
        <w:rPr>
          <w:rFonts w:eastAsia="Times New Roman" w:cs="Arial"/>
          <w:b/>
          <w:szCs w:val="22"/>
          <w:lang w:eastAsia="en-US"/>
        </w:rPr>
        <w:t xml:space="preserve">Prenant </w:t>
      </w:r>
      <w:r w:rsidR="00A33F60" w:rsidRPr="00A40529">
        <w:rPr>
          <w:rFonts w:eastAsia="Times New Roman" w:cs="Arial"/>
          <w:b/>
          <w:szCs w:val="22"/>
          <w:lang w:eastAsia="en-US"/>
        </w:rPr>
        <w:t xml:space="preserve">note avec satisfaction </w:t>
      </w:r>
      <w:r w:rsidR="00A33F60" w:rsidRPr="00A40529">
        <w:rPr>
          <w:rFonts w:eastAsia="Times New Roman" w:cs="Arial"/>
          <w:bCs/>
          <w:szCs w:val="22"/>
          <w:lang w:eastAsia="en-US"/>
        </w:rPr>
        <w:t xml:space="preserve">de la contribution du Comité consultatif de la Décennie à la mise en œuvre et au développement stratégique de la Décennie, conformément à son mandat, </w:t>
      </w:r>
      <w:r w:rsidRPr="00A40529">
        <w:rPr>
          <w:rFonts w:eastAsia="Times New Roman" w:cs="Arial"/>
          <w:b/>
          <w:szCs w:val="22"/>
          <w:lang w:eastAsia="en-US"/>
        </w:rPr>
        <w:t xml:space="preserve">notant </w:t>
      </w:r>
      <w:r w:rsidR="00A33F60" w:rsidRPr="00A40529">
        <w:rPr>
          <w:rFonts w:eastAsia="Times New Roman" w:cs="Arial"/>
          <w:b/>
          <w:szCs w:val="22"/>
          <w:lang w:eastAsia="en-US"/>
        </w:rPr>
        <w:t>également</w:t>
      </w:r>
      <w:r w:rsidR="00A33F60" w:rsidRPr="00A40529">
        <w:rPr>
          <w:rFonts w:eastAsia="Times New Roman" w:cs="Arial"/>
          <w:bCs/>
          <w:szCs w:val="22"/>
          <w:lang w:eastAsia="en-US"/>
        </w:rPr>
        <w:t xml:space="preserve"> que le mandat actuel du Comité consultatif prendra fin en décembre 2025, et </w:t>
      </w:r>
      <w:r w:rsidRPr="00A40529">
        <w:rPr>
          <w:rFonts w:eastAsia="Times New Roman" w:cs="Arial"/>
          <w:b/>
          <w:szCs w:val="22"/>
          <w:lang w:eastAsia="en-US"/>
        </w:rPr>
        <w:t>remerciant</w:t>
      </w:r>
      <w:r w:rsidRPr="00A40529">
        <w:rPr>
          <w:rFonts w:eastAsia="Times New Roman" w:cs="Arial"/>
          <w:bCs/>
          <w:szCs w:val="22"/>
          <w:lang w:eastAsia="en-US"/>
        </w:rPr>
        <w:t xml:space="preserve"> </w:t>
      </w:r>
      <w:r w:rsidR="00A33F60" w:rsidRPr="00A40529">
        <w:rPr>
          <w:rFonts w:eastAsia="Times New Roman" w:cs="Arial"/>
          <w:bCs/>
          <w:szCs w:val="22"/>
          <w:lang w:eastAsia="en-US"/>
        </w:rPr>
        <w:t>tous les membres du Comité consultatif de leur engagement</w:t>
      </w:r>
      <w:r w:rsidRPr="00A40529">
        <w:rPr>
          <w:rFonts w:eastAsia="Times New Roman" w:cs="Arial"/>
          <w:bCs/>
          <w:szCs w:val="22"/>
          <w:lang w:eastAsia="en-US"/>
        </w:rPr>
        <w:t>,</w:t>
      </w:r>
    </w:p>
    <w:p w14:paraId="328355EF" w14:textId="27474134" w:rsidR="00A33F60" w:rsidRPr="00A40529" w:rsidRDefault="006C6149" w:rsidP="006C6149">
      <w:pPr>
        <w:numPr>
          <w:ilvl w:val="0"/>
          <w:numId w:val="44"/>
        </w:numPr>
        <w:spacing w:after="240"/>
        <w:ind w:left="0" w:hanging="567"/>
        <w:jc w:val="both"/>
        <w:rPr>
          <w:rFonts w:eastAsia="Times New Roman" w:cs="Arial"/>
          <w:b/>
          <w:szCs w:val="22"/>
          <w:lang w:eastAsia="en-US"/>
        </w:rPr>
      </w:pPr>
      <w:r w:rsidRPr="00A40529">
        <w:rPr>
          <w:rFonts w:eastAsiaTheme="minorHAnsi" w:cs="Arial"/>
          <w:b/>
          <w:bCs/>
          <w:snapToGrid/>
          <w:szCs w:val="22"/>
          <w:lang w:eastAsia="fr-FR"/>
        </w:rPr>
        <w:t>Remerciant</w:t>
      </w:r>
      <w:r w:rsidR="00A33F60" w:rsidRPr="00A40529">
        <w:rPr>
          <w:rFonts w:eastAsiaTheme="minorHAnsi" w:cs="Arial"/>
          <w:snapToGrid/>
          <w:szCs w:val="22"/>
          <w:lang w:eastAsia="fr-FR"/>
        </w:rPr>
        <w:t xml:space="preserve"> </w:t>
      </w:r>
      <w:r w:rsidRPr="00A40529">
        <w:rPr>
          <w:rFonts w:eastAsiaTheme="minorHAnsi" w:cs="Arial"/>
          <w:snapToGrid/>
          <w:szCs w:val="22"/>
          <w:lang w:eastAsia="fr-FR"/>
        </w:rPr>
        <w:t>le Gouvernement espagnol d’avoir accueilli la</w:t>
      </w:r>
      <w:r w:rsidRPr="00A40529">
        <w:rPr>
          <w:rFonts w:eastAsia="Times New Roman" w:cs="Arial"/>
          <w:iCs/>
          <w:szCs w:val="22"/>
          <w:lang w:eastAsia="en-US"/>
        </w:rPr>
        <w:t xml:space="preserve"> </w:t>
      </w:r>
      <w:r w:rsidRPr="00A40529">
        <w:rPr>
          <w:rFonts w:eastAsiaTheme="minorHAnsi" w:cs="Arial"/>
          <w:iCs/>
          <w:snapToGrid/>
          <w:szCs w:val="22"/>
          <w:lang w:eastAsia="fr-FR"/>
        </w:rPr>
        <w:t xml:space="preserve">Conférence de la Décennie de l’Océan à Barcelone en avril 2024, et </w:t>
      </w:r>
      <w:r w:rsidRPr="00A40529">
        <w:rPr>
          <w:rFonts w:eastAsiaTheme="minorHAnsi" w:cs="Arial"/>
          <w:b/>
          <w:bCs/>
          <w:iCs/>
          <w:snapToGrid/>
          <w:szCs w:val="22"/>
          <w:lang w:eastAsia="fr-FR"/>
        </w:rPr>
        <w:t>réaffirmant</w:t>
      </w:r>
      <w:r w:rsidRPr="00A40529">
        <w:rPr>
          <w:rFonts w:eastAsiaTheme="minorHAnsi" w:cs="Arial"/>
          <w:iCs/>
          <w:snapToGrid/>
          <w:szCs w:val="22"/>
          <w:lang w:eastAsia="fr-FR"/>
        </w:rPr>
        <w:t xml:space="preserve"> son soutien</w:t>
      </w:r>
      <w:r w:rsidRPr="00A40529">
        <w:rPr>
          <w:rFonts w:eastAsiaTheme="minorHAnsi" w:cs="Arial"/>
          <w:snapToGrid/>
          <w:szCs w:val="22"/>
          <w:lang w:eastAsia="fr-FR"/>
        </w:rPr>
        <w:t xml:space="preserve"> </w:t>
      </w:r>
      <w:r w:rsidR="00A33F60" w:rsidRPr="00A40529">
        <w:rPr>
          <w:rFonts w:eastAsiaTheme="minorHAnsi" w:cs="Arial"/>
          <w:snapToGrid/>
          <w:szCs w:val="22"/>
          <w:lang w:eastAsia="fr-FR"/>
        </w:rPr>
        <w:t xml:space="preserve">à la mise en œuvre des priorités et des recommandations formulées dans la </w:t>
      </w:r>
      <w:r w:rsidR="00A33F60" w:rsidRPr="00A40529">
        <w:rPr>
          <w:rFonts w:eastAsiaTheme="minorHAnsi" w:cs="Arial"/>
          <w:i/>
          <w:iCs/>
          <w:snapToGrid/>
          <w:szCs w:val="22"/>
          <w:lang w:eastAsia="fr-FR"/>
        </w:rPr>
        <w:t>Déclaration de Barcelone</w:t>
      </w:r>
      <w:r w:rsidRPr="00A40529">
        <w:rPr>
          <w:rFonts w:eastAsiaTheme="minorHAnsi" w:cs="Arial"/>
          <w:i/>
          <w:iCs/>
          <w:snapToGrid/>
          <w:szCs w:val="22"/>
          <w:lang w:eastAsia="fr-FR"/>
        </w:rPr>
        <w:t xml:space="preserve"> </w:t>
      </w:r>
      <w:r w:rsidRPr="00A40529">
        <w:rPr>
          <w:rFonts w:eastAsiaTheme="minorHAnsi" w:cs="Arial"/>
          <w:snapToGrid/>
          <w:szCs w:val="22"/>
          <w:lang w:eastAsia="fr-FR"/>
        </w:rPr>
        <w:t>(IOC/2024/ODS/55)</w:t>
      </w:r>
      <w:r w:rsidR="00A33F60" w:rsidRPr="00A40529">
        <w:rPr>
          <w:rFonts w:eastAsiaTheme="minorHAnsi" w:cs="Arial"/>
          <w:snapToGrid/>
          <w:szCs w:val="22"/>
          <w:lang w:eastAsia="fr-FR"/>
        </w:rPr>
        <w:t>, issue de la Conférence de la Décennie de l’Océan 2024</w:t>
      </w:r>
      <w:r w:rsidRPr="00A40529">
        <w:rPr>
          <w:rFonts w:eastAsiaTheme="minorHAnsi" w:cs="Arial"/>
          <w:snapToGrid/>
          <w:szCs w:val="22"/>
          <w:lang w:eastAsia="fr-FR"/>
        </w:rPr>
        <w:t>,</w:t>
      </w:r>
      <w:r w:rsidR="00A33F60" w:rsidRPr="00A40529">
        <w:rPr>
          <w:rFonts w:eastAsia="Times New Roman" w:cs="Arial"/>
          <w:szCs w:val="22"/>
          <w:lang w:eastAsia="en-US"/>
        </w:rPr>
        <w:t xml:space="preserve"> </w:t>
      </w:r>
    </w:p>
    <w:p w14:paraId="73847CC0" w14:textId="11E6207F" w:rsidR="00A33F60" w:rsidRPr="00A40529" w:rsidRDefault="005D10DE" w:rsidP="00A33F60">
      <w:pPr>
        <w:numPr>
          <w:ilvl w:val="0"/>
          <w:numId w:val="44"/>
        </w:numPr>
        <w:spacing w:after="240"/>
        <w:ind w:left="0" w:hanging="567"/>
        <w:jc w:val="both"/>
        <w:rPr>
          <w:rFonts w:eastAsia="Times New Roman" w:cs="Arial"/>
          <w:b/>
          <w:szCs w:val="22"/>
          <w:lang w:eastAsia="en-US"/>
        </w:rPr>
      </w:pPr>
      <w:r w:rsidRPr="00A40529">
        <w:rPr>
          <w:rFonts w:eastAsia="Times New Roman" w:cs="Arial"/>
          <w:b/>
          <w:bCs/>
          <w:iCs/>
          <w:szCs w:val="22"/>
          <w:lang w:eastAsia="en-US"/>
        </w:rPr>
        <w:t>Remerciant</w:t>
      </w:r>
      <w:r w:rsidRPr="00A40529">
        <w:rPr>
          <w:rFonts w:eastAsia="Times New Roman" w:cs="Arial"/>
          <w:iCs/>
          <w:szCs w:val="22"/>
          <w:lang w:eastAsia="en-US"/>
        </w:rPr>
        <w:t xml:space="preserve"> </w:t>
      </w:r>
      <w:r w:rsidR="00A33F60" w:rsidRPr="00A40529">
        <w:rPr>
          <w:rFonts w:eastAsia="Times New Roman" w:cs="Arial"/>
          <w:iCs/>
          <w:szCs w:val="22"/>
          <w:lang w:eastAsia="en-US"/>
        </w:rPr>
        <w:t xml:space="preserve">tous les États membres qui ont manifesté leur intérêt pour l’organisation de la </w:t>
      </w:r>
      <w:bookmarkStart w:id="0" w:name="_Hlk202340388"/>
      <w:r w:rsidR="00A33F60" w:rsidRPr="00A40529">
        <w:rPr>
          <w:rFonts w:eastAsia="Times New Roman" w:cs="Arial"/>
          <w:iCs/>
          <w:szCs w:val="22"/>
          <w:lang w:eastAsia="en-US"/>
        </w:rPr>
        <w:t>Conférence de la Décennie de l’Océan</w:t>
      </w:r>
      <w:bookmarkEnd w:id="0"/>
      <w:r w:rsidR="00A33F60" w:rsidRPr="00A40529">
        <w:rPr>
          <w:rFonts w:eastAsia="Times New Roman" w:cs="Arial"/>
          <w:iCs/>
          <w:szCs w:val="22"/>
          <w:lang w:eastAsia="en-US"/>
        </w:rPr>
        <w:t xml:space="preserve"> 2027 et </w:t>
      </w:r>
      <w:r w:rsidRPr="00A40529">
        <w:rPr>
          <w:rFonts w:eastAsia="Times New Roman" w:cs="Arial"/>
          <w:b/>
          <w:bCs/>
          <w:iCs/>
          <w:szCs w:val="22"/>
          <w:lang w:eastAsia="en-US"/>
        </w:rPr>
        <w:t>adressant</w:t>
      </w:r>
      <w:r w:rsidRPr="00A40529">
        <w:rPr>
          <w:rFonts w:eastAsia="Times New Roman" w:cs="Arial"/>
          <w:iCs/>
          <w:szCs w:val="22"/>
          <w:lang w:eastAsia="en-US"/>
        </w:rPr>
        <w:t xml:space="preserve"> </w:t>
      </w:r>
      <w:r w:rsidR="00A33F60" w:rsidRPr="00A40529">
        <w:rPr>
          <w:rFonts w:eastAsia="Times New Roman" w:cs="Arial"/>
          <w:iCs/>
          <w:szCs w:val="22"/>
          <w:lang w:eastAsia="en-US"/>
        </w:rPr>
        <w:t>ses félicitations à l’hôte retenu pour accueillir la Conférence</w:t>
      </w:r>
      <w:r w:rsidRPr="00A40529">
        <w:rPr>
          <w:rFonts w:eastAsia="Times New Roman" w:cs="Arial"/>
          <w:iCs/>
          <w:szCs w:val="22"/>
          <w:lang w:eastAsia="en-US"/>
        </w:rPr>
        <w:t>,</w:t>
      </w:r>
    </w:p>
    <w:p w14:paraId="3CB2C42B" w14:textId="77777777" w:rsidR="00A33F60" w:rsidRPr="00A40529" w:rsidRDefault="00A33F60" w:rsidP="00A33F60">
      <w:pPr>
        <w:numPr>
          <w:ilvl w:val="0"/>
          <w:numId w:val="44"/>
        </w:numPr>
        <w:spacing w:after="240"/>
        <w:ind w:left="0" w:hanging="567"/>
        <w:jc w:val="both"/>
        <w:rPr>
          <w:rFonts w:eastAsia="Times New Roman" w:cs="Arial"/>
          <w:b/>
          <w:szCs w:val="22"/>
          <w:lang w:eastAsia="en-US"/>
        </w:rPr>
      </w:pPr>
      <w:r w:rsidRPr="00A40529">
        <w:rPr>
          <w:rFonts w:eastAsia="Times New Roman" w:cs="Arial"/>
          <w:b/>
          <w:bCs/>
          <w:szCs w:val="22"/>
          <w:lang w:eastAsia="en-US"/>
        </w:rPr>
        <w:t>Invite</w:t>
      </w:r>
      <w:r w:rsidRPr="00A40529">
        <w:rPr>
          <w:rFonts w:eastAsia="Times New Roman" w:cs="Arial"/>
          <w:szCs w:val="22"/>
          <w:lang w:eastAsia="en-US"/>
        </w:rPr>
        <w:t xml:space="preserve"> les États membres et les partenaires à :</w:t>
      </w:r>
    </w:p>
    <w:p w14:paraId="311C672F" w14:textId="201A0692" w:rsidR="00A33F60" w:rsidRPr="00A40529" w:rsidRDefault="00A33F60" w:rsidP="00A33F60">
      <w:pPr>
        <w:numPr>
          <w:ilvl w:val="0"/>
          <w:numId w:val="45"/>
        </w:numPr>
        <w:spacing w:after="240"/>
        <w:ind w:left="567" w:hanging="567"/>
        <w:jc w:val="both"/>
        <w:rPr>
          <w:rFonts w:eastAsia="MS Mincho" w:cs="Arial"/>
          <w:szCs w:val="22"/>
          <w:lang w:eastAsia="ja-JP"/>
        </w:rPr>
      </w:pPr>
      <w:r w:rsidRPr="00A40529">
        <w:rPr>
          <w:rFonts w:eastAsia="MS Mincho" w:cs="Arial"/>
          <w:szCs w:val="22"/>
          <w:lang w:eastAsia="ja-JP"/>
        </w:rPr>
        <w:t xml:space="preserve">intégrer les priorités et les recommandations formulées dans la </w:t>
      </w:r>
      <w:r w:rsidRPr="00A40529">
        <w:rPr>
          <w:rFonts w:eastAsia="MS Mincho" w:cs="Arial"/>
          <w:i/>
          <w:iCs/>
          <w:szCs w:val="22"/>
          <w:lang w:eastAsia="ja-JP"/>
        </w:rPr>
        <w:t>Déclaration de Barcelone</w:t>
      </w:r>
      <w:r w:rsidRPr="00A40529">
        <w:rPr>
          <w:rFonts w:eastAsia="MS Mincho" w:cs="Arial"/>
          <w:szCs w:val="22"/>
          <w:lang w:eastAsia="ja-JP"/>
        </w:rPr>
        <w:t xml:space="preserve"> dans leurs cadres nationaux et régionaux</w:t>
      </w:r>
      <w:r w:rsidR="00A40529" w:rsidRPr="00A40529">
        <w:rPr>
          <w:rFonts w:eastAsia="MS Mincho" w:cs="Arial"/>
          <w:szCs w:val="22"/>
          <w:lang w:eastAsia="ja-JP"/>
        </w:rPr>
        <w:t xml:space="preserve"> science-politiques</w:t>
      </w:r>
      <w:r w:rsidRPr="00A40529">
        <w:rPr>
          <w:rFonts w:eastAsia="MS Mincho" w:cs="Arial"/>
          <w:szCs w:val="22"/>
          <w:lang w:eastAsia="ja-JP"/>
        </w:rPr>
        <w:t xml:space="preserve">, et à s’en servir pour éclairer leurs décisions en matière de budget et de ressources ; </w:t>
      </w:r>
    </w:p>
    <w:p w14:paraId="29AF4D71" w14:textId="77777777" w:rsidR="00A33F60" w:rsidRPr="00A40529" w:rsidRDefault="00A33F60" w:rsidP="00A33F60">
      <w:pPr>
        <w:numPr>
          <w:ilvl w:val="0"/>
          <w:numId w:val="45"/>
        </w:numPr>
        <w:spacing w:after="240"/>
        <w:ind w:left="567" w:hanging="567"/>
        <w:jc w:val="both"/>
        <w:rPr>
          <w:rFonts w:eastAsia="MS Mincho" w:cs="Arial"/>
          <w:szCs w:val="22"/>
          <w:lang w:eastAsia="ja-JP"/>
        </w:rPr>
      </w:pPr>
      <w:r w:rsidRPr="00A40529">
        <w:rPr>
          <w:rFonts w:eastAsia="MS Mincho" w:cs="Arial"/>
          <w:szCs w:val="22"/>
          <w:lang w:eastAsia="ja-JP"/>
        </w:rPr>
        <w:t xml:space="preserve">apporter des contributions financières volontaires à l’appui du travail de coordination de la Décennie mené par le Secrétariat de la COI, y compris par le biais d’un soutien en nature sous la forme, par exemple, de prêts et de détachements de personnel auprès de l’Unité de coordination de la Décennie ; </w:t>
      </w:r>
    </w:p>
    <w:p w14:paraId="453AB9F3" w14:textId="0956958A" w:rsidR="00A33F60" w:rsidRPr="00A40529" w:rsidRDefault="00A33F60" w:rsidP="00314FEB">
      <w:pPr>
        <w:numPr>
          <w:ilvl w:val="0"/>
          <w:numId w:val="45"/>
        </w:numPr>
        <w:spacing w:after="240"/>
        <w:ind w:left="567" w:hanging="567"/>
        <w:jc w:val="both"/>
        <w:rPr>
          <w:rFonts w:eastAsia="MS Mincho" w:cs="Arial"/>
          <w:szCs w:val="22"/>
          <w:lang w:eastAsia="ja-JP"/>
        </w:rPr>
      </w:pPr>
      <w:r w:rsidRPr="00A40529">
        <w:rPr>
          <w:rFonts w:eastAsia="MS Mincho" w:cs="Arial"/>
          <w:szCs w:val="22"/>
          <w:lang w:eastAsia="ja-JP"/>
        </w:rPr>
        <w:t xml:space="preserve">proposer d’accueillir et de financer des actions de la Décennie, des bureaux de coordination de la Décennie et des centres de collaboration de la Décennie tels que décrits dans le </w:t>
      </w:r>
      <w:r w:rsidRPr="00A40529">
        <w:rPr>
          <w:rFonts w:eastAsia="MS Mincho" w:cs="Arial"/>
          <w:i/>
          <w:iCs/>
          <w:szCs w:val="22"/>
          <w:lang w:eastAsia="ja-JP"/>
        </w:rPr>
        <w:t xml:space="preserve">Plan de </w:t>
      </w:r>
      <w:r w:rsidRPr="00A40529">
        <w:rPr>
          <w:rFonts w:eastAsia="MS Mincho" w:cs="Arial"/>
          <w:i/>
          <w:iCs/>
          <w:szCs w:val="22"/>
          <w:lang w:eastAsia="ja-JP"/>
        </w:rPr>
        <w:lastRenderedPageBreak/>
        <w:t>mise en œuvre</w:t>
      </w:r>
      <w:bookmarkStart w:id="1" w:name="_Hlk202340973"/>
      <w:r w:rsidR="00314FEB" w:rsidRPr="00A40529">
        <w:rPr>
          <w:rFonts w:eastAsia="MS Mincho" w:cs="Arial"/>
          <w:i/>
          <w:iCs/>
          <w:szCs w:val="22"/>
          <w:lang w:eastAsia="ja-JP"/>
        </w:rPr>
        <w:t xml:space="preserve"> ‎de la </w:t>
      </w:r>
      <w:r w:rsidR="005D10DE" w:rsidRPr="00A40529">
        <w:rPr>
          <w:rFonts w:eastAsia="MS Mincho" w:cs="Arial"/>
          <w:i/>
          <w:iCs/>
          <w:szCs w:val="22"/>
          <w:lang w:eastAsia="ja-JP"/>
        </w:rPr>
        <w:t>Décennie des Nations Unies pour les sciences océaniques au service du développement durable (2021-2030)</w:t>
      </w:r>
      <w:bookmarkEnd w:id="1"/>
      <w:r w:rsidRPr="00A40529">
        <w:rPr>
          <w:rFonts w:eastAsia="MS Mincho" w:cs="Arial"/>
          <w:szCs w:val="22"/>
          <w:lang w:eastAsia="ja-JP"/>
        </w:rPr>
        <w:t xml:space="preserve"> (</w:t>
      </w:r>
      <w:r w:rsidR="005D10DE" w:rsidRPr="00A40529">
        <w:rPr>
          <w:rFonts w:eastAsia="MS Mincho" w:cs="Arial"/>
          <w:szCs w:val="22"/>
          <w:lang w:eastAsia="ja-JP"/>
        </w:rPr>
        <w:t>IOC/2021/ODS/20</w:t>
      </w:r>
      <w:r w:rsidRPr="00A40529">
        <w:rPr>
          <w:rFonts w:eastAsia="MS Mincho" w:cs="Arial"/>
          <w:szCs w:val="22"/>
          <w:lang w:eastAsia="ja-JP"/>
        </w:rPr>
        <w:t xml:space="preserve">) ; </w:t>
      </w:r>
    </w:p>
    <w:p w14:paraId="0610447C" w14:textId="77777777" w:rsidR="00A33F60" w:rsidRPr="00A40529" w:rsidRDefault="00A33F60" w:rsidP="00314FEB">
      <w:pPr>
        <w:numPr>
          <w:ilvl w:val="0"/>
          <w:numId w:val="45"/>
        </w:numPr>
        <w:spacing w:after="240"/>
        <w:ind w:left="567" w:hanging="567"/>
        <w:jc w:val="both"/>
        <w:rPr>
          <w:rFonts w:eastAsia="MS Mincho" w:cs="Arial"/>
          <w:szCs w:val="22"/>
          <w:lang w:eastAsia="ja-JP"/>
        </w:rPr>
      </w:pPr>
      <w:r w:rsidRPr="00A40529">
        <w:rPr>
          <w:rFonts w:eastAsia="MS Mincho" w:cs="Arial"/>
          <w:szCs w:val="22"/>
          <w:lang w:eastAsia="ja-JP"/>
        </w:rPr>
        <w:t>accueillir des manifestations régionales ou internationales des parties prenantes de la Décennie, notamment dans le cadre du processus préparatoire de la Conférence de la Décennie de l’Océan 2027 ;</w:t>
      </w:r>
    </w:p>
    <w:p w14:paraId="3EE61CFD" w14:textId="187EAE21" w:rsidR="005D10DE" w:rsidRPr="00A40529" w:rsidRDefault="00A33F60" w:rsidP="005D10DE">
      <w:pPr>
        <w:numPr>
          <w:ilvl w:val="0"/>
          <w:numId w:val="44"/>
        </w:numPr>
        <w:spacing w:after="240"/>
        <w:ind w:left="0" w:hanging="567"/>
        <w:jc w:val="both"/>
        <w:rPr>
          <w:rFonts w:eastAsia="Times New Roman" w:cs="Arial"/>
          <w:i/>
          <w:szCs w:val="22"/>
          <w:lang w:eastAsia="en-US"/>
        </w:rPr>
      </w:pPr>
      <w:r w:rsidRPr="00A40529">
        <w:rPr>
          <w:rFonts w:eastAsia="Times New Roman" w:cs="Arial"/>
          <w:b/>
          <w:bCs/>
          <w:szCs w:val="22"/>
          <w:lang w:eastAsia="en-US"/>
        </w:rPr>
        <w:t>Invite également</w:t>
      </w:r>
      <w:r w:rsidRPr="00A40529">
        <w:rPr>
          <w:rFonts w:eastAsia="Times New Roman" w:cs="Arial"/>
          <w:szCs w:val="22"/>
          <w:lang w:eastAsia="en-US"/>
        </w:rPr>
        <w:t xml:space="preserve"> les États membres </w:t>
      </w:r>
      <w:r w:rsidR="005D10DE" w:rsidRPr="00A40529">
        <w:rPr>
          <w:rFonts w:eastAsia="Times New Roman" w:cs="Arial"/>
          <w:szCs w:val="22"/>
          <w:lang w:eastAsia="en-US"/>
        </w:rPr>
        <w:t>à établir et à soutenir des comités nationaux de la Décennie permettant de stimuler les activités nationales et la coopération internationale ;</w:t>
      </w:r>
      <w:r w:rsidRPr="00A40529">
        <w:rPr>
          <w:rFonts w:eastAsia="Times New Roman" w:cs="Arial"/>
          <w:szCs w:val="22"/>
          <w:lang w:eastAsia="en-US"/>
        </w:rPr>
        <w:t xml:space="preserve"> </w:t>
      </w:r>
    </w:p>
    <w:p w14:paraId="391FEFA3" w14:textId="0A2C45ED" w:rsidR="00A33F60" w:rsidRPr="00A40529" w:rsidRDefault="005D10DE" w:rsidP="005D10DE">
      <w:pPr>
        <w:numPr>
          <w:ilvl w:val="0"/>
          <w:numId w:val="44"/>
        </w:numPr>
        <w:spacing w:after="240"/>
        <w:ind w:left="0" w:hanging="567"/>
        <w:jc w:val="both"/>
        <w:rPr>
          <w:rFonts w:eastAsia="Times New Roman" w:cs="Arial"/>
          <w:i/>
          <w:szCs w:val="22"/>
          <w:lang w:eastAsia="en-US"/>
        </w:rPr>
      </w:pPr>
      <w:r w:rsidRPr="00A40529">
        <w:rPr>
          <w:rFonts w:eastAsia="Times New Roman" w:cs="Arial"/>
          <w:b/>
          <w:bCs/>
          <w:szCs w:val="22"/>
          <w:lang w:eastAsia="en-US"/>
        </w:rPr>
        <w:t>Encourage</w:t>
      </w:r>
      <w:r w:rsidRPr="00A40529">
        <w:rPr>
          <w:rFonts w:eastAsia="Times New Roman" w:cs="Arial"/>
          <w:szCs w:val="22"/>
          <w:lang w:eastAsia="en-US"/>
        </w:rPr>
        <w:t xml:space="preserve"> les États membres des Nations Unies, </w:t>
      </w:r>
      <w:r w:rsidR="00A33F60" w:rsidRPr="00A40529">
        <w:rPr>
          <w:rFonts w:eastAsia="Times New Roman" w:cs="Arial"/>
          <w:szCs w:val="22"/>
          <w:lang w:eastAsia="en-US"/>
        </w:rPr>
        <w:t xml:space="preserve">les membres d’ONU-Océans,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 conformément au </w:t>
      </w:r>
      <w:r w:rsidR="00A33F60" w:rsidRPr="00A40529">
        <w:rPr>
          <w:rFonts w:eastAsia="Times New Roman" w:cs="Arial"/>
          <w:i/>
          <w:iCs/>
          <w:szCs w:val="22"/>
          <w:lang w:eastAsia="en-US"/>
        </w:rPr>
        <w:t>Plan de mise en œuvre</w:t>
      </w:r>
      <w:r w:rsidRPr="00A40529">
        <w:rPr>
          <w:rFonts w:eastAsia="MS Mincho" w:cs="Arial"/>
          <w:i/>
          <w:iCs/>
          <w:szCs w:val="22"/>
          <w:lang w:eastAsia="ja-JP"/>
        </w:rPr>
        <w:t xml:space="preserve"> de la </w:t>
      </w:r>
      <w:r w:rsidRPr="00A40529">
        <w:rPr>
          <w:rFonts w:eastAsia="Times New Roman" w:cs="Arial"/>
          <w:i/>
          <w:iCs/>
          <w:szCs w:val="22"/>
          <w:lang w:eastAsia="en-US"/>
        </w:rPr>
        <w:t>Décennie des Nations Unies pour les sciences océaniques au service du développement durable (2021-2030)</w:t>
      </w:r>
      <w:r w:rsidR="00A33F60" w:rsidRPr="00A40529">
        <w:rPr>
          <w:rFonts w:eastAsia="Times New Roman" w:cs="Arial"/>
          <w:szCs w:val="22"/>
          <w:lang w:eastAsia="en-US"/>
        </w:rPr>
        <w:t xml:space="preserve">, en appuyant la mise en œuvre des priorités et recommandations issues de la </w:t>
      </w:r>
      <w:r w:rsidR="00A33F60" w:rsidRPr="00A40529">
        <w:rPr>
          <w:rFonts w:eastAsia="Times New Roman" w:cs="Arial"/>
          <w:i/>
          <w:iCs/>
          <w:szCs w:val="22"/>
          <w:lang w:eastAsia="en-US"/>
        </w:rPr>
        <w:t>Déclaration de Barcelone</w:t>
      </w:r>
      <w:r w:rsidR="00A33F60" w:rsidRPr="00A40529">
        <w:rPr>
          <w:rFonts w:eastAsia="Times New Roman" w:cs="Arial"/>
          <w:szCs w:val="22"/>
          <w:lang w:eastAsia="en-US"/>
        </w:rPr>
        <w:t xml:space="preserve">, ainsi qu’en prenant part et en apportant leur soutien au processus préparatoire de la Conférence de la Décennie de l’Océan 2027 ; </w:t>
      </w:r>
    </w:p>
    <w:p w14:paraId="19390899" w14:textId="77777777" w:rsidR="00A33F60" w:rsidRPr="00A40529" w:rsidRDefault="00A33F60" w:rsidP="00A33F60">
      <w:pPr>
        <w:spacing w:after="240"/>
        <w:jc w:val="center"/>
        <w:rPr>
          <w:rFonts w:eastAsia="Times New Roman" w:cs="Arial"/>
          <w:b/>
          <w:bCs/>
          <w:iCs/>
          <w:szCs w:val="22"/>
          <w:lang w:eastAsia="en-US"/>
        </w:rPr>
      </w:pPr>
      <w:r w:rsidRPr="00A40529">
        <w:rPr>
          <w:rFonts w:eastAsia="Times New Roman" w:cs="Arial"/>
          <w:b/>
          <w:bCs/>
          <w:iCs/>
          <w:szCs w:val="22"/>
          <w:lang w:eastAsia="en-US"/>
        </w:rPr>
        <w:t>Partie II</w:t>
      </w:r>
    </w:p>
    <w:p w14:paraId="3C0B9AE4" w14:textId="4EEADB50" w:rsidR="00A33F60" w:rsidRPr="00A40529" w:rsidRDefault="00A33F60" w:rsidP="00A33F60">
      <w:pPr>
        <w:numPr>
          <w:ilvl w:val="0"/>
          <w:numId w:val="44"/>
        </w:numPr>
        <w:spacing w:after="240"/>
        <w:ind w:left="0" w:hanging="567"/>
        <w:jc w:val="both"/>
        <w:rPr>
          <w:rFonts w:eastAsia="Times New Roman" w:cs="Arial"/>
          <w:i/>
          <w:szCs w:val="22"/>
          <w:lang w:eastAsia="en-US"/>
        </w:rPr>
      </w:pPr>
      <w:r w:rsidRPr="00A40529">
        <w:rPr>
          <w:rFonts w:eastAsia="Times New Roman" w:cs="Arial"/>
          <w:b/>
          <w:bCs/>
          <w:iCs/>
          <w:szCs w:val="22"/>
          <w:lang w:eastAsia="en-US"/>
        </w:rPr>
        <w:t xml:space="preserve">Ayant examiné </w:t>
      </w:r>
      <w:r w:rsidRPr="00A40529">
        <w:rPr>
          <w:rFonts w:eastAsia="Times New Roman" w:cs="Arial"/>
          <w:iCs/>
          <w:szCs w:val="22"/>
          <w:lang w:eastAsia="en-US"/>
        </w:rPr>
        <w:t xml:space="preserve">le document IOC/A-33/4.8.Doc(2), qui résume l’évaluation à mi-parcours de la </w:t>
      </w:r>
      <w:bookmarkStart w:id="2" w:name="_Hlk201650322"/>
      <w:r w:rsidRPr="00A40529">
        <w:rPr>
          <w:rFonts w:eastAsia="Times New Roman" w:cs="Arial"/>
          <w:iCs/>
          <w:szCs w:val="22"/>
          <w:lang w:eastAsia="en-US"/>
        </w:rPr>
        <w:t>Décennie des Nations Unies pour les sciences océaniques au service du développement durable</w:t>
      </w:r>
      <w:bookmarkEnd w:id="2"/>
      <w:r w:rsidRPr="00A40529">
        <w:rPr>
          <w:rFonts w:eastAsia="Times New Roman" w:cs="Arial"/>
          <w:iCs/>
          <w:szCs w:val="22"/>
          <w:lang w:eastAsia="en-US"/>
        </w:rPr>
        <w:t xml:space="preserve"> et la réponse de la Direction </w:t>
      </w:r>
      <w:r w:rsidR="005D10DE" w:rsidRPr="00A40529">
        <w:rPr>
          <w:rFonts w:eastAsia="Times New Roman" w:cs="Arial"/>
          <w:iCs/>
          <w:szCs w:val="22"/>
          <w:lang w:eastAsia="en-US"/>
        </w:rPr>
        <w:t xml:space="preserve">aux conclusions de </w:t>
      </w:r>
      <w:r w:rsidRPr="00A40529">
        <w:rPr>
          <w:rFonts w:eastAsia="Times New Roman" w:cs="Arial"/>
          <w:iCs/>
          <w:szCs w:val="22"/>
          <w:lang w:eastAsia="en-US"/>
        </w:rPr>
        <w:t>cette évaluation,</w:t>
      </w:r>
    </w:p>
    <w:p w14:paraId="2441F758" w14:textId="3F625599" w:rsidR="00A33F60" w:rsidRPr="00A40529" w:rsidRDefault="005D10DE" w:rsidP="00A33F60">
      <w:pPr>
        <w:numPr>
          <w:ilvl w:val="0"/>
          <w:numId w:val="44"/>
        </w:numPr>
        <w:spacing w:after="240"/>
        <w:ind w:left="0" w:hanging="567"/>
        <w:jc w:val="both"/>
        <w:rPr>
          <w:rFonts w:eastAsia="Times New Roman" w:cs="Arial"/>
          <w:i/>
          <w:szCs w:val="22"/>
          <w:lang w:eastAsia="en-US"/>
        </w:rPr>
      </w:pPr>
      <w:r w:rsidRPr="00A40529">
        <w:rPr>
          <w:rFonts w:eastAsia="Times New Roman" w:cs="Arial"/>
          <w:b/>
          <w:bCs/>
          <w:iCs/>
          <w:szCs w:val="22"/>
          <w:lang w:eastAsia="en-US"/>
        </w:rPr>
        <w:t xml:space="preserve">Prenant </w:t>
      </w:r>
      <w:r w:rsidR="00A33F60" w:rsidRPr="00A40529">
        <w:rPr>
          <w:rFonts w:eastAsia="Times New Roman" w:cs="Arial"/>
          <w:b/>
          <w:bCs/>
          <w:iCs/>
          <w:szCs w:val="22"/>
          <w:lang w:eastAsia="en-US"/>
        </w:rPr>
        <w:t>note en outre</w:t>
      </w:r>
      <w:r w:rsidR="00A33F60" w:rsidRPr="00A40529">
        <w:rPr>
          <w:rFonts w:eastAsia="Times New Roman" w:cs="Arial"/>
          <w:iCs/>
          <w:szCs w:val="22"/>
          <w:lang w:eastAsia="en-US"/>
        </w:rPr>
        <w:t xml:space="preserve"> des conclusions de l’évaluation à mi-parcours et de la réponse de la Direction formulée par le Secrétaire exécutif</w:t>
      </w:r>
      <w:r w:rsidRPr="00A40529">
        <w:rPr>
          <w:rFonts w:eastAsia="Times New Roman" w:cs="Arial"/>
          <w:iCs/>
          <w:szCs w:val="22"/>
          <w:lang w:eastAsia="en-US"/>
        </w:rPr>
        <w:t xml:space="preserve"> de la COI,</w:t>
      </w:r>
      <w:r w:rsidR="00A33F60" w:rsidRPr="00A40529">
        <w:rPr>
          <w:rFonts w:eastAsia="Times New Roman" w:cs="Arial"/>
          <w:iCs/>
          <w:szCs w:val="22"/>
          <w:lang w:eastAsia="en-US"/>
        </w:rPr>
        <w:t xml:space="preserve"> </w:t>
      </w:r>
    </w:p>
    <w:p w14:paraId="11BAAEA2" w14:textId="2D50814D" w:rsidR="00A33F60" w:rsidRPr="00A40529" w:rsidRDefault="00A33F60" w:rsidP="00A33F60">
      <w:pPr>
        <w:numPr>
          <w:ilvl w:val="0"/>
          <w:numId w:val="44"/>
        </w:numPr>
        <w:spacing w:after="240"/>
        <w:ind w:left="0" w:hanging="567"/>
        <w:jc w:val="both"/>
        <w:rPr>
          <w:rFonts w:eastAsia="Times New Roman" w:cs="Arial"/>
          <w:i/>
          <w:szCs w:val="22"/>
          <w:lang w:eastAsia="en-US"/>
        </w:rPr>
      </w:pPr>
      <w:r w:rsidRPr="00A40529">
        <w:rPr>
          <w:rFonts w:eastAsia="Times New Roman" w:cs="Arial"/>
          <w:b/>
          <w:bCs/>
          <w:iCs/>
          <w:szCs w:val="22"/>
          <w:lang w:eastAsia="en-US"/>
        </w:rPr>
        <w:t>Prie</w:t>
      </w:r>
      <w:r w:rsidRPr="00A40529">
        <w:rPr>
          <w:rFonts w:eastAsia="Times New Roman" w:cs="Arial"/>
          <w:iCs/>
          <w:szCs w:val="22"/>
          <w:lang w:eastAsia="en-US"/>
        </w:rPr>
        <w:t xml:space="preserve"> le Secrétaire exécutif de la COI d’élaborer un plan d’action à partir de la réponse de la Direction en vue de sa présentation au Comité consultatif de la Décennie avant la fin de 2025 et de rendre compte de l’état d’avancement de la mise en œuvre du plan d’action à la 59</w:t>
      </w:r>
      <w:r w:rsidRPr="00A40529">
        <w:rPr>
          <w:rFonts w:eastAsia="Times New Roman" w:cs="Arial"/>
          <w:iCs/>
          <w:szCs w:val="22"/>
          <w:vertAlign w:val="superscript"/>
          <w:lang w:eastAsia="en-US"/>
        </w:rPr>
        <w:t>e</w:t>
      </w:r>
      <w:r w:rsidRPr="00A40529">
        <w:rPr>
          <w:rFonts w:eastAsia="Times New Roman" w:cs="Arial"/>
          <w:iCs/>
          <w:szCs w:val="22"/>
          <w:lang w:eastAsia="en-US"/>
        </w:rPr>
        <w:t xml:space="preserve"> session du Conseil exécutif de la COI ; </w:t>
      </w:r>
    </w:p>
    <w:p w14:paraId="41CA3127" w14:textId="77777777" w:rsidR="00A33F60" w:rsidRPr="00A40529" w:rsidRDefault="00A33F60" w:rsidP="00A33F60">
      <w:pPr>
        <w:numPr>
          <w:ilvl w:val="0"/>
          <w:numId w:val="44"/>
        </w:numPr>
        <w:spacing w:after="240"/>
        <w:ind w:left="0" w:hanging="567"/>
        <w:jc w:val="both"/>
        <w:rPr>
          <w:rFonts w:eastAsia="Times New Roman" w:cs="Arial"/>
          <w:i/>
          <w:szCs w:val="22"/>
          <w:lang w:eastAsia="en-US"/>
        </w:rPr>
      </w:pPr>
      <w:r w:rsidRPr="00A40529">
        <w:rPr>
          <w:rFonts w:eastAsia="Times New Roman" w:cs="Arial"/>
          <w:b/>
          <w:bCs/>
          <w:iCs/>
          <w:szCs w:val="22"/>
          <w:lang w:eastAsia="en-US"/>
        </w:rPr>
        <w:t>Ayant examiné</w:t>
      </w:r>
      <w:r w:rsidRPr="00A40529">
        <w:rPr>
          <w:rFonts w:eastAsia="Times New Roman" w:cs="Arial"/>
          <w:iCs/>
          <w:szCs w:val="22"/>
          <w:lang w:eastAsia="en-US"/>
        </w:rPr>
        <w:t xml:space="preserve"> le document IOC/A-33/4.8.Doc(3) intitulé « Projet de mandat révisé du Comité consultatif de la Décennie », </w:t>
      </w:r>
    </w:p>
    <w:p w14:paraId="04CC76C5" w14:textId="77777777" w:rsidR="00A33F60" w:rsidRPr="00A40529" w:rsidRDefault="00A33F60" w:rsidP="00A33F60">
      <w:pPr>
        <w:numPr>
          <w:ilvl w:val="0"/>
          <w:numId w:val="44"/>
        </w:numPr>
        <w:spacing w:after="240"/>
        <w:ind w:left="0" w:hanging="567"/>
        <w:jc w:val="both"/>
        <w:rPr>
          <w:rFonts w:eastAsia="Times New Roman" w:cs="Arial"/>
          <w:i/>
          <w:szCs w:val="22"/>
          <w:lang w:eastAsia="en-US"/>
        </w:rPr>
      </w:pPr>
      <w:r w:rsidRPr="00A40529">
        <w:rPr>
          <w:rFonts w:eastAsia="Times New Roman" w:cs="Arial"/>
          <w:b/>
          <w:bCs/>
          <w:iCs/>
          <w:szCs w:val="22"/>
          <w:lang w:eastAsia="en-US"/>
        </w:rPr>
        <w:t>Adopte</w:t>
      </w:r>
      <w:r w:rsidRPr="00A40529">
        <w:rPr>
          <w:rFonts w:eastAsia="Times New Roman" w:cs="Arial"/>
          <w:iCs/>
          <w:szCs w:val="22"/>
          <w:lang w:eastAsia="en-US"/>
        </w:rPr>
        <w:t xml:space="preserve"> le mandat révisé et </w:t>
      </w:r>
      <w:r w:rsidRPr="00A40529">
        <w:rPr>
          <w:rFonts w:eastAsia="Times New Roman" w:cs="Arial"/>
          <w:b/>
          <w:bCs/>
          <w:iCs/>
          <w:szCs w:val="22"/>
          <w:lang w:eastAsia="en-US"/>
        </w:rPr>
        <w:t>prie</w:t>
      </w:r>
      <w:r w:rsidRPr="00A40529">
        <w:rPr>
          <w:rFonts w:eastAsia="Times New Roman" w:cs="Arial"/>
          <w:iCs/>
          <w:szCs w:val="22"/>
          <w:lang w:eastAsia="en-US"/>
        </w:rPr>
        <w:t xml:space="preserve"> le Secrétaire exécutif de la COI de lancer un processus visant à établir un nouveau Comité consultatif qui débutera ses travaux en janvier 2026 ;</w:t>
      </w:r>
    </w:p>
    <w:p w14:paraId="0D40D057" w14:textId="555AB9DB" w:rsidR="00A33F60" w:rsidRPr="00A40529" w:rsidRDefault="00A33F60" w:rsidP="00A33F60">
      <w:pPr>
        <w:numPr>
          <w:ilvl w:val="0"/>
          <w:numId w:val="44"/>
        </w:numPr>
        <w:spacing w:after="240"/>
        <w:ind w:left="0" w:hanging="567"/>
        <w:jc w:val="both"/>
        <w:rPr>
          <w:rFonts w:eastAsia="Times New Roman" w:cs="Arial"/>
          <w:szCs w:val="22"/>
          <w:lang w:eastAsia="en-US"/>
        </w:rPr>
      </w:pPr>
      <w:r w:rsidRPr="00A40529">
        <w:rPr>
          <w:rFonts w:eastAsia="Times New Roman" w:cs="Arial"/>
          <w:b/>
          <w:bCs/>
          <w:iCs/>
          <w:szCs w:val="22"/>
          <w:lang w:eastAsia="en-US"/>
        </w:rPr>
        <w:t>Exprime sa gratitude</w:t>
      </w:r>
      <w:r w:rsidRPr="00A40529">
        <w:rPr>
          <w:rFonts w:eastAsia="Times New Roman" w:cs="Arial"/>
          <w:iCs/>
          <w:szCs w:val="22"/>
          <w:lang w:eastAsia="en-US"/>
        </w:rPr>
        <w:t xml:space="preserve"> aux Gouvernements du Canada, </w:t>
      </w:r>
      <w:r w:rsidR="00885177" w:rsidRPr="00A40529">
        <w:rPr>
          <w:rFonts w:eastAsia="Times New Roman" w:cs="Arial"/>
          <w:iCs/>
          <w:szCs w:val="22"/>
          <w:lang w:eastAsia="en-US"/>
        </w:rPr>
        <w:t xml:space="preserve">de la Chine, </w:t>
      </w:r>
      <w:r w:rsidRPr="00A40529">
        <w:rPr>
          <w:rFonts w:eastAsia="Times New Roman" w:cs="Arial"/>
          <w:iCs/>
          <w:szCs w:val="22"/>
          <w:lang w:eastAsia="en-US"/>
        </w:rPr>
        <w:t>de la France, du Japon, de la Belgique (Gouvernement flamand), de la Norvège, de l’Allemagne, de l’Irlande, du Portugal, de la République de Corée</w:t>
      </w:r>
      <w:r w:rsidR="00885177" w:rsidRPr="00A40529">
        <w:rPr>
          <w:rFonts w:eastAsia="Times New Roman" w:cs="Arial"/>
          <w:iCs/>
          <w:szCs w:val="22"/>
          <w:lang w:eastAsia="en-US"/>
        </w:rPr>
        <w:t>,</w:t>
      </w:r>
      <w:r w:rsidRPr="00A40529">
        <w:rPr>
          <w:rFonts w:eastAsia="Times New Roman" w:cs="Arial"/>
          <w:iCs/>
          <w:szCs w:val="22"/>
          <w:lang w:eastAsia="en-US"/>
        </w:rPr>
        <w:t xml:space="preserve"> de la Suède</w:t>
      </w:r>
      <w:r w:rsidR="00885177" w:rsidRPr="00A40529">
        <w:rPr>
          <w:rFonts w:eastAsia="Times New Roman" w:cs="Arial"/>
          <w:iCs/>
          <w:szCs w:val="22"/>
          <w:lang w:eastAsia="en-US"/>
        </w:rPr>
        <w:t xml:space="preserve"> et de la Thaïlande</w:t>
      </w:r>
      <w:r w:rsidRPr="00A40529">
        <w:rPr>
          <w:rFonts w:eastAsia="Times New Roman" w:cs="Arial"/>
          <w:iCs/>
          <w:szCs w:val="22"/>
          <w:lang w:eastAsia="en-US"/>
        </w:rPr>
        <w:t xml:space="preserve">, ainsi qu’à la Fondation ENGIE, la Fondation Gordon and Betty Moore, Prada, REV Ocean et Fugro, pour leurs précieuses contributions financières </w:t>
      </w:r>
      <w:r w:rsidR="00885177" w:rsidRPr="00A40529">
        <w:rPr>
          <w:rFonts w:eastAsia="Times New Roman" w:cs="Arial"/>
          <w:iCs/>
          <w:szCs w:val="22"/>
          <w:lang w:eastAsia="en-US"/>
        </w:rPr>
        <w:t xml:space="preserve">et les détachements ou prêts de personnel au Secrétariat de la COI aux fins de la coordination de </w:t>
      </w:r>
      <w:r w:rsidRPr="00A40529">
        <w:rPr>
          <w:rFonts w:eastAsia="Times New Roman" w:cs="Arial"/>
          <w:iCs/>
          <w:szCs w:val="22"/>
          <w:lang w:eastAsia="en-US"/>
        </w:rPr>
        <w:t>la Décennie ;</w:t>
      </w:r>
    </w:p>
    <w:p w14:paraId="0A8542E5" w14:textId="77777777" w:rsidR="00A33F60" w:rsidRPr="00A40529" w:rsidRDefault="00A33F60" w:rsidP="00A33F60">
      <w:pPr>
        <w:numPr>
          <w:ilvl w:val="0"/>
          <w:numId w:val="44"/>
        </w:numPr>
        <w:spacing w:after="240"/>
        <w:ind w:left="0" w:hanging="567"/>
        <w:jc w:val="both"/>
        <w:rPr>
          <w:rFonts w:eastAsia="Times New Roman" w:cs="Arial"/>
          <w:szCs w:val="22"/>
          <w:lang w:eastAsia="en-US"/>
        </w:rPr>
      </w:pPr>
      <w:r w:rsidRPr="00A40529">
        <w:rPr>
          <w:rFonts w:eastAsia="MS Mincho" w:cs="Arial"/>
          <w:b/>
          <w:bCs/>
          <w:szCs w:val="22"/>
          <w:lang w:eastAsia="ja-JP"/>
        </w:rPr>
        <w:t>Remercie également</w:t>
      </w:r>
      <w:r w:rsidRPr="00A40529">
        <w:rPr>
          <w:rFonts w:eastAsia="MS Mincho" w:cs="Arial"/>
          <w:szCs w:val="22"/>
          <w:lang w:eastAsia="ja-JP"/>
        </w:rPr>
        <w:t xml:space="preserve"> : </w:t>
      </w:r>
    </w:p>
    <w:p w14:paraId="41119269" w14:textId="3CCF4FCD" w:rsidR="00885177" w:rsidRPr="00A40529" w:rsidRDefault="00885177" w:rsidP="00A33F60">
      <w:pPr>
        <w:numPr>
          <w:ilvl w:val="0"/>
          <w:numId w:val="47"/>
        </w:numPr>
        <w:spacing w:after="240"/>
        <w:ind w:left="567" w:hanging="567"/>
        <w:jc w:val="both"/>
        <w:rPr>
          <w:rFonts w:eastAsia="Times New Roman" w:cs="Arial"/>
          <w:szCs w:val="22"/>
          <w:lang w:eastAsia="en-US"/>
        </w:rPr>
      </w:pPr>
      <w:r w:rsidRPr="00A40529">
        <w:rPr>
          <w:rFonts w:eastAsia="MS Mincho" w:cs="Arial"/>
          <w:szCs w:val="22"/>
          <w:lang w:eastAsia="ja-JP"/>
        </w:rPr>
        <w:t>la Fondation du groupe Boticário d’avoir accueilli la quatrième édition du dialogue des fondations de la Décennie de l’Océan à Rio de Janeiro en septembre 2024 ;</w:t>
      </w:r>
    </w:p>
    <w:p w14:paraId="356401E4" w14:textId="5F790715" w:rsidR="00A33F60" w:rsidRPr="00A40529" w:rsidRDefault="00A33F60" w:rsidP="00A33F60">
      <w:pPr>
        <w:numPr>
          <w:ilvl w:val="0"/>
          <w:numId w:val="47"/>
        </w:numPr>
        <w:spacing w:after="240"/>
        <w:ind w:left="567" w:hanging="567"/>
        <w:jc w:val="both"/>
        <w:rPr>
          <w:rFonts w:eastAsia="Times New Roman" w:cs="Arial"/>
          <w:szCs w:val="22"/>
          <w:lang w:eastAsia="en-US"/>
        </w:rPr>
      </w:pPr>
      <w:r w:rsidRPr="00A40529">
        <w:rPr>
          <w:rFonts w:eastAsia="MS Mincho" w:cs="Arial"/>
          <w:szCs w:val="22"/>
          <w:lang w:eastAsia="ja-JP"/>
        </w:rPr>
        <w:t>le gouvernement populaire de la Municipalité de Qingdao, en Chine, d’avoir accueilli la première conférence internationale des villes côtières de la Décennie de l’Océan en février</w:t>
      </w:r>
      <w:r w:rsidR="00A923B0" w:rsidRPr="00A40529">
        <w:rPr>
          <w:rFonts w:eastAsia="MS Mincho" w:cs="Arial"/>
          <w:szCs w:val="22"/>
          <w:lang w:eastAsia="ja-JP"/>
        </w:rPr>
        <w:t> </w:t>
      </w:r>
      <w:r w:rsidRPr="00A40529">
        <w:rPr>
          <w:rFonts w:eastAsia="MS Mincho" w:cs="Arial"/>
          <w:szCs w:val="22"/>
          <w:lang w:eastAsia="ja-JP"/>
        </w:rPr>
        <w:t>2025 ;</w:t>
      </w:r>
    </w:p>
    <w:p w14:paraId="72C4896E" w14:textId="77777777" w:rsidR="00A33F60" w:rsidRPr="00A40529" w:rsidRDefault="00A33F60" w:rsidP="00314FEB">
      <w:pPr>
        <w:keepNext/>
        <w:keepLines/>
        <w:numPr>
          <w:ilvl w:val="0"/>
          <w:numId w:val="44"/>
        </w:numPr>
        <w:spacing w:after="240"/>
        <w:ind w:left="0" w:hanging="567"/>
        <w:jc w:val="both"/>
        <w:rPr>
          <w:rFonts w:eastAsia="Times New Roman" w:cs="Arial"/>
          <w:szCs w:val="22"/>
          <w:lang w:eastAsia="en-US"/>
        </w:rPr>
      </w:pPr>
      <w:r w:rsidRPr="00A40529">
        <w:rPr>
          <w:rFonts w:eastAsia="MS Mincho" w:cs="Arial"/>
          <w:b/>
          <w:bCs/>
          <w:szCs w:val="22"/>
          <w:lang w:eastAsia="ja-JP"/>
        </w:rPr>
        <w:lastRenderedPageBreak/>
        <w:t>Soutient</w:t>
      </w:r>
      <w:r w:rsidRPr="00A40529">
        <w:rPr>
          <w:rFonts w:eastAsia="MS Mincho" w:cs="Arial"/>
          <w:szCs w:val="22"/>
          <w:lang w:eastAsia="ja-JP"/>
        </w:rPr>
        <w:t xml:space="preserve"> l’enregistrement de nouvelles actions de la Décennie menées par la COI, en particulier :</w:t>
      </w:r>
    </w:p>
    <w:p w14:paraId="78D945A8" w14:textId="76EBE97E" w:rsidR="00A33F60" w:rsidRPr="00A40529" w:rsidRDefault="00885177" w:rsidP="00A33F60">
      <w:pPr>
        <w:numPr>
          <w:ilvl w:val="1"/>
          <w:numId w:val="44"/>
        </w:numPr>
        <w:tabs>
          <w:tab w:val="clear" w:pos="567"/>
        </w:tabs>
        <w:spacing w:after="240"/>
        <w:ind w:left="588" w:hanging="588"/>
        <w:jc w:val="both"/>
        <w:rPr>
          <w:rFonts w:eastAsia="Times New Roman" w:cs="Arial"/>
          <w:szCs w:val="22"/>
          <w:lang w:eastAsia="en-US"/>
        </w:rPr>
      </w:pPr>
      <w:r w:rsidRPr="00A40529">
        <w:rPr>
          <w:rFonts w:eastAsia="Times New Roman" w:cs="Arial"/>
          <w:i/>
          <w:iCs/>
          <w:szCs w:val="22"/>
          <w:lang w:eastAsia="en-US"/>
        </w:rPr>
        <w:t xml:space="preserve">UN39 </w:t>
      </w:r>
      <w:r w:rsidR="00A33F60" w:rsidRPr="00A40529">
        <w:rPr>
          <w:rFonts w:eastAsia="Times New Roman" w:cs="Arial"/>
          <w:i/>
          <w:iCs/>
          <w:szCs w:val="22"/>
          <w:lang w:eastAsia="en-US"/>
        </w:rPr>
        <w:t>« Solutions océaniques dans les mers d’Asie de l’Est »</w:t>
      </w:r>
      <w:r w:rsidR="00A33F60" w:rsidRPr="00A40529">
        <w:rPr>
          <w:rFonts w:eastAsia="Times New Roman" w:cs="Arial"/>
          <w:szCs w:val="22"/>
          <w:lang w:eastAsia="en-US"/>
        </w:rPr>
        <w:t>, projet mené par la Sous-Commission de la COI pour le Pacifique occidental (WESTPAC) et le Centre d’études marines et côtières (CEMACS) de l’Université Sains de Malaisie ;</w:t>
      </w:r>
    </w:p>
    <w:p w14:paraId="4252323F" w14:textId="03E7662A" w:rsidR="00A33F60" w:rsidRPr="00A40529" w:rsidRDefault="00885177" w:rsidP="00A33F60">
      <w:pPr>
        <w:numPr>
          <w:ilvl w:val="1"/>
          <w:numId w:val="44"/>
        </w:numPr>
        <w:spacing w:after="240"/>
        <w:ind w:left="588" w:hanging="588"/>
        <w:jc w:val="both"/>
        <w:rPr>
          <w:rFonts w:eastAsia="Times New Roman" w:cs="Arial"/>
          <w:szCs w:val="22"/>
          <w:lang w:eastAsia="en-US"/>
        </w:rPr>
      </w:pPr>
      <w:r w:rsidRPr="00A40529">
        <w:rPr>
          <w:rFonts w:eastAsia="Times New Roman" w:cs="Arial"/>
          <w:i/>
          <w:iCs/>
          <w:szCs w:val="22"/>
          <w:lang w:eastAsia="en-US"/>
        </w:rPr>
        <w:t xml:space="preserve">UN40 </w:t>
      </w:r>
      <w:r w:rsidR="00A33F60" w:rsidRPr="00A40529">
        <w:rPr>
          <w:rFonts w:eastAsia="Times New Roman" w:cs="Arial"/>
          <w:i/>
          <w:iCs/>
          <w:szCs w:val="22"/>
          <w:lang w:eastAsia="en-US"/>
        </w:rPr>
        <w:t>Renforcer la résilience des côtes face aux risques liés au niveau de la mer</w:t>
      </w:r>
      <w:r w:rsidR="00A33F60" w:rsidRPr="00A40529">
        <w:rPr>
          <w:rFonts w:eastAsia="Times New Roman" w:cs="Arial"/>
          <w:szCs w:val="22"/>
          <w:lang w:eastAsia="en-US"/>
        </w:rPr>
        <w:t>, projet de la Décennie dirigé par la Section de la résilience aux tsunamis de la COI ;</w:t>
      </w:r>
    </w:p>
    <w:p w14:paraId="665E6A3C" w14:textId="77777777" w:rsidR="00A33F60" w:rsidRPr="00A40529" w:rsidRDefault="00A33F60" w:rsidP="00A33F60">
      <w:pPr>
        <w:numPr>
          <w:ilvl w:val="1"/>
          <w:numId w:val="44"/>
        </w:numPr>
        <w:spacing w:after="240"/>
        <w:ind w:left="588" w:hanging="588"/>
        <w:jc w:val="both"/>
        <w:rPr>
          <w:rFonts w:eastAsia="Times New Roman" w:cs="Arial"/>
          <w:szCs w:val="22"/>
          <w:lang w:eastAsia="en-US"/>
        </w:rPr>
      </w:pPr>
      <w:r w:rsidRPr="00A40529">
        <w:rPr>
          <w:rFonts w:eastAsia="Times New Roman" w:cs="Arial"/>
          <w:i/>
          <w:iCs/>
          <w:szCs w:val="22"/>
          <w:lang w:eastAsia="en-US"/>
        </w:rPr>
        <w:t>Un océan mondial libéré des effets néfastes de la pollution</w:t>
      </w:r>
      <w:r w:rsidRPr="00A40529">
        <w:rPr>
          <w:rFonts w:eastAsia="Times New Roman" w:cs="Arial"/>
          <w:szCs w:val="22"/>
          <w:lang w:eastAsia="en-US"/>
        </w:rPr>
        <w:t>, programme de la Décennie dirigé par la Section des sciences océaniques de la COI et le PNUE ;</w:t>
      </w:r>
    </w:p>
    <w:p w14:paraId="4F1E6759" w14:textId="77777777" w:rsidR="00A33F60" w:rsidRPr="00A40529" w:rsidRDefault="00A33F60" w:rsidP="00A33F60">
      <w:pPr>
        <w:numPr>
          <w:ilvl w:val="0"/>
          <w:numId w:val="44"/>
        </w:numPr>
        <w:spacing w:after="240"/>
        <w:ind w:left="0" w:hanging="567"/>
        <w:jc w:val="both"/>
        <w:rPr>
          <w:rFonts w:eastAsia="Times New Roman" w:cs="Arial"/>
          <w:b/>
          <w:bCs/>
          <w:iCs/>
          <w:szCs w:val="22"/>
          <w:lang w:eastAsia="en-US"/>
        </w:rPr>
      </w:pPr>
      <w:r w:rsidRPr="00A40529">
        <w:rPr>
          <w:rFonts w:eastAsia="MS Mincho" w:cs="Arial"/>
          <w:b/>
          <w:bCs/>
          <w:szCs w:val="22"/>
          <w:lang w:eastAsia="ja-JP"/>
        </w:rPr>
        <w:t>Soutient également</w:t>
      </w:r>
      <w:r w:rsidRPr="00A40529">
        <w:rPr>
          <w:rFonts w:eastAsia="MS Mincho" w:cs="Arial"/>
          <w:szCs w:val="22"/>
          <w:lang w:eastAsia="ja-JP"/>
        </w:rPr>
        <w:t xml:space="preserve"> le rôle actif joué par les organes subsidiaires régionaux et techniques et les programmes de la COI s’agissant de faciliter la coordination régionale et thématique de la Décennie et les activités de mobilisation, en particulier celles :</w:t>
      </w:r>
    </w:p>
    <w:p w14:paraId="5C6F9C38" w14:textId="77777777" w:rsidR="00A33F60" w:rsidRPr="00A40529" w:rsidRDefault="00A33F60" w:rsidP="00A33F60">
      <w:pPr>
        <w:numPr>
          <w:ilvl w:val="0"/>
          <w:numId w:val="46"/>
        </w:numPr>
        <w:spacing w:after="240"/>
        <w:ind w:left="567" w:hanging="567"/>
        <w:jc w:val="both"/>
        <w:rPr>
          <w:rFonts w:eastAsia="MS Mincho" w:cs="Arial"/>
          <w:szCs w:val="22"/>
          <w:lang w:eastAsia="ja-JP"/>
        </w:rPr>
      </w:pPr>
      <w:r w:rsidRPr="00A40529">
        <w:rPr>
          <w:rFonts w:eastAsia="MS Mincho" w:cs="Arial"/>
          <w:szCs w:val="22"/>
          <w:lang w:eastAsia="ja-JP"/>
        </w:rPr>
        <w:t xml:space="preserve">du Secrétariat de la Sous-Commission de la COI pour </w:t>
      </w:r>
      <w:bookmarkStart w:id="3" w:name="_Hlk201651497"/>
      <w:r w:rsidRPr="00A40529">
        <w:rPr>
          <w:rFonts w:eastAsia="MS Mincho" w:cs="Arial"/>
          <w:szCs w:val="22"/>
          <w:lang w:eastAsia="ja-JP"/>
        </w:rPr>
        <w:t xml:space="preserve">le Pacifique occidental </w:t>
      </w:r>
      <w:bookmarkEnd w:id="3"/>
      <w:r w:rsidRPr="00A40529">
        <w:rPr>
          <w:rFonts w:eastAsia="MS Mincho" w:cs="Arial"/>
          <w:szCs w:val="22"/>
          <w:lang w:eastAsia="ja-JP"/>
        </w:rPr>
        <w:t>(WESTPAC), en tant que Bureau de coordination de la Décennie pour la région du Pacifique occidental ;</w:t>
      </w:r>
    </w:p>
    <w:p w14:paraId="40C8F6D9" w14:textId="77777777" w:rsidR="00A33F60" w:rsidRPr="00A40529" w:rsidRDefault="00A33F60" w:rsidP="00A33F60">
      <w:pPr>
        <w:numPr>
          <w:ilvl w:val="0"/>
          <w:numId w:val="46"/>
        </w:numPr>
        <w:spacing w:after="240"/>
        <w:ind w:left="567" w:hanging="567"/>
        <w:jc w:val="both"/>
        <w:rPr>
          <w:rFonts w:eastAsia="MS Mincho" w:cs="Arial"/>
          <w:szCs w:val="22"/>
          <w:lang w:eastAsia="ja-JP"/>
        </w:rPr>
      </w:pPr>
      <w:r w:rsidRPr="00A40529">
        <w:rPr>
          <w:rFonts w:eastAsia="MS Mincho" w:cs="Arial"/>
          <w:szCs w:val="22"/>
          <w:lang w:eastAsia="ja-JP"/>
        </w:rPr>
        <w:t>du Secrétariat de la Sous-Commission de la COI pour la mer des Caraïbes et les régions adjacentes (IOCARIBE), en tant que Bureau de coordination de la Décennie pour la région de l’Amérique tropicale et des Caraïbes ;</w:t>
      </w:r>
    </w:p>
    <w:p w14:paraId="78B2A8E3" w14:textId="77777777" w:rsidR="00A33F60" w:rsidRPr="00A40529" w:rsidRDefault="00A33F60" w:rsidP="00A33F60">
      <w:pPr>
        <w:numPr>
          <w:ilvl w:val="0"/>
          <w:numId w:val="46"/>
        </w:numPr>
        <w:spacing w:after="240"/>
        <w:ind w:left="567" w:hanging="567"/>
        <w:jc w:val="both"/>
        <w:rPr>
          <w:rFonts w:eastAsia="MS Mincho" w:cs="Arial"/>
          <w:szCs w:val="22"/>
          <w:lang w:eastAsia="ja-JP"/>
        </w:rPr>
      </w:pPr>
      <w:r w:rsidRPr="00A40529">
        <w:rPr>
          <w:rFonts w:eastAsia="MS Mincho" w:cs="Arial"/>
          <w:szCs w:val="22"/>
          <w:lang w:eastAsia="ja-JP"/>
        </w:rPr>
        <w:t>du Secrétariat de la Sous-commission de la COI pour l’Afrique et les États insulaires adjacents (IOCAFRICA), en tant que Bureau de coordination de la Décennie pour l’Afrique ;</w:t>
      </w:r>
    </w:p>
    <w:p w14:paraId="7906064C" w14:textId="77777777" w:rsidR="00A33F60" w:rsidRPr="00A40529" w:rsidRDefault="00A33F60" w:rsidP="00A33F60">
      <w:pPr>
        <w:numPr>
          <w:ilvl w:val="0"/>
          <w:numId w:val="46"/>
        </w:numPr>
        <w:spacing w:after="240"/>
        <w:ind w:left="567" w:hanging="567"/>
        <w:jc w:val="both"/>
        <w:rPr>
          <w:rFonts w:eastAsia="Times New Roman" w:cs="Arial"/>
          <w:szCs w:val="22"/>
          <w:lang w:eastAsia="en-US"/>
        </w:rPr>
      </w:pPr>
      <w:r w:rsidRPr="00A40529">
        <w:rPr>
          <w:rFonts w:eastAsia="Times New Roman" w:cs="Arial"/>
          <w:szCs w:val="22"/>
          <w:lang w:eastAsia="en-US"/>
        </w:rPr>
        <w:t xml:space="preserve">du Bureau des projets de l’Échange international des données et de l’information océanographiques (IODE), en tant que Bureau de coordination de la Décennie pour le partage des données océaniques ; </w:t>
      </w:r>
    </w:p>
    <w:p w14:paraId="772C78EF" w14:textId="77777777" w:rsidR="00A33F60" w:rsidRPr="00A40529" w:rsidRDefault="00A33F60" w:rsidP="00A33F60">
      <w:pPr>
        <w:numPr>
          <w:ilvl w:val="0"/>
          <w:numId w:val="46"/>
        </w:numPr>
        <w:spacing w:after="240"/>
        <w:ind w:left="567" w:hanging="567"/>
        <w:jc w:val="both"/>
        <w:rPr>
          <w:rFonts w:eastAsia="Times New Roman" w:cs="Arial"/>
          <w:b/>
          <w:bCs/>
          <w:iCs/>
          <w:szCs w:val="22"/>
          <w:lang w:eastAsia="en-US"/>
        </w:rPr>
      </w:pPr>
      <w:r w:rsidRPr="00A40529">
        <w:rPr>
          <w:rFonts w:eastAsia="Times New Roman" w:cs="Arial"/>
          <w:szCs w:val="22"/>
          <w:lang w:eastAsia="en-US"/>
        </w:rPr>
        <w:t>du Bureau des projets du Système mondial d’observation de l’océan (GOOS), en tant que Bureau de coordination de la Décennie pour l’observation de l’océan ;</w:t>
      </w:r>
    </w:p>
    <w:p w14:paraId="00285540" w14:textId="77777777" w:rsidR="00A33F60" w:rsidRPr="00A40529" w:rsidRDefault="00A33F60" w:rsidP="00A33F60">
      <w:pPr>
        <w:numPr>
          <w:ilvl w:val="0"/>
          <w:numId w:val="46"/>
        </w:numPr>
        <w:spacing w:after="240"/>
        <w:ind w:left="567" w:hanging="567"/>
        <w:jc w:val="both"/>
        <w:rPr>
          <w:rFonts w:eastAsia="Times New Roman" w:cs="Arial"/>
          <w:iCs/>
          <w:szCs w:val="22"/>
          <w:lang w:eastAsia="en-US"/>
        </w:rPr>
      </w:pPr>
      <w:r w:rsidRPr="00A40529">
        <w:rPr>
          <w:rFonts w:eastAsiaTheme="majorEastAsia" w:cs="Arial"/>
          <w:szCs w:val="22"/>
          <w:lang w:eastAsia="en-US"/>
        </w:rPr>
        <w:t>du Bureau régional de l’UNESCO pour la science et la culture en Europe, en tant que Bureau de coordination de la Décennie pour le rapprochement entre l’homme et l’océan ;</w:t>
      </w:r>
    </w:p>
    <w:p w14:paraId="265B256F" w14:textId="0AC6A1F3" w:rsidR="00A33F60" w:rsidRPr="00A40529" w:rsidRDefault="00885177" w:rsidP="00A33F60">
      <w:pPr>
        <w:numPr>
          <w:ilvl w:val="0"/>
          <w:numId w:val="44"/>
        </w:numPr>
        <w:spacing w:after="240"/>
        <w:ind w:left="0" w:hanging="567"/>
        <w:jc w:val="both"/>
        <w:rPr>
          <w:rFonts w:eastAsia="MS Mincho" w:cs="Arial"/>
          <w:b/>
          <w:bCs/>
          <w:szCs w:val="22"/>
          <w:lang w:eastAsia="ja-JP"/>
        </w:rPr>
      </w:pPr>
      <w:r w:rsidRPr="00A40529">
        <w:rPr>
          <w:rFonts w:eastAsia="MS Mincho" w:cs="Arial"/>
          <w:b/>
          <w:bCs/>
          <w:szCs w:val="22"/>
          <w:lang w:eastAsia="ja-JP"/>
        </w:rPr>
        <w:t xml:space="preserve">Prenant </w:t>
      </w:r>
      <w:r w:rsidR="00A33F60" w:rsidRPr="00A40529">
        <w:rPr>
          <w:rFonts w:eastAsia="MS Mincho" w:cs="Arial"/>
          <w:b/>
          <w:bCs/>
          <w:szCs w:val="22"/>
          <w:lang w:eastAsia="ja-JP"/>
        </w:rPr>
        <w:t>note</w:t>
      </w:r>
      <w:r w:rsidR="00A33F60" w:rsidRPr="00A40529">
        <w:rPr>
          <w:rFonts w:eastAsia="MS Mincho" w:cs="Arial"/>
          <w:szCs w:val="22"/>
          <w:lang w:eastAsia="ja-JP"/>
        </w:rPr>
        <w:t xml:space="preserve"> des besoins en ressources définis par l’Unité de coordination de la Décennie, les bureaux de coordination de la Décennie dirigés par la COI et les actions de la Décennie menées par la COI afin de s’acquitter de leurs engagements au titre de la Décennie</w:t>
      </w:r>
      <w:r w:rsidRPr="00A40529">
        <w:rPr>
          <w:rFonts w:eastAsia="MS Mincho" w:cs="Arial"/>
          <w:szCs w:val="22"/>
          <w:lang w:eastAsia="ja-JP"/>
        </w:rPr>
        <w:t>,</w:t>
      </w:r>
      <w:r w:rsidR="00A33F60" w:rsidRPr="00A40529">
        <w:rPr>
          <w:rFonts w:eastAsia="MS Mincho" w:cs="Arial"/>
          <w:szCs w:val="22"/>
          <w:lang w:eastAsia="ja-JP"/>
        </w:rPr>
        <w:t xml:space="preserve"> </w:t>
      </w:r>
    </w:p>
    <w:p w14:paraId="11B7DB1C" w14:textId="013F9ECE" w:rsidR="00A33F60" w:rsidRPr="00A40529" w:rsidRDefault="00A33F60" w:rsidP="00A33F60">
      <w:pPr>
        <w:keepNext/>
        <w:numPr>
          <w:ilvl w:val="0"/>
          <w:numId w:val="44"/>
        </w:numPr>
        <w:tabs>
          <w:tab w:val="clear" w:pos="567"/>
          <w:tab w:val="num" w:pos="1400"/>
        </w:tabs>
        <w:spacing w:after="240"/>
        <w:ind w:left="0" w:hanging="567"/>
        <w:jc w:val="both"/>
        <w:rPr>
          <w:rFonts w:eastAsia="Times New Roman" w:cs="Arial"/>
          <w:szCs w:val="22"/>
          <w:lang w:eastAsia="en-US"/>
        </w:rPr>
      </w:pPr>
      <w:r w:rsidRPr="00A40529">
        <w:rPr>
          <w:rFonts w:eastAsia="MS Mincho" w:cs="Arial"/>
          <w:b/>
          <w:bCs/>
          <w:szCs w:val="22"/>
          <w:lang w:eastAsia="ja-JP"/>
        </w:rPr>
        <w:t>Invite</w:t>
      </w:r>
      <w:r w:rsidRPr="00A40529">
        <w:rPr>
          <w:rFonts w:eastAsia="MS Mincho" w:cs="Arial"/>
          <w:szCs w:val="22"/>
          <w:lang w:eastAsia="ja-JP"/>
        </w:rPr>
        <w:t xml:space="preserve"> les États membres, les partenaires et les organisations donatrices à soutenir les actions de la Décennie menées par la COI et les mécanismes de coordination de la Décennie, notamment en allouant des ressources extrabudgétaires aux programmes et régions pertinents de la COI, afin de réaliser leurs ambitions de transformation, de guider leurs communautés respectives et de catalyser d’autres actions dans le cadre de la Décennie et au-delà.</w:t>
      </w:r>
    </w:p>
    <w:p w14:paraId="1548A09E" w14:textId="65830827" w:rsidR="006E2A83" w:rsidRPr="00A40529" w:rsidRDefault="006E2A83" w:rsidP="00E22236"/>
    <w:sectPr w:rsidR="006E2A83" w:rsidRPr="00A40529" w:rsidSect="00C05FC8">
      <w:headerReference w:type="even" r:id="rId8"/>
      <w:headerReference w:type="default" r:id="rId9"/>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6AA2" w14:textId="77777777" w:rsidR="00D302AD" w:rsidRDefault="00D302AD">
      <w:r>
        <w:separator/>
      </w:r>
    </w:p>
  </w:endnote>
  <w:endnote w:type="continuationSeparator" w:id="0">
    <w:p w14:paraId="389F181C" w14:textId="77777777" w:rsidR="00D302AD" w:rsidRDefault="00D3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F2FB" w14:textId="77777777" w:rsidR="00D302AD" w:rsidRDefault="00D302AD">
      <w:r>
        <w:separator/>
      </w:r>
    </w:p>
  </w:footnote>
  <w:footnote w:type="continuationSeparator" w:id="0">
    <w:p w14:paraId="25DBB8BC" w14:textId="77777777" w:rsidR="00D302AD" w:rsidRDefault="00D3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599C" w14:textId="5045DE4F" w:rsidR="00755CED" w:rsidRDefault="00A33F60" w:rsidP="00A33F60">
    <w:pPr>
      <w:pStyle w:val="Header"/>
    </w:pPr>
    <w:r>
      <w:t xml:space="preserve">IOC/A-33/DR.[4.8] – page </w:t>
    </w:r>
    <w:r w:rsidR="00755CED">
      <w:fldChar w:fldCharType="begin"/>
    </w:r>
    <w:r w:rsidR="00755CED">
      <w:instrText>PAGE   \* MERGEFORMAT</w:instrText>
    </w:r>
    <w:r w:rsidR="00755CED">
      <w:fldChar w:fldCharType="separate"/>
    </w:r>
    <w:r w:rsidR="004D05D2">
      <w:rPr>
        <w:noProof/>
      </w:rPr>
      <w:t>2</w:t>
    </w:r>
    <w:r w:rsidR="00755CE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C2C8" w14:textId="77777777" w:rsidR="00A33F60" w:rsidRDefault="00A33F60" w:rsidP="00A33F60">
    <w:pPr>
      <w:pStyle w:val="Header"/>
      <w:jc w:val="right"/>
    </w:pPr>
    <w:r>
      <w:t xml:space="preserve">IOC/A-33/DR.[4.8] – page </w:t>
    </w: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D4632F"/>
    <w:multiLevelType w:val="hybridMultilevel"/>
    <w:tmpl w:val="0EE6055E"/>
    <w:lvl w:ilvl="0" w:tplc="106C4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6605E"/>
    <w:multiLevelType w:val="hybridMultilevel"/>
    <w:tmpl w:val="6BF4F3D4"/>
    <w:lvl w:ilvl="0" w:tplc="B0CE4BE0">
      <w:start w:val="1"/>
      <w:numFmt w:val="decimal"/>
      <w:lvlText w:val="%1."/>
      <w:lvlJc w:val="left"/>
      <w:pPr>
        <w:ind w:left="153" w:hanging="360"/>
      </w:pPr>
      <w:rPr>
        <w:rFonts w:ascii="Arial" w:hAnsi="Arial" w:hint="default"/>
        <w:b w:val="0"/>
        <w:i/>
        <w:sz w:val="22"/>
        <w:szCs w:val="22"/>
      </w:rPr>
    </w:lvl>
    <w:lvl w:ilvl="1" w:tplc="87A09D12">
      <w:start w:val="1"/>
      <w:numFmt w:val="lowerRoman"/>
      <w:lvlText w:val="(%2)"/>
      <w:lvlJc w:val="left"/>
      <w:pPr>
        <w:ind w:left="873" w:hanging="360"/>
      </w:pPr>
      <w:rPr>
        <w:rFonts w:hint="default"/>
      </w:r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9673146"/>
    <w:multiLevelType w:val="hybridMultilevel"/>
    <w:tmpl w:val="5726CC26"/>
    <w:lvl w:ilvl="0" w:tplc="5830B6AA">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350E5"/>
    <w:multiLevelType w:val="hybridMultilevel"/>
    <w:tmpl w:val="03CC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B50AF"/>
    <w:multiLevelType w:val="hybridMultilevel"/>
    <w:tmpl w:val="3918DB04"/>
    <w:lvl w:ilvl="0" w:tplc="FFFFFFFF">
      <w:start w:val="1"/>
      <w:numFmt w:val="bullet"/>
      <w:lvlText w:val=""/>
      <w:lvlJc w:val="left"/>
      <w:pPr>
        <w:ind w:left="1080" w:hanging="360"/>
      </w:pPr>
      <w:rPr>
        <w:rFonts w:ascii="Symbol" w:hAnsi="Symbol" w:hint="default"/>
      </w:rPr>
    </w:lvl>
    <w:lvl w:ilvl="1" w:tplc="C2BC3A1E">
      <w:start w:val="1"/>
      <w:numFmt w:val="bullet"/>
      <w:lvlText w:val="o"/>
      <w:lvlJc w:val="left"/>
      <w:pPr>
        <w:ind w:left="1800" w:hanging="360"/>
      </w:pPr>
      <w:rPr>
        <w:rFonts w:ascii="Courier New" w:hAnsi="Courier New" w:hint="default"/>
      </w:rPr>
    </w:lvl>
    <w:lvl w:ilvl="2" w:tplc="F0D26EC8">
      <w:start w:val="1"/>
      <w:numFmt w:val="bullet"/>
      <w:lvlText w:val=""/>
      <w:lvlJc w:val="left"/>
      <w:pPr>
        <w:ind w:left="2520" w:hanging="360"/>
      </w:pPr>
      <w:rPr>
        <w:rFonts w:ascii="Wingdings" w:hAnsi="Wingdings" w:hint="default"/>
      </w:rPr>
    </w:lvl>
    <w:lvl w:ilvl="3" w:tplc="707499EE">
      <w:start w:val="1"/>
      <w:numFmt w:val="bullet"/>
      <w:lvlText w:val=""/>
      <w:lvlJc w:val="left"/>
      <w:pPr>
        <w:ind w:left="3240" w:hanging="360"/>
      </w:pPr>
      <w:rPr>
        <w:rFonts w:ascii="Symbol" w:hAnsi="Symbol" w:hint="default"/>
      </w:rPr>
    </w:lvl>
    <w:lvl w:ilvl="4" w:tplc="CA74393C">
      <w:start w:val="1"/>
      <w:numFmt w:val="bullet"/>
      <w:lvlText w:val="o"/>
      <w:lvlJc w:val="left"/>
      <w:pPr>
        <w:ind w:left="3960" w:hanging="360"/>
      </w:pPr>
      <w:rPr>
        <w:rFonts w:ascii="Courier New" w:hAnsi="Courier New" w:hint="default"/>
      </w:rPr>
    </w:lvl>
    <w:lvl w:ilvl="5" w:tplc="24CAB142">
      <w:start w:val="1"/>
      <w:numFmt w:val="bullet"/>
      <w:lvlText w:val=""/>
      <w:lvlJc w:val="left"/>
      <w:pPr>
        <w:ind w:left="4680" w:hanging="360"/>
      </w:pPr>
      <w:rPr>
        <w:rFonts w:ascii="Wingdings" w:hAnsi="Wingdings" w:hint="default"/>
      </w:rPr>
    </w:lvl>
    <w:lvl w:ilvl="6" w:tplc="D06679DA">
      <w:start w:val="1"/>
      <w:numFmt w:val="bullet"/>
      <w:lvlText w:val=""/>
      <w:lvlJc w:val="left"/>
      <w:pPr>
        <w:ind w:left="5400" w:hanging="360"/>
      </w:pPr>
      <w:rPr>
        <w:rFonts w:ascii="Symbol" w:hAnsi="Symbol" w:hint="default"/>
      </w:rPr>
    </w:lvl>
    <w:lvl w:ilvl="7" w:tplc="15303ACA">
      <w:start w:val="1"/>
      <w:numFmt w:val="bullet"/>
      <w:lvlText w:val="o"/>
      <w:lvlJc w:val="left"/>
      <w:pPr>
        <w:ind w:left="6120" w:hanging="360"/>
      </w:pPr>
      <w:rPr>
        <w:rFonts w:ascii="Courier New" w:hAnsi="Courier New" w:hint="default"/>
      </w:rPr>
    </w:lvl>
    <w:lvl w:ilvl="8" w:tplc="C4BA8E32">
      <w:start w:val="1"/>
      <w:numFmt w:val="bullet"/>
      <w:lvlText w:val=""/>
      <w:lvlJc w:val="left"/>
      <w:pPr>
        <w:ind w:left="6840" w:hanging="360"/>
      </w:pPr>
      <w:rPr>
        <w:rFonts w:ascii="Wingdings" w:hAnsi="Wingdings" w:hint="default"/>
      </w:rPr>
    </w:lvl>
  </w:abstractNum>
  <w:abstractNum w:abstractNumId="11"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3"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E6C4C"/>
    <w:multiLevelType w:val="hybridMultilevel"/>
    <w:tmpl w:val="41F24B2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950B55"/>
    <w:multiLevelType w:val="hybridMultilevel"/>
    <w:tmpl w:val="E896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B395F"/>
    <w:multiLevelType w:val="multilevel"/>
    <w:tmpl w:val="6388B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424695C"/>
    <w:multiLevelType w:val="hybridMultilevel"/>
    <w:tmpl w:val="742651F2"/>
    <w:lvl w:ilvl="0" w:tplc="302A2E4C">
      <w:start w:val="1"/>
      <w:numFmt w:val="lowerRoman"/>
      <w:lvlText w:val="%1."/>
      <w:lvlJc w:val="right"/>
      <w:pPr>
        <w:ind w:left="720" w:hanging="360"/>
      </w:pPr>
    </w:lvl>
    <w:lvl w:ilvl="1" w:tplc="62BAD998">
      <w:start w:val="1"/>
      <w:numFmt w:val="lowerLetter"/>
      <w:lvlText w:val="%2."/>
      <w:lvlJc w:val="left"/>
      <w:pPr>
        <w:ind w:left="1440" w:hanging="360"/>
      </w:pPr>
    </w:lvl>
    <w:lvl w:ilvl="2" w:tplc="60062B06">
      <w:start w:val="1"/>
      <w:numFmt w:val="lowerRoman"/>
      <w:lvlText w:val="%3."/>
      <w:lvlJc w:val="right"/>
      <w:pPr>
        <w:ind w:left="2160" w:hanging="180"/>
      </w:pPr>
    </w:lvl>
    <w:lvl w:ilvl="3" w:tplc="DE74C002">
      <w:start w:val="1"/>
      <w:numFmt w:val="decimal"/>
      <w:lvlText w:val="%4."/>
      <w:lvlJc w:val="left"/>
      <w:pPr>
        <w:ind w:left="2880" w:hanging="360"/>
      </w:pPr>
    </w:lvl>
    <w:lvl w:ilvl="4" w:tplc="AD4A5A9C">
      <w:start w:val="1"/>
      <w:numFmt w:val="lowerLetter"/>
      <w:lvlText w:val="%5."/>
      <w:lvlJc w:val="left"/>
      <w:pPr>
        <w:ind w:left="3600" w:hanging="360"/>
      </w:pPr>
    </w:lvl>
    <w:lvl w:ilvl="5" w:tplc="989E5F90">
      <w:start w:val="1"/>
      <w:numFmt w:val="lowerRoman"/>
      <w:lvlText w:val="%6."/>
      <w:lvlJc w:val="right"/>
      <w:pPr>
        <w:ind w:left="4320" w:hanging="180"/>
      </w:pPr>
    </w:lvl>
    <w:lvl w:ilvl="6" w:tplc="9330320A">
      <w:start w:val="1"/>
      <w:numFmt w:val="decimal"/>
      <w:lvlText w:val="%7."/>
      <w:lvlJc w:val="left"/>
      <w:pPr>
        <w:ind w:left="5040" w:hanging="360"/>
      </w:pPr>
    </w:lvl>
    <w:lvl w:ilvl="7" w:tplc="1A1052E8">
      <w:start w:val="1"/>
      <w:numFmt w:val="lowerLetter"/>
      <w:lvlText w:val="%8."/>
      <w:lvlJc w:val="left"/>
      <w:pPr>
        <w:ind w:left="5760" w:hanging="360"/>
      </w:pPr>
    </w:lvl>
    <w:lvl w:ilvl="8" w:tplc="00343122">
      <w:start w:val="1"/>
      <w:numFmt w:val="lowerRoman"/>
      <w:lvlText w:val="%9."/>
      <w:lvlJc w:val="right"/>
      <w:pPr>
        <w:ind w:left="6480" w:hanging="180"/>
      </w:pPr>
    </w:lvl>
  </w:abstractNum>
  <w:abstractNum w:abstractNumId="19"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4250A"/>
    <w:multiLevelType w:val="hybridMultilevel"/>
    <w:tmpl w:val="43D0E936"/>
    <w:lvl w:ilvl="0" w:tplc="4EB2958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53031"/>
    <w:multiLevelType w:val="hybridMultilevel"/>
    <w:tmpl w:val="326E06BC"/>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6"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20EFD"/>
    <w:multiLevelType w:val="hybridMultilevel"/>
    <w:tmpl w:val="16D8B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629DB"/>
    <w:multiLevelType w:val="hybridMultilevel"/>
    <w:tmpl w:val="C0C49102"/>
    <w:lvl w:ilvl="0" w:tplc="2CB45DAA">
      <w:start w:val="4"/>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5" w15:restartNumberingAfterBreak="0">
    <w:nsid w:val="71BA4213"/>
    <w:multiLevelType w:val="hybridMultilevel"/>
    <w:tmpl w:val="97A04970"/>
    <w:lvl w:ilvl="0" w:tplc="6D68BCE4">
      <w:start w:val="1"/>
      <w:numFmt w:val="lowerRoman"/>
      <w:lvlText w:val="(%1)"/>
      <w:lvlJc w:val="left"/>
      <w:pPr>
        <w:ind w:left="873" w:hanging="720"/>
      </w:pPr>
      <w:rPr>
        <w:rFonts w:cs="Times New Roman"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6" w15:restartNumberingAfterBreak="0">
    <w:nsid w:val="71F05144"/>
    <w:multiLevelType w:val="hybridMultilevel"/>
    <w:tmpl w:val="FE2A3060"/>
    <w:lvl w:ilvl="0" w:tplc="C5920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83209A"/>
    <w:multiLevelType w:val="hybridMultilevel"/>
    <w:tmpl w:val="EF5A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B617E"/>
    <w:multiLevelType w:val="hybridMultilevel"/>
    <w:tmpl w:val="145C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382187">
    <w:abstractNumId w:val="12"/>
  </w:num>
  <w:num w:numId="2" w16cid:durableId="1249077362">
    <w:abstractNumId w:val="12"/>
  </w:num>
  <w:num w:numId="3" w16cid:durableId="1476727200">
    <w:abstractNumId w:val="6"/>
  </w:num>
  <w:num w:numId="4" w16cid:durableId="225915765">
    <w:abstractNumId w:val="27"/>
  </w:num>
  <w:num w:numId="5" w16cid:durableId="2020813837">
    <w:abstractNumId w:val="13"/>
  </w:num>
  <w:num w:numId="6" w16cid:durableId="231938753">
    <w:abstractNumId w:val="19"/>
  </w:num>
  <w:num w:numId="7" w16cid:durableId="18743968">
    <w:abstractNumId w:val="32"/>
  </w:num>
  <w:num w:numId="8" w16cid:durableId="1765494884">
    <w:abstractNumId w:val="26"/>
  </w:num>
  <w:num w:numId="9" w16cid:durableId="1913000467">
    <w:abstractNumId w:val="6"/>
  </w:num>
  <w:num w:numId="10" w16cid:durableId="1478452336">
    <w:abstractNumId w:val="6"/>
  </w:num>
  <w:num w:numId="11" w16cid:durableId="1097559546">
    <w:abstractNumId w:val="6"/>
  </w:num>
  <w:num w:numId="12" w16cid:durableId="1313099683">
    <w:abstractNumId w:val="6"/>
  </w:num>
  <w:num w:numId="13" w16cid:durableId="279647129">
    <w:abstractNumId w:val="21"/>
  </w:num>
  <w:num w:numId="14" w16cid:durableId="1682657149">
    <w:abstractNumId w:val="2"/>
  </w:num>
  <w:num w:numId="15" w16cid:durableId="154885677">
    <w:abstractNumId w:val="20"/>
  </w:num>
  <w:num w:numId="16" w16cid:durableId="1366760359">
    <w:abstractNumId w:val="6"/>
  </w:num>
  <w:num w:numId="17" w16cid:durableId="663702325">
    <w:abstractNumId w:val="3"/>
  </w:num>
  <w:num w:numId="18" w16cid:durableId="1353334821">
    <w:abstractNumId w:val="6"/>
  </w:num>
  <w:num w:numId="19" w16cid:durableId="470756538">
    <w:abstractNumId w:val="0"/>
  </w:num>
  <w:num w:numId="20" w16cid:durableId="129826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9197874">
    <w:abstractNumId w:val="25"/>
  </w:num>
  <w:num w:numId="22" w16cid:durableId="2052224255">
    <w:abstractNumId w:val="8"/>
  </w:num>
  <w:num w:numId="23" w16cid:durableId="487095011">
    <w:abstractNumId w:val="38"/>
  </w:num>
  <w:num w:numId="24" w16cid:durableId="51776398">
    <w:abstractNumId w:val="4"/>
  </w:num>
  <w:num w:numId="25" w16cid:durableId="2010326986">
    <w:abstractNumId w:val="30"/>
  </w:num>
  <w:num w:numId="26" w16cid:durableId="450364771">
    <w:abstractNumId w:val="11"/>
  </w:num>
  <w:num w:numId="27" w16cid:durableId="755251909">
    <w:abstractNumId w:val="28"/>
  </w:num>
  <w:num w:numId="28" w16cid:durableId="1637489752">
    <w:abstractNumId w:val="16"/>
  </w:num>
  <w:num w:numId="29" w16cid:durableId="715398195">
    <w:abstractNumId w:val="40"/>
  </w:num>
  <w:num w:numId="30" w16cid:durableId="2071145523">
    <w:abstractNumId w:val="23"/>
  </w:num>
  <w:num w:numId="31" w16cid:durableId="102238600">
    <w:abstractNumId w:val="31"/>
  </w:num>
  <w:num w:numId="32" w16cid:durableId="734012336">
    <w:abstractNumId w:val="10"/>
  </w:num>
  <w:num w:numId="33" w16cid:durableId="802698850">
    <w:abstractNumId w:val="18"/>
  </w:num>
  <w:num w:numId="34" w16cid:durableId="972365973">
    <w:abstractNumId w:val="17"/>
  </w:num>
  <w:num w:numId="35" w16cid:durableId="163014745">
    <w:abstractNumId w:val="39"/>
  </w:num>
  <w:num w:numId="36" w16cid:durableId="2122141641">
    <w:abstractNumId w:val="29"/>
  </w:num>
  <w:num w:numId="37" w16cid:durableId="2100758669">
    <w:abstractNumId w:val="37"/>
  </w:num>
  <w:num w:numId="38" w16cid:durableId="545723685">
    <w:abstractNumId w:val="14"/>
  </w:num>
  <w:num w:numId="39" w16cid:durableId="669068637">
    <w:abstractNumId w:val="22"/>
  </w:num>
  <w:num w:numId="40" w16cid:durableId="1527330735">
    <w:abstractNumId w:val="9"/>
  </w:num>
  <w:num w:numId="41" w16cid:durableId="525674912">
    <w:abstractNumId w:val="1"/>
  </w:num>
  <w:num w:numId="42" w16cid:durableId="296104311">
    <w:abstractNumId w:val="7"/>
  </w:num>
  <w:num w:numId="43" w16cid:durableId="1071153108">
    <w:abstractNumId w:val="15"/>
  </w:num>
  <w:num w:numId="44" w16cid:durableId="1165513715">
    <w:abstractNumId w:val="5"/>
  </w:num>
  <w:num w:numId="45" w16cid:durableId="1356150359">
    <w:abstractNumId w:val="36"/>
  </w:num>
  <w:num w:numId="46" w16cid:durableId="608977052">
    <w:abstractNumId w:val="24"/>
  </w:num>
  <w:num w:numId="47" w16cid:durableId="1752119284">
    <w:abstractNumId w:val="35"/>
  </w:num>
  <w:num w:numId="48" w16cid:durableId="1520690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21CA9"/>
    <w:rsid w:val="000B0E4E"/>
    <w:rsid w:val="000D39FC"/>
    <w:rsid w:val="000D4E4C"/>
    <w:rsid w:val="000E7AEA"/>
    <w:rsid w:val="000F1DBA"/>
    <w:rsid w:val="000F258B"/>
    <w:rsid w:val="00100A35"/>
    <w:rsid w:val="0011081B"/>
    <w:rsid w:val="0011114C"/>
    <w:rsid w:val="00177B08"/>
    <w:rsid w:val="001912E2"/>
    <w:rsid w:val="001A6E27"/>
    <w:rsid w:val="001C6211"/>
    <w:rsid w:val="001E413E"/>
    <w:rsid w:val="001F1F04"/>
    <w:rsid w:val="001F5D62"/>
    <w:rsid w:val="00201171"/>
    <w:rsid w:val="00213953"/>
    <w:rsid w:val="00234C33"/>
    <w:rsid w:val="00261E65"/>
    <w:rsid w:val="002750C1"/>
    <w:rsid w:val="00292332"/>
    <w:rsid w:val="002B4B18"/>
    <w:rsid w:val="002D2C1D"/>
    <w:rsid w:val="002E70A1"/>
    <w:rsid w:val="00310E5D"/>
    <w:rsid w:val="00311ECE"/>
    <w:rsid w:val="00314FEB"/>
    <w:rsid w:val="003210F7"/>
    <w:rsid w:val="0034355C"/>
    <w:rsid w:val="00346C46"/>
    <w:rsid w:val="003557A8"/>
    <w:rsid w:val="00363D04"/>
    <w:rsid w:val="003829C6"/>
    <w:rsid w:val="0039334A"/>
    <w:rsid w:val="00397DEC"/>
    <w:rsid w:val="003B58D6"/>
    <w:rsid w:val="003D46DA"/>
    <w:rsid w:val="003D4875"/>
    <w:rsid w:val="003E2147"/>
    <w:rsid w:val="003E27AC"/>
    <w:rsid w:val="00401C01"/>
    <w:rsid w:val="0041299F"/>
    <w:rsid w:val="004573F3"/>
    <w:rsid w:val="004618DE"/>
    <w:rsid w:val="00463EA2"/>
    <w:rsid w:val="00484032"/>
    <w:rsid w:val="00494C58"/>
    <w:rsid w:val="004A327F"/>
    <w:rsid w:val="004B08C6"/>
    <w:rsid w:val="004B7559"/>
    <w:rsid w:val="004C1526"/>
    <w:rsid w:val="004C1D3F"/>
    <w:rsid w:val="004C3E47"/>
    <w:rsid w:val="004C42E8"/>
    <w:rsid w:val="004D05D2"/>
    <w:rsid w:val="004D0F08"/>
    <w:rsid w:val="00513180"/>
    <w:rsid w:val="005169D0"/>
    <w:rsid w:val="00596B7E"/>
    <w:rsid w:val="005B5EF5"/>
    <w:rsid w:val="005D10DE"/>
    <w:rsid w:val="005D54DD"/>
    <w:rsid w:val="00623957"/>
    <w:rsid w:val="00655725"/>
    <w:rsid w:val="00673F0C"/>
    <w:rsid w:val="006815EC"/>
    <w:rsid w:val="006835E4"/>
    <w:rsid w:val="00695BA3"/>
    <w:rsid w:val="0069684F"/>
    <w:rsid w:val="006A3031"/>
    <w:rsid w:val="006C2C65"/>
    <w:rsid w:val="006C6149"/>
    <w:rsid w:val="006D052A"/>
    <w:rsid w:val="006D36DB"/>
    <w:rsid w:val="006D6768"/>
    <w:rsid w:val="006E1917"/>
    <w:rsid w:val="006E2A83"/>
    <w:rsid w:val="006E6400"/>
    <w:rsid w:val="007449EA"/>
    <w:rsid w:val="00753AFA"/>
    <w:rsid w:val="00755CED"/>
    <w:rsid w:val="0076217F"/>
    <w:rsid w:val="007701CE"/>
    <w:rsid w:val="00773D5C"/>
    <w:rsid w:val="00783CE9"/>
    <w:rsid w:val="007A3E25"/>
    <w:rsid w:val="007A45CC"/>
    <w:rsid w:val="007A49EB"/>
    <w:rsid w:val="007A7EC6"/>
    <w:rsid w:val="007C371E"/>
    <w:rsid w:val="007C403E"/>
    <w:rsid w:val="007D19BA"/>
    <w:rsid w:val="007E6082"/>
    <w:rsid w:val="007F2BA5"/>
    <w:rsid w:val="008028CB"/>
    <w:rsid w:val="00814BE9"/>
    <w:rsid w:val="00835BC3"/>
    <w:rsid w:val="00846E26"/>
    <w:rsid w:val="0085153D"/>
    <w:rsid w:val="008608E4"/>
    <w:rsid w:val="008735A8"/>
    <w:rsid w:val="00873BED"/>
    <w:rsid w:val="00885177"/>
    <w:rsid w:val="008852E4"/>
    <w:rsid w:val="008A6802"/>
    <w:rsid w:val="008B407B"/>
    <w:rsid w:val="008C24D0"/>
    <w:rsid w:val="008C59A5"/>
    <w:rsid w:val="00902342"/>
    <w:rsid w:val="00904C98"/>
    <w:rsid w:val="009053BE"/>
    <w:rsid w:val="009063B7"/>
    <w:rsid w:val="00907D3B"/>
    <w:rsid w:val="009173FE"/>
    <w:rsid w:val="00920B40"/>
    <w:rsid w:val="00932970"/>
    <w:rsid w:val="00972BBF"/>
    <w:rsid w:val="0098415A"/>
    <w:rsid w:val="009E53F6"/>
    <w:rsid w:val="009E6CEB"/>
    <w:rsid w:val="00A00B63"/>
    <w:rsid w:val="00A2122F"/>
    <w:rsid w:val="00A23875"/>
    <w:rsid w:val="00A23AFD"/>
    <w:rsid w:val="00A33021"/>
    <w:rsid w:val="00A33F60"/>
    <w:rsid w:val="00A36041"/>
    <w:rsid w:val="00A40529"/>
    <w:rsid w:val="00A70F48"/>
    <w:rsid w:val="00A923B0"/>
    <w:rsid w:val="00B143FE"/>
    <w:rsid w:val="00B243F2"/>
    <w:rsid w:val="00B34A39"/>
    <w:rsid w:val="00B469CB"/>
    <w:rsid w:val="00B54018"/>
    <w:rsid w:val="00B557FF"/>
    <w:rsid w:val="00B80382"/>
    <w:rsid w:val="00B872CA"/>
    <w:rsid w:val="00BC1245"/>
    <w:rsid w:val="00BD5A86"/>
    <w:rsid w:val="00BD6966"/>
    <w:rsid w:val="00BE3F20"/>
    <w:rsid w:val="00C05FC8"/>
    <w:rsid w:val="00C108A8"/>
    <w:rsid w:val="00C138E0"/>
    <w:rsid w:val="00C3501E"/>
    <w:rsid w:val="00C41845"/>
    <w:rsid w:val="00C84B6A"/>
    <w:rsid w:val="00C91036"/>
    <w:rsid w:val="00CA1880"/>
    <w:rsid w:val="00CA48CF"/>
    <w:rsid w:val="00CB4C79"/>
    <w:rsid w:val="00CC085D"/>
    <w:rsid w:val="00CC3A67"/>
    <w:rsid w:val="00CC501A"/>
    <w:rsid w:val="00CC71E5"/>
    <w:rsid w:val="00CE5093"/>
    <w:rsid w:val="00CE7C2F"/>
    <w:rsid w:val="00D23B0B"/>
    <w:rsid w:val="00D23EDD"/>
    <w:rsid w:val="00D302AD"/>
    <w:rsid w:val="00D4515E"/>
    <w:rsid w:val="00D86646"/>
    <w:rsid w:val="00DB1903"/>
    <w:rsid w:val="00DC1F0C"/>
    <w:rsid w:val="00DC7F96"/>
    <w:rsid w:val="00DD53BA"/>
    <w:rsid w:val="00DD6E32"/>
    <w:rsid w:val="00DE478C"/>
    <w:rsid w:val="00DF1829"/>
    <w:rsid w:val="00E174A3"/>
    <w:rsid w:val="00E22236"/>
    <w:rsid w:val="00E55EEC"/>
    <w:rsid w:val="00E5717B"/>
    <w:rsid w:val="00E621C7"/>
    <w:rsid w:val="00E62C51"/>
    <w:rsid w:val="00E65D5E"/>
    <w:rsid w:val="00E71F05"/>
    <w:rsid w:val="00E80CF6"/>
    <w:rsid w:val="00E912CA"/>
    <w:rsid w:val="00ED39E0"/>
    <w:rsid w:val="00EE63FA"/>
    <w:rsid w:val="00F017CE"/>
    <w:rsid w:val="00F04FBD"/>
    <w:rsid w:val="00F058A3"/>
    <w:rsid w:val="00F077E7"/>
    <w:rsid w:val="00F40EDB"/>
    <w:rsid w:val="00F90CD8"/>
    <w:rsid w:val="00F92310"/>
    <w:rsid w:val="00F94805"/>
    <w:rsid w:val="00FC7B23"/>
    <w:rsid w:val="00FD630B"/>
    <w:rsid w:val="00FE70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uiPriority w:val="9"/>
    <w:qFormat/>
    <w:pPr>
      <w:keepNext/>
      <w:keepLines/>
      <w:spacing w:after="240"/>
      <w:outlineLvl w:val="3"/>
    </w:pPr>
    <w:rPr>
      <w:rFonts w:eastAsia="Times New Roman"/>
      <w:b/>
      <w:bCs/>
      <w:lang w:eastAsia="en-U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uiPriority w:val="10"/>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uiPriority w:val="99"/>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rsid w:val="007A7EC6"/>
    <w:rPr>
      <w:rFonts w:eastAsia="Times New Roman"/>
      <w:lang w:val="en-US" w:eastAsia="en-US"/>
    </w:rPr>
  </w:style>
  <w:style w:type="paragraph" w:styleId="CommentSubject">
    <w:name w:val="annotation subject"/>
    <w:basedOn w:val="CommentText"/>
    <w:next w:val="CommentText"/>
    <w:link w:val="CommentSubjectChar"/>
    <w:uiPriority w:val="99"/>
    <w:rsid w:val="007A7EC6"/>
    <w:rPr>
      <w:b/>
      <w:bCs/>
      <w:lang w:val="x-none" w:eastAsia="x-none"/>
    </w:rPr>
  </w:style>
  <w:style w:type="character" w:customStyle="1" w:styleId="CommentSubjectChar">
    <w:name w:val="Comment Subject Char"/>
    <w:basedOn w:val="CommentTextChar"/>
    <w:link w:val="CommentSubject"/>
    <w:uiPriority w:val="99"/>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numbering" w:customStyle="1" w:styleId="Aucuneliste1">
    <w:name w:val="Aucune liste1"/>
    <w:next w:val="NoList"/>
    <w:uiPriority w:val="99"/>
    <w:semiHidden/>
    <w:unhideWhenUsed/>
    <w:rsid w:val="00CB4C79"/>
  </w:style>
  <w:style w:type="character" w:customStyle="1" w:styleId="UnresolvedMention1">
    <w:name w:val="Unresolved Mention1"/>
    <w:basedOn w:val="DefaultParagraphFont"/>
    <w:uiPriority w:val="99"/>
    <w:semiHidden/>
    <w:unhideWhenUsed/>
    <w:rsid w:val="00CB4C79"/>
    <w:rPr>
      <w:color w:val="605E5C"/>
      <w:shd w:val="clear" w:color="auto" w:fill="E1DFDD"/>
    </w:rPr>
  </w:style>
  <w:style w:type="paragraph" w:styleId="Subtitle">
    <w:name w:val="Subtitle"/>
    <w:basedOn w:val="Normal"/>
    <w:next w:val="Normal"/>
    <w:link w:val="SubtitleChar"/>
    <w:uiPriority w:val="11"/>
    <w:qFormat/>
    <w:rsid w:val="00CB4C79"/>
    <w:pPr>
      <w:keepNext/>
      <w:keepLines/>
      <w:tabs>
        <w:tab w:val="clear" w:pos="567"/>
      </w:tabs>
      <w:snapToGrid/>
      <w:spacing w:before="360" w:after="80"/>
    </w:pPr>
    <w:rPr>
      <w:rFonts w:ascii="Georgia" w:eastAsia="Georgia" w:hAnsi="Georgia" w:cs="Georgia"/>
      <w:i/>
      <w:snapToGrid/>
      <w:color w:val="666666"/>
      <w:sz w:val="48"/>
      <w:szCs w:val="48"/>
      <w:lang w:eastAsia="fr-FR"/>
    </w:rPr>
  </w:style>
  <w:style w:type="character" w:customStyle="1" w:styleId="SubtitleChar">
    <w:name w:val="Subtitle Char"/>
    <w:basedOn w:val="DefaultParagraphFont"/>
    <w:link w:val="Subtitle"/>
    <w:uiPriority w:val="11"/>
    <w:rsid w:val="00CB4C79"/>
    <w:rPr>
      <w:rFonts w:ascii="Georgia" w:eastAsia="Georgia" w:hAnsi="Georgia" w:cs="Georgia"/>
      <w:i/>
      <w:color w:val="666666"/>
      <w:sz w:val="48"/>
      <w:szCs w:val="48"/>
      <w:lang w:eastAsia="fr-FR"/>
    </w:rPr>
  </w:style>
  <w:style w:type="character" w:customStyle="1" w:styleId="HeaderChar">
    <w:name w:val="Header Char"/>
    <w:basedOn w:val="DefaultParagraphFont"/>
    <w:link w:val="Header"/>
    <w:uiPriority w:val="99"/>
    <w:rsid w:val="00CB4C79"/>
    <w:rPr>
      <w:rFonts w:ascii="Arial" w:eastAsia="Times New Roman" w:hAnsi="Arial"/>
      <w:snapToGrid w:val="0"/>
      <w:sz w:val="22"/>
      <w:szCs w:val="24"/>
      <w:lang w:eastAsia="en-US"/>
    </w:rPr>
  </w:style>
  <w:style w:type="character" w:customStyle="1" w:styleId="FooterChar">
    <w:name w:val="Footer Char"/>
    <w:basedOn w:val="DefaultParagraphFont"/>
    <w:link w:val="Footer"/>
    <w:uiPriority w:val="99"/>
    <w:rsid w:val="00CB4C79"/>
    <w:rPr>
      <w:rFonts w:ascii="Arial" w:eastAsia="Times New Roman" w:hAnsi="Arial"/>
      <w:snapToGrid w:val="0"/>
      <w:sz w:val="22"/>
      <w:szCs w:val="24"/>
      <w:lang w:eastAsia="en-US"/>
    </w:rPr>
  </w:style>
  <w:style w:type="character" w:customStyle="1" w:styleId="UnresolvedMention2">
    <w:name w:val="Unresolved Mention2"/>
    <w:basedOn w:val="DefaultParagraphFont"/>
    <w:uiPriority w:val="99"/>
    <w:semiHidden/>
    <w:unhideWhenUsed/>
    <w:rsid w:val="00CB4C79"/>
    <w:rPr>
      <w:color w:val="605E5C"/>
      <w:shd w:val="clear" w:color="auto" w:fill="E1DFDD"/>
    </w:rPr>
  </w:style>
  <w:style w:type="character" w:styleId="UnresolvedMention">
    <w:name w:val="Unresolved Mention"/>
    <w:basedOn w:val="DefaultParagraphFont"/>
    <w:uiPriority w:val="99"/>
    <w:semiHidden/>
    <w:unhideWhenUsed/>
    <w:rsid w:val="00CB4C79"/>
    <w:rPr>
      <w:color w:val="605E5C"/>
      <w:shd w:val="clear" w:color="auto" w:fill="E1DFDD"/>
    </w:rPr>
  </w:style>
  <w:style w:type="character" w:customStyle="1" w:styleId="Mentionnonrsolue1">
    <w:name w:val="Mention non résolue1"/>
    <w:basedOn w:val="DefaultParagraphFont"/>
    <w:uiPriority w:val="99"/>
    <w:semiHidden/>
    <w:unhideWhenUsed/>
    <w:rsid w:val="00CB4C79"/>
    <w:rPr>
      <w:color w:val="605E5C"/>
      <w:shd w:val="clear" w:color="auto" w:fill="E1DFDD"/>
    </w:rPr>
  </w:style>
  <w:style w:type="table" w:customStyle="1" w:styleId="Grilledutableau1">
    <w:name w:val="Grille du tableau1"/>
    <w:basedOn w:val="TableNormal"/>
    <w:next w:val="TableGrid"/>
    <w:uiPriority w:val="39"/>
    <w:rsid w:val="00CB4C79"/>
    <w:rPr>
      <w:rFonts w:ascii="Calibri" w:eastAsia="Calibri" w:hAnsi="Calibri" w:cs="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B4C79"/>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Times New Roman" w:hAnsi="Courier New" w:cs="Courier New"/>
      <w:snapToGrid/>
      <w:sz w:val="20"/>
      <w:szCs w:val="20"/>
      <w:lang w:eastAsia="fr-FR"/>
    </w:rPr>
  </w:style>
  <w:style w:type="character" w:customStyle="1" w:styleId="HTMLPreformattedChar">
    <w:name w:val="HTML Preformatted Char"/>
    <w:basedOn w:val="DefaultParagraphFont"/>
    <w:link w:val="HTMLPreformatted"/>
    <w:uiPriority w:val="99"/>
    <w:semiHidden/>
    <w:rsid w:val="00CB4C79"/>
    <w:rPr>
      <w:rFonts w:ascii="Courier New" w:eastAsia="Times New Roman" w:hAnsi="Courier New" w:cs="Courier New"/>
      <w:lang w:eastAsia="fr-FR"/>
    </w:rPr>
  </w:style>
  <w:style w:type="character" w:customStyle="1" w:styleId="apple-converted-space">
    <w:name w:val="apple-converted-space"/>
    <w:basedOn w:val="DefaultParagraphFont"/>
    <w:rsid w:val="00CB4C79"/>
  </w:style>
  <w:style w:type="character" w:customStyle="1" w:styleId="Heading1Char">
    <w:name w:val="Heading 1 Char"/>
    <w:basedOn w:val="DefaultParagraphFont"/>
    <w:link w:val="Heading1"/>
    <w:uiPriority w:val="9"/>
    <w:rsid w:val="00CB4C79"/>
    <w:rPr>
      <w:rFonts w:ascii="Arial" w:eastAsia="Times New Roman" w:hAnsi="Arial"/>
      <w:b/>
      <w:bCs/>
      <w:snapToGrid w:val="0"/>
      <w:kern w:val="28"/>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1385</Words>
  <Characters>7105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Projet de résolution A-33/[4.8] Présenté par la Principauté de Monaco - Mise en œuvre de la Décennie des nations unies pour les sciences océaniques au service du développement durable (2021-2030)</vt:lpstr>
    </vt:vector>
  </TitlesOfParts>
  <Company>Unesco</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A-33/[4.8] Présenté par la Principauté de Monaco - Mise en œuvre de la Décennie des nations unies pour les sciences océaniques au service du développement durable (2021-2030)</dc:title>
  <dc:subject>IOC/A-33/DR.[4.8]</dc:subject>
  <dc:creator>as.machu@unesco.org</dc:creator>
  <cp:keywords>18.12F</cp:keywords>
  <dc:description/>
  <cp:lastModifiedBy>Boned, Patrice</cp:lastModifiedBy>
  <cp:revision>3</cp:revision>
  <cp:lastPrinted>2012-08-02T14:52:00Z</cp:lastPrinted>
  <dcterms:created xsi:type="dcterms:W3CDTF">2025-07-02T09:03:00Z</dcterms:created>
  <dcterms:modified xsi:type="dcterms:W3CDTF">2025-07-03T06:09:00Z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73857</vt:i4>
  </property>
  <property fmtid="{D5CDD505-2E9C-101B-9397-08002B2CF9AE}" pid="3" name="JobDMS">
    <vt:lpwstr>1921.12</vt:lpwstr>
  </property>
  <property fmtid="{D5CDD505-2E9C-101B-9397-08002B2CF9AE}" pid="4" name="Language">
    <vt:lpwstr>F</vt:lpwstr>
  </property>
  <property fmtid="{D5CDD505-2E9C-101B-9397-08002B2CF9AE}" pid="5" name="JobNumber">
    <vt:lpwstr>2500529F</vt:lpwstr>
  </property>
  <property fmtid="{D5CDD505-2E9C-101B-9397-08002B2CF9AE}" pid="6" name="ForceJobNumber">
    <vt:bool>true</vt:bool>
  </property>
</Properties>
</file>