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3028" w14:textId="77777777" w:rsidR="00201F8B" w:rsidRDefault="00201F8B" w:rsidP="00381C59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4776D22C" w14:textId="1CB2E3F7" w:rsidR="00381C59" w:rsidRPr="00381C59" w:rsidRDefault="00381C59" w:rsidP="00381C59">
      <w:pPr>
        <w:jc w:val="center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МЕЖПРАВИТЕЛЬСТВЕННАЯ ОКЕАНОГРАФИЧЕСКАЯ КОМИССИЯ</w:t>
      </w:r>
    </w:p>
    <w:p w14:paraId="3469C544" w14:textId="77777777" w:rsidR="00381C59" w:rsidRPr="00381C59" w:rsidRDefault="00381C59" w:rsidP="00381C59">
      <w:pPr>
        <w:jc w:val="center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(ЮНЕСКО)</w:t>
      </w:r>
    </w:p>
    <w:p w14:paraId="58C18F07" w14:textId="77777777" w:rsidR="00381C59" w:rsidRPr="00381C59" w:rsidRDefault="00381C59" w:rsidP="00381C59">
      <w:pPr>
        <w:jc w:val="center"/>
        <w:rPr>
          <w:rFonts w:asciiTheme="minorBidi" w:hAnsiTheme="minorBidi" w:cstheme="minorBidi"/>
          <w:b/>
          <w:sz w:val="22"/>
          <w:szCs w:val="22"/>
          <w:lang w:val="ru-RU"/>
        </w:rPr>
      </w:pPr>
    </w:p>
    <w:p w14:paraId="1498EAC5" w14:textId="77777777" w:rsidR="00381C59" w:rsidRPr="00381C59" w:rsidRDefault="00381C59" w:rsidP="00381C59">
      <w:pPr>
        <w:jc w:val="center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Тридцать третья сессия Ассамблеи</w:t>
      </w:r>
    </w:p>
    <w:p w14:paraId="49733845" w14:textId="77777777" w:rsidR="00381C59" w:rsidRPr="00381C59" w:rsidRDefault="00381C59" w:rsidP="00381C59">
      <w:pPr>
        <w:jc w:val="center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ЮНЕСКО, 25 июня – 3 июля 2025 г.</w:t>
      </w:r>
    </w:p>
    <w:p w14:paraId="64428B73" w14:textId="77777777" w:rsidR="00381C59" w:rsidRPr="00381C59" w:rsidRDefault="00381C59" w:rsidP="00381C59">
      <w:pPr>
        <w:jc w:val="center"/>
        <w:rPr>
          <w:rFonts w:asciiTheme="minorBidi" w:hAnsiTheme="minorBidi" w:cstheme="minorBidi"/>
          <w:bCs/>
          <w:sz w:val="22"/>
          <w:szCs w:val="22"/>
          <w:lang w:val="ru-RU"/>
        </w:rPr>
      </w:pPr>
    </w:p>
    <w:p w14:paraId="67ECB98E" w14:textId="77777777" w:rsidR="00381C59" w:rsidRPr="00381C59" w:rsidRDefault="00381C59" w:rsidP="00381C59">
      <w:pPr>
        <w:jc w:val="center"/>
        <w:rPr>
          <w:rFonts w:asciiTheme="minorBidi" w:hAnsiTheme="minorBidi" w:cstheme="minorBidi"/>
          <w:szCs w:val="22"/>
          <w:lang w:val="ru-RU"/>
        </w:rPr>
      </w:pPr>
    </w:p>
    <w:p w14:paraId="7F97634F" w14:textId="77777777" w:rsidR="00381C59" w:rsidRPr="00201F8B" w:rsidRDefault="00381C59" w:rsidP="00381C59">
      <w:pPr>
        <w:pStyle w:val="Heading7"/>
        <w:rPr>
          <w:rFonts w:asciiTheme="minorBidi" w:hAnsiTheme="minorBidi" w:cstheme="minorBidi"/>
          <w:sz w:val="22"/>
          <w:szCs w:val="22"/>
          <w:lang w:val="ru-RU"/>
        </w:rPr>
      </w:pPr>
      <w:r w:rsidRPr="00201F8B">
        <w:rPr>
          <w:rFonts w:asciiTheme="minorBidi" w:hAnsiTheme="minorBidi" w:cstheme="minorBidi"/>
          <w:sz w:val="22"/>
          <w:szCs w:val="22"/>
          <w:lang w:val="ru-RU"/>
        </w:rPr>
        <w:t xml:space="preserve">Пункт </w:t>
      </w:r>
      <w:r w:rsidRPr="00201F8B">
        <w:rPr>
          <w:rFonts w:asciiTheme="minorBidi" w:hAnsiTheme="minorBidi" w:cstheme="minorBidi"/>
          <w:b/>
          <w:bCs/>
          <w:sz w:val="22"/>
          <w:szCs w:val="22"/>
          <w:lang w:val="ru-RU"/>
        </w:rPr>
        <w:t>4.7</w:t>
      </w:r>
      <w:r w:rsidRPr="00201F8B">
        <w:rPr>
          <w:rFonts w:asciiTheme="minorBidi" w:hAnsiTheme="minorBidi" w:cstheme="minorBidi"/>
          <w:sz w:val="22"/>
          <w:szCs w:val="22"/>
          <w:lang w:val="ru-RU"/>
        </w:rPr>
        <w:t xml:space="preserve"> предварительной повестки дня</w:t>
      </w:r>
    </w:p>
    <w:p w14:paraId="6DC9CF06" w14:textId="77777777" w:rsidR="00381C59" w:rsidRPr="00381C59" w:rsidRDefault="00381C59" w:rsidP="00381C59">
      <w:pPr>
        <w:rPr>
          <w:rFonts w:asciiTheme="minorBidi" w:hAnsiTheme="minorBidi" w:cstheme="minorBidi"/>
          <w:szCs w:val="22"/>
          <w:lang w:val="ru-RU"/>
        </w:rPr>
      </w:pPr>
    </w:p>
    <w:p w14:paraId="721806CC" w14:textId="77777777" w:rsidR="00381C59" w:rsidRPr="00381C59" w:rsidRDefault="00381C59" w:rsidP="00381C59">
      <w:pPr>
        <w:jc w:val="center"/>
        <w:rPr>
          <w:rFonts w:asciiTheme="minorBidi" w:hAnsiTheme="minorBidi" w:cstheme="minorBidi"/>
          <w:b/>
          <w:bCs/>
          <w:sz w:val="28"/>
          <w:szCs w:val="28"/>
          <w:lang w:val="ru-RU"/>
        </w:rPr>
      </w:pPr>
      <w:r w:rsidRPr="00381C59">
        <w:rPr>
          <w:rFonts w:asciiTheme="minorBidi" w:hAnsiTheme="minorBidi" w:cstheme="minorBidi"/>
          <w:szCs w:val="22"/>
          <w:lang w:val="ru-RU"/>
        </w:rPr>
        <w:br/>
      </w:r>
      <w:r w:rsidRPr="00381C59">
        <w:rPr>
          <w:rFonts w:asciiTheme="minorBidi" w:hAnsiTheme="minorBidi" w:cstheme="minorBidi"/>
          <w:b/>
          <w:bCs/>
          <w:sz w:val="28"/>
          <w:szCs w:val="28"/>
          <w:lang w:val="ru-RU"/>
        </w:rPr>
        <w:t>Вклад МОК в процессы управления ООН</w:t>
      </w:r>
    </w:p>
    <w:p w14:paraId="1EC9B66C" w14:textId="77777777" w:rsidR="00381C59" w:rsidRPr="008F632F" w:rsidRDefault="00381C59" w:rsidP="00381C59">
      <w:pPr>
        <w:jc w:val="center"/>
        <w:rPr>
          <w:lang w:val="ru-RU"/>
        </w:rPr>
      </w:pPr>
    </w:p>
    <w:p w14:paraId="160135BA" w14:textId="3B681FE2" w:rsidR="00381C59" w:rsidRPr="00381C59" w:rsidRDefault="00381C59" w:rsidP="00381C59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381C59" w14:paraId="7086E8C2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E681CFA" w14:textId="309317B5" w:rsidR="00B55EB4" w:rsidRPr="00381C59" w:rsidRDefault="00B83068" w:rsidP="00381C59">
            <w:pPr>
              <w:pStyle w:val="Marge"/>
              <w:jc w:val="center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381C59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Резюме</w:t>
            </w:r>
          </w:p>
          <w:p w14:paraId="0D2ECC1C" w14:textId="672A0C83" w:rsidR="00B55EB4" w:rsidRPr="00381C59" w:rsidRDefault="00B55EB4" w:rsidP="00381C5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381C5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В настоящем документе представлена информация о результатах работы в межсессионный период ряда имеющих отношение к связанным с океаном вопросам механизмов ООН и участии в ней МОК. Речь идет, в частности, о Рамочной конвенции ООН об изменении климата, имеющем обязательную юридическую силу международном документе о сохранении и устойчивом использовании морского биологического разнообразия в районах за пределами национальной юрисдикции (БПНЮ) и Куньминско-Монреальской глобальной рамочной программе в области биоразнообразия Конвенции о биологическом разнообразии.</w:t>
            </w:r>
          </w:p>
          <w:p w14:paraId="745B6036" w14:textId="39C50267" w:rsidR="00737A18" w:rsidRPr="00381C59" w:rsidRDefault="00B55EB4" w:rsidP="00381C59">
            <w:pPr>
              <w:pStyle w:val="Marge"/>
              <w:rPr>
                <w:rFonts w:asciiTheme="minorBidi" w:hAnsiTheme="minorBidi" w:cstheme="minorBidi"/>
                <w:sz w:val="22"/>
                <w:szCs w:val="22"/>
              </w:rPr>
            </w:pPr>
            <w:r w:rsidRPr="00381C59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Предлагаемое решение</w:t>
            </w:r>
            <w:r w:rsidRPr="00381C5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: Ассамблее предлагается принять к сведению достигнутые результаты и продолжать поощрять государства – члены МОК к участию в работе этих межправительственных форумов, привлекая внимание к важной роли науки об океане и вкладу МОК. Проект решения по этому пункту повестки дня приведен в предварительном документе о принятых и </w:t>
            </w:r>
            <w:r w:rsidR="00381C59" w:rsidRPr="00381C5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предлагаемых</w:t>
            </w:r>
            <w:r w:rsidRPr="00381C5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мерах (IOC/A-33/AP </w:t>
            </w:r>
            <w:proofErr w:type="spellStart"/>
            <w:r w:rsidRPr="00381C5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Prov</w:t>
            </w:r>
            <w:proofErr w:type="spellEnd"/>
            <w:r w:rsidRPr="00381C5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.) как </w:t>
            </w:r>
            <w:proofErr w:type="spellStart"/>
            <w:r w:rsidRPr="00381C5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реш</w:t>
            </w:r>
            <w:proofErr w:type="spellEnd"/>
            <w:r w:rsidRPr="00381C5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. A-33/4.7.</w:t>
            </w:r>
          </w:p>
        </w:tc>
      </w:tr>
    </w:tbl>
    <w:p w14:paraId="029C3EF6" w14:textId="77777777" w:rsidR="00746B89" w:rsidRPr="00381C59" w:rsidRDefault="00746B89" w:rsidP="00381C59">
      <w:pPr>
        <w:pStyle w:val="Heading3"/>
        <w:rPr>
          <w:rFonts w:asciiTheme="minorBidi" w:hAnsiTheme="minorBidi" w:cstheme="minorBidi"/>
          <w:sz w:val="22"/>
        </w:rPr>
        <w:sectPr w:rsidR="00746B89" w:rsidRPr="00381C59" w:rsidSect="003F7186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197DDABA" w14:textId="6D26CB05" w:rsidR="001E295D" w:rsidRPr="00381C59" w:rsidRDefault="001E295D" w:rsidP="00381C59">
      <w:pPr>
        <w:spacing w:after="24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Общая информация</w:t>
      </w:r>
    </w:p>
    <w:p w14:paraId="11993669" w14:textId="3A306304" w:rsidR="00A84BF8" w:rsidRPr="00381C59" w:rsidRDefault="003A160A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МОК выполняет признанные на уровне системы Организации Объединенных Наций функции в соответствии со своим Уставом. Будучи международной организацией, специализирующейся в области морских научных исследований и передачи морской технологии, МОК вносит вклад в работу различных механизмов ЮНКЛОС, включая недавно принятый и имеющий обязательную юридическую силу международный документ о сохранении и устойчивом использовании морского биологического разнообразия в районах за пределами национальной юрисдикции (БПНЮ), в настоящее</w:t>
      </w:r>
      <w:r w:rsidR="006A57FE" w:rsidRPr="006A57FE">
        <w:rPr>
          <w:rFonts w:asciiTheme="minorBidi" w:hAnsiTheme="minorBidi" w:cstheme="minorBidi"/>
          <w:sz w:val="22"/>
          <w:szCs w:val="22"/>
          <w:lang w:val="ru-RU"/>
        </w:rPr>
        <w:t xml:space="preserve"> врем</w:t>
      </w:r>
      <w:r w:rsidR="006A57FE" w:rsidRPr="009902FB">
        <w:rPr>
          <w:rFonts w:asciiTheme="minorBidi" w:hAnsiTheme="minorBidi" w:cstheme="minorBidi"/>
          <w:sz w:val="22"/>
          <w:szCs w:val="22"/>
          <w:lang w:val="ru-RU"/>
        </w:rPr>
        <w:t>я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проходящий процесс ратификации, после которой он вступит в силу. </w:t>
      </w:r>
    </w:p>
    <w:p w14:paraId="0DA34AA8" w14:textId="7EDD86E8" w:rsidR="003A160A" w:rsidRPr="00381C59" w:rsidRDefault="003A160A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МОК также вносит вклад в осуществление основных глобальных соглашений и рамочных программ ООН, включая Повестку дня ООН в области устойчивого развития на период до 2030 г. и определенные в ней цели в области устойчивого развития (ЦУР), в частности в работу по касающейся океана ЦУР 14, в отношении которой МОК также выступает в качестве учреждения ООН, курирующего представление отчетности по задачам 14.3 и 14.a и вносящего вклад в достижение показателя 14.1.1, РКИК ООН и Парижское соглашение, </w:t>
      </w:r>
      <w:proofErr w:type="spellStart"/>
      <w:r w:rsidRPr="00381C59">
        <w:rPr>
          <w:rFonts w:asciiTheme="minorBidi" w:hAnsiTheme="minorBidi" w:cstheme="minorBidi"/>
          <w:sz w:val="22"/>
          <w:szCs w:val="22"/>
          <w:lang w:val="ru-RU"/>
        </w:rPr>
        <w:t>Сендайскую</w:t>
      </w:r>
      <w:proofErr w:type="spellEnd"/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рамочную программу по снижению риска бедствий, Куньминско-Монреальскую глобальную рамочную программу в области биоразнообразия Конвенции о биологическом разнообразии и Повестку дня Антигуа и Барбуды для МОСРГ.</w:t>
      </w:r>
    </w:p>
    <w:p w14:paraId="79A65AB2" w14:textId="3734E713" w:rsidR="00225A41" w:rsidRPr="00381C59" w:rsidRDefault="00B55EB4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Ассамблея МОК в своем решении A-32/4.6 (2023 г.) просила Исполнительного секретаря продолжать обеспечивать участие Комиссии в этих процессах ООН путем предоставления научно-технической информации и оказания помощи государствам</w:t>
      </w:r>
      <w:r w:rsidR="009902FB" w:rsidRPr="009902FB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9902FB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9902FB" w:rsidRPr="009902FB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членам МОК в укреплении их потенциала для содействия достижению целей этих рамочных механизмов управления в сфере океана. МОК может играть все более важную роль в этих процессах путем объединения представителей научного сообщества, государственных директивных органов и более широкого круга заинтересованных сторон в государствах – членах Комиссии, включая частный сектор и гражданское общество, в целях производства заслуживающих доверия знаний и разработки эффективной, научно обоснованной комплексной системы управления океаном и связанных с этим решений. В настоящем документе представлен обзор событий, произошедших после 57-й сессии Исполнительного совета в июне 2024 г., и описание участия МОК в этих процессах, с особым вниманием к Конвенции о биологическом разнообразии, Договору об открытом море (о БПНЮ) и процессу РКИК ООН. Следует отметить, что информация о работе МОК по мониторингу целей в области устойчивого развития представлена в добавлении к документу IOC/EC-57/3.</w:t>
      </w:r>
      <w:proofErr w:type="gramStart"/>
      <w:r w:rsidRPr="00381C59">
        <w:rPr>
          <w:rFonts w:asciiTheme="minorBidi" w:hAnsiTheme="minorBidi" w:cstheme="minorBidi"/>
          <w:sz w:val="22"/>
          <w:szCs w:val="22"/>
          <w:lang w:val="ru-RU"/>
        </w:rPr>
        <w:t>1.Doc</w:t>
      </w:r>
      <w:proofErr w:type="gramEnd"/>
      <w:r w:rsidRPr="00381C59">
        <w:rPr>
          <w:rFonts w:asciiTheme="minorBidi" w:hAnsiTheme="minorBidi" w:cstheme="minorBidi"/>
          <w:sz w:val="22"/>
          <w:szCs w:val="22"/>
          <w:lang w:val="ru-RU"/>
        </w:rPr>
        <w:t>(1), раздел D.</w:t>
      </w:r>
    </w:p>
    <w:p w14:paraId="7743F779" w14:textId="58B01A49" w:rsidR="00AA531A" w:rsidRPr="00381C59" w:rsidRDefault="00342C6C" w:rsidP="00381C59">
      <w:pPr>
        <w:pStyle w:val="ListParagraph1"/>
        <w:widowControl/>
        <w:snapToGrid w:val="0"/>
        <w:spacing w:after="240"/>
        <w:ind w:left="0"/>
        <w:contextualSpacing w:val="0"/>
        <w:jc w:val="left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342C6C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А </w:t>
      </w:r>
      <w:r>
        <w:rPr>
          <w:rFonts w:asciiTheme="minorBidi" w:hAnsiTheme="minorBidi" w:cstheme="minorBidi"/>
          <w:b/>
          <w:bCs/>
          <w:sz w:val="22"/>
          <w:szCs w:val="22"/>
          <w:lang w:val="ru-RU"/>
        </w:rPr>
        <w:t>–</w:t>
      </w:r>
      <w:r w:rsidRPr="00342C6C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</w:t>
      </w:r>
      <w:r w:rsidR="00225A41"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Вклад в Куньминско-Монреальскую глобальную рамочную программу в области биоразнообразия (ГРПБ) Конвенции о биологическом разнообразии</w:t>
      </w:r>
      <w:r w:rsidR="00225A41" w:rsidRPr="00381C59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590BBD60" w14:textId="3BD870B5" w:rsidR="00207FC0" w:rsidRPr="00381C59" w:rsidRDefault="00FA58C5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В принятой на КС-15 КБР Куньминско-Монреальской глобальной рамочной программе в области биоразнообразия (КМГРПБ) определены 23 ориентированные на конкретные действия глобальные задачи по пресечению утраты биоразнообразия и восстановлению экосистем к 2050 г. Некоторые из задач КМГРПБ зависят от предоставления измеримых данных и доступа к ним, поэтому устойчивые наблюдения за океаном и доступные данные имеют жизненно важное значение для принятия обоснованных решений в этой сфере. Таким образом, МОК в целом и функционирующая в рамках Международного обмена океанографическими данными (МООД) информационная система по океаническому биоразнообразию (ОБИС), а также Глобальная система наблюдений за океаном (ГСНО, соучредителями которой являются Всемирная метеорологическая организация, Программа ООН по окружающей среде и Международный совет по науке) в частности играют ключевую роль в поддержке работы по целому ряду задач и индикаторов Глобальной рамочной программы в области биоразнообразия путем предоставления данных скоординированных наблюдений за морским биоразнообразием и экосистемами, систематизированных в соответствии с комплексом основных переменных параметров океана (ОППО) и сопутствующими продуктами на основе океанографических данных. Кроме того, ОБИС была добавлена в список инструментов, призванных помочь странам в мониторинге биоразнообразия и отслеживании прогресса в области охраны океана, видов и экосистем. В частности, работа МОК имеет непосредственное отношение к мониторингу прогресса в достижении многочисленных целей и задач КМГРПБ:</w:t>
      </w:r>
    </w:p>
    <w:p w14:paraId="15DAF8FC" w14:textId="2C11845E" w:rsidR="00207FC0" w:rsidRPr="00381C59" w:rsidRDefault="00042C45" w:rsidP="00381C59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hyperlink r:id="rId11" w:history="1">
        <w:r w:rsidRPr="00381C59">
          <w:rPr>
            <w:rFonts w:asciiTheme="minorBidi" w:hAnsiTheme="minorBidi" w:cstheme="minorBidi"/>
            <w:b/>
            <w:bCs/>
            <w:sz w:val="22"/>
            <w:szCs w:val="22"/>
            <w:lang w:val="ru-RU"/>
          </w:rPr>
          <w:t>Цели А1 и А2 КМГРПБ-2050 (статус экосистем и видов)</w:t>
        </w:r>
        <w:r w:rsidRPr="00381C59">
          <w:rPr>
            <w:rFonts w:asciiTheme="minorBidi" w:hAnsiTheme="minorBidi" w:cstheme="minorBidi"/>
            <w:sz w:val="22"/>
            <w:szCs w:val="22"/>
            <w:lang w:val="ru-RU"/>
          </w:rPr>
          <w:t xml:space="preserve">: деятельность МОК обеспечивает поддержку мониторинга, защиты и восстановления таких природных экосистем, как мангровые заросли, коралловые рифы, луга морских трав и заросли ламинарии, а также мониторинга биомассы и численности планктона. Эти параметры были признаны основными переменными параметрами океана (ОППО) в рамках ГСНО, а соответствующие данные по ним хранятся в ОБИС. Определенные ГСНО ОППО по конкретным таксонам также составляют основу для оценок, проводимых в рамках Красной книги МСОП, и используются для отчетности по основным индикаторам для целей </w:t>
        </w:r>
        <w:r w:rsidRPr="00381C59">
          <w:rPr>
            <w:rFonts w:asciiTheme="minorBidi" w:hAnsiTheme="minorBidi" w:cstheme="minorBidi"/>
            <w:sz w:val="22"/>
            <w:szCs w:val="22"/>
          </w:rPr>
          <w:t>A</w:t>
        </w:r>
        <w:r w:rsidRPr="00381C59">
          <w:rPr>
            <w:rFonts w:asciiTheme="minorBidi" w:hAnsiTheme="minorBidi" w:cstheme="minorBidi"/>
            <w:sz w:val="22"/>
            <w:szCs w:val="22"/>
            <w:lang w:val="ru-RU"/>
          </w:rPr>
          <w:t xml:space="preserve">3 и </w:t>
        </w:r>
        <w:r w:rsidRPr="00381C59">
          <w:rPr>
            <w:rFonts w:asciiTheme="minorBidi" w:hAnsiTheme="minorBidi" w:cstheme="minorBidi"/>
            <w:sz w:val="22"/>
            <w:szCs w:val="22"/>
          </w:rPr>
          <w:t>A</w:t>
        </w:r>
        <w:r w:rsidRPr="00381C59">
          <w:rPr>
            <w:rFonts w:asciiTheme="minorBidi" w:hAnsiTheme="minorBidi" w:cstheme="minorBidi"/>
            <w:sz w:val="22"/>
            <w:szCs w:val="22"/>
            <w:lang w:val="ru-RU"/>
          </w:rPr>
          <w:t>4, касающимся статуса видов.</w:t>
        </w:r>
      </w:hyperlink>
    </w:p>
    <w:p w14:paraId="0C8E94DF" w14:textId="362C388A" w:rsidR="00207FC0" w:rsidRPr="00381C59" w:rsidRDefault="00207FC0" w:rsidP="00381C59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Цель A.4 КМГРПБ-2050 (генетическое разнообразие)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: ОБИС может использоваться для мониторинга работы по этой цели.</w:t>
      </w:r>
    </w:p>
    <w:p w14:paraId="54F1E0C3" w14:textId="0E4E4DC6" w:rsidR="00207FC0" w:rsidRPr="00381C59" w:rsidRDefault="00042C45" w:rsidP="00381C59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hyperlink r:id="rId12" w:history="1">
        <w:r w:rsidRPr="00C24500">
          <w:rPr>
            <w:rFonts w:asciiTheme="minorBidi" w:hAnsiTheme="minorBidi" w:cstheme="minorBidi"/>
            <w:b/>
            <w:bCs/>
            <w:sz w:val="22"/>
            <w:szCs w:val="22"/>
            <w:lang w:val="ru-RU"/>
          </w:rPr>
          <w:t>Задача 1 КМГРПБ-2030 (пространственное планирование)</w:t>
        </w:r>
        <w:r w:rsidRPr="00C24500">
          <w:rPr>
            <w:rFonts w:asciiTheme="minorBidi" w:hAnsiTheme="minorBidi" w:cstheme="minorBidi"/>
            <w:sz w:val="22"/>
            <w:szCs w:val="22"/>
            <w:lang w:val="ru-RU"/>
          </w:rPr>
          <w:t>:</w:t>
        </w:r>
        <w:r w:rsidRPr="00381C59">
          <w:rPr>
            <w:rFonts w:asciiTheme="minorBidi" w:hAnsiTheme="minorBidi" w:cstheme="minorBidi"/>
            <w:sz w:val="22"/>
            <w:szCs w:val="22"/>
            <w:lang w:val="ru-RU"/>
          </w:rPr>
          <w:t xml:space="preserve"> обширная работа МОК по морскому пространственному планированию (МПП), проводимая с 2006 г., крайне важна для основного индикатора 1.1 (Доля наземных и морских районов, охваченных территориальными планами с учетом биоразнообразия). МОК отслеживает положение дел в области МПП во всем мире. На КС-16 КБР были приняты вопросы для бинарных индикаторов, в частности, относительно того</w:t>
        </w:r>
        <w:r w:rsidR="00C24500" w:rsidRPr="00C24500">
          <w:rPr>
            <w:rFonts w:asciiTheme="minorBidi" w:hAnsiTheme="minorBidi" w:cstheme="minorBidi"/>
            <w:sz w:val="22"/>
            <w:szCs w:val="22"/>
            <w:lang w:val="ru-RU"/>
          </w:rPr>
          <w:t>,</w:t>
        </w:r>
        <w:r w:rsidRPr="00381C59">
          <w:rPr>
            <w:rFonts w:asciiTheme="minorBidi" w:hAnsiTheme="minorBidi" w:cstheme="minorBidi"/>
            <w:sz w:val="22"/>
            <w:szCs w:val="22"/>
            <w:lang w:val="ru-RU"/>
          </w:rPr>
          <w:t xml:space="preserve"> учитывают ли страны изменения в использовании морских ресурсов (в прибрежных и морских районах) в процессах пространственного планирования с использованием методов работы на основе широкого участия (бинарный индикатор 1.</w:t>
        </w:r>
        <w:r w:rsidRPr="00381C59">
          <w:rPr>
            <w:rFonts w:asciiTheme="minorBidi" w:hAnsiTheme="minorBidi" w:cstheme="minorBidi"/>
            <w:sz w:val="22"/>
            <w:szCs w:val="22"/>
          </w:rPr>
          <w:t>b</w:t>
        </w:r>
        <w:r w:rsidRPr="00381C59">
          <w:rPr>
            <w:rFonts w:asciiTheme="minorBidi" w:hAnsiTheme="minorBidi" w:cstheme="minorBidi"/>
            <w:sz w:val="22"/>
            <w:szCs w:val="22"/>
            <w:lang w:val="ru-RU"/>
          </w:rPr>
          <w:t>). МОК предложила включить в систему индикаторов более актуальные ссылки, которые могут использоваться для руководства работой по МПП. Важно отметить, что ОБИС была также основным источником информации для составления и обновления описания экологически или биологически значимых морских районов (ЭБЗМР), которые имеют отношение к работе в области пространственного планирования. В скором времени процесс ЭБЗМР в рамках КБР вступит в новую фазу.</w:t>
        </w:r>
      </w:hyperlink>
    </w:p>
    <w:p w14:paraId="5E488A0E" w14:textId="3FB6646E" w:rsidR="00207FC0" w:rsidRPr="00381C59" w:rsidRDefault="00207FC0" w:rsidP="00381C59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hyperlink r:id="rId13" w:history="1">
        <w:r w:rsidRPr="00381C59">
          <w:rPr>
            <w:rStyle w:val="Hyperlink"/>
            <w:rFonts w:asciiTheme="minorBidi" w:hAnsiTheme="minorBidi" w:cstheme="minorBidi"/>
            <w:b/>
            <w:bCs/>
            <w:sz w:val="22"/>
            <w:szCs w:val="22"/>
            <w:lang w:val="ru-RU"/>
          </w:rPr>
          <w:t>Задача 6</w:t>
        </w:r>
      </w:hyperlink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КМГРПБ-2030 (инвазивные виды):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в рамках ОБИС на Фиджи была создана система раннего обнаружения таких видов с использованием </w:t>
      </w:r>
      <w:proofErr w:type="spellStart"/>
      <w:r w:rsidRPr="00381C59">
        <w:rPr>
          <w:rFonts w:asciiTheme="minorBidi" w:hAnsiTheme="minorBidi" w:cstheme="minorBidi"/>
          <w:sz w:val="22"/>
          <w:szCs w:val="22"/>
          <w:lang w:val="ru-RU"/>
        </w:rPr>
        <w:t>эДНК</w:t>
      </w:r>
      <w:proofErr w:type="spellEnd"/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, которая оказывает поддержку в представлении отчетности по этой задаче путем предоставления доступа к глобальным данным по обнаруженным морским видам, идеально подходящим для отслеживания перемещения инвазивных видов. ОБИС связана с базами данных инвазивных видов, на ее основе может быть разработан инструмент раннего оповещения для поддержки принятия решений государствами-членами. МОК предложила включить ОБИС в список источников, поставщиков и компиляторов данных для </w:t>
      </w:r>
      <w:hyperlink r:id="rId14" w:history="1">
        <w:r w:rsidRPr="00381C59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основного индикатора 6.1</w:t>
        </w:r>
      </w:hyperlink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(Число случаев интродукции инвазивных чужеродных видов). Кроме того, МОК является одним из соучредителей нескольких рабочих групп (в сотрудничестве с МСИМ и ИМО) по инвазивным видам и обрастанию судов, которые могут внести свой вклад как в мониторинг инвазивных видов, так и в их регулирование.</w:t>
      </w:r>
    </w:p>
    <w:p w14:paraId="1FE52689" w14:textId="5DA006F5" w:rsidR="00207FC0" w:rsidRPr="00381C59" w:rsidRDefault="00207FC0" w:rsidP="00381C59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hyperlink r:id="rId15" w:history="1">
        <w:r w:rsidRPr="00381C59">
          <w:rPr>
            <w:rStyle w:val="Hyperlink"/>
            <w:rFonts w:asciiTheme="minorBidi" w:hAnsiTheme="minorBidi" w:cstheme="minorBidi"/>
            <w:b/>
            <w:bCs/>
            <w:sz w:val="22"/>
            <w:szCs w:val="22"/>
            <w:lang w:val="ru-RU"/>
          </w:rPr>
          <w:t>Задача 7</w:t>
        </w:r>
      </w:hyperlink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КМГРПБ-2030 (Загрязнение): 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Глобальная система наблюдений за океаном (ГСНО) может предоставить данные наблюдений по связанным с цветением океана и фитопланктоном ОППО в поддержку разработки МОК индекса эвтрофикации, который будет использоваться для показателя 14.1.1 ЦУР и также может быть востребован в работе по задаче 7 КМГРПБ.</w:t>
      </w:r>
    </w:p>
    <w:p w14:paraId="1127DDC9" w14:textId="16AB46CE" w:rsidR="00A85C88" w:rsidRPr="00381C59" w:rsidRDefault="00207FC0" w:rsidP="00381C59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hyperlink r:id="rId16" w:history="1">
        <w:r w:rsidRPr="00381C59">
          <w:rPr>
            <w:rStyle w:val="Hyperlink"/>
            <w:rFonts w:asciiTheme="minorBidi" w:hAnsiTheme="minorBidi" w:cstheme="minorBidi"/>
            <w:b/>
            <w:bCs/>
            <w:sz w:val="22"/>
            <w:szCs w:val="22"/>
            <w:lang w:val="ru-RU"/>
          </w:rPr>
          <w:t>Задача 8b</w:t>
        </w:r>
      </w:hyperlink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КМГРПБ-2030 (Изменение климата и закисление океана):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МОК является учреждением, курирующим работу по показателю 14.3.1 ЦУР (Средняя кислотность (pH) морской воды), и представляет данные по этому показателю от имени государств-членов в рамках процессов ежегодной отчетности ООН. На КС-16 КБР были приняты вопросы по бинарному индикатору для задачи 8 относительно отслеживания странами последствий закисления океана для биоразнообразия и представления отчетности по ним. Поддержка МОК Глобальной системы наблюдений за закислением океана и программы Десятилетия океана 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Исследования закисления океана в целях обеспечения устойчивости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дает возможность оказать поддержку государствам-членам в выявлении последствий закисления океана для морского биоразнообразия. Средняя морская кислотность (pH) также определена в качестве дополнительного индикатора 8.CY.4. Работа, проводимая МОК, также способствует более широкому пониманию изменения климата и связанных с ним последствий.</w:t>
      </w:r>
    </w:p>
    <w:p w14:paraId="217FE39D" w14:textId="3F2833E3" w:rsidR="00207FC0" w:rsidRPr="00381C59" w:rsidRDefault="00207FC0" w:rsidP="00381C59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Задачи КМГРПБ-2030, касающиеся укрепления потенциала, сотрудничества и обмена информацией (задачи </w:t>
      </w:r>
      <w:hyperlink r:id="rId17" w:history="1">
        <w:r w:rsidRPr="00381C59">
          <w:rPr>
            <w:rStyle w:val="Hyperlink"/>
            <w:rFonts w:asciiTheme="minorBidi" w:hAnsiTheme="minorBidi" w:cstheme="minorBidi"/>
            <w:b/>
            <w:bCs/>
            <w:sz w:val="22"/>
            <w:szCs w:val="22"/>
            <w:lang w:val="ru-RU"/>
          </w:rPr>
          <w:t>20, 21.1</w:t>
        </w:r>
      </w:hyperlink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):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ОБИС конкретно упоминается в описании дополнительных индикаторов, касающихся обзора научного потенциала (задача</w:t>
      </w:r>
      <w:r w:rsidR="00C24500">
        <w:rPr>
          <w:rFonts w:asciiTheme="minorBidi" w:hAnsiTheme="minorBidi" w:cstheme="minorBidi"/>
          <w:sz w:val="22"/>
          <w:szCs w:val="22"/>
        </w:rPr>
        <w:t> 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20), и в описании основного индикатора 21.1 (наличие информации о биоразнообразии). В частности, речь идет о дополнительных индикаторах D.CY.2 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Количество совместных научных работ, опубликованных в ОБИС по секторам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, и 21.CY.3 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Увеличение регистрационных данных по распространенности морских видов, доступных в ОБИС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. Кроме того, портал метаданных ГСНО 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«</w:t>
      </w:r>
      <w:proofErr w:type="spellStart"/>
      <w:r w:rsidRPr="00381C59">
        <w:rPr>
          <w:rFonts w:asciiTheme="minorBidi" w:hAnsiTheme="minorBidi" w:cstheme="minorBidi"/>
          <w:sz w:val="22"/>
          <w:szCs w:val="22"/>
          <w:lang w:val="ru-RU"/>
        </w:rPr>
        <w:t>БиоЭко</w:t>
      </w:r>
      <w:proofErr w:type="spellEnd"/>
      <w:r w:rsidR="00342C6C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служит примером открытой глобальной базы метаданных, которая может использоваться для достижения основного индикатора 21.1.</w:t>
      </w:r>
    </w:p>
    <w:p w14:paraId="2548E9D5" w14:textId="57977630" w:rsidR="00FA58C5" w:rsidRPr="00381C59" w:rsidRDefault="00FA58C5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Стороны КБР согласовали новую процедуру определения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экологически или биологически значимых морских районов (ЭБЗМР)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. Они также утвердили механизмы добавления новых и пересмотра существующих ЭБЗМР, обеспечив составление каталогов информации об этих районах таким образом, чтобы они могли использоваться для поддержки планирования и управления на основе наиболее актуальных научных данных и знаний. Карты ОБИС и индексы биоразнообразия использовались в качестве основного источника информации для поддержки процедуры определения ЭБЗМР, а с введением новой процедуры они по-прежнему останутся одним из важнейших источников информации.</w:t>
      </w:r>
    </w:p>
    <w:p w14:paraId="74F132AD" w14:textId="6AF28BA2" w:rsidR="00A85C88" w:rsidRPr="00381C59" w:rsidRDefault="00207FC0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Секретариат МОК принял активное участие в 16-й Конференции Сторон (КС-16) Конвенции о биологическом разнообразии (21 октября</w:t>
      </w:r>
      <w:r w:rsidR="00381C59" w:rsidRPr="00381C59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381C59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381C59" w:rsidRPr="00381C59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1 ноября 2024 г., Кали, Колумбия,) и в совещании по завершению подготовки дополнительной программы работы, которое состоялось 25-27 февраля 2025 г. (Рим, Италия). В решении 16/31 КС КБР Конференция Сторон приветствовала руководство по системе мониторинга</w:t>
      </w:r>
      <w:r w:rsidR="00880DBF" w:rsidRPr="00381C59">
        <w:rPr>
          <w:rStyle w:val="FootnoteReference"/>
          <w:rFonts w:asciiTheme="minorBidi" w:hAnsiTheme="minorBidi" w:cstheme="minorBidi"/>
          <w:sz w:val="22"/>
          <w:szCs w:val="22"/>
          <w:lang w:val="ru-RU"/>
        </w:rPr>
        <w:footnoteReference w:id="1"/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, разработанное специальной технической группой экспертов по индикаторам для КМГРПБ. Данное руководство содержит информацию о том, как Стороны должны отслеживать свой прогресс в достижении целей и задач КМГРПБ и отчитываться о ходе работы. Важно отметить, что в этом руководстве содержатся непосредственные ссылки на Глобальную систему наблюдения за биоразнообразием (ГСНБ). В руководстве и в обсуждениях на КС-16, которые были положены в его основу, четко отмечено, что МОК уже создала океанический компонент ГСНБ на основе своих существующих систем ГСНО, ОБИС и ОДИС.</w:t>
      </w:r>
    </w:p>
    <w:p w14:paraId="2F260F66" w14:textId="12F49383" w:rsidR="00A85C88" w:rsidRPr="00381C59" w:rsidRDefault="00A85C88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Утвержденные на КС-16 механизмы планирования, мониторинга, представления отчетности и проведения обзоров также используют потоки данных и информации, которые предоставляет МОК. При составлении национальных докладов, которые являются основой для подготовки глобального обзора, Стороны должны использовать основные индикаторы, в том числе представлять данные по ним (из национальных, либо из соответствующих глобальных источников). Глобальный доклад будет основываться на анализе использования индикаторов и соответствующих национальных, региональных и международных научно-технических оценках. Важнейшим источником информации для этого процесса являются системы данных МОК, а также ее доклады (такие как Доклад о состоянии Мирового океана и Глобальный доклад о состоянии океанографии) и материалы для глобальных оценок. Создание специальной научно-технической консультативной группы по подготовке глобального доклада, которая будет предоставлять рекомендации по использованию индикаторов и опираться на вышеупомянутые источники, подчеркивает необходимость получения надежных данных и научных материалов от таких органов, как МОК.</w:t>
      </w:r>
    </w:p>
    <w:p w14:paraId="6D09EAA9" w14:textId="3B76A782" w:rsidR="00A85C88" w:rsidRPr="00381C59" w:rsidRDefault="00A85C88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Контекст, в котором проводилась КС-16, показал необходимость укрепления национальных систем мониторинга, улучшения международного сотрудничества и ликвидации дефицита потенциала. Благодаря своим национальным и региональным сетям ГСНО и ОБИС, МОК уже располагает возможностями оказания поддержки странам в этих областях, например, в создании национальных систем мониторинга морского биоразнообразия. Рамочную структуру Десятилетия ООН, посвященного науке об океане в интересах устойчивого развития, следует использовать как один из инструментов стимулирования принятия мер, способствующих устранению пробелов в области океанографии и в накопленных знаниях в целях осуществления ГРПБ и оказания поддержки Сторонам с помощью руководящих указаний (например, по интеграции вопросов океана в НСПДСБ) и специализированных продуктов по развитию потенциала.</w:t>
      </w:r>
    </w:p>
    <w:p w14:paraId="7349A640" w14:textId="0C6B202F" w:rsidR="0033102E" w:rsidRPr="00381C59" w:rsidRDefault="00225A41" w:rsidP="00381C59">
      <w:pPr>
        <w:spacing w:after="240"/>
        <w:jc w:val="both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B</w:t>
      </w:r>
      <w:r w:rsidR="003D5B0E" w:rsidRPr="003D5B0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–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Вклад в Соглашение о БПНЮ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7F1EF936" w14:textId="6A8232E7" w:rsidR="009E1609" w:rsidRPr="00EE7E81" w:rsidRDefault="0033102E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17409">
        <w:rPr>
          <w:rFonts w:asciiTheme="minorBidi" w:hAnsiTheme="minorBidi" w:cstheme="minorBidi"/>
          <w:sz w:val="22"/>
          <w:szCs w:val="22"/>
          <w:lang w:val="ru-RU"/>
        </w:rPr>
        <w:t>19 июня 2023 г., после почти двух десятилетий обсуждений и переговоров, правитель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ства приняли Соглашение о БПНЮ. Соглашение открыто для подписания до 20 сентября 2025</w:t>
      </w:r>
      <w:r w:rsidR="00381C59">
        <w:rPr>
          <w:rFonts w:asciiTheme="minorBidi" w:hAnsiTheme="minorBidi" w:cstheme="minorBidi"/>
          <w:sz w:val="22"/>
          <w:szCs w:val="22"/>
        </w:rPr>
        <w:t> 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г. По состоянию на 15 мая 2025 г. Соглашение подписали 115 стран, 21 из которых ратифицировала его. Соглашение вступит в силу через 120 дней после даты сдачи на хранение 60-й ратификационной грамоты или документа о принятии, утверждении или присоединении. После его вступления в силу будет организована первая Конференция Сторон Соглашения. С учетом нынешних темпов ратификации ожидается, что первая сессия Конференции Сторон Соглашения (КС-1) может состояться в конце 2026 г. Однако многие элементы, необходимые для того, чтобы Соглашение действительно могло применяться на практике, еще не согласованы. Для содействия прогрессу в работе над этими практическими компонентами Генеральная Ассамблея ООН созвала Подготовительную комиссию, которая провела свое первое заседание 14-25 апреля 2025 г. Было решено, что необходимо провести еще несколько заседаний: второе состоится в августе 2025 г., третье</w:t>
      </w:r>
      <w:r w:rsidR="00EE7E81" w:rsidRPr="00EE7E81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EE7E81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EE7E81" w:rsidRPr="00EE7E81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в марте/апреле 2026 г., а затем возможно проведение дополнительных заседаний. На первом заседании обсуждались следующие вопросы:</w:t>
      </w:r>
    </w:p>
    <w:p w14:paraId="624B7D62" w14:textId="77777777" w:rsidR="009E1609" w:rsidRPr="00381C59" w:rsidRDefault="009E1609" w:rsidP="00342C6C">
      <w:pPr>
        <w:numPr>
          <w:ilvl w:val="0"/>
          <w:numId w:val="6"/>
        </w:numPr>
        <w:tabs>
          <w:tab w:val="clear" w:pos="720"/>
        </w:tabs>
        <w:spacing w:after="240"/>
        <w:ind w:left="993" w:hanging="284"/>
        <w:textAlignment w:val="baseline"/>
        <w:rPr>
          <w:rFonts w:asciiTheme="minorBidi" w:hAnsiTheme="minorBidi" w:cstheme="minorBidi"/>
          <w:color w:val="000000"/>
          <w:spacing w:val="7"/>
          <w:sz w:val="22"/>
          <w:szCs w:val="22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правила процедуры КС;</w:t>
      </w:r>
    </w:p>
    <w:p w14:paraId="051600AE" w14:textId="77777777" w:rsidR="009E1609" w:rsidRPr="00381C59" w:rsidRDefault="009E1609" w:rsidP="00342C6C">
      <w:pPr>
        <w:numPr>
          <w:ilvl w:val="0"/>
          <w:numId w:val="6"/>
        </w:numPr>
        <w:tabs>
          <w:tab w:val="clear" w:pos="720"/>
        </w:tabs>
        <w:spacing w:after="240"/>
        <w:ind w:left="993" w:hanging="284"/>
        <w:textAlignment w:val="baseline"/>
        <w:rPr>
          <w:rFonts w:asciiTheme="minorBidi" w:hAnsiTheme="minorBidi" w:cstheme="minorBidi"/>
          <w:color w:val="000000"/>
          <w:spacing w:val="7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правила процедуры и порядок работы вспомогательных органов;</w:t>
      </w:r>
    </w:p>
    <w:p w14:paraId="3824D227" w14:textId="77777777" w:rsidR="009E1609" w:rsidRPr="00381C59" w:rsidRDefault="009E1609" w:rsidP="00342C6C">
      <w:pPr>
        <w:numPr>
          <w:ilvl w:val="0"/>
          <w:numId w:val="6"/>
        </w:numPr>
        <w:tabs>
          <w:tab w:val="clear" w:pos="720"/>
        </w:tabs>
        <w:spacing w:after="240"/>
        <w:ind w:left="993" w:hanging="284"/>
        <w:textAlignment w:val="baseline"/>
        <w:rPr>
          <w:rFonts w:asciiTheme="minorBidi" w:hAnsiTheme="minorBidi" w:cstheme="minorBidi"/>
          <w:color w:val="000000"/>
          <w:spacing w:val="7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организация работы секретариата, включая выбор места его расположения;</w:t>
      </w:r>
    </w:p>
    <w:p w14:paraId="779EEBD2" w14:textId="77777777" w:rsidR="009E1609" w:rsidRPr="00381C59" w:rsidRDefault="009E1609" w:rsidP="00342C6C">
      <w:pPr>
        <w:numPr>
          <w:ilvl w:val="0"/>
          <w:numId w:val="6"/>
        </w:numPr>
        <w:tabs>
          <w:tab w:val="clear" w:pos="720"/>
        </w:tabs>
        <w:spacing w:after="240"/>
        <w:ind w:left="993" w:hanging="284"/>
        <w:textAlignment w:val="baseline"/>
        <w:rPr>
          <w:rFonts w:asciiTheme="minorBidi" w:hAnsiTheme="minorBidi" w:cstheme="minorBidi"/>
          <w:color w:val="000000"/>
          <w:spacing w:val="7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финансирование секретариата, КС и вспомогательных органов;</w:t>
      </w:r>
    </w:p>
    <w:p w14:paraId="26C9C656" w14:textId="5F73CEC2" w:rsidR="009E1609" w:rsidRPr="00381C59" w:rsidRDefault="009E1609" w:rsidP="00342C6C">
      <w:pPr>
        <w:numPr>
          <w:ilvl w:val="0"/>
          <w:numId w:val="6"/>
        </w:numPr>
        <w:tabs>
          <w:tab w:val="clear" w:pos="720"/>
        </w:tabs>
        <w:spacing w:after="240"/>
        <w:ind w:left="993" w:hanging="284"/>
        <w:textAlignment w:val="baseline"/>
        <w:rPr>
          <w:rFonts w:asciiTheme="minorBidi" w:hAnsiTheme="minorBidi" w:cstheme="minorBidi"/>
          <w:color w:val="000000"/>
          <w:spacing w:val="7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договоренности с Глобальным экологическим фондом и условия финансирования; </w:t>
      </w:r>
    </w:p>
    <w:p w14:paraId="2842AAE8" w14:textId="23D9FEBD" w:rsidR="0033102E" w:rsidRPr="00381C59" w:rsidRDefault="009E1609" w:rsidP="00342C6C">
      <w:pPr>
        <w:numPr>
          <w:ilvl w:val="0"/>
          <w:numId w:val="6"/>
        </w:numPr>
        <w:tabs>
          <w:tab w:val="clear" w:pos="720"/>
        </w:tabs>
        <w:spacing w:after="240"/>
        <w:ind w:left="993" w:hanging="284"/>
        <w:textAlignment w:val="baseline"/>
        <w:rPr>
          <w:rFonts w:asciiTheme="minorBidi" w:hAnsiTheme="minorBidi" w:cstheme="minorBidi"/>
          <w:color w:val="000000"/>
          <w:spacing w:val="7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ввод в действие информационно-координационного механизма (ИКМ). </w:t>
      </w:r>
    </w:p>
    <w:p w14:paraId="480D7820" w14:textId="5DDDD0AE" w:rsidR="0033102E" w:rsidRPr="00381C59" w:rsidRDefault="00902165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pacing w:val="7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Первое заседание Подготовительной комиссии проводилось на основе справочного документа, подготовленного ее сопредседателями в целях содействия переговорному процессу, а также информационных справок, составленных Отделом по вопросам океана и морскому праву ООН (ОВОМП), который временно выполняет функции секретариата Соглашения. В ходе первого заседания делегации обменялись мнениями по вопросам, которые следует рассмотреть на втором заседании Подготовительной комиссии, включая сотрудничество с другими нормативными актами, структурами и органами, которое имеет решающее значение для беспрепятственного осуществления Соглашения. В преддверии второго заседания Подготовительной комиссии (запланированного на 18-29 августа 2025 г.) сопредседателям и ОВОМП было поручено подготовить:</w:t>
      </w:r>
    </w:p>
    <w:p w14:paraId="47C64841" w14:textId="77777777" w:rsidR="0033102E" w:rsidRPr="00381C59" w:rsidRDefault="0033102E" w:rsidP="00381C59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textAlignment w:val="baseline"/>
        <w:rPr>
          <w:rFonts w:asciiTheme="minorBidi" w:hAnsiTheme="minorBidi" w:cstheme="minorBidi"/>
          <w:color w:val="000000"/>
          <w:spacing w:val="7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таблицу с изложением предлагаемых правил процедуры и порядка работы каждого вспомогательного органа;</w:t>
      </w:r>
    </w:p>
    <w:p w14:paraId="1CCEBD48" w14:textId="77777777" w:rsidR="0033102E" w:rsidRPr="00381C59" w:rsidRDefault="0033102E" w:rsidP="00381C59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textAlignment w:val="baseline"/>
        <w:rPr>
          <w:rFonts w:asciiTheme="minorBidi" w:hAnsiTheme="minorBidi" w:cstheme="minorBidi"/>
          <w:color w:val="000000"/>
          <w:spacing w:val="7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сравнительное исследование </w:t>
      </w:r>
      <w:proofErr w:type="spellStart"/>
      <w:r w:rsidRPr="00381C59">
        <w:rPr>
          <w:rFonts w:asciiTheme="minorBidi" w:hAnsiTheme="minorBidi" w:cstheme="minorBidi"/>
          <w:sz w:val="22"/>
          <w:szCs w:val="22"/>
          <w:lang w:val="ru-RU"/>
        </w:rPr>
        <w:t>секретариатских</w:t>
      </w:r>
      <w:proofErr w:type="spellEnd"/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механизмов в других многосторонних экологических соглашениях (МЭС); </w:t>
      </w:r>
    </w:p>
    <w:p w14:paraId="42403A90" w14:textId="3B094B4C" w:rsidR="0033102E" w:rsidRPr="00381C59" w:rsidRDefault="0033102E" w:rsidP="00381C59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textAlignment w:val="baseline"/>
        <w:rPr>
          <w:rFonts w:asciiTheme="minorBidi" w:hAnsiTheme="minorBidi" w:cstheme="minorBidi"/>
          <w:color w:val="000000"/>
          <w:spacing w:val="7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проект круга ведения для группы по сбору экспертных материалов для ИКМ и функциональную схему работы ИКМ с определением его возможных связей с органами, созданными в рамках Соглашения.</w:t>
      </w:r>
    </w:p>
    <w:p w14:paraId="32C15E3E" w14:textId="122236CE" w:rsidR="0044325A" w:rsidRPr="00381C59" w:rsidRDefault="007A25D7" w:rsidP="00381C59">
      <w:pPr>
        <w:spacing w:after="240"/>
        <w:jc w:val="both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Потенциальная роль МОК и основные идеи для государств</w:t>
      </w:r>
      <w:r w:rsidR="00EE7E81" w:rsidRPr="00EE7E81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</w:t>
      </w:r>
      <w:r w:rsidR="00EE7E81">
        <w:rPr>
          <w:rFonts w:asciiTheme="minorBidi" w:hAnsiTheme="minorBidi" w:cstheme="minorBidi"/>
          <w:b/>
          <w:bCs/>
          <w:sz w:val="22"/>
          <w:szCs w:val="22"/>
          <w:lang w:val="ru-RU"/>
        </w:rPr>
        <w:t>–</w:t>
      </w:r>
      <w:r w:rsidR="00EE7E81" w:rsidRPr="00EE7E81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членов МОК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09234DD9" w14:textId="5DC57348" w:rsidR="0044325A" w:rsidRPr="00381C59" w:rsidRDefault="0044325A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МОК </w:t>
      </w:r>
      <w:r w:rsidR="00386C1A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единственное учреждение Организации Объединенных Наций, в мандат которого входят исключительно вопросы океана. Она обладает признанным техническим опытом по различным аспектам Соглашения о БПНЮ, включая координацию международных океанографических процессов, сбор, обработку и совместное использование океанографических данных, оценку национального и регионального потенциала в области океанографии, сбор информации о возможностях развития потенциала и разработку/реализацию адаптированных к конкретным потребностям инициатив по развитию потенциала и региональных механизмов совместной работы. В этой связи МОК признана ЮНКЛОС в качестве международной организации, обладающей компетенцией в области морских научных исследований и передачи морской технологии. В соответствии со своим Уставом (статья 11.3) МОК может также выступать в качестве объединенного специализированного механизма организаций системы JJY, которые договорились использовать Комиссию для выполнения некоторых из своих обязанностей в области морских наук и океанических служб, что позволяет ей обслуживать другие механизмы ООН путем предоставления научных и технических консультаций. В следующем разделе описывается потенциальный вклад МОК в четыре основных компонента Соглашения о БПНЮ:</w:t>
      </w:r>
    </w:p>
    <w:p w14:paraId="3B46AD22" w14:textId="36B759AB" w:rsidR="00225A41" w:rsidRPr="00381C59" w:rsidRDefault="0044325A" w:rsidP="003C47F4">
      <w:pPr>
        <w:pStyle w:val="ListParagraph"/>
        <w:numPr>
          <w:ilvl w:val="0"/>
          <w:numId w:val="12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snapToGrid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Морские генетические ресурсы (МГР): 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ОБИС предоставляет доступные во всем мире данные о морском биоразнообразии и поддерживает доступ к ним и совместное использование выгод. В ОБИС хранится информация о наблюдениях за видами (136 </w:t>
      </w:r>
      <w:proofErr w:type="gramStart"/>
      <w:r w:rsidRPr="00381C59">
        <w:rPr>
          <w:rFonts w:asciiTheme="minorBidi" w:hAnsiTheme="minorBidi" w:cstheme="minorBidi"/>
          <w:sz w:val="22"/>
          <w:szCs w:val="22"/>
          <w:lang w:val="ru-RU"/>
        </w:rPr>
        <w:t>млн.</w:t>
      </w:r>
      <w:proofErr w:type="gramEnd"/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), последовательностях ДНК (27 </w:t>
      </w:r>
      <w:proofErr w:type="gramStart"/>
      <w:r w:rsidRPr="00381C59">
        <w:rPr>
          <w:rFonts w:asciiTheme="minorBidi" w:hAnsiTheme="minorBidi" w:cstheme="minorBidi"/>
          <w:sz w:val="22"/>
          <w:szCs w:val="22"/>
          <w:lang w:val="ru-RU"/>
        </w:rPr>
        <w:t>млн.</w:t>
      </w:r>
      <w:proofErr w:type="gramEnd"/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) и морских видах (195 тыс.). Из всех имеющихся наблюдений в ОБИС включены данные свыше 9,5 </w:t>
      </w:r>
      <w:proofErr w:type="gramStart"/>
      <w:r w:rsidRPr="00381C59">
        <w:rPr>
          <w:rFonts w:asciiTheme="minorBidi" w:hAnsiTheme="minorBidi" w:cstheme="minorBidi"/>
          <w:sz w:val="22"/>
          <w:szCs w:val="22"/>
          <w:lang w:val="ru-RU"/>
        </w:rPr>
        <w:t>млн.</w:t>
      </w:r>
      <w:proofErr w:type="gramEnd"/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наблюдений в районах, имеющих отношение к Соглашению о БПНЮ, интегрированных из более чем 1200 наборов данных. В настоящее время ОБИС подключает функции поиска генетических данных на основе последовательности ДНК. МОК также проводит мероприятия по развитию потенциала, связанного с МГР, например, курсы подготовки по экологической ДНК. Таким образом, она выполняет функции архива данных и поддерживает обеспечение их прозрачности и справедливого доступа к информации о МГР, помогая выполнять обязательства, связанные с доступом и совместным использованием выгод;</w:t>
      </w:r>
    </w:p>
    <w:p w14:paraId="28AC4A3E" w14:textId="2DF7B769" w:rsidR="00225A41" w:rsidRPr="00381C59" w:rsidRDefault="0044325A" w:rsidP="003C47F4">
      <w:pPr>
        <w:pStyle w:val="ListParagraph"/>
        <w:numPr>
          <w:ilvl w:val="0"/>
          <w:numId w:val="12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snapToGrid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Зонально привязанные инструменты хозяйствования: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ГСНО обеспечивает наблюдения за океаном, которые могут быть использованы для определения, регулирования и оценки зонально привязанных инструментов хозяйствования, таких как морские охраняемые районы, создаваемые с целью сохранения и уменьшения стрессовых факторов для морского биоразнообразия. Выступая в качестве архива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наблюдений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за биоразнообразием, координируемых ГСНО, ОБИС может предоставить эти данные механизмам, которые используют их для определения и обновления зонально привязанных инструментов хозяйствования. МОК также предоставляет рамки для планирования зонально привязанных инструментов хозяйствования (такие как морское пространственное планирование) и выпускает продукты, в которых экологическая информация объединена с многочисленными биогеохимическими и физическими переменными, в целях обеспечения понимания изменений в морских системах и возможностей адаптации зонально привязанных инструментов хозяйствования в будущем;</w:t>
      </w:r>
    </w:p>
    <w:p w14:paraId="3C679E4A" w14:textId="524DEB0A" w:rsidR="00225A41" w:rsidRPr="00381C59" w:rsidRDefault="0044325A" w:rsidP="003C47F4">
      <w:pPr>
        <w:pStyle w:val="ListParagraph"/>
        <w:numPr>
          <w:ilvl w:val="0"/>
          <w:numId w:val="12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snapToGrid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Оценки воздействия на окружающую среду (ОВОС)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: МОК может внести свой вклад в поддержку проведения ОВОС, используя для этого различные способы. Наблюдения, собранные ГСНО и переданные через инфраструктуру МООД, будут иметь важное значение для понимания текущего состояния систем океана. В результате осуществления программ, соучредителем которых является МОК, мы получаем важнейшую информацию о текущих и прогнозируемых изменениях в этих системах, а инструменты, подобные тем, которые предоставляет программа 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«</w:t>
      </w:r>
      <w:hyperlink r:id="rId18" w:history="1">
        <w:r w:rsidRPr="00381C59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МПП Глобал</w:t>
        </w:r>
      </w:hyperlink>
      <w:r w:rsidR="00342C6C" w:rsidRPr="00342C6C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, позволяют оценить пространственную и временную взаимосвязь между хозяйственной деятельностью и океаническими системами.</w:t>
      </w:r>
    </w:p>
    <w:p w14:paraId="6BB7300B" w14:textId="124AABD3" w:rsidR="0044325A" w:rsidRPr="00381C59" w:rsidRDefault="0044325A" w:rsidP="003C47F4">
      <w:pPr>
        <w:pStyle w:val="ListParagraph"/>
        <w:numPr>
          <w:ilvl w:val="0"/>
          <w:numId w:val="12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snapToGrid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Наращивание потенциала и передача морской технологии (НППМТ): 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Глобальная академия 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Океан-Инструктор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(ГАОИ) проводит учебные курсы по науке об океане и основным темам Соглашения о БПНЮ с помощью 17 региональных и специализированных учебных центров по всему миру, что позволяет странам принимать полноценное участие в этих курсах и извлекать из них максимальную пользу. Центр развития потенциала в области океана (ЦРП-Океан) служит платформой для размещения предложений по развитию потенциала и может использоваться для составления таблиц потребностей в развитии потенциала для поддержки различных компонентов Соглашения о БПНЮ. В дополнение к этому он осуществляет координацию мероприятий по развитию потенциала в рамках Десятилетия океана ООН. МОК обеспечивает развитие потенциала и подготовку кадров, особенно молодых ученых, с помощью летних школ, организуемых в партнерстве с международными группами экспертов в области сбора наблюдений и управления ими, разработки информационных продуктов и преобразования научных данных в информацию, используемую для принятия решений. МОК имеет все возможности для развития морского научного потенциала с помощью этих программ. Описание видов деятельности по наращиванию морского потенциала и передаче технологии, приведенное в приложении к Соглашению, во многом опирается на </w:t>
      </w:r>
      <w:hyperlink r:id="rId19" w:history="1">
        <w:r w:rsidRPr="00381C59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Критерии и руководящие принципы МОК в отношении передачи морской технологии</w:t>
        </w:r>
      </w:hyperlink>
      <w:r w:rsidRPr="00381C59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389BCFE8" w14:textId="2AD68729" w:rsidR="00C60B6D" w:rsidRPr="00381C59" w:rsidRDefault="0044325A" w:rsidP="00381C59">
      <w:pPr>
        <w:autoSpaceDE w:val="0"/>
        <w:autoSpaceDN w:val="0"/>
        <w:adjustRightInd w:val="0"/>
        <w:spacing w:after="240"/>
        <w:jc w:val="both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Поддержка Информационно-координационного механизма Соглашения о БПНЮ</w:t>
      </w:r>
    </w:p>
    <w:p w14:paraId="6585F1CB" w14:textId="69ACE8AB" w:rsidR="008D0739" w:rsidRPr="00381C59" w:rsidRDefault="008D0739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МОК обладает обширным опытом в разработке, эксплуатации и объединении систем данных и информации, имеющих решающее значение для понимания океана и управления им. В Соглашении о БПНЮ предусмотрено, что управление ИКМ осуществляется секретариатом, при этом в статье 51 подчеркивается, что для этого механизма могло бы быть полезным сотрудничество с МОК. ИКМ Соглашения о БПНЮ призван служить централизованной платформой для организации доступа, предоставления и распространения Сторонами информации по четырем основным компонентам Соглашения. Технические возможности и экспертные компоненты МОК могли бы обеспечить поддержку функционирования ИКМ Соглашения о БПНЮ следующим образом:</w:t>
      </w:r>
    </w:p>
    <w:p w14:paraId="5E99EC36" w14:textId="30608CD9" w:rsidR="008D0739" w:rsidRPr="00381C59" w:rsidRDefault="008D0739" w:rsidP="00342C6C">
      <w:pPr>
        <w:pStyle w:val="ListParagraph"/>
        <w:numPr>
          <w:ilvl w:val="1"/>
          <w:numId w:val="13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snapToGrid/>
          <w:color w:val="000000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Портал метаданных группы по биологии и экосистемам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Глобальной системы наблюдений за океаном (ГСНО)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уже предоставляет информацию о программах биологического мониторинга во всем мире и может быть адаптирован для планирования и рассылки предварительных уведомлений в рамках Соглашения о БПНЮ. ГСНО также предоставляет данные и результаты научных исследований для определения, регулирования и оценки зонально привязанных инструментов хозяйствования и поддерживает проведение оценок воздействия на окружающую среду (ОВОС) с помощью научных данных и мониторинга.</w:t>
      </w:r>
    </w:p>
    <w:p w14:paraId="5207A9EF" w14:textId="5ED6C2D6" w:rsidR="008D0739" w:rsidRPr="00381C59" w:rsidRDefault="008D0739" w:rsidP="00342C6C">
      <w:pPr>
        <w:numPr>
          <w:ilvl w:val="1"/>
          <w:numId w:val="13"/>
        </w:numPr>
        <w:spacing w:after="240"/>
        <w:ind w:left="1134" w:hanging="567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Информационная система по океаническому биоразнообразию (ОБИС)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предоставляет доступные во всем мире данные о морском биоразнообразии на основе принципов FAIR и поддерживает обеспечение прозрачности данных и равноправного доступа к информации о морских генетических ресурсах (МГР). Она может оказать содействие в выполнении обязательств по обеспечению доступа и совместному использованию выгод, предоставляя стандартные серийные идентификаторы партий (ССИ) и поддерживая мониторинг. В ОБИС хранятся миллионы единиц наблюдений за видами и последовательностей ДНК, включая значительный объем данных по районам, находящимся за пределами национальной юрисдикции (РПНЮ). Она служит архивом данных и может предоставить исходные данные о биоразнообразии для определения, оценки и мониторинга зонально привязанных инструментов хозяйствования. ОБИС также предоставляет исходные данные и данные по тенденциям развития морской флоры и фауны для ОВОС. Она включена в список дополнительных индикаторов для задач КМГРПБ и признана одним из компонентов Глобальной системы наблюдений за биоразнообразием. Работа ОБИС соответствует функциям ИКМ, связанным с данными по МГР, прозрачностью и обменом научной информацией.</w:t>
      </w:r>
    </w:p>
    <w:p w14:paraId="03A1A4B9" w14:textId="113FB4DA" w:rsidR="00225A41" w:rsidRPr="00381C59" w:rsidRDefault="008D0739" w:rsidP="00342C6C">
      <w:pPr>
        <w:numPr>
          <w:ilvl w:val="1"/>
          <w:numId w:val="13"/>
        </w:numPr>
        <w:spacing w:after="240"/>
        <w:ind w:left="1134" w:hanging="567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В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Центре развития потенциала в области океана (ЦРП МОК) и Глобальной академии </w:t>
      </w:r>
      <w:r w:rsidR="00342C6C">
        <w:rPr>
          <w:rFonts w:asciiTheme="minorBidi" w:hAnsiTheme="minorBidi" w:cstheme="minorBidi"/>
          <w:b/>
          <w:bCs/>
          <w:sz w:val="22"/>
          <w:szCs w:val="22"/>
          <w:lang w:val="ru-RU"/>
        </w:rPr>
        <w:t>«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Океан-Инструктор</w:t>
      </w:r>
      <w:r w:rsidR="00342C6C">
        <w:rPr>
          <w:rFonts w:asciiTheme="minorBidi" w:hAnsiTheme="minorBidi" w:cstheme="minorBidi"/>
          <w:b/>
          <w:bCs/>
          <w:sz w:val="22"/>
          <w:szCs w:val="22"/>
          <w:lang w:val="ru-RU"/>
        </w:rPr>
        <w:t>»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(ГАОИ)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существует отдельное направление работы по развитию потенциала и передаче морской технологии (РППМТ) во всех областях компетенции МОК. ГАОИ проводит обучение с помощью региональных центров, внося непосредственный вклад в осуществление статьи 44 Соглашения о БПНЮ. Центр развития потенциала</w:t>
      </w:r>
      <w:r w:rsidR="001C1E22" w:rsidRPr="001C1E22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1C1E22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1C1E22" w:rsidRPr="001C1E22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это глобальный архив возможностей для развития потенциала, который составляет схемы соответствующих потребностей. Эта деятельность соответствует функциям ИКМ, связанным с запросами на РППМТ, существующими возможностями, обучением, источниками технологической информации и поиском финансирования.</w:t>
      </w:r>
    </w:p>
    <w:p w14:paraId="48434D5B" w14:textId="58F0C704" w:rsidR="008D0739" w:rsidRPr="00381C59" w:rsidRDefault="008D0739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Одна из ключевых функций ИКМ Соглашения о БПНЮ заключается в организации сопоставления потребностей в развитии потенциала с имеющимися возможностями поддержки и поставщиками соответствующих услуг. МОК располагает всеми возможностями для оказания поддержки на этом направлении.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ЦРП-Океан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, который недавно начал функционировать в экспериментальном режиме, был разработан как глобальный архив информации о развитии потенциала и призван облегчить поиск соответствующих возможностей и помочь поставщикам услуг в распространении информации об учебных курсах. В его задачи также входит выявление возможностей синергетического взаимодействия во избежание дублирования в работе организаций, предоставляющих возможности для РП.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Глобальный доклад о состоянии океанографии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(ГДСО) и регулярные оценки потребностей в РП, проводимые МОК, могут служить основой для оценки потребностей в рамках Соглашения о БПНЮ:</w:t>
      </w:r>
    </w:p>
    <w:p w14:paraId="58FB73E0" w14:textId="2966C7CE" w:rsidR="008D0739" w:rsidRPr="00381C59" w:rsidRDefault="008D0739" w:rsidP="00342C6C">
      <w:pPr>
        <w:numPr>
          <w:ilvl w:val="0"/>
          <w:numId w:val="5"/>
        </w:numPr>
        <w:tabs>
          <w:tab w:val="clear" w:pos="720"/>
        </w:tabs>
        <w:spacing w:after="240"/>
        <w:ind w:left="1134" w:hanging="567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Связь с соответствующими механизмами и базами данных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: предполагается, что ИКМ Соглашения о БПНЮ будет предоставлять ссылки на соответствующие глобальные, региональные, субрегиональные, национальные и отраслевые информационные механизмы и базы данных:</w:t>
      </w:r>
    </w:p>
    <w:p w14:paraId="41992DB8" w14:textId="27AC940A" w:rsidR="008D0739" w:rsidRPr="00381C59" w:rsidRDefault="008D0739" w:rsidP="00342C6C">
      <w:pPr>
        <w:numPr>
          <w:ilvl w:val="1"/>
          <w:numId w:val="14"/>
        </w:numPr>
        <w:spacing w:after="240"/>
        <w:ind w:left="1701" w:hanging="567"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Система океанографических данных и информации (ОДИС)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предоставляет техническую основу для обеспечения функциональной совместимости, соединяя распределенные информационные системы и центры данных. Это повышает удобство поиска информации об океане.</w:t>
      </w:r>
    </w:p>
    <w:p w14:paraId="2C7BC16A" w14:textId="7ADF02E1" w:rsidR="008D0739" w:rsidRPr="00381C59" w:rsidRDefault="008D0739" w:rsidP="00342C6C">
      <w:pPr>
        <w:numPr>
          <w:ilvl w:val="1"/>
          <w:numId w:val="14"/>
        </w:numPr>
        <w:spacing w:after="240"/>
        <w:ind w:left="1701" w:hanging="567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Информационный центр по океану (ИЦО)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функционирует как ориентированная на интересы пользователя система обмена данными, которая соединяется с несколькими 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ИКМ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с помощью технологии ОДИС. Цель ИЦО заключается в создании устойчивой, совместимой и инклюзивной цифровой экосистемы путем объединения существующих и новых систем данных, которые находятся в процессе создания. ОБИС уже поддерживает связи с соответствующими генетическими базами данных и интегрирует данные с таких платформ, как EBI/</w:t>
      </w:r>
      <w:proofErr w:type="spellStart"/>
      <w:r w:rsidRPr="00381C59">
        <w:rPr>
          <w:rFonts w:asciiTheme="minorBidi" w:hAnsiTheme="minorBidi" w:cstheme="minorBidi"/>
          <w:sz w:val="22"/>
          <w:szCs w:val="22"/>
          <w:lang w:val="ru-RU"/>
        </w:rPr>
        <w:t>MGnify</w:t>
      </w:r>
      <w:proofErr w:type="spellEnd"/>
      <w:r w:rsidRPr="00381C59">
        <w:rPr>
          <w:rFonts w:asciiTheme="minorBidi" w:hAnsiTheme="minorBidi" w:cstheme="minorBidi"/>
          <w:sz w:val="22"/>
          <w:szCs w:val="22"/>
          <w:lang w:val="ru-RU"/>
        </w:rPr>
        <w:t>. Эти системы непосредственно поддерживают функцию объединения и укрепления существующих учреждений и баз данных.</w:t>
      </w:r>
    </w:p>
    <w:p w14:paraId="22B7C39F" w14:textId="77777777" w:rsidR="008D0739" w:rsidRPr="00381C59" w:rsidRDefault="008D0739" w:rsidP="00342C6C">
      <w:pPr>
        <w:numPr>
          <w:ilvl w:val="0"/>
          <w:numId w:val="5"/>
        </w:numPr>
        <w:tabs>
          <w:tab w:val="clear" w:pos="720"/>
        </w:tabs>
        <w:spacing w:after="240"/>
        <w:ind w:left="1134" w:hanging="567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Содействие в обеспечении прозрачности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: повышение прозрачности является одним из требований к ИКМ Соглашения о БПНЮ, включая обмен исходными данными. Службы МОК, такие как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ОБИС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, разработаны с учетом принципов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FAIR 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(удобство поиска, доступность, функциональная совместимость и возможность многократного использования) и открытого доступа, что способствует обеспечению прозрачности.</w:t>
      </w:r>
    </w:p>
    <w:p w14:paraId="7ED86281" w14:textId="436EDDC5" w:rsidR="008D0739" w:rsidRPr="00381C59" w:rsidRDefault="008D0739" w:rsidP="00342C6C">
      <w:pPr>
        <w:numPr>
          <w:ilvl w:val="0"/>
          <w:numId w:val="5"/>
        </w:numPr>
        <w:tabs>
          <w:tab w:val="clear" w:pos="720"/>
        </w:tabs>
        <w:spacing w:after="240"/>
        <w:ind w:left="1134" w:hanging="567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Содействие международному сотрудничеству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: ИКМ должен способствовать международному сотрудничеству и совместной работе, в том числе по научным и техническим аспектам. МОК уже предоставляет глобальную платформу для этих целей с помощью своих программ и региональных вспомогательных органов. База данных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Океан-Эксперт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также поддерживает совместную работу путем ведения реестра экспертов.</w:t>
      </w:r>
    </w:p>
    <w:p w14:paraId="069F6177" w14:textId="670C01F3" w:rsidR="00225A41" w:rsidRPr="00381C59" w:rsidRDefault="008D0739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Службы МОК разработаны с учетом принципа справедливости, обеспечивают бесплатный и открытый доступ к данным в соответствии с принципами FAIR и оказывают адресную поддержку наименее развитым странам (НРС), малым островным развивающимся государствам (МОСРГ) и развивающимся странам с помощью недорогих технологий и экспериментального тестирования систем на региональном уровне, например ОДИС и ИЦО. Это полностью соответствует Соглашению о БПНЮ, в котором в полной мере признаются особые потребности развивающихся государств-участников и особое положение МОСРГ. Подготовительная комиссия признала центральную роль ИКМ в этой области и работает над созданием группы экспертов для дальнейшей работы на этом направлении. Технические специалисты МОК могли бы внести свой вклад в проведение исследований целесообразности или в работу экспертных групп, которые будут создаваться по инициативе Подготовительной комиссии. При наличии соответствующих финансовых ресурсов МОК могла бы оказать поддержку Соглашению о БПНЮ путем укрепления своих существующих служб, использования платформ для содействия обмену опытом и во избежание дублирования, а также путем повышения готовности с помощью своих существующих и действующих ИКМ.</w:t>
      </w:r>
    </w:p>
    <w:p w14:paraId="07EEB07C" w14:textId="3FAF2F6E" w:rsidR="0044325A" w:rsidRPr="00381C59" w:rsidRDefault="0044325A" w:rsidP="00381C59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Предоставление научно-технических рекомендаций на глобальном и региональном уровнях</w:t>
      </w:r>
    </w:p>
    <w:p w14:paraId="60F3F9F1" w14:textId="155CF797" w:rsidR="007D191A" w:rsidRPr="00381C59" w:rsidRDefault="0044325A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Планируется, что Научно-технический орган (НТО) Соглашения о БПНЮ будет представлять собой группу экспертов, назначаемых Сторонами, при этом он может обращаться за соответствующими консультациями к компетентным органам, включая органы ООН, такие как МОК. МОК могла бы также отвечать за научную составляющую предложений, разрабатываемых в ходе процесса консультаций (статья 18), хотя это будет менее заметно, чем непосредственное участие в работе НТО. МОК могла бы также оказывать помощь государствам-членам в подготовке предложений по зонально привязанным инструментам хозяйствования или в проведении ОВОС путем предоставления научных консультаций и данных, а также укрепления потенциала. В идеале МОК должна будет предоставлять экспертные услуги Комитету по наращиванию потенциала и передаче морской технологии. Глобальный доклад МОК ЮНЕСКО о состоянии океанографии (ГДСО) является важным источником информации для работы по Соглашению о БПНЮ, поскольку при его подготовке может проводиться оценка связанных с Соглашением научно-технических потребностей государств-членов. Региональные подкомиссии МОК могли бы играть важную роль, особенно в отношении ИКМ и наращивания потенциала и передачи морской технологии (НППМТ). Например, они могли бы оказывать поддержку в применении региональных подходов, основанных на совместной работе, укреплять потенциал государств-членов в научных аспектах реализации Соглашения о БПНЮ и тестировать региональные системы данных, связанные с глобальной системой.</w:t>
      </w:r>
    </w:p>
    <w:p w14:paraId="60FA969B" w14:textId="48E16F74" w:rsidR="005C6640" w:rsidRPr="00381C59" w:rsidRDefault="00225A41" w:rsidP="00381C59">
      <w:pPr>
        <w:spacing w:after="240"/>
        <w:jc w:val="both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С</w:t>
      </w:r>
      <w:r w:rsidR="003D5B0E" w:rsidRPr="003D5B0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</w:t>
      </w:r>
      <w:r w:rsidR="003D5B0E">
        <w:rPr>
          <w:rFonts w:asciiTheme="minorBidi" w:hAnsiTheme="minorBidi" w:cstheme="minorBidi"/>
          <w:b/>
          <w:bCs/>
          <w:sz w:val="22"/>
          <w:szCs w:val="22"/>
          <w:lang w:val="ru-RU"/>
        </w:rPr>
        <w:t>–</w:t>
      </w:r>
      <w:r w:rsidR="003D5B0E" w:rsidRPr="003D5B0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</w:t>
      </w:r>
      <w:r w:rsidRPr="00381C59">
        <w:rPr>
          <w:rFonts w:asciiTheme="minorBidi" w:hAnsiTheme="minorBidi" w:cstheme="minorBidi"/>
          <w:b/>
          <w:bCs/>
          <w:sz w:val="22"/>
          <w:szCs w:val="22"/>
          <w:lang w:val="ru-RU"/>
        </w:rPr>
        <w:t>Вклад в Рамочную конвенцию Организации Объединенных Наций об изменении климата</w:t>
      </w:r>
    </w:p>
    <w:p w14:paraId="7CD247A0" w14:textId="52B3B87E" w:rsidR="0065600E" w:rsidRPr="00381C59" w:rsidRDefault="00A6070C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Устав МОК согласуется с Конвенцией (в частности, с пунктами 1(g) и 1(h) статьи 4 и статьей 5) и Парижским соглашением и обеспечивает их поддержку. МОК признала важную взаимосвязь между МОК и РКИК ООН в решении IOC-XXX/5.2, касающемся вклада МОК в Рамочную конвенцию Организации Объединенных Наций об изменении климата (РКИК ООН). </w:t>
      </w:r>
    </w:p>
    <w:p w14:paraId="26ADFACB" w14:textId="774E0A1B" w:rsidR="00225A41" w:rsidRPr="00381C59" w:rsidRDefault="00A6070C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После принятия Ассамблеей этого решения был учрежден ряд заслуживающих </w:t>
      </w:r>
      <w:r w:rsidR="008F632F" w:rsidRPr="00381C59">
        <w:rPr>
          <w:rFonts w:asciiTheme="minorBidi" w:hAnsiTheme="minorBidi" w:cstheme="minorBidi"/>
          <w:sz w:val="22"/>
          <w:szCs w:val="22"/>
          <w:lang w:val="ru-RU"/>
        </w:rPr>
        <w:t xml:space="preserve">внимания </w:t>
      </w:r>
      <w:r>
        <w:fldChar w:fldCharType="begin"/>
      </w:r>
      <w:r>
        <w:instrText>HYPERLINK</w:instrText>
      </w:r>
      <w:r w:rsidRPr="00FF1B63">
        <w:rPr>
          <w:lang w:val="ru-RU"/>
        </w:rPr>
        <w:instrText xml:space="preserve"> "</w:instrText>
      </w:r>
      <w:r>
        <w:instrText>https</w:instrText>
      </w:r>
      <w:r w:rsidRPr="00FF1B63">
        <w:rPr>
          <w:lang w:val="ru-RU"/>
        </w:rPr>
        <w:instrText>://</w:instrText>
      </w:r>
      <w:r>
        <w:instrText>unfccc</w:instrText>
      </w:r>
      <w:r w:rsidRPr="00FF1B63">
        <w:rPr>
          <w:lang w:val="ru-RU"/>
        </w:rPr>
        <w:instrText>.</w:instrText>
      </w:r>
      <w:r>
        <w:instrText>int</w:instrText>
      </w:r>
      <w:r w:rsidRPr="00FF1B63">
        <w:rPr>
          <w:lang w:val="ru-RU"/>
        </w:rPr>
        <w:instrText>/</w:instrText>
      </w:r>
      <w:r>
        <w:instrText>topics</w:instrText>
      </w:r>
      <w:r w:rsidRPr="00FF1B63">
        <w:rPr>
          <w:lang w:val="ru-RU"/>
        </w:rPr>
        <w:instrText>/</w:instrText>
      </w:r>
      <w:r>
        <w:instrText>ocean</w:instrText>
      </w:r>
      <w:r w:rsidRPr="00FF1B63">
        <w:rPr>
          <w:lang w:val="ru-RU"/>
        </w:rPr>
        <w:instrText>" \</w:instrText>
      </w:r>
      <w:r>
        <w:instrText>l</w:instrText>
      </w:r>
      <w:r w:rsidRPr="00FF1B63">
        <w:rPr>
          <w:lang w:val="ru-RU"/>
        </w:rPr>
        <w:instrText xml:space="preserve"> "</w:instrText>
      </w:r>
      <w:r>
        <w:instrText>Mandates</w:instrText>
      </w:r>
      <w:r w:rsidRPr="00FF1B63">
        <w:rPr>
          <w:lang w:val="ru-RU"/>
        </w:rPr>
        <w:instrText>"</w:instrText>
      </w:r>
      <w:r>
        <w:fldChar w:fldCharType="separate"/>
      </w:r>
      <w:r w:rsidRPr="00381C59">
        <w:rPr>
          <w:rStyle w:val="Hyperlink"/>
          <w:rFonts w:asciiTheme="minorBidi" w:hAnsiTheme="minorBidi" w:cstheme="minorBidi"/>
          <w:sz w:val="22"/>
          <w:szCs w:val="22"/>
          <w:lang w:val="ru-RU"/>
        </w:rPr>
        <w:t>мандатов</w:t>
      </w:r>
      <w:r>
        <w:fldChar w:fldCharType="end"/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и мероприятий, в которых участвовал </w:t>
      </w:r>
      <w:proofErr w:type="gramStart"/>
      <w:r w:rsidRPr="00381C59">
        <w:rPr>
          <w:rFonts w:asciiTheme="minorBidi" w:hAnsiTheme="minorBidi" w:cstheme="minorBidi"/>
          <w:sz w:val="22"/>
          <w:szCs w:val="22"/>
          <w:lang w:val="ru-RU"/>
        </w:rPr>
        <w:t>Секретариат</w:t>
      </w:r>
      <w:proofErr w:type="gramEnd"/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МОК: </w:t>
      </w:r>
    </w:p>
    <w:p w14:paraId="29AEFC85" w14:textId="55BDCD99" w:rsidR="00225A41" w:rsidRPr="00381C59" w:rsidRDefault="00343AB3" w:rsidP="00342C6C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Климатический пакт Глазго 2021 г. (</w:t>
      </w:r>
      <w:hyperlink r:id="rId20" w:history="1">
        <w:r w:rsidRPr="00381C59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решение 1/CP.26</w:t>
        </w:r>
      </w:hyperlink>
      <w:r w:rsidRPr="00381C59">
        <w:rPr>
          <w:rFonts w:asciiTheme="minorBidi" w:hAnsiTheme="minorBidi" w:cstheme="minorBidi"/>
          <w:sz w:val="22"/>
          <w:szCs w:val="22"/>
          <w:lang w:val="ru-RU"/>
        </w:rPr>
        <w:t>) на постоянной основе закрепил включение усиленных мер, связанных с океаном, в многосторонний процесс РКИК ООН, включая ежегодный диалог по океану и изменению климата, проводимый в первый сессионный период каждого года, и включение связанных с океаном действий в соответствующие программы работы и деятельность официальных органов РКИК ООН.</w:t>
      </w:r>
    </w:p>
    <w:p w14:paraId="3E0AE928" w14:textId="0F0BCC2C" w:rsidR="00225A41" w:rsidRPr="00381C59" w:rsidRDefault="00343AB3" w:rsidP="00342C6C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В принятых на КС-27/ССС-4 в 2022 г. в Шарм-</w:t>
      </w:r>
      <w:proofErr w:type="spellStart"/>
      <w:r w:rsidRPr="00381C59">
        <w:rPr>
          <w:rFonts w:asciiTheme="minorBidi" w:hAnsiTheme="minorBidi" w:cstheme="minorBidi"/>
          <w:sz w:val="22"/>
          <w:szCs w:val="22"/>
          <w:lang w:val="ru-RU"/>
        </w:rPr>
        <w:t>эш</w:t>
      </w:r>
      <w:proofErr w:type="spellEnd"/>
      <w:r w:rsidRPr="00381C59">
        <w:rPr>
          <w:rFonts w:asciiTheme="minorBidi" w:hAnsiTheme="minorBidi" w:cstheme="minorBidi"/>
          <w:sz w:val="22"/>
          <w:szCs w:val="22"/>
          <w:lang w:val="ru-RU"/>
        </w:rPr>
        <w:t>-</w:t>
      </w:r>
      <w:proofErr w:type="spellStart"/>
      <w:r w:rsidRPr="00381C59">
        <w:rPr>
          <w:rFonts w:asciiTheme="minorBidi" w:hAnsiTheme="minorBidi" w:cstheme="minorBidi"/>
          <w:sz w:val="22"/>
          <w:szCs w:val="22"/>
          <w:lang w:val="ru-RU"/>
        </w:rPr>
        <w:t>Шейхском</w:t>
      </w:r>
      <w:proofErr w:type="spellEnd"/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плане осуществления КС (</w:t>
      </w:r>
      <w:hyperlink r:id="rId21" w:history="1">
        <w:r w:rsidRPr="00381C59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решение 1/СР.27</w:t>
        </w:r>
      </w:hyperlink>
      <w:r w:rsidRPr="00381C59">
        <w:rPr>
          <w:rFonts w:asciiTheme="minorBidi" w:hAnsiTheme="minorBidi" w:cstheme="minorBidi"/>
          <w:sz w:val="22"/>
          <w:szCs w:val="22"/>
          <w:lang w:val="ru-RU"/>
        </w:rPr>
        <w:t>, пункт 46) и Шарм-</w:t>
      </w:r>
      <w:proofErr w:type="spellStart"/>
      <w:r w:rsidRPr="00381C59">
        <w:rPr>
          <w:rFonts w:asciiTheme="minorBidi" w:hAnsiTheme="minorBidi" w:cstheme="minorBidi"/>
          <w:sz w:val="22"/>
          <w:szCs w:val="22"/>
          <w:lang w:val="ru-RU"/>
        </w:rPr>
        <w:t>эш</w:t>
      </w:r>
      <w:proofErr w:type="spellEnd"/>
      <w:r w:rsidRPr="00381C59">
        <w:rPr>
          <w:rFonts w:asciiTheme="minorBidi" w:hAnsiTheme="minorBidi" w:cstheme="minorBidi"/>
          <w:sz w:val="22"/>
          <w:szCs w:val="22"/>
          <w:lang w:val="ru-RU"/>
        </w:rPr>
        <w:t>-</w:t>
      </w:r>
      <w:proofErr w:type="spellStart"/>
      <w:r w:rsidRPr="00381C59">
        <w:rPr>
          <w:rFonts w:asciiTheme="minorBidi" w:hAnsiTheme="minorBidi" w:cstheme="minorBidi"/>
          <w:sz w:val="22"/>
          <w:szCs w:val="22"/>
          <w:lang w:val="ru-RU"/>
        </w:rPr>
        <w:t>Шейхском</w:t>
      </w:r>
      <w:proofErr w:type="spellEnd"/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плане осуществления ССС (решение </w:t>
      </w:r>
      <w:hyperlink r:id="rId22" w:history="1">
        <w:r w:rsidRPr="00381C59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1/CMA.4</w:t>
        </w:r>
      </w:hyperlink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, пункт 79) 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Сторонам рекомендуется учитывать, в соответствующих случаях, связанные с океаном действия в своих национальных климатических целях и в процессе реализации этих целей, включая, среди прочего, определяемые на национальном уровне вклады, долгосрочные стратегии и сообщения по вопросам адаптации</w:t>
      </w:r>
      <w:r w:rsidR="00342C6C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</w:p>
    <w:p w14:paraId="012AB2EF" w14:textId="6D86A0A7" w:rsidR="00225A41" w:rsidRPr="00381C59" w:rsidRDefault="00BD70C3" w:rsidP="00342C6C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В представленных на КС-28 результатах первого глобального подведения итогов выполнения Парижского соглашения (решение </w:t>
      </w:r>
      <w:hyperlink r:id="rId23" w:history="1">
        <w:r w:rsidRPr="00381C59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1/СМА.5</w:t>
        </w:r>
      </w:hyperlink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, пункт 180) приветствовались итоги </w:t>
      </w:r>
      <w:hyperlink r:id="rId24" w:history="1">
        <w:r w:rsidRPr="00381C59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диалога по океану</w:t>
        </w:r>
      </w:hyperlink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2023 г. и</w:t>
      </w:r>
      <w:r w:rsidR="00342C6C" w:rsidRPr="00342C6C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>изменению климата 2023 года и содержался призыв к дальнейшему укреплению, по мере</w:t>
      </w:r>
      <w:r w:rsidR="00342C6C" w:rsidRPr="00342C6C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необходимости, деятельности, связанной с океаном. </w:t>
      </w:r>
    </w:p>
    <w:p w14:paraId="7ED6BA18" w14:textId="274853F1" w:rsidR="006A3047" w:rsidRPr="00381C59" w:rsidRDefault="00BD70C3" w:rsidP="00342C6C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Глобальная цель по адаптации (ГЦА, статья 7.1 Парижского соглашения) заключается в укреплении адаптационных возможностей, повышении сопротивляемости и снижении уязвимости к изменениям климата. Глазго-Шарм-</w:t>
      </w:r>
      <w:proofErr w:type="spellStart"/>
      <w:r w:rsidRPr="00381C59">
        <w:rPr>
          <w:rFonts w:asciiTheme="minorBidi" w:hAnsiTheme="minorBidi" w:cstheme="minorBidi"/>
          <w:sz w:val="22"/>
          <w:szCs w:val="22"/>
          <w:lang w:val="ru-RU"/>
        </w:rPr>
        <w:t>эш</w:t>
      </w:r>
      <w:proofErr w:type="spellEnd"/>
      <w:r w:rsidRPr="00381C59">
        <w:rPr>
          <w:rFonts w:asciiTheme="minorBidi" w:hAnsiTheme="minorBidi" w:cstheme="minorBidi"/>
          <w:sz w:val="22"/>
          <w:szCs w:val="22"/>
          <w:lang w:val="ru-RU"/>
        </w:rPr>
        <w:t>-</w:t>
      </w:r>
      <w:proofErr w:type="spellStart"/>
      <w:r w:rsidRPr="00381C59">
        <w:rPr>
          <w:rFonts w:asciiTheme="minorBidi" w:hAnsiTheme="minorBidi" w:cstheme="minorBidi"/>
          <w:sz w:val="22"/>
          <w:szCs w:val="22"/>
          <w:lang w:val="ru-RU"/>
        </w:rPr>
        <w:t>Шейхская</w:t>
      </w:r>
      <w:proofErr w:type="spellEnd"/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программа работы по глобальной цели по адаптации заложила основу для процесса разъяснения рамок ГЦА. На КС-28 в решении </w:t>
      </w:r>
      <w:hyperlink r:id="rId25" w:history="1">
        <w:r w:rsidRPr="00381C59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2/CMA 5</w:t>
        </w:r>
      </w:hyperlink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 Стороны приняли Рамочную программу ОАЭ по обеспечению глобальной устойчивости к изменению климата, которая стала частью Консенсуса ОАЭ, а также учредили двухлетнюю программу работы ОАЭ-Белена по разработке индикаторов для измерения прогресса в достижении определенных в рамочной программе целевых показателей. Группы экспертов МОК оказывают техническую поддержку в этой работе. </w:t>
      </w:r>
    </w:p>
    <w:p w14:paraId="38CB8C99" w14:textId="31EF28C5" w:rsidR="00225A41" w:rsidRPr="00381C59" w:rsidRDefault="00225A41" w:rsidP="00342C6C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МОК также вносит свой вклад в диалог РКИК ООН по вопросам океана и климата, функционирующий с 2020 г.</w:t>
      </w:r>
    </w:p>
    <w:p w14:paraId="3F2372C7" w14:textId="35E45FE8" w:rsidR="00225A41" w:rsidRPr="00381C59" w:rsidRDefault="00225A41" w:rsidP="00381C59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В более долгосрочной перспективе МОК может помочь государствам-членам в координации данных и информации, необходимых для работы по вышеуказанным мандатам и процессам на международном, региональном и национальном уровнях, например:</w:t>
      </w:r>
    </w:p>
    <w:p w14:paraId="0FDF1551" w14:textId="0F485C2B" w:rsidR="00EF7D6C" w:rsidRPr="00381C59" w:rsidRDefault="00B503B5" w:rsidP="00342C6C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 xml:space="preserve">предоставлять консультации по включению вопросов океана в определяемые на национальном уровне вклады, в том числе в рамках соответствующих программ работы РКИК ООН; </w:t>
      </w:r>
    </w:p>
    <w:p w14:paraId="6C818515" w14:textId="5B5E59CD" w:rsidR="004854E5" w:rsidRPr="00381C59" w:rsidRDefault="00B503B5" w:rsidP="00342C6C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textAlignment w:val="baseline"/>
        <w:rPr>
          <w:rFonts w:asciiTheme="minorBidi" w:hAnsiTheme="minorBidi" w:cstheme="minorBidi"/>
          <w:sz w:val="22"/>
          <w:szCs w:val="22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предоставлять соответствующие данные по индикаторам, например, с помощью ГСНО и ОБИС;</w:t>
      </w:r>
    </w:p>
    <w:p w14:paraId="0B2C4677" w14:textId="3E19B175" w:rsidR="00BD70C3" w:rsidRPr="00381C59" w:rsidRDefault="00B503B5" w:rsidP="00342C6C">
      <w:pPr>
        <w:numPr>
          <w:ilvl w:val="0"/>
          <w:numId w:val="5"/>
        </w:numPr>
        <w:tabs>
          <w:tab w:val="clear" w:pos="720"/>
        </w:tabs>
        <w:spacing w:after="240"/>
        <w:ind w:left="993" w:hanging="426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381C59">
        <w:rPr>
          <w:rFonts w:asciiTheme="minorBidi" w:hAnsiTheme="minorBidi" w:cstheme="minorBidi"/>
          <w:sz w:val="22"/>
          <w:szCs w:val="22"/>
          <w:lang w:val="ru-RU"/>
        </w:rPr>
        <w:t>оказывать помощь странам в совместной разработке мероприятий, связанных с океаном, направленных, в частности, на углубление научных знаний, смягчение последствий стихийных бедствий, адаптацию к ним и снижение риска бедствий.</w:t>
      </w:r>
    </w:p>
    <w:p w14:paraId="14DCF385" w14:textId="3C97E819" w:rsidR="00BD70C3" w:rsidRPr="00381C59" w:rsidRDefault="00BD70C3" w:rsidP="00381C59">
      <w:pPr>
        <w:pStyle w:val="ListParagraph"/>
        <w:spacing w:after="24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</w:p>
    <w:p w14:paraId="75F49C06" w14:textId="77777777" w:rsidR="00343AB3" w:rsidRPr="00381C59" w:rsidRDefault="00343AB3" w:rsidP="00381C59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</w:p>
    <w:sectPr w:rsidR="00343AB3" w:rsidRPr="00381C59" w:rsidSect="00381C59">
      <w:headerReference w:type="even" r:id="rId26"/>
      <w:headerReference w:type="default" r:id="rId27"/>
      <w:headerReference w:type="first" r:id="rId28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2DE7" w14:textId="77777777" w:rsidR="00BF1CC3" w:rsidRDefault="00BF1CC3">
      <w:r>
        <w:separator/>
      </w:r>
    </w:p>
  </w:endnote>
  <w:endnote w:type="continuationSeparator" w:id="0">
    <w:p w14:paraId="1D61BA9E" w14:textId="77777777" w:rsidR="00BF1CC3" w:rsidRDefault="00BF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8CDD" w14:textId="77777777" w:rsidR="00BF1CC3" w:rsidRDefault="00BF1CC3">
      <w:r>
        <w:separator/>
      </w:r>
    </w:p>
  </w:footnote>
  <w:footnote w:type="continuationSeparator" w:id="0">
    <w:p w14:paraId="41AF95CE" w14:textId="77777777" w:rsidR="00BF1CC3" w:rsidRDefault="00BF1CC3">
      <w:r>
        <w:continuationSeparator/>
      </w:r>
    </w:p>
  </w:footnote>
  <w:footnote w:id="1">
    <w:p w14:paraId="54539463" w14:textId="6AE40150" w:rsidR="00880DBF" w:rsidRPr="00381C59" w:rsidRDefault="00880DBF">
      <w:pPr>
        <w:pStyle w:val="FootnoteText"/>
        <w:rPr>
          <w:rFonts w:asciiTheme="minorBidi" w:hAnsiTheme="minorBidi" w:cstheme="minorBidi"/>
        </w:rPr>
      </w:pPr>
      <w:r w:rsidRPr="00381C59">
        <w:rPr>
          <w:rStyle w:val="FootnoteReference"/>
          <w:rFonts w:asciiTheme="minorBidi" w:hAnsiTheme="minorBidi" w:cstheme="minorBidi"/>
          <w:lang w:val="ru-RU"/>
        </w:rPr>
        <w:footnoteRef/>
      </w:r>
      <w:r w:rsidRPr="00381C59">
        <w:rPr>
          <w:rFonts w:asciiTheme="minorBidi" w:hAnsiTheme="minorBidi" w:cstheme="minorBidi"/>
          <w:lang w:val="ru-RU"/>
        </w:rPr>
        <w:t xml:space="preserve"> </w:t>
      </w:r>
      <w:r w:rsidR="00381C59">
        <w:rPr>
          <w:rFonts w:asciiTheme="minorBidi" w:hAnsiTheme="minorBidi" w:cstheme="minorBidi"/>
          <w:lang w:val="en-US"/>
        </w:rPr>
        <w:tab/>
      </w:r>
      <w:r w:rsidRPr="00381C59">
        <w:rPr>
          <w:rFonts w:asciiTheme="minorBidi" w:hAnsiTheme="minorBidi" w:cstheme="minorBidi"/>
          <w:u w:val="single"/>
          <w:lang w:val="ru-RU"/>
        </w:rPr>
        <w:t>https://www.cbd.int/doc/c/85eb/18f4/797b0b3e3accf4f07746e773/cop-16-inf-04-en.pdf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7710" w14:textId="77777777" w:rsidR="00020AA1" w:rsidRPr="008F632F" w:rsidRDefault="00020AA1">
    <w:pPr>
      <w:pStyle w:val="Header"/>
      <w:rPr>
        <w:szCs w:val="22"/>
        <w:lang w:val="en-US"/>
      </w:rPr>
    </w:pPr>
    <w:r w:rsidRPr="008F632F">
      <w:rPr>
        <w:lang w:val="en-US"/>
      </w:rPr>
      <w:t>ICG/CARIBE-EWS II/WD __</w:t>
    </w:r>
  </w:p>
  <w:p w14:paraId="3F126825" w14:textId="77777777" w:rsidR="00020AA1" w:rsidRPr="00C962F0" w:rsidRDefault="00020AA1">
    <w:pPr>
      <w:pStyle w:val="Header"/>
      <w:rPr>
        <w:szCs w:val="22"/>
      </w:rPr>
    </w:pPr>
    <w:r w:rsidRPr="00C962F0">
      <w:rPr>
        <w:szCs w:val="22"/>
      </w:rPr>
      <w:t>Page </w:t>
    </w:r>
    <w:r w:rsidRPr="00C962F0">
      <w:rPr>
        <w:rStyle w:val="PageNumber"/>
        <w:szCs w:val="22"/>
      </w:rPr>
      <w:fldChar w:fldCharType="begin"/>
    </w:r>
    <w:r w:rsidRPr="00C962F0">
      <w:rPr>
        <w:rStyle w:val="PageNumber"/>
        <w:szCs w:val="22"/>
      </w:rPr>
      <w:instrText xml:space="preserve"> PAGE </w:instrText>
    </w:r>
    <w:r w:rsidRPr="00C962F0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2</w:t>
    </w:r>
    <w:r w:rsidRPr="00C962F0">
      <w:rPr>
        <w:rStyle w:val="PageNumber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FA00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rPr>
        <w:lang w:val="ru-RU"/>
      </w:rPr>
      <w:t>IOC-XXIV/2 Annex __</w:t>
    </w:r>
  </w:p>
  <w:p w14:paraId="3E5FB6C7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 w:rsidRPr="00746B89">
      <w:rPr>
        <w:szCs w:val="22"/>
      </w:rPr>
      <w:t>Page </w:t>
    </w:r>
    <w:r w:rsidRPr="00746B89">
      <w:rPr>
        <w:rStyle w:val="PageNumber"/>
        <w:szCs w:val="22"/>
      </w:rPr>
      <w:fldChar w:fldCharType="begin"/>
    </w:r>
    <w:r w:rsidRPr="00746B89">
      <w:rPr>
        <w:rStyle w:val="PageNumber"/>
        <w:szCs w:val="22"/>
      </w:rPr>
      <w:instrText xml:space="preserve"> PAGE </w:instrText>
    </w:r>
    <w:r w:rsidRPr="00746B89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3</w:t>
    </w:r>
    <w:r w:rsidRPr="00746B89">
      <w:rPr>
        <w:rStyle w:val="PageNumber"/>
        <w:szCs w:val="22"/>
      </w:rPr>
      <w:fldChar w:fldCharType="end"/>
    </w:r>
  </w:p>
  <w:p w14:paraId="78F3D5E5" w14:textId="77777777" w:rsidR="00020AA1" w:rsidRPr="00DF2FB9" w:rsidRDefault="00020AA1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4C7A" w14:textId="228BFD61" w:rsidR="00B8392A" w:rsidRPr="00381C59" w:rsidRDefault="00B8392A" w:rsidP="000D65C4">
    <w:pPr>
      <w:pStyle w:val="Marge"/>
      <w:tabs>
        <w:tab w:val="left" w:pos="6946"/>
        <w:tab w:val="left" w:pos="7560"/>
      </w:tabs>
      <w:spacing w:after="0"/>
      <w:rPr>
        <w:rFonts w:asciiTheme="minorBidi" w:hAnsiTheme="minorBidi" w:cstheme="minorBidi"/>
        <w:b/>
        <w:bCs/>
        <w:sz w:val="28"/>
        <w:szCs w:val="28"/>
        <w:lang w:val="ru-RU"/>
      </w:rPr>
    </w:pPr>
    <w:r w:rsidRPr="0066773D">
      <w:rPr>
        <w:rFonts w:asciiTheme="minorBidi" w:hAnsiTheme="minorBidi" w:cstheme="minorBidi"/>
        <w:sz w:val="22"/>
        <w:szCs w:val="22"/>
        <w:lang w:val="ru-RU"/>
      </w:rPr>
      <w:t>Рассылается по списку</w:t>
    </w:r>
    <w:r w:rsidRPr="00381C59">
      <w:rPr>
        <w:rFonts w:asciiTheme="minorBidi" w:hAnsiTheme="minorBidi" w:cstheme="minorBidi"/>
        <w:lang w:val="ru-RU"/>
      </w:rPr>
      <w:tab/>
    </w:r>
    <w:r w:rsidRPr="00381C59">
      <w:rPr>
        <w:rFonts w:asciiTheme="minorBidi" w:hAnsiTheme="minorBidi" w:cstheme="minorBidi"/>
        <w:b/>
        <w:bCs/>
        <w:sz w:val="28"/>
        <w:szCs w:val="28"/>
        <w:lang w:val="ru-RU"/>
      </w:rPr>
      <w:t>IOC/A-33/4.</w:t>
    </w:r>
    <w:proofErr w:type="gramStart"/>
    <w:r w:rsidRPr="00381C59">
      <w:rPr>
        <w:rFonts w:asciiTheme="minorBidi" w:hAnsiTheme="minorBidi" w:cstheme="minorBidi"/>
        <w:b/>
        <w:bCs/>
        <w:sz w:val="28"/>
        <w:szCs w:val="28"/>
        <w:lang w:val="ru-RU"/>
      </w:rPr>
      <w:t>7.Doc</w:t>
    </w:r>
    <w:proofErr w:type="gramEnd"/>
    <w:r w:rsidRPr="00381C59">
      <w:rPr>
        <w:rFonts w:asciiTheme="minorBidi" w:hAnsiTheme="minorBidi" w:cstheme="minorBidi"/>
        <w:b/>
        <w:bCs/>
        <w:sz w:val="28"/>
        <w:szCs w:val="28"/>
        <w:lang w:val="ru-RU"/>
      </w:rPr>
      <w:t>(1)</w:t>
    </w:r>
  </w:p>
  <w:p w14:paraId="60B0CDF8" w14:textId="2B938E42" w:rsidR="00B8392A" w:rsidRPr="0066773D" w:rsidRDefault="00B8392A" w:rsidP="000D65C4">
    <w:pPr>
      <w:tabs>
        <w:tab w:val="left" w:pos="6946"/>
        <w:tab w:val="left" w:pos="7560"/>
      </w:tabs>
      <w:jc w:val="both"/>
      <w:rPr>
        <w:rFonts w:asciiTheme="minorBidi" w:hAnsiTheme="minorBidi" w:cstheme="minorBidi"/>
        <w:sz w:val="22"/>
        <w:szCs w:val="22"/>
        <w:lang w:val="ru-RU"/>
      </w:rPr>
    </w:pPr>
    <w:r w:rsidRPr="00381C59">
      <w:rPr>
        <w:rFonts w:asciiTheme="minorBidi" w:hAnsiTheme="minorBidi" w:cstheme="minorBidi"/>
        <w:noProof/>
        <w:lang w:val="ru-RU"/>
      </w:rPr>
      <w:drawing>
        <wp:anchor distT="0" distB="0" distL="114300" distR="114300" simplePos="0" relativeHeight="251659264" behindDoc="0" locked="0" layoutInCell="1" allowOverlap="1" wp14:anchorId="1967284D" wp14:editId="2581CAFF">
          <wp:simplePos x="0" y="0"/>
          <wp:positionH relativeFrom="column">
            <wp:posOffset>-19685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216067614" name="Picture 21606761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C59">
      <w:rPr>
        <w:rFonts w:asciiTheme="minorBidi" w:hAnsiTheme="minorBidi" w:cstheme="minorBidi"/>
        <w:lang w:val="ru-RU"/>
      </w:rPr>
      <w:tab/>
    </w:r>
    <w:r w:rsidRPr="0066773D">
      <w:rPr>
        <w:rFonts w:asciiTheme="minorBidi" w:hAnsiTheme="minorBidi" w:cstheme="minorBidi"/>
        <w:sz w:val="22"/>
        <w:szCs w:val="22"/>
        <w:lang w:val="ru-RU"/>
      </w:rPr>
      <w:t>Париж, 17 июня 2025 г.</w:t>
    </w:r>
  </w:p>
  <w:p w14:paraId="79DA8147" w14:textId="77777777" w:rsidR="00B8392A" w:rsidRPr="0066773D" w:rsidRDefault="00B8392A" w:rsidP="000D65C4">
    <w:pPr>
      <w:tabs>
        <w:tab w:val="left" w:pos="6946"/>
        <w:tab w:val="left" w:pos="7560"/>
      </w:tabs>
      <w:jc w:val="both"/>
      <w:rPr>
        <w:rFonts w:asciiTheme="minorBidi" w:hAnsiTheme="minorBidi" w:cstheme="minorBidi"/>
        <w:sz w:val="22"/>
        <w:szCs w:val="22"/>
        <w:lang w:val="ru-RU"/>
      </w:rPr>
    </w:pPr>
    <w:r w:rsidRPr="0066773D">
      <w:rPr>
        <w:rFonts w:asciiTheme="minorBidi" w:hAnsiTheme="minorBidi" w:cstheme="minorBidi"/>
        <w:sz w:val="22"/>
        <w:szCs w:val="22"/>
        <w:lang w:val="ru-RU"/>
      </w:rPr>
      <w:tab/>
      <w:t>Оригинал: английский</w:t>
    </w:r>
  </w:p>
  <w:p w14:paraId="4E9E66FF" w14:textId="77777777" w:rsidR="00B8392A" w:rsidRPr="00381C59" w:rsidRDefault="00B8392A" w:rsidP="00B8392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7020"/>
        <w:tab w:val="left" w:pos="7088"/>
      </w:tabs>
      <w:jc w:val="both"/>
      <w:rPr>
        <w:rFonts w:asciiTheme="minorBidi" w:hAnsiTheme="minorBidi" w:cstheme="minorBidi"/>
        <w:b/>
        <w:szCs w:val="22"/>
        <w:lang w:val="ru-RU"/>
      </w:rPr>
    </w:pPr>
  </w:p>
  <w:p w14:paraId="2DE21530" w14:textId="77777777" w:rsidR="00B8392A" w:rsidRPr="00381C59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/>
        <w:szCs w:val="22"/>
        <w:lang w:val="ru-RU"/>
      </w:rPr>
    </w:pPr>
  </w:p>
  <w:p w14:paraId="55539007" w14:textId="77777777" w:rsidR="00B8392A" w:rsidRPr="00381C59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/>
        <w:szCs w:val="22"/>
        <w:lang w:val="ru-RU"/>
      </w:rPr>
    </w:pPr>
  </w:p>
  <w:p w14:paraId="01C9423A" w14:textId="77777777" w:rsidR="00B8392A" w:rsidRPr="00381C59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/>
        <w:szCs w:val="22"/>
        <w:lang w:val="ru-RU"/>
      </w:rPr>
    </w:pPr>
  </w:p>
  <w:p w14:paraId="20FE4AD8" w14:textId="77777777" w:rsidR="00B8392A" w:rsidRPr="00381C59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/>
        <w:szCs w:val="22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58A5" w14:textId="60EDFD1B" w:rsidR="00020AA1" w:rsidRPr="000D65C4" w:rsidRDefault="00B7073F" w:rsidP="00B526D0">
    <w:pPr>
      <w:pStyle w:val="Header"/>
      <w:rPr>
        <w:rFonts w:ascii="Arial" w:hAnsi="Arial" w:cs="Arial"/>
        <w:sz w:val="20"/>
        <w:szCs w:val="20"/>
        <w:lang w:val="pt-PT"/>
      </w:rPr>
    </w:pPr>
    <w:r w:rsidRPr="000D65C4">
      <w:rPr>
        <w:rFonts w:ascii="Arial" w:hAnsi="Arial" w:cs="Arial"/>
        <w:sz w:val="20"/>
        <w:szCs w:val="20"/>
      </w:rPr>
      <w:t>I</w:t>
    </w:r>
    <w:r w:rsidRPr="000D65C4">
      <w:rPr>
        <w:rStyle w:val="normaltextrun"/>
        <w:rFonts w:ascii="Arial" w:hAnsi="Arial" w:cs="Arial"/>
        <w:color w:val="000000"/>
        <w:sz w:val="20"/>
        <w:szCs w:val="20"/>
      </w:rPr>
      <w:t>OC/A-33/4.</w:t>
    </w:r>
    <w:proofErr w:type="gramStart"/>
    <w:r w:rsidRPr="000D65C4">
      <w:rPr>
        <w:rStyle w:val="normaltextrun"/>
        <w:rFonts w:ascii="Arial" w:hAnsi="Arial" w:cs="Arial"/>
        <w:color w:val="000000"/>
        <w:sz w:val="20"/>
        <w:szCs w:val="20"/>
      </w:rPr>
      <w:t>1.Doc</w:t>
    </w:r>
    <w:proofErr w:type="gramEnd"/>
    <w:r w:rsidRPr="000D65C4">
      <w:rPr>
        <w:rStyle w:val="normaltextrun"/>
        <w:rFonts w:ascii="Arial" w:hAnsi="Arial" w:cs="Arial"/>
        <w:color w:val="000000"/>
        <w:sz w:val="20"/>
        <w:szCs w:val="20"/>
      </w:rPr>
      <w:t>(1)</w:t>
    </w:r>
    <w:r w:rsidR="00B526D0" w:rsidRPr="000D65C4">
      <w:rPr>
        <w:rStyle w:val="normaltextrun"/>
        <w:rFonts w:ascii="Arial" w:hAnsi="Arial" w:cs="Arial"/>
        <w:color w:val="000000"/>
        <w:sz w:val="20"/>
        <w:szCs w:val="20"/>
      </w:rPr>
      <w:t xml:space="preserve"> – </w:t>
    </w:r>
    <w:r w:rsidR="00003B31" w:rsidRPr="000D65C4">
      <w:rPr>
        <w:rFonts w:ascii="Arial" w:hAnsi="Arial" w:cs="Arial"/>
        <w:sz w:val="20"/>
        <w:szCs w:val="20"/>
        <w:lang w:val="pt-PT"/>
      </w:rPr>
      <w:t>p</w:t>
    </w:r>
    <w:r w:rsidR="00020AA1" w:rsidRPr="000D65C4">
      <w:rPr>
        <w:rFonts w:ascii="Arial" w:hAnsi="Arial" w:cs="Arial"/>
        <w:sz w:val="20"/>
        <w:szCs w:val="20"/>
        <w:lang w:val="pt-PT"/>
      </w:rPr>
      <w:t>age </w:t>
    </w:r>
    <w:r w:rsidR="00020AA1" w:rsidRPr="000D65C4">
      <w:rPr>
        <w:rStyle w:val="PageNumber"/>
        <w:rFonts w:ascii="Arial" w:hAnsi="Arial" w:cs="Arial"/>
        <w:sz w:val="20"/>
        <w:szCs w:val="20"/>
      </w:rPr>
      <w:fldChar w:fldCharType="begin"/>
    </w:r>
    <w:r w:rsidR="00020AA1" w:rsidRPr="000D65C4">
      <w:rPr>
        <w:rStyle w:val="PageNumber"/>
        <w:rFonts w:ascii="Arial" w:hAnsi="Arial" w:cs="Arial"/>
        <w:sz w:val="20"/>
        <w:szCs w:val="20"/>
        <w:lang w:val="pt-PT"/>
      </w:rPr>
      <w:instrText xml:space="preserve"> PAGE </w:instrText>
    </w:r>
    <w:r w:rsidR="00020AA1" w:rsidRPr="000D65C4">
      <w:rPr>
        <w:rStyle w:val="PageNumber"/>
        <w:rFonts w:ascii="Arial" w:hAnsi="Arial" w:cs="Arial"/>
        <w:sz w:val="20"/>
        <w:szCs w:val="20"/>
      </w:rPr>
      <w:fldChar w:fldCharType="separate"/>
    </w:r>
    <w:r w:rsidR="00056F67" w:rsidRPr="000D65C4">
      <w:rPr>
        <w:rStyle w:val="PageNumber"/>
        <w:rFonts w:ascii="Arial" w:hAnsi="Arial" w:cs="Arial"/>
        <w:noProof/>
        <w:sz w:val="20"/>
        <w:szCs w:val="20"/>
        <w:lang w:val="pt-PT"/>
      </w:rPr>
      <w:t>2</w:t>
    </w:r>
    <w:r w:rsidR="00020AA1" w:rsidRPr="000D65C4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F2C" w14:textId="18738B72" w:rsidR="00020AA1" w:rsidRPr="000D65C4" w:rsidRDefault="00B7073F" w:rsidP="00381C59">
    <w:pPr>
      <w:pStyle w:val="Header"/>
      <w:tabs>
        <w:tab w:val="clear" w:pos="8306"/>
      </w:tabs>
      <w:jc w:val="right"/>
      <w:rPr>
        <w:rFonts w:ascii="Arial" w:hAnsi="Arial" w:cs="Arial"/>
        <w:szCs w:val="22"/>
      </w:rPr>
    </w:pPr>
    <w:r w:rsidRPr="000D65C4">
      <w:rPr>
        <w:rFonts w:ascii="Arial" w:hAnsi="Arial" w:cs="Arial"/>
        <w:sz w:val="20"/>
        <w:szCs w:val="20"/>
      </w:rPr>
      <w:t>I</w:t>
    </w:r>
    <w:r w:rsidRPr="000D65C4">
      <w:rPr>
        <w:rStyle w:val="normaltextrun"/>
        <w:rFonts w:ascii="Arial" w:hAnsi="Arial" w:cs="Arial"/>
        <w:color w:val="000000"/>
        <w:sz w:val="20"/>
        <w:szCs w:val="20"/>
      </w:rPr>
      <w:t>OC/A-33/4.</w:t>
    </w:r>
    <w:proofErr w:type="gramStart"/>
    <w:r w:rsidR="000D65C4">
      <w:rPr>
        <w:rStyle w:val="normaltextrun"/>
        <w:rFonts w:ascii="Arial" w:hAnsi="Arial" w:cs="Arial"/>
        <w:color w:val="000000"/>
        <w:sz w:val="20"/>
        <w:szCs w:val="20"/>
      </w:rPr>
      <w:t>7</w:t>
    </w:r>
    <w:r w:rsidRPr="000D65C4">
      <w:rPr>
        <w:rStyle w:val="normaltextrun"/>
        <w:rFonts w:ascii="Arial" w:hAnsi="Arial" w:cs="Arial"/>
        <w:color w:val="000000"/>
        <w:sz w:val="20"/>
        <w:szCs w:val="20"/>
      </w:rPr>
      <w:t>.Doc</w:t>
    </w:r>
    <w:proofErr w:type="gramEnd"/>
    <w:r w:rsidRPr="000D65C4">
      <w:rPr>
        <w:rStyle w:val="normaltextrun"/>
        <w:rFonts w:ascii="Arial" w:hAnsi="Arial" w:cs="Arial"/>
        <w:color w:val="000000"/>
        <w:sz w:val="20"/>
        <w:szCs w:val="20"/>
      </w:rPr>
      <w:t>(1)</w:t>
    </w:r>
    <w:r w:rsidR="00B526D0" w:rsidRPr="000D65C4">
      <w:rPr>
        <w:rStyle w:val="normaltextrun"/>
        <w:rFonts w:ascii="Arial" w:hAnsi="Arial" w:cs="Arial"/>
        <w:color w:val="000000"/>
        <w:sz w:val="20"/>
        <w:szCs w:val="20"/>
      </w:rPr>
      <w:t xml:space="preserve"> – </w:t>
    </w:r>
    <w:r w:rsidR="00003B31" w:rsidRPr="000D65C4">
      <w:rPr>
        <w:rFonts w:ascii="Arial" w:hAnsi="Arial" w:cs="Arial"/>
        <w:szCs w:val="22"/>
      </w:rPr>
      <w:t>p</w:t>
    </w:r>
    <w:r w:rsidR="00020AA1" w:rsidRPr="000D65C4">
      <w:rPr>
        <w:rFonts w:ascii="Arial" w:hAnsi="Arial" w:cs="Arial"/>
        <w:szCs w:val="22"/>
      </w:rPr>
      <w:t>age </w:t>
    </w:r>
    <w:r w:rsidR="00020AA1" w:rsidRPr="000D65C4">
      <w:rPr>
        <w:rStyle w:val="PageNumber"/>
        <w:rFonts w:ascii="Arial" w:hAnsi="Arial" w:cs="Arial"/>
        <w:szCs w:val="22"/>
      </w:rPr>
      <w:fldChar w:fldCharType="begin"/>
    </w:r>
    <w:r w:rsidR="00020AA1" w:rsidRPr="000D65C4">
      <w:rPr>
        <w:rStyle w:val="PageNumber"/>
        <w:rFonts w:ascii="Arial" w:hAnsi="Arial" w:cs="Arial"/>
        <w:szCs w:val="22"/>
      </w:rPr>
      <w:instrText xml:space="preserve"> PAGE </w:instrText>
    </w:r>
    <w:r w:rsidR="00020AA1" w:rsidRPr="000D65C4">
      <w:rPr>
        <w:rStyle w:val="PageNumber"/>
        <w:rFonts w:ascii="Arial" w:hAnsi="Arial" w:cs="Arial"/>
        <w:szCs w:val="22"/>
      </w:rPr>
      <w:fldChar w:fldCharType="separate"/>
    </w:r>
    <w:r w:rsidR="00056F67" w:rsidRPr="000D65C4">
      <w:rPr>
        <w:rStyle w:val="PageNumber"/>
        <w:rFonts w:ascii="Arial" w:hAnsi="Arial" w:cs="Arial"/>
        <w:noProof/>
        <w:szCs w:val="22"/>
      </w:rPr>
      <w:t>3</w:t>
    </w:r>
    <w:r w:rsidR="00020AA1" w:rsidRPr="000D65C4">
      <w:rPr>
        <w:rStyle w:val="PageNumber"/>
        <w:rFonts w:ascii="Arial" w:hAnsi="Arial" w:cs="Arial"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894F" w14:textId="7A233BF1" w:rsidR="00020AA1" w:rsidRPr="00381C59" w:rsidRDefault="00B7073F" w:rsidP="00294AD5">
    <w:pPr>
      <w:pStyle w:val="Header"/>
      <w:jc w:val="right"/>
      <w:rPr>
        <w:rFonts w:asciiTheme="minorBidi" w:hAnsiTheme="minorBidi" w:cstheme="minorBidi"/>
        <w:sz w:val="22"/>
        <w:szCs w:val="22"/>
      </w:rPr>
    </w:pPr>
    <w:r w:rsidRPr="00381C59">
      <w:rPr>
        <w:rFonts w:asciiTheme="minorBidi" w:hAnsiTheme="minorBidi" w:cstheme="minorBidi"/>
        <w:sz w:val="22"/>
        <w:szCs w:val="22"/>
        <w:lang w:val="ru-RU"/>
      </w:rPr>
      <w:t>IOC/A-33/4.</w:t>
    </w:r>
    <w:proofErr w:type="gramStart"/>
    <w:r w:rsidRPr="00381C59">
      <w:rPr>
        <w:rFonts w:asciiTheme="minorBidi" w:hAnsiTheme="minorBidi" w:cstheme="minorBidi"/>
        <w:sz w:val="22"/>
        <w:szCs w:val="22"/>
        <w:lang w:val="ru-RU"/>
      </w:rPr>
      <w:t>7.Doc</w:t>
    </w:r>
    <w:proofErr w:type="gramEnd"/>
    <w:r w:rsidRPr="00381C59">
      <w:rPr>
        <w:rFonts w:asciiTheme="minorBidi" w:hAnsiTheme="minorBidi" w:cstheme="minorBidi"/>
        <w:sz w:val="22"/>
        <w:szCs w:val="22"/>
        <w:lang w:val="ru-RU"/>
      </w:rPr>
      <w:t>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E31FB"/>
    <w:multiLevelType w:val="hybridMultilevel"/>
    <w:tmpl w:val="DFE84AF0"/>
    <w:lvl w:ilvl="0" w:tplc="0950C4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A6877DE"/>
    <w:multiLevelType w:val="hybridMultilevel"/>
    <w:tmpl w:val="B31A6DF2"/>
    <w:lvl w:ilvl="0" w:tplc="9FF862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C26A7"/>
    <w:multiLevelType w:val="multilevel"/>
    <w:tmpl w:val="7D5A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423A9"/>
    <w:multiLevelType w:val="multilevel"/>
    <w:tmpl w:val="D2C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04C64"/>
    <w:multiLevelType w:val="hybridMultilevel"/>
    <w:tmpl w:val="BE2E72B4"/>
    <w:lvl w:ilvl="0" w:tplc="BCA6AA70">
      <w:start w:val="1"/>
      <w:numFmt w:val="decimal"/>
      <w:pStyle w:val="COI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451954"/>
    <w:multiLevelType w:val="multilevel"/>
    <w:tmpl w:val="FE84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71229"/>
    <w:multiLevelType w:val="multilevel"/>
    <w:tmpl w:val="A638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009AA"/>
    <w:multiLevelType w:val="hybridMultilevel"/>
    <w:tmpl w:val="308E3260"/>
    <w:lvl w:ilvl="0" w:tplc="87A09D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504CC"/>
    <w:multiLevelType w:val="multilevel"/>
    <w:tmpl w:val="B35C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15106"/>
    <w:multiLevelType w:val="hybridMultilevel"/>
    <w:tmpl w:val="A140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F462D"/>
    <w:multiLevelType w:val="multilevel"/>
    <w:tmpl w:val="D8D2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23353">
    <w:abstractNumId w:val="3"/>
  </w:num>
  <w:num w:numId="2" w16cid:durableId="1126850961">
    <w:abstractNumId w:val="7"/>
  </w:num>
  <w:num w:numId="3" w16cid:durableId="676813241">
    <w:abstractNumId w:val="0"/>
  </w:num>
  <w:num w:numId="4" w16cid:durableId="652441993">
    <w:abstractNumId w:val="1"/>
  </w:num>
  <w:num w:numId="5" w16cid:durableId="1284767817">
    <w:abstractNumId w:val="6"/>
  </w:num>
  <w:num w:numId="6" w16cid:durableId="2018069327">
    <w:abstractNumId w:val="13"/>
  </w:num>
  <w:num w:numId="7" w16cid:durableId="1467821905">
    <w:abstractNumId w:val="9"/>
  </w:num>
  <w:num w:numId="8" w16cid:durableId="1252005171">
    <w:abstractNumId w:val="12"/>
  </w:num>
  <w:num w:numId="9" w16cid:durableId="1230841386">
    <w:abstractNumId w:val="4"/>
  </w:num>
  <w:num w:numId="10" w16cid:durableId="2009284609">
    <w:abstractNumId w:val="10"/>
  </w:num>
  <w:num w:numId="11" w16cid:durableId="1563254713">
    <w:abstractNumId w:val="8"/>
  </w:num>
  <w:num w:numId="12" w16cid:durableId="853614536">
    <w:abstractNumId w:val="2"/>
  </w:num>
  <w:num w:numId="13" w16cid:durableId="779767091">
    <w:abstractNumId w:val="11"/>
  </w:num>
  <w:num w:numId="14" w16cid:durableId="53754660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F4"/>
    <w:rsid w:val="00002283"/>
    <w:rsid w:val="0000253E"/>
    <w:rsid w:val="00003B31"/>
    <w:rsid w:val="00010BBB"/>
    <w:rsid w:val="00014F30"/>
    <w:rsid w:val="00020AA1"/>
    <w:rsid w:val="0002470A"/>
    <w:rsid w:val="0002504D"/>
    <w:rsid w:val="00042C45"/>
    <w:rsid w:val="00054B70"/>
    <w:rsid w:val="00056F67"/>
    <w:rsid w:val="00085D6A"/>
    <w:rsid w:val="000A0D99"/>
    <w:rsid w:val="000C12DA"/>
    <w:rsid w:val="000D65C4"/>
    <w:rsid w:val="000D6CCD"/>
    <w:rsid w:val="000E31C1"/>
    <w:rsid w:val="000F0254"/>
    <w:rsid w:val="000F2179"/>
    <w:rsid w:val="000F373F"/>
    <w:rsid w:val="000F6147"/>
    <w:rsid w:val="001129FE"/>
    <w:rsid w:val="00113C2E"/>
    <w:rsid w:val="00116D1A"/>
    <w:rsid w:val="00123719"/>
    <w:rsid w:val="001241D7"/>
    <w:rsid w:val="001262C3"/>
    <w:rsid w:val="001326B1"/>
    <w:rsid w:val="00137E97"/>
    <w:rsid w:val="00140F06"/>
    <w:rsid w:val="001448C4"/>
    <w:rsid w:val="00155393"/>
    <w:rsid w:val="001572C7"/>
    <w:rsid w:val="001657FF"/>
    <w:rsid w:val="00167158"/>
    <w:rsid w:val="00173D4F"/>
    <w:rsid w:val="00175A8D"/>
    <w:rsid w:val="00190662"/>
    <w:rsid w:val="00196052"/>
    <w:rsid w:val="001A2C72"/>
    <w:rsid w:val="001B0699"/>
    <w:rsid w:val="001B3B24"/>
    <w:rsid w:val="001B4FF1"/>
    <w:rsid w:val="001B7F03"/>
    <w:rsid w:val="001C1E22"/>
    <w:rsid w:val="001C6455"/>
    <w:rsid w:val="001D0986"/>
    <w:rsid w:val="001E295D"/>
    <w:rsid w:val="001E7450"/>
    <w:rsid w:val="00201F8B"/>
    <w:rsid w:val="00204E9E"/>
    <w:rsid w:val="00207FC0"/>
    <w:rsid w:val="0021210D"/>
    <w:rsid w:val="00216519"/>
    <w:rsid w:val="00225A41"/>
    <w:rsid w:val="00253713"/>
    <w:rsid w:val="00262D22"/>
    <w:rsid w:val="00275B54"/>
    <w:rsid w:val="002801C4"/>
    <w:rsid w:val="00281474"/>
    <w:rsid w:val="00282702"/>
    <w:rsid w:val="00287BE6"/>
    <w:rsid w:val="0029407D"/>
    <w:rsid w:val="00294AD5"/>
    <w:rsid w:val="002C6ECF"/>
    <w:rsid w:val="002C7DE3"/>
    <w:rsid w:val="002E0859"/>
    <w:rsid w:val="002E4031"/>
    <w:rsid w:val="002F71CB"/>
    <w:rsid w:val="00300FCF"/>
    <w:rsid w:val="00301FFC"/>
    <w:rsid w:val="003105C5"/>
    <w:rsid w:val="00320752"/>
    <w:rsid w:val="0033102E"/>
    <w:rsid w:val="00333A65"/>
    <w:rsid w:val="0034156B"/>
    <w:rsid w:val="00342C6C"/>
    <w:rsid w:val="00343AB3"/>
    <w:rsid w:val="003561BE"/>
    <w:rsid w:val="003805F5"/>
    <w:rsid w:val="00381C59"/>
    <w:rsid w:val="00386C1A"/>
    <w:rsid w:val="003A160A"/>
    <w:rsid w:val="003A1EF6"/>
    <w:rsid w:val="003A6744"/>
    <w:rsid w:val="003A7860"/>
    <w:rsid w:val="003C47F4"/>
    <w:rsid w:val="003D3711"/>
    <w:rsid w:val="003D5B0E"/>
    <w:rsid w:val="003F55CF"/>
    <w:rsid w:val="003F7186"/>
    <w:rsid w:val="00401919"/>
    <w:rsid w:val="004031FB"/>
    <w:rsid w:val="004119C7"/>
    <w:rsid w:val="00413F17"/>
    <w:rsid w:val="00414958"/>
    <w:rsid w:val="00424DE6"/>
    <w:rsid w:val="004273A8"/>
    <w:rsid w:val="0044325A"/>
    <w:rsid w:val="004471BE"/>
    <w:rsid w:val="00450D22"/>
    <w:rsid w:val="004529B8"/>
    <w:rsid w:val="00467E3F"/>
    <w:rsid w:val="004854E5"/>
    <w:rsid w:val="00486CB6"/>
    <w:rsid w:val="004A135F"/>
    <w:rsid w:val="004C1625"/>
    <w:rsid w:val="004D41F2"/>
    <w:rsid w:val="004D5F76"/>
    <w:rsid w:val="004E36E3"/>
    <w:rsid w:val="004F2522"/>
    <w:rsid w:val="004F7D6C"/>
    <w:rsid w:val="005023C1"/>
    <w:rsid w:val="00517409"/>
    <w:rsid w:val="00533BEA"/>
    <w:rsid w:val="00543177"/>
    <w:rsid w:val="00545B24"/>
    <w:rsid w:val="0056279D"/>
    <w:rsid w:val="0057443C"/>
    <w:rsid w:val="00576270"/>
    <w:rsid w:val="00584EAB"/>
    <w:rsid w:val="00593526"/>
    <w:rsid w:val="005A02AC"/>
    <w:rsid w:val="005A1E88"/>
    <w:rsid w:val="005B6765"/>
    <w:rsid w:val="005B6B5A"/>
    <w:rsid w:val="005C6640"/>
    <w:rsid w:val="005C7A36"/>
    <w:rsid w:val="005C7D76"/>
    <w:rsid w:val="005E1173"/>
    <w:rsid w:val="005E544C"/>
    <w:rsid w:val="005E6483"/>
    <w:rsid w:val="005F53F7"/>
    <w:rsid w:val="00610D3B"/>
    <w:rsid w:val="006110DA"/>
    <w:rsid w:val="00633EA5"/>
    <w:rsid w:val="00635E2E"/>
    <w:rsid w:val="0065600E"/>
    <w:rsid w:val="0066773D"/>
    <w:rsid w:val="00677A2E"/>
    <w:rsid w:val="006842FA"/>
    <w:rsid w:val="0068682C"/>
    <w:rsid w:val="006874D2"/>
    <w:rsid w:val="00687EA3"/>
    <w:rsid w:val="00690A0C"/>
    <w:rsid w:val="00690FD2"/>
    <w:rsid w:val="00693199"/>
    <w:rsid w:val="00694F72"/>
    <w:rsid w:val="006A3047"/>
    <w:rsid w:val="006A57FE"/>
    <w:rsid w:val="006A68D7"/>
    <w:rsid w:val="006B4B95"/>
    <w:rsid w:val="006C18D9"/>
    <w:rsid w:val="006C1911"/>
    <w:rsid w:val="006C56FC"/>
    <w:rsid w:val="006C6449"/>
    <w:rsid w:val="006F0205"/>
    <w:rsid w:val="00702B44"/>
    <w:rsid w:val="00737A18"/>
    <w:rsid w:val="00746B89"/>
    <w:rsid w:val="007476AA"/>
    <w:rsid w:val="0079180A"/>
    <w:rsid w:val="0079212B"/>
    <w:rsid w:val="007A0A99"/>
    <w:rsid w:val="007A25D7"/>
    <w:rsid w:val="007C7D32"/>
    <w:rsid w:val="007D08D2"/>
    <w:rsid w:val="007D191A"/>
    <w:rsid w:val="007F503B"/>
    <w:rsid w:val="008035D7"/>
    <w:rsid w:val="008048D2"/>
    <w:rsid w:val="0081004E"/>
    <w:rsid w:val="008167F6"/>
    <w:rsid w:val="00821819"/>
    <w:rsid w:val="00840C53"/>
    <w:rsid w:val="008471C8"/>
    <w:rsid w:val="00850108"/>
    <w:rsid w:val="00853565"/>
    <w:rsid w:val="00865DD4"/>
    <w:rsid w:val="0087159C"/>
    <w:rsid w:val="00880DBF"/>
    <w:rsid w:val="008A6E5C"/>
    <w:rsid w:val="008B1AE4"/>
    <w:rsid w:val="008B384B"/>
    <w:rsid w:val="008B74E2"/>
    <w:rsid w:val="008C5128"/>
    <w:rsid w:val="008D0739"/>
    <w:rsid w:val="008D2398"/>
    <w:rsid w:val="008D53F5"/>
    <w:rsid w:val="008E363A"/>
    <w:rsid w:val="008F632F"/>
    <w:rsid w:val="008F6942"/>
    <w:rsid w:val="00902165"/>
    <w:rsid w:val="009026D3"/>
    <w:rsid w:val="00903A8F"/>
    <w:rsid w:val="00920273"/>
    <w:rsid w:val="00937B28"/>
    <w:rsid w:val="00961557"/>
    <w:rsid w:val="00972A92"/>
    <w:rsid w:val="009820B4"/>
    <w:rsid w:val="009902FB"/>
    <w:rsid w:val="0099262A"/>
    <w:rsid w:val="00993CA4"/>
    <w:rsid w:val="00995221"/>
    <w:rsid w:val="009A3186"/>
    <w:rsid w:val="009A529D"/>
    <w:rsid w:val="009A70E5"/>
    <w:rsid w:val="009B3618"/>
    <w:rsid w:val="009B63AB"/>
    <w:rsid w:val="009C0A89"/>
    <w:rsid w:val="009C15B1"/>
    <w:rsid w:val="009D3D27"/>
    <w:rsid w:val="009D6A23"/>
    <w:rsid w:val="009E1609"/>
    <w:rsid w:val="009E4E20"/>
    <w:rsid w:val="009E6A03"/>
    <w:rsid w:val="009F3A67"/>
    <w:rsid w:val="009F7769"/>
    <w:rsid w:val="00A1068A"/>
    <w:rsid w:val="00A11697"/>
    <w:rsid w:val="00A11B9B"/>
    <w:rsid w:val="00A178F6"/>
    <w:rsid w:val="00A23D66"/>
    <w:rsid w:val="00A25BC8"/>
    <w:rsid w:val="00A54408"/>
    <w:rsid w:val="00A6070C"/>
    <w:rsid w:val="00A84BF8"/>
    <w:rsid w:val="00A85C88"/>
    <w:rsid w:val="00AA531A"/>
    <w:rsid w:val="00AB6A2B"/>
    <w:rsid w:val="00AD3D55"/>
    <w:rsid w:val="00AD507C"/>
    <w:rsid w:val="00B11431"/>
    <w:rsid w:val="00B208BA"/>
    <w:rsid w:val="00B246B5"/>
    <w:rsid w:val="00B44C1E"/>
    <w:rsid w:val="00B503B5"/>
    <w:rsid w:val="00B526D0"/>
    <w:rsid w:val="00B55EB4"/>
    <w:rsid w:val="00B7073F"/>
    <w:rsid w:val="00B722DE"/>
    <w:rsid w:val="00B81B50"/>
    <w:rsid w:val="00B82E02"/>
    <w:rsid w:val="00B83068"/>
    <w:rsid w:val="00B8392A"/>
    <w:rsid w:val="00BA6706"/>
    <w:rsid w:val="00BC2BC2"/>
    <w:rsid w:val="00BC3F42"/>
    <w:rsid w:val="00BD6603"/>
    <w:rsid w:val="00BD70C3"/>
    <w:rsid w:val="00BF069C"/>
    <w:rsid w:val="00BF1CC3"/>
    <w:rsid w:val="00BF3835"/>
    <w:rsid w:val="00C1002D"/>
    <w:rsid w:val="00C210FE"/>
    <w:rsid w:val="00C21429"/>
    <w:rsid w:val="00C23109"/>
    <w:rsid w:val="00C24500"/>
    <w:rsid w:val="00C2635E"/>
    <w:rsid w:val="00C3684D"/>
    <w:rsid w:val="00C4032B"/>
    <w:rsid w:val="00C521DF"/>
    <w:rsid w:val="00C56E90"/>
    <w:rsid w:val="00C60B6D"/>
    <w:rsid w:val="00C6486C"/>
    <w:rsid w:val="00C648D3"/>
    <w:rsid w:val="00C710BD"/>
    <w:rsid w:val="00C75B02"/>
    <w:rsid w:val="00C82E39"/>
    <w:rsid w:val="00C94A07"/>
    <w:rsid w:val="00C962F0"/>
    <w:rsid w:val="00CB3B8F"/>
    <w:rsid w:val="00CB4063"/>
    <w:rsid w:val="00CC3035"/>
    <w:rsid w:val="00CD7B63"/>
    <w:rsid w:val="00CF51CB"/>
    <w:rsid w:val="00D013ED"/>
    <w:rsid w:val="00D35E28"/>
    <w:rsid w:val="00D36BDC"/>
    <w:rsid w:val="00D5049E"/>
    <w:rsid w:val="00D54068"/>
    <w:rsid w:val="00D55FEC"/>
    <w:rsid w:val="00D61E3F"/>
    <w:rsid w:val="00D71D9C"/>
    <w:rsid w:val="00D85BC1"/>
    <w:rsid w:val="00DB1DF3"/>
    <w:rsid w:val="00DD5B1C"/>
    <w:rsid w:val="00DF2FB9"/>
    <w:rsid w:val="00E16272"/>
    <w:rsid w:val="00E37EB9"/>
    <w:rsid w:val="00E567F0"/>
    <w:rsid w:val="00E63DEF"/>
    <w:rsid w:val="00E64936"/>
    <w:rsid w:val="00EE0542"/>
    <w:rsid w:val="00EE7E81"/>
    <w:rsid w:val="00EF7D6C"/>
    <w:rsid w:val="00F04D94"/>
    <w:rsid w:val="00F24200"/>
    <w:rsid w:val="00F31A98"/>
    <w:rsid w:val="00F351D0"/>
    <w:rsid w:val="00F463F2"/>
    <w:rsid w:val="00F64E56"/>
    <w:rsid w:val="00F7017C"/>
    <w:rsid w:val="00F70BF4"/>
    <w:rsid w:val="00F720AF"/>
    <w:rsid w:val="00F8186D"/>
    <w:rsid w:val="00F91E78"/>
    <w:rsid w:val="00FA58C5"/>
    <w:rsid w:val="00FB03BC"/>
    <w:rsid w:val="00FB53C3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6E12B"/>
  <w15:docId w15:val="{7A38C243-9933-4643-9AA7-7ECFAAD0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A41"/>
    <w:rPr>
      <w:sz w:val="24"/>
      <w:szCs w:val="24"/>
      <w:lang w:eastAsia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pacing w:after="240"/>
      <w:ind w:left="567"/>
      <w:jc w:val="both"/>
    </w:pPr>
    <w:rPr>
      <w:snapToGrid w:val="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suppressAutoHyphens/>
      <w:jc w:val="both"/>
      <w:outlineLvl w:val="2"/>
    </w:pPr>
    <w:rPr>
      <w:snapToGrid w:val="0"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6B4B95"/>
    <w:pPr>
      <w:numPr>
        <w:numId w:val="2"/>
      </w:numPr>
      <w:tabs>
        <w:tab w:val="left" w:pos="709"/>
      </w:tabs>
    </w:pPr>
    <w:rPr>
      <w:rFonts w:eastAsia="Arial Unicode MS"/>
      <w:szCs w:val="22"/>
    </w:rPr>
  </w:style>
  <w:style w:type="paragraph" w:styleId="BlockText">
    <w:name w:val="Block Text"/>
    <w:basedOn w:val="Normal"/>
    <w:pPr>
      <w:ind w:left="360" w:right="540"/>
      <w:jc w:val="both"/>
    </w:pPr>
    <w:rPr>
      <w:i/>
      <w:iCs/>
      <w:snapToGrid w:val="0"/>
      <w:lang w:val="en-US"/>
    </w:rPr>
  </w:style>
  <w:style w:type="paragraph" w:styleId="BodyText2">
    <w:name w:val="Body Text 2"/>
    <w:basedOn w:val="Normal"/>
    <w:pPr>
      <w:spacing w:before="100" w:beforeAutospacing="1" w:after="100" w:afterAutospacing="1" w:line="360" w:lineRule="auto"/>
    </w:pPr>
    <w:rPr>
      <w:rFonts w:eastAsia="MS Mincho" w:cs="Arial"/>
      <w:snapToGrid w:val="0"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spacing w:before="120" w:after="100" w:afterAutospacing="1"/>
      <w:ind w:left="1134" w:right="1134"/>
      <w:jc w:val="both"/>
    </w:pPr>
    <w:rPr>
      <w:i/>
      <w:snapToGrid w:val="0"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uiPriority w:val="99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690FD2"/>
    <w:rPr>
      <w:rFonts w:eastAsia="Arial Unicode MS"/>
      <w:sz w:val="24"/>
      <w:szCs w:val="22"/>
      <w:lang w:eastAsia="en-GB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56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67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F67"/>
    <w:rPr>
      <w:rFonts w:ascii="Arial" w:hAnsi="Arial"/>
      <w:b/>
      <w:bCs/>
      <w:snapToGrid w:val="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56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6F67"/>
    <w:rPr>
      <w:rFonts w:ascii="Segoe UI" w:hAnsi="Segoe UI" w:cs="Segoe UI"/>
      <w:snapToGrid w:val="0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E295D"/>
    <w:pPr>
      <w:ind w:left="720"/>
      <w:contextualSpacing/>
    </w:pPr>
    <w:rPr>
      <w:snapToGrid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95D"/>
    <w:rPr>
      <w:rFonts w:ascii="Arial" w:hAnsi="Arial"/>
      <w:snapToGrid w:val="0"/>
      <w:lang w:val="en-GB" w:eastAsia="en-US"/>
    </w:rPr>
  </w:style>
  <w:style w:type="table" w:styleId="TableGrid">
    <w:name w:val="Table Grid"/>
    <w:basedOn w:val="TableNormal"/>
    <w:uiPriority w:val="39"/>
    <w:rsid w:val="00AD507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70BF4"/>
    <w:pPr>
      <w:spacing w:before="100" w:beforeAutospacing="1" w:after="100" w:afterAutospacing="1"/>
    </w:pPr>
    <w:rPr>
      <w:snapToGrid w:val="0"/>
    </w:rPr>
  </w:style>
  <w:style w:type="character" w:customStyle="1" w:styleId="normaltextrun">
    <w:name w:val="normaltextrun"/>
    <w:basedOn w:val="DefaultParagraphFont"/>
    <w:rsid w:val="00F70BF4"/>
  </w:style>
  <w:style w:type="character" w:customStyle="1" w:styleId="eop">
    <w:name w:val="eop"/>
    <w:basedOn w:val="DefaultParagraphFont"/>
    <w:rsid w:val="00F70BF4"/>
  </w:style>
  <w:style w:type="character" w:customStyle="1" w:styleId="scxw255806065">
    <w:name w:val="scxw255806065"/>
    <w:basedOn w:val="DefaultParagraphFont"/>
    <w:rsid w:val="00F70BF4"/>
  </w:style>
  <w:style w:type="paragraph" w:styleId="Revision">
    <w:name w:val="Revision"/>
    <w:hidden/>
    <w:uiPriority w:val="99"/>
    <w:semiHidden/>
    <w:rsid w:val="00F70BF4"/>
    <w:rPr>
      <w:rFonts w:ascii="Arial" w:hAnsi="Arial"/>
      <w:snapToGrid w:val="0"/>
      <w:sz w:val="22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1DF3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qFormat/>
    <w:rsid w:val="00D35E28"/>
    <w:pPr>
      <w:widowControl w:val="0"/>
      <w:autoSpaceDE w:val="0"/>
      <w:autoSpaceDN w:val="0"/>
      <w:adjustRightInd w:val="0"/>
      <w:ind w:left="720"/>
      <w:contextualSpacing/>
      <w:jc w:val="both"/>
    </w:pPr>
    <w:rPr>
      <w:snapToGrid w:val="0"/>
    </w:rPr>
  </w:style>
  <w:style w:type="character" w:customStyle="1" w:styleId="ng-star-inserted">
    <w:name w:val="ng-star-inserted"/>
    <w:basedOn w:val="DefaultParagraphFont"/>
    <w:rsid w:val="0044325A"/>
  </w:style>
  <w:style w:type="character" w:customStyle="1" w:styleId="bold">
    <w:name w:val="bold"/>
    <w:basedOn w:val="DefaultParagraphFont"/>
    <w:rsid w:val="0044325A"/>
  </w:style>
  <w:style w:type="character" w:customStyle="1" w:styleId="apple-converted-space">
    <w:name w:val="apple-converted-space"/>
    <w:basedOn w:val="DefaultParagraphFont"/>
    <w:rsid w:val="0044325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325A"/>
    <w:pPr>
      <w:pBdr>
        <w:bottom w:val="single" w:sz="6" w:space="1" w:color="auto"/>
      </w:pBdr>
      <w:jc w:val="center"/>
    </w:pPr>
    <w:rPr>
      <w:rFonts w:cs="Arial"/>
      <w:snapToGrid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325A"/>
    <w:rPr>
      <w:rFonts w:ascii="Arial" w:hAnsi="Arial" w:cs="Arial"/>
      <w:vanish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4325A"/>
    <w:pPr>
      <w:spacing w:before="100" w:beforeAutospacing="1" w:after="100" w:afterAutospacing="1"/>
    </w:pPr>
    <w:rPr>
      <w:snapToGrid w:val="0"/>
    </w:rPr>
  </w:style>
  <w:style w:type="character" w:styleId="Strong">
    <w:name w:val="Strong"/>
    <w:basedOn w:val="DefaultParagraphFont"/>
    <w:uiPriority w:val="22"/>
    <w:qFormat/>
    <w:rsid w:val="0044325A"/>
    <w:rPr>
      <w:b/>
      <w:bCs/>
    </w:rPr>
  </w:style>
  <w:style w:type="paragraph" w:customStyle="1" w:styleId="ql-indent-1">
    <w:name w:val="ql-indent-1"/>
    <w:basedOn w:val="Normal"/>
    <w:rsid w:val="0044325A"/>
    <w:pPr>
      <w:spacing w:before="100" w:beforeAutospacing="1" w:after="100" w:afterAutospacing="1"/>
    </w:pPr>
    <w:rPr>
      <w:snapToGrid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325A"/>
    <w:pPr>
      <w:pBdr>
        <w:top w:val="single" w:sz="6" w:space="1" w:color="auto"/>
      </w:pBdr>
      <w:jc w:val="center"/>
    </w:pPr>
    <w:rPr>
      <w:rFonts w:cs="Arial"/>
      <w:snapToGrid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325A"/>
    <w:rPr>
      <w:rFonts w:ascii="Arial" w:hAnsi="Arial" w:cs="Arial"/>
      <w:vanish/>
      <w:sz w:val="16"/>
      <w:szCs w:val="16"/>
      <w:lang w:eastAsia="en-GB"/>
    </w:rPr>
  </w:style>
  <w:style w:type="paragraph" w:customStyle="1" w:styleId="Default">
    <w:name w:val="Default"/>
    <w:rsid w:val="00A84B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B55EB4"/>
    <w:rPr>
      <w:i/>
      <w:iCs/>
    </w:rPr>
  </w:style>
  <w:style w:type="character" w:customStyle="1" w:styleId="outlook-search-highlight">
    <w:name w:val="outlook-search-highlight"/>
    <w:basedOn w:val="DefaultParagraphFont"/>
    <w:rsid w:val="00880DBF"/>
  </w:style>
  <w:style w:type="character" w:customStyle="1" w:styleId="HeaderChar">
    <w:name w:val="Header Char"/>
    <w:link w:val="Header"/>
    <w:uiPriority w:val="99"/>
    <w:rsid w:val="00225A41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3214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2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bd.int/gbf/targets" TargetMode="External"/><Relationship Id="rId18" Type="http://schemas.openxmlformats.org/officeDocument/2006/relationships/hyperlink" Target="https://www.mspglobal2030.org/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s://unfccc.int/decision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bf-indicators.org/metadata/headline/1-1" TargetMode="External"/><Relationship Id="rId17" Type="http://schemas.openxmlformats.org/officeDocument/2006/relationships/hyperlink" Target="https://www.cbd.int/gbf/targets" TargetMode="External"/><Relationship Id="rId25" Type="http://schemas.openxmlformats.org/officeDocument/2006/relationships/hyperlink" Target="https://unfccc.int/documents/6365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bd.int/gbf/targets" TargetMode="External"/><Relationship Id="rId20" Type="http://schemas.openxmlformats.org/officeDocument/2006/relationships/hyperlink" Target="https://unfccc.int/decision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d.int/gbf/goals" TargetMode="External"/><Relationship Id="rId24" Type="http://schemas.openxmlformats.org/officeDocument/2006/relationships/hyperlink" Target="https://unfccc.int/ru/node/3635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bd.int/gbf/targets" TargetMode="External"/><Relationship Id="rId23" Type="http://schemas.openxmlformats.org/officeDocument/2006/relationships/hyperlink" Target="https://unfccc.int/sites/default/files/resource/cma2023_16a01R.pdf" TargetMode="External"/><Relationship Id="rId28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hyperlink" Target="https://unesdoc.unesco.org/ark:/48223/pf0000139193.locale=e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cbd.int/invasive/T6indicator" TargetMode="External"/><Relationship Id="rId22" Type="http://schemas.openxmlformats.org/officeDocument/2006/relationships/hyperlink" Target="https://unfccc.int/decisions" TargetMode="Externa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CA95-B6A7-468B-A2BE-900958A91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4403</Words>
  <Characters>30382</Characters>
  <Application>Microsoft Office Word</Application>
  <DocSecurity>0</DocSecurity>
  <Lines>498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Вклад МОК в процессы управления ООН</vt:lpstr>
      <vt:lpstr>The Road to the UN Year</vt:lpstr>
    </vt:vector>
  </TitlesOfParts>
  <Company>UNESCO</Company>
  <LinksUpToDate>false</LinksUpToDate>
  <CharactersWithSpaces>34704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Вклад МОК в процессы управления ООН</dc:title>
  <dc:subject>IOC/A-33/4.7.Doc(1)</dc:subject>
  <dc:creator>Microsoft Office User</dc:creator>
  <dc:description/>
  <cp:lastModifiedBy>Mourachova, Alla</cp:lastModifiedBy>
  <cp:revision>15</cp:revision>
  <cp:lastPrinted>2025-05-07T14:13:00Z</cp:lastPrinted>
  <dcterms:created xsi:type="dcterms:W3CDTF">2025-06-26T10:44:00Z</dcterms:created>
  <dcterms:modified xsi:type="dcterms:W3CDTF">2025-06-26T14:23:00Z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n.bogdanova@unesco.org</vt:lpwstr>
  </property>
  <property fmtid="{D5CDD505-2E9C-101B-9397-08002B2CF9AE}" pid="4" name="GeneratedDate">
    <vt:lpwstr>06/26/2025 10:05:02</vt:lpwstr>
  </property>
  <property fmtid="{D5CDD505-2E9C-101B-9397-08002B2CF9AE}" pid="5" name="OriginalDocID">
    <vt:lpwstr>3b985664-90f2-48f2-9108-e892cb7715f0</vt:lpwstr>
  </property>
  <property fmtid="{D5CDD505-2E9C-101B-9397-08002B2CF9AE}" pid="6" name="Language">
    <vt:lpwstr>R</vt:lpwstr>
  </property>
  <property fmtid="{D5CDD505-2E9C-101B-9397-08002B2CF9AE}" pid="7" name="JobNumber">
    <vt:lpwstr>2500525R</vt:lpwstr>
  </property>
  <property fmtid="{D5CDD505-2E9C-101B-9397-08002B2CF9AE}" pid="8" name="ForceJobNumber">
    <vt:bool>false</vt:bool>
  </property>
</Properties>
</file>