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92" w:type="dxa"/>
        <w:jc w:val="center"/>
        <w:tblLook w:val="04A0" w:firstRow="1" w:lastRow="0" w:firstColumn="1" w:lastColumn="0" w:noHBand="0" w:noVBand="1"/>
      </w:tblPr>
      <w:tblGrid>
        <w:gridCol w:w="7792"/>
      </w:tblGrid>
      <w:tr w:rsidR="00BD2F44" w:rsidRPr="008F2D3D" w14:paraId="2982B931" w14:textId="77777777" w:rsidTr="004C681A">
        <w:trPr>
          <w:trHeight w:val="2224"/>
          <w:jc w:val="center"/>
        </w:trPr>
        <w:tc>
          <w:tcPr>
            <w:tcW w:w="7792" w:type="dxa"/>
          </w:tcPr>
          <w:p w14:paraId="7259ADC0" w14:textId="57A66775" w:rsidR="00BD2F44" w:rsidRPr="009B54A2" w:rsidRDefault="00BD2F44" w:rsidP="00BD2F44">
            <w:pPr>
              <w:spacing w:before="240" w:after="240"/>
              <w:jc w:val="center"/>
              <w:rPr>
                <w:rFonts w:ascii="Arial" w:hAnsi="Arial" w:cs="Arial"/>
                <w:bCs/>
                <w:sz w:val="22"/>
                <w:szCs w:val="22"/>
                <w:u w:val="single"/>
              </w:rPr>
            </w:pPr>
            <w:r w:rsidRPr="009B54A2">
              <w:rPr>
                <w:rFonts w:ascii="Arial" w:hAnsi="Arial" w:cs="Arial"/>
                <w:bCs/>
                <w:sz w:val="22"/>
                <w:szCs w:val="22"/>
                <w:u w:val="single"/>
              </w:rPr>
              <w:t>INFORMATION</w:t>
            </w:r>
          </w:p>
          <w:p w14:paraId="66B3720A" w14:textId="365143FF" w:rsidR="00BD2F44" w:rsidRPr="00BD2F44" w:rsidRDefault="003B528F" w:rsidP="00BD2F44">
            <w:pPr>
              <w:spacing w:before="240" w:after="240"/>
              <w:jc w:val="center"/>
              <w:rPr>
                <w:rFonts w:ascii="Arial" w:hAnsi="Arial" w:cs="Arial"/>
                <w:b/>
                <w:sz w:val="22"/>
                <w:szCs w:val="22"/>
              </w:rPr>
            </w:pPr>
            <w:r w:rsidRPr="003B528F">
              <w:rPr>
                <w:rFonts w:ascii="Arial" w:hAnsi="Arial" w:cs="Arial"/>
                <w:b/>
                <w:sz w:val="22"/>
                <w:szCs w:val="22"/>
              </w:rPr>
              <w:t xml:space="preserve">Progress report on the third edition of the </w:t>
            </w:r>
            <w:r w:rsidRPr="003B528F">
              <w:rPr>
                <w:rFonts w:ascii="Arial" w:hAnsi="Arial" w:cs="Arial"/>
                <w:b/>
                <w:i/>
                <w:iCs/>
                <w:sz w:val="22"/>
                <w:szCs w:val="22"/>
              </w:rPr>
              <w:t>Global Ocean Science Report</w:t>
            </w:r>
            <w:r>
              <w:rPr>
                <w:rFonts w:ascii="Arial" w:hAnsi="Arial" w:cs="Arial"/>
                <w:b/>
                <w:i/>
                <w:iCs/>
                <w:sz w:val="22"/>
                <w:szCs w:val="22"/>
              </w:rPr>
              <w:t xml:space="preserve"> (GOSR)</w:t>
            </w:r>
          </w:p>
          <w:p w14:paraId="12538785" w14:textId="24266BB7" w:rsidR="00BD2F44" w:rsidRPr="00BD2F44" w:rsidRDefault="003B528F" w:rsidP="007207E3">
            <w:pPr>
              <w:spacing w:after="120"/>
              <w:rPr>
                <w:rFonts w:ascii="Arial" w:hAnsi="Arial" w:cs="Arial"/>
                <w:sz w:val="22"/>
                <w:szCs w:val="22"/>
              </w:rPr>
            </w:pPr>
            <w:r w:rsidRPr="002606BC">
              <w:rPr>
                <w:rFonts w:ascii="Arial" w:hAnsi="Arial" w:cs="Arial"/>
                <w:sz w:val="22"/>
                <w:szCs w:val="22"/>
                <w:lang w:val="en-US"/>
              </w:rPr>
              <w:t xml:space="preserve">This </w:t>
            </w:r>
            <w:r>
              <w:rPr>
                <w:rFonts w:ascii="Arial" w:hAnsi="Arial" w:cs="Arial"/>
                <w:sz w:val="22"/>
                <w:szCs w:val="22"/>
                <w:lang w:val="en-US"/>
              </w:rPr>
              <w:t>information paper</w:t>
            </w:r>
            <w:r w:rsidRPr="002606BC">
              <w:rPr>
                <w:rFonts w:ascii="Arial" w:hAnsi="Arial" w:cs="Arial"/>
                <w:sz w:val="22"/>
                <w:szCs w:val="22"/>
                <w:lang w:val="en-US"/>
              </w:rPr>
              <w:t xml:space="preserve"> is intended to provide IOC Member States with a short </w:t>
            </w:r>
            <w:r>
              <w:rPr>
                <w:rFonts w:ascii="Arial" w:hAnsi="Arial" w:cs="Arial"/>
                <w:sz w:val="22"/>
                <w:szCs w:val="22"/>
                <w:lang w:val="en-US"/>
              </w:rPr>
              <w:t>update on</w:t>
            </w:r>
            <w:r w:rsidRPr="002606BC">
              <w:rPr>
                <w:rFonts w:ascii="Arial" w:hAnsi="Arial" w:cs="Arial"/>
                <w:sz w:val="22"/>
                <w:szCs w:val="22"/>
                <w:lang w:val="en-US"/>
              </w:rPr>
              <w:t xml:space="preserve"> activities coordinated by the Secretariat associated with planning </w:t>
            </w:r>
            <w:r>
              <w:rPr>
                <w:rFonts w:ascii="Arial" w:hAnsi="Arial" w:cs="Arial"/>
                <w:sz w:val="22"/>
                <w:szCs w:val="22"/>
                <w:lang w:val="en-US"/>
              </w:rPr>
              <w:t xml:space="preserve">and producing the third edition of the </w:t>
            </w:r>
            <w:r w:rsidRPr="003B528F">
              <w:rPr>
                <w:rFonts w:ascii="Arial" w:hAnsi="Arial" w:cs="Arial"/>
                <w:i/>
                <w:iCs/>
                <w:sz w:val="22"/>
                <w:szCs w:val="22"/>
                <w:lang w:val="en-US"/>
              </w:rPr>
              <w:t>Global Ocean Science Report</w:t>
            </w:r>
            <w:r w:rsidRPr="002606BC">
              <w:rPr>
                <w:rFonts w:ascii="Arial" w:hAnsi="Arial" w:cs="Arial"/>
                <w:sz w:val="22"/>
                <w:szCs w:val="22"/>
                <w:lang w:val="en-US"/>
              </w:rPr>
              <w:t>.</w:t>
            </w:r>
          </w:p>
        </w:tc>
      </w:tr>
    </w:tbl>
    <w:p w14:paraId="4D3C06A5" w14:textId="77777777" w:rsidR="00820057" w:rsidRDefault="00820057" w:rsidP="002606BC">
      <w:pPr>
        <w:rPr>
          <w:rFonts w:ascii="Arial" w:hAnsi="Arial" w:cs="Arial"/>
          <w:sz w:val="22"/>
          <w:szCs w:val="22"/>
        </w:rPr>
      </w:pPr>
    </w:p>
    <w:p w14:paraId="6E0CA783" w14:textId="6D52BC70" w:rsidR="002606BC" w:rsidRPr="007F0217" w:rsidRDefault="002606BC" w:rsidP="00477243">
      <w:pPr>
        <w:pStyle w:val="Heading3"/>
        <w:spacing w:before="0" w:after="240" w:line="240" w:lineRule="auto"/>
        <w:rPr>
          <w:rFonts w:ascii="Arial" w:hAnsi="Arial" w:cs="Arial"/>
          <w:b/>
          <w:bCs/>
          <w:color w:val="000000" w:themeColor="text1"/>
          <w:sz w:val="22"/>
          <w:szCs w:val="22"/>
          <w:lang w:val="en-US"/>
        </w:rPr>
      </w:pPr>
      <w:r w:rsidRPr="007F0217">
        <w:rPr>
          <w:rFonts w:ascii="Arial" w:hAnsi="Arial" w:cs="Arial"/>
          <w:b/>
          <w:bCs/>
          <w:color w:val="000000" w:themeColor="text1"/>
          <w:sz w:val="22"/>
          <w:szCs w:val="22"/>
          <w:lang w:val="en-US"/>
        </w:rPr>
        <w:t>Background</w:t>
      </w:r>
    </w:p>
    <w:p w14:paraId="344F9F6E" w14:textId="77777777" w:rsidR="009B54A2" w:rsidRPr="00613C93" w:rsidRDefault="009B54A2" w:rsidP="009B54A2">
      <w:pPr>
        <w:spacing w:after="240" w:line="240" w:lineRule="auto"/>
        <w:jc w:val="both"/>
        <w:rPr>
          <w:rFonts w:ascii="Arial" w:hAnsi="Arial" w:cs="Arial"/>
          <w:sz w:val="22"/>
          <w:szCs w:val="22"/>
          <w:lang w:val="en-US"/>
        </w:rPr>
      </w:pPr>
      <w:r w:rsidRPr="00613C93">
        <w:rPr>
          <w:rFonts w:ascii="Arial" w:hAnsi="Arial" w:cs="Arial"/>
          <w:sz w:val="22"/>
          <w:szCs w:val="22"/>
          <w:lang w:val="en-US"/>
        </w:rPr>
        <w:t xml:space="preserve">Based on two decisions of its Executive Council in 2014 (EC-XLVII/6.2) and its Assembly in 2015 (IOC-XXVIII/5.1), the Intergovernmental Oceanographic Commission of UNESCO undertook to prepare and publish the </w:t>
      </w:r>
      <w:r w:rsidRPr="00C5208C">
        <w:rPr>
          <w:rFonts w:ascii="Arial" w:hAnsi="Arial" w:cs="Arial"/>
          <w:i/>
          <w:iCs/>
          <w:sz w:val="22"/>
          <w:szCs w:val="22"/>
          <w:lang w:val="en-US"/>
        </w:rPr>
        <w:t>Global Ocean Science Report</w:t>
      </w:r>
      <w:r w:rsidRPr="00613C93">
        <w:rPr>
          <w:rFonts w:ascii="Arial" w:hAnsi="Arial" w:cs="Arial"/>
          <w:sz w:val="22"/>
          <w:szCs w:val="22"/>
          <w:lang w:val="en-US"/>
        </w:rPr>
        <w:t xml:space="preserve">, a UNESCO Flagship Report, aiming at covering a five-year period. The first edition of the </w:t>
      </w:r>
      <w:r w:rsidRPr="00C5208C">
        <w:rPr>
          <w:rFonts w:ascii="Arial" w:hAnsi="Arial" w:cs="Arial"/>
          <w:i/>
          <w:iCs/>
          <w:sz w:val="22"/>
          <w:szCs w:val="22"/>
          <w:lang w:val="en-US"/>
        </w:rPr>
        <w:t>Global Ocean Science Report</w:t>
      </w:r>
      <w:r>
        <w:rPr>
          <w:rFonts w:ascii="Arial" w:hAnsi="Arial" w:cs="Arial"/>
          <w:sz w:val="22"/>
          <w:szCs w:val="22"/>
          <w:lang w:val="en-US"/>
        </w:rPr>
        <w:t xml:space="preserve"> (</w:t>
      </w:r>
      <w:r w:rsidRPr="00613C93">
        <w:rPr>
          <w:rFonts w:ascii="Arial" w:hAnsi="Arial" w:cs="Arial"/>
          <w:sz w:val="22"/>
          <w:szCs w:val="22"/>
          <w:lang w:val="en-US"/>
        </w:rPr>
        <w:t>GOSR</w:t>
      </w:r>
      <w:r>
        <w:rPr>
          <w:rFonts w:ascii="Arial" w:hAnsi="Arial" w:cs="Arial"/>
          <w:sz w:val="22"/>
          <w:szCs w:val="22"/>
          <w:lang w:val="en-US"/>
        </w:rPr>
        <w:t>)</w:t>
      </w:r>
      <w:r w:rsidRPr="00613C93">
        <w:rPr>
          <w:rFonts w:ascii="Arial" w:hAnsi="Arial" w:cs="Arial"/>
          <w:sz w:val="22"/>
          <w:szCs w:val="22"/>
          <w:lang w:val="en-US"/>
        </w:rPr>
        <w:t xml:space="preserve"> was published in 2017 and assessed for the first time the status and trends in ocean science capacity around the world and was followed by a second edition published in 2020.</w:t>
      </w:r>
    </w:p>
    <w:p w14:paraId="6DA400BF" w14:textId="77777777" w:rsidR="009B54A2" w:rsidRPr="00613C93" w:rsidRDefault="009B54A2" w:rsidP="009B54A2">
      <w:pPr>
        <w:spacing w:after="240" w:line="240" w:lineRule="auto"/>
        <w:jc w:val="both"/>
        <w:rPr>
          <w:rFonts w:ascii="Arial" w:hAnsi="Arial" w:cs="Arial"/>
          <w:sz w:val="22"/>
          <w:szCs w:val="22"/>
          <w:lang w:val="en-US"/>
        </w:rPr>
      </w:pPr>
      <w:r w:rsidRPr="00613C93">
        <w:rPr>
          <w:rFonts w:ascii="Arial" w:hAnsi="Arial" w:cs="Arial"/>
          <w:sz w:val="22"/>
          <w:szCs w:val="22"/>
          <w:lang w:val="en-US"/>
        </w:rPr>
        <w:t>The GOSR</w:t>
      </w:r>
      <w:r>
        <w:rPr>
          <w:rFonts w:ascii="Arial" w:hAnsi="Arial" w:cs="Arial"/>
          <w:sz w:val="22"/>
          <w:szCs w:val="22"/>
          <w:lang w:val="en-US"/>
        </w:rPr>
        <w:t xml:space="preserve"> </w:t>
      </w:r>
      <w:r w:rsidRPr="00613C93">
        <w:rPr>
          <w:rFonts w:ascii="Arial" w:hAnsi="Arial" w:cs="Arial"/>
          <w:sz w:val="22"/>
          <w:szCs w:val="22"/>
          <w:lang w:val="en-US"/>
        </w:rPr>
        <w:t xml:space="preserve">is a resource for policymakers, academics and other stakeholders seeking to harness the potential of ocean science to address global challenges by informing strategic decisions related to funding for ocean science, pointing to opportunities for scientific collaborations and fostering partnerships aimed at developing further capacity in ocean science. Importantly, the GOSR is utilized to monitor progress against indicator 14.a.1 of Sustainable Development Goal 14: ‘Proportion of total </w:t>
      </w:r>
      <w:r w:rsidRPr="00613C93">
        <w:rPr>
          <w:rFonts w:ascii="Arial" w:hAnsi="Arial" w:cs="Arial"/>
          <w:sz w:val="22"/>
          <w:szCs w:val="22"/>
          <w:lang w:val="en-US"/>
        </w:rPr>
        <w:lastRenderedPageBreak/>
        <w:t>research budget allocated to research in the field of marine technology’ and therefore represents Member State reporting on this indicator.</w:t>
      </w:r>
    </w:p>
    <w:p w14:paraId="47BD8BA8" w14:textId="77777777" w:rsidR="009B54A2" w:rsidRDefault="009B54A2" w:rsidP="009B54A2">
      <w:pPr>
        <w:spacing w:after="240" w:line="240" w:lineRule="auto"/>
        <w:jc w:val="both"/>
        <w:rPr>
          <w:rFonts w:ascii="Arial" w:hAnsi="Arial" w:cs="Arial"/>
          <w:sz w:val="22"/>
          <w:szCs w:val="22"/>
          <w:lang w:val="en-US"/>
        </w:rPr>
      </w:pPr>
      <w:r w:rsidRPr="00613C93">
        <w:rPr>
          <w:rFonts w:ascii="Arial" w:hAnsi="Arial" w:cs="Arial"/>
          <w:sz w:val="22"/>
          <w:szCs w:val="22"/>
          <w:lang w:val="en-US"/>
        </w:rPr>
        <w:t>The GOSR plays a central role in driving a transformative process aimed at providing the necessary capacities in ocean science in the context of the United Nations Decade of Ocean Science for Sustainable Development (2021–2030), the 2030 Agenda as a whole, and Sustainable Development Goal (SDG) 14 (Life below water), in particular. It is intended to serve as a benchmark to assess progress in capacity development in ocean science.</w:t>
      </w:r>
    </w:p>
    <w:p w14:paraId="4DA39801" w14:textId="77777777" w:rsidR="009B54A2" w:rsidRDefault="009B54A2" w:rsidP="00C5208C">
      <w:pPr>
        <w:spacing w:after="120" w:line="240" w:lineRule="auto"/>
        <w:jc w:val="both"/>
        <w:rPr>
          <w:rFonts w:ascii="Arial" w:hAnsi="Arial" w:cs="Arial"/>
          <w:sz w:val="22"/>
          <w:szCs w:val="22"/>
          <w:lang w:val="en-US"/>
        </w:rPr>
      </w:pPr>
      <w:r>
        <w:rPr>
          <w:rFonts w:ascii="Arial" w:hAnsi="Arial" w:cs="Arial"/>
          <w:sz w:val="22"/>
          <w:szCs w:val="22"/>
          <w:lang w:val="en-US"/>
        </w:rPr>
        <w:t>The content of the GOSR is primarily based on three main elements:</w:t>
      </w:r>
    </w:p>
    <w:p w14:paraId="180B2E64" w14:textId="77777777" w:rsidR="009B54A2" w:rsidRDefault="009B54A2" w:rsidP="00C5208C">
      <w:pPr>
        <w:pStyle w:val="ListParagraph"/>
        <w:numPr>
          <w:ilvl w:val="0"/>
          <w:numId w:val="6"/>
        </w:numPr>
        <w:spacing w:after="120" w:line="240" w:lineRule="auto"/>
        <w:ind w:left="851" w:hanging="491"/>
        <w:contextualSpacing w:val="0"/>
        <w:rPr>
          <w:rFonts w:ascii="Arial" w:hAnsi="Arial" w:cs="Arial"/>
          <w:sz w:val="22"/>
          <w:szCs w:val="22"/>
          <w:lang w:val="en-US"/>
        </w:rPr>
      </w:pPr>
      <w:r>
        <w:rPr>
          <w:rFonts w:ascii="Arial" w:hAnsi="Arial" w:cs="Arial"/>
          <w:sz w:val="22"/>
          <w:szCs w:val="22"/>
          <w:lang w:val="en-US"/>
        </w:rPr>
        <w:t>Submission by Member States of responses to a questionnaire asking for details on the investment in ocean science, infrastructure associated with ocean observing and data management, priority thematic areas of ocean science being conducted in their country and the level of collaboration and connectivity with regional and global ocean science networks.</w:t>
      </w:r>
    </w:p>
    <w:p w14:paraId="7FFF6580" w14:textId="77777777" w:rsidR="009B54A2" w:rsidRDefault="009B54A2" w:rsidP="00C5208C">
      <w:pPr>
        <w:pStyle w:val="ListParagraph"/>
        <w:numPr>
          <w:ilvl w:val="0"/>
          <w:numId w:val="6"/>
        </w:numPr>
        <w:spacing w:after="120" w:line="240" w:lineRule="auto"/>
        <w:ind w:left="851" w:hanging="491"/>
        <w:contextualSpacing w:val="0"/>
        <w:rPr>
          <w:rFonts w:ascii="Arial" w:hAnsi="Arial" w:cs="Arial"/>
          <w:sz w:val="22"/>
          <w:szCs w:val="22"/>
          <w:lang w:val="en-US"/>
        </w:rPr>
      </w:pPr>
      <w:r>
        <w:rPr>
          <w:rFonts w:ascii="Arial" w:hAnsi="Arial" w:cs="Arial"/>
          <w:sz w:val="22"/>
          <w:szCs w:val="22"/>
          <w:lang w:val="en-US"/>
        </w:rPr>
        <w:t>A bibliometric analysis of scientific outputs across the period of the focus of each report</w:t>
      </w:r>
    </w:p>
    <w:p w14:paraId="03E5E207" w14:textId="77777777" w:rsidR="009B54A2" w:rsidRPr="00A4008F" w:rsidRDefault="009B54A2" w:rsidP="00C5208C">
      <w:pPr>
        <w:pStyle w:val="ListParagraph"/>
        <w:numPr>
          <w:ilvl w:val="0"/>
          <w:numId w:val="6"/>
        </w:numPr>
        <w:spacing w:after="360" w:line="240" w:lineRule="auto"/>
        <w:ind w:left="850" w:hanging="493"/>
        <w:contextualSpacing w:val="0"/>
        <w:rPr>
          <w:rFonts w:ascii="Arial" w:hAnsi="Arial" w:cs="Arial"/>
          <w:sz w:val="22"/>
          <w:szCs w:val="22"/>
          <w:lang w:val="en-US"/>
        </w:rPr>
      </w:pPr>
      <w:r>
        <w:rPr>
          <w:rFonts w:ascii="Arial" w:hAnsi="Arial" w:cs="Arial"/>
          <w:sz w:val="22"/>
          <w:szCs w:val="22"/>
          <w:lang w:val="en-US"/>
        </w:rPr>
        <w:t>Expert input into the writing process associated with developing the report.</w:t>
      </w:r>
    </w:p>
    <w:p w14:paraId="251CEA35" w14:textId="77777777" w:rsidR="009B54A2" w:rsidRPr="007F0217" w:rsidRDefault="009B54A2" w:rsidP="00C5208C">
      <w:pPr>
        <w:pStyle w:val="Heading3"/>
        <w:spacing w:before="0" w:after="240" w:line="240" w:lineRule="auto"/>
        <w:rPr>
          <w:rFonts w:ascii="Arial" w:hAnsi="Arial" w:cs="Arial"/>
          <w:b/>
          <w:bCs/>
          <w:color w:val="000000" w:themeColor="text1"/>
          <w:sz w:val="22"/>
          <w:szCs w:val="22"/>
          <w:lang w:val="en-US"/>
        </w:rPr>
      </w:pPr>
      <w:r w:rsidRPr="007F0217">
        <w:rPr>
          <w:rFonts w:ascii="Arial" w:hAnsi="Arial" w:cs="Arial"/>
          <w:b/>
          <w:bCs/>
          <w:color w:val="000000" w:themeColor="text1"/>
          <w:sz w:val="22"/>
          <w:szCs w:val="22"/>
          <w:lang w:val="en-US"/>
        </w:rPr>
        <w:t xml:space="preserve">The Editorial Board for the third edition of the </w:t>
      </w:r>
      <w:r w:rsidRPr="007F0217">
        <w:rPr>
          <w:rFonts w:ascii="Arial" w:hAnsi="Arial" w:cs="Arial"/>
          <w:b/>
          <w:bCs/>
          <w:i/>
          <w:iCs/>
          <w:color w:val="000000" w:themeColor="text1"/>
          <w:sz w:val="22"/>
          <w:szCs w:val="22"/>
          <w:lang w:val="en-US"/>
        </w:rPr>
        <w:t>Global Ocean Science Report</w:t>
      </w:r>
    </w:p>
    <w:p w14:paraId="6151A78D" w14:textId="206DEF0D" w:rsidR="009B54A2" w:rsidRPr="009B54A2" w:rsidRDefault="009B54A2" w:rsidP="00C5208C">
      <w:pPr>
        <w:spacing w:after="240" w:line="240" w:lineRule="auto"/>
        <w:jc w:val="both"/>
        <w:rPr>
          <w:rFonts w:ascii="Arial" w:hAnsi="Arial" w:cs="Arial"/>
          <w:sz w:val="22"/>
          <w:szCs w:val="22"/>
          <w:lang w:val="en-US"/>
        </w:rPr>
      </w:pPr>
      <w:r w:rsidRPr="009B54A2">
        <w:rPr>
          <w:rFonts w:ascii="Arial" w:hAnsi="Arial" w:cs="Arial"/>
          <w:sz w:val="22"/>
          <w:szCs w:val="22"/>
          <w:lang w:val="en-US"/>
        </w:rPr>
        <w:t>Following the process of the first and second edition</w:t>
      </w:r>
      <w:r w:rsidR="00C5208C">
        <w:rPr>
          <w:rFonts w:ascii="Arial" w:hAnsi="Arial" w:cs="Arial"/>
          <w:sz w:val="22"/>
          <w:szCs w:val="22"/>
          <w:lang w:val="en-US"/>
        </w:rPr>
        <w:t>s</w:t>
      </w:r>
      <w:r w:rsidRPr="009B54A2">
        <w:rPr>
          <w:rFonts w:ascii="Arial" w:hAnsi="Arial" w:cs="Arial"/>
          <w:sz w:val="22"/>
          <w:szCs w:val="22"/>
          <w:lang w:val="en-US"/>
        </w:rPr>
        <w:t xml:space="preserve"> of the GOSR, members of the Editorial Board for the third edition were identified by all sections of the IOC Secretariat, taking into account expertise, geographical and gender balance. Several of the experts who guided the production of the report agreed to continue as members of the Board.</w:t>
      </w:r>
      <w:r w:rsidR="00C5208C">
        <w:rPr>
          <w:rFonts w:ascii="Arial" w:hAnsi="Arial" w:cs="Arial"/>
          <w:sz w:val="22"/>
          <w:szCs w:val="22"/>
          <w:lang w:val="en-US"/>
        </w:rPr>
        <w:t xml:space="preserve"> </w:t>
      </w:r>
      <w:r w:rsidRPr="009B54A2">
        <w:rPr>
          <w:rFonts w:ascii="Arial" w:hAnsi="Arial" w:cs="Arial"/>
          <w:sz w:val="22"/>
          <w:szCs w:val="22"/>
          <w:lang w:val="en-US"/>
        </w:rPr>
        <w:t xml:space="preserve">The 13 external experts comprising the GOSR Editorial Board represent 11 countries as well as the European Marine Board and the OECD. In addition, colleagues of the Ocean Decade Coordination Unit and the Ocean Observation Section are supporting the Editorial Board and the Ocean Science Section in the preparation of the report. </w:t>
      </w:r>
    </w:p>
    <w:p w14:paraId="1495C430" w14:textId="3449B09F" w:rsidR="009B54A2" w:rsidRPr="009B54A2" w:rsidRDefault="009B54A2" w:rsidP="009B54A2">
      <w:pPr>
        <w:spacing w:after="240" w:line="240" w:lineRule="auto"/>
        <w:jc w:val="both"/>
        <w:rPr>
          <w:rFonts w:ascii="Arial" w:hAnsi="Arial" w:cs="Arial"/>
          <w:sz w:val="22"/>
          <w:szCs w:val="22"/>
          <w:lang w:val="en-US"/>
        </w:rPr>
      </w:pPr>
      <w:r w:rsidRPr="009B54A2">
        <w:rPr>
          <w:rFonts w:ascii="Arial" w:hAnsi="Arial" w:cs="Arial"/>
          <w:sz w:val="22"/>
          <w:szCs w:val="22"/>
          <w:lang w:val="en-US"/>
        </w:rPr>
        <w:t xml:space="preserve">The membership of the Editorial Board for the third edition of the GOSR is detailed in </w:t>
      </w:r>
      <w:hyperlink w:anchor="a1" w:history="1">
        <w:r w:rsidRPr="007F0217">
          <w:rPr>
            <w:rStyle w:val="Hyperlink"/>
            <w:rFonts w:ascii="Arial" w:hAnsi="Arial" w:cs="Arial"/>
            <w:sz w:val="22"/>
            <w:szCs w:val="22"/>
            <w:lang w:val="en-US"/>
          </w:rPr>
          <w:t>Annex 1</w:t>
        </w:r>
      </w:hyperlink>
      <w:r w:rsidRPr="009B54A2">
        <w:rPr>
          <w:rFonts w:ascii="Arial" w:hAnsi="Arial" w:cs="Arial"/>
          <w:sz w:val="22"/>
          <w:szCs w:val="22"/>
          <w:lang w:val="en-US"/>
        </w:rPr>
        <w:t>.</w:t>
      </w:r>
    </w:p>
    <w:p w14:paraId="5094117F" w14:textId="77777777" w:rsidR="009B54A2" w:rsidRPr="007F0217" w:rsidRDefault="009B54A2" w:rsidP="00C5208C">
      <w:pPr>
        <w:pStyle w:val="Heading3"/>
        <w:spacing w:before="0" w:after="240" w:line="240" w:lineRule="auto"/>
        <w:rPr>
          <w:rFonts w:ascii="Arial" w:hAnsi="Arial" w:cs="Arial"/>
          <w:b/>
          <w:bCs/>
          <w:color w:val="000000" w:themeColor="text1"/>
          <w:sz w:val="22"/>
          <w:szCs w:val="22"/>
          <w:lang w:val="en-US"/>
        </w:rPr>
      </w:pPr>
      <w:r w:rsidRPr="007F0217">
        <w:rPr>
          <w:rFonts w:ascii="Arial" w:hAnsi="Arial" w:cs="Arial"/>
          <w:b/>
          <w:bCs/>
          <w:color w:val="000000" w:themeColor="text1"/>
          <w:sz w:val="22"/>
          <w:szCs w:val="22"/>
          <w:lang w:val="en-US"/>
        </w:rPr>
        <w:t xml:space="preserve">Progress in developing the third edition of the </w:t>
      </w:r>
      <w:r w:rsidRPr="007F0217">
        <w:rPr>
          <w:rFonts w:ascii="Arial" w:hAnsi="Arial" w:cs="Arial"/>
          <w:b/>
          <w:bCs/>
          <w:i/>
          <w:iCs/>
          <w:color w:val="000000" w:themeColor="text1"/>
          <w:sz w:val="22"/>
          <w:szCs w:val="22"/>
          <w:lang w:val="en-US"/>
        </w:rPr>
        <w:t>Global Ocean Science Report</w:t>
      </w:r>
    </w:p>
    <w:p w14:paraId="5B70077B" w14:textId="77777777" w:rsidR="009B54A2" w:rsidRPr="009B54A2" w:rsidRDefault="009B54A2" w:rsidP="00C5208C">
      <w:pPr>
        <w:spacing w:after="120" w:line="240" w:lineRule="auto"/>
        <w:jc w:val="both"/>
        <w:rPr>
          <w:rFonts w:ascii="Arial" w:hAnsi="Arial" w:cs="Arial"/>
          <w:sz w:val="22"/>
          <w:szCs w:val="22"/>
          <w:lang w:val="en-US"/>
        </w:rPr>
      </w:pPr>
      <w:r w:rsidRPr="009B54A2">
        <w:rPr>
          <w:rFonts w:ascii="Arial" w:hAnsi="Arial" w:cs="Arial"/>
          <w:sz w:val="22"/>
          <w:szCs w:val="22"/>
          <w:lang w:val="en-US"/>
        </w:rPr>
        <w:t>Due to the vacancy and delays in installing a Head of Section for the Ocean Science Section (OSS) and the workloads of OSS staff associated with programmatic delivery, the planning for the third edition of the GOSR did not commence until January 2025. Since January 2025, progress on the third edition of the GOSR has focused on:</w:t>
      </w:r>
    </w:p>
    <w:p w14:paraId="73DBEB6C" w14:textId="6F5B782A" w:rsidR="009B54A2" w:rsidRPr="00B81560" w:rsidRDefault="009B54A2" w:rsidP="00C5208C">
      <w:pPr>
        <w:pStyle w:val="ListParagraph"/>
        <w:numPr>
          <w:ilvl w:val="0"/>
          <w:numId w:val="7"/>
        </w:numPr>
        <w:spacing w:after="120" w:line="240" w:lineRule="auto"/>
        <w:contextualSpacing w:val="0"/>
        <w:rPr>
          <w:rFonts w:ascii="Arial" w:hAnsi="Arial" w:cs="Arial"/>
          <w:sz w:val="22"/>
          <w:szCs w:val="22"/>
        </w:rPr>
      </w:pPr>
      <w:r w:rsidRPr="00B81560">
        <w:rPr>
          <w:rFonts w:ascii="Arial" w:hAnsi="Arial" w:cs="Arial"/>
          <w:sz w:val="22"/>
          <w:szCs w:val="22"/>
        </w:rPr>
        <w:t xml:space="preserve">Confirming the Terms of Reference for the Editorial Board (provided in </w:t>
      </w:r>
      <w:hyperlink w:anchor="a2" w:history="1">
        <w:r w:rsidRPr="007F0217">
          <w:rPr>
            <w:rStyle w:val="Hyperlink"/>
            <w:rFonts w:ascii="Arial" w:hAnsi="Arial" w:cs="Arial"/>
            <w:sz w:val="22"/>
            <w:szCs w:val="22"/>
          </w:rPr>
          <w:t>Annex 2</w:t>
        </w:r>
      </w:hyperlink>
      <w:r w:rsidRPr="00B81560">
        <w:rPr>
          <w:rFonts w:ascii="Arial" w:hAnsi="Arial" w:cs="Arial"/>
          <w:sz w:val="22"/>
          <w:szCs w:val="22"/>
        </w:rPr>
        <w:t>).</w:t>
      </w:r>
    </w:p>
    <w:p w14:paraId="56E38418" w14:textId="66147D56" w:rsidR="009B54A2" w:rsidRPr="00B81560" w:rsidRDefault="009B54A2" w:rsidP="00C5208C">
      <w:pPr>
        <w:pStyle w:val="ListParagraph"/>
        <w:numPr>
          <w:ilvl w:val="0"/>
          <w:numId w:val="7"/>
        </w:numPr>
        <w:spacing w:after="120" w:line="240" w:lineRule="auto"/>
        <w:contextualSpacing w:val="0"/>
        <w:rPr>
          <w:rFonts w:ascii="Arial" w:hAnsi="Arial" w:cs="Arial"/>
          <w:sz w:val="22"/>
          <w:szCs w:val="22"/>
        </w:rPr>
      </w:pPr>
      <w:r w:rsidRPr="00B81560">
        <w:rPr>
          <w:rFonts w:ascii="Arial" w:hAnsi="Arial" w:cs="Arial"/>
          <w:sz w:val="22"/>
          <w:szCs w:val="22"/>
        </w:rPr>
        <w:t xml:space="preserve">Developing a timeline for the preparation and delivery of the report (provided in </w:t>
      </w:r>
      <w:hyperlink w:anchor="a3" w:history="1">
        <w:r w:rsidRPr="007F0217">
          <w:rPr>
            <w:rStyle w:val="Hyperlink"/>
            <w:rFonts w:ascii="Arial" w:hAnsi="Arial" w:cs="Arial"/>
            <w:sz w:val="22"/>
            <w:szCs w:val="22"/>
          </w:rPr>
          <w:t>Annex 3</w:t>
        </w:r>
      </w:hyperlink>
      <w:r w:rsidRPr="00B81560">
        <w:rPr>
          <w:rFonts w:ascii="Arial" w:hAnsi="Arial" w:cs="Arial"/>
          <w:sz w:val="22"/>
          <w:szCs w:val="22"/>
        </w:rPr>
        <w:t>).</w:t>
      </w:r>
    </w:p>
    <w:p w14:paraId="714F8247" w14:textId="20595E38" w:rsidR="009B54A2" w:rsidRPr="00B81560" w:rsidRDefault="009B54A2" w:rsidP="00C5208C">
      <w:pPr>
        <w:pStyle w:val="ListParagraph"/>
        <w:numPr>
          <w:ilvl w:val="0"/>
          <w:numId w:val="7"/>
        </w:numPr>
        <w:spacing w:after="120" w:line="240" w:lineRule="auto"/>
        <w:contextualSpacing w:val="0"/>
        <w:rPr>
          <w:rFonts w:ascii="Arial" w:hAnsi="Arial" w:cs="Arial"/>
          <w:sz w:val="22"/>
          <w:szCs w:val="22"/>
        </w:rPr>
      </w:pPr>
      <w:r>
        <w:rPr>
          <w:rFonts w:ascii="Arial" w:hAnsi="Arial" w:cs="Arial"/>
          <w:sz w:val="22"/>
          <w:szCs w:val="22"/>
        </w:rPr>
        <w:t>Identifying a title and d</w:t>
      </w:r>
      <w:r w:rsidRPr="00B81560">
        <w:rPr>
          <w:rFonts w:ascii="Arial" w:hAnsi="Arial" w:cs="Arial"/>
          <w:sz w:val="22"/>
          <w:szCs w:val="22"/>
        </w:rPr>
        <w:t xml:space="preserve">eveloping an outline for the report, including chapter headings and sub-headings (provided in </w:t>
      </w:r>
      <w:hyperlink w:anchor="a4" w:history="1">
        <w:r w:rsidRPr="007F0217">
          <w:rPr>
            <w:rStyle w:val="Hyperlink"/>
            <w:rFonts w:ascii="Arial" w:hAnsi="Arial" w:cs="Arial"/>
            <w:sz w:val="22"/>
            <w:szCs w:val="22"/>
          </w:rPr>
          <w:t>Annex 4</w:t>
        </w:r>
      </w:hyperlink>
      <w:r w:rsidRPr="00B81560">
        <w:rPr>
          <w:rFonts w:ascii="Arial" w:hAnsi="Arial" w:cs="Arial"/>
          <w:sz w:val="22"/>
          <w:szCs w:val="22"/>
        </w:rPr>
        <w:t>).</w:t>
      </w:r>
    </w:p>
    <w:p w14:paraId="1245DDC6" w14:textId="6A7946D1" w:rsidR="009B54A2" w:rsidRPr="00B81560" w:rsidRDefault="009B54A2" w:rsidP="00C5208C">
      <w:pPr>
        <w:pStyle w:val="ListParagraph"/>
        <w:numPr>
          <w:ilvl w:val="0"/>
          <w:numId w:val="7"/>
        </w:numPr>
        <w:spacing w:after="120" w:line="240" w:lineRule="auto"/>
        <w:contextualSpacing w:val="0"/>
        <w:rPr>
          <w:rFonts w:ascii="Arial" w:hAnsi="Arial" w:cs="Arial"/>
          <w:sz w:val="22"/>
          <w:szCs w:val="22"/>
        </w:rPr>
      </w:pPr>
      <w:r w:rsidRPr="00B81560">
        <w:rPr>
          <w:rFonts w:ascii="Arial" w:hAnsi="Arial" w:cs="Arial"/>
          <w:sz w:val="22"/>
          <w:szCs w:val="22"/>
        </w:rPr>
        <w:t xml:space="preserve">Updating the Member State questionnaire (provided in </w:t>
      </w:r>
      <w:hyperlink r:id="rId10" w:history="1">
        <w:r w:rsidR="00C5208C">
          <w:rPr>
            <w:rStyle w:val="Hyperlink"/>
            <w:rFonts w:ascii="Arial" w:hAnsi="Arial" w:cs="Arial"/>
            <w:sz w:val="22"/>
            <w:szCs w:val="22"/>
          </w:rPr>
          <w:t xml:space="preserve">IOC Circular Letter </w:t>
        </w:r>
        <w:r w:rsidRPr="00B81560">
          <w:rPr>
            <w:rStyle w:val="Hyperlink"/>
            <w:rFonts w:ascii="Arial" w:hAnsi="Arial" w:cs="Arial"/>
            <w:sz w:val="22"/>
            <w:szCs w:val="22"/>
          </w:rPr>
          <w:t>3035</w:t>
        </w:r>
      </w:hyperlink>
      <w:r w:rsidRPr="00B81560">
        <w:rPr>
          <w:rFonts w:ascii="Arial" w:hAnsi="Arial" w:cs="Arial"/>
          <w:sz w:val="22"/>
          <w:szCs w:val="22"/>
        </w:rPr>
        <w:t>) and facilitating online access to and submission of the questionnaire.</w:t>
      </w:r>
    </w:p>
    <w:p w14:paraId="1D59B1B3" w14:textId="77777777" w:rsidR="009B54A2" w:rsidRPr="00B81560" w:rsidRDefault="009B54A2" w:rsidP="00C5208C">
      <w:pPr>
        <w:pStyle w:val="ListParagraph"/>
        <w:numPr>
          <w:ilvl w:val="0"/>
          <w:numId w:val="7"/>
        </w:numPr>
        <w:spacing w:after="120" w:line="240" w:lineRule="auto"/>
        <w:contextualSpacing w:val="0"/>
        <w:rPr>
          <w:rFonts w:ascii="Arial" w:hAnsi="Arial" w:cs="Arial"/>
          <w:sz w:val="22"/>
          <w:szCs w:val="22"/>
        </w:rPr>
      </w:pPr>
      <w:r w:rsidRPr="00B81560">
        <w:rPr>
          <w:rFonts w:ascii="Arial" w:hAnsi="Arial" w:cs="Arial"/>
          <w:sz w:val="22"/>
          <w:szCs w:val="22"/>
        </w:rPr>
        <w:t>Issuing a call for Member States to nominate national focal points for the submission of the Member State questionnaire</w:t>
      </w:r>
      <w:r>
        <w:rPr>
          <w:rFonts w:ascii="Arial" w:hAnsi="Arial" w:cs="Arial"/>
          <w:sz w:val="22"/>
          <w:szCs w:val="22"/>
        </w:rPr>
        <w:t xml:space="preserve"> (</w:t>
      </w:r>
      <w:hyperlink r:id="rId11" w:history="1">
        <w:r w:rsidRPr="00B81560">
          <w:rPr>
            <w:rStyle w:val="Hyperlink"/>
            <w:rFonts w:ascii="Arial" w:hAnsi="Arial" w:cs="Arial"/>
            <w:sz w:val="22"/>
            <w:szCs w:val="22"/>
          </w:rPr>
          <w:t>CL-3035</w:t>
        </w:r>
      </w:hyperlink>
      <w:r>
        <w:rPr>
          <w:rFonts w:ascii="Arial" w:hAnsi="Arial" w:cs="Arial"/>
          <w:sz w:val="22"/>
          <w:szCs w:val="22"/>
        </w:rPr>
        <w:t>)</w:t>
      </w:r>
      <w:r w:rsidRPr="00B81560">
        <w:rPr>
          <w:rFonts w:ascii="Arial" w:hAnsi="Arial" w:cs="Arial"/>
          <w:sz w:val="22"/>
          <w:szCs w:val="22"/>
        </w:rPr>
        <w:t>.</w:t>
      </w:r>
    </w:p>
    <w:p w14:paraId="1502DF6B" w14:textId="6900A48B" w:rsidR="009B54A2" w:rsidRPr="00B81560" w:rsidRDefault="009B54A2" w:rsidP="00C5208C">
      <w:pPr>
        <w:pStyle w:val="ListParagraph"/>
        <w:numPr>
          <w:ilvl w:val="0"/>
          <w:numId w:val="7"/>
        </w:numPr>
        <w:spacing w:after="120" w:line="240" w:lineRule="auto"/>
        <w:contextualSpacing w:val="0"/>
        <w:rPr>
          <w:rFonts w:ascii="Arial" w:hAnsi="Arial" w:cs="Arial"/>
          <w:sz w:val="22"/>
          <w:szCs w:val="22"/>
        </w:rPr>
      </w:pPr>
      <w:r w:rsidRPr="44D44B5B">
        <w:rPr>
          <w:rFonts w:ascii="Arial" w:hAnsi="Arial" w:cs="Arial"/>
          <w:sz w:val="22"/>
          <w:szCs w:val="22"/>
        </w:rPr>
        <w:t xml:space="preserve">Providing information sessions on the third edition of the GOSR and Member State questionnaire (recordings and the related presentation can be </w:t>
      </w:r>
      <w:r w:rsidR="00C5208C" w:rsidRPr="00C5208C">
        <w:rPr>
          <w:rFonts w:ascii="Arial" w:hAnsi="Arial" w:cs="Arial"/>
          <w:sz w:val="22"/>
          <w:szCs w:val="22"/>
        </w:rPr>
        <w:t>requested</w:t>
      </w:r>
      <w:r w:rsidR="00C5208C">
        <w:t xml:space="preserve"> to the Secretariat</w:t>
      </w:r>
      <w:r w:rsidRPr="44D44B5B">
        <w:rPr>
          <w:rFonts w:ascii="Arial" w:hAnsi="Arial" w:cs="Arial"/>
          <w:sz w:val="22"/>
          <w:szCs w:val="22"/>
        </w:rPr>
        <w:t>).</w:t>
      </w:r>
    </w:p>
    <w:p w14:paraId="2A41D8F9" w14:textId="77777777" w:rsidR="009B54A2" w:rsidRPr="00B81560" w:rsidRDefault="009B54A2" w:rsidP="00C5208C">
      <w:pPr>
        <w:pStyle w:val="ListParagraph"/>
        <w:numPr>
          <w:ilvl w:val="0"/>
          <w:numId w:val="7"/>
        </w:numPr>
        <w:spacing w:after="120" w:line="240" w:lineRule="auto"/>
        <w:contextualSpacing w:val="0"/>
        <w:rPr>
          <w:rFonts w:ascii="Arial" w:hAnsi="Arial" w:cs="Arial"/>
          <w:sz w:val="22"/>
          <w:szCs w:val="22"/>
        </w:rPr>
      </w:pPr>
      <w:r>
        <w:rPr>
          <w:rFonts w:ascii="Arial" w:hAnsi="Arial" w:cs="Arial"/>
          <w:sz w:val="22"/>
          <w:szCs w:val="22"/>
        </w:rPr>
        <w:lastRenderedPageBreak/>
        <w:t>Reviewing and updating graphical outputs associated with the bibliometric analysis and c</w:t>
      </w:r>
      <w:r w:rsidRPr="00B81560">
        <w:rPr>
          <w:rFonts w:ascii="Arial" w:hAnsi="Arial" w:cs="Arial"/>
          <w:sz w:val="22"/>
          <w:szCs w:val="22"/>
        </w:rPr>
        <w:t>ontracting services for the bibliometric analysis.</w:t>
      </w:r>
    </w:p>
    <w:p w14:paraId="3B2D9EC6" w14:textId="77777777" w:rsidR="009B54A2" w:rsidRPr="00B81560" w:rsidRDefault="009B54A2" w:rsidP="00C5208C">
      <w:pPr>
        <w:pStyle w:val="ListParagraph"/>
        <w:numPr>
          <w:ilvl w:val="0"/>
          <w:numId w:val="7"/>
        </w:numPr>
        <w:spacing w:after="120" w:line="240" w:lineRule="auto"/>
        <w:contextualSpacing w:val="0"/>
        <w:rPr>
          <w:rFonts w:ascii="Arial" w:hAnsi="Arial" w:cs="Arial"/>
          <w:sz w:val="22"/>
          <w:szCs w:val="22"/>
        </w:rPr>
      </w:pPr>
      <w:r w:rsidRPr="00B81560">
        <w:rPr>
          <w:rFonts w:ascii="Arial" w:hAnsi="Arial" w:cs="Arial"/>
          <w:sz w:val="22"/>
          <w:szCs w:val="22"/>
        </w:rPr>
        <w:t>Undertaking a</w:t>
      </w:r>
      <w:r>
        <w:rPr>
          <w:rFonts w:ascii="Arial" w:hAnsi="Arial" w:cs="Arial"/>
          <w:sz w:val="22"/>
          <w:szCs w:val="22"/>
        </w:rPr>
        <w:t xml:space="preserve"> thematic, geographic and gender distribution</w:t>
      </w:r>
      <w:r w:rsidRPr="00B81560">
        <w:rPr>
          <w:rFonts w:ascii="Arial" w:hAnsi="Arial" w:cs="Arial"/>
          <w:sz w:val="22"/>
          <w:szCs w:val="22"/>
        </w:rPr>
        <w:t xml:space="preserve"> assessment of scientific conferences and workshops.</w:t>
      </w:r>
    </w:p>
    <w:p w14:paraId="6030F55C" w14:textId="77777777" w:rsidR="009B54A2" w:rsidRDefault="009B54A2" w:rsidP="00C5208C">
      <w:pPr>
        <w:pStyle w:val="ListParagraph"/>
        <w:numPr>
          <w:ilvl w:val="0"/>
          <w:numId w:val="7"/>
        </w:numPr>
        <w:spacing w:after="120" w:line="240" w:lineRule="auto"/>
        <w:contextualSpacing w:val="0"/>
        <w:rPr>
          <w:rFonts w:ascii="Arial" w:hAnsi="Arial" w:cs="Arial"/>
          <w:sz w:val="22"/>
          <w:szCs w:val="22"/>
        </w:rPr>
      </w:pPr>
      <w:r w:rsidRPr="00B81560">
        <w:rPr>
          <w:rFonts w:ascii="Arial" w:hAnsi="Arial" w:cs="Arial"/>
          <w:sz w:val="22"/>
          <w:szCs w:val="22"/>
        </w:rPr>
        <w:t>Identifying potential authors and reviewers for the chapters of the report.</w:t>
      </w:r>
    </w:p>
    <w:p w14:paraId="5141A5AF" w14:textId="77777777" w:rsidR="009B54A2" w:rsidRPr="00B81560" w:rsidRDefault="009B54A2" w:rsidP="009B54A2">
      <w:pPr>
        <w:pStyle w:val="ListParagraph"/>
        <w:numPr>
          <w:ilvl w:val="0"/>
          <w:numId w:val="7"/>
        </w:numPr>
        <w:rPr>
          <w:rFonts w:ascii="Arial" w:hAnsi="Arial" w:cs="Arial"/>
          <w:sz w:val="22"/>
          <w:szCs w:val="22"/>
        </w:rPr>
      </w:pPr>
      <w:r>
        <w:rPr>
          <w:rFonts w:ascii="Arial" w:hAnsi="Arial" w:cs="Arial"/>
          <w:sz w:val="22"/>
          <w:szCs w:val="22"/>
        </w:rPr>
        <w:t>Developing guidelines for writing teams and reviewers.</w:t>
      </w:r>
    </w:p>
    <w:p w14:paraId="5E7E0D8E" w14:textId="77777777" w:rsidR="009B54A2" w:rsidRPr="009B54A2" w:rsidRDefault="009B54A2" w:rsidP="009B54A2">
      <w:pPr>
        <w:spacing w:after="240" w:line="240" w:lineRule="auto"/>
        <w:jc w:val="both"/>
        <w:rPr>
          <w:rFonts w:ascii="Arial" w:hAnsi="Arial" w:cs="Arial"/>
          <w:sz w:val="22"/>
          <w:szCs w:val="22"/>
          <w:lang w:val="en-US"/>
        </w:rPr>
      </w:pPr>
      <w:r w:rsidRPr="009B54A2">
        <w:rPr>
          <w:rFonts w:ascii="Arial" w:hAnsi="Arial" w:cs="Arial"/>
          <w:sz w:val="22"/>
          <w:szCs w:val="22"/>
          <w:lang w:val="en-US"/>
        </w:rPr>
        <w:t>The above activities have been facilitated through monthly meetings of the Editorial Board throughout 2025 and an in-person meeting of the Editorial Board held in May 2025.</w:t>
      </w:r>
    </w:p>
    <w:p w14:paraId="24DAD867" w14:textId="77AC8F32" w:rsidR="009B54A2" w:rsidRPr="009B54A2" w:rsidRDefault="009B54A2" w:rsidP="009B54A2">
      <w:pPr>
        <w:spacing w:after="240" w:line="240" w:lineRule="auto"/>
        <w:jc w:val="both"/>
        <w:rPr>
          <w:rFonts w:ascii="Arial" w:hAnsi="Arial" w:cs="Arial"/>
          <w:sz w:val="22"/>
          <w:szCs w:val="22"/>
          <w:lang w:val="en-US"/>
        </w:rPr>
      </w:pPr>
      <w:r w:rsidRPr="009B54A2">
        <w:rPr>
          <w:rFonts w:ascii="Arial" w:hAnsi="Arial" w:cs="Arial"/>
          <w:sz w:val="22"/>
          <w:szCs w:val="22"/>
          <w:lang w:val="en-US"/>
        </w:rPr>
        <w:t xml:space="preserve">As of 1 June 2025, a total of 36 Member States have nominated focal points for the submission of the Member State questionnaire (Figure 1). Additional Member States are encouraged to nominate focal points and contribute to the report to ensure that the report includes information relevant to their country and region and the report delivers against the original objectives agreed upon by Member States as per the </w:t>
      </w:r>
      <w:r w:rsidR="00C5208C" w:rsidRPr="009B54A2">
        <w:rPr>
          <w:rFonts w:ascii="Arial" w:hAnsi="Arial" w:cs="Arial"/>
          <w:sz w:val="22"/>
          <w:szCs w:val="22"/>
          <w:lang w:val="en-US"/>
        </w:rPr>
        <w:t xml:space="preserve">IOC </w:t>
      </w:r>
      <w:r w:rsidR="00C5208C" w:rsidRPr="44D44B5B">
        <w:rPr>
          <w:rFonts w:ascii="Arial" w:hAnsi="Arial" w:cs="Arial"/>
          <w:sz w:val="22"/>
          <w:szCs w:val="22"/>
          <w:lang w:val="en-US"/>
        </w:rPr>
        <w:t xml:space="preserve">Executive Council </w:t>
      </w:r>
      <w:r w:rsidRPr="009B54A2">
        <w:rPr>
          <w:rFonts w:ascii="Arial" w:hAnsi="Arial" w:cs="Arial"/>
          <w:sz w:val="22"/>
          <w:szCs w:val="22"/>
          <w:lang w:val="en-US"/>
        </w:rPr>
        <w:t>decision</w:t>
      </w:r>
      <w:r w:rsidR="00C5208C">
        <w:rPr>
          <w:rFonts w:ascii="Arial" w:hAnsi="Arial" w:cs="Arial"/>
          <w:sz w:val="22"/>
          <w:szCs w:val="22"/>
          <w:lang w:val="en-US"/>
        </w:rPr>
        <w:t xml:space="preserve"> </w:t>
      </w:r>
      <w:r w:rsidRPr="44D44B5B">
        <w:rPr>
          <w:rFonts w:ascii="Arial" w:hAnsi="Arial" w:cs="Arial"/>
          <w:sz w:val="22"/>
          <w:szCs w:val="22"/>
          <w:lang w:val="en-US"/>
        </w:rPr>
        <w:t>EC-XLVII/6.2</w:t>
      </w:r>
      <w:r w:rsidR="00C5208C">
        <w:rPr>
          <w:rFonts w:ascii="Arial" w:hAnsi="Arial" w:cs="Arial"/>
          <w:sz w:val="22"/>
          <w:szCs w:val="22"/>
          <w:lang w:val="en-US"/>
        </w:rPr>
        <w:t xml:space="preserve"> in 2014</w:t>
      </w:r>
      <w:r w:rsidRPr="44D44B5B">
        <w:rPr>
          <w:rFonts w:ascii="Arial" w:hAnsi="Arial" w:cs="Arial"/>
          <w:sz w:val="22"/>
          <w:szCs w:val="22"/>
          <w:lang w:val="en-US"/>
        </w:rPr>
        <w:t xml:space="preserve"> and the IOC Assembly </w:t>
      </w:r>
      <w:r w:rsidR="00C5208C">
        <w:rPr>
          <w:rFonts w:ascii="Arial" w:hAnsi="Arial" w:cs="Arial"/>
          <w:sz w:val="22"/>
          <w:szCs w:val="22"/>
          <w:lang w:val="en-US"/>
        </w:rPr>
        <w:t xml:space="preserve">decision </w:t>
      </w:r>
      <w:r w:rsidRPr="44D44B5B">
        <w:rPr>
          <w:rFonts w:ascii="Arial" w:hAnsi="Arial" w:cs="Arial"/>
          <w:sz w:val="22"/>
          <w:szCs w:val="22"/>
          <w:lang w:val="en-US"/>
        </w:rPr>
        <w:t>IOC-XXVIII/5.1</w:t>
      </w:r>
      <w:r w:rsidR="00C5208C">
        <w:rPr>
          <w:rFonts w:ascii="Arial" w:hAnsi="Arial" w:cs="Arial"/>
          <w:sz w:val="22"/>
          <w:szCs w:val="22"/>
          <w:lang w:val="en-US"/>
        </w:rPr>
        <w:t xml:space="preserve"> </w:t>
      </w:r>
      <w:r w:rsidR="00C5208C" w:rsidRPr="44D44B5B">
        <w:rPr>
          <w:rFonts w:ascii="Arial" w:hAnsi="Arial" w:cs="Arial"/>
          <w:sz w:val="22"/>
          <w:szCs w:val="22"/>
          <w:lang w:val="en-US"/>
        </w:rPr>
        <w:t>in 2015</w:t>
      </w:r>
      <w:r w:rsidRPr="44D44B5B">
        <w:rPr>
          <w:rFonts w:ascii="Arial" w:hAnsi="Arial" w:cs="Arial"/>
          <w:sz w:val="22"/>
          <w:szCs w:val="22"/>
          <w:lang w:val="en-US"/>
        </w:rPr>
        <w:t>.</w:t>
      </w:r>
    </w:p>
    <w:p w14:paraId="4FD25A68" w14:textId="77777777" w:rsidR="009B54A2" w:rsidRPr="007F0217" w:rsidRDefault="009B54A2" w:rsidP="00C5208C">
      <w:pPr>
        <w:pStyle w:val="Heading3"/>
        <w:spacing w:before="0" w:after="240" w:line="240" w:lineRule="auto"/>
        <w:rPr>
          <w:rFonts w:ascii="Arial" w:hAnsi="Arial" w:cs="Arial"/>
          <w:b/>
          <w:bCs/>
          <w:color w:val="000000" w:themeColor="text1"/>
          <w:sz w:val="22"/>
          <w:szCs w:val="22"/>
          <w:lang w:val="en-US"/>
        </w:rPr>
      </w:pPr>
      <w:r w:rsidRPr="007F0217">
        <w:rPr>
          <w:rFonts w:ascii="Arial" w:hAnsi="Arial" w:cs="Arial"/>
          <w:b/>
          <w:bCs/>
          <w:color w:val="000000" w:themeColor="text1"/>
          <w:sz w:val="22"/>
          <w:szCs w:val="22"/>
          <w:lang w:val="en-US"/>
        </w:rPr>
        <w:t>Next steps</w:t>
      </w:r>
    </w:p>
    <w:p w14:paraId="53E33267" w14:textId="70DA165D" w:rsidR="009B54A2" w:rsidRPr="009B54A2" w:rsidRDefault="009B54A2" w:rsidP="009B54A2">
      <w:pPr>
        <w:spacing w:after="240" w:line="240" w:lineRule="auto"/>
        <w:jc w:val="both"/>
        <w:rPr>
          <w:rFonts w:ascii="Arial" w:hAnsi="Arial" w:cs="Arial"/>
          <w:sz w:val="22"/>
          <w:szCs w:val="22"/>
          <w:lang w:val="en-US"/>
        </w:rPr>
      </w:pPr>
      <w:r w:rsidRPr="009B54A2">
        <w:rPr>
          <w:rFonts w:ascii="Arial" w:hAnsi="Arial" w:cs="Arial"/>
          <w:sz w:val="22"/>
          <w:szCs w:val="22"/>
          <w:lang w:val="en-US"/>
        </w:rPr>
        <w:t>The Secretariat is currently finalising contact details of potential authors and reviewers with the Editorial Board, following which authors and reviewers will be invited to contribute to writing teams for each chapter. Feedback from the Editorial Board is being incorporated into the assessment of scientific conferences and workshops and the assessment finalised. The preliminary outputs from the bibliometric analysis will be available in June, following which the Editorial Board will provide feedback to the contractor and the analysis finalised and delivered in July</w:t>
      </w:r>
      <w:r w:rsidR="007F0217">
        <w:rPr>
          <w:rFonts w:ascii="Arial" w:hAnsi="Arial" w:cs="Arial"/>
          <w:sz w:val="22"/>
          <w:szCs w:val="22"/>
          <w:lang w:val="en-US"/>
        </w:rPr>
        <w:t xml:space="preserve"> 2025</w:t>
      </w:r>
      <w:r w:rsidRPr="009B54A2">
        <w:rPr>
          <w:rFonts w:ascii="Arial" w:hAnsi="Arial" w:cs="Arial"/>
          <w:sz w:val="22"/>
          <w:szCs w:val="22"/>
          <w:lang w:val="en-US"/>
        </w:rPr>
        <w:t xml:space="preserve">. As part of providing clear guidance to writing teams, the Editorial Board will be developing an annotated version of the outline for the report. This will ensure that essential components and relevant issues are covered by each writing team and not overlooked. </w:t>
      </w:r>
    </w:p>
    <w:p w14:paraId="0C7B72DF" w14:textId="2E80471B" w:rsidR="007F0217" w:rsidRDefault="00534047" w:rsidP="007F0217">
      <w:pPr>
        <w:jc w:val="center"/>
        <w:rPr>
          <w:rFonts w:ascii="Arial" w:hAnsi="Arial" w:cs="Arial"/>
          <w:sz w:val="22"/>
          <w:szCs w:val="22"/>
        </w:rPr>
      </w:pPr>
      <w:r>
        <w:rPr>
          <w:noProof/>
        </w:rPr>
        <w:drawing>
          <wp:inline distT="0" distB="0" distL="0" distR="0" wp14:anchorId="78552656" wp14:editId="43C25503">
            <wp:extent cx="3786997" cy="2674223"/>
            <wp:effectExtent l="0" t="0" r="4445" b="0"/>
            <wp:docPr id="351773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03462" cy="2685850"/>
                    </a:xfrm>
                    <a:prstGeom prst="rect">
                      <a:avLst/>
                    </a:prstGeom>
                    <a:noFill/>
                    <a:ln>
                      <a:noFill/>
                    </a:ln>
                  </pic:spPr>
                </pic:pic>
              </a:graphicData>
            </a:graphic>
          </wp:inline>
        </w:drawing>
      </w:r>
    </w:p>
    <w:p w14:paraId="1139FD3A" w14:textId="0AEEF6B7" w:rsidR="009B54A2" w:rsidRDefault="009B54A2" w:rsidP="007F0217">
      <w:pPr>
        <w:ind w:left="1560" w:right="1631"/>
        <w:rPr>
          <w:rFonts w:ascii="Arial" w:hAnsi="Arial" w:cs="Arial"/>
          <w:sz w:val="22"/>
          <w:szCs w:val="22"/>
        </w:rPr>
      </w:pPr>
      <w:r w:rsidRPr="007F0217">
        <w:rPr>
          <w:rFonts w:ascii="Arial" w:hAnsi="Arial" w:cs="Arial"/>
          <w:sz w:val="22"/>
          <w:szCs w:val="22"/>
          <w:u w:val="single"/>
        </w:rPr>
        <w:t>Figure 1</w:t>
      </w:r>
      <w:r w:rsidRPr="44D44B5B">
        <w:rPr>
          <w:rFonts w:ascii="Arial" w:hAnsi="Arial" w:cs="Arial"/>
          <w:sz w:val="22"/>
          <w:szCs w:val="22"/>
        </w:rPr>
        <w:t>. Countries that have nominated focal points for submission of the Member State questionnaire as of 1 June 2025.</w:t>
      </w:r>
    </w:p>
    <w:p w14:paraId="37662D2A" w14:textId="6D289FD0" w:rsidR="009B54A2" w:rsidRPr="009B54A2" w:rsidRDefault="009B54A2" w:rsidP="009B54A2">
      <w:pPr>
        <w:spacing w:after="240" w:line="240" w:lineRule="auto"/>
        <w:jc w:val="both"/>
        <w:rPr>
          <w:rFonts w:ascii="Arial" w:hAnsi="Arial" w:cs="Arial"/>
          <w:sz w:val="22"/>
          <w:szCs w:val="22"/>
          <w:lang w:val="en-US"/>
        </w:rPr>
      </w:pPr>
      <w:r w:rsidRPr="009B54A2">
        <w:rPr>
          <w:rFonts w:ascii="Arial" w:hAnsi="Arial" w:cs="Arial"/>
          <w:sz w:val="22"/>
          <w:szCs w:val="22"/>
          <w:lang w:val="en-US"/>
        </w:rPr>
        <w:lastRenderedPageBreak/>
        <w:t>Given the current budgetary situation, there are currently insufficient funds available to progress a number of elements associated with the editorial process and finalisation (including translation) of the report within 2025. Most of these activities have been scheduled into the first half of 2026. As soon as the prioritisation of funds available to the IOC is completed and in association, an updated timeline has been developed by the Editorial Board, Member States will be informed of any updates to the submission dates of the questionnaire.</w:t>
      </w:r>
    </w:p>
    <w:p w14:paraId="65DF6452" w14:textId="77777777" w:rsidR="009B54A2" w:rsidRDefault="009B54A2" w:rsidP="009B54A2">
      <w:pPr>
        <w:spacing w:after="240" w:line="240" w:lineRule="auto"/>
        <w:jc w:val="both"/>
        <w:rPr>
          <w:rFonts w:ascii="Arial" w:hAnsi="Arial" w:cs="Arial"/>
          <w:sz w:val="22"/>
          <w:szCs w:val="22"/>
          <w:lang w:val="en-US"/>
        </w:rPr>
      </w:pPr>
      <w:r w:rsidRPr="009B54A2">
        <w:rPr>
          <w:rFonts w:ascii="Arial" w:hAnsi="Arial" w:cs="Arial"/>
          <w:sz w:val="22"/>
          <w:szCs w:val="22"/>
          <w:lang w:val="en-US"/>
        </w:rPr>
        <w:t>An assessment of the lessons learned from the third cycle of the GOSR process will be undertaken by the Secretariat in the first half of 2026 with input from the Editorial Board. This will include developing a set of guidelines for planning of editions of the GOSR to ensure that adequate leads times and planning of budgets (including identification of risks and relevant responses) can be incorporated into future editions of the report.</w:t>
      </w:r>
    </w:p>
    <w:p w14:paraId="436162E1" w14:textId="77777777" w:rsidR="007F0217" w:rsidRPr="009B54A2" w:rsidRDefault="007F0217" w:rsidP="000464C0">
      <w:pPr>
        <w:spacing w:after="0" w:line="240" w:lineRule="auto"/>
        <w:jc w:val="both"/>
        <w:rPr>
          <w:rFonts w:ascii="Arial" w:hAnsi="Arial" w:cs="Arial"/>
          <w:sz w:val="22"/>
          <w:szCs w:val="22"/>
          <w:lang w:val="en-US"/>
        </w:rPr>
      </w:pPr>
    </w:p>
    <w:p w14:paraId="6262AEF6" w14:textId="08C5DEFD" w:rsidR="00C17E7E" w:rsidRPr="00477243" w:rsidRDefault="00C17E7E" w:rsidP="009B54A2">
      <w:pPr>
        <w:pStyle w:val="Heading3"/>
        <w:pBdr>
          <w:bottom w:val="single" w:sz="4" w:space="1" w:color="auto"/>
        </w:pBdr>
        <w:ind w:left="980" w:hanging="980"/>
        <w:rPr>
          <w:rFonts w:ascii="Arial" w:hAnsi="Arial" w:cs="Arial"/>
          <w:b/>
          <w:bCs/>
          <w:color w:val="000000" w:themeColor="text1"/>
          <w:sz w:val="22"/>
          <w:szCs w:val="22"/>
        </w:rPr>
      </w:pPr>
      <w:bookmarkStart w:id="0" w:name="a1"/>
      <w:r w:rsidRPr="00477243">
        <w:rPr>
          <w:rFonts w:ascii="Arial" w:hAnsi="Arial" w:cs="Arial"/>
          <w:b/>
          <w:bCs/>
          <w:color w:val="000000" w:themeColor="text1"/>
          <w:sz w:val="22"/>
          <w:szCs w:val="22"/>
        </w:rPr>
        <w:t xml:space="preserve">Annex 1: </w:t>
      </w:r>
      <w:bookmarkEnd w:id="0"/>
      <w:r w:rsidR="009B54A2" w:rsidRPr="009B54A2">
        <w:rPr>
          <w:rFonts w:ascii="Arial" w:hAnsi="Arial" w:cs="Arial"/>
          <w:b/>
          <w:bCs/>
          <w:color w:val="000000" w:themeColor="text1"/>
          <w:sz w:val="22"/>
          <w:szCs w:val="22"/>
        </w:rPr>
        <w:t xml:space="preserve">Membership of the Editorial Board for the third edition </w:t>
      </w:r>
      <w:r w:rsidR="009B54A2">
        <w:rPr>
          <w:rFonts w:ascii="Arial" w:hAnsi="Arial" w:cs="Arial"/>
          <w:b/>
          <w:bCs/>
          <w:color w:val="000000" w:themeColor="text1"/>
          <w:sz w:val="22"/>
          <w:szCs w:val="22"/>
        </w:rPr>
        <w:br/>
      </w:r>
      <w:r w:rsidR="009B54A2" w:rsidRPr="009B54A2">
        <w:rPr>
          <w:rFonts w:ascii="Arial" w:hAnsi="Arial" w:cs="Arial"/>
          <w:b/>
          <w:bCs/>
          <w:color w:val="000000" w:themeColor="text1"/>
          <w:sz w:val="22"/>
          <w:szCs w:val="22"/>
        </w:rPr>
        <w:t xml:space="preserve">of the </w:t>
      </w:r>
      <w:r w:rsidR="009B54A2" w:rsidRPr="007F0217">
        <w:rPr>
          <w:rFonts w:ascii="Arial" w:hAnsi="Arial" w:cs="Arial"/>
          <w:b/>
          <w:bCs/>
          <w:i/>
          <w:iCs/>
          <w:color w:val="000000" w:themeColor="text1"/>
          <w:sz w:val="22"/>
          <w:szCs w:val="22"/>
        </w:rPr>
        <w:t>Global Ocean Science Report</w:t>
      </w:r>
    </w:p>
    <w:p w14:paraId="7EDEFD3D" w14:textId="77777777" w:rsidR="00C17E7E" w:rsidRDefault="00C17E7E" w:rsidP="00C17E7E">
      <w:pPr>
        <w:pStyle w:val="ListParagraph"/>
        <w:ind w:left="1080"/>
        <w:jc w:val="both"/>
        <w:rPr>
          <w:rFonts w:cs="Arial"/>
        </w:rPr>
      </w:pPr>
    </w:p>
    <w:tbl>
      <w:tblPr>
        <w:tblStyle w:val="TableGrid"/>
        <w:tblW w:w="5000" w:type="pct"/>
        <w:tblLook w:val="04A0" w:firstRow="1" w:lastRow="0" w:firstColumn="1" w:lastColumn="0" w:noHBand="0" w:noVBand="1"/>
      </w:tblPr>
      <w:tblGrid>
        <w:gridCol w:w="3539"/>
        <w:gridCol w:w="6446"/>
      </w:tblGrid>
      <w:tr w:rsidR="009B54A2" w:rsidRPr="0073695D" w14:paraId="442B76EF" w14:textId="77777777" w:rsidTr="009B54A2">
        <w:tc>
          <w:tcPr>
            <w:tcW w:w="1772" w:type="pct"/>
          </w:tcPr>
          <w:p w14:paraId="1CA7B23B" w14:textId="77777777" w:rsidR="009B54A2" w:rsidRPr="0073695D" w:rsidRDefault="009B54A2" w:rsidP="009B54A2">
            <w:pPr>
              <w:pStyle w:val="ListParagraph"/>
              <w:spacing w:before="120" w:after="120"/>
              <w:ind w:left="0"/>
              <w:contextualSpacing w:val="0"/>
              <w:jc w:val="both"/>
              <w:rPr>
                <w:rFonts w:ascii="Arial" w:hAnsi="Arial" w:cs="Arial"/>
                <w:b/>
                <w:bCs/>
                <w:sz w:val="22"/>
                <w:szCs w:val="22"/>
              </w:rPr>
            </w:pPr>
            <w:r w:rsidRPr="0073695D">
              <w:rPr>
                <w:rFonts w:ascii="Arial" w:hAnsi="Arial" w:cs="Arial"/>
                <w:b/>
                <w:bCs/>
                <w:sz w:val="22"/>
                <w:szCs w:val="22"/>
              </w:rPr>
              <w:t>Name</w:t>
            </w:r>
          </w:p>
        </w:tc>
        <w:tc>
          <w:tcPr>
            <w:tcW w:w="3228" w:type="pct"/>
          </w:tcPr>
          <w:p w14:paraId="686D4CE2" w14:textId="77777777" w:rsidR="009B54A2" w:rsidRPr="0073695D" w:rsidRDefault="009B54A2" w:rsidP="009B54A2">
            <w:pPr>
              <w:pStyle w:val="ListParagraph"/>
              <w:spacing w:before="120" w:after="120"/>
              <w:ind w:left="0"/>
              <w:contextualSpacing w:val="0"/>
              <w:rPr>
                <w:rFonts w:ascii="Arial" w:hAnsi="Arial" w:cs="Arial"/>
                <w:b/>
                <w:bCs/>
                <w:sz w:val="22"/>
                <w:szCs w:val="22"/>
              </w:rPr>
            </w:pPr>
            <w:r w:rsidRPr="0073695D">
              <w:rPr>
                <w:rFonts w:ascii="Arial" w:hAnsi="Arial" w:cs="Arial"/>
                <w:b/>
                <w:bCs/>
                <w:sz w:val="22"/>
                <w:szCs w:val="22"/>
              </w:rPr>
              <w:t>Institution</w:t>
            </w:r>
          </w:p>
        </w:tc>
      </w:tr>
      <w:tr w:rsidR="009B54A2" w:rsidRPr="0073695D" w14:paraId="04737601" w14:textId="77777777" w:rsidTr="009B54A2">
        <w:tc>
          <w:tcPr>
            <w:tcW w:w="1772" w:type="pct"/>
          </w:tcPr>
          <w:p w14:paraId="527E79D4" w14:textId="77777777" w:rsidR="009B54A2" w:rsidRPr="0073695D" w:rsidRDefault="009B54A2" w:rsidP="009B54A2">
            <w:pPr>
              <w:pStyle w:val="ListParagraph"/>
              <w:spacing w:before="120" w:after="120"/>
              <w:ind w:left="0"/>
              <w:contextualSpacing w:val="0"/>
              <w:jc w:val="both"/>
              <w:rPr>
                <w:rFonts w:ascii="Arial" w:hAnsi="Arial" w:cs="Arial"/>
                <w:sz w:val="22"/>
                <w:szCs w:val="22"/>
              </w:rPr>
            </w:pPr>
            <w:r w:rsidRPr="0073695D">
              <w:rPr>
                <w:rFonts w:ascii="Arial" w:hAnsi="Arial" w:cs="Arial"/>
                <w:sz w:val="22"/>
                <w:szCs w:val="22"/>
                <w:lang w:eastAsia="ko-KR"/>
              </w:rPr>
              <w:t>Jan Mees</w:t>
            </w:r>
            <w:r>
              <w:rPr>
                <w:rFonts w:ascii="Arial" w:hAnsi="Arial" w:cs="Arial"/>
                <w:sz w:val="22"/>
                <w:szCs w:val="22"/>
                <w:lang w:eastAsia="ko-KR"/>
              </w:rPr>
              <w:t>*</w:t>
            </w:r>
          </w:p>
        </w:tc>
        <w:tc>
          <w:tcPr>
            <w:tcW w:w="3228" w:type="pct"/>
          </w:tcPr>
          <w:p w14:paraId="59148D09" w14:textId="77777777" w:rsidR="009B54A2" w:rsidRPr="0073695D" w:rsidRDefault="009B54A2" w:rsidP="009B54A2">
            <w:pPr>
              <w:pStyle w:val="ListParagraph"/>
              <w:spacing w:before="120" w:after="120"/>
              <w:ind w:left="0"/>
              <w:contextualSpacing w:val="0"/>
              <w:rPr>
                <w:rFonts w:ascii="Arial" w:hAnsi="Arial" w:cs="Arial"/>
                <w:sz w:val="22"/>
                <w:szCs w:val="22"/>
              </w:rPr>
            </w:pPr>
            <w:r w:rsidRPr="0073695D">
              <w:rPr>
                <w:rFonts w:ascii="Arial" w:hAnsi="Arial" w:cs="Arial"/>
                <w:sz w:val="22"/>
                <w:szCs w:val="22"/>
              </w:rPr>
              <w:t>Flanders Marine Institute, Belgium</w:t>
            </w:r>
          </w:p>
        </w:tc>
      </w:tr>
      <w:tr w:rsidR="009B54A2" w:rsidRPr="0073695D" w14:paraId="375192EA" w14:textId="77777777" w:rsidTr="009B54A2">
        <w:tc>
          <w:tcPr>
            <w:tcW w:w="1772" w:type="pct"/>
          </w:tcPr>
          <w:p w14:paraId="5C82AEC5" w14:textId="77777777" w:rsidR="009B54A2" w:rsidRPr="0073695D" w:rsidRDefault="009B54A2" w:rsidP="009B54A2">
            <w:pPr>
              <w:pStyle w:val="ListParagraph"/>
              <w:spacing w:before="120" w:after="120"/>
              <w:ind w:left="0"/>
              <w:contextualSpacing w:val="0"/>
              <w:jc w:val="both"/>
              <w:rPr>
                <w:rFonts w:ascii="Arial" w:hAnsi="Arial" w:cs="Arial"/>
                <w:sz w:val="22"/>
                <w:szCs w:val="22"/>
              </w:rPr>
            </w:pPr>
            <w:r w:rsidRPr="0073695D">
              <w:rPr>
                <w:rFonts w:ascii="Arial" w:eastAsia="Arial" w:hAnsi="Arial" w:cs="Arial"/>
                <w:sz w:val="22"/>
                <w:szCs w:val="22"/>
              </w:rPr>
              <w:t>Jacqueline Uku</w:t>
            </w:r>
            <w:r>
              <w:rPr>
                <w:rFonts w:ascii="Arial" w:eastAsia="Arial" w:hAnsi="Arial" w:cs="Arial"/>
                <w:sz w:val="22"/>
                <w:szCs w:val="22"/>
              </w:rPr>
              <w:t>*</w:t>
            </w:r>
          </w:p>
        </w:tc>
        <w:tc>
          <w:tcPr>
            <w:tcW w:w="3228" w:type="pct"/>
          </w:tcPr>
          <w:p w14:paraId="1C77B46E" w14:textId="77777777" w:rsidR="009B54A2" w:rsidRPr="0073695D" w:rsidRDefault="009B54A2" w:rsidP="009B54A2">
            <w:pPr>
              <w:pStyle w:val="ListParagraph"/>
              <w:spacing w:before="120" w:after="120"/>
              <w:ind w:left="0"/>
              <w:contextualSpacing w:val="0"/>
              <w:rPr>
                <w:rFonts w:ascii="Arial" w:hAnsi="Arial" w:cs="Arial"/>
                <w:sz w:val="22"/>
                <w:szCs w:val="22"/>
                <w:lang w:val="en-US"/>
              </w:rPr>
            </w:pPr>
            <w:r w:rsidRPr="0073695D">
              <w:rPr>
                <w:rFonts w:ascii="Arial" w:hAnsi="Arial" w:cs="Arial"/>
                <w:sz w:val="22"/>
                <w:szCs w:val="22"/>
                <w:lang w:val="en-US"/>
              </w:rPr>
              <w:t>Kenyan Marine and Fisheries Institute, Kenya</w:t>
            </w:r>
          </w:p>
        </w:tc>
      </w:tr>
      <w:tr w:rsidR="009B54A2" w:rsidRPr="0073695D" w14:paraId="542E6B5E" w14:textId="77777777" w:rsidTr="009B54A2">
        <w:tc>
          <w:tcPr>
            <w:tcW w:w="1772" w:type="pct"/>
          </w:tcPr>
          <w:p w14:paraId="4F7DE244" w14:textId="77777777" w:rsidR="009B54A2" w:rsidRDefault="009B54A2" w:rsidP="009B54A2">
            <w:pPr>
              <w:pStyle w:val="ListParagraph"/>
              <w:spacing w:before="120" w:after="120"/>
              <w:ind w:left="0"/>
              <w:contextualSpacing w:val="0"/>
              <w:jc w:val="both"/>
              <w:rPr>
                <w:rFonts w:ascii="Arial" w:hAnsi="Arial" w:cs="Arial"/>
                <w:sz w:val="22"/>
                <w:szCs w:val="22"/>
              </w:rPr>
            </w:pPr>
            <w:r>
              <w:rPr>
                <w:rFonts w:ascii="Arial" w:hAnsi="Arial" w:cs="Arial"/>
                <w:sz w:val="22"/>
                <w:szCs w:val="22"/>
              </w:rPr>
              <w:t>Kentaro Ando</w:t>
            </w:r>
          </w:p>
        </w:tc>
        <w:tc>
          <w:tcPr>
            <w:tcW w:w="3228" w:type="pct"/>
          </w:tcPr>
          <w:p w14:paraId="2B5E1A94" w14:textId="77777777" w:rsidR="009B54A2" w:rsidRDefault="009B54A2" w:rsidP="009B54A2">
            <w:pPr>
              <w:pStyle w:val="ListParagraph"/>
              <w:spacing w:before="120" w:after="120"/>
              <w:ind w:left="0"/>
              <w:contextualSpacing w:val="0"/>
              <w:rPr>
                <w:rFonts w:ascii="Arial" w:hAnsi="Arial" w:cs="Arial"/>
                <w:sz w:val="22"/>
                <w:szCs w:val="22"/>
              </w:rPr>
            </w:pPr>
            <w:r>
              <w:rPr>
                <w:rFonts w:ascii="Arial" w:hAnsi="Arial" w:cs="Arial"/>
                <w:sz w:val="22"/>
                <w:szCs w:val="22"/>
              </w:rPr>
              <w:t>Japan Agency for Marine-Earth Science and Technology</w:t>
            </w:r>
          </w:p>
        </w:tc>
      </w:tr>
      <w:tr w:rsidR="009B54A2" w:rsidRPr="00534047" w14:paraId="56342D1A" w14:textId="77777777" w:rsidTr="009B54A2">
        <w:tc>
          <w:tcPr>
            <w:tcW w:w="1772" w:type="pct"/>
          </w:tcPr>
          <w:p w14:paraId="13D9D98E" w14:textId="77777777" w:rsidR="009B54A2" w:rsidRDefault="009B54A2" w:rsidP="009B54A2">
            <w:pPr>
              <w:pStyle w:val="ListParagraph"/>
              <w:spacing w:before="120" w:after="120"/>
              <w:ind w:left="0"/>
              <w:contextualSpacing w:val="0"/>
              <w:jc w:val="both"/>
              <w:rPr>
                <w:rFonts w:ascii="Arial" w:hAnsi="Arial" w:cs="Arial"/>
                <w:sz w:val="22"/>
                <w:szCs w:val="22"/>
              </w:rPr>
            </w:pPr>
            <w:r>
              <w:rPr>
                <w:rFonts w:ascii="Arial" w:hAnsi="Arial" w:cs="Arial"/>
                <w:sz w:val="22"/>
                <w:szCs w:val="22"/>
              </w:rPr>
              <w:t>Ronaldo Christofoletti</w:t>
            </w:r>
          </w:p>
        </w:tc>
        <w:tc>
          <w:tcPr>
            <w:tcW w:w="3228" w:type="pct"/>
          </w:tcPr>
          <w:p w14:paraId="277BDF59" w14:textId="77777777" w:rsidR="009B54A2" w:rsidRPr="00534047" w:rsidRDefault="009B54A2" w:rsidP="009B54A2">
            <w:pPr>
              <w:pStyle w:val="ListParagraph"/>
              <w:spacing w:before="120" w:after="120"/>
              <w:ind w:left="0"/>
              <w:contextualSpacing w:val="0"/>
              <w:rPr>
                <w:rFonts w:ascii="Arial" w:hAnsi="Arial" w:cs="Arial"/>
                <w:sz w:val="22"/>
                <w:szCs w:val="22"/>
                <w:lang w:val="es-ES"/>
              </w:rPr>
            </w:pPr>
            <w:r w:rsidRPr="00534047">
              <w:rPr>
                <w:rFonts w:ascii="Arial" w:hAnsi="Arial" w:cs="Arial"/>
                <w:sz w:val="22"/>
                <w:szCs w:val="22"/>
                <w:lang w:val="es-ES"/>
              </w:rPr>
              <w:t>Instituto do Mar, Universidade Federal de São Paulo, Brasil</w:t>
            </w:r>
          </w:p>
        </w:tc>
      </w:tr>
      <w:tr w:rsidR="009B54A2" w:rsidRPr="0073695D" w14:paraId="7F4B3B08" w14:textId="77777777" w:rsidTr="009B54A2">
        <w:tc>
          <w:tcPr>
            <w:tcW w:w="1772" w:type="pct"/>
          </w:tcPr>
          <w:p w14:paraId="2AB31B22" w14:textId="77777777" w:rsidR="009B54A2" w:rsidRDefault="009B54A2" w:rsidP="009B54A2">
            <w:pPr>
              <w:pStyle w:val="ListParagraph"/>
              <w:spacing w:before="120" w:after="120"/>
              <w:ind w:left="0"/>
              <w:contextualSpacing w:val="0"/>
              <w:jc w:val="both"/>
              <w:rPr>
                <w:rFonts w:ascii="Arial" w:hAnsi="Arial" w:cs="Arial"/>
                <w:sz w:val="22"/>
                <w:szCs w:val="22"/>
              </w:rPr>
            </w:pPr>
            <w:r>
              <w:rPr>
                <w:rFonts w:ascii="Arial" w:hAnsi="Arial" w:cs="Arial"/>
                <w:sz w:val="22"/>
                <w:szCs w:val="22"/>
              </w:rPr>
              <w:t>Minhan Dai</w:t>
            </w:r>
          </w:p>
        </w:tc>
        <w:tc>
          <w:tcPr>
            <w:tcW w:w="3228" w:type="pct"/>
          </w:tcPr>
          <w:p w14:paraId="3424B547" w14:textId="77777777" w:rsidR="009B54A2" w:rsidRDefault="009B54A2" w:rsidP="009B54A2">
            <w:pPr>
              <w:pStyle w:val="ListParagraph"/>
              <w:spacing w:before="120" w:after="120"/>
              <w:ind w:left="0"/>
              <w:contextualSpacing w:val="0"/>
              <w:rPr>
                <w:rFonts w:ascii="Arial" w:hAnsi="Arial" w:cs="Arial"/>
                <w:sz w:val="22"/>
                <w:szCs w:val="22"/>
              </w:rPr>
            </w:pPr>
            <w:r>
              <w:rPr>
                <w:rFonts w:ascii="Arial" w:hAnsi="Arial" w:cs="Arial"/>
                <w:sz w:val="22"/>
                <w:szCs w:val="22"/>
              </w:rPr>
              <w:t>Xiamen University, China</w:t>
            </w:r>
          </w:p>
        </w:tc>
      </w:tr>
      <w:tr w:rsidR="009B54A2" w:rsidRPr="0073695D" w14:paraId="34D0BAC6" w14:textId="77777777" w:rsidTr="009B54A2">
        <w:tc>
          <w:tcPr>
            <w:tcW w:w="1772" w:type="pct"/>
          </w:tcPr>
          <w:p w14:paraId="0424A4BC" w14:textId="77777777" w:rsidR="009B54A2" w:rsidRPr="0073695D" w:rsidRDefault="009B54A2" w:rsidP="009B54A2">
            <w:pPr>
              <w:pStyle w:val="ListParagraph"/>
              <w:spacing w:before="120" w:after="120"/>
              <w:ind w:left="0"/>
              <w:contextualSpacing w:val="0"/>
              <w:jc w:val="both"/>
              <w:rPr>
                <w:rFonts w:ascii="Arial" w:hAnsi="Arial" w:cs="Arial"/>
                <w:sz w:val="22"/>
                <w:szCs w:val="22"/>
              </w:rPr>
            </w:pPr>
            <w:r>
              <w:rPr>
                <w:rFonts w:ascii="Arial" w:hAnsi="Arial" w:cs="Arial"/>
                <w:sz w:val="22"/>
                <w:szCs w:val="22"/>
              </w:rPr>
              <w:t>Sheila Heymans</w:t>
            </w:r>
          </w:p>
        </w:tc>
        <w:tc>
          <w:tcPr>
            <w:tcW w:w="3228" w:type="pct"/>
          </w:tcPr>
          <w:p w14:paraId="0CD07978" w14:textId="77777777" w:rsidR="009B54A2" w:rsidRPr="0073695D" w:rsidRDefault="009B54A2" w:rsidP="009B54A2">
            <w:pPr>
              <w:pStyle w:val="ListParagraph"/>
              <w:spacing w:before="120" w:after="120"/>
              <w:ind w:left="0"/>
              <w:contextualSpacing w:val="0"/>
              <w:rPr>
                <w:rFonts w:ascii="Arial" w:hAnsi="Arial" w:cs="Arial"/>
                <w:sz w:val="22"/>
                <w:szCs w:val="22"/>
              </w:rPr>
            </w:pPr>
            <w:r>
              <w:rPr>
                <w:rFonts w:ascii="Arial" w:hAnsi="Arial" w:cs="Arial"/>
                <w:sz w:val="22"/>
                <w:szCs w:val="22"/>
              </w:rPr>
              <w:t>European Marine Board, Belgium</w:t>
            </w:r>
          </w:p>
        </w:tc>
      </w:tr>
      <w:tr w:rsidR="009B54A2" w:rsidRPr="0073695D" w14:paraId="58976D64" w14:textId="77777777" w:rsidTr="009B54A2">
        <w:tc>
          <w:tcPr>
            <w:tcW w:w="1772" w:type="pct"/>
          </w:tcPr>
          <w:p w14:paraId="469A1106" w14:textId="77777777" w:rsidR="009B54A2" w:rsidRPr="0073695D" w:rsidRDefault="009B54A2" w:rsidP="009B54A2">
            <w:pPr>
              <w:pStyle w:val="ListParagraph"/>
              <w:spacing w:before="120" w:after="120"/>
              <w:ind w:left="0"/>
              <w:contextualSpacing w:val="0"/>
              <w:jc w:val="both"/>
              <w:rPr>
                <w:rFonts w:ascii="Arial" w:hAnsi="Arial" w:cs="Arial"/>
                <w:sz w:val="22"/>
                <w:szCs w:val="22"/>
              </w:rPr>
            </w:pPr>
            <w:r w:rsidRPr="0073695D">
              <w:rPr>
                <w:rFonts w:ascii="Arial" w:hAnsi="Arial" w:cs="Arial"/>
                <w:sz w:val="22"/>
                <w:szCs w:val="22"/>
              </w:rPr>
              <w:t>Claire Jolly</w:t>
            </w:r>
          </w:p>
        </w:tc>
        <w:tc>
          <w:tcPr>
            <w:tcW w:w="3228" w:type="pct"/>
          </w:tcPr>
          <w:p w14:paraId="1F8BFDE1" w14:textId="77777777" w:rsidR="009B54A2" w:rsidRPr="0073695D" w:rsidRDefault="009B54A2" w:rsidP="009B54A2">
            <w:pPr>
              <w:pStyle w:val="ListParagraph"/>
              <w:spacing w:before="120" w:after="120"/>
              <w:ind w:left="0"/>
              <w:contextualSpacing w:val="0"/>
              <w:rPr>
                <w:rFonts w:ascii="Arial" w:hAnsi="Arial" w:cs="Arial"/>
                <w:sz w:val="22"/>
                <w:szCs w:val="22"/>
              </w:rPr>
            </w:pPr>
            <w:r w:rsidRPr="0073695D">
              <w:rPr>
                <w:rFonts w:ascii="Arial" w:hAnsi="Arial" w:cs="Arial"/>
                <w:sz w:val="22"/>
                <w:szCs w:val="22"/>
              </w:rPr>
              <w:t>OECD, France</w:t>
            </w:r>
          </w:p>
        </w:tc>
      </w:tr>
      <w:tr w:rsidR="009B54A2" w:rsidRPr="0073695D" w14:paraId="1C6B1CCE" w14:textId="77777777" w:rsidTr="009B54A2">
        <w:tc>
          <w:tcPr>
            <w:tcW w:w="1772" w:type="pct"/>
          </w:tcPr>
          <w:p w14:paraId="444C6833" w14:textId="77777777" w:rsidR="009B54A2" w:rsidRPr="0073695D" w:rsidRDefault="009B54A2" w:rsidP="009B54A2">
            <w:pPr>
              <w:pStyle w:val="ListParagraph"/>
              <w:spacing w:before="120" w:after="120"/>
              <w:ind w:left="0"/>
              <w:contextualSpacing w:val="0"/>
              <w:jc w:val="both"/>
              <w:rPr>
                <w:rFonts w:ascii="Arial" w:hAnsi="Arial" w:cs="Arial"/>
                <w:sz w:val="22"/>
                <w:szCs w:val="22"/>
              </w:rPr>
            </w:pPr>
            <w:r w:rsidRPr="0073695D">
              <w:rPr>
                <w:rFonts w:ascii="Arial" w:eastAsia="Arial" w:hAnsi="Arial" w:cs="Arial"/>
                <w:sz w:val="22"/>
                <w:szCs w:val="22"/>
              </w:rPr>
              <w:t>Kwame Koranteng</w:t>
            </w:r>
          </w:p>
        </w:tc>
        <w:tc>
          <w:tcPr>
            <w:tcW w:w="3228" w:type="pct"/>
          </w:tcPr>
          <w:p w14:paraId="42464252" w14:textId="77777777" w:rsidR="009B54A2" w:rsidRPr="0073695D" w:rsidRDefault="009B54A2" w:rsidP="009B54A2">
            <w:pPr>
              <w:pStyle w:val="ListParagraph"/>
              <w:spacing w:before="120" w:after="120"/>
              <w:ind w:left="0"/>
              <w:contextualSpacing w:val="0"/>
              <w:rPr>
                <w:rFonts w:ascii="Arial" w:hAnsi="Arial" w:cs="Arial"/>
                <w:sz w:val="22"/>
                <w:szCs w:val="22"/>
              </w:rPr>
            </w:pPr>
            <w:r w:rsidRPr="00A07D93">
              <w:rPr>
                <w:rFonts w:ascii="Arial" w:hAnsi="Arial" w:cs="Arial"/>
                <w:sz w:val="22"/>
                <w:szCs w:val="22"/>
              </w:rPr>
              <w:t>Food and Agriculture Organization</w:t>
            </w:r>
            <w:r w:rsidRPr="0073695D">
              <w:rPr>
                <w:rFonts w:ascii="Arial" w:hAnsi="Arial" w:cs="Arial"/>
                <w:sz w:val="22"/>
                <w:szCs w:val="22"/>
              </w:rPr>
              <w:t>, Ghana</w:t>
            </w:r>
          </w:p>
        </w:tc>
      </w:tr>
      <w:tr w:rsidR="009B54A2" w:rsidRPr="0073695D" w14:paraId="66D62583" w14:textId="77777777" w:rsidTr="009B54A2">
        <w:tc>
          <w:tcPr>
            <w:tcW w:w="1772" w:type="pct"/>
          </w:tcPr>
          <w:p w14:paraId="543CDC95" w14:textId="77777777" w:rsidR="009B54A2" w:rsidRPr="0073695D" w:rsidRDefault="009B54A2" w:rsidP="009B54A2">
            <w:pPr>
              <w:pStyle w:val="ListParagraph"/>
              <w:spacing w:before="120" w:after="120"/>
              <w:ind w:left="0"/>
              <w:contextualSpacing w:val="0"/>
              <w:jc w:val="both"/>
              <w:rPr>
                <w:rFonts w:ascii="Arial" w:hAnsi="Arial" w:cs="Arial"/>
                <w:sz w:val="22"/>
                <w:szCs w:val="22"/>
              </w:rPr>
            </w:pPr>
            <w:r w:rsidRPr="0073695D">
              <w:rPr>
                <w:rFonts w:ascii="Arial" w:hAnsi="Arial" w:cs="Arial"/>
                <w:sz w:val="22"/>
                <w:szCs w:val="22"/>
              </w:rPr>
              <w:t>Youn-ho Lee</w:t>
            </w:r>
          </w:p>
        </w:tc>
        <w:tc>
          <w:tcPr>
            <w:tcW w:w="3228" w:type="pct"/>
          </w:tcPr>
          <w:p w14:paraId="3DE7207D" w14:textId="77777777" w:rsidR="009B54A2" w:rsidRPr="0073695D" w:rsidRDefault="009B54A2" w:rsidP="009B54A2">
            <w:pPr>
              <w:pStyle w:val="ListParagraph"/>
              <w:spacing w:before="120" w:after="120"/>
              <w:ind w:left="0"/>
              <w:contextualSpacing w:val="0"/>
              <w:rPr>
                <w:rFonts w:ascii="Arial" w:hAnsi="Arial" w:cs="Arial"/>
                <w:sz w:val="22"/>
                <w:szCs w:val="22"/>
              </w:rPr>
            </w:pPr>
            <w:r w:rsidRPr="0073695D">
              <w:rPr>
                <w:rFonts w:ascii="Arial" w:hAnsi="Arial" w:cs="Arial"/>
                <w:sz w:val="22"/>
                <w:szCs w:val="22"/>
              </w:rPr>
              <w:t>Korea Institute of Ocean Science and Technology, Korea</w:t>
            </w:r>
          </w:p>
        </w:tc>
      </w:tr>
      <w:tr w:rsidR="009B54A2" w:rsidRPr="0073695D" w14:paraId="611C7B44" w14:textId="77777777" w:rsidTr="009B54A2">
        <w:tc>
          <w:tcPr>
            <w:tcW w:w="1772" w:type="pct"/>
          </w:tcPr>
          <w:p w14:paraId="406A0515" w14:textId="77777777" w:rsidR="009B54A2" w:rsidRPr="0073695D" w:rsidRDefault="009B54A2" w:rsidP="009B54A2">
            <w:pPr>
              <w:pStyle w:val="ListParagraph"/>
              <w:tabs>
                <w:tab w:val="left" w:pos="3300"/>
              </w:tabs>
              <w:spacing w:before="120" w:after="120"/>
              <w:ind w:left="0"/>
              <w:contextualSpacing w:val="0"/>
              <w:jc w:val="both"/>
              <w:rPr>
                <w:rFonts w:ascii="Arial" w:hAnsi="Arial" w:cs="Arial"/>
                <w:sz w:val="22"/>
                <w:szCs w:val="22"/>
              </w:rPr>
            </w:pPr>
            <w:r w:rsidRPr="0073695D">
              <w:rPr>
                <w:rFonts w:ascii="Arial" w:hAnsi="Arial" w:cs="Arial"/>
                <w:sz w:val="22"/>
                <w:szCs w:val="22"/>
              </w:rPr>
              <w:t>Leonard Nurse</w:t>
            </w:r>
          </w:p>
        </w:tc>
        <w:tc>
          <w:tcPr>
            <w:tcW w:w="3228" w:type="pct"/>
          </w:tcPr>
          <w:p w14:paraId="3E51BF16" w14:textId="77777777" w:rsidR="009B54A2" w:rsidRPr="0073695D" w:rsidRDefault="009B54A2" w:rsidP="009B54A2">
            <w:pPr>
              <w:spacing w:before="120" w:after="120"/>
              <w:rPr>
                <w:rFonts w:ascii="Arial" w:eastAsia="Arial" w:hAnsi="Arial" w:cs="Arial"/>
                <w:sz w:val="22"/>
                <w:szCs w:val="22"/>
              </w:rPr>
            </w:pPr>
            <w:r w:rsidRPr="0073695D">
              <w:rPr>
                <w:rFonts w:ascii="Arial" w:hAnsi="Arial" w:cs="Arial"/>
                <w:sz w:val="22"/>
                <w:szCs w:val="22"/>
              </w:rPr>
              <w:t>University of the West Indies, Barbados</w:t>
            </w:r>
          </w:p>
        </w:tc>
      </w:tr>
      <w:tr w:rsidR="009B54A2" w:rsidRPr="0073695D" w14:paraId="753C9B0F" w14:textId="77777777" w:rsidTr="009B54A2">
        <w:tc>
          <w:tcPr>
            <w:tcW w:w="1772" w:type="pct"/>
          </w:tcPr>
          <w:p w14:paraId="1CB1DC76" w14:textId="77777777" w:rsidR="009B54A2" w:rsidRPr="0073695D" w:rsidRDefault="009B54A2" w:rsidP="009B54A2">
            <w:pPr>
              <w:pStyle w:val="ListParagraph"/>
              <w:spacing w:before="120" w:after="120"/>
              <w:ind w:left="0"/>
              <w:contextualSpacing w:val="0"/>
              <w:jc w:val="both"/>
              <w:rPr>
                <w:rFonts w:ascii="Arial" w:hAnsi="Arial" w:cs="Arial"/>
                <w:sz w:val="22"/>
                <w:szCs w:val="22"/>
              </w:rPr>
            </w:pPr>
            <w:r w:rsidRPr="0073695D">
              <w:rPr>
                <w:rFonts w:ascii="Arial" w:hAnsi="Arial" w:cs="Arial"/>
                <w:sz w:val="22"/>
                <w:szCs w:val="22"/>
              </w:rPr>
              <w:t>Rohan Pathirage</w:t>
            </w:r>
          </w:p>
        </w:tc>
        <w:tc>
          <w:tcPr>
            <w:tcW w:w="3228" w:type="pct"/>
          </w:tcPr>
          <w:p w14:paraId="6E635EE6" w14:textId="77777777" w:rsidR="009B54A2" w:rsidRPr="0073695D" w:rsidRDefault="009B54A2" w:rsidP="009B54A2">
            <w:pPr>
              <w:spacing w:before="120" w:after="120"/>
              <w:rPr>
                <w:rFonts w:ascii="Arial" w:eastAsia="Arial" w:hAnsi="Arial" w:cs="Arial"/>
                <w:sz w:val="22"/>
                <w:szCs w:val="22"/>
                <w:lang w:val="en-US"/>
              </w:rPr>
            </w:pPr>
            <w:r w:rsidRPr="0073695D">
              <w:rPr>
                <w:rFonts w:ascii="Arial" w:eastAsia="Arial" w:hAnsi="Arial" w:cs="Arial"/>
                <w:sz w:val="22"/>
                <w:szCs w:val="22"/>
              </w:rPr>
              <w:t>UNESCO Institute of Statistics, Canada</w:t>
            </w:r>
          </w:p>
        </w:tc>
      </w:tr>
      <w:tr w:rsidR="009B54A2" w:rsidRPr="0073695D" w14:paraId="120FE2DB" w14:textId="77777777" w:rsidTr="009B54A2">
        <w:tc>
          <w:tcPr>
            <w:tcW w:w="1772" w:type="pct"/>
          </w:tcPr>
          <w:p w14:paraId="311571E1" w14:textId="77777777" w:rsidR="009B54A2" w:rsidRPr="0073695D" w:rsidRDefault="009B54A2" w:rsidP="009B54A2">
            <w:pPr>
              <w:pStyle w:val="ListParagraph"/>
              <w:spacing w:before="120" w:after="120"/>
              <w:ind w:left="0"/>
              <w:contextualSpacing w:val="0"/>
              <w:jc w:val="both"/>
              <w:rPr>
                <w:rFonts w:ascii="Arial" w:hAnsi="Arial" w:cs="Arial"/>
                <w:sz w:val="22"/>
                <w:szCs w:val="22"/>
              </w:rPr>
            </w:pPr>
            <w:r w:rsidRPr="0073695D">
              <w:rPr>
                <w:rFonts w:ascii="Arial" w:hAnsi="Arial" w:cs="Arial"/>
                <w:sz w:val="22"/>
                <w:szCs w:val="22"/>
              </w:rPr>
              <w:t>Susan Roberts</w:t>
            </w:r>
          </w:p>
        </w:tc>
        <w:tc>
          <w:tcPr>
            <w:tcW w:w="3228" w:type="pct"/>
          </w:tcPr>
          <w:p w14:paraId="1EBEA014" w14:textId="77777777" w:rsidR="009B54A2" w:rsidRPr="0073695D" w:rsidRDefault="009B54A2" w:rsidP="009B54A2">
            <w:pPr>
              <w:spacing w:before="120" w:after="120"/>
              <w:rPr>
                <w:rFonts w:ascii="Arial" w:hAnsi="Arial" w:cs="Arial"/>
                <w:color w:val="000000"/>
                <w:sz w:val="22"/>
                <w:szCs w:val="22"/>
              </w:rPr>
            </w:pPr>
            <w:r w:rsidRPr="0073695D">
              <w:rPr>
                <w:rFonts w:ascii="Arial" w:eastAsia="Arial" w:hAnsi="Arial" w:cs="Arial"/>
                <w:sz w:val="22"/>
                <w:szCs w:val="22"/>
              </w:rPr>
              <w:t>The National Academies of Sciences, Engineering, and Medicine, USA</w:t>
            </w:r>
          </w:p>
        </w:tc>
      </w:tr>
      <w:tr w:rsidR="009B54A2" w:rsidRPr="00534047" w14:paraId="6CD224E7" w14:textId="77777777" w:rsidTr="009B54A2">
        <w:tc>
          <w:tcPr>
            <w:tcW w:w="1772" w:type="pct"/>
          </w:tcPr>
          <w:p w14:paraId="067E98E5" w14:textId="77777777" w:rsidR="009B54A2" w:rsidRPr="0073695D" w:rsidRDefault="009B54A2" w:rsidP="009B54A2">
            <w:pPr>
              <w:pStyle w:val="ListParagraph"/>
              <w:spacing w:before="120" w:after="120"/>
              <w:ind w:left="0"/>
              <w:contextualSpacing w:val="0"/>
              <w:jc w:val="both"/>
              <w:rPr>
                <w:rFonts w:ascii="Arial" w:hAnsi="Arial" w:cs="Arial"/>
                <w:sz w:val="22"/>
                <w:szCs w:val="22"/>
              </w:rPr>
            </w:pPr>
            <w:r w:rsidRPr="0073695D">
              <w:rPr>
                <w:rFonts w:ascii="Arial" w:hAnsi="Arial" w:cs="Arial"/>
                <w:sz w:val="22"/>
                <w:szCs w:val="22"/>
              </w:rPr>
              <w:t>Paula Cristina Sierra Correa</w:t>
            </w:r>
          </w:p>
        </w:tc>
        <w:tc>
          <w:tcPr>
            <w:tcW w:w="3228" w:type="pct"/>
          </w:tcPr>
          <w:p w14:paraId="41BC388C" w14:textId="77777777" w:rsidR="009B54A2" w:rsidRPr="00534047" w:rsidRDefault="009B54A2" w:rsidP="009B54A2">
            <w:pPr>
              <w:pStyle w:val="ListParagraph"/>
              <w:spacing w:before="120" w:after="120"/>
              <w:ind w:left="0"/>
              <w:contextualSpacing w:val="0"/>
              <w:rPr>
                <w:rFonts w:ascii="Arial" w:hAnsi="Arial" w:cs="Arial"/>
                <w:sz w:val="22"/>
                <w:szCs w:val="22"/>
                <w:lang w:val="es-ES"/>
              </w:rPr>
            </w:pPr>
            <w:r w:rsidRPr="00534047">
              <w:rPr>
                <w:rFonts w:ascii="Arial" w:eastAsia="Arial" w:hAnsi="Arial" w:cs="Arial"/>
                <w:sz w:val="22"/>
                <w:szCs w:val="22"/>
                <w:lang w:val="es-ES"/>
              </w:rPr>
              <w:t>Instituto de Investigaciones Marinas y Costeras José Benito Vives de Andreis, Columbia</w:t>
            </w:r>
          </w:p>
        </w:tc>
      </w:tr>
    </w:tbl>
    <w:p w14:paraId="7F3B8AE1" w14:textId="0A1B2DAE" w:rsidR="009B54A2" w:rsidRPr="00534047" w:rsidRDefault="009B54A2">
      <w:pPr>
        <w:rPr>
          <w:rFonts w:ascii="Arial" w:hAnsi="Arial" w:cs="Arial"/>
          <w:sz w:val="22"/>
          <w:szCs w:val="22"/>
          <w:lang w:val="en-US"/>
        </w:rPr>
      </w:pPr>
      <w:r>
        <w:rPr>
          <w:rFonts w:ascii="Arial" w:hAnsi="Arial" w:cs="Arial"/>
          <w:sz w:val="22"/>
          <w:szCs w:val="22"/>
        </w:rPr>
        <w:t>*Co-chairs</w:t>
      </w:r>
      <w:r w:rsidRPr="00534047">
        <w:rPr>
          <w:rFonts w:ascii="Arial" w:hAnsi="Arial" w:cs="Arial"/>
          <w:sz w:val="22"/>
          <w:szCs w:val="22"/>
          <w:lang w:val="en-US"/>
        </w:rPr>
        <w:br w:type="page"/>
      </w:r>
    </w:p>
    <w:p w14:paraId="1DC4BBA9" w14:textId="1826189E" w:rsidR="009B54A2" w:rsidRPr="007F0217" w:rsidRDefault="009B54A2" w:rsidP="007F0217">
      <w:pPr>
        <w:pStyle w:val="Heading3"/>
        <w:pBdr>
          <w:bottom w:val="single" w:sz="4" w:space="1" w:color="auto"/>
        </w:pBdr>
        <w:ind w:left="980" w:hanging="980"/>
        <w:rPr>
          <w:rFonts w:ascii="Arial" w:hAnsi="Arial" w:cs="Arial"/>
          <w:b/>
          <w:bCs/>
          <w:color w:val="000000" w:themeColor="text1"/>
          <w:sz w:val="22"/>
          <w:szCs w:val="22"/>
        </w:rPr>
      </w:pPr>
      <w:bookmarkStart w:id="1" w:name="a2"/>
      <w:r w:rsidRPr="007F0217">
        <w:rPr>
          <w:rFonts w:ascii="Arial" w:hAnsi="Arial" w:cs="Arial"/>
          <w:b/>
          <w:bCs/>
          <w:color w:val="000000" w:themeColor="text1"/>
          <w:sz w:val="22"/>
          <w:szCs w:val="22"/>
        </w:rPr>
        <w:lastRenderedPageBreak/>
        <w:t xml:space="preserve">Annex 2: Terms of Reference for the Editorial Board </w:t>
      </w:r>
      <w:r w:rsidR="007F0217">
        <w:rPr>
          <w:rFonts w:ascii="Arial" w:hAnsi="Arial" w:cs="Arial"/>
          <w:b/>
          <w:bCs/>
          <w:color w:val="000000" w:themeColor="text1"/>
          <w:sz w:val="22"/>
          <w:szCs w:val="22"/>
        </w:rPr>
        <w:br/>
      </w:r>
      <w:r w:rsidRPr="007F0217">
        <w:rPr>
          <w:rFonts w:ascii="Arial" w:hAnsi="Arial" w:cs="Arial"/>
          <w:b/>
          <w:bCs/>
          <w:color w:val="000000" w:themeColor="text1"/>
          <w:sz w:val="22"/>
          <w:szCs w:val="22"/>
        </w:rPr>
        <w:t xml:space="preserve">for the third edition of the </w:t>
      </w:r>
      <w:r w:rsidRPr="007F0217">
        <w:rPr>
          <w:rFonts w:ascii="Arial" w:hAnsi="Arial" w:cs="Arial"/>
          <w:b/>
          <w:bCs/>
          <w:i/>
          <w:iCs/>
          <w:color w:val="000000" w:themeColor="text1"/>
          <w:sz w:val="22"/>
          <w:szCs w:val="22"/>
        </w:rPr>
        <w:t>Global Ocean Science Report</w:t>
      </w:r>
    </w:p>
    <w:bookmarkEnd w:id="1"/>
    <w:p w14:paraId="1F60174A" w14:textId="77777777" w:rsidR="009B54A2" w:rsidRDefault="009B54A2" w:rsidP="007F0217">
      <w:pPr>
        <w:spacing w:after="0" w:line="240" w:lineRule="auto"/>
        <w:rPr>
          <w:rFonts w:ascii="Arial" w:hAnsi="Arial" w:cs="Arial"/>
          <w:sz w:val="22"/>
          <w:szCs w:val="22"/>
        </w:rPr>
      </w:pPr>
    </w:p>
    <w:p w14:paraId="446A4401" w14:textId="77777777" w:rsidR="009B54A2" w:rsidRPr="00950ABC" w:rsidRDefault="009B54A2" w:rsidP="007F0217">
      <w:pPr>
        <w:tabs>
          <w:tab w:val="left" w:pos="708"/>
        </w:tabs>
        <w:spacing w:after="120" w:line="240" w:lineRule="auto"/>
        <w:jc w:val="both"/>
        <w:rPr>
          <w:rFonts w:ascii="Arial" w:eastAsia="Arial" w:hAnsi="Arial" w:cs="Arial"/>
          <w:sz w:val="22"/>
          <w:szCs w:val="22"/>
        </w:rPr>
      </w:pPr>
      <w:r w:rsidRPr="00950ABC">
        <w:rPr>
          <w:rFonts w:ascii="Arial" w:eastAsia="Arial" w:hAnsi="Arial" w:cs="Arial"/>
          <w:sz w:val="22"/>
          <w:szCs w:val="22"/>
        </w:rPr>
        <w:t>In pursuance to Decision IOC-XXIX/5.1, adopted by the IOC Assembly at its 29</w:t>
      </w:r>
      <w:r w:rsidRPr="00950ABC">
        <w:rPr>
          <w:rFonts w:ascii="Arial" w:eastAsia="Arial" w:hAnsi="Arial" w:cs="Arial"/>
          <w:sz w:val="22"/>
          <w:szCs w:val="22"/>
          <w:vertAlign w:val="superscript"/>
        </w:rPr>
        <w:t>th</w:t>
      </w:r>
      <w:r w:rsidRPr="00950ABC">
        <w:rPr>
          <w:rFonts w:ascii="Arial" w:eastAsia="Arial" w:hAnsi="Arial" w:cs="Arial"/>
          <w:sz w:val="22"/>
          <w:szCs w:val="22"/>
        </w:rPr>
        <w:t xml:space="preserve"> session in 2017, and Decision IOC/EC-LI/4.3 adopted by the IOC Executive Council in 2018, the Global Ocean Science Report Editorial Board will guide the production of the </w:t>
      </w:r>
      <w:r w:rsidRPr="007F0217">
        <w:rPr>
          <w:rFonts w:ascii="Arial" w:eastAsia="Arial" w:hAnsi="Arial" w:cs="Arial"/>
          <w:i/>
          <w:iCs/>
          <w:sz w:val="22"/>
          <w:szCs w:val="22"/>
        </w:rPr>
        <w:t>Global Ocean Science Report</w:t>
      </w:r>
      <w:r w:rsidRPr="00950ABC">
        <w:rPr>
          <w:rFonts w:ascii="Arial" w:eastAsia="Arial" w:hAnsi="Arial" w:cs="Arial"/>
          <w:sz w:val="22"/>
          <w:szCs w:val="22"/>
        </w:rPr>
        <w:t xml:space="preserve"> (GOSR). More specifically, the Editorial Board will:</w:t>
      </w:r>
    </w:p>
    <w:p w14:paraId="3BBFB733" w14:textId="77777777" w:rsidR="009B54A2" w:rsidRPr="00950ABC" w:rsidRDefault="009B54A2" w:rsidP="009B54A2">
      <w:pPr>
        <w:numPr>
          <w:ilvl w:val="0"/>
          <w:numId w:val="12"/>
        </w:numPr>
        <w:tabs>
          <w:tab w:val="left" w:pos="708"/>
        </w:tabs>
        <w:spacing w:before="120" w:after="120" w:line="240" w:lineRule="auto"/>
        <w:ind w:left="709" w:hanging="709"/>
        <w:rPr>
          <w:rFonts w:ascii="Arial" w:eastAsia="Arial" w:hAnsi="Arial" w:cs="Arial"/>
          <w:sz w:val="22"/>
          <w:szCs w:val="22"/>
        </w:rPr>
      </w:pPr>
      <w:r w:rsidRPr="00950ABC">
        <w:rPr>
          <w:rFonts w:ascii="Arial" w:eastAsia="Arial" w:hAnsi="Arial" w:cs="Arial"/>
          <w:sz w:val="22"/>
          <w:szCs w:val="22"/>
        </w:rPr>
        <w:t>Provide strategic and substantive guidance on the framing of next edition of the GOSR, in order to deliver against the Report’s main goal: assess the status and trends of ocean science capacity around the world; and building on, and taking into account lessons learned in the production of the first and second edition.</w:t>
      </w:r>
    </w:p>
    <w:p w14:paraId="44E3FB64" w14:textId="77777777" w:rsidR="009B54A2" w:rsidRPr="00950ABC" w:rsidRDefault="009B54A2" w:rsidP="009B54A2">
      <w:pPr>
        <w:numPr>
          <w:ilvl w:val="0"/>
          <w:numId w:val="12"/>
        </w:numPr>
        <w:tabs>
          <w:tab w:val="left" w:pos="708"/>
        </w:tabs>
        <w:spacing w:before="120" w:after="120" w:line="240" w:lineRule="auto"/>
        <w:ind w:left="709" w:hanging="709"/>
        <w:rPr>
          <w:rFonts w:ascii="Arial" w:eastAsia="Arial" w:hAnsi="Arial" w:cs="Arial"/>
          <w:sz w:val="22"/>
          <w:szCs w:val="22"/>
        </w:rPr>
      </w:pPr>
      <w:r w:rsidRPr="00950ABC">
        <w:rPr>
          <w:rFonts w:ascii="Arial" w:eastAsia="Arial" w:hAnsi="Arial" w:cs="Arial"/>
          <w:sz w:val="22"/>
          <w:szCs w:val="22"/>
        </w:rPr>
        <w:t>Decide on the outline and topics covered by the GOSR.</w:t>
      </w:r>
    </w:p>
    <w:p w14:paraId="792FF953" w14:textId="77777777" w:rsidR="009B54A2" w:rsidRPr="00950ABC" w:rsidRDefault="009B54A2" w:rsidP="009B54A2">
      <w:pPr>
        <w:numPr>
          <w:ilvl w:val="0"/>
          <w:numId w:val="12"/>
        </w:numPr>
        <w:tabs>
          <w:tab w:val="left" w:pos="708"/>
        </w:tabs>
        <w:spacing w:before="120" w:after="120" w:line="240" w:lineRule="auto"/>
        <w:ind w:left="709" w:hanging="709"/>
        <w:rPr>
          <w:rFonts w:ascii="Arial" w:eastAsia="Arial" w:hAnsi="Arial" w:cs="Arial"/>
          <w:sz w:val="22"/>
          <w:szCs w:val="22"/>
        </w:rPr>
      </w:pPr>
      <w:r w:rsidRPr="00950ABC">
        <w:rPr>
          <w:rFonts w:ascii="Arial" w:eastAsia="Arial" w:hAnsi="Arial" w:cs="Arial"/>
          <w:sz w:val="22"/>
          <w:szCs w:val="22"/>
        </w:rPr>
        <w:t>Provide guidance on the GOSR questionnaire.</w:t>
      </w:r>
    </w:p>
    <w:p w14:paraId="407CE8BA" w14:textId="77777777" w:rsidR="009B54A2" w:rsidRPr="00950ABC" w:rsidRDefault="009B54A2" w:rsidP="009B54A2">
      <w:pPr>
        <w:numPr>
          <w:ilvl w:val="0"/>
          <w:numId w:val="12"/>
        </w:numPr>
        <w:tabs>
          <w:tab w:val="left" w:pos="0"/>
        </w:tabs>
        <w:spacing w:before="120" w:after="120" w:line="240" w:lineRule="auto"/>
        <w:ind w:left="709" w:hanging="709"/>
        <w:rPr>
          <w:rFonts w:ascii="Arial" w:eastAsia="Arial" w:hAnsi="Arial" w:cs="Arial"/>
          <w:sz w:val="22"/>
          <w:szCs w:val="22"/>
        </w:rPr>
      </w:pPr>
      <w:r w:rsidRPr="00950ABC">
        <w:rPr>
          <w:rFonts w:ascii="Arial" w:eastAsia="Arial" w:hAnsi="Arial" w:cs="Arial"/>
          <w:sz w:val="22"/>
          <w:szCs w:val="22"/>
        </w:rPr>
        <w:t>Provide guidance to ensure quality assurance and quality control of the contents of the GOSR, by:</w:t>
      </w:r>
    </w:p>
    <w:p w14:paraId="12F8FFEA" w14:textId="77777777" w:rsidR="009B54A2" w:rsidRPr="00950ABC" w:rsidRDefault="009B54A2" w:rsidP="009B54A2">
      <w:pPr>
        <w:numPr>
          <w:ilvl w:val="1"/>
          <w:numId w:val="12"/>
        </w:numPr>
        <w:tabs>
          <w:tab w:val="left" w:pos="708"/>
        </w:tabs>
        <w:spacing w:before="120" w:after="120" w:line="240" w:lineRule="auto"/>
        <w:rPr>
          <w:rFonts w:ascii="Arial" w:eastAsia="Arial" w:hAnsi="Arial" w:cs="Arial"/>
          <w:sz w:val="22"/>
          <w:szCs w:val="22"/>
        </w:rPr>
      </w:pPr>
      <w:r w:rsidRPr="00950ABC">
        <w:rPr>
          <w:rFonts w:ascii="Arial" w:eastAsia="Arial" w:hAnsi="Arial" w:cs="Arial"/>
          <w:sz w:val="22"/>
          <w:szCs w:val="22"/>
        </w:rPr>
        <w:t>Approving the final selection of lead and contributing authors, taking into account the need for discipline, issue area, geographic and gender balance;</w:t>
      </w:r>
    </w:p>
    <w:p w14:paraId="757E6D66" w14:textId="77777777" w:rsidR="009B54A2" w:rsidRPr="00950ABC" w:rsidRDefault="009B54A2" w:rsidP="009B54A2">
      <w:pPr>
        <w:numPr>
          <w:ilvl w:val="1"/>
          <w:numId w:val="12"/>
        </w:numPr>
        <w:tabs>
          <w:tab w:val="left" w:pos="708"/>
        </w:tabs>
        <w:spacing w:before="120" w:after="120" w:line="240" w:lineRule="auto"/>
        <w:rPr>
          <w:rFonts w:ascii="Arial" w:eastAsia="Arial" w:hAnsi="Arial" w:cs="Arial"/>
          <w:sz w:val="22"/>
          <w:szCs w:val="22"/>
        </w:rPr>
      </w:pPr>
      <w:r w:rsidRPr="00950ABC">
        <w:rPr>
          <w:rFonts w:ascii="Arial" w:eastAsia="Arial" w:hAnsi="Arial" w:cs="Arial"/>
          <w:sz w:val="22"/>
          <w:szCs w:val="22"/>
        </w:rPr>
        <w:t>Identifying experts to peer-review the publication.</w:t>
      </w:r>
    </w:p>
    <w:p w14:paraId="0E37E781" w14:textId="77777777" w:rsidR="009B54A2" w:rsidRPr="00950ABC" w:rsidRDefault="009B54A2" w:rsidP="009B54A2">
      <w:pPr>
        <w:numPr>
          <w:ilvl w:val="0"/>
          <w:numId w:val="12"/>
        </w:numPr>
        <w:tabs>
          <w:tab w:val="left" w:pos="708"/>
        </w:tabs>
        <w:spacing w:before="120" w:after="120" w:line="240" w:lineRule="auto"/>
        <w:ind w:left="709" w:hanging="709"/>
        <w:rPr>
          <w:rFonts w:ascii="Arial" w:eastAsia="Arial" w:hAnsi="Arial" w:cs="Arial"/>
          <w:sz w:val="22"/>
          <w:szCs w:val="22"/>
        </w:rPr>
      </w:pPr>
      <w:r w:rsidRPr="00950ABC">
        <w:rPr>
          <w:rFonts w:ascii="Arial" w:eastAsia="Arial" w:hAnsi="Arial" w:cs="Arial"/>
          <w:sz w:val="22"/>
          <w:szCs w:val="22"/>
        </w:rPr>
        <w:t>Provide guidance on a methodology for assessing the contribution of ocean science to sustainable development and, in particular to assessing the outcomes of tracked changes in ocean science capacities at the national, regional and global level.</w:t>
      </w:r>
    </w:p>
    <w:p w14:paraId="11B906AC" w14:textId="77777777" w:rsidR="009B54A2" w:rsidRDefault="009B54A2" w:rsidP="009B54A2">
      <w:pPr>
        <w:numPr>
          <w:ilvl w:val="0"/>
          <w:numId w:val="12"/>
        </w:numPr>
        <w:tabs>
          <w:tab w:val="left" w:pos="708"/>
        </w:tabs>
        <w:spacing w:before="120" w:after="120" w:line="240" w:lineRule="auto"/>
        <w:ind w:left="709" w:hanging="709"/>
        <w:rPr>
          <w:rFonts w:ascii="Arial" w:eastAsia="Arial" w:hAnsi="Arial" w:cs="Arial"/>
          <w:sz w:val="22"/>
          <w:szCs w:val="22"/>
        </w:rPr>
      </w:pPr>
      <w:r w:rsidRPr="00950ABC">
        <w:rPr>
          <w:rFonts w:ascii="Arial" w:eastAsia="Arial" w:hAnsi="Arial" w:cs="Arial"/>
          <w:sz w:val="22"/>
          <w:szCs w:val="22"/>
        </w:rPr>
        <w:t>Provide guidance on communication efforts aimed at promoting the GOSR as a resource for policy-makers, academics and other stakeholders seeking to harness the potential of ocean science to address global challenges.</w:t>
      </w:r>
    </w:p>
    <w:p w14:paraId="0241C0EA" w14:textId="77777777" w:rsidR="009B54A2" w:rsidRPr="0073695D" w:rsidRDefault="009B54A2" w:rsidP="009B54A2">
      <w:pPr>
        <w:numPr>
          <w:ilvl w:val="0"/>
          <w:numId w:val="12"/>
        </w:numPr>
        <w:tabs>
          <w:tab w:val="left" w:pos="708"/>
        </w:tabs>
        <w:spacing w:before="120" w:after="120" w:line="240" w:lineRule="auto"/>
        <w:ind w:left="709" w:hanging="709"/>
        <w:rPr>
          <w:rFonts w:ascii="Arial" w:eastAsia="Arial" w:hAnsi="Arial" w:cs="Arial"/>
          <w:sz w:val="22"/>
          <w:szCs w:val="22"/>
        </w:rPr>
      </w:pPr>
      <w:r w:rsidRPr="0073695D">
        <w:rPr>
          <w:rFonts w:ascii="Arial" w:eastAsia="Arial" w:hAnsi="Arial" w:cs="Arial"/>
          <w:sz w:val="22"/>
          <w:szCs w:val="22"/>
        </w:rPr>
        <w:t>Provide guidance in relation to the launch of the next edition of the GOSR.</w:t>
      </w:r>
    </w:p>
    <w:p w14:paraId="6F175199" w14:textId="77777777" w:rsidR="007F0217" w:rsidRDefault="007F0217" w:rsidP="009B54A2">
      <w:pPr>
        <w:spacing w:line="240" w:lineRule="auto"/>
        <w:rPr>
          <w:rFonts w:ascii="Arial" w:hAnsi="Arial" w:cs="Arial"/>
          <w:sz w:val="22"/>
          <w:szCs w:val="22"/>
        </w:rPr>
      </w:pPr>
    </w:p>
    <w:p w14:paraId="68A1C2DB" w14:textId="77777777" w:rsidR="007F0217" w:rsidRDefault="007F0217">
      <w:pPr>
        <w:rPr>
          <w:rFonts w:eastAsiaTheme="majorEastAsia" w:cstheme="majorBidi"/>
          <w:color w:val="0F4761" w:themeColor="accent1" w:themeShade="BF"/>
          <w:sz w:val="28"/>
          <w:szCs w:val="28"/>
        </w:rPr>
      </w:pPr>
      <w:r>
        <w:br w:type="page"/>
      </w:r>
    </w:p>
    <w:p w14:paraId="2483C89E" w14:textId="1C69BDBF" w:rsidR="009B54A2" w:rsidRPr="007F0217" w:rsidRDefault="009B54A2" w:rsidP="007F0217">
      <w:pPr>
        <w:pStyle w:val="Heading3"/>
        <w:pBdr>
          <w:bottom w:val="single" w:sz="4" w:space="1" w:color="auto"/>
        </w:pBdr>
        <w:ind w:left="980" w:hanging="980"/>
        <w:rPr>
          <w:rFonts w:ascii="Arial" w:hAnsi="Arial" w:cs="Arial"/>
          <w:b/>
          <w:bCs/>
          <w:color w:val="000000" w:themeColor="text1"/>
          <w:sz w:val="22"/>
          <w:szCs w:val="22"/>
        </w:rPr>
      </w:pPr>
      <w:bookmarkStart w:id="2" w:name="a3"/>
      <w:r w:rsidRPr="007F0217">
        <w:rPr>
          <w:rFonts w:ascii="Arial" w:hAnsi="Arial" w:cs="Arial"/>
          <w:b/>
          <w:bCs/>
          <w:color w:val="000000" w:themeColor="text1"/>
          <w:sz w:val="22"/>
          <w:szCs w:val="22"/>
        </w:rPr>
        <w:lastRenderedPageBreak/>
        <w:t xml:space="preserve">Annex 3: Timeline for the preparation and delivery of the third edition </w:t>
      </w:r>
      <w:r w:rsidR="007F0217">
        <w:rPr>
          <w:rFonts w:ascii="Arial" w:hAnsi="Arial" w:cs="Arial"/>
          <w:b/>
          <w:bCs/>
          <w:color w:val="000000" w:themeColor="text1"/>
          <w:sz w:val="22"/>
          <w:szCs w:val="22"/>
        </w:rPr>
        <w:br/>
      </w:r>
      <w:r w:rsidRPr="007F0217">
        <w:rPr>
          <w:rFonts w:ascii="Arial" w:hAnsi="Arial" w:cs="Arial"/>
          <w:b/>
          <w:bCs/>
          <w:color w:val="000000" w:themeColor="text1"/>
          <w:sz w:val="22"/>
          <w:szCs w:val="22"/>
        </w:rPr>
        <w:t xml:space="preserve">of the </w:t>
      </w:r>
      <w:r w:rsidRPr="000464C0">
        <w:rPr>
          <w:rFonts w:ascii="Arial" w:hAnsi="Arial" w:cs="Arial"/>
          <w:b/>
          <w:bCs/>
          <w:i/>
          <w:iCs/>
          <w:color w:val="000000" w:themeColor="text1"/>
          <w:sz w:val="22"/>
          <w:szCs w:val="22"/>
        </w:rPr>
        <w:t>Global Ocean Science Report</w:t>
      </w:r>
    </w:p>
    <w:bookmarkEnd w:id="2"/>
    <w:p w14:paraId="6EB41DED" w14:textId="77777777" w:rsidR="009B54A2" w:rsidRDefault="009B54A2" w:rsidP="009B54A2">
      <w:pPr>
        <w:rPr>
          <w:rFonts w:ascii="Arial" w:hAnsi="Arial" w:cs="Arial"/>
          <w:sz w:val="22"/>
          <w:szCs w:val="22"/>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465"/>
      </w:tblGrid>
      <w:tr w:rsidR="009B54A2" w:rsidRPr="0078222C" w14:paraId="160750D3" w14:textId="77777777" w:rsidTr="007207E3">
        <w:trPr>
          <w:cantSplit/>
          <w:trHeight w:val="300"/>
          <w:tblHeader/>
        </w:trPr>
        <w:tc>
          <w:tcPr>
            <w:tcW w:w="2595" w:type="dxa"/>
            <w:tcBorders>
              <w:top w:val="single" w:sz="12" w:space="0" w:color="000000"/>
              <w:left w:val="nil"/>
              <w:bottom w:val="single" w:sz="12" w:space="0" w:color="auto"/>
              <w:right w:val="nil"/>
            </w:tcBorders>
            <w:shd w:val="clear" w:color="auto" w:fill="D9D9D9"/>
            <w:vAlign w:val="center"/>
            <w:hideMark/>
          </w:tcPr>
          <w:p w14:paraId="0EED06B6"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US"/>
              </w:rPr>
              <w:t>Dates</w:t>
            </w:r>
          </w:p>
        </w:tc>
        <w:tc>
          <w:tcPr>
            <w:tcW w:w="6465" w:type="dxa"/>
            <w:tcBorders>
              <w:top w:val="single" w:sz="12" w:space="0" w:color="000000"/>
              <w:left w:val="nil"/>
              <w:bottom w:val="single" w:sz="12" w:space="0" w:color="auto"/>
              <w:right w:val="nil"/>
            </w:tcBorders>
            <w:shd w:val="clear" w:color="auto" w:fill="D9D9D9"/>
            <w:vAlign w:val="center"/>
            <w:hideMark/>
          </w:tcPr>
          <w:p w14:paraId="3627201A"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US"/>
              </w:rPr>
              <w:t>Actions</w:t>
            </w:r>
          </w:p>
        </w:tc>
      </w:tr>
      <w:tr w:rsidR="009B54A2" w:rsidRPr="0078222C" w14:paraId="74586D4A" w14:textId="77777777" w:rsidTr="007F0217">
        <w:trPr>
          <w:cantSplit/>
          <w:trHeight w:val="300"/>
        </w:trPr>
        <w:tc>
          <w:tcPr>
            <w:tcW w:w="9060" w:type="dxa"/>
            <w:gridSpan w:val="2"/>
            <w:tcBorders>
              <w:top w:val="single" w:sz="6" w:space="0" w:color="auto"/>
              <w:left w:val="nil"/>
              <w:bottom w:val="single" w:sz="6" w:space="0" w:color="auto"/>
              <w:right w:val="nil"/>
            </w:tcBorders>
            <w:shd w:val="clear" w:color="auto" w:fill="auto"/>
            <w:vAlign w:val="center"/>
          </w:tcPr>
          <w:p w14:paraId="31B47E27" w14:textId="77777777" w:rsidR="009B54A2" w:rsidRPr="0078222C" w:rsidRDefault="009B54A2" w:rsidP="007F0217">
            <w:pPr>
              <w:spacing w:after="0" w:line="240" w:lineRule="auto"/>
              <w:jc w:val="center"/>
              <w:rPr>
                <w:rFonts w:ascii="Arial" w:hAnsi="Arial" w:cs="Arial"/>
                <w:sz w:val="22"/>
                <w:szCs w:val="22"/>
                <w:lang w:val="en-GB"/>
              </w:rPr>
            </w:pPr>
            <w:r>
              <w:rPr>
                <w:rFonts w:ascii="Arial" w:hAnsi="Arial" w:cs="Arial"/>
                <w:b/>
                <w:bCs/>
                <w:sz w:val="22"/>
                <w:szCs w:val="22"/>
                <w:lang w:val="en-US"/>
              </w:rPr>
              <w:t>2025</w:t>
            </w:r>
          </w:p>
        </w:tc>
      </w:tr>
      <w:tr w:rsidR="009B54A2" w:rsidRPr="0078222C" w14:paraId="26EB95A8"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7F65A8E3"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US"/>
              </w:rPr>
              <w:t>March</w:t>
            </w:r>
          </w:p>
        </w:tc>
        <w:tc>
          <w:tcPr>
            <w:tcW w:w="6465" w:type="dxa"/>
            <w:tcBorders>
              <w:top w:val="single" w:sz="6" w:space="0" w:color="auto"/>
              <w:left w:val="nil"/>
              <w:bottom w:val="single" w:sz="6" w:space="0" w:color="auto"/>
              <w:right w:val="nil"/>
            </w:tcBorders>
            <w:shd w:val="clear" w:color="auto" w:fill="auto"/>
            <w:vAlign w:val="center"/>
            <w:hideMark/>
          </w:tcPr>
          <w:p w14:paraId="7A0D1A27" w14:textId="77777777" w:rsidR="009B54A2" w:rsidRDefault="009B54A2" w:rsidP="007F0217">
            <w:pPr>
              <w:spacing w:after="0" w:line="240" w:lineRule="auto"/>
              <w:rPr>
                <w:rFonts w:ascii="Arial" w:hAnsi="Arial" w:cs="Arial"/>
                <w:sz w:val="22"/>
                <w:szCs w:val="22"/>
                <w:lang w:val="en-GB"/>
              </w:rPr>
            </w:pPr>
            <w:r>
              <w:rPr>
                <w:rFonts w:ascii="Arial" w:hAnsi="Arial" w:cs="Arial"/>
                <w:sz w:val="22"/>
                <w:szCs w:val="22"/>
                <w:lang w:val="en-US"/>
              </w:rPr>
              <w:t>Finalisation of q</w:t>
            </w:r>
            <w:r w:rsidRPr="0078222C">
              <w:rPr>
                <w:rFonts w:ascii="Arial" w:hAnsi="Arial" w:cs="Arial"/>
                <w:sz w:val="22"/>
                <w:szCs w:val="22"/>
                <w:lang w:val="en-GB"/>
              </w:rPr>
              <w:t xml:space="preserve">uestionnaire </w:t>
            </w:r>
            <w:r>
              <w:rPr>
                <w:rFonts w:ascii="Arial" w:hAnsi="Arial" w:cs="Arial"/>
                <w:sz w:val="22"/>
                <w:szCs w:val="22"/>
                <w:lang w:val="en-GB"/>
              </w:rPr>
              <w:t>including</w:t>
            </w:r>
            <w:r w:rsidRPr="0078222C">
              <w:rPr>
                <w:rFonts w:ascii="Arial" w:hAnsi="Arial" w:cs="Arial"/>
                <w:sz w:val="22"/>
                <w:szCs w:val="22"/>
                <w:lang w:val="en-GB"/>
              </w:rPr>
              <w:t xml:space="preserve"> translat</w:t>
            </w:r>
            <w:r>
              <w:rPr>
                <w:rFonts w:ascii="Arial" w:hAnsi="Arial" w:cs="Arial"/>
                <w:sz w:val="22"/>
                <w:szCs w:val="22"/>
                <w:lang w:val="en-GB"/>
              </w:rPr>
              <w:t>ion</w:t>
            </w:r>
            <w:r w:rsidRPr="0078222C">
              <w:rPr>
                <w:rFonts w:ascii="Arial" w:hAnsi="Arial" w:cs="Arial"/>
                <w:sz w:val="22"/>
                <w:szCs w:val="22"/>
                <w:lang w:val="en-GB"/>
              </w:rPr>
              <w:t xml:space="preserve"> </w:t>
            </w:r>
            <w:r>
              <w:rPr>
                <w:rFonts w:ascii="Arial" w:hAnsi="Arial" w:cs="Arial"/>
                <w:sz w:val="22"/>
                <w:szCs w:val="22"/>
                <w:lang w:val="en-GB"/>
              </w:rPr>
              <w:t>(working languages of IOC)</w:t>
            </w:r>
          </w:p>
          <w:p w14:paraId="63B13696" w14:textId="77777777" w:rsidR="009B54A2" w:rsidRPr="0078222C" w:rsidRDefault="009B54A2" w:rsidP="007F0217">
            <w:pPr>
              <w:spacing w:after="0" w:line="240" w:lineRule="auto"/>
              <w:rPr>
                <w:rFonts w:ascii="Arial" w:hAnsi="Arial" w:cs="Arial"/>
                <w:sz w:val="22"/>
                <w:szCs w:val="22"/>
                <w:lang w:val="en-US"/>
              </w:rPr>
            </w:pPr>
            <w:r>
              <w:rPr>
                <w:rFonts w:ascii="Arial" w:hAnsi="Arial" w:cs="Arial"/>
                <w:sz w:val="22"/>
                <w:szCs w:val="22"/>
                <w:lang w:val="en-GB"/>
              </w:rPr>
              <w:t xml:space="preserve">Issue of </w:t>
            </w:r>
            <w:r w:rsidRPr="0078222C">
              <w:rPr>
                <w:rFonts w:ascii="Arial" w:hAnsi="Arial" w:cs="Arial"/>
                <w:sz w:val="22"/>
                <w:szCs w:val="22"/>
                <w:lang w:val="en-GB"/>
              </w:rPr>
              <w:t>CL to MS</w:t>
            </w:r>
          </w:p>
          <w:p w14:paraId="20881267"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Finalisation of list of international conferences</w:t>
            </w:r>
          </w:p>
          <w:p w14:paraId="1F36C134"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Request for disaggregated data on conference participants</w:t>
            </w:r>
          </w:p>
          <w:p w14:paraId="129E9BD2"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Finalisation of bibliometric metrics/keywords</w:t>
            </w:r>
          </w:p>
          <w:p w14:paraId="69CC760B"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Identification of potential authors</w:t>
            </w:r>
          </w:p>
          <w:p w14:paraId="63D96B05"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Identification of additional resources</w:t>
            </w:r>
          </w:p>
        </w:tc>
      </w:tr>
      <w:tr w:rsidR="009B54A2" w:rsidRPr="0078222C" w14:paraId="5242FBA8"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36D904A8"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US"/>
              </w:rPr>
              <w:t>April</w:t>
            </w:r>
          </w:p>
        </w:tc>
        <w:tc>
          <w:tcPr>
            <w:tcW w:w="6465" w:type="dxa"/>
            <w:tcBorders>
              <w:top w:val="single" w:sz="6" w:space="0" w:color="auto"/>
              <w:left w:val="nil"/>
              <w:bottom w:val="single" w:sz="6" w:space="0" w:color="auto"/>
              <w:right w:val="nil"/>
            </w:tcBorders>
            <w:shd w:val="clear" w:color="auto" w:fill="auto"/>
            <w:vAlign w:val="center"/>
            <w:hideMark/>
          </w:tcPr>
          <w:p w14:paraId="3E946478"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Analysis of international conferences participant lists</w:t>
            </w:r>
          </w:p>
          <w:p w14:paraId="5DDF155A"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Compilation of historic data from previous GOSR questionnaires</w:t>
            </w:r>
          </w:p>
        </w:tc>
      </w:tr>
      <w:tr w:rsidR="009B54A2" w:rsidRPr="0078222C" w14:paraId="551ECD1E"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6EBD2D53"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US"/>
              </w:rPr>
              <w:t>May</w:t>
            </w:r>
          </w:p>
        </w:tc>
        <w:tc>
          <w:tcPr>
            <w:tcW w:w="6465" w:type="dxa"/>
            <w:tcBorders>
              <w:top w:val="single" w:sz="6" w:space="0" w:color="auto"/>
              <w:left w:val="nil"/>
              <w:bottom w:val="single" w:sz="6" w:space="0" w:color="auto"/>
              <w:right w:val="nil"/>
            </w:tcBorders>
            <w:shd w:val="clear" w:color="auto" w:fill="auto"/>
            <w:vAlign w:val="center"/>
            <w:hideMark/>
          </w:tcPr>
          <w:p w14:paraId="6A80CC6D"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MS information session</w:t>
            </w:r>
          </w:p>
          <w:p w14:paraId="6A2F546D"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E</w:t>
            </w:r>
            <w:r>
              <w:rPr>
                <w:rFonts w:ascii="Arial" w:hAnsi="Arial" w:cs="Arial"/>
                <w:sz w:val="22"/>
                <w:szCs w:val="22"/>
                <w:lang w:val="en-GB"/>
              </w:rPr>
              <w:t xml:space="preserve">ditorial </w:t>
            </w:r>
            <w:r w:rsidRPr="0078222C">
              <w:rPr>
                <w:rFonts w:ascii="Arial" w:hAnsi="Arial" w:cs="Arial"/>
                <w:sz w:val="22"/>
                <w:szCs w:val="22"/>
                <w:lang w:val="en-GB"/>
              </w:rPr>
              <w:t>B</w:t>
            </w:r>
            <w:r>
              <w:rPr>
                <w:rFonts w:ascii="Arial" w:hAnsi="Arial" w:cs="Arial"/>
                <w:sz w:val="22"/>
                <w:szCs w:val="22"/>
                <w:lang w:val="en-GB"/>
              </w:rPr>
              <w:t>oard</w:t>
            </w:r>
            <w:r w:rsidRPr="0078222C">
              <w:rPr>
                <w:rFonts w:ascii="Arial" w:hAnsi="Arial" w:cs="Arial"/>
                <w:sz w:val="22"/>
                <w:szCs w:val="22"/>
                <w:lang w:val="en-GB"/>
              </w:rPr>
              <w:t xml:space="preserve"> in person meeting</w:t>
            </w:r>
          </w:p>
          <w:p w14:paraId="34C6C9D7"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US"/>
              </w:rPr>
              <w:t xml:space="preserve">Bibliometric </w:t>
            </w:r>
            <w:r>
              <w:rPr>
                <w:rFonts w:ascii="Arial" w:hAnsi="Arial" w:cs="Arial"/>
                <w:sz w:val="22"/>
                <w:szCs w:val="22"/>
                <w:lang w:val="en-US"/>
              </w:rPr>
              <w:t>a</w:t>
            </w:r>
            <w:r w:rsidRPr="0078222C">
              <w:rPr>
                <w:rFonts w:ascii="Arial" w:hAnsi="Arial" w:cs="Arial"/>
                <w:sz w:val="22"/>
                <w:szCs w:val="22"/>
                <w:lang w:val="en-US"/>
              </w:rPr>
              <w:t xml:space="preserve">nalysis </w:t>
            </w:r>
            <w:r>
              <w:rPr>
                <w:rFonts w:ascii="Arial" w:hAnsi="Arial" w:cs="Arial"/>
                <w:sz w:val="22"/>
                <w:szCs w:val="22"/>
                <w:lang w:val="en-US"/>
              </w:rPr>
              <w:t>initiated</w:t>
            </w:r>
          </w:p>
          <w:p w14:paraId="493A1AB1"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US"/>
              </w:rPr>
              <w:t>Identification of GOSR authors</w:t>
            </w:r>
          </w:p>
        </w:tc>
      </w:tr>
      <w:tr w:rsidR="009B54A2" w:rsidRPr="0078222C" w14:paraId="52EB6D9A"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19AFE96B"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US"/>
              </w:rPr>
              <w:t>June</w:t>
            </w:r>
          </w:p>
        </w:tc>
        <w:tc>
          <w:tcPr>
            <w:tcW w:w="6465" w:type="dxa"/>
            <w:tcBorders>
              <w:top w:val="single" w:sz="6" w:space="0" w:color="auto"/>
              <w:left w:val="nil"/>
              <w:bottom w:val="single" w:sz="6" w:space="0" w:color="auto"/>
              <w:right w:val="nil"/>
            </w:tcBorders>
            <w:shd w:val="clear" w:color="auto" w:fill="auto"/>
            <w:vAlign w:val="center"/>
            <w:hideMark/>
          </w:tcPr>
          <w:p w14:paraId="0C9A6878" w14:textId="77777777" w:rsidR="009B54A2" w:rsidRPr="0078222C" w:rsidRDefault="009B54A2" w:rsidP="007F0217">
            <w:pPr>
              <w:spacing w:after="0" w:line="240" w:lineRule="auto"/>
              <w:rPr>
                <w:rFonts w:ascii="Arial" w:hAnsi="Arial" w:cs="Arial"/>
                <w:sz w:val="22"/>
                <w:szCs w:val="22"/>
                <w:lang w:val="en-US"/>
              </w:rPr>
            </w:pPr>
            <w:r>
              <w:rPr>
                <w:rFonts w:ascii="Arial" w:hAnsi="Arial" w:cs="Arial"/>
                <w:sz w:val="22"/>
                <w:szCs w:val="22"/>
                <w:lang w:val="en-GB"/>
              </w:rPr>
              <w:t>Finalisation of authors</w:t>
            </w:r>
          </w:p>
          <w:p w14:paraId="1AA678B8"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Identification of reviewers</w:t>
            </w:r>
          </w:p>
          <w:p w14:paraId="7F71FC5D"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Deadline for GOSR questionnaire 30 June</w:t>
            </w:r>
          </w:p>
        </w:tc>
      </w:tr>
      <w:tr w:rsidR="009B54A2" w:rsidRPr="0078222C" w14:paraId="05577B15"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2CD8837D"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GB"/>
              </w:rPr>
              <w:t>July</w:t>
            </w:r>
          </w:p>
        </w:tc>
        <w:tc>
          <w:tcPr>
            <w:tcW w:w="6465" w:type="dxa"/>
            <w:tcBorders>
              <w:top w:val="single" w:sz="6" w:space="0" w:color="auto"/>
              <w:left w:val="nil"/>
              <w:bottom w:val="single" w:sz="6" w:space="0" w:color="auto"/>
              <w:right w:val="nil"/>
            </w:tcBorders>
            <w:shd w:val="clear" w:color="auto" w:fill="auto"/>
            <w:vAlign w:val="center"/>
            <w:hideMark/>
          </w:tcPr>
          <w:p w14:paraId="09392463"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Final bibliometric analysis</w:t>
            </w:r>
          </w:p>
          <w:p w14:paraId="70359280"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Analysis of questionnaire data</w:t>
            </w:r>
            <w:r>
              <w:rPr>
                <w:rFonts w:ascii="Arial" w:hAnsi="Arial" w:cs="Arial"/>
                <w:sz w:val="22"/>
                <w:szCs w:val="22"/>
                <w:lang w:val="en-GB"/>
              </w:rPr>
              <w:t xml:space="preserve"> </w:t>
            </w:r>
            <w:r w:rsidRPr="0078222C">
              <w:rPr>
                <w:rFonts w:ascii="Arial" w:hAnsi="Arial" w:cs="Arial"/>
                <w:sz w:val="22"/>
                <w:szCs w:val="22"/>
                <w:lang w:val="en-GB"/>
              </w:rPr>
              <w:t>based on requests from authors</w:t>
            </w:r>
          </w:p>
          <w:p w14:paraId="52421C9A"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Provision of annotated outline of chapters to authors</w:t>
            </w:r>
          </w:p>
          <w:p w14:paraId="4D50338F"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Drafting of sections</w:t>
            </w:r>
          </w:p>
          <w:p w14:paraId="18D6D935" w14:textId="77777777" w:rsidR="009B54A2" w:rsidRPr="0078222C" w:rsidRDefault="009B54A2" w:rsidP="007F0217">
            <w:pPr>
              <w:spacing w:after="0" w:line="240" w:lineRule="auto"/>
              <w:rPr>
                <w:rFonts w:ascii="Arial" w:hAnsi="Arial" w:cs="Arial"/>
                <w:sz w:val="22"/>
                <w:szCs w:val="22"/>
                <w:lang w:val="en-GB"/>
              </w:rPr>
            </w:pPr>
            <w:r w:rsidRPr="0078222C">
              <w:rPr>
                <w:rFonts w:ascii="Arial" w:hAnsi="Arial" w:cs="Arial"/>
                <w:sz w:val="22"/>
                <w:szCs w:val="22"/>
                <w:lang w:val="en-GB"/>
              </w:rPr>
              <w:t>Identification of photos to be used in report</w:t>
            </w:r>
          </w:p>
        </w:tc>
      </w:tr>
      <w:tr w:rsidR="009B54A2" w:rsidRPr="0078222C" w14:paraId="5C07AF71"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08198A48"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GB"/>
              </w:rPr>
              <w:t>August</w:t>
            </w:r>
          </w:p>
        </w:tc>
        <w:tc>
          <w:tcPr>
            <w:tcW w:w="6465" w:type="dxa"/>
            <w:tcBorders>
              <w:top w:val="single" w:sz="6" w:space="0" w:color="auto"/>
              <w:left w:val="nil"/>
              <w:bottom w:val="single" w:sz="6" w:space="0" w:color="auto"/>
              <w:right w:val="nil"/>
            </w:tcBorders>
            <w:shd w:val="clear" w:color="auto" w:fill="auto"/>
            <w:vAlign w:val="center"/>
            <w:hideMark/>
          </w:tcPr>
          <w:p w14:paraId="56DAA1BB"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Submission of GOSR report to the UNESCO publication board</w:t>
            </w:r>
          </w:p>
          <w:p w14:paraId="1C7B57E8"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Decision on graphics to be included</w:t>
            </w:r>
          </w:p>
          <w:p w14:paraId="42E81202"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fr-FR"/>
              </w:rPr>
              <w:t>Analysis of GOSR questionnaire finalized</w:t>
            </w:r>
          </w:p>
        </w:tc>
      </w:tr>
      <w:tr w:rsidR="009B54A2" w:rsidRPr="0078222C" w14:paraId="464F4364"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2DE25E4A"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GB"/>
              </w:rPr>
              <w:t>September</w:t>
            </w:r>
          </w:p>
        </w:tc>
        <w:tc>
          <w:tcPr>
            <w:tcW w:w="6465" w:type="dxa"/>
            <w:tcBorders>
              <w:top w:val="single" w:sz="6" w:space="0" w:color="auto"/>
              <w:left w:val="nil"/>
              <w:bottom w:val="single" w:sz="6" w:space="0" w:color="auto"/>
              <w:right w:val="nil"/>
            </w:tcBorders>
            <w:shd w:val="clear" w:color="auto" w:fill="auto"/>
            <w:vAlign w:val="center"/>
            <w:hideMark/>
          </w:tcPr>
          <w:p w14:paraId="6048075C"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Drafting process</w:t>
            </w:r>
          </w:p>
        </w:tc>
      </w:tr>
      <w:tr w:rsidR="009B54A2" w:rsidRPr="0078222C" w14:paraId="7926D416"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69D92D8A"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GB"/>
              </w:rPr>
              <w:t>October</w:t>
            </w:r>
          </w:p>
        </w:tc>
        <w:tc>
          <w:tcPr>
            <w:tcW w:w="6465" w:type="dxa"/>
            <w:tcBorders>
              <w:top w:val="single" w:sz="6" w:space="0" w:color="auto"/>
              <w:left w:val="nil"/>
              <w:bottom w:val="single" w:sz="6" w:space="0" w:color="auto"/>
              <w:right w:val="nil"/>
            </w:tcBorders>
            <w:shd w:val="clear" w:color="auto" w:fill="auto"/>
            <w:vAlign w:val="center"/>
            <w:hideMark/>
          </w:tcPr>
          <w:p w14:paraId="4BB4FBA5" w14:textId="77777777" w:rsidR="009B54A2" w:rsidRPr="0078222C" w:rsidRDefault="009B54A2" w:rsidP="007F0217">
            <w:pPr>
              <w:spacing w:after="0" w:line="240" w:lineRule="auto"/>
              <w:rPr>
                <w:rFonts w:ascii="Arial" w:hAnsi="Arial" w:cs="Arial"/>
                <w:sz w:val="22"/>
                <w:szCs w:val="22"/>
                <w:lang w:val="en-GB"/>
              </w:rPr>
            </w:pPr>
            <w:r w:rsidRPr="0078222C">
              <w:rPr>
                <w:rFonts w:ascii="Arial" w:hAnsi="Arial" w:cs="Arial"/>
                <w:sz w:val="22"/>
                <w:szCs w:val="22"/>
                <w:lang w:val="en-GB"/>
              </w:rPr>
              <w:t xml:space="preserve">First order draft of sections </w:t>
            </w:r>
            <w:r>
              <w:rPr>
                <w:rFonts w:ascii="Arial" w:hAnsi="Arial" w:cs="Arial"/>
                <w:sz w:val="22"/>
                <w:szCs w:val="22"/>
                <w:lang w:val="en-GB"/>
              </w:rPr>
              <w:t>30 October</w:t>
            </w:r>
          </w:p>
        </w:tc>
      </w:tr>
      <w:tr w:rsidR="009B54A2" w:rsidRPr="0078222C" w14:paraId="00CBD7C1"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61A34674"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GB"/>
              </w:rPr>
              <w:t>November</w:t>
            </w:r>
          </w:p>
        </w:tc>
        <w:tc>
          <w:tcPr>
            <w:tcW w:w="6465" w:type="dxa"/>
            <w:tcBorders>
              <w:top w:val="single" w:sz="6" w:space="0" w:color="auto"/>
              <w:left w:val="nil"/>
              <w:bottom w:val="single" w:sz="6" w:space="0" w:color="auto"/>
              <w:right w:val="nil"/>
            </w:tcBorders>
            <w:shd w:val="clear" w:color="auto" w:fill="auto"/>
            <w:vAlign w:val="center"/>
            <w:hideMark/>
          </w:tcPr>
          <w:p w14:paraId="4FD2B0B9" w14:textId="77777777" w:rsidR="009B54A2" w:rsidRDefault="009B54A2" w:rsidP="007F0217">
            <w:pPr>
              <w:spacing w:after="0" w:line="240" w:lineRule="auto"/>
              <w:rPr>
                <w:rFonts w:ascii="Arial" w:hAnsi="Arial" w:cs="Arial"/>
                <w:sz w:val="22"/>
                <w:szCs w:val="22"/>
                <w:lang w:val="en-GB"/>
              </w:rPr>
            </w:pPr>
            <w:r w:rsidRPr="0078222C">
              <w:rPr>
                <w:rFonts w:ascii="Arial" w:hAnsi="Arial" w:cs="Arial"/>
                <w:sz w:val="22"/>
                <w:szCs w:val="22"/>
                <w:lang w:val="en-GB"/>
              </w:rPr>
              <w:t>Review by EB</w:t>
            </w:r>
          </w:p>
          <w:p w14:paraId="60D28837"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Feedback of EB provided to authors</w:t>
            </w:r>
          </w:p>
          <w:p w14:paraId="07C08C1D"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Submission of second-order draft of chapters and list of key messages/highlights</w:t>
            </w:r>
          </w:p>
        </w:tc>
      </w:tr>
      <w:tr w:rsidR="009B54A2" w:rsidRPr="0078222C" w14:paraId="7E689B38"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2720C8D4"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GB"/>
              </w:rPr>
              <w:t>December</w:t>
            </w:r>
          </w:p>
        </w:tc>
        <w:tc>
          <w:tcPr>
            <w:tcW w:w="6465" w:type="dxa"/>
            <w:tcBorders>
              <w:top w:val="single" w:sz="6" w:space="0" w:color="auto"/>
              <w:left w:val="nil"/>
              <w:bottom w:val="single" w:sz="6" w:space="0" w:color="auto"/>
              <w:right w:val="nil"/>
            </w:tcBorders>
            <w:shd w:val="clear" w:color="auto" w:fill="auto"/>
            <w:vAlign w:val="center"/>
            <w:hideMark/>
          </w:tcPr>
          <w:p w14:paraId="2FC52BF5"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Peer-review and review by IOC</w:t>
            </w:r>
          </w:p>
          <w:p w14:paraId="3A342B29"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Drafting of Executive Summar</w:t>
            </w:r>
            <w:r>
              <w:rPr>
                <w:rFonts w:ascii="Arial" w:hAnsi="Arial" w:cs="Arial"/>
                <w:sz w:val="22"/>
                <w:szCs w:val="22"/>
                <w:lang w:val="en-GB"/>
              </w:rPr>
              <w:t>y</w:t>
            </w:r>
          </w:p>
        </w:tc>
      </w:tr>
      <w:tr w:rsidR="009B54A2" w:rsidRPr="0078222C" w14:paraId="3F77E65C" w14:textId="77777777" w:rsidTr="007207E3">
        <w:trPr>
          <w:cantSplit/>
          <w:trHeight w:val="300"/>
        </w:trPr>
        <w:tc>
          <w:tcPr>
            <w:tcW w:w="9060" w:type="dxa"/>
            <w:gridSpan w:val="2"/>
            <w:tcBorders>
              <w:top w:val="single" w:sz="6" w:space="0" w:color="auto"/>
              <w:left w:val="nil"/>
              <w:bottom w:val="single" w:sz="6" w:space="0" w:color="auto"/>
              <w:right w:val="nil"/>
            </w:tcBorders>
            <w:shd w:val="clear" w:color="auto" w:fill="auto"/>
            <w:vAlign w:val="center"/>
          </w:tcPr>
          <w:p w14:paraId="0E17BB44" w14:textId="77777777" w:rsidR="009B54A2" w:rsidRPr="0078222C" w:rsidRDefault="009B54A2" w:rsidP="007F0217">
            <w:pPr>
              <w:spacing w:after="0" w:line="240" w:lineRule="auto"/>
              <w:jc w:val="center"/>
              <w:rPr>
                <w:rFonts w:ascii="Arial" w:hAnsi="Arial" w:cs="Arial"/>
                <w:sz w:val="22"/>
                <w:szCs w:val="22"/>
                <w:lang w:val="en-GB"/>
              </w:rPr>
            </w:pPr>
            <w:r>
              <w:rPr>
                <w:rFonts w:ascii="Arial" w:hAnsi="Arial" w:cs="Arial"/>
                <w:b/>
                <w:bCs/>
                <w:sz w:val="22"/>
                <w:szCs w:val="22"/>
                <w:lang w:val="en-GB"/>
              </w:rPr>
              <w:t>2026</w:t>
            </w:r>
          </w:p>
        </w:tc>
      </w:tr>
      <w:tr w:rsidR="009B54A2" w:rsidRPr="0078222C" w14:paraId="14B97797"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75CD3C46"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GB"/>
              </w:rPr>
              <w:t>January</w:t>
            </w:r>
          </w:p>
        </w:tc>
        <w:tc>
          <w:tcPr>
            <w:tcW w:w="6465" w:type="dxa"/>
            <w:tcBorders>
              <w:top w:val="single" w:sz="6" w:space="0" w:color="auto"/>
              <w:left w:val="nil"/>
              <w:bottom w:val="single" w:sz="6" w:space="0" w:color="auto"/>
              <w:right w:val="nil"/>
            </w:tcBorders>
            <w:shd w:val="clear" w:color="auto" w:fill="auto"/>
            <w:vAlign w:val="center"/>
            <w:hideMark/>
          </w:tcPr>
          <w:p w14:paraId="5D8E3600" w14:textId="77777777" w:rsidR="009B54A2" w:rsidRDefault="009B54A2" w:rsidP="007F0217">
            <w:pPr>
              <w:spacing w:after="0" w:line="240" w:lineRule="auto"/>
              <w:rPr>
                <w:rFonts w:ascii="Arial" w:hAnsi="Arial" w:cs="Arial"/>
                <w:sz w:val="22"/>
                <w:szCs w:val="22"/>
                <w:lang w:val="en-GB"/>
              </w:rPr>
            </w:pPr>
            <w:r w:rsidRPr="0078222C">
              <w:rPr>
                <w:rFonts w:ascii="Arial" w:hAnsi="Arial" w:cs="Arial"/>
                <w:sz w:val="22"/>
                <w:szCs w:val="22"/>
                <w:lang w:val="en-GB"/>
              </w:rPr>
              <w:t>Lead authors incorporating peer-review</w:t>
            </w:r>
          </w:p>
          <w:p w14:paraId="33BA7F7C" w14:textId="77777777" w:rsidR="009B54A2" w:rsidRPr="0078222C" w:rsidRDefault="009B54A2" w:rsidP="007F0217">
            <w:pPr>
              <w:spacing w:after="0" w:line="240" w:lineRule="auto"/>
              <w:rPr>
                <w:rFonts w:ascii="Arial" w:hAnsi="Arial" w:cs="Arial"/>
                <w:sz w:val="22"/>
                <w:szCs w:val="22"/>
                <w:lang w:val="en-US"/>
              </w:rPr>
            </w:pPr>
            <w:r>
              <w:rPr>
                <w:rFonts w:ascii="Arial" w:hAnsi="Arial" w:cs="Arial"/>
                <w:sz w:val="22"/>
                <w:szCs w:val="22"/>
                <w:lang w:val="en-GB"/>
              </w:rPr>
              <w:t>Contracting for</w:t>
            </w:r>
            <w:r w:rsidRPr="0078222C">
              <w:rPr>
                <w:rFonts w:ascii="Arial" w:hAnsi="Arial" w:cs="Arial"/>
                <w:sz w:val="22"/>
                <w:szCs w:val="22"/>
                <w:lang w:val="en-GB"/>
              </w:rPr>
              <w:t xml:space="preserve"> design of GOSR cover</w:t>
            </w:r>
          </w:p>
        </w:tc>
      </w:tr>
      <w:tr w:rsidR="009B54A2" w:rsidRPr="0078222C" w14:paraId="143D75DE" w14:textId="77777777" w:rsidTr="007207E3">
        <w:trPr>
          <w:cantSplit/>
          <w:trHeight w:val="300"/>
        </w:trPr>
        <w:tc>
          <w:tcPr>
            <w:tcW w:w="2595" w:type="dxa"/>
            <w:tcBorders>
              <w:top w:val="single" w:sz="6" w:space="0" w:color="auto"/>
              <w:left w:val="nil"/>
              <w:bottom w:val="single" w:sz="6" w:space="0" w:color="auto"/>
              <w:right w:val="nil"/>
            </w:tcBorders>
            <w:shd w:val="clear" w:color="auto" w:fill="auto"/>
            <w:vAlign w:val="center"/>
            <w:hideMark/>
          </w:tcPr>
          <w:p w14:paraId="2A2D9088"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GB"/>
              </w:rPr>
              <w:t>February/March</w:t>
            </w:r>
          </w:p>
        </w:tc>
        <w:tc>
          <w:tcPr>
            <w:tcW w:w="6465" w:type="dxa"/>
            <w:tcBorders>
              <w:top w:val="single" w:sz="6" w:space="0" w:color="auto"/>
              <w:left w:val="nil"/>
              <w:bottom w:val="single" w:sz="6" w:space="0" w:color="auto"/>
              <w:right w:val="nil"/>
            </w:tcBorders>
            <w:shd w:val="clear" w:color="auto" w:fill="auto"/>
            <w:vAlign w:val="center"/>
            <w:hideMark/>
          </w:tcPr>
          <w:p w14:paraId="310E7F7C"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Production phase (lay out, translation of executive summary into 6 UN languages, printing)</w:t>
            </w:r>
          </w:p>
        </w:tc>
      </w:tr>
      <w:tr w:rsidR="009B54A2" w:rsidRPr="0078222C" w14:paraId="65F64132" w14:textId="77777777" w:rsidTr="007207E3">
        <w:trPr>
          <w:cantSplit/>
          <w:trHeight w:val="300"/>
        </w:trPr>
        <w:tc>
          <w:tcPr>
            <w:tcW w:w="2595" w:type="dxa"/>
            <w:tcBorders>
              <w:top w:val="single" w:sz="6" w:space="0" w:color="auto"/>
              <w:left w:val="nil"/>
              <w:bottom w:val="single" w:sz="12" w:space="0" w:color="auto"/>
              <w:right w:val="nil"/>
            </w:tcBorders>
            <w:shd w:val="clear" w:color="auto" w:fill="auto"/>
            <w:vAlign w:val="center"/>
            <w:hideMark/>
          </w:tcPr>
          <w:p w14:paraId="14DF7382"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b/>
                <w:bCs/>
                <w:sz w:val="22"/>
                <w:szCs w:val="22"/>
                <w:lang w:val="en-GB"/>
              </w:rPr>
              <w:t>April</w:t>
            </w:r>
          </w:p>
        </w:tc>
        <w:tc>
          <w:tcPr>
            <w:tcW w:w="6465" w:type="dxa"/>
            <w:tcBorders>
              <w:top w:val="single" w:sz="6" w:space="0" w:color="auto"/>
              <w:left w:val="nil"/>
              <w:bottom w:val="single" w:sz="12" w:space="0" w:color="auto"/>
              <w:right w:val="nil"/>
            </w:tcBorders>
            <w:shd w:val="clear" w:color="auto" w:fill="auto"/>
            <w:vAlign w:val="center"/>
            <w:hideMark/>
          </w:tcPr>
          <w:p w14:paraId="5B5EFBFF" w14:textId="77777777" w:rsidR="009B54A2" w:rsidRPr="0078222C" w:rsidRDefault="009B54A2" w:rsidP="007F0217">
            <w:pPr>
              <w:spacing w:after="0" w:line="240" w:lineRule="auto"/>
              <w:rPr>
                <w:rFonts w:ascii="Arial" w:hAnsi="Arial" w:cs="Arial"/>
                <w:sz w:val="22"/>
                <w:szCs w:val="22"/>
                <w:lang w:val="en-US"/>
              </w:rPr>
            </w:pPr>
            <w:r w:rsidRPr="0078222C">
              <w:rPr>
                <w:rFonts w:ascii="Arial" w:hAnsi="Arial" w:cs="Arial"/>
                <w:sz w:val="22"/>
                <w:szCs w:val="22"/>
                <w:lang w:val="en-GB"/>
              </w:rPr>
              <w:t>Launch at the Our Ocean Conference</w:t>
            </w:r>
          </w:p>
        </w:tc>
      </w:tr>
    </w:tbl>
    <w:p w14:paraId="33301A05" w14:textId="77777777" w:rsidR="009B54A2" w:rsidRPr="0078222C" w:rsidRDefault="009B54A2" w:rsidP="009B54A2">
      <w:pPr>
        <w:rPr>
          <w:rFonts w:ascii="Arial" w:hAnsi="Arial" w:cs="Arial"/>
          <w:sz w:val="22"/>
          <w:szCs w:val="22"/>
          <w:lang w:val="en-US"/>
        </w:rPr>
      </w:pPr>
    </w:p>
    <w:p w14:paraId="5762F926" w14:textId="77777777" w:rsidR="009B54A2" w:rsidRDefault="009B54A2" w:rsidP="009B54A2">
      <w:pPr>
        <w:rPr>
          <w:rFonts w:ascii="Arial" w:hAnsi="Arial" w:cs="Arial"/>
          <w:sz w:val="22"/>
          <w:szCs w:val="22"/>
        </w:rPr>
      </w:pPr>
      <w:r>
        <w:rPr>
          <w:rFonts w:ascii="Arial" w:hAnsi="Arial" w:cs="Arial"/>
          <w:sz w:val="22"/>
          <w:szCs w:val="22"/>
        </w:rPr>
        <w:br w:type="page"/>
      </w:r>
    </w:p>
    <w:p w14:paraId="0AFCFDA6" w14:textId="77777777" w:rsidR="009B54A2" w:rsidRPr="007F0217" w:rsidRDefault="009B54A2" w:rsidP="007F0217">
      <w:pPr>
        <w:pStyle w:val="Heading3"/>
        <w:pBdr>
          <w:bottom w:val="single" w:sz="4" w:space="1" w:color="auto"/>
        </w:pBdr>
        <w:ind w:left="980" w:hanging="980"/>
        <w:rPr>
          <w:rFonts w:ascii="Arial" w:hAnsi="Arial" w:cs="Arial"/>
          <w:b/>
          <w:bCs/>
          <w:color w:val="000000" w:themeColor="text1"/>
          <w:sz w:val="22"/>
          <w:szCs w:val="22"/>
        </w:rPr>
      </w:pPr>
      <w:bookmarkStart w:id="3" w:name="a4"/>
      <w:r w:rsidRPr="007F0217">
        <w:rPr>
          <w:rFonts w:ascii="Arial" w:hAnsi="Arial" w:cs="Arial"/>
          <w:b/>
          <w:bCs/>
          <w:color w:val="000000" w:themeColor="text1"/>
          <w:sz w:val="22"/>
          <w:szCs w:val="22"/>
        </w:rPr>
        <w:lastRenderedPageBreak/>
        <w:t xml:space="preserve">Annex 4: The title and outline for the third edition of the </w:t>
      </w:r>
      <w:r w:rsidRPr="007F0217">
        <w:rPr>
          <w:rFonts w:ascii="Arial" w:hAnsi="Arial" w:cs="Arial"/>
          <w:b/>
          <w:bCs/>
          <w:i/>
          <w:iCs/>
          <w:color w:val="000000" w:themeColor="text1"/>
          <w:sz w:val="22"/>
          <w:szCs w:val="22"/>
        </w:rPr>
        <w:t>Global Ocean Science Report</w:t>
      </w:r>
    </w:p>
    <w:bookmarkEnd w:id="3"/>
    <w:p w14:paraId="269B90CA" w14:textId="77777777" w:rsidR="009B54A2" w:rsidRDefault="009B54A2" w:rsidP="009B54A2">
      <w:pPr>
        <w:rPr>
          <w:rFonts w:ascii="Arial" w:hAnsi="Arial" w:cs="Arial"/>
          <w:sz w:val="22"/>
          <w:szCs w:val="22"/>
        </w:rPr>
      </w:pPr>
    </w:p>
    <w:p w14:paraId="390E53CD" w14:textId="09496490" w:rsidR="009B54A2" w:rsidRPr="0027030F" w:rsidRDefault="009B54A2" w:rsidP="009B54A2">
      <w:pPr>
        <w:rPr>
          <w:rFonts w:ascii="Arial" w:hAnsi="Arial" w:cs="Arial"/>
          <w:b/>
          <w:bCs/>
        </w:rPr>
      </w:pPr>
      <w:r w:rsidRPr="0027030F">
        <w:rPr>
          <w:rFonts w:ascii="Arial" w:hAnsi="Arial" w:cs="Arial"/>
          <w:b/>
          <w:bCs/>
        </w:rPr>
        <w:t>Investing in Sustainable Ocean Solutions</w:t>
      </w:r>
    </w:p>
    <w:p w14:paraId="75B19EB6" w14:textId="77777777" w:rsidR="009B54A2" w:rsidRPr="0027030F" w:rsidRDefault="009B54A2" w:rsidP="009B54A2">
      <w:pPr>
        <w:numPr>
          <w:ilvl w:val="0"/>
          <w:numId w:val="8"/>
        </w:numPr>
        <w:tabs>
          <w:tab w:val="num" w:pos="720"/>
        </w:tabs>
        <w:rPr>
          <w:rFonts w:ascii="Arial" w:hAnsi="Arial" w:cs="Arial"/>
          <w:sz w:val="22"/>
          <w:szCs w:val="22"/>
          <w:lang w:val="en-US"/>
        </w:rPr>
      </w:pPr>
      <w:r w:rsidRPr="0027030F">
        <w:rPr>
          <w:rFonts w:ascii="Arial" w:hAnsi="Arial" w:cs="Arial"/>
          <w:b/>
          <w:bCs/>
          <w:sz w:val="22"/>
          <w:szCs w:val="22"/>
          <w:lang w:val="en-US"/>
        </w:rPr>
        <w:t>Introduction</w:t>
      </w:r>
    </w:p>
    <w:p w14:paraId="3A2291A5" w14:textId="77777777" w:rsidR="009B54A2" w:rsidRPr="00362179" w:rsidRDefault="009B54A2" w:rsidP="009B54A2">
      <w:pPr>
        <w:pStyle w:val="ListParagraph"/>
        <w:numPr>
          <w:ilvl w:val="1"/>
          <w:numId w:val="8"/>
        </w:numPr>
        <w:rPr>
          <w:rFonts w:ascii="Arial" w:hAnsi="Arial" w:cs="Arial"/>
          <w:sz w:val="22"/>
          <w:szCs w:val="22"/>
          <w:lang w:val="en-US"/>
        </w:rPr>
      </w:pPr>
      <w:r w:rsidRPr="00362179">
        <w:rPr>
          <w:rFonts w:ascii="Arial" w:hAnsi="Arial" w:cs="Arial"/>
          <w:sz w:val="22"/>
          <w:szCs w:val="22"/>
          <w:lang w:val="en-US"/>
        </w:rPr>
        <w:t>The overall landscape of ocean science in 2025</w:t>
      </w:r>
    </w:p>
    <w:p w14:paraId="5B3A4593" w14:textId="77777777" w:rsidR="009B54A2" w:rsidRPr="00362179" w:rsidRDefault="009B54A2" w:rsidP="009B54A2">
      <w:pPr>
        <w:pStyle w:val="ListParagraph"/>
        <w:numPr>
          <w:ilvl w:val="1"/>
          <w:numId w:val="13"/>
        </w:numPr>
        <w:rPr>
          <w:rFonts w:ascii="Arial" w:hAnsi="Arial" w:cs="Arial"/>
          <w:sz w:val="22"/>
          <w:szCs w:val="22"/>
          <w:lang w:val="en-US"/>
        </w:rPr>
      </w:pPr>
      <w:r w:rsidRPr="00362179">
        <w:rPr>
          <w:rFonts w:ascii="Arial" w:hAnsi="Arial" w:cs="Arial"/>
          <w:sz w:val="22"/>
          <w:szCs w:val="22"/>
          <w:lang w:val="en-US"/>
        </w:rPr>
        <w:t>Disciplines</w:t>
      </w:r>
    </w:p>
    <w:p w14:paraId="658C020D" w14:textId="77777777" w:rsidR="009B54A2" w:rsidRDefault="009B54A2" w:rsidP="009B54A2">
      <w:pPr>
        <w:pStyle w:val="ListParagraph"/>
        <w:numPr>
          <w:ilvl w:val="1"/>
          <w:numId w:val="13"/>
        </w:numPr>
        <w:rPr>
          <w:rFonts w:ascii="Arial" w:hAnsi="Arial" w:cs="Arial"/>
          <w:sz w:val="22"/>
          <w:szCs w:val="22"/>
          <w:lang w:val="en-US"/>
        </w:rPr>
      </w:pPr>
      <w:r>
        <w:rPr>
          <w:rFonts w:ascii="Arial" w:hAnsi="Arial" w:cs="Arial"/>
          <w:sz w:val="22"/>
          <w:szCs w:val="22"/>
          <w:lang w:val="en-US"/>
        </w:rPr>
        <w:t>A</w:t>
      </w:r>
      <w:r w:rsidRPr="00362179">
        <w:rPr>
          <w:rFonts w:ascii="Arial" w:hAnsi="Arial" w:cs="Arial"/>
          <w:sz w:val="22"/>
          <w:szCs w:val="22"/>
          <w:lang w:val="en-US"/>
        </w:rPr>
        <w:t>ctors</w:t>
      </w:r>
    </w:p>
    <w:p w14:paraId="47378AE8" w14:textId="77777777" w:rsidR="009B54A2" w:rsidRPr="00362179" w:rsidRDefault="009B54A2" w:rsidP="009B54A2">
      <w:pPr>
        <w:pStyle w:val="ListParagraph"/>
        <w:numPr>
          <w:ilvl w:val="1"/>
          <w:numId w:val="13"/>
        </w:numPr>
        <w:rPr>
          <w:rFonts w:ascii="Arial" w:hAnsi="Arial" w:cs="Arial"/>
          <w:sz w:val="22"/>
          <w:szCs w:val="22"/>
          <w:lang w:val="en-US"/>
        </w:rPr>
      </w:pPr>
      <w:r w:rsidRPr="00362179">
        <w:rPr>
          <w:rFonts w:ascii="Arial" w:hAnsi="Arial" w:cs="Arial"/>
          <w:sz w:val="22"/>
          <w:szCs w:val="22"/>
          <w:lang w:val="en-US"/>
        </w:rPr>
        <w:t>Products/applications/use</w:t>
      </w:r>
    </w:p>
    <w:p w14:paraId="38D8CC7C" w14:textId="77777777" w:rsidR="009B54A2" w:rsidRPr="00362179" w:rsidRDefault="009B54A2" w:rsidP="009B54A2">
      <w:pPr>
        <w:pStyle w:val="ListParagraph"/>
        <w:numPr>
          <w:ilvl w:val="1"/>
          <w:numId w:val="8"/>
        </w:numPr>
        <w:rPr>
          <w:rFonts w:ascii="Arial" w:hAnsi="Arial" w:cs="Arial"/>
          <w:sz w:val="22"/>
          <w:szCs w:val="22"/>
          <w:lang w:val="en-US"/>
        </w:rPr>
      </w:pPr>
      <w:r w:rsidRPr="00362179">
        <w:rPr>
          <w:rFonts w:ascii="Arial" w:hAnsi="Arial" w:cs="Arial"/>
          <w:sz w:val="22"/>
          <w:szCs w:val="22"/>
          <w:lang w:val="en-US"/>
        </w:rPr>
        <w:t>The importance of tracking on investments in ocean science and related capacity and related outputs</w:t>
      </w:r>
    </w:p>
    <w:p w14:paraId="70298198" w14:textId="77777777" w:rsidR="009B54A2" w:rsidRDefault="009B54A2" w:rsidP="009B54A2">
      <w:pPr>
        <w:pStyle w:val="ListParagraph"/>
        <w:numPr>
          <w:ilvl w:val="0"/>
          <w:numId w:val="14"/>
        </w:numPr>
        <w:rPr>
          <w:rFonts w:ascii="Arial" w:hAnsi="Arial" w:cs="Arial"/>
          <w:sz w:val="22"/>
          <w:szCs w:val="22"/>
          <w:lang w:val="en-US"/>
        </w:rPr>
      </w:pPr>
      <w:r>
        <w:rPr>
          <w:rFonts w:ascii="Arial" w:hAnsi="Arial" w:cs="Arial"/>
          <w:sz w:val="22"/>
          <w:szCs w:val="22"/>
          <w:lang w:val="en-US"/>
        </w:rPr>
        <w:t xml:space="preserve">Introduction to and objectives of the </w:t>
      </w:r>
      <w:r w:rsidRPr="0027030F">
        <w:rPr>
          <w:rFonts w:ascii="Arial" w:hAnsi="Arial" w:cs="Arial"/>
          <w:sz w:val="22"/>
          <w:szCs w:val="22"/>
          <w:lang w:val="en-US"/>
        </w:rPr>
        <w:t>Global Ocean Science Report</w:t>
      </w:r>
    </w:p>
    <w:p w14:paraId="035D882D" w14:textId="77777777" w:rsidR="009B54A2" w:rsidRPr="00362179" w:rsidRDefault="009B54A2" w:rsidP="009B54A2">
      <w:pPr>
        <w:pStyle w:val="ListParagraph"/>
        <w:numPr>
          <w:ilvl w:val="0"/>
          <w:numId w:val="14"/>
        </w:numPr>
        <w:rPr>
          <w:rFonts w:ascii="Arial" w:hAnsi="Arial" w:cs="Arial"/>
          <w:sz w:val="22"/>
          <w:szCs w:val="22"/>
          <w:lang w:val="en-US"/>
        </w:rPr>
      </w:pPr>
      <w:r>
        <w:rPr>
          <w:rFonts w:ascii="Arial" w:hAnsi="Arial" w:cs="Arial"/>
          <w:sz w:val="22"/>
          <w:szCs w:val="22"/>
          <w:lang w:val="en-US"/>
        </w:rPr>
        <w:t>Users of the Global Ocean Science Report</w:t>
      </w:r>
    </w:p>
    <w:p w14:paraId="363DE5D0" w14:textId="77777777" w:rsidR="009B54A2" w:rsidRDefault="009B54A2" w:rsidP="009B54A2">
      <w:pPr>
        <w:ind w:left="360"/>
        <w:rPr>
          <w:rFonts w:ascii="Arial" w:hAnsi="Arial" w:cs="Arial"/>
          <w:sz w:val="22"/>
          <w:szCs w:val="22"/>
          <w:lang w:val="en-US"/>
        </w:rPr>
      </w:pPr>
      <w:r w:rsidRPr="0027030F">
        <w:rPr>
          <w:rFonts w:ascii="Arial" w:hAnsi="Arial" w:cs="Arial"/>
          <w:sz w:val="22"/>
          <w:szCs w:val="22"/>
          <w:lang w:val="en-US"/>
        </w:rPr>
        <w:t>1.3 Progress as measured through the Global Ocean Science Report 2015-2025</w:t>
      </w:r>
    </w:p>
    <w:p w14:paraId="7FA630A1" w14:textId="77777777" w:rsidR="009B54A2" w:rsidRPr="00362179" w:rsidRDefault="009B54A2" w:rsidP="009B54A2">
      <w:pPr>
        <w:pStyle w:val="ListParagraph"/>
        <w:numPr>
          <w:ilvl w:val="0"/>
          <w:numId w:val="15"/>
        </w:numPr>
        <w:rPr>
          <w:rFonts w:ascii="Arial" w:hAnsi="Arial" w:cs="Arial"/>
          <w:sz w:val="22"/>
          <w:szCs w:val="22"/>
          <w:lang w:val="en-US"/>
        </w:rPr>
      </w:pPr>
      <w:r w:rsidRPr="00362179">
        <w:rPr>
          <w:rFonts w:ascii="Arial" w:hAnsi="Arial" w:cs="Arial"/>
          <w:sz w:val="22"/>
          <w:szCs w:val="22"/>
          <w:lang w:val="en-US"/>
        </w:rPr>
        <w:t>What has changed over the period of the three Global Ocean Science Reports</w:t>
      </w:r>
    </w:p>
    <w:p w14:paraId="25A4890D" w14:textId="77777777" w:rsidR="009B54A2" w:rsidRDefault="009B54A2" w:rsidP="009B54A2">
      <w:pPr>
        <w:ind w:left="360"/>
        <w:rPr>
          <w:rFonts w:ascii="Arial" w:hAnsi="Arial" w:cs="Arial"/>
          <w:sz w:val="22"/>
          <w:szCs w:val="22"/>
          <w:lang w:val="en-US"/>
        </w:rPr>
      </w:pPr>
      <w:r w:rsidRPr="0027030F">
        <w:rPr>
          <w:rFonts w:ascii="Arial" w:hAnsi="Arial" w:cs="Arial"/>
          <w:sz w:val="22"/>
          <w:szCs w:val="22"/>
          <w:lang w:val="en-US"/>
        </w:rPr>
        <w:t>1.4 Organization of the GOSR 2025</w:t>
      </w:r>
    </w:p>
    <w:p w14:paraId="342A753D" w14:textId="77777777" w:rsidR="009B54A2" w:rsidRDefault="009B54A2" w:rsidP="009B54A2">
      <w:pPr>
        <w:pStyle w:val="ListParagraph"/>
        <w:numPr>
          <w:ilvl w:val="0"/>
          <w:numId w:val="15"/>
        </w:numPr>
        <w:rPr>
          <w:rFonts w:ascii="Arial" w:hAnsi="Arial" w:cs="Arial"/>
          <w:sz w:val="22"/>
          <w:szCs w:val="22"/>
          <w:lang w:val="en-US"/>
        </w:rPr>
      </w:pPr>
      <w:r>
        <w:rPr>
          <w:rFonts w:ascii="Arial" w:hAnsi="Arial" w:cs="Arial"/>
          <w:sz w:val="22"/>
          <w:szCs w:val="22"/>
          <w:lang w:val="en-US"/>
        </w:rPr>
        <w:t>Chapters</w:t>
      </w:r>
    </w:p>
    <w:p w14:paraId="5BE083DE" w14:textId="77777777" w:rsidR="009B54A2" w:rsidRPr="00362179" w:rsidRDefault="009B54A2" w:rsidP="009B54A2">
      <w:pPr>
        <w:pStyle w:val="ListParagraph"/>
        <w:numPr>
          <w:ilvl w:val="0"/>
          <w:numId w:val="15"/>
        </w:numPr>
        <w:rPr>
          <w:rFonts w:ascii="Arial" w:hAnsi="Arial" w:cs="Arial"/>
          <w:sz w:val="22"/>
          <w:szCs w:val="22"/>
          <w:lang w:val="en-US"/>
        </w:rPr>
      </w:pPr>
      <w:r>
        <w:rPr>
          <w:rFonts w:ascii="Arial" w:hAnsi="Arial" w:cs="Arial"/>
          <w:sz w:val="22"/>
          <w:szCs w:val="22"/>
          <w:lang w:val="en-US"/>
        </w:rPr>
        <w:t>Additions/Modifications</w:t>
      </w:r>
    </w:p>
    <w:p w14:paraId="4F2FCC44" w14:textId="77777777" w:rsidR="009B54A2" w:rsidRPr="0027030F" w:rsidRDefault="009B54A2" w:rsidP="009B54A2">
      <w:pPr>
        <w:numPr>
          <w:ilvl w:val="0"/>
          <w:numId w:val="8"/>
        </w:numPr>
        <w:rPr>
          <w:rFonts w:ascii="Arial" w:hAnsi="Arial" w:cs="Arial"/>
          <w:sz w:val="22"/>
          <w:szCs w:val="22"/>
          <w:lang w:val="en-US"/>
        </w:rPr>
      </w:pPr>
      <w:r w:rsidRPr="0027030F">
        <w:rPr>
          <w:rFonts w:ascii="Arial" w:hAnsi="Arial" w:cs="Arial"/>
          <w:b/>
          <w:bCs/>
          <w:sz w:val="22"/>
          <w:szCs w:val="22"/>
          <w:lang w:val="en-US"/>
        </w:rPr>
        <w:t>Definitions, data collection and analysis</w:t>
      </w:r>
    </w:p>
    <w:p w14:paraId="77BC26C4"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 xml:space="preserve">2.1 Preparation of the report </w:t>
      </w:r>
    </w:p>
    <w:p w14:paraId="082813C9"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2.2 Definition and classification of ocean science into categories</w:t>
      </w:r>
    </w:p>
    <w:p w14:paraId="048BACC3"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2.3 Data resources and analysis</w:t>
      </w:r>
    </w:p>
    <w:p w14:paraId="7D6F64CA"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2.4 Parameters for normalization</w:t>
      </w:r>
    </w:p>
    <w:p w14:paraId="357AA32D" w14:textId="77777777" w:rsidR="009B54A2" w:rsidRDefault="009B54A2" w:rsidP="009B54A2">
      <w:pPr>
        <w:ind w:left="360"/>
        <w:rPr>
          <w:rFonts w:ascii="Arial" w:hAnsi="Arial" w:cs="Arial"/>
          <w:sz w:val="22"/>
          <w:szCs w:val="22"/>
          <w:lang w:val="en-US"/>
        </w:rPr>
      </w:pPr>
      <w:r w:rsidRPr="0027030F">
        <w:rPr>
          <w:rFonts w:ascii="Arial" w:hAnsi="Arial" w:cs="Arial"/>
          <w:sz w:val="22"/>
          <w:szCs w:val="22"/>
          <w:lang w:val="en-US"/>
        </w:rPr>
        <w:t>2.5 Visualization</w:t>
      </w:r>
    </w:p>
    <w:p w14:paraId="3CD2D0B0" w14:textId="77777777" w:rsidR="009B54A2" w:rsidRPr="0027030F" w:rsidRDefault="009B54A2" w:rsidP="009B54A2">
      <w:pPr>
        <w:numPr>
          <w:ilvl w:val="0"/>
          <w:numId w:val="9"/>
        </w:numPr>
        <w:tabs>
          <w:tab w:val="num" w:pos="720"/>
        </w:tabs>
        <w:rPr>
          <w:rFonts w:ascii="Arial" w:hAnsi="Arial" w:cs="Arial"/>
          <w:sz w:val="22"/>
          <w:szCs w:val="22"/>
          <w:lang w:val="en-US"/>
        </w:rPr>
      </w:pPr>
      <w:r w:rsidRPr="0027030F">
        <w:rPr>
          <w:rFonts w:ascii="Arial" w:hAnsi="Arial" w:cs="Arial"/>
          <w:b/>
          <w:bCs/>
          <w:sz w:val="22"/>
          <w:szCs w:val="22"/>
          <w:lang w:val="en-US"/>
        </w:rPr>
        <w:t>Funding for ocean science</w:t>
      </w:r>
    </w:p>
    <w:p w14:paraId="7E9CB385" w14:textId="77777777" w:rsidR="009B54A2" w:rsidRPr="00362179" w:rsidRDefault="009B54A2" w:rsidP="009B54A2">
      <w:pPr>
        <w:pStyle w:val="ListParagraph"/>
        <w:numPr>
          <w:ilvl w:val="1"/>
          <w:numId w:val="9"/>
        </w:numPr>
        <w:rPr>
          <w:rFonts w:ascii="Arial" w:hAnsi="Arial" w:cs="Arial"/>
          <w:sz w:val="22"/>
          <w:szCs w:val="22"/>
          <w:lang w:val="en-US"/>
        </w:rPr>
      </w:pPr>
      <w:r w:rsidRPr="00362179">
        <w:rPr>
          <w:rFonts w:ascii="Arial" w:hAnsi="Arial" w:cs="Arial"/>
          <w:sz w:val="22"/>
          <w:szCs w:val="22"/>
          <w:lang w:val="en-US"/>
        </w:rPr>
        <w:t>Mapping sources of funding</w:t>
      </w:r>
    </w:p>
    <w:p w14:paraId="5C9FEF60" w14:textId="77777777" w:rsidR="009B54A2" w:rsidRDefault="009B54A2" w:rsidP="009B54A2">
      <w:pPr>
        <w:pStyle w:val="ListParagraph"/>
        <w:numPr>
          <w:ilvl w:val="0"/>
          <w:numId w:val="16"/>
        </w:numPr>
        <w:rPr>
          <w:rFonts w:ascii="Arial" w:hAnsi="Arial" w:cs="Arial"/>
          <w:sz w:val="22"/>
          <w:szCs w:val="22"/>
          <w:lang w:val="en-US"/>
        </w:rPr>
      </w:pPr>
      <w:r>
        <w:rPr>
          <w:rFonts w:ascii="Arial" w:hAnsi="Arial" w:cs="Arial"/>
          <w:sz w:val="22"/>
          <w:szCs w:val="22"/>
          <w:lang w:val="en-US"/>
        </w:rPr>
        <w:t>National</w:t>
      </w:r>
    </w:p>
    <w:p w14:paraId="7EAF0BAA" w14:textId="77777777" w:rsidR="009B54A2" w:rsidRDefault="009B54A2" w:rsidP="009B54A2">
      <w:pPr>
        <w:pStyle w:val="ListParagraph"/>
        <w:numPr>
          <w:ilvl w:val="1"/>
          <w:numId w:val="16"/>
        </w:numPr>
        <w:rPr>
          <w:rFonts w:ascii="Arial" w:hAnsi="Arial" w:cs="Arial"/>
          <w:sz w:val="22"/>
          <w:szCs w:val="22"/>
          <w:lang w:val="en-US"/>
        </w:rPr>
      </w:pPr>
      <w:r>
        <w:rPr>
          <w:rFonts w:ascii="Arial" w:hAnsi="Arial" w:cs="Arial"/>
          <w:sz w:val="22"/>
          <w:szCs w:val="22"/>
          <w:lang w:val="en-US"/>
        </w:rPr>
        <w:t>Government</w:t>
      </w:r>
    </w:p>
    <w:p w14:paraId="1C5F7823" w14:textId="77777777" w:rsidR="009B54A2" w:rsidRDefault="009B54A2" w:rsidP="009B54A2">
      <w:pPr>
        <w:pStyle w:val="ListParagraph"/>
        <w:numPr>
          <w:ilvl w:val="1"/>
          <w:numId w:val="16"/>
        </w:numPr>
        <w:rPr>
          <w:rFonts w:ascii="Arial" w:hAnsi="Arial" w:cs="Arial"/>
          <w:sz w:val="22"/>
          <w:szCs w:val="22"/>
          <w:lang w:val="en-US"/>
        </w:rPr>
      </w:pPr>
      <w:r>
        <w:rPr>
          <w:rFonts w:ascii="Arial" w:hAnsi="Arial" w:cs="Arial"/>
          <w:sz w:val="22"/>
          <w:szCs w:val="22"/>
          <w:lang w:val="en-US"/>
        </w:rPr>
        <w:t>Non-government</w:t>
      </w:r>
    </w:p>
    <w:p w14:paraId="1590A877" w14:textId="77777777" w:rsidR="009B54A2" w:rsidRDefault="009B54A2" w:rsidP="009B54A2">
      <w:pPr>
        <w:pStyle w:val="ListParagraph"/>
        <w:numPr>
          <w:ilvl w:val="0"/>
          <w:numId w:val="16"/>
        </w:numPr>
        <w:rPr>
          <w:rFonts w:ascii="Arial" w:hAnsi="Arial" w:cs="Arial"/>
          <w:sz w:val="22"/>
          <w:szCs w:val="22"/>
          <w:lang w:val="en-US"/>
        </w:rPr>
      </w:pPr>
      <w:r>
        <w:rPr>
          <w:rFonts w:ascii="Arial" w:hAnsi="Arial" w:cs="Arial"/>
          <w:sz w:val="22"/>
          <w:szCs w:val="22"/>
          <w:lang w:val="en-US"/>
        </w:rPr>
        <w:t>Regional</w:t>
      </w:r>
    </w:p>
    <w:p w14:paraId="699B9739" w14:textId="77777777" w:rsidR="009B54A2" w:rsidRPr="00E761F4" w:rsidRDefault="009B54A2" w:rsidP="009B54A2">
      <w:pPr>
        <w:pStyle w:val="ListParagraph"/>
        <w:numPr>
          <w:ilvl w:val="0"/>
          <w:numId w:val="16"/>
        </w:numPr>
        <w:rPr>
          <w:rFonts w:ascii="Arial" w:hAnsi="Arial" w:cs="Arial"/>
          <w:sz w:val="22"/>
          <w:szCs w:val="22"/>
          <w:lang w:val="en-US"/>
        </w:rPr>
      </w:pPr>
      <w:r>
        <w:rPr>
          <w:rFonts w:ascii="Arial" w:hAnsi="Arial" w:cs="Arial"/>
          <w:sz w:val="22"/>
          <w:szCs w:val="22"/>
          <w:lang w:val="en-US"/>
        </w:rPr>
        <w:t>International</w:t>
      </w:r>
    </w:p>
    <w:p w14:paraId="1105562D"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 xml:space="preserve">3.2. Key trends in ocean science funding </w:t>
      </w:r>
    </w:p>
    <w:p w14:paraId="14C7C87A"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3.3 Selected case studies on funding streams</w:t>
      </w:r>
    </w:p>
    <w:p w14:paraId="4F62B8C6"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3.4 Future perspectives</w:t>
      </w:r>
    </w:p>
    <w:p w14:paraId="19577693" w14:textId="77777777" w:rsidR="009B54A2" w:rsidRPr="0027030F" w:rsidRDefault="009B54A2" w:rsidP="009B54A2">
      <w:pPr>
        <w:numPr>
          <w:ilvl w:val="0"/>
          <w:numId w:val="9"/>
        </w:numPr>
        <w:rPr>
          <w:rFonts w:ascii="Arial" w:hAnsi="Arial" w:cs="Arial"/>
          <w:sz w:val="22"/>
          <w:szCs w:val="22"/>
          <w:lang w:val="en-US"/>
        </w:rPr>
      </w:pPr>
      <w:r w:rsidRPr="0027030F">
        <w:rPr>
          <w:rFonts w:ascii="Arial" w:hAnsi="Arial" w:cs="Arial"/>
          <w:b/>
          <w:bCs/>
          <w:sz w:val="22"/>
          <w:szCs w:val="22"/>
          <w:lang w:val="en-US"/>
        </w:rPr>
        <w:lastRenderedPageBreak/>
        <w:t>Research capacity and infrastructure</w:t>
      </w:r>
    </w:p>
    <w:p w14:paraId="4B6C956E" w14:textId="77777777" w:rsidR="009B54A2" w:rsidRDefault="009B54A2" w:rsidP="009B54A2">
      <w:pPr>
        <w:ind w:left="360"/>
        <w:rPr>
          <w:rFonts w:ascii="Arial" w:hAnsi="Arial" w:cs="Arial"/>
          <w:sz w:val="22"/>
          <w:szCs w:val="22"/>
          <w:lang w:val="en-US"/>
        </w:rPr>
      </w:pPr>
      <w:r w:rsidRPr="0027030F">
        <w:rPr>
          <w:rFonts w:ascii="Arial" w:hAnsi="Arial" w:cs="Arial"/>
          <w:sz w:val="22"/>
          <w:szCs w:val="22"/>
          <w:lang w:val="en-US"/>
        </w:rPr>
        <w:t>4.1 Mapping of human resources</w:t>
      </w:r>
    </w:p>
    <w:p w14:paraId="1FAD875D" w14:textId="77777777" w:rsidR="009B54A2" w:rsidRDefault="009B54A2" w:rsidP="009B54A2">
      <w:pPr>
        <w:pStyle w:val="ListParagraph"/>
        <w:numPr>
          <w:ilvl w:val="0"/>
          <w:numId w:val="17"/>
        </w:numPr>
        <w:rPr>
          <w:rFonts w:ascii="Arial" w:hAnsi="Arial" w:cs="Arial"/>
          <w:sz w:val="22"/>
          <w:szCs w:val="22"/>
          <w:lang w:val="en-US"/>
        </w:rPr>
      </w:pPr>
      <w:r>
        <w:rPr>
          <w:rFonts w:ascii="Arial" w:hAnsi="Arial" w:cs="Arial"/>
          <w:sz w:val="22"/>
          <w:szCs w:val="22"/>
          <w:lang w:val="en-US"/>
        </w:rPr>
        <w:t>Geographic</w:t>
      </w:r>
    </w:p>
    <w:p w14:paraId="5F2EAB90" w14:textId="77777777" w:rsidR="009B54A2" w:rsidRDefault="009B54A2" w:rsidP="009B54A2">
      <w:pPr>
        <w:pStyle w:val="ListParagraph"/>
        <w:numPr>
          <w:ilvl w:val="0"/>
          <w:numId w:val="17"/>
        </w:numPr>
        <w:rPr>
          <w:rFonts w:ascii="Arial" w:hAnsi="Arial" w:cs="Arial"/>
          <w:sz w:val="22"/>
          <w:szCs w:val="22"/>
          <w:lang w:val="en-US"/>
        </w:rPr>
      </w:pPr>
      <w:r>
        <w:rPr>
          <w:rFonts w:ascii="Arial" w:hAnsi="Arial" w:cs="Arial"/>
          <w:sz w:val="22"/>
          <w:szCs w:val="22"/>
          <w:lang w:val="en-US"/>
        </w:rPr>
        <w:t>Disciplinary</w:t>
      </w:r>
    </w:p>
    <w:p w14:paraId="1C7896AB" w14:textId="77777777" w:rsidR="009B54A2" w:rsidRDefault="009B54A2" w:rsidP="009B54A2">
      <w:pPr>
        <w:pStyle w:val="ListParagraph"/>
        <w:numPr>
          <w:ilvl w:val="0"/>
          <w:numId w:val="17"/>
        </w:numPr>
        <w:rPr>
          <w:rFonts w:ascii="Arial" w:hAnsi="Arial" w:cs="Arial"/>
          <w:sz w:val="22"/>
          <w:szCs w:val="22"/>
          <w:lang w:val="en-US"/>
        </w:rPr>
      </w:pPr>
      <w:r>
        <w:rPr>
          <w:rFonts w:ascii="Arial" w:hAnsi="Arial" w:cs="Arial"/>
          <w:sz w:val="22"/>
          <w:szCs w:val="22"/>
          <w:lang w:val="en-US"/>
        </w:rPr>
        <w:t>Professions (Qualifications)</w:t>
      </w:r>
    </w:p>
    <w:p w14:paraId="5938F26A" w14:textId="77777777" w:rsidR="009B54A2" w:rsidRDefault="009B54A2" w:rsidP="009B54A2">
      <w:pPr>
        <w:pStyle w:val="ListParagraph"/>
        <w:numPr>
          <w:ilvl w:val="0"/>
          <w:numId w:val="17"/>
        </w:numPr>
        <w:rPr>
          <w:rFonts w:ascii="Arial" w:hAnsi="Arial" w:cs="Arial"/>
          <w:sz w:val="22"/>
          <w:szCs w:val="22"/>
          <w:lang w:val="en-US"/>
        </w:rPr>
      </w:pPr>
      <w:r>
        <w:rPr>
          <w:rFonts w:ascii="Arial" w:hAnsi="Arial" w:cs="Arial"/>
          <w:sz w:val="22"/>
          <w:szCs w:val="22"/>
          <w:lang w:val="en-US"/>
        </w:rPr>
        <w:t>Gender</w:t>
      </w:r>
    </w:p>
    <w:p w14:paraId="78B8B39B" w14:textId="77777777" w:rsidR="009B54A2" w:rsidRPr="00E761F4" w:rsidRDefault="009B54A2" w:rsidP="009B54A2">
      <w:pPr>
        <w:pStyle w:val="ListParagraph"/>
        <w:numPr>
          <w:ilvl w:val="0"/>
          <w:numId w:val="17"/>
        </w:numPr>
        <w:rPr>
          <w:rFonts w:ascii="Arial" w:hAnsi="Arial" w:cs="Arial"/>
          <w:sz w:val="22"/>
          <w:szCs w:val="22"/>
          <w:lang w:val="en-US"/>
        </w:rPr>
      </w:pPr>
      <w:r>
        <w:rPr>
          <w:rFonts w:ascii="Arial" w:hAnsi="Arial" w:cs="Arial"/>
          <w:sz w:val="22"/>
          <w:szCs w:val="22"/>
          <w:lang w:val="en-US"/>
        </w:rPr>
        <w:t>Demography</w:t>
      </w:r>
    </w:p>
    <w:p w14:paraId="60CF3F1D" w14:textId="77777777" w:rsidR="009B54A2" w:rsidRDefault="009B54A2" w:rsidP="009B54A2">
      <w:pPr>
        <w:ind w:left="360"/>
        <w:rPr>
          <w:rFonts w:ascii="Arial" w:hAnsi="Arial" w:cs="Arial"/>
          <w:sz w:val="22"/>
          <w:szCs w:val="22"/>
          <w:lang w:val="en-US"/>
        </w:rPr>
      </w:pPr>
      <w:r w:rsidRPr="0027030F">
        <w:rPr>
          <w:rFonts w:ascii="Arial" w:hAnsi="Arial" w:cs="Arial"/>
          <w:sz w:val="22"/>
          <w:szCs w:val="22"/>
          <w:lang w:val="en-US"/>
        </w:rPr>
        <w:t>4.2 Ocean science institutions</w:t>
      </w:r>
    </w:p>
    <w:p w14:paraId="09B5147B" w14:textId="77777777" w:rsidR="009B54A2" w:rsidRDefault="009B54A2" w:rsidP="009B54A2">
      <w:pPr>
        <w:pStyle w:val="ListParagraph"/>
        <w:numPr>
          <w:ilvl w:val="0"/>
          <w:numId w:val="18"/>
        </w:numPr>
        <w:rPr>
          <w:rFonts w:ascii="Arial" w:hAnsi="Arial" w:cs="Arial"/>
          <w:sz w:val="22"/>
          <w:szCs w:val="22"/>
          <w:lang w:val="en-US"/>
        </w:rPr>
      </w:pPr>
      <w:r>
        <w:rPr>
          <w:rFonts w:ascii="Arial" w:hAnsi="Arial" w:cs="Arial"/>
          <w:sz w:val="22"/>
          <w:szCs w:val="22"/>
          <w:lang w:val="en-US"/>
        </w:rPr>
        <w:t>Type</w:t>
      </w:r>
    </w:p>
    <w:p w14:paraId="02DF571A" w14:textId="77777777" w:rsidR="009B54A2" w:rsidRPr="00E761F4" w:rsidRDefault="009B54A2" w:rsidP="009B54A2">
      <w:pPr>
        <w:pStyle w:val="ListParagraph"/>
        <w:numPr>
          <w:ilvl w:val="0"/>
          <w:numId w:val="18"/>
        </w:numPr>
        <w:rPr>
          <w:rFonts w:ascii="Arial" w:hAnsi="Arial" w:cs="Arial"/>
          <w:sz w:val="22"/>
          <w:szCs w:val="22"/>
          <w:lang w:val="en-US"/>
        </w:rPr>
      </w:pPr>
      <w:r>
        <w:rPr>
          <w:rFonts w:ascii="Arial" w:hAnsi="Arial" w:cs="Arial"/>
          <w:sz w:val="22"/>
          <w:szCs w:val="22"/>
          <w:lang w:val="en-US"/>
        </w:rPr>
        <w:t>Number</w:t>
      </w:r>
    </w:p>
    <w:p w14:paraId="4D1D3E8F" w14:textId="77777777" w:rsidR="009B54A2" w:rsidRDefault="009B54A2" w:rsidP="009B54A2">
      <w:pPr>
        <w:ind w:left="360"/>
        <w:rPr>
          <w:rFonts w:ascii="Arial" w:hAnsi="Arial" w:cs="Arial"/>
          <w:sz w:val="22"/>
          <w:szCs w:val="22"/>
          <w:lang w:val="en-US"/>
        </w:rPr>
      </w:pPr>
      <w:r w:rsidRPr="0027030F">
        <w:rPr>
          <w:rFonts w:ascii="Arial" w:hAnsi="Arial" w:cs="Arial"/>
          <w:sz w:val="22"/>
          <w:szCs w:val="22"/>
          <w:lang w:val="en-US"/>
        </w:rPr>
        <w:t>4.3 Platforms and tools for sustained ocean observation</w:t>
      </w:r>
    </w:p>
    <w:p w14:paraId="75F5E40B" w14:textId="77777777" w:rsidR="009B54A2" w:rsidRDefault="009B54A2" w:rsidP="009B54A2">
      <w:pPr>
        <w:pStyle w:val="ListParagraph"/>
        <w:numPr>
          <w:ilvl w:val="0"/>
          <w:numId w:val="19"/>
        </w:numPr>
        <w:rPr>
          <w:rFonts w:ascii="Arial" w:hAnsi="Arial" w:cs="Arial"/>
          <w:sz w:val="22"/>
          <w:szCs w:val="22"/>
          <w:lang w:val="en-US"/>
        </w:rPr>
      </w:pPr>
      <w:r>
        <w:rPr>
          <w:rFonts w:ascii="Arial" w:hAnsi="Arial" w:cs="Arial"/>
          <w:sz w:val="22"/>
          <w:szCs w:val="22"/>
          <w:lang w:val="en-US"/>
        </w:rPr>
        <w:t>Platforms (observing systems)</w:t>
      </w:r>
    </w:p>
    <w:p w14:paraId="753A60A5" w14:textId="77777777" w:rsidR="009B54A2" w:rsidRDefault="009B54A2" w:rsidP="009B54A2">
      <w:pPr>
        <w:pStyle w:val="ListParagraph"/>
        <w:numPr>
          <w:ilvl w:val="0"/>
          <w:numId w:val="19"/>
        </w:numPr>
        <w:rPr>
          <w:rFonts w:ascii="Arial" w:hAnsi="Arial" w:cs="Arial"/>
          <w:sz w:val="22"/>
          <w:szCs w:val="22"/>
          <w:lang w:val="en-US"/>
        </w:rPr>
      </w:pPr>
      <w:r>
        <w:rPr>
          <w:rFonts w:ascii="Arial" w:hAnsi="Arial" w:cs="Arial"/>
          <w:sz w:val="22"/>
          <w:szCs w:val="22"/>
          <w:lang w:val="en-US"/>
        </w:rPr>
        <w:t>Other equipment</w:t>
      </w:r>
    </w:p>
    <w:p w14:paraId="5B9A9473" w14:textId="77777777" w:rsidR="009B54A2" w:rsidRPr="00E761F4" w:rsidRDefault="009B54A2" w:rsidP="009B54A2">
      <w:pPr>
        <w:pStyle w:val="ListParagraph"/>
        <w:numPr>
          <w:ilvl w:val="0"/>
          <w:numId w:val="19"/>
        </w:numPr>
        <w:rPr>
          <w:rFonts w:ascii="Arial" w:hAnsi="Arial" w:cs="Arial"/>
          <w:sz w:val="22"/>
          <w:szCs w:val="22"/>
          <w:lang w:val="en-US"/>
        </w:rPr>
      </w:pPr>
      <w:r>
        <w:rPr>
          <w:rFonts w:ascii="Arial" w:hAnsi="Arial" w:cs="Arial"/>
          <w:sz w:val="22"/>
          <w:szCs w:val="22"/>
          <w:lang w:val="en-US"/>
        </w:rPr>
        <w:t>New technologies</w:t>
      </w:r>
    </w:p>
    <w:p w14:paraId="543DD904" w14:textId="77777777" w:rsidR="009B54A2" w:rsidRDefault="009B54A2" w:rsidP="009B54A2">
      <w:pPr>
        <w:ind w:left="360"/>
        <w:rPr>
          <w:rFonts w:ascii="Arial" w:hAnsi="Arial" w:cs="Arial"/>
          <w:sz w:val="22"/>
          <w:szCs w:val="22"/>
          <w:lang w:val="en-US"/>
        </w:rPr>
      </w:pPr>
      <w:r w:rsidRPr="0027030F">
        <w:rPr>
          <w:rFonts w:ascii="Arial" w:hAnsi="Arial" w:cs="Arial"/>
          <w:sz w:val="22"/>
          <w:szCs w:val="22"/>
          <w:lang w:val="en-US"/>
        </w:rPr>
        <w:t>4.4 Capacity development and transfer of marine technology</w:t>
      </w:r>
    </w:p>
    <w:p w14:paraId="63BB551A" w14:textId="77777777" w:rsidR="009B54A2" w:rsidRDefault="009B54A2" w:rsidP="009B54A2">
      <w:pPr>
        <w:pStyle w:val="ListParagraph"/>
        <w:numPr>
          <w:ilvl w:val="0"/>
          <w:numId w:val="20"/>
        </w:numPr>
        <w:rPr>
          <w:rFonts w:ascii="Arial" w:hAnsi="Arial" w:cs="Arial"/>
          <w:sz w:val="22"/>
          <w:szCs w:val="22"/>
          <w:lang w:val="en-US"/>
        </w:rPr>
      </w:pPr>
      <w:r>
        <w:rPr>
          <w:rFonts w:ascii="Arial" w:hAnsi="Arial" w:cs="Arial"/>
          <w:sz w:val="22"/>
          <w:szCs w:val="22"/>
          <w:lang w:val="en-US"/>
        </w:rPr>
        <w:t>Training programmes</w:t>
      </w:r>
    </w:p>
    <w:p w14:paraId="24BCC0CE" w14:textId="77777777" w:rsidR="009B54A2" w:rsidRPr="00E761F4" w:rsidRDefault="009B54A2" w:rsidP="009B54A2">
      <w:pPr>
        <w:pStyle w:val="ListParagraph"/>
        <w:numPr>
          <w:ilvl w:val="0"/>
          <w:numId w:val="20"/>
        </w:numPr>
        <w:rPr>
          <w:rFonts w:ascii="Arial" w:hAnsi="Arial" w:cs="Arial"/>
          <w:sz w:val="22"/>
          <w:szCs w:val="22"/>
          <w:lang w:val="en-US"/>
        </w:rPr>
      </w:pPr>
      <w:r>
        <w:rPr>
          <w:rFonts w:ascii="Arial" w:hAnsi="Arial" w:cs="Arial"/>
          <w:sz w:val="22"/>
          <w:szCs w:val="22"/>
          <w:lang w:val="en-US"/>
        </w:rPr>
        <w:t>Supporting mechanisms for building collaborative efforts</w:t>
      </w:r>
    </w:p>
    <w:p w14:paraId="783D6A10"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4.</w:t>
      </w:r>
      <w:r>
        <w:rPr>
          <w:rFonts w:ascii="Arial" w:hAnsi="Arial" w:cs="Arial"/>
          <w:sz w:val="22"/>
          <w:szCs w:val="22"/>
          <w:lang w:val="en-US"/>
        </w:rPr>
        <w:t>5</w:t>
      </w:r>
      <w:r w:rsidRPr="0027030F">
        <w:rPr>
          <w:rFonts w:ascii="Arial" w:hAnsi="Arial" w:cs="Arial"/>
          <w:sz w:val="22"/>
          <w:szCs w:val="22"/>
          <w:lang w:val="en-US"/>
        </w:rPr>
        <w:t xml:space="preserve"> Future infrastructure and capacity needs, emerging issues</w:t>
      </w:r>
    </w:p>
    <w:p w14:paraId="671ACFBC" w14:textId="77777777" w:rsidR="009B54A2" w:rsidRPr="0027030F" w:rsidRDefault="009B54A2" w:rsidP="009B54A2">
      <w:pPr>
        <w:numPr>
          <w:ilvl w:val="0"/>
          <w:numId w:val="10"/>
        </w:numPr>
        <w:tabs>
          <w:tab w:val="num" w:pos="720"/>
        </w:tabs>
        <w:rPr>
          <w:rFonts w:ascii="Arial" w:hAnsi="Arial" w:cs="Arial"/>
          <w:sz w:val="22"/>
          <w:szCs w:val="22"/>
          <w:lang w:val="en-US"/>
        </w:rPr>
      </w:pPr>
      <w:r w:rsidRPr="0027030F">
        <w:rPr>
          <w:rFonts w:ascii="Arial" w:hAnsi="Arial" w:cs="Arial"/>
          <w:b/>
          <w:bCs/>
          <w:sz w:val="22"/>
          <w:szCs w:val="22"/>
          <w:lang w:val="en-US"/>
        </w:rPr>
        <w:t>Ocean data and knowledge</w:t>
      </w:r>
    </w:p>
    <w:p w14:paraId="0AA05D1B" w14:textId="77777777" w:rsidR="009B54A2" w:rsidRPr="00E761F4" w:rsidRDefault="009B54A2" w:rsidP="009B54A2">
      <w:pPr>
        <w:pStyle w:val="ListParagraph"/>
        <w:numPr>
          <w:ilvl w:val="1"/>
          <w:numId w:val="10"/>
        </w:numPr>
        <w:rPr>
          <w:rFonts w:ascii="Arial" w:hAnsi="Arial" w:cs="Arial"/>
          <w:sz w:val="22"/>
          <w:szCs w:val="22"/>
          <w:lang w:val="en-US"/>
        </w:rPr>
      </w:pPr>
      <w:r w:rsidRPr="00E761F4">
        <w:rPr>
          <w:rFonts w:ascii="Arial" w:hAnsi="Arial" w:cs="Arial"/>
          <w:sz w:val="22"/>
          <w:szCs w:val="22"/>
          <w:lang w:val="en-US"/>
        </w:rPr>
        <w:t>The diversity of ocean data, knowledge and information</w:t>
      </w:r>
    </w:p>
    <w:p w14:paraId="4520874F" w14:textId="77777777" w:rsidR="009B54A2" w:rsidRDefault="009B54A2" w:rsidP="009B54A2">
      <w:pPr>
        <w:pStyle w:val="ListParagraph"/>
        <w:numPr>
          <w:ilvl w:val="0"/>
          <w:numId w:val="21"/>
        </w:numPr>
        <w:rPr>
          <w:rFonts w:ascii="Arial" w:hAnsi="Arial" w:cs="Arial"/>
          <w:sz w:val="22"/>
          <w:szCs w:val="22"/>
          <w:lang w:val="en-US"/>
        </w:rPr>
      </w:pPr>
      <w:r>
        <w:rPr>
          <w:rFonts w:ascii="Arial" w:hAnsi="Arial" w:cs="Arial"/>
          <w:sz w:val="22"/>
          <w:szCs w:val="22"/>
          <w:lang w:val="en-US"/>
        </w:rPr>
        <w:t>Institutional</w:t>
      </w:r>
    </w:p>
    <w:p w14:paraId="0BF3CBE0" w14:textId="77777777" w:rsidR="009B54A2" w:rsidRDefault="009B54A2" w:rsidP="009B54A2">
      <w:pPr>
        <w:pStyle w:val="ListParagraph"/>
        <w:numPr>
          <w:ilvl w:val="0"/>
          <w:numId w:val="21"/>
        </w:numPr>
        <w:rPr>
          <w:rFonts w:ascii="Arial" w:hAnsi="Arial" w:cs="Arial"/>
          <w:sz w:val="22"/>
          <w:szCs w:val="22"/>
          <w:lang w:val="en-US"/>
        </w:rPr>
      </w:pPr>
      <w:r>
        <w:rPr>
          <w:rFonts w:ascii="Arial" w:hAnsi="Arial" w:cs="Arial"/>
          <w:sz w:val="22"/>
          <w:szCs w:val="22"/>
          <w:lang w:val="en-US"/>
        </w:rPr>
        <w:t>Non-institutional (citizen science)</w:t>
      </w:r>
    </w:p>
    <w:p w14:paraId="22E1129D" w14:textId="77777777" w:rsidR="009B54A2" w:rsidRPr="00E761F4" w:rsidRDefault="009B54A2" w:rsidP="009B54A2">
      <w:pPr>
        <w:pStyle w:val="ListParagraph"/>
        <w:numPr>
          <w:ilvl w:val="0"/>
          <w:numId w:val="21"/>
        </w:numPr>
        <w:rPr>
          <w:rFonts w:ascii="Arial" w:hAnsi="Arial" w:cs="Arial"/>
          <w:sz w:val="22"/>
          <w:szCs w:val="22"/>
          <w:lang w:val="en-US"/>
        </w:rPr>
      </w:pPr>
      <w:r>
        <w:rPr>
          <w:rFonts w:ascii="Arial" w:hAnsi="Arial" w:cs="Arial"/>
          <w:sz w:val="22"/>
          <w:szCs w:val="22"/>
          <w:lang w:val="en-US"/>
        </w:rPr>
        <w:t>Multiple knowledge systems including Indigenous and local community knowledge</w:t>
      </w:r>
    </w:p>
    <w:p w14:paraId="2F93DA64" w14:textId="77777777" w:rsidR="009B54A2" w:rsidRPr="00E761F4" w:rsidRDefault="009B54A2" w:rsidP="009B54A2">
      <w:pPr>
        <w:pStyle w:val="ListParagraph"/>
        <w:numPr>
          <w:ilvl w:val="1"/>
          <w:numId w:val="10"/>
        </w:numPr>
        <w:rPr>
          <w:rFonts w:ascii="Arial" w:hAnsi="Arial" w:cs="Arial"/>
          <w:sz w:val="22"/>
          <w:szCs w:val="22"/>
          <w:lang w:val="fr-FR"/>
        </w:rPr>
      </w:pPr>
      <w:r w:rsidRPr="00E761F4">
        <w:rPr>
          <w:rFonts w:ascii="Arial" w:hAnsi="Arial" w:cs="Arial"/>
          <w:sz w:val="22"/>
          <w:szCs w:val="22"/>
          <w:lang w:val="fr-FR"/>
        </w:rPr>
        <w:t>Ocean science data management infrastructures</w:t>
      </w:r>
    </w:p>
    <w:p w14:paraId="562E017F" w14:textId="77777777" w:rsidR="009B54A2" w:rsidRDefault="009B54A2" w:rsidP="009B54A2">
      <w:pPr>
        <w:pStyle w:val="ListParagraph"/>
        <w:numPr>
          <w:ilvl w:val="0"/>
          <w:numId w:val="22"/>
        </w:numPr>
        <w:rPr>
          <w:rFonts w:ascii="Arial" w:hAnsi="Arial" w:cs="Arial"/>
          <w:sz w:val="22"/>
          <w:szCs w:val="22"/>
          <w:lang w:val="fr-FR"/>
        </w:rPr>
      </w:pPr>
      <w:r>
        <w:rPr>
          <w:rFonts w:ascii="Arial" w:hAnsi="Arial" w:cs="Arial"/>
          <w:sz w:val="22"/>
          <w:szCs w:val="22"/>
          <w:lang w:val="fr-FR"/>
        </w:rPr>
        <w:t>International</w:t>
      </w:r>
    </w:p>
    <w:p w14:paraId="3DFC56CE" w14:textId="77777777" w:rsidR="009B54A2" w:rsidRDefault="009B54A2" w:rsidP="009B54A2">
      <w:pPr>
        <w:pStyle w:val="ListParagraph"/>
        <w:numPr>
          <w:ilvl w:val="0"/>
          <w:numId w:val="22"/>
        </w:numPr>
        <w:rPr>
          <w:rFonts w:ascii="Arial" w:hAnsi="Arial" w:cs="Arial"/>
          <w:sz w:val="22"/>
          <w:szCs w:val="22"/>
          <w:lang w:val="fr-FR"/>
        </w:rPr>
      </w:pPr>
      <w:r>
        <w:rPr>
          <w:rFonts w:ascii="Arial" w:hAnsi="Arial" w:cs="Arial"/>
          <w:sz w:val="22"/>
          <w:szCs w:val="22"/>
          <w:lang w:val="fr-FR"/>
        </w:rPr>
        <w:t>Regional</w:t>
      </w:r>
    </w:p>
    <w:p w14:paraId="149AE55F" w14:textId="77777777" w:rsidR="009B54A2" w:rsidRPr="00E761F4" w:rsidRDefault="009B54A2" w:rsidP="009B54A2">
      <w:pPr>
        <w:pStyle w:val="ListParagraph"/>
        <w:numPr>
          <w:ilvl w:val="0"/>
          <w:numId w:val="22"/>
        </w:numPr>
        <w:rPr>
          <w:rFonts w:ascii="Arial" w:hAnsi="Arial" w:cs="Arial"/>
          <w:sz w:val="22"/>
          <w:szCs w:val="22"/>
          <w:lang w:val="fr-FR"/>
        </w:rPr>
      </w:pPr>
      <w:r>
        <w:rPr>
          <w:rFonts w:ascii="Arial" w:hAnsi="Arial" w:cs="Arial"/>
          <w:sz w:val="22"/>
          <w:szCs w:val="22"/>
          <w:lang w:val="fr-FR"/>
        </w:rPr>
        <w:t>National</w:t>
      </w:r>
    </w:p>
    <w:p w14:paraId="155E1A66" w14:textId="77777777" w:rsidR="009B54A2" w:rsidRPr="00E761F4" w:rsidRDefault="009B54A2" w:rsidP="009B54A2">
      <w:pPr>
        <w:pStyle w:val="ListParagraph"/>
        <w:numPr>
          <w:ilvl w:val="1"/>
          <w:numId w:val="10"/>
        </w:numPr>
        <w:rPr>
          <w:rFonts w:ascii="Arial" w:hAnsi="Arial" w:cs="Arial"/>
          <w:sz w:val="22"/>
          <w:szCs w:val="22"/>
          <w:lang w:val="en-US"/>
        </w:rPr>
      </w:pPr>
      <w:r w:rsidRPr="00E761F4">
        <w:rPr>
          <w:rFonts w:ascii="Arial" w:hAnsi="Arial" w:cs="Arial"/>
          <w:sz w:val="22"/>
          <w:szCs w:val="22"/>
          <w:lang w:val="en-US"/>
        </w:rPr>
        <w:t>Data management strategies and policies</w:t>
      </w:r>
    </w:p>
    <w:p w14:paraId="562766F6" w14:textId="77777777" w:rsidR="009B54A2" w:rsidRPr="00E761F4" w:rsidRDefault="009B54A2" w:rsidP="009B54A2">
      <w:pPr>
        <w:pStyle w:val="ListParagraph"/>
        <w:numPr>
          <w:ilvl w:val="0"/>
          <w:numId w:val="23"/>
        </w:numPr>
        <w:rPr>
          <w:rFonts w:ascii="Arial" w:hAnsi="Arial" w:cs="Arial"/>
          <w:sz w:val="22"/>
          <w:szCs w:val="22"/>
          <w:lang w:val="en-US"/>
        </w:rPr>
      </w:pPr>
      <w:r>
        <w:rPr>
          <w:rFonts w:ascii="Arial" w:hAnsi="Arial" w:cs="Arial"/>
          <w:sz w:val="22"/>
          <w:szCs w:val="22"/>
          <w:lang w:val="en-US"/>
        </w:rPr>
        <w:t>Frameworks for recognizing, acknowledging and including multiple knowledge systems</w:t>
      </w:r>
    </w:p>
    <w:p w14:paraId="40A5D624" w14:textId="77777777" w:rsidR="009B54A2" w:rsidRPr="00E761F4" w:rsidRDefault="009B54A2" w:rsidP="009B54A2">
      <w:pPr>
        <w:pStyle w:val="ListParagraph"/>
        <w:numPr>
          <w:ilvl w:val="1"/>
          <w:numId w:val="10"/>
        </w:numPr>
        <w:rPr>
          <w:rFonts w:ascii="Arial" w:hAnsi="Arial" w:cs="Arial"/>
          <w:sz w:val="22"/>
          <w:szCs w:val="22"/>
          <w:lang w:val="en-US"/>
        </w:rPr>
      </w:pPr>
      <w:r w:rsidRPr="00E761F4">
        <w:rPr>
          <w:rFonts w:ascii="Arial" w:hAnsi="Arial" w:cs="Arial"/>
          <w:sz w:val="22"/>
          <w:szCs w:val="22"/>
          <w:lang w:val="en-US"/>
        </w:rPr>
        <w:t>Products and applications</w:t>
      </w:r>
    </w:p>
    <w:p w14:paraId="3514F6B3" w14:textId="77777777" w:rsidR="009B54A2" w:rsidRDefault="009B54A2" w:rsidP="009B54A2">
      <w:pPr>
        <w:pStyle w:val="ListParagraph"/>
        <w:numPr>
          <w:ilvl w:val="0"/>
          <w:numId w:val="23"/>
        </w:numPr>
        <w:rPr>
          <w:rFonts w:ascii="Arial" w:hAnsi="Arial" w:cs="Arial"/>
          <w:sz w:val="22"/>
          <w:szCs w:val="22"/>
          <w:lang w:val="en-US"/>
        </w:rPr>
      </w:pPr>
      <w:r>
        <w:rPr>
          <w:rFonts w:ascii="Arial" w:hAnsi="Arial" w:cs="Arial"/>
          <w:sz w:val="22"/>
          <w:szCs w:val="22"/>
          <w:lang w:val="en-US"/>
        </w:rPr>
        <w:t>Data products</w:t>
      </w:r>
    </w:p>
    <w:p w14:paraId="0048FFC8" w14:textId="77777777" w:rsidR="009B54A2" w:rsidRDefault="009B54A2" w:rsidP="009B54A2">
      <w:pPr>
        <w:pStyle w:val="ListParagraph"/>
        <w:numPr>
          <w:ilvl w:val="0"/>
          <w:numId w:val="23"/>
        </w:numPr>
        <w:rPr>
          <w:rFonts w:ascii="Arial" w:hAnsi="Arial" w:cs="Arial"/>
          <w:sz w:val="22"/>
          <w:szCs w:val="22"/>
          <w:lang w:val="en-US"/>
        </w:rPr>
      </w:pPr>
      <w:r>
        <w:rPr>
          <w:rFonts w:ascii="Arial" w:hAnsi="Arial" w:cs="Arial"/>
          <w:sz w:val="22"/>
          <w:szCs w:val="22"/>
          <w:lang w:val="en-US"/>
        </w:rPr>
        <w:t>Digital twins</w:t>
      </w:r>
    </w:p>
    <w:p w14:paraId="0B894B77" w14:textId="77777777" w:rsidR="009B54A2" w:rsidRPr="00E761F4" w:rsidRDefault="009B54A2" w:rsidP="009B54A2">
      <w:pPr>
        <w:pStyle w:val="ListParagraph"/>
        <w:numPr>
          <w:ilvl w:val="0"/>
          <w:numId w:val="23"/>
        </w:numPr>
        <w:rPr>
          <w:rFonts w:ascii="Arial" w:hAnsi="Arial" w:cs="Arial"/>
          <w:sz w:val="22"/>
          <w:szCs w:val="22"/>
          <w:lang w:val="en-US"/>
        </w:rPr>
      </w:pPr>
      <w:r>
        <w:rPr>
          <w:rFonts w:ascii="Arial" w:hAnsi="Arial" w:cs="Arial"/>
          <w:sz w:val="22"/>
          <w:szCs w:val="22"/>
          <w:lang w:val="en-US"/>
        </w:rPr>
        <w:t>Automated systems and use of AI/ML</w:t>
      </w:r>
    </w:p>
    <w:p w14:paraId="2D20C35D" w14:textId="77777777" w:rsidR="009B54A2" w:rsidRPr="00E761F4" w:rsidRDefault="009B54A2" w:rsidP="009B54A2">
      <w:pPr>
        <w:pStyle w:val="ListParagraph"/>
        <w:numPr>
          <w:ilvl w:val="1"/>
          <w:numId w:val="10"/>
        </w:numPr>
        <w:rPr>
          <w:rFonts w:ascii="Arial" w:hAnsi="Arial" w:cs="Arial"/>
          <w:sz w:val="22"/>
          <w:szCs w:val="22"/>
          <w:lang w:val="en-US"/>
        </w:rPr>
      </w:pPr>
      <w:r w:rsidRPr="00E761F4">
        <w:rPr>
          <w:rFonts w:ascii="Arial" w:hAnsi="Arial" w:cs="Arial"/>
          <w:sz w:val="22"/>
          <w:szCs w:val="22"/>
          <w:lang w:val="en-US"/>
        </w:rPr>
        <w:t>Development of data infrastructure and data delivery</w:t>
      </w:r>
    </w:p>
    <w:p w14:paraId="5CF3924D" w14:textId="77777777" w:rsidR="009B54A2" w:rsidRPr="00E761F4" w:rsidRDefault="009B54A2" w:rsidP="009B54A2">
      <w:pPr>
        <w:pStyle w:val="ListParagraph"/>
        <w:numPr>
          <w:ilvl w:val="2"/>
          <w:numId w:val="10"/>
        </w:numPr>
        <w:rPr>
          <w:rFonts w:ascii="Arial" w:hAnsi="Arial" w:cs="Arial"/>
          <w:sz w:val="22"/>
          <w:szCs w:val="22"/>
          <w:lang w:val="en-US"/>
        </w:rPr>
      </w:pPr>
      <w:r>
        <w:rPr>
          <w:rFonts w:ascii="Arial" w:hAnsi="Arial" w:cs="Arial"/>
          <w:sz w:val="22"/>
          <w:szCs w:val="22"/>
          <w:lang w:val="en-US"/>
        </w:rPr>
        <w:t>Data and data product delivery platforms</w:t>
      </w:r>
    </w:p>
    <w:p w14:paraId="07408887" w14:textId="77777777" w:rsidR="009B54A2" w:rsidRPr="0027030F" w:rsidRDefault="009B54A2" w:rsidP="009B54A2">
      <w:pPr>
        <w:numPr>
          <w:ilvl w:val="0"/>
          <w:numId w:val="10"/>
        </w:numPr>
        <w:rPr>
          <w:rFonts w:ascii="Arial" w:hAnsi="Arial" w:cs="Arial"/>
          <w:sz w:val="22"/>
          <w:szCs w:val="22"/>
          <w:lang w:val="en-US"/>
        </w:rPr>
      </w:pPr>
      <w:r w:rsidRPr="0027030F">
        <w:rPr>
          <w:rFonts w:ascii="Arial" w:hAnsi="Arial" w:cs="Arial"/>
          <w:b/>
          <w:bCs/>
          <w:sz w:val="22"/>
          <w:szCs w:val="22"/>
          <w:lang w:val="en-US"/>
        </w:rPr>
        <w:t>Ocean science outputs</w:t>
      </w:r>
    </w:p>
    <w:p w14:paraId="51C25817" w14:textId="77777777" w:rsidR="009B54A2" w:rsidRPr="00E761F4" w:rsidRDefault="009B54A2" w:rsidP="009B54A2">
      <w:pPr>
        <w:pStyle w:val="ListParagraph"/>
        <w:numPr>
          <w:ilvl w:val="1"/>
          <w:numId w:val="10"/>
        </w:numPr>
        <w:rPr>
          <w:rFonts w:ascii="Arial" w:hAnsi="Arial" w:cs="Arial"/>
          <w:sz w:val="22"/>
          <w:szCs w:val="22"/>
          <w:lang w:val="en-US"/>
        </w:rPr>
      </w:pPr>
      <w:r w:rsidRPr="00E761F4">
        <w:rPr>
          <w:rFonts w:ascii="Arial" w:hAnsi="Arial" w:cs="Arial"/>
          <w:sz w:val="22"/>
          <w:szCs w:val="22"/>
          <w:lang w:val="en-US"/>
        </w:rPr>
        <w:t>Scientific publication outputs</w:t>
      </w:r>
    </w:p>
    <w:p w14:paraId="27BA5B46" w14:textId="77777777" w:rsidR="009B54A2" w:rsidRDefault="009B54A2" w:rsidP="009B54A2">
      <w:pPr>
        <w:pStyle w:val="ListParagraph"/>
        <w:numPr>
          <w:ilvl w:val="0"/>
          <w:numId w:val="24"/>
        </w:numPr>
        <w:rPr>
          <w:rFonts w:ascii="Arial" w:hAnsi="Arial" w:cs="Arial"/>
          <w:sz w:val="22"/>
          <w:szCs w:val="22"/>
          <w:lang w:val="en-US"/>
        </w:rPr>
      </w:pPr>
      <w:r>
        <w:rPr>
          <w:rFonts w:ascii="Arial" w:hAnsi="Arial" w:cs="Arial"/>
          <w:sz w:val="22"/>
          <w:szCs w:val="22"/>
          <w:lang w:val="en-US"/>
        </w:rPr>
        <w:lastRenderedPageBreak/>
        <w:t>Total</w:t>
      </w:r>
    </w:p>
    <w:p w14:paraId="334C5C01" w14:textId="77777777" w:rsidR="009B54A2" w:rsidRDefault="009B54A2" w:rsidP="009B54A2">
      <w:pPr>
        <w:pStyle w:val="ListParagraph"/>
        <w:numPr>
          <w:ilvl w:val="0"/>
          <w:numId w:val="24"/>
        </w:numPr>
        <w:rPr>
          <w:rFonts w:ascii="Arial" w:hAnsi="Arial" w:cs="Arial"/>
          <w:sz w:val="22"/>
          <w:szCs w:val="22"/>
          <w:lang w:val="en-US"/>
        </w:rPr>
      </w:pPr>
      <w:r>
        <w:rPr>
          <w:rFonts w:ascii="Arial" w:hAnsi="Arial" w:cs="Arial"/>
          <w:sz w:val="22"/>
          <w:szCs w:val="22"/>
          <w:lang w:val="en-US"/>
        </w:rPr>
        <w:t>Per capita</w:t>
      </w:r>
    </w:p>
    <w:p w14:paraId="13726875" w14:textId="77777777" w:rsidR="009B54A2" w:rsidRDefault="009B54A2" w:rsidP="009B54A2">
      <w:pPr>
        <w:pStyle w:val="ListParagraph"/>
        <w:numPr>
          <w:ilvl w:val="0"/>
          <w:numId w:val="24"/>
        </w:numPr>
        <w:rPr>
          <w:rFonts w:ascii="Arial" w:hAnsi="Arial" w:cs="Arial"/>
          <w:sz w:val="22"/>
          <w:szCs w:val="22"/>
          <w:lang w:val="en-US"/>
        </w:rPr>
      </w:pPr>
      <w:r>
        <w:rPr>
          <w:rFonts w:ascii="Arial" w:hAnsi="Arial" w:cs="Arial"/>
          <w:sz w:val="22"/>
          <w:szCs w:val="22"/>
          <w:lang w:val="en-US"/>
        </w:rPr>
        <w:t>Gender/Age</w:t>
      </w:r>
    </w:p>
    <w:p w14:paraId="271E1F08" w14:textId="77777777" w:rsidR="009B54A2" w:rsidRDefault="009B54A2" w:rsidP="009B54A2">
      <w:pPr>
        <w:pStyle w:val="ListParagraph"/>
        <w:numPr>
          <w:ilvl w:val="0"/>
          <w:numId w:val="24"/>
        </w:numPr>
        <w:rPr>
          <w:rFonts w:ascii="Arial" w:hAnsi="Arial" w:cs="Arial"/>
          <w:sz w:val="22"/>
          <w:szCs w:val="22"/>
          <w:lang w:val="en-US"/>
        </w:rPr>
      </w:pPr>
      <w:r>
        <w:rPr>
          <w:rFonts w:ascii="Arial" w:hAnsi="Arial" w:cs="Arial"/>
          <w:sz w:val="22"/>
          <w:szCs w:val="22"/>
          <w:lang w:val="en-US"/>
        </w:rPr>
        <w:t>Discipline/Multi-disciplinary</w:t>
      </w:r>
    </w:p>
    <w:p w14:paraId="4999372B" w14:textId="77777777" w:rsidR="009B54A2" w:rsidRPr="00E761F4" w:rsidRDefault="009B54A2" w:rsidP="009B54A2">
      <w:pPr>
        <w:pStyle w:val="ListParagraph"/>
        <w:numPr>
          <w:ilvl w:val="0"/>
          <w:numId w:val="24"/>
        </w:numPr>
        <w:rPr>
          <w:rFonts w:ascii="Arial" w:hAnsi="Arial" w:cs="Arial"/>
          <w:sz w:val="22"/>
          <w:szCs w:val="22"/>
          <w:lang w:val="en-US"/>
        </w:rPr>
      </w:pPr>
      <w:r>
        <w:rPr>
          <w:rFonts w:ascii="Arial" w:hAnsi="Arial" w:cs="Arial"/>
          <w:sz w:val="22"/>
          <w:szCs w:val="22"/>
          <w:lang w:val="en-US"/>
        </w:rPr>
        <w:t>Trends in collaboration</w:t>
      </w:r>
    </w:p>
    <w:p w14:paraId="15E64E7B" w14:textId="77777777" w:rsidR="009B54A2" w:rsidRPr="00666AB8" w:rsidRDefault="009B54A2" w:rsidP="009B54A2">
      <w:pPr>
        <w:pStyle w:val="ListParagraph"/>
        <w:numPr>
          <w:ilvl w:val="1"/>
          <w:numId w:val="10"/>
        </w:numPr>
        <w:rPr>
          <w:rFonts w:ascii="Arial" w:hAnsi="Arial" w:cs="Arial"/>
          <w:sz w:val="22"/>
          <w:szCs w:val="22"/>
          <w:lang w:val="en-US"/>
        </w:rPr>
      </w:pPr>
      <w:r w:rsidRPr="00666AB8">
        <w:rPr>
          <w:rFonts w:ascii="Arial" w:hAnsi="Arial" w:cs="Arial"/>
          <w:sz w:val="22"/>
          <w:szCs w:val="22"/>
          <w:lang w:val="en-US"/>
        </w:rPr>
        <w:t>Other science outputs</w:t>
      </w:r>
    </w:p>
    <w:p w14:paraId="3F5D80B4" w14:textId="77777777" w:rsidR="009B54A2" w:rsidRDefault="009B54A2" w:rsidP="009B54A2">
      <w:pPr>
        <w:pStyle w:val="ListParagraph"/>
        <w:numPr>
          <w:ilvl w:val="0"/>
          <w:numId w:val="25"/>
        </w:numPr>
        <w:rPr>
          <w:rFonts w:ascii="Arial" w:hAnsi="Arial" w:cs="Arial"/>
          <w:sz w:val="22"/>
          <w:szCs w:val="22"/>
          <w:lang w:val="en-US"/>
        </w:rPr>
      </w:pPr>
      <w:r>
        <w:rPr>
          <w:rFonts w:ascii="Arial" w:hAnsi="Arial" w:cs="Arial"/>
          <w:sz w:val="22"/>
          <w:szCs w:val="22"/>
          <w:lang w:val="en-US"/>
        </w:rPr>
        <w:t>Grey literature</w:t>
      </w:r>
    </w:p>
    <w:p w14:paraId="011F3FD4" w14:textId="77777777" w:rsidR="009B54A2" w:rsidRPr="00666AB8" w:rsidRDefault="009B54A2" w:rsidP="009B54A2">
      <w:pPr>
        <w:pStyle w:val="ListParagraph"/>
        <w:numPr>
          <w:ilvl w:val="0"/>
          <w:numId w:val="25"/>
        </w:numPr>
        <w:rPr>
          <w:rFonts w:ascii="Arial" w:hAnsi="Arial" w:cs="Arial"/>
          <w:sz w:val="22"/>
          <w:szCs w:val="22"/>
          <w:lang w:val="en-US"/>
        </w:rPr>
      </w:pPr>
      <w:r>
        <w:rPr>
          <w:rFonts w:ascii="Arial" w:hAnsi="Arial" w:cs="Arial"/>
          <w:sz w:val="22"/>
          <w:szCs w:val="22"/>
          <w:lang w:val="en-US"/>
        </w:rPr>
        <w:t>Communication outputs</w:t>
      </w:r>
    </w:p>
    <w:p w14:paraId="26E0519A"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6.3 Impact of COVID-19 on scientific outputs</w:t>
      </w:r>
    </w:p>
    <w:p w14:paraId="06A75385" w14:textId="77777777" w:rsidR="009B54A2" w:rsidRPr="0027030F" w:rsidRDefault="009B54A2" w:rsidP="009B54A2">
      <w:pPr>
        <w:numPr>
          <w:ilvl w:val="0"/>
          <w:numId w:val="11"/>
        </w:numPr>
        <w:tabs>
          <w:tab w:val="num" w:pos="720"/>
        </w:tabs>
        <w:rPr>
          <w:rFonts w:ascii="Arial" w:hAnsi="Arial" w:cs="Arial"/>
          <w:sz w:val="22"/>
          <w:szCs w:val="22"/>
          <w:lang w:val="en-US"/>
        </w:rPr>
      </w:pPr>
      <w:r w:rsidRPr="0027030F">
        <w:rPr>
          <w:rFonts w:ascii="Arial" w:hAnsi="Arial" w:cs="Arial"/>
          <w:b/>
          <w:bCs/>
          <w:sz w:val="22"/>
          <w:szCs w:val="22"/>
          <w:lang w:val="en-US"/>
        </w:rPr>
        <w:t>Uptake and application of ocean science</w:t>
      </w:r>
    </w:p>
    <w:p w14:paraId="5C3BDABC" w14:textId="77777777" w:rsidR="009B54A2" w:rsidRPr="00666AB8" w:rsidRDefault="009B54A2" w:rsidP="009B54A2">
      <w:pPr>
        <w:pStyle w:val="ListParagraph"/>
        <w:numPr>
          <w:ilvl w:val="1"/>
          <w:numId w:val="11"/>
        </w:numPr>
        <w:rPr>
          <w:rFonts w:ascii="Arial" w:hAnsi="Arial" w:cs="Arial"/>
          <w:sz w:val="22"/>
          <w:szCs w:val="22"/>
          <w:lang w:val="en-US"/>
        </w:rPr>
      </w:pPr>
      <w:r w:rsidRPr="00666AB8">
        <w:rPr>
          <w:rFonts w:ascii="Arial" w:hAnsi="Arial" w:cs="Arial"/>
          <w:sz w:val="22"/>
          <w:szCs w:val="22"/>
          <w:lang w:val="en-US"/>
        </w:rPr>
        <w:t>Sectors utilizing ocean science outputs</w:t>
      </w:r>
    </w:p>
    <w:p w14:paraId="7F435671" w14:textId="77777777" w:rsidR="009B54A2" w:rsidRDefault="009B54A2" w:rsidP="009B54A2">
      <w:pPr>
        <w:pStyle w:val="ListParagraph"/>
        <w:numPr>
          <w:ilvl w:val="0"/>
          <w:numId w:val="26"/>
        </w:numPr>
        <w:rPr>
          <w:rFonts w:ascii="Arial" w:hAnsi="Arial" w:cs="Arial"/>
          <w:sz w:val="22"/>
          <w:szCs w:val="22"/>
          <w:lang w:val="en-US"/>
        </w:rPr>
      </w:pPr>
      <w:r>
        <w:rPr>
          <w:rFonts w:ascii="Arial" w:hAnsi="Arial" w:cs="Arial"/>
          <w:sz w:val="22"/>
          <w:szCs w:val="22"/>
          <w:lang w:val="en-US"/>
        </w:rPr>
        <w:t>Navigation and safety at sea (shipping, transport, tourism)</w:t>
      </w:r>
    </w:p>
    <w:p w14:paraId="55582409" w14:textId="77777777" w:rsidR="009B54A2" w:rsidRDefault="009B54A2" w:rsidP="009B54A2">
      <w:pPr>
        <w:pStyle w:val="ListParagraph"/>
        <w:numPr>
          <w:ilvl w:val="0"/>
          <w:numId w:val="26"/>
        </w:numPr>
        <w:rPr>
          <w:rFonts w:ascii="Arial" w:hAnsi="Arial" w:cs="Arial"/>
          <w:sz w:val="22"/>
          <w:szCs w:val="22"/>
          <w:lang w:val="en-US"/>
        </w:rPr>
      </w:pPr>
      <w:r>
        <w:rPr>
          <w:rFonts w:ascii="Arial" w:hAnsi="Arial" w:cs="Arial"/>
          <w:sz w:val="22"/>
          <w:szCs w:val="22"/>
          <w:lang w:val="en-US"/>
        </w:rPr>
        <w:t>Early warning systems (fisheries, aquaculture, shipping, transport, tourism, communities)</w:t>
      </w:r>
    </w:p>
    <w:p w14:paraId="316B5832" w14:textId="77777777" w:rsidR="009B54A2" w:rsidRDefault="009B54A2" w:rsidP="009B54A2">
      <w:pPr>
        <w:pStyle w:val="ListParagraph"/>
        <w:numPr>
          <w:ilvl w:val="0"/>
          <w:numId w:val="26"/>
        </w:numPr>
        <w:rPr>
          <w:rFonts w:ascii="Arial" w:hAnsi="Arial" w:cs="Arial"/>
          <w:sz w:val="22"/>
          <w:szCs w:val="22"/>
          <w:lang w:val="en-US"/>
        </w:rPr>
      </w:pPr>
      <w:r>
        <w:rPr>
          <w:rFonts w:ascii="Arial" w:hAnsi="Arial" w:cs="Arial"/>
          <w:sz w:val="22"/>
          <w:szCs w:val="22"/>
          <w:lang w:val="en-US"/>
        </w:rPr>
        <w:t>Forecasting systems (fisheries, aquaculture)</w:t>
      </w:r>
    </w:p>
    <w:p w14:paraId="7E23315B" w14:textId="77777777" w:rsidR="009B54A2" w:rsidRPr="00666AB8" w:rsidRDefault="009B54A2" w:rsidP="009B54A2">
      <w:pPr>
        <w:pStyle w:val="ListParagraph"/>
        <w:numPr>
          <w:ilvl w:val="0"/>
          <w:numId w:val="26"/>
        </w:numPr>
        <w:rPr>
          <w:rFonts w:ascii="Arial" w:hAnsi="Arial" w:cs="Arial"/>
          <w:sz w:val="22"/>
          <w:szCs w:val="22"/>
          <w:lang w:val="en-US"/>
        </w:rPr>
      </w:pPr>
      <w:r>
        <w:rPr>
          <w:rFonts w:ascii="Arial" w:hAnsi="Arial" w:cs="Arial"/>
          <w:sz w:val="22"/>
          <w:szCs w:val="22"/>
          <w:lang w:val="en-US"/>
        </w:rPr>
        <w:t>Others</w:t>
      </w:r>
    </w:p>
    <w:p w14:paraId="27295CEE" w14:textId="77777777" w:rsidR="009B54A2" w:rsidRPr="00666AB8" w:rsidRDefault="009B54A2" w:rsidP="009B54A2">
      <w:pPr>
        <w:pStyle w:val="ListParagraph"/>
        <w:numPr>
          <w:ilvl w:val="1"/>
          <w:numId w:val="11"/>
        </w:numPr>
        <w:rPr>
          <w:rFonts w:ascii="Arial" w:hAnsi="Arial" w:cs="Arial"/>
          <w:sz w:val="22"/>
          <w:szCs w:val="22"/>
          <w:lang w:val="en-US"/>
        </w:rPr>
      </w:pPr>
      <w:r w:rsidRPr="00666AB8">
        <w:rPr>
          <w:rFonts w:ascii="Arial" w:hAnsi="Arial" w:cs="Arial"/>
          <w:sz w:val="22"/>
          <w:szCs w:val="22"/>
          <w:lang w:val="en-US"/>
        </w:rPr>
        <w:t>Science inputs into planning, management and reporting</w:t>
      </w:r>
    </w:p>
    <w:p w14:paraId="78DEED73" w14:textId="77777777" w:rsidR="009B54A2" w:rsidRDefault="009B54A2" w:rsidP="009B54A2">
      <w:pPr>
        <w:pStyle w:val="ListParagraph"/>
        <w:numPr>
          <w:ilvl w:val="0"/>
          <w:numId w:val="27"/>
        </w:numPr>
        <w:rPr>
          <w:rFonts w:ascii="Arial" w:hAnsi="Arial" w:cs="Arial"/>
          <w:sz w:val="22"/>
          <w:szCs w:val="22"/>
          <w:lang w:val="en-US"/>
        </w:rPr>
      </w:pPr>
      <w:r>
        <w:rPr>
          <w:rFonts w:ascii="Arial" w:hAnsi="Arial" w:cs="Arial"/>
          <w:sz w:val="22"/>
          <w:szCs w:val="22"/>
          <w:lang w:val="en-US"/>
        </w:rPr>
        <w:t>Sector-based regulation</w:t>
      </w:r>
    </w:p>
    <w:p w14:paraId="1B485090" w14:textId="77777777" w:rsidR="009B54A2" w:rsidRDefault="009B54A2" w:rsidP="009B54A2">
      <w:pPr>
        <w:pStyle w:val="ListParagraph"/>
        <w:numPr>
          <w:ilvl w:val="0"/>
          <w:numId w:val="27"/>
        </w:numPr>
        <w:rPr>
          <w:rFonts w:ascii="Arial" w:hAnsi="Arial" w:cs="Arial"/>
          <w:sz w:val="22"/>
          <w:szCs w:val="22"/>
          <w:lang w:val="en-US"/>
        </w:rPr>
      </w:pPr>
      <w:r>
        <w:rPr>
          <w:rFonts w:ascii="Arial" w:hAnsi="Arial" w:cs="Arial"/>
          <w:sz w:val="22"/>
          <w:szCs w:val="22"/>
          <w:lang w:val="en-US"/>
        </w:rPr>
        <w:t>Planning processes (MSP, SOP, urban development, digital twins)</w:t>
      </w:r>
    </w:p>
    <w:p w14:paraId="40475A7C" w14:textId="77777777" w:rsidR="009B54A2" w:rsidRPr="00666AB8" w:rsidRDefault="009B54A2" w:rsidP="009B54A2">
      <w:pPr>
        <w:pStyle w:val="ListParagraph"/>
        <w:numPr>
          <w:ilvl w:val="0"/>
          <w:numId w:val="27"/>
        </w:numPr>
        <w:rPr>
          <w:rFonts w:ascii="Arial" w:hAnsi="Arial" w:cs="Arial"/>
          <w:sz w:val="22"/>
          <w:szCs w:val="22"/>
          <w:lang w:val="en-US"/>
        </w:rPr>
      </w:pPr>
      <w:r>
        <w:rPr>
          <w:rFonts w:ascii="Arial" w:hAnsi="Arial" w:cs="Arial"/>
          <w:sz w:val="22"/>
          <w:szCs w:val="22"/>
          <w:lang w:val="en-US"/>
        </w:rPr>
        <w:t>Inclusion of the ocean into accounting and disclosure systems</w:t>
      </w:r>
    </w:p>
    <w:p w14:paraId="0C672D67" w14:textId="77777777" w:rsidR="009B54A2" w:rsidRPr="0027030F" w:rsidRDefault="009B54A2" w:rsidP="009B54A2">
      <w:pPr>
        <w:ind w:left="360"/>
        <w:rPr>
          <w:rFonts w:ascii="Arial" w:hAnsi="Arial" w:cs="Arial"/>
          <w:sz w:val="22"/>
          <w:szCs w:val="22"/>
          <w:lang w:val="en-US"/>
        </w:rPr>
      </w:pPr>
      <w:r w:rsidRPr="0027030F">
        <w:rPr>
          <w:rFonts w:ascii="Arial" w:hAnsi="Arial" w:cs="Arial"/>
          <w:sz w:val="22"/>
          <w:szCs w:val="22"/>
          <w:lang w:val="en-US"/>
        </w:rPr>
        <w:t>7.3 Contribution of ocean science towards the achievement of the SDGs</w:t>
      </w:r>
      <w:r>
        <w:rPr>
          <w:rFonts w:ascii="Arial" w:hAnsi="Arial" w:cs="Arial"/>
          <w:sz w:val="22"/>
          <w:szCs w:val="22"/>
          <w:lang w:val="en-US"/>
        </w:rPr>
        <w:t>, in particular SDG14</w:t>
      </w:r>
    </w:p>
    <w:p w14:paraId="6D458089" w14:textId="77777777" w:rsidR="009B54A2" w:rsidRDefault="009B54A2" w:rsidP="009B54A2">
      <w:pPr>
        <w:ind w:left="360"/>
        <w:rPr>
          <w:rFonts w:ascii="Arial" w:hAnsi="Arial" w:cs="Arial"/>
          <w:sz w:val="22"/>
          <w:szCs w:val="22"/>
          <w:lang w:val="en-US"/>
        </w:rPr>
      </w:pPr>
      <w:r w:rsidRPr="0027030F">
        <w:rPr>
          <w:rFonts w:ascii="Arial" w:hAnsi="Arial" w:cs="Arial"/>
          <w:sz w:val="22"/>
          <w:szCs w:val="22"/>
          <w:lang w:val="en-US"/>
        </w:rPr>
        <w:t>7.4 Advancing awareness of ocean science and its role to society</w:t>
      </w:r>
    </w:p>
    <w:p w14:paraId="1E6109D9" w14:textId="77777777" w:rsidR="009B54A2" w:rsidRDefault="009B54A2" w:rsidP="009B54A2">
      <w:pPr>
        <w:pStyle w:val="ListParagraph"/>
        <w:numPr>
          <w:ilvl w:val="0"/>
          <w:numId w:val="28"/>
        </w:numPr>
        <w:rPr>
          <w:rFonts w:ascii="Arial" w:hAnsi="Arial" w:cs="Arial"/>
          <w:sz w:val="22"/>
          <w:szCs w:val="22"/>
          <w:lang w:val="en-US"/>
        </w:rPr>
      </w:pPr>
      <w:r>
        <w:rPr>
          <w:rFonts w:ascii="Arial" w:hAnsi="Arial" w:cs="Arial"/>
          <w:sz w:val="22"/>
          <w:szCs w:val="22"/>
          <w:lang w:val="en-US"/>
        </w:rPr>
        <w:t>Ocean education and learning</w:t>
      </w:r>
    </w:p>
    <w:p w14:paraId="0BC389E6" w14:textId="77777777" w:rsidR="009B54A2" w:rsidRDefault="009B54A2" w:rsidP="009B54A2">
      <w:pPr>
        <w:pStyle w:val="ListParagraph"/>
        <w:numPr>
          <w:ilvl w:val="0"/>
          <w:numId w:val="28"/>
        </w:numPr>
        <w:rPr>
          <w:rFonts w:ascii="Arial" w:hAnsi="Arial" w:cs="Arial"/>
          <w:sz w:val="22"/>
          <w:szCs w:val="22"/>
          <w:lang w:val="en-US"/>
        </w:rPr>
      </w:pPr>
      <w:r>
        <w:rPr>
          <w:rFonts w:ascii="Arial" w:hAnsi="Arial" w:cs="Arial"/>
          <w:sz w:val="22"/>
          <w:szCs w:val="22"/>
          <w:lang w:val="en-US"/>
        </w:rPr>
        <w:t>Citizen science programs</w:t>
      </w:r>
    </w:p>
    <w:p w14:paraId="678DFBA4" w14:textId="77777777" w:rsidR="009B54A2" w:rsidRPr="00666AB8" w:rsidRDefault="009B54A2" w:rsidP="009B54A2">
      <w:pPr>
        <w:pStyle w:val="ListParagraph"/>
        <w:numPr>
          <w:ilvl w:val="1"/>
          <w:numId w:val="32"/>
        </w:numPr>
        <w:ind w:hanging="654"/>
        <w:rPr>
          <w:rFonts w:ascii="Arial" w:hAnsi="Arial" w:cs="Arial"/>
          <w:sz w:val="22"/>
          <w:szCs w:val="22"/>
          <w:lang w:val="en-US"/>
        </w:rPr>
      </w:pPr>
      <w:r w:rsidRPr="00666AB8">
        <w:rPr>
          <w:rFonts w:ascii="Arial" w:hAnsi="Arial" w:cs="Arial"/>
          <w:sz w:val="22"/>
          <w:szCs w:val="22"/>
          <w:lang w:val="en-US"/>
        </w:rPr>
        <w:t>International, regional and national processes utilizing ocean science outputs</w:t>
      </w:r>
    </w:p>
    <w:p w14:paraId="4CFBC088" w14:textId="77777777" w:rsidR="009B54A2" w:rsidRDefault="009B54A2" w:rsidP="009B54A2">
      <w:pPr>
        <w:pStyle w:val="ListParagraph"/>
        <w:numPr>
          <w:ilvl w:val="0"/>
          <w:numId w:val="31"/>
        </w:numPr>
        <w:rPr>
          <w:rFonts w:ascii="Arial" w:hAnsi="Arial" w:cs="Arial"/>
          <w:sz w:val="22"/>
          <w:szCs w:val="22"/>
          <w:lang w:val="en-US"/>
        </w:rPr>
      </w:pPr>
      <w:r>
        <w:rPr>
          <w:rFonts w:ascii="Arial" w:hAnsi="Arial" w:cs="Arial"/>
          <w:sz w:val="22"/>
          <w:szCs w:val="22"/>
          <w:lang w:val="en-US"/>
        </w:rPr>
        <w:t>Global, regional and national ocean assessment processes</w:t>
      </w:r>
    </w:p>
    <w:p w14:paraId="71160835" w14:textId="77777777" w:rsidR="009B54A2" w:rsidRPr="00477979" w:rsidRDefault="009B54A2" w:rsidP="009B54A2">
      <w:pPr>
        <w:pStyle w:val="ListParagraph"/>
        <w:numPr>
          <w:ilvl w:val="0"/>
          <w:numId w:val="31"/>
        </w:numPr>
        <w:rPr>
          <w:rFonts w:ascii="Arial" w:hAnsi="Arial" w:cs="Arial"/>
          <w:sz w:val="22"/>
          <w:szCs w:val="22"/>
          <w:lang w:val="en-US"/>
        </w:rPr>
      </w:pPr>
      <w:r w:rsidRPr="00477979">
        <w:rPr>
          <w:rFonts w:ascii="Arial" w:hAnsi="Arial" w:cs="Arial"/>
          <w:sz w:val="22"/>
          <w:szCs w:val="22"/>
          <w:lang w:val="en-US"/>
        </w:rPr>
        <w:t>Education and environment awareness programs</w:t>
      </w:r>
    </w:p>
    <w:p w14:paraId="7545BB2F" w14:textId="77777777" w:rsidR="009B54A2" w:rsidRPr="00477979" w:rsidRDefault="009B54A2" w:rsidP="009B54A2">
      <w:pPr>
        <w:pStyle w:val="ListParagraph"/>
        <w:numPr>
          <w:ilvl w:val="1"/>
          <w:numId w:val="34"/>
        </w:numPr>
        <w:spacing w:after="240"/>
        <w:ind w:left="714" w:hanging="357"/>
        <w:contextualSpacing w:val="0"/>
        <w:rPr>
          <w:rFonts w:ascii="Arial" w:hAnsi="Arial" w:cs="Arial"/>
          <w:sz w:val="22"/>
          <w:szCs w:val="22"/>
          <w:lang w:val="en-US"/>
        </w:rPr>
      </w:pPr>
      <w:r w:rsidRPr="00477979">
        <w:rPr>
          <w:rFonts w:ascii="Arial" w:hAnsi="Arial" w:cs="Arial"/>
          <w:sz w:val="22"/>
          <w:szCs w:val="22"/>
          <w:lang w:val="en-US"/>
        </w:rPr>
        <w:t>Improving the use and application of ocean science for sustainability</w:t>
      </w:r>
    </w:p>
    <w:p w14:paraId="0F2AE380" w14:textId="77777777" w:rsidR="009B54A2" w:rsidRPr="00477979" w:rsidRDefault="009B54A2" w:rsidP="009B54A2">
      <w:pPr>
        <w:pStyle w:val="ListParagraph"/>
        <w:numPr>
          <w:ilvl w:val="0"/>
          <w:numId w:val="11"/>
        </w:numPr>
        <w:spacing w:before="240"/>
        <w:ind w:left="357" w:hanging="357"/>
        <w:rPr>
          <w:rFonts w:ascii="Arial" w:hAnsi="Arial" w:cs="Arial"/>
          <w:sz w:val="22"/>
          <w:szCs w:val="22"/>
          <w:lang w:val="en-US"/>
        </w:rPr>
      </w:pPr>
      <w:r w:rsidRPr="00477979">
        <w:rPr>
          <w:rFonts w:ascii="Arial" w:hAnsi="Arial" w:cs="Arial"/>
          <w:b/>
          <w:bCs/>
          <w:sz w:val="22"/>
          <w:szCs w:val="22"/>
          <w:lang w:val="en-US"/>
        </w:rPr>
        <w:t>International, regional and national collaborative efforts supporting ocean science</w:t>
      </w:r>
    </w:p>
    <w:p w14:paraId="7B666EDA" w14:textId="77777777" w:rsidR="009B54A2" w:rsidRPr="00477979" w:rsidRDefault="009B54A2" w:rsidP="009B54A2">
      <w:pPr>
        <w:pStyle w:val="ListParagraph"/>
        <w:numPr>
          <w:ilvl w:val="1"/>
          <w:numId w:val="33"/>
        </w:numPr>
        <w:rPr>
          <w:rFonts w:ascii="Arial" w:hAnsi="Arial" w:cs="Arial"/>
          <w:sz w:val="22"/>
          <w:szCs w:val="22"/>
          <w:lang w:val="en-US"/>
        </w:rPr>
      </w:pPr>
      <w:r w:rsidRPr="00477979">
        <w:rPr>
          <w:rFonts w:ascii="Arial" w:hAnsi="Arial" w:cs="Arial"/>
          <w:sz w:val="22"/>
          <w:szCs w:val="22"/>
          <w:lang w:val="en-US"/>
        </w:rPr>
        <w:t>International, regional and national processes coordinating and producing ocean science</w:t>
      </w:r>
    </w:p>
    <w:p w14:paraId="23B79ABB" w14:textId="77777777" w:rsidR="009B54A2" w:rsidRPr="00666AB8" w:rsidRDefault="009B54A2" w:rsidP="009B54A2">
      <w:pPr>
        <w:pStyle w:val="ListParagraph"/>
        <w:numPr>
          <w:ilvl w:val="0"/>
          <w:numId w:val="29"/>
        </w:numPr>
        <w:rPr>
          <w:rFonts w:ascii="Arial" w:hAnsi="Arial" w:cs="Arial"/>
          <w:sz w:val="22"/>
          <w:szCs w:val="22"/>
          <w:lang w:val="en-US"/>
        </w:rPr>
      </w:pPr>
      <w:r w:rsidRPr="00666AB8">
        <w:rPr>
          <w:rFonts w:ascii="Arial" w:hAnsi="Arial" w:cs="Arial"/>
          <w:sz w:val="22"/>
          <w:szCs w:val="22"/>
          <w:lang w:val="en-US"/>
        </w:rPr>
        <w:t>The UN Decade of Ocean Science for Sustainable Development</w:t>
      </w:r>
      <w:r>
        <w:rPr>
          <w:rFonts w:ascii="Arial" w:hAnsi="Arial" w:cs="Arial"/>
          <w:sz w:val="22"/>
          <w:szCs w:val="22"/>
          <w:lang w:val="en-US"/>
        </w:rPr>
        <w:t xml:space="preserve"> and </w:t>
      </w:r>
      <w:r w:rsidRPr="00666AB8">
        <w:rPr>
          <w:rFonts w:ascii="Arial" w:hAnsi="Arial" w:cs="Arial"/>
          <w:sz w:val="22"/>
          <w:szCs w:val="22"/>
          <w:lang w:val="en-US"/>
        </w:rPr>
        <w:t>The UN Decade of Ecosystem Restoration</w:t>
      </w:r>
    </w:p>
    <w:p w14:paraId="55B7C363" w14:textId="77777777" w:rsidR="009B54A2" w:rsidRDefault="009B54A2" w:rsidP="009B54A2">
      <w:pPr>
        <w:pStyle w:val="ListParagraph"/>
        <w:numPr>
          <w:ilvl w:val="0"/>
          <w:numId w:val="29"/>
        </w:numPr>
        <w:rPr>
          <w:rFonts w:ascii="Arial" w:hAnsi="Arial" w:cs="Arial"/>
          <w:sz w:val="22"/>
          <w:szCs w:val="22"/>
          <w:lang w:val="en-US"/>
        </w:rPr>
      </w:pPr>
      <w:r>
        <w:rPr>
          <w:rFonts w:ascii="Arial" w:hAnsi="Arial" w:cs="Arial"/>
          <w:sz w:val="22"/>
          <w:szCs w:val="22"/>
          <w:lang w:val="en-US"/>
        </w:rPr>
        <w:t>Regional/national coordination and collaboration mechanisms</w:t>
      </w:r>
    </w:p>
    <w:p w14:paraId="05CF8370" w14:textId="77777777" w:rsidR="009B54A2" w:rsidRPr="00666AB8" w:rsidRDefault="009B54A2" w:rsidP="009B54A2">
      <w:pPr>
        <w:pStyle w:val="ListParagraph"/>
        <w:numPr>
          <w:ilvl w:val="0"/>
          <w:numId w:val="29"/>
        </w:numPr>
        <w:rPr>
          <w:rFonts w:ascii="Arial" w:hAnsi="Arial" w:cs="Arial"/>
          <w:sz w:val="22"/>
          <w:szCs w:val="22"/>
          <w:lang w:val="en-US"/>
        </w:rPr>
      </w:pPr>
      <w:r>
        <w:rPr>
          <w:rFonts w:ascii="Arial" w:hAnsi="Arial" w:cs="Arial"/>
          <w:sz w:val="22"/>
          <w:szCs w:val="22"/>
          <w:lang w:val="en-US"/>
        </w:rPr>
        <w:t>Expansion of international organisations and initiatives</w:t>
      </w:r>
    </w:p>
    <w:p w14:paraId="04F20455" w14:textId="77777777" w:rsidR="009B54A2" w:rsidRPr="00666AB8" w:rsidRDefault="009B54A2" w:rsidP="009B54A2">
      <w:pPr>
        <w:pStyle w:val="ListParagraph"/>
        <w:numPr>
          <w:ilvl w:val="1"/>
          <w:numId w:val="33"/>
        </w:numPr>
        <w:rPr>
          <w:rFonts w:ascii="Arial" w:hAnsi="Arial" w:cs="Arial"/>
          <w:sz w:val="22"/>
          <w:szCs w:val="22"/>
          <w:lang w:val="en-US"/>
        </w:rPr>
      </w:pPr>
      <w:r w:rsidRPr="00666AB8">
        <w:rPr>
          <w:rFonts w:ascii="Arial" w:hAnsi="Arial" w:cs="Arial"/>
          <w:sz w:val="22"/>
          <w:szCs w:val="22"/>
          <w:lang w:val="en-US"/>
        </w:rPr>
        <w:t>The importance of non-institutional actors in supporting and progressing ocean science</w:t>
      </w:r>
    </w:p>
    <w:p w14:paraId="539CDD89" w14:textId="77777777" w:rsidR="009B54A2" w:rsidRDefault="009B54A2" w:rsidP="009B54A2">
      <w:pPr>
        <w:pStyle w:val="ListParagraph"/>
        <w:numPr>
          <w:ilvl w:val="0"/>
          <w:numId w:val="30"/>
        </w:numPr>
        <w:rPr>
          <w:rFonts w:ascii="Arial" w:hAnsi="Arial" w:cs="Arial"/>
          <w:sz w:val="22"/>
          <w:szCs w:val="22"/>
          <w:lang w:val="en-US"/>
        </w:rPr>
      </w:pPr>
      <w:r>
        <w:rPr>
          <w:rFonts w:ascii="Arial" w:hAnsi="Arial" w:cs="Arial"/>
          <w:sz w:val="22"/>
          <w:szCs w:val="22"/>
          <w:lang w:val="en-US"/>
        </w:rPr>
        <w:t>Intergovernmental organisations (incl. regional)</w:t>
      </w:r>
    </w:p>
    <w:p w14:paraId="43EBB480" w14:textId="77777777" w:rsidR="009B54A2" w:rsidRDefault="009B54A2" w:rsidP="009B54A2">
      <w:pPr>
        <w:pStyle w:val="ListParagraph"/>
        <w:numPr>
          <w:ilvl w:val="0"/>
          <w:numId w:val="30"/>
        </w:numPr>
        <w:rPr>
          <w:rFonts w:ascii="Arial" w:hAnsi="Arial" w:cs="Arial"/>
          <w:sz w:val="22"/>
          <w:szCs w:val="22"/>
          <w:lang w:val="en-US"/>
        </w:rPr>
      </w:pPr>
      <w:r>
        <w:rPr>
          <w:rFonts w:ascii="Arial" w:hAnsi="Arial" w:cs="Arial"/>
          <w:sz w:val="22"/>
          <w:szCs w:val="22"/>
          <w:lang w:val="en-US"/>
        </w:rPr>
        <w:t>Non-Governmental organisations</w:t>
      </w:r>
    </w:p>
    <w:p w14:paraId="44786346" w14:textId="77777777" w:rsidR="009B54A2" w:rsidRPr="00666AB8" w:rsidRDefault="009B54A2" w:rsidP="009B54A2">
      <w:pPr>
        <w:pStyle w:val="ListParagraph"/>
        <w:numPr>
          <w:ilvl w:val="0"/>
          <w:numId w:val="30"/>
        </w:numPr>
        <w:rPr>
          <w:rFonts w:ascii="Arial" w:hAnsi="Arial" w:cs="Arial"/>
          <w:sz w:val="22"/>
          <w:szCs w:val="22"/>
          <w:lang w:val="en-US"/>
        </w:rPr>
      </w:pPr>
      <w:r>
        <w:rPr>
          <w:rFonts w:ascii="Arial" w:hAnsi="Arial" w:cs="Arial"/>
          <w:sz w:val="22"/>
          <w:szCs w:val="22"/>
          <w:lang w:val="en-US"/>
        </w:rPr>
        <w:t>Civil society</w:t>
      </w:r>
    </w:p>
    <w:p w14:paraId="598546ED" w14:textId="2DB54ABA" w:rsidR="009B54A2" w:rsidRPr="000464C0" w:rsidRDefault="009B54A2" w:rsidP="000464C0">
      <w:pPr>
        <w:pStyle w:val="ListParagraph"/>
        <w:numPr>
          <w:ilvl w:val="0"/>
          <w:numId w:val="11"/>
        </w:numPr>
        <w:spacing w:before="360" w:after="0"/>
        <w:ind w:left="357" w:hanging="357"/>
        <w:contextualSpacing w:val="0"/>
        <w:rPr>
          <w:rFonts w:ascii="Arial" w:hAnsi="Arial" w:cs="Arial"/>
          <w:sz w:val="22"/>
          <w:szCs w:val="22"/>
          <w:lang w:val="en-US"/>
        </w:rPr>
      </w:pPr>
      <w:r w:rsidRPr="000464C0">
        <w:rPr>
          <w:rFonts w:ascii="Arial" w:hAnsi="Arial" w:cs="Arial"/>
          <w:b/>
          <w:bCs/>
          <w:sz w:val="22"/>
          <w:szCs w:val="22"/>
          <w:lang w:val="en-US"/>
        </w:rPr>
        <w:t>Vulnerability of ocean science</w:t>
      </w:r>
    </w:p>
    <w:p w14:paraId="68FECB69" w14:textId="77777777" w:rsidR="009B54A2" w:rsidRDefault="009B54A2" w:rsidP="009B54A2">
      <w:pPr>
        <w:pStyle w:val="ListParagraph"/>
        <w:numPr>
          <w:ilvl w:val="0"/>
          <w:numId w:val="35"/>
        </w:numPr>
        <w:rPr>
          <w:rFonts w:ascii="Arial" w:hAnsi="Arial" w:cs="Arial"/>
          <w:sz w:val="22"/>
          <w:szCs w:val="22"/>
          <w:lang w:val="en-US"/>
        </w:rPr>
      </w:pPr>
      <w:r>
        <w:rPr>
          <w:rFonts w:ascii="Arial" w:hAnsi="Arial" w:cs="Arial"/>
          <w:sz w:val="22"/>
          <w:szCs w:val="22"/>
          <w:lang w:val="en-US"/>
        </w:rPr>
        <w:t>Covid-19 and geopolitical changes</w:t>
      </w:r>
    </w:p>
    <w:p w14:paraId="11CE68C5" w14:textId="77777777" w:rsidR="009B54A2" w:rsidRDefault="009B54A2" w:rsidP="009B54A2">
      <w:pPr>
        <w:pStyle w:val="ListParagraph"/>
        <w:numPr>
          <w:ilvl w:val="1"/>
          <w:numId w:val="35"/>
        </w:numPr>
        <w:rPr>
          <w:rFonts w:ascii="Arial" w:hAnsi="Arial" w:cs="Arial"/>
          <w:sz w:val="22"/>
          <w:szCs w:val="22"/>
          <w:lang w:val="en-US"/>
        </w:rPr>
      </w:pPr>
      <w:r>
        <w:rPr>
          <w:rFonts w:ascii="Arial" w:hAnsi="Arial" w:cs="Arial"/>
          <w:sz w:val="22"/>
          <w:szCs w:val="22"/>
          <w:lang w:val="en-US"/>
        </w:rPr>
        <w:lastRenderedPageBreak/>
        <w:t>Gender</w:t>
      </w:r>
    </w:p>
    <w:p w14:paraId="3695F714" w14:textId="77777777" w:rsidR="009B54A2" w:rsidRDefault="009B54A2" w:rsidP="009B54A2">
      <w:pPr>
        <w:pStyle w:val="ListParagraph"/>
        <w:numPr>
          <w:ilvl w:val="1"/>
          <w:numId w:val="35"/>
        </w:numPr>
        <w:rPr>
          <w:rFonts w:ascii="Arial" w:hAnsi="Arial" w:cs="Arial"/>
          <w:sz w:val="22"/>
          <w:szCs w:val="22"/>
          <w:lang w:val="en-US"/>
        </w:rPr>
      </w:pPr>
      <w:r>
        <w:rPr>
          <w:rFonts w:ascii="Arial" w:hAnsi="Arial" w:cs="Arial"/>
          <w:sz w:val="22"/>
          <w:szCs w:val="22"/>
          <w:lang w:val="en-US"/>
        </w:rPr>
        <w:t>Ocean science use</w:t>
      </w:r>
    </w:p>
    <w:p w14:paraId="323485DF" w14:textId="77777777" w:rsidR="009B54A2" w:rsidRDefault="009B54A2" w:rsidP="009B54A2">
      <w:pPr>
        <w:pStyle w:val="ListParagraph"/>
        <w:numPr>
          <w:ilvl w:val="1"/>
          <w:numId w:val="35"/>
        </w:numPr>
        <w:rPr>
          <w:rFonts w:ascii="Arial" w:hAnsi="Arial" w:cs="Arial"/>
          <w:sz w:val="22"/>
          <w:szCs w:val="22"/>
          <w:lang w:val="en-US"/>
        </w:rPr>
      </w:pPr>
      <w:r>
        <w:rPr>
          <w:rFonts w:ascii="Arial" w:hAnsi="Arial" w:cs="Arial"/>
          <w:sz w:val="22"/>
          <w:szCs w:val="22"/>
          <w:lang w:val="en-US"/>
        </w:rPr>
        <w:t>Science funding</w:t>
      </w:r>
    </w:p>
    <w:p w14:paraId="24007A0E" w14:textId="68A27CC3" w:rsidR="009B54A2" w:rsidRPr="000464C0" w:rsidRDefault="009B54A2" w:rsidP="000464C0">
      <w:pPr>
        <w:pStyle w:val="ListParagraph"/>
        <w:numPr>
          <w:ilvl w:val="0"/>
          <w:numId w:val="11"/>
        </w:numPr>
        <w:spacing w:before="240" w:after="0"/>
        <w:ind w:left="357" w:hanging="357"/>
        <w:contextualSpacing w:val="0"/>
        <w:rPr>
          <w:rFonts w:ascii="Arial" w:hAnsi="Arial" w:cs="Arial"/>
          <w:sz w:val="22"/>
          <w:szCs w:val="22"/>
          <w:lang w:val="en-US"/>
        </w:rPr>
      </w:pPr>
      <w:r w:rsidRPr="000464C0">
        <w:rPr>
          <w:rFonts w:ascii="Arial" w:hAnsi="Arial" w:cs="Arial"/>
          <w:b/>
          <w:bCs/>
          <w:sz w:val="22"/>
          <w:szCs w:val="22"/>
          <w:lang w:val="en-US"/>
        </w:rPr>
        <w:t>Opportunities and challenges for transformative ocean science (epilogue)</w:t>
      </w:r>
    </w:p>
    <w:p w14:paraId="41572DD9" w14:textId="77777777" w:rsidR="009B54A2" w:rsidRDefault="009B54A2" w:rsidP="009B54A2">
      <w:pPr>
        <w:pStyle w:val="ListParagraph"/>
        <w:numPr>
          <w:ilvl w:val="0"/>
          <w:numId w:val="35"/>
        </w:numPr>
        <w:rPr>
          <w:rFonts w:ascii="Arial" w:hAnsi="Arial" w:cs="Arial"/>
          <w:sz w:val="22"/>
          <w:szCs w:val="22"/>
          <w:lang w:val="en-US"/>
        </w:rPr>
      </w:pPr>
      <w:r>
        <w:rPr>
          <w:rFonts w:ascii="Arial" w:hAnsi="Arial" w:cs="Arial"/>
          <w:sz w:val="22"/>
          <w:szCs w:val="22"/>
          <w:lang w:val="en-US"/>
        </w:rPr>
        <w:t>Reflection on the first five years of the Ocean Decade</w:t>
      </w:r>
    </w:p>
    <w:p w14:paraId="4886B19A" w14:textId="77777777" w:rsidR="009B54A2" w:rsidRDefault="009B54A2" w:rsidP="009B54A2">
      <w:pPr>
        <w:pStyle w:val="ListParagraph"/>
        <w:numPr>
          <w:ilvl w:val="1"/>
          <w:numId w:val="35"/>
        </w:numPr>
        <w:rPr>
          <w:rFonts w:ascii="Arial" w:hAnsi="Arial" w:cs="Arial"/>
          <w:sz w:val="22"/>
          <w:szCs w:val="22"/>
          <w:lang w:val="en-US"/>
        </w:rPr>
      </w:pPr>
      <w:r>
        <w:rPr>
          <w:rFonts w:ascii="Arial" w:hAnsi="Arial" w:cs="Arial"/>
          <w:sz w:val="22"/>
          <w:szCs w:val="22"/>
          <w:lang w:val="en-US"/>
        </w:rPr>
        <w:t>Gender</w:t>
      </w:r>
    </w:p>
    <w:p w14:paraId="72583DA1" w14:textId="77777777" w:rsidR="009B54A2" w:rsidRDefault="009B54A2" w:rsidP="009B54A2">
      <w:pPr>
        <w:pStyle w:val="ListParagraph"/>
        <w:numPr>
          <w:ilvl w:val="1"/>
          <w:numId w:val="35"/>
        </w:numPr>
        <w:rPr>
          <w:rFonts w:ascii="Arial" w:hAnsi="Arial" w:cs="Arial"/>
          <w:sz w:val="22"/>
          <w:szCs w:val="22"/>
          <w:lang w:val="en-US"/>
        </w:rPr>
      </w:pPr>
      <w:r>
        <w:rPr>
          <w:rFonts w:ascii="Arial" w:hAnsi="Arial" w:cs="Arial"/>
          <w:sz w:val="22"/>
          <w:szCs w:val="22"/>
          <w:lang w:val="en-US"/>
        </w:rPr>
        <w:t>Investment</w:t>
      </w:r>
    </w:p>
    <w:p w14:paraId="3E413DC7" w14:textId="77777777" w:rsidR="009B54A2" w:rsidRDefault="009B54A2" w:rsidP="009B54A2">
      <w:pPr>
        <w:pStyle w:val="ListParagraph"/>
        <w:numPr>
          <w:ilvl w:val="1"/>
          <w:numId w:val="35"/>
        </w:numPr>
        <w:rPr>
          <w:rFonts w:ascii="Arial" w:hAnsi="Arial" w:cs="Arial"/>
          <w:sz w:val="22"/>
          <w:szCs w:val="22"/>
          <w:lang w:val="en-US"/>
        </w:rPr>
      </w:pPr>
      <w:r>
        <w:rPr>
          <w:rFonts w:ascii="Arial" w:hAnsi="Arial" w:cs="Arial"/>
          <w:sz w:val="22"/>
          <w:szCs w:val="22"/>
          <w:lang w:val="en-US"/>
        </w:rPr>
        <w:t>Coordination</w:t>
      </w:r>
    </w:p>
    <w:p w14:paraId="67EBD189" w14:textId="77777777" w:rsidR="009B54A2" w:rsidRPr="00477979" w:rsidRDefault="009B54A2" w:rsidP="009B54A2">
      <w:pPr>
        <w:pStyle w:val="ListParagraph"/>
        <w:numPr>
          <w:ilvl w:val="1"/>
          <w:numId w:val="35"/>
        </w:numPr>
        <w:rPr>
          <w:rFonts w:ascii="Arial" w:hAnsi="Arial" w:cs="Arial"/>
          <w:sz w:val="22"/>
          <w:szCs w:val="22"/>
          <w:lang w:val="en-US"/>
        </w:rPr>
      </w:pPr>
      <w:r>
        <w:rPr>
          <w:rFonts w:ascii="Arial" w:hAnsi="Arial" w:cs="Arial"/>
          <w:sz w:val="22"/>
          <w:szCs w:val="22"/>
          <w:lang w:val="en-US"/>
        </w:rPr>
        <w:t>Vulnerability</w:t>
      </w:r>
    </w:p>
    <w:p w14:paraId="291FB235" w14:textId="77777777" w:rsidR="007836D6" w:rsidRPr="009B54A2" w:rsidRDefault="007836D6" w:rsidP="00C17E7E">
      <w:pPr>
        <w:rPr>
          <w:rFonts w:ascii="Arial" w:hAnsi="Arial" w:cs="Arial"/>
          <w:sz w:val="22"/>
          <w:szCs w:val="22"/>
          <w:lang w:val="fr-FR"/>
        </w:rPr>
      </w:pPr>
    </w:p>
    <w:sectPr w:rsidR="007836D6" w:rsidRPr="009B54A2" w:rsidSect="00BA6C7F">
      <w:headerReference w:type="even" r:id="rId13"/>
      <w:headerReference w:type="default" r:id="rId14"/>
      <w:headerReference w:type="first" r:id="rId15"/>
      <w:pgSz w:w="12240" w:h="15840"/>
      <w:pgMar w:top="1440" w:right="1139" w:bottom="1440" w:left="110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4FCB" w14:textId="77777777" w:rsidR="00F10EFF" w:rsidRDefault="00F10EFF" w:rsidP="00BD2F44">
      <w:pPr>
        <w:spacing w:after="0" w:line="240" w:lineRule="auto"/>
      </w:pPr>
      <w:r>
        <w:separator/>
      </w:r>
    </w:p>
  </w:endnote>
  <w:endnote w:type="continuationSeparator" w:id="0">
    <w:p w14:paraId="1ED020B1" w14:textId="77777777" w:rsidR="00F10EFF" w:rsidRDefault="00F10EFF" w:rsidP="00BD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F9D1" w14:textId="77777777" w:rsidR="00F10EFF" w:rsidRDefault="00F10EFF" w:rsidP="00BD2F44">
      <w:pPr>
        <w:spacing w:after="0" w:line="240" w:lineRule="auto"/>
      </w:pPr>
      <w:r>
        <w:separator/>
      </w:r>
    </w:p>
  </w:footnote>
  <w:footnote w:type="continuationSeparator" w:id="0">
    <w:p w14:paraId="0A3CCF84" w14:textId="77777777" w:rsidR="00F10EFF" w:rsidRDefault="00F10EFF" w:rsidP="00BD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4FA0" w14:textId="0EFF02E5" w:rsidR="00BA6C7F" w:rsidRPr="00BA6C7F" w:rsidRDefault="00BA6C7F">
    <w:pPr>
      <w:pStyle w:val="Header"/>
      <w:rPr>
        <w:rFonts w:ascii="Arial" w:hAnsi="Arial" w:cs="Arial"/>
        <w:sz w:val="22"/>
        <w:szCs w:val="22"/>
      </w:rPr>
    </w:pPr>
    <w:r w:rsidRPr="00BA6C7F">
      <w:rPr>
        <w:rFonts w:ascii="Arial" w:hAnsi="Arial" w:cs="Arial"/>
        <w:sz w:val="22"/>
        <w:szCs w:val="22"/>
      </w:rPr>
      <w:t>IOC/A-33/3.2.Inf.</w:t>
    </w:r>
    <w:r w:rsidR="003B528F">
      <w:rPr>
        <w:rFonts w:ascii="Arial" w:hAnsi="Arial" w:cs="Arial"/>
        <w:sz w:val="22"/>
        <w:szCs w:val="22"/>
      </w:rPr>
      <w:t>2</w:t>
    </w:r>
    <w:r w:rsidRPr="00BA6C7F">
      <w:rPr>
        <w:rFonts w:ascii="Arial" w:hAnsi="Arial" w:cs="Arial"/>
        <w:sz w:val="22"/>
        <w:szCs w:val="22"/>
      </w:rPr>
      <w:t xml:space="preserve"> </w:t>
    </w:r>
    <w:r>
      <w:rPr>
        <w:rFonts w:ascii="Arial" w:hAnsi="Arial" w:cs="Arial"/>
        <w:sz w:val="22"/>
        <w:szCs w:val="22"/>
      </w:rPr>
      <w:t xml:space="preserve">– page </w:t>
    </w:r>
    <w:r w:rsidRPr="00BA6C7F">
      <w:rPr>
        <w:rFonts w:ascii="Arial" w:hAnsi="Arial" w:cs="Arial"/>
        <w:sz w:val="22"/>
        <w:szCs w:val="22"/>
      </w:rPr>
      <w:fldChar w:fldCharType="begin"/>
    </w:r>
    <w:r w:rsidRPr="00BA6C7F">
      <w:rPr>
        <w:rFonts w:ascii="Arial" w:hAnsi="Arial" w:cs="Arial"/>
        <w:sz w:val="22"/>
        <w:szCs w:val="22"/>
      </w:rPr>
      <w:instrText>PAGE   \* MERGEFORMAT</w:instrText>
    </w:r>
    <w:r w:rsidRPr="00BA6C7F">
      <w:rPr>
        <w:rFonts w:ascii="Arial" w:hAnsi="Arial" w:cs="Arial"/>
        <w:sz w:val="22"/>
        <w:szCs w:val="22"/>
      </w:rPr>
      <w:fldChar w:fldCharType="separate"/>
    </w:r>
    <w:r w:rsidRPr="00BA6C7F">
      <w:rPr>
        <w:rFonts w:ascii="Arial" w:hAnsi="Arial" w:cs="Arial"/>
        <w:sz w:val="22"/>
        <w:szCs w:val="22"/>
        <w:lang w:val="fr-FR"/>
      </w:rPr>
      <w:t>1</w:t>
    </w:r>
    <w:r w:rsidRPr="00BA6C7F">
      <w:rPr>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2B5A" w14:textId="7D6044FB" w:rsidR="00BD2F44" w:rsidRPr="00BA6C7F" w:rsidRDefault="00BA6C7F" w:rsidP="00BA6C7F">
    <w:pPr>
      <w:pStyle w:val="Header"/>
      <w:jc w:val="right"/>
    </w:pPr>
    <w:r w:rsidRPr="00BA6C7F">
      <w:rPr>
        <w:rFonts w:ascii="Arial" w:hAnsi="Arial" w:cs="Arial"/>
        <w:sz w:val="22"/>
        <w:szCs w:val="22"/>
      </w:rPr>
      <w:t>IOC/A-33/3.2.Inf.</w:t>
    </w:r>
    <w:r w:rsidR="003B528F">
      <w:rPr>
        <w:rFonts w:ascii="Arial" w:hAnsi="Arial" w:cs="Arial"/>
        <w:sz w:val="22"/>
        <w:szCs w:val="22"/>
      </w:rPr>
      <w:t>2</w:t>
    </w:r>
    <w:r w:rsidRPr="00BA6C7F">
      <w:rPr>
        <w:rFonts w:ascii="Arial" w:hAnsi="Arial" w:cs="Arial"/>
        <w:sz w:val="22"/>
        <w:szCs w:val="22"/>
      </w:rPr>
      <w:t xml:space="preserve"> </w:t>
    </w:r>
    <w:r>
      <w:rPr>
        <w:rFonts w:ascii="Arial" w:hAnsi="Arial" w:cs="Arial"/>
        <w:sz w:val="22"/>
        <w:szCs w:val="22"/>
      </w:rPr>
      <w:t xml:space="preserve">– page </w:t>
    </w:r>
    <w:r w:rsidRPr="00BA6C7F">
      <w:rPr>
        <w:rFonts w:ascii="Arial" w:hAnsi="Arial" w:cs="Arial"/>
        <w:sz w:val="22"/>
        <w:szCs w:val="22"/>
      </w:rPr>
      <w:fldChar w:fldCharType="begin"/>
    </w:r>
    <w:r w:rsidRPr="00BA6C7F">
      <w:rPr>
        <w:rFonts w:ascii="Arial" w:hAnsi="Arial" w:cs="Arial"/>
        <w:sz w:val="22"/>
        <w:szCs w:val="22"/>
      </w:rPr>
      <w:instrText>PAGE   \* MERGEFORMAT</w:instrText>
    </w:r>
    <w:r w:rsidRPr="00BA6C7F">
      <w:rPr>
        <w:rFonts w:ascii="Arial" w:hAnsi="Arial" w:cs="Arial"/>
        <w:sz w:val="22"/>
        <w:szCs w:val="22"/>
      </w:rPr>
      <w:fldChar w:fldCharType="separate"/>
    </w:r>
    <w:r>
      <w:rPr>
        <w:rFonts w:ascii="Arial" w:hAnsi="Arial" w:cs="Arial"/>
        <w:sz w:val="22"/>
        <w:szCs w:val="22"/>
      </w:rPr>
      <w:t>2</w:t>
    </w:r>
    <w:r w:rsidRPr="00BA6C7F">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C4C5" w14:textId="4EE1C15E" w:rsidR="00BA6C7F" w:rsidRPr="00BD2F44" w:rsidRDefault="00BA6C7F" w:rsidP="00BA6C7F">
    <w:pPr>
      <w:pStyle w:val="Marge"/>
      <w:tabs>
        <w:tab w:val="left" w:pos="6804"/>
        <w:tab w:val="left" w:pos="7088"/>
      </w:tabs>
      <w:spacing w:after="0"/>
      <w:rPr>
        <w:rFonts w:cs="Arial"/>
        <w:b/>
        <w:sz w:val="36"/>
        <w:szCs w:val="36"/>
        <w:lang w:val="en-US"/>
      </w:rPr>
    </w:pPr>
    <w:r w:rsidRPr="00BD2F44">
      <w:rPr>
        <w:rFonts w:cs="Arial"/>
        <w:szCs w:val="22"/>
        <w:lang w:val="en-US"/>
      </w:rPr>
      <w:t>Restricted distribution</w:t>
    </w:r>
    <w:r w:rsidRPr="00BD2F44">
      <w:rPr>
        <w:rFonts w:cs="Arial"/>
        <w:szCs w:val="22"/>
        <w:lang w:val="en-US"/>
      </w:rPr>
      <w:tab/>
    </w:r>
    <w:r w:rsidRPr="00BD2F44">
      <w:rPr>
        <w:rFonts w:cs="Arial"/>
        <w:b/>
        <w:sz w:val="36"/>
        <w:szCs w:val="36"/>
        <w:lang w:val="en-US"/>
      </w:rPr>
      <w:t>IOC/A-33/3.2.</w:t>
    </w:r>
    <w:r>
      <w:rPr>
        <w:rFonts w:cs="Arial"/>
        <w:b/>
        <w:sz w:val="36"/>
        <w:szCs w:val="36"/>
        <w:lang w:val="en-US"/>
      </w:rPr>
      <w:t>Inf.</w:t>
    </w:r>
    <w:r w:rsidR="003B528F">
      <w:rPr>
        <w:rFonts w:cs="Arial"/>
        <w:b/>
        <w:sz w:val="36"/>
        <w:szCs w:val="36"/>
        <w:lang w:val="en-US"/>
      </w:rPr>
      <w:t>2</w:t>
    </w:r>
  </w:p>
  <w:p w14:paraId="380476EF" w14:textId="77777777" w:rsidR="00BA6C7F" w:rsidRPr="00BD2F44" w:rsidRDefault="00BA6C7F" w:rsidP="00BA6C7F">
    <w:pPr>
      <w:pStyle w:val="Marge"/>
      <w:tabs>
        <w:tab w:val="left" w:pos="6804"/>
      </w:tabs>
      <w:spacing w:after="0"/>
      <w:rPr>
        <w:rFonts w:cs="Arial"/>
        <w:szCs w:val="22"/>
        <w:lang w:val="en-US"/>
      </w:rPr>
    </w:pPr>
    <w:r>
      <w:rPr>
        <w:rFonts w:cs="Arial"/>
        <w:b/>
        <w:noProof/>
        <w:snapToGrid/>
        <w:szCs w:val="22"/>
        <w:lang w:eastAsia="fr-FR"/>
      </w:rPr>
      <w:drawing>
        <wp:anchor distT="0" distB="0" distL="114300" distR="114300" simplePos="0" relativeHeight="251661312" behindDoc="0" locked="0" layoutInCell="1" allowOverlap="1" wp14:anchorId="75926ACF" wp14:editId="0D186AEF">
          <wp:simplePos x="0" y="0"/>
          <wp:positionH relativeFrom="column">
            <wp:posOffset>-88265</wp:posOffset>
          </wp:positionH>
          <wp:positionV relativeFrom="paragraph">
            <wp:posOffset>93345</wp:posOffset>
          </wp:positionV>
          <wp:extent cx="1578610" cy="1047115"/>
          <wp:effectExtent l="0" t="0" r="2540" b="635"/>
          <wp:wrapSquare wrapText="bothSides"/>
          <wp:docPr id="387899020" name="Picture 3878990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BD2F44">
      <w:rPr>
        <w:rFonts w:cs="Arial"/>
        <w:b/>
        <w:szCs w:val="22"/>
        <w:lang w:val="en-US"/>
      </w:rPr>
      <w:tab/>
    </w:r>
    <w:r w:rsidRPr="00BD2F44">
      <w:rPr>
        <w:rFonts w:cs="Arial"/>
        <w:szCs w:val="22"/>
        <w:lang w:val="en-US"/>
      </w:rPr>
      <w:t xml:space="preserve">Paris, 3 </w:t>
    </w:r>
    <w:r>
      <w:rPr>
        <w:rFonts w:cs="Arial"/>
        <w:szCs w:val="22"/>
        <w:lang w:val="en-US"/>
      </w:rPr>
      <w:t>June</w:t>
    </w:r>
    <w:r w:rsidRPr="00BD2F44">
      <w:rPr>
        <w:rFonts w:cs="Arial"/>
        <w:szCs w:val="22"/>
        <w:lang w:val="en-US"/>
      </w:rPr>
      <w:t xml:space="preserve"> 2025</w:t>
    </w:r>
  </w:p>
  <w:p w14:paraId="1E537F99" w14:textId="77777777" w:rsidR="00BA6C7F" w:rsidRPr="00BD2F44" w:rsidRDefault="00BA6C7F" w:rsidP="00BA6C7F">
    <w:pPr>
      <w:pStyle w:val="Marge"/>
      <w:tabs>
        <w:tab w:val="left" w:pos="6804"/>
      </w:tabs>
      <w:rPr>
        <w:rFonts w:cs="Arial"/>
        <w:szCs w:val="22"/>
        <w:lang w:val="en-US"/>
      </w:rPr>
    </w:pPr>
    <w:r w:rsidRPr="00BD2F44">
      <w:rPr>
        <w:rFonts w:cs="Arial"/>
        <w:b/>
        <w:szCs w:val="22"/>
        <w:lang w:val="en-US"/>
      </w:rPr>
      <w:tab/>
    </w:r>
    <w:r w:rsidRPr="00BD2F44">
      <w:rPr>
        <w:rFonts w:cs="Arial"/>
        <w:szCs w:val="22"/>
        <w:lang w:val="en-US"/>
      </w:rPr>
      <w:t>English</w:t>
    </w:r>
    <w:r>
      <w:rPr>
        <w:rFonts w:cs="Arial"/>
        <w:szCs w:val="22"/>
        <w:lang w:val="en-US"/>
      </w:rPr>
      <w:t xml:space="preserve"> only</w:t>
    </w:r>
  </w:p>
  <w:p w14:paraId="0452E315" w14:textId="77777777" w:rsidR="00BA6C7F"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7ADE4F94" w14:textId="77777777" w:rsidR="00BA6C7F"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D9FCE63" w14:textId="77777777" w:rsidR="00BA6C7F"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6BD7BEA" w14:textId="77777777" w:rsidR="00BA6C7F" w:rsidRPr="005E544C"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E479295" w14:textId="77777777" w:rsidR="00BA6C7F" w:rsidRPr="00BF254D" w:rsidRDefault="00BA6C7F" w:rsidP="00BA6C7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rPr>
    </w:pPr>
    <w:r w:rsidRPr="00BF254D">
      <w:rPr>
        <w:rFonts w:ascii="Arial" w:hAnsi="Arial" w:cs="Arial"/>
        <w:b/>
      </w:rPr>
      <w:t>INTERGOVERNMENTAL OCEANOGRAPHIC COMMISSION</w:t>
    </w:r>
  </w:p>
  <w:p w14:paraId="3ACF180D" w14:textId="77777777" w:rsidR="00BA6C7F" w:rsidRPr="00BF254D" w:rsidRDefault="00BA6C7F" w:rsidP="00BA6C7F">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Arial" w:hAnsi="Arial" w:cs="Arial"/>
        <w:bCs/>
      </w:rPr>
    </w:pPr>
    <w:r w:rsidRPr="00BF254D">
      <w:rPr>
        <w:rFonts w:ascii="Arial" w:hAnsi="Arial" w:cs="Arial"/>
        <w:bCs/>
      </w:rPr>
      <w:t>(of UNESCO)</w:t>
    </w:r>
  </w:p>
  <w:p w14:paraId="35DA6DDC" w14:textId="77777777" w:rsidR="00BA6C7F" w:rsidRPr="00BF254D" w:rsidRDefault="00BA6C7F" w:rsidP="00BA6C7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szCs w:val="22"/>
      </w:rPr>
    </w:pPr>
  </w:p>
  <w:p w14:paraId="17B5612C" w14:textId="77777777" w:rsidR="00BA6C7F" w:rsidRPr="00BF254D" w:rsidRDefault="00BA6C7F" w:rsidP="00BA6C7F">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after="0" w:line="240" w:lineRule="auto"/>
      <w:jc w:val="center"/>
      <w:rPr>
        <w:rFonts w:ascii="Arial" w:hAnsi="Arial" w:cs="Arial"/>
        <w:b/>
      </w:rPr>
    </w:pPr>
    <w:r>
      <w:rPr>
        <w:rFonts w:ascii="Arial" w:hAnsi="Arial" w:cs="Arial"/>
        <w:b/>
      </w:rPr>
      <w:t>Thirty-third</w:t>
    </w:r>
    <w:r w:rsidRPr="00BF254D">
      <w:rPr>
        <w:rFonts w:ascii="Arial" w:hAnsi="Arial" w:cs="Arial"/>
        <w:b/>
      </w:rPr>
      <w:t xml:space="preserve"> Session of the </w:t>
    </w:r>
    <w:r>
      <w:rPr>
        <w:rFonts w:ascii="Arial" w:hAnsi="Arial" w:cs="Arial"/>
        <w:b/>
      </w:rPr>
      <w:t>Assembly</w:t>
    </w:r>
  </w:p>
  <w:p w14:paraId="245D9D11" w14:textId="77777777" w:rsidR="00BA6C7F" w:rsidRPr="00843E81" w:rsidRDefault="00BA6C7F" w:rsidP="00BA6C7F">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lang w:val="en-US"/>
      </w:rPr>
    </w:pPr>
    <w:r w:rsidRPr="00843E81">
      <w:rPr>
        <w:rFonts w:ascii="Arial" w:hAnsi="Arial" w:cs="Arial"/>
        <w:bCs/>
        <w:lang w:val="en-US"/>
      </w:rPr>
      <w:t xml:space="preserve">UNESCO, Paris, </w:t>
    </w:r>
    <w:r>
      <w:rPr>
        <w:rFonts w:ascii="Arial" w:hAnsi="Arial" w:cs="Arial"/>
        <w:bCs/>
        <w:lang w:val="en-US"/>
      </w:rPr>
      <w:t>25 June–3 July</w:t>
    </w:r>
    <w:r w:rsidRPr="00843E81">
      <w:rPr>
        <w:rFonts w:ascii="Arial" w:hAnsi="Arial" w:cs="Arial"/>
        <w:bCs/>
        <w:lang w:val="en-US"/>
      </w:rPr>
      <w:t xml:space="preserve"> 202</w:t>
    </w:r>
    <w:r>
      <w:rPr>
        <w:rFonts w:ascii="Arial" w:hAnsi="Arial" w:cs="Arial"/>
        <w:bCs/>
        <w:lang w:val="en-US"/>
      </w:rPr>
      <w:t>5</w:t>
    </w:r>
  </w:p>
  <w:p w14:paraId="365F64FA" w14:textId="77777777" w:rsidR="00BA6C7F" w:rsidRPr="00843E81" w:rsidRDefault="00BA6C7F" w:rsidP="00BA6C7F">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cs="Arial"/>
        <w:bCs/>
        <w:szCs w:val="22"/>
        <w:lang w:val="en-US"/>
      </w:rPr>
    </w:pPr>
  </w:p>
  <w:p w14:paraId="04B18F75" w14:textId="77777777" w:rsidR="00BA6C7F" w:rsidRPr="00843E81" w:rsidRDefault="00BA6C7F" w:rsidP="00BA6C7F">
    <w:pPr>
      <w:spacing w:after="0" w:line="240" w:lineRule="auto"/>
      <w:jc w:val="center"/>
      <w:rPr>
        <w:rFonts w:cs="Arial"/>
        <w:szCs w:val="22"/>
        <w:lang w:val="en-US"/>
      </w:rPr>
    </w:pPr>
  </w:p>
  <w:p w14:paraId="2AD93DAB" w14:textId="77777777" w:rsidR="00BA6C7F" w:rsidRPr="00FA68D9" w:rsidRDefault="00BA6C7F" w:rsidP="00BA6C7F">
    <w:pPr>
      <w:keepNext/>
      <w:widowControl w:val="0"/>
      <w:tabs>
        <w:tab w:val="right" w:pos="9540"/>
      </w:tabs>
      <w:adjustRightInd w:val="0"/>
      <w:spacing w:after="0" w:line="240" w:lineRule="auto"/>
      <w:jc w:val="both"/>
      <w:textAlignment w:val="baseline"/>
      <w:outlineLvl w:val="6"/>
      <w:rPr>
        <w:rFonts w:ascii="Arial" w:eastAsia="Times New Roman" w:hAnsi="Arial" w:cs="Arial"/>
      </w:rPr>
    </w:pPr>
    <w:r w:rsidRPr="00FA68D9">
      <w:rPr>
        <w:rFonts w:ascii="Arial" w:eastAsia="Times New Roman" w:hAnsi="Arial" w:cs="Arial"/>
        <w:u w:val="single"/>
      </w:rPr>
      <w:t xml:space="preserve">Item </w:t>
    </w:r>
    <w:r w:rsidRPr="00FA68D9">
      <w:rPr>
        <w:rFonts w:ascii="Arial" w:eastAsia="Times New Roman" w:hAnsi="Arial" w:cs="Arial"/>
        <w:b/>
        <w:u w:val="single"/>
      </w:rPr>
      <w:t>3.</w:t>
    </w:r>
    <w:r>
      <w:rPr>
        <w:rFonts w:ascii="Arial" w:eastAsia="Times New Roman" w:hAnsi="Arial" w:cs="Arial"/>
        <w:b/>
        <w:u w:val="single"/>
      </w:rPr>
      <w:t>2</w:t>
    </w:r>
    <w:r w:rsidRPr="00FA68D9">
      <w:rPr>
        <w:rFonts w:ascii="Arial" w:eastAsia="Times New Roman" w:hAnsi="Arial" w:cs="Arial"/>
        <w:u w:val="single"/>
      </w:rPr>
      <w:t xml:space="preserve"> of the Provisional Agenda</w:t>
    </w:r>
  </w:p>
  <w:p w14:paraId="6B1F8B81" w14:textId="77777777" w:rsidR="00BA6C7F" w:rsidRPr="00FA68D9" w:rsidRDefault="00BA6C7F" w:rsidP="00BA6C7F">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rPr>
        <w:rFonts w:ascii="Arial" w:hAnsi="Arial" w:cs="Arial"/>
        <w:b/>
        <w:bCs/>
        <w:caps/>
        <w:lang w:val="en-US"/>
      </w:rPr>
    </w:pPr>
  </w:p>
  <w:p w14:paraId="3437D185" w14:textId="77777777" w:rsidR="00BA6C7F" w:rsidRPr="00FA68D9" w:rsidRDefault="00BA6C7F" w:rsidP="00BA6C7F">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rPr>
        <w:rFonts w:ascii="Arial" w:hAnsi="Arial" w:cs="Arial"/>
        <w:b/>
        <w:bCs/>
        <w:caps/>
        <w:lang w:val="en-US"/>
      </w:rPr>
    </w:pPr>
  </w:p>
  <w:p w14:paraId="5C6DA651" w14:textId="77777777" w:rsidR="00BA6C7F" w:rsidRPr="00FA68D9" w:rsidRDefault="00BA6C7F" w:rsidP="005F5A78">
    <w:pPr>
      <w:pStyle w:val="b"/>
      <w:ind w:left="0" w:firstLine="0"/>
      <w:jc w:val="center"/>
      <w:rPr>
        <w:rFonts w:cs="Arial"/>
        <w:bCs/>
        <w:szCs w:val="22"/>
        <w:lang w:val="en-US"/>
      </w:rPr>
    </w:pPr>
    <w:r w:rsidRPr="00FA68D9">
      <w:rPr>
        <w:rFonts w:ascii="Arial" w:hAnsi="Arial" w:cs="Arial"/>
        <w:b/>
        <w:sz w:val="22"/>
        <w:szCs w:val="22"/>
        <w:lang w:val="en-US"/>
      </w:rPr>
      <w:t xml:space="preserve">REPORT OF THE EXECUTIVE SECRETARY ON THE WORK ACCOMPLISHED </w:t>
    </w:r>
    <w:r w:rsidRPr="00FA68D9">
      <w:rPr>
        <w:rFonts w:ascii="Arial" w:hAnsi="Arial" w:cs="Arial"/>
        <w:b/>
        <w:sz w:val="22"/>
        <w:szCs w:val="22"/>
        <w:lang w:val="en-US"/>
      </w:rPr>
      <w:br/>
      <w:t>SINCE THE THIRTY-</w:t>
    </w:r>
    <w:r>
      <w:rPr>
        <w:rFonts w:ascii="Arial" w:hAnsi="Arial" w:cs="Arial"/>
        <w:b/>
        <w:sz w:val="22"/>
        <w:szCs w:val="22"/>
        <w:lang w:val="en-US"/>
      </w:rPr>
      <w:t>SECOND</w:t>
    </w:r>
    <w:r w:rsidRPr="00FA68D9">
      <w:rPr>
        <w:rFonts w:ascii="Arial" w:hAnsi="Arial" w:cs="Arial"/>
        <w:b/>
        <w:sz w:val="22"/>
        <w:szCs w:val="22"/>
        <w:lang w:val="en-US"/>
      </w:rPr>
      <w:t xml:space="preserve"> SESSION OF THE ASSEMBLY (Ju</w:t>
    </w:r>
    <w:r>
      <w:rPr>
        <w:rFonts w:ascii="Arial" w:hAnsi="Arial" w:cs="Arial"/>
        <w:b/>
        <w:sz w:val="22"/>
        <w:szCs w:val="22"/>
        <w:lang w:val="en-US"/>
      </w:rPr>
      <w:t>ne</w:t>
    </w:r>
    <w:r w:rsidRPr="00FA68D9">
      <w:rPr>
        <w:rFonts w:ascii="Arial" w:hAnsi="Arial" w:cs="Arial"/>
        <w:b/>
        <w:sz w:val="22"/>
        <w:szCs w:val="22"/>
        <w:lang w:val="en-US"/>
      </w:rPr>
      <w:t xml:space="preserve"> 202</w:t>
    </w:r>
    <w:r>
      <w:rPr>
        <w:rFonts w:ascii="Arial" w:hAnsi="Arial" w:cs="Arial"/>
        <w:b/>
        <w:sz w:val="22"/>
        <w:szCs w:val="22"/>
        <w:lang w:val="en-US"/>
      </w:rPr>
      <w:t>3</w:t>
    </w:r>
    <w:r w:rsidRPr="00FA68D9">
      <w:rPr>
        <w:rFonts w:ascii="Arial" w:hAnsi="Arial" w:cs="Arial"/>
        <w:b/>
        <w:sz w:val="22"/>
        <w:szCs w:val="22"/>
        <w:lang w:val="en-US"/>
      </w:rPr>
      <w:t>–May 202</w:t>
    </w:r>
    <w:r>
      <w:rPr>
        <w:rFonts w:ascii="Arial" w:hAnsi="Arial" w:cs="Arial"/>
        <w:b/>
        <w:sz w:val="22"/>
        <w:szCs w:val="22"/>
        <w:lang w:val="en-US"/>
      </w:rPr>
      <w:t>5</w:t>
    </w:r>
    <w:r w:rsidRPr="00FA68D9">
      <w:rPr>
        <w:rFonts w:ascii="Arial" w:hAnsi="Arial" w:cs="Arial"/>
        <w:b/>
        <w:sz w:val="22"/>
        <w:szCs w:val="22"/>
        <w:lang w:val="en-US"/>
      </w:rPr>
      <w:t xml:space="preserve">) </w:t>
    </w:r>
    <w:r w:rsidRPr="00A05A4D">
      <w:rPr>
        <w:rFonts w:ascii="Arial" w:hAnsi="Arial" w:cs="Arial"/>
        <w:sz w:val="22"/>
        <w:szCs w:val="22"/>
        <w:lang w:val="en-US"/>
      </w:rPr>
      <w:br/>
    </w:r>
  </w:p>
  <w:p w14:paraId="20CCA3EB" w14:textId="77777777" w:rsidR="00BA6C7F" w:rsidRPr="00BA6C7F" w:rsidRDefault="00BA6C7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4DF"/>
    <w:multiLevelType w:val="hybridMultilevel"/>
    <w:tmpl w:val="A880CAC6"/>
    <w:lvl w:ilvl="0" w:tplc="D5CC955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F5919"/>
    <w:multiLevelType w:val="hybridMultilevel"/>
    <w:tmpl w:val="04547D0E"/>
    <w:lvl w:ilvl="0" w:tplc="FFFFFFFF">
      <w:start w:val="1"/>
      <w:numFmt w:val="lowerRoman"/>
      <w:lvlText w:val="(%1)"/>
      <w:lvlJc w:val="left"/>
      <w:pPr>
        <w:ind w:left="1440" w:hanging="720"/>
      </w:pPr>
      <w:rPr>
        <w:rFonts w:ascii="Arial"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B05BE4"/>
    <w:multiLevelType w:val="multilevel"/>
    <w:tmpl w:val="62C0F8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21985"/>
    <w:multiLevelType w:val="hybridMultilevel"/>
    <w:tmpl w:val="50F2D614"/>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201768"/>
    <w:multiLevelType w:val="hybridMultilevel"/>
    <w:tmpl w:val="43FEBCA2"/>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1100C5"/>
    <w:multiLevelType w:val="hybridMultilevel"/>
    <w:tmpl w:val="8C04DF6C"/>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B75D39"/>
    <w:multiLevelType w:val="hybridMultilevel"/>
    <w:tmpl w:val="44FE4FB0"/>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1C37D2"/>
    <w:multiLevelType w:val="multilevel"/>
    <w:tmpl w:val="5A947CC2"/>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3259D1"/>
    <w:multiLevelType w:val="hybridMultilevel"/>
    <w:tmpl w:val="5B7ADF74"/>
    <w:lvl w:ilvl="0" w:tplc="D786D08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677A3"/>
    <w:multiLevelType w:val="hybridMultilevel"/>
    <w:tmpl w:val="D7C09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1740DA"/>
    <w:multiLevelType w:val="hybridMultilevel"/>
    <w:tmpl w:val="3718E974"/>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FF0956"/>
    <w:multiLevelType w:val="hybridMultilevel"/>
    <w:tmpl w:val="A4D8A61C"/>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251DA6"/>
    <w:multiLevelType w:val="hybridMultilevel"/>
    <w:tmpl w:val="2A6033B2"/>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B4572E"/>
    <w:multiLevelType w:val="hybridMultilevel"/>
    <w:tmpl w:val="00CE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9256F"/>
    <w:multiLevelType w:val="hybridMultilevel"/>
    <w:tmpl w:val="7A2C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B5CF9"/>
    <w:multiLevelType w:val="hybridMultilevel"/>
    <w:tmpl w:val="FD4C12A8"/>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C2282"/>
    <w:multiLevelType w:val="hybridMultilevel"/>
    <w:tmpl w:val="04C2D4A2"/>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6D6BC5"/>
    <w:multiLevelType w:val="hybridMultilevel"/>
    <w:tmpl w:val="808E5F32"/>
    <w:lvl w:ilvl="0" w:tplc="D5CC9554">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415EC9"/>
    <w:multiLevelType w:val="hybridMultilevel"/>
    <w:tmpl w:val="1F181B84"/>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1D43E4"/>
    <w:multiLevelType w:val="multilevel"/>
    <w:tmpl w:val="6B564306"/>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1601A6"/>
    <w:multiLevelType w:val="hybridMultilevel"/>
    <w:tmpl w:val="DDC46386"/>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393412"/>
    <w:multiLevelType w:val="hybridMultilevel"/>
    <w:tmpl w:val="B442F136"/>
    <w:lvl w:ilvl="0" w:tplc="D5CC9554">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360DFB"/>
    <w:multiLevelType w:val="hybridMultilevel"/>
    <w:tmpl w:val="2362CC84"/>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1D2059"/>
    <w:multiLevelType w:val="hybridMultilevel"/>
    <w:tmpl w:val="1046BA1C"/>
    <w:lvl w:ilvl="0" w:tplc="FFFFFFFF">
      <w:numFmt w:val="bullet"/>
      <w:lvlText w:val="-"/>
      <w:lvlJc w:val="left"/>
      <w:pPr>
        <w:ind w:left="720" w:hanging="360"/>
      </w:pPr>
      <w:rPr>
        <w:rFonts w:ascii="Aptos" w:eastAsiaTheme="minorHAnsi" w:hAnsi="Aptos" w:cstheme="minorBidi" w:hint="default"/>
      </w:rPr>
    </w:lvl>
    <w:lvl w:ilvl="1" w:tplc="D5CC9554">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9A719A"/>
    <w:multiLevelType w:val="multilevel"/>
    <w:tmpl w:val="D5522BA2"/>
    <w:lvl w:ilvl="0">
      <w:start w:val="5"/>
      <w:numFmt w:val="decimal"/>
      <w:lvlText w:val="%1."/>
      <w:lvlJc w:val="left"/>
      <w:pPr>
        <w:tabs>
          <w:tab w:val="num" w:pos="360"/>
        </w:tabs>
        <w:ind w:left="360" w:hanging="360"/>
      </w:pPr>
      <w:rPr>
        <w:b/>
        <w:bCs/>
      </w:rPr>
    </w:lvl>
    <w:lvl w:ilvl="1">
      <w:start w:val="1"/>
      <w:numFmt w:val="decimal"/>
      <w:isLgl/>
      <w:lvlText w:val="%1.%2"/>
      <w:lvlJc w:val="left"/>
      <w:pPr>
        <w:ind w:left="720" w:hanging="360"/>
      </w:pPr>
      <w:rPr>
        <w:rFonts w:hint="default"/>
      </w:rPr>
    </w:lvl>
    <w:lvl w:ilvl="2">
      <w:numFmt w:val="bullet"/>
      <w:lvlText w:val="-"/>
      <w:lvlJc w:val="left"/>
      <w:pPr>
        <w:ind w:left="1080" w:hanging="360"/>
      </w:pPr>
      <w:rPr>
        <w:rFonts w:ascii="Aptos" w:eastAsiaTheme="minorHAnsi" w:hAnsi="Aptos" w:cstheme="minorBidi"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54D12602"/>
    <w:multiLevelType w:val="multilevel"/>
    <w:tmpl w:val="AF6076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95608D"/>
    <w:multiLevelType w:val="hybridMultilevel"/>
    <w:tmpl w:val="D80E4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7555A"/>
    <w:multiLevelType w:val="hybridMultilevel"/>
    <w:tmpl w:val="FE32804E"/>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351E39"/>
    <w:multiLevelType w:val="multilevel"/>
    <w:tmpl w:val="FFD419CE"/>
    <w:lvl w:ilvl="0">
      <w:start w:val="1"/>
      <w:numFmt w:val="decimal"/>
      <w:lvlText w:val="%1."/>
      <w:lvlJc w:val="left"/>
      <w:pPr>
        <w:tabs>
          <w:tab w:val="num" w:pos="360"/>
        </w:tabs>
        <w:ind w:left="36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68FD79D8"/>
    <w:multiLevelType w:val="hybridMultilevel"/>
    <w:tmpl w:val="4934ABD8"/>
    <w:lvl w:ilvl="0" w:tplc="D5CC9554">
      <w:numFmt w:val="bullet"/>
      <w:lvlText w:val="-"/>
      <w:lvlJc w:val="left"/>
      <w:pPr>
        <w:ind w:left="1140" w:hanging="360"/>
      </w:pPr>
      <w:rPr>
        <w:rFonts w:ascii="Aptos" w:eastAsiaTheme="minorHAnsi" w:hAnsi="Aptos"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6DDE3283"/>
    <w:multiLevelType w:val="hybridMultilevel"/>
    <w:tmpl w:val="1C2898E4"/>
    <w:lvl w:ilvl="0" w:tplc="D5CC955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F70E1"/>
    <w:multiLevelType w:val="hybridMultilevel"/>
    <w:tmpl w:val="54C8CC8A"/>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623D21"/>
    <w:multiLevelType w:val="multilevel"/>
    <w:tmpl w:val="00A051DA"/>
    <w:lvl w:ilvl="0">
      <w:start w:val="3"/>
      <w:numFmt w:val="decimal"/>
      <w:lvlText w:val="%1."/>
      <w:lvlJc w:val="left"/>
      <w:pPr>
        <w:tabs>
          <w:tab w:val="num" w:pos="360"/>
        </w:tabs>
        <w:ind w:left="36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71D25929"/>
    <w:multiLevelType w:val="multilevel"/>
    <w:tmpl w:val="BF164588"/>
    <w:lvl w:ilvl="0">
      <w:start w:val="7"/>
      <w:numFmt w:val="decimal"/>
      <w:lvlText w:val="%1."/>
      <w:lvlJc w:val="left"/>
      <w:pPr>
        <w:tabs>
          <w:tab w:val="num" w:pos="360"/>
        </w:tabs>
        <w:ind w:left="360" w:hanging="360"/>
      </w:pPr>
      <w:rPr>
        <w:b/>
        <w:bCs/>
      </w:rPr>
    </w:lvl>
    <w:lvl w:ilvl="1">
      <w:start w:val="1"/>
      <w:numFmt w:val="decimal"/>
      <w:isLgl/>
      <w:lvlText w:val="%1.%2"/>
      <w:lvlJc w:val="left"/>
      <w:pPr>
        <w:ind w:left="73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7B6C4283"/>
    <w:multiLevelType w:val="hybridMultilevel"/>
    <w:tmpl w:val="ED3A5DE8"/>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5102741">
    <w:abstractNumId w:val="1"/>
  </w:num>
  <w:num w:numId="2" w16cid:durableId="257175026">
    <w:abstractNumId w:val="26"/>
  </w:num>
  <w:num w:numId="3" w16cid:durableId="2057778967">
    <w:abstractNumId w:val="14"/>
  </w:num>
  <w:num w:numId="4" w16cid:durableId="685400586">
    <w:abstractNumId w:val="8"/>
  </w:num>
  <w:num w:numId="5" w16cid:durableId="1460566645">
    <w:abstractNumId w:val="9"/>
  </w:num>
  <w:num w:numId="6" w16cid:durableId="784274396">
    <w:abstractNumId w:val="13"/>
  </w:num>
  <w:num w:numId="7" w16cid:durableId="1922131393">
    <w:abstractNumId w:val="30"/>
  </w:num>
  <w:num w:numId="8" w16cid:durableId="794561099">
    <w:abstractNumId w:val="28"/>
  </w:num>
  <w:num w:numId="9" w16cid:durableId="91509405">
    <w:abstractNumId w:val="32"/>
  </w:num>
  <w:num w:numId="10" w16cid:durableId="714887124">
    <w:abstractNumId w:val="24"/>
  </w:num>
  <w:num w:numId="11" w16cid:durableId="2052730696">
    <w:abstractNumId w:val="33"/>
  </w:num>
  <w:num w:numId="12" w16cid:durableId="458647301">
    <w:abstractNumId w:val="25"/>
  </w:num>
  <w:num w:numId="13" w16cid:durableId="655954818">
    <w:abstractNumId w:val="23"/>
  </w:num>
  <w:num w:numId="14" w16cid:durableId="675811218">
    <w:abstractNumId w:val="0"/>
  </w:num>
  <w:num w:numId="15" w16cid:durableId="1021935076">
    <w:abstractNumId w:val="27"/>
  </w:num>
  <w:num w:numId="16" w16cid:durableId="127360675">
    <w:abstractNumId w:val="21"/>
  </w:num>
  <w:num w:numId="17" w16cid:durableId="528496184">
    <w:abstractNumId w:val="15"/>
  </w:num>
  <w:num w:numId="18" w16cid:durableId="1811511466">
    <w:abstractNumId w:val="29"/>
  </w:num>
  <w:num w:numId="19" w16cid:durableId="2110538056">
    <w:abstractNumId w:val="5"/>
  </w:num>
  <w:num w:numId="20" w16cid:durableId="489561263">
    <w:abstractNumId w:val="3"/>
  </w:num>
  <w:num w:numId="21" w16cid:durableId="579556916">
    <w:abstractNumId w:val="16"/>
  </w:num>
  <w:num w:numId="22" w16cid:durableId="1256012391">
    <w:abstractNumId w:val="12"/>
  </w:num>
  <w:num w:numId="23" w16cid:durableId="707528690">
    <w:abstractNumId w:val="34"/>
  </w:num>
  <w:num w:numId="24" w16cid:durableId="2110198580">
    <w:abstractNumId w:val="31"/>
  </w:num>
  <w:num w:numId="25" w16cid:durableId="925260707">
    <w:abstractNumId w:val="20"/>
  </w:num>
  <w:num w:numId="26" w16cid:durableId="2050646967">
    <w:abstractNumId w:val="10"/>
  </w:num>
  <w:num w:numId="27" w16cid:durableId="1661734783">
    <w:abstractNumId w:val="6"/>
  </w:num>
  <w:num w:numId="28" w16cid:durableId="1717586792">
    <w:abstractNumId w:val="4"/>
  </w:num>
  <w:num w:numId="29" w16cid:durableId="1062993937">
    <w:abstractNumId w:val="18"/>
  </w:num>
  <w:num w:numId="30" w16cid:durableId="1273855243">
    <w:abstractNumId w:val="22"/>
  </w:num>
  <w:num w:numId="31" w16cid:durableId="151336951">
    <w:abstractNumId w:val="11"/>
  </w:num>
  <w:num w:numId="32" w16cid:durableId="1505776216">
    <w:abstractNumId w:val="7"/>
  </w:num>
  <w:num w:numId="33" w16cid:durableId="306587838">
    <w:abstractNumId w:val="2"/>
  </w:num>
  <w:num w:numId="34" w16cid:durableId="1701664146">
    <w:abstractNumId w:val="19"/>
  </w:num>
  <w:num w:numId="35" w16cid:durableId="4666292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57"/>
    <w:rsid w:val="000464C0"/>
    <w:rsid w:val="002606BC"/>
    <w:rsid w:val="002B6BB7"/>
    <w:rsid w:val="002D1C1C"/>
    <w:rsid w:val="003B528F"/>
    <w:rsid w:val="003F772A"/>
    <w:rsid w:val="00403382"/>
    <w:rsid w:val="00435EF8"/>
    <w:rsid w:val="00436B45"/>
    <w:rsid w:val="00477243"/>
    <w:rsid w:val="004A7EA4"/>
    <w:rsid w:val="004C681A"/>
    <w:rsid w:val="00534047"/>
    <w:rsid w:val="005856B4"/>
    <w:rsid w:val="005F5A78"/>
    <w:rsid w:val="00631B1A"/>
    <w:rsid w:val="007836D6"/>
    <w:rsid w:val="007838EC"/>
    <w:rsid w:val="007E2146"/>
    <w:rsid w:val="007F0217"/>
    <w:rsid w:val="00820057"/>
    <w:rsid w:val="009B54A2"/>
    <w:rsid w:val="00BA6C7F"/>
    <w:rsid w:val="00BD2F44"/>
    <w:rsid w:val="00BF51BC"/>
    <w:rsid w:val="00C17E7E"/>
    <w:rsid w:val="00C5208C"/>
    <w:rsid w:val="00CE7A8D"/>
    <w:rsid w:val="00D638E8"/>
    <w:rsid w:val="00DA0986"/>
    <w:rsid w:val="00DD59EE"/>
    <w:rsid w:val="00E83115"/>
    <w:rsid w:val="00F10EFF"/>
    <w:rsid w:val="00F9757B"/>
    <w:rsid w:val="00FA70BB"/>
    <w:rsid w:val="086ACB72"/>
    <w:rsid w:val="0CBC0177"/>
    <w:rsid w:val="10AE94DD"/>
    <w:rsid w:val="146A5361"/>
    <w:rsid w:val="1BAB3392"/>
    <w:rsid w:val="2909B85C"/>
    <w:rsid w:val="2B9414AE"/>
    <w:rsid w:val="3447C516"/>
    <w:rsid w:val="367F11B0"/>
    <w:rsid w:val="374B4A99"/>
    <w:rsid w:val="3C18A17E"/>
    <w:rsid w:val="3E89D69A"/>
    <w:rsid w:val="58AE7CFC"/>
    <w:rsid w:val="59D602E1"/>
    <w:rsid w:val="625100C9"/>
    <w:rsid w:val="779A64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8C8D"/>
  <w15:chartTrackingRefBased/>
  <w15:docId w15:val="{398885A8-6CC1-4634-91E9-14D10A0B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82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0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57"/>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820057"/>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rsid w:val="00820057"/>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820057"/>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820057"/>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820057"/>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820057"/>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820057"/>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820057"/>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82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57"/>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82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57"/>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820057"/>
    <w:pPr>
      <w:spacing w:before="160"/>
      <w:jc w:val="center"/>
    </w:pPr>
    <w:rPr>
      <w:i/>
      <w:iCs/>
      <w:color w:val="404040" w:themeColor="text1" w:themeTint="BF"/>
    </w:rPr>
  </w:style>
  <w:style w:type="character" w:customStyle="1" w:styleId="QuoteChar">
    <w:name w:val="Quote Char"/>
    <w:basedOn w:val="DefaultParagraphFont"/>
    <w:link w:val="Quote"/>
    <w:uiPriority w:val="29"/>
    <w:rsid w:val="00820057"/>
    <w:rPr>
      <w:i/>
      <w:iCs/>
      <w:color w:val="404040" w:themeColor="text1" w:themeTint="BF"/>
      <w:lang w:val="en-AU"/>
    </w:rPr>
  </w:style>
  <w:style w:type="paragraph" w:styleId="ListParagraph">
    <w:name w:val="List Paragraph"/>
    <w:basedOn w:val="Normal"/>
    <w:uiPriority w:val="34"/>
    <w:qFormat/>
    <w:rsid w:val="00820057"/>
    <w:pPr>
      <w:ind w:left="720"/>
      <w:contextualSpacing/>
    </w:pPr>
  </w:style>
  <w:style w:type="character" w:styleId="IntenseEmphasis">
    <w:name w:val="Intense Emphasis"/>
    <w:basedOn w:val="DefaultParagraphFont"/>
    <w:uiPriority w:val="21"/>
    <w:qFormat/>
    <w:rsid w:val="00820057"/>
    <w:rPr>
      <w:i/>
      <w:iCs/>
      <w:color w:val="0F4761" w:themeColor="accent1" w:themeShade="BF"/>
    </w:rPr>
  </w:style>
  <w:style w:type="paragraph" w:styleId="IntenseQuote">
    <w:name w:val="Intense Quote"/>
    <w:basedOn w:val="Normal"/>
    <w:next w:val="Normal"/>
    <w:link w:val="IntenseQuoteChar"/>
    <w:uiPriority w:val="30"/>
    <w:qFormat/>
    <w:rsid w:val="0082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57"/>
    <w:rPr>
      <w:i/>
      <w:iCs/>
      <w:color w:val="0F4761" w:themeColor="accent1" w:themeShade="BF"/>
      <w:lang w:val="en-AU"/>
    </w:rPr>
  </w:style>
  <w:style w:type="character" w:styleId="IntenseReference">
    <w:name w:val="Intense Reference"/>
    <w:basedOn w:val="DefaultParagraphFont"/>
    <w:uiPriority w:val="32"/>
    <w:qFormat/>
    <w:rsid w:val="00820057"/>
    <w:rPr>
      <w:b/>
      <w:bCs/>
      <w:smallCaps/>
      <w:color w:val="0F4761" w:themeColor="accent1" w:themeShade="BF"/>
      <w:spacing w:val="5"/>
    </w:rPr>
  </w:style>
  <w:style w:type="paragraph" w:customStyle="1" w:styleId="Marge">
    <w:name w:val="Marge"/>
    <w:basedOn w:val="Normal"/>
    <w:uiPriority w:val="99"/>
    <w:rsid w:val="002606BC"/>
    <w:pPr>
      <w:tabs>
        <w:tab w:val="left" w:pos="567"/>
      </w:tabs>
      <w:snapToGrid w:val="0"/>
      <w:spacing w:after="240" w:line="240" w:lineRule="auto"/>
      <w:jc w:val="both"/>
    </w:pPr>
    <w:rPr>
      <w:rFonts w:ascii="Arial" w:eastAsia="Times New Roman" w:hAnsi="Arial" w:cs="Times New Roman"/>
      <w:snapToGrid w:val="0"/>
      <w:kern w:val="0"/>
      <w:sz w:val="22"/>
      <w:lang w:val="fr-FR"/>
      <w14:ligatures w14:val="none"/>
    </w:rPr>
  </w:style>
  <w:style w:type="character" w:styleId="Hyperlink">
    <w:name w:val="Hyperlink"/>
    <w:rsid w:val="002606BC"/>
    <w:rPr>
      <w:color w:val="0000FF"/>
      <w:u w:val="single"/>
    </w:rPr>
  </w:style>
  <w:style w:type="character" w:styleId="UnresolvedMention">
    <w:name w:val="Unresolved Mention"/>
    <w:basedOn w:val="DefaultParagraphFont"/>
    <w:uiPriority w:val="99"/>
    <w:semiHidden/>
    <w:unhideWhenUsed/>
    <w:rsid w:val="002606BC"/>
    <w:rPr>
      <w:color w:val="605E5C"/>
      <w:shd w:val="clear" w:color="auto" w:fill="E1DFDD"/>
    </w:rPr>
  </w:style>
  <w:style w:type="table" w:styleId="TableGrid">
    <w:name w:val="Table Grid"/>
    <w:basedOn w:val="TableNormal"/>
    <w:uiPriority w:val="59"/>
    <w:rsid w:val="00CE7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F44"/>
    <w:rPr>
      <w:lang w:val="en-AU"/>
    </w:rPr>
  </w:style>
  <w:style w:type="paragraph" w:styleId="Footer">
    <w:name w:val="footer"/>
    <w:basedOn w:val="Normal"/>
    <w:link w:val="FooterChar"/>
    <w:uiPriority w:val="99"/>
    <w:unhideWhenUsed/>
    <w:rsid w:val="00BD2F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F44"/>
    <w:rPr>
      <w:lang w:val="en-AU"/>
    </w:rPr>
  </w:style>
  <w:style w:type="paragraph" w:customStyle="1" w:styleId="b">
    <w:name w:val="(b)"/>
    <w:basedOn w:val="Normal"/>
    <w:rsid w:val="00BD2F44"/>
    <w:pPr>
      <w:tabs>
        <w:tab w:val="left" w:pos="-737"/>
        <w:tab w:val="left" w:pos="1134"/>
      </w:tabs>
      <w:snapToGrid w:val="0"/>
      <w:spacing w:after="240" w:line="240" w:lineRule="auto"/>
      <w:ind w:left="1134" w:hanging="567"/>
      <w:jc w:val="both"/>
    </w:pPr>
    <w:rPr>
      <w:rFonts w:ascii="Times New Roman" w:eastAsia="Times New Roman" w:hAnsi="Times New Roman" w:cs="Times New Roman"/>
      <w:snapToGrid w:val="0"/>
      <w:kern w:val="0"/>
      <w:lang w:val="fr-FR"/>
      <w14:ligatures w14:val="none"/>
    </w:rPr>
  </w:style>
  <w:style w:type="character" w:styleId="FollowedHyperlink">
    <w:name w:val="FollowedHyperlink"/>
    <w:basedOn w:val="DefaultParagraphFont"/>
    <w:uiPriority w:val="99"/>
    <w:semiHidden/>
    <w:unhideWhenUsed/>
    <w:rsid w:val="00C520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eanexpert.org/document/36049"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ceanexpert.org/document/360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7F785-BA8A-4971-BD92-7C93003A429A}">
  <ds:schemaRefs>
    <ds:schemaRef ds:uri="http://schemas.microsoft.com/sharepoint/v3/contenttype/forms"/>
  </ds:schemaRefs>
</ds:datastoreItem>
</file>

<file path=customXml/itemProps2.xml><?xml version="1.0" encoding="utf-8"?>
<ds:datastoreItem xmlns:ds="http://schemas.openxmlformats.org/officeDocument/2006/customXml" ds:itemID="{B7A98DC3-CD93-49EF-BB7C-099D6B098CB1}">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1FBBF464-7486-4134-AB9A-7D5684E89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10</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Karen</dc:creator>
  <cp:keywords/>
  <dc:description/>
  <cp:lastModifiedBy>Sun, Yun</cp:lastModifiedBy>
  <cp:revision>4</cp:revision>
  <cp:lastPrinted>2025-06-04T13:31:00Z</cp:lastPrinted>
  <dcterms:created xsi:type="dcterms:W3CDTF">2025-06-04T15:43:00Z</dcterms:created>
  <dcterms:modified xsi:type="dcterms:W3CDTF">2025-06-19T14:44:00Z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