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C6F15" w14:textId="77777777" w:rsidR="00EB3895" w:rsidRDefault="00EB3895" w:rsidP="00EB3895">
      <w:pPr>
        <w:pStyle w:val="Heading1"/>
        <w:spacing w:before="480"/>
        <w:jc w:val="left"/>
      </w:pPr>
    </w:p>
    <w:p w14:paraId="748272EF" w14:textId="435004E9" w:rsidR="00EB3895" w:rsidRPr="00EB3895" w:rsidRDefault="00EB3895" w:rsidP="00FD078F">
      <w:pPr>
        <w:pStyle w:val="Heading1"/>
        <w:spacing w:before="1680" w:after="0"/>
      </w:pPr>
      <w:r w:rsidRPr="00EB3895">
        <w:t xml:space="preserve">COMMISSION OCÉANOGRAPHIQUE </w:t>
      </w:r>
      <w:r w:rsidR="00DA71B9">
        <w:t>I</w:t>
      </w:r>
      <w:r w:rsidRPr="00EB3895">
        <w:t>NTERGOUVERNEMENTALE</w:t>
      </w:r>
    </w:p>
    <w:p w14:paraId="0F1DC779" w14:textId="6760F638" w:rsidR="00EB3895" w:rsidRPr="00EB3895" w:rsidRDefault="00EB3895" w:rsidP="00EB3895">
      <w:pPr>
        <w:jc w:val="center"/>
        <w:rPr>
          <w:bCs/>
        </w:rPr>
      </w:pPr>
      <w:r w:rsidRPr="00EB3895">
        <w:rPr>
          <w:bCs/>
        </w:rPr>
        <w:t>(de l</w:t>
      </w:r>
      <w:r w:rsidR="00E34310">
        <w:rPr>
          <w:bCs/>
        </w:rPr>
        <w:t>’</w:t>
      </w:r>
      <w:r w:rsidRPr="00EB3895">
        <w:rPr>
          <w:bCs/>
        </w:rPr>
        <w:t>UNESCO)</w:t>
      </w:r>
    </w:p>
    <w:p w14:paraId="5B0D4193" w14:textId="455846CF" w:rsidR="00EB3895" w:rsidRPr="00EB3895" w:rsidRDefault="00222224" w:rsidP="00562336">
      <w:pPr>
        <w:spacing w:before="240" w:after="600"/>
        <w:jc w:val="center"/>
        <w:rPr>
          <w:b/>
        </w:rPr>
      </w:pPr>
      <w:r>
        <w:rPr>
          <w:b/>
        </w:rPr>
        <w:t>Trente</w:t>
      </w:r>
      <w:r w:rsidR="00EB3895" w:rsidRPr="00EB3895">
        <w:rPr>
          <w:b/>
        </w:rPr>
        <w:t>-</w:t>
      </w:r>
      <w:r>
        <w:rPr>
          <w:b/>
        </w:rPr>
        <w:t>trois</w:t>
      </w:r>
      <w:r w:rsidR="00F60534">
        <w:rPr>
          <w:b/>
        </w:rPr>
        <w:t>ième</w:t>
      </w:r>
      <w:r w:rsidR="00EB3895" w:rsidRPr="00EB3895">
        <w:rPr>
          <w:b/>
        </w:rPr>
        <w:t xml:space="preserve"> session </w:t>
      </w:r>
      <w:r>
        <w:rPr>
          <w:b/>
        </w:rPr>
        <w:t>de l’Assemblée</w:t>
      </w:r>
      <w:r w:rsidR="00EB3895">
        <w:rPr>
          <w:b/>
        </w:rPr>
        <w:br/>
      </w:r>
      <w:r w:rsidR="00EB3895" w:rsidRPr="00EB3895">
        <w:rPr>
          <w:bCs/>
        </w:rPr>
        <w:t xml:space="preserve">UNESCO, Paris, </w:t>
      </w:r>
      <w:r w:rsidR="00F60534">
        <w:rPr>
          <w:bCs/>
        </w:rPr>
        <w:t>25</w:t>
      </w:r>
      <w:r w:rsidR="00DB1767">
        <w:rPr>
          <w:bCs/>
        </w:rPr>
        <w:t> </w:t>
      </w:r>
      <w:r w:rsidR="00EB3895" w:rsidRPr="00EB3895">
        <w:rPr>
          <w:bCs/>
        </w:rPr>
        <w:t>juin</w:t>
      </w:r>
      <w:r>
        <w:rPr>
          <w:bCs/>
        </w:rPr>
        <w:t xml:space="preserve"> – 3</w:t>
      </w:r>
      <w:r w:rsidR="00DB1767">
        <w:rPr>
          <w:bCs/>
        </w:rPr>
        <w:t> </w:t>
      </w:r>
      <w:r>
        <w:rPr>
          <w:bCs/>
        </w:rPr>
        <w:t>juillet</w:t>
      </w:r>
      <w:r w:rsidR="00EB3895" w:rsidRPr="00EB3895">
        <w:rPr>
          <w:bCs/>
        </w:rPr>
        <w:t xml:space="preserve"> 202</w:t>
      </w:r>
      <w:r>
        <w:rPr>
          <w:bCs/>
        </w:rPr>
        <w:t>5</w:t>
      </w:r>
      <w:r w:rsidR="006519AE">
        <w:rPr>
          <w:bCs/>
        </w:rPr>
        <w:t xml:space="preserve"> </w:t>
      </w:r>
    </w:p>
    <w:p w14:paraId="607D1C93" w14:textId="39260929" w:rsidR="00EB3895" w:rsidRPr="00E54757" w:rsidRDefault="00E54757" w:rsidP="00562336">
      <w:pPr>
        <w:pStyle w:val="Marge"/>
        <w:spacing w:after="600"/>
        <w:rPr>
          <w:u w:val="single"/>
        </w:rPr>
      </w:pPr>
      <w:r w:rsidRPr="00E54757">
        <w:rPr>
          <w:u w:val="single"/>
        </w:rPr>
        <w:t>Point</w:t>
      </w:r>
      <w:r w:rsidR="00DB1767">
        <w:rPr>
          <w:u w:val="single"/>
        </w:rPr>
        <w:t> </w:t>
      </w:r>
      <w:r w:rsidR="00493CE6">
        <w:rPr>
          <w:b/>
          <w:bCs/>
          <w:u w:val="single"/>
        </w:rPr>
        <w:t>3.</w:t>
      </w:r>
      <w:r w:rsidR="00222224">
        <w:rPr>
          <w:b/>
          <w:bCs/>
          <w:u w:val="single"/>
        </w:rPr>
        <w:t>2</w:t>
      </w:r>
      <w:r w:rsidRPr="00E54757">
        <w:rPr>
          <w:u w:val="single"/>
        </w:rPr>
        <w:t xml:space="preserve"> de l</w:t>
      </w:r>
      <w:r w:rsidR="00E34310">
        <w:rPr>
          <w:u w:val="single"/>
        </w:rPr>
        <w:t>’</w:t>
      </w:r>
      <w:r w:rsidRPr="00E54757">
        <w:rPr>
          <w:u w:val="single"/>
        </w:rPr>
        <w:t>ordre du jour provisoire</w:t>
      </w:r>
    </w:p>
    <w:p w14:paraId="4D532EDB" w14:textId="4CFA02EB" w:rsidR="00B2519D" w:rsidRDefault="00493CE6" w:rsidP="00562336">
      <w:pPr>
        <w:pStyle w:val="Heading1"/>
        <w:spacing w:after="360"/>
      </w:pPr>
      <w:r w:rsidRPr="00493CE6">
        <w:t xml:space="preserve">RAPPORT DU SECRÉTAIRE EXÉCUTIF SUR LE TRAVAIL ACCOMPLI </w:t>
      </w:r>
      <w:r w:rsidR="008948C7">
        <w:br/>
      </w:r>
      <w:r w:rsidRPr="00493CE6">
        <w:t>DEPUIS LA 32</w:t>
      </w:r>
      <w:r w:rsidRPr="00493CE6">
        <w:rPr>
          <w:vertAlign w:val="superscript"/>
        </w:rPr>
        <w:t>e</w:t>
      </w:r>
      <w:r>
        <w:t> </w:t>
      </w:r>
      <w:r w:rsidRPr="00493CE6">
        <w:t>SESSION DE L</w:t>
      </w:r>
      <w:r w:rsidR="00E34310">
        <w:t>’</w:t>
      </w:r>
      <w:r w:rsidRPr="00493CE6">
        <w:t>ASSEMBLÉE (juin 2023 – mai 202</w:t>
      </w:r>
      <w:r w:rsidR="00222224">
        <w:t>5</w:t>
      </w:r>
      <w:r w:rsidRPr="00493CE6">
        <w:t>)</w:t>
      </w:r>
    </w:p>
    <w:tbl>
      <w:tblPr>
        <w:tblStyle w:val="Grilledutableau1"/>
        <w:tblW w:w="7366" w:type="dxa"/>
        <w:jc w:val="center"/>
        <w:tblLayout w:type="fixed"/>
        <w:tblLook w:val="04A0" w:firstRow="1" w:lastRow="0" w:firstColumn="1" w:lastColumn="0" w:noHBand="0" w:noVBand="1"/>
      </w:tblPr>
      <w:tblGrid>
        <w:gridCol w:w="7366"/>
      </w:tblGrid>
      <w:tr w:rsidR="00562336" w:rsidRPr="00562336" w14:paraId="39DE0B67" w14:textId="77777777" w:rsidTr="006C15A5">
        <w:trPr>
          <w:trHeight w:val="4350"/>
          <w:jc w:val="center"/>
        </w:trPr>
        <w:tc>
          <w:tcPr>
            <w:tcW w:w="7366" w:type="dxa"/>
          </w:tcPr>
          <w:p w14:paraId="754BC36C" w14:textId="77777777" w:rsidR="00562336" w:rsidRPr="00562336" w:rsidRDefault="00562336" w:rsidP="00562336">
            <w:pPr>
              <w:tabs>
                <w:tab w:val="clear" w:pos="567"/>
              </w:tabs>
              <w:snapToGrid/>
              <w:spacing w:before="120" w:after="240"/>
              <w:jc w:val="center"/>
              <w:rPr>
                <w:rFonts w:cs="Arial"/>
                <w:bCs/>
                <w:szCs w:val="22"/>
                <w:u w:val="single"/>
                <w:lang w:eastAsia="en-US"/>
              </w:rPr>
            </w:pPr>
            <w:r w:rsidRPr="00562336">
              <w:rPr>
                <w:u w:val="single"/>
                <w:lang w:eastAsia="en-US"/>
              </w:rPr>
              <w:t>Résumé</w:t>
            </w:r>
          </w:p>
          <w:p w14:paraId="3294F9A7" w14:textId="1B0DF819" w:rsidR="00493CE6" w:rsidRPr="00E34310" w:rsidRDefault="00493CE6" w:rsidP="00493CE6">
            <w:pPr>
              <w:tabs>
                <w:tab w:val="clear" w:pos="567"/>
              </w:tabs>
              <w:snapToGrid/>
              <w:spacing w:after="240"/>
              <w:ind w:left="283" w:right="283"/>
              <w:jc w:val="both"/>
              <w:rPr>
                <w:rFonts w:cs="Arial"/>
                <w:szCs w:val="22"/>
                <w:lang w:eastAsia="en-US"/>
              </w:rPr>
            </w:pPr>
            <w:r w:rsidRPr="00493CE6">
              <w:rPr>
                <w:rFonts w:cs="Arial"/>
                <w:szCs w:val="22"/>
                <w:lang w:eastAsia="en-US"/>
              </w:rPr>
              <w:t>Le</w:t>
            </w:r>
            <w:r w:rsidR="006F7DED">
              <w:rPr>
                <w:rFonts w:cs="Arial"/>
                <w:szCs w:val="22"/>
                <w:lang w:eastAsia="en-US"/>
              </w:rPr>
              <w:t xml:space="preserve"> présent</w:t>
            </w:r>
            <w:r w:rsidRPr="00493CE6">
              <w:rPr>
                <w:rFonts w:cs="Arial"/>
                <w:szCs w:val="22"/>
                <w:lang w:eastAsia="en-US"/>
              </w:rPr>
              <w:t xml:space="preserve"> rapport </w:t>
            </w:r>
            <w:r w:rsidR="006F7DED">
              <w:rPr>
                <w:rFonts w:cs="Arial"/>
                <w:szCs w:val="22"/>
                <w:lang w:eastAsia="en-US"/>
              </w:rPr>
              <w:t>débute par</w:t>
            </w:r>
            <w:r w:rsidRPr="00493CE6">
              <w:rPr>
                <w:rFonts w:cs="Arial"/>
                <w:szCs w:val="22"/>
                <w:lang w:eastAsia="en-US"/>
              </w:rPr>
              <w:t xml:space="preserve"> une introduction du Secrétaire exécutif de la COI. </w:t>
            </w:r>
          </w:p>
          <w:p w14:paraId="49ABAA5D" w14:textId="505783C2" w:rsidR="00E34310" w:rsidRPr="00E34310" w:rsidRDefault="00E34310" w:rsidP="00E34310">
            <w:pPr>
              <w:tabs>
                <w:tab w:val="clear" w:pos="567"/>
              </w:tabs>
              <w:snapToGrid/>
              <w:spacing w:after="240"/>
              <w:ind w:left="283" w:right="283"/>
              <w:jc w:val="both"/>
              <w:rPr>
                <w:rFonts w:cs="Arial"/>
                <w:szCs w:val="22"/>
                <w:lang w:eastAsia="en-US"/>
              </w:rPr>
            </w:pPr>
            <w:r w:rsidRPr="00E34310">
              <w:rPr>
                <w:rFonts w:cs="Arial"/>
                <w:szCs w:val="22"/>
                <w:lang w:eastAsia="en-US"/>
              </w:rPr>
              <w:t>Sont ensuite présentés les faits marquants de l</w:t>
            </w:r>
            <w:r>
              <w:rPr>
                <w:rFonts w:cs="Arial"/>
                <w:szCs w:val="22"/>
                <w:lang w:eastAsia="en-US"/>
              </w:rPr>
              <w:t>’</w:t>
            </w:r>
            <w:r w:rsidRPr="00E34310">
              <w:rPr>
                <w:rFonts w:cs="Arial"/>
                <w:szCs w:val="22"/>
                <w:lang w:eastAsia="en-US"/>
              </w:rPr>
              <w:t>exécution du programme durant la période considérée et l</w:t>
            </w:r>
            <w:r>
              <w:rPr>
                <w:rFonts w:cs="Arial"/>
                <w:szCs w:val="22"/>
                <w:lang w:eastAsia="en-US"/>
              </w:rPr>
              <w:t>’</w:t>
            </w:r>
            <w:r w:rsidRPr="00E34310">
              <w:rPr>
                <w:rFonts w:cs="Arial"/>
                <w:szCs w:val="22"/>
                <w:lang w:eastAsia="en-US"/>
              </w:rPr>
              <w:t>évaluation des progrès réalisés au titre du cadre de résultats de la COI pour 2024-2025 à la fin de l</w:t>
            </w:r>
            <w:r>
              <w:rPr>
                <w:rFonts w:cs="Arial"/>
                <w:szCs w:val="22"/>
                <w:lang w:eastAsia="en-US"/>
              </w:rPr>
              <w:t>’</w:t>
            </w:r>
            <w:r w:rsidR="00685866">
              <w:rPr>
                <w:rFonts w:cs="Arial"/>
                <w:szCs w:val="22"/>
                <w:lang w:eastAsia="en-US"/>
              </w:rPr>
              <w:t>année</w:t>
            </w:r>
            <w:r w:rsidR="00DB1767">
              <w:rPr>
                <w:rFonts w:cs="Arial"/>
                <w:szCs w:val="22"/>
                <w:lang w:eastAsia="en-US"/>
              </w:rPr>
              <w:t> </w:t>
            </w:r>
            <w:r w:rsidRPr="00E34310">
              <w:rPr>
                <w:rFonts w:cs="Arial"/>
                <w:szCs w:val="22"/>
                <w:lang w:eastAsia="en-US"/>
              </w:rPr>
              <w:t>2024, y compris des extraits de documents établis pour la 221</w:t>
            </w:r>
            <w:r w:rsidRPr="00FE36B5">
              <w:rPr>
                <w:rFonts w:cs="Arial"/>
                <w:szCs w:val="22"/>
                <w:vertAlign w:val="superscript"/>
                <w:lang w:eastAsia="en-US"/>
              </w:rPr>
              <w:t>e</w:t>
            </w:r>
            <w:r w:rsidR="00FE36B5">
              <w:rPr>
                <w:rFonts w:cs="Arial"/>
                <w:szCs w:val="22"/>
                <w:lang w:eastAsia="en-US"/>
              </w:rPr>
              <w:t> </w:t>
            </w:r>
            <w:r w:rsidRPr="00E34310">
              <w:rPr>
                <w:rFonts w:cs="Arial"/>
                <w:szCs w:val="22"/>
                <w:lang w:eastAsia="en-US"/>
              </w:rPr>
              <w:t>session du Conseil exécutif (avril</w:t>
            </w:r>
            <w:r w:rsidR="00003DE4">
              <w:rPr>
                <w:rFonts w:cs="Arial"/>
                <w:szCs w:val="22"/>
                <w:lang w:eastAsia="en-US"/>
              </w:rPr>
              <w:t> </w:t>
            </w:r>
            <w:r w:rsidRPr="00E34310">
              <w:rPr>
                <w:rFonts w:cs="Arial"/>
                <w:szCs w:val="22"/>
                <w:lang w:eastAsia="en-US"/>
              </w:rPr>
              <w:t>2025). L</w:t>
            </w:r>
            <w:r>
              <w:rPr>
                <w:rFonts w:cs="Arial"/>
                <w:szCs w:val="22"/>
                <w:lang w:eastAsia="en-US"/>
              </w:rPr>
              <w:t>’</w:t>
            </w:r>
            <w:r w:rsidRPr="00E34310">
              <w:rPr>
                <w:rFonts w:cs="Arial"/>
                <w:szCs w:val="22"/>
                <w:lang w:eastAsia="en-US"/>
              </w:rPr>
              <w:t xml:space="preserve">évaluation des progrès/réalisations </w:t>
            </w:r>
            <w:r w:rsidR="00685866">
              <w:rPr>
                <w:rFonts w:cs="Arial"/>
                <w:szCs w:val="22"/>
                <w:lang w:eastAsia="en-US"/>
              </w:rPr>
              <w:t xml:space="preserve">accomplis </w:t>
            </w:r>
            <w:r w:rsidRPr="00E34310">
              <w:rPr>
                <w:rFonts w:cs="Arial"/>
                <w:szCs w:val="22"/>
                <w:lang w:eastAsia="en-US"/>
              </w:rPr>
              <w:t xml:space="preserve">au </w:t>
            </w:r>
            <w:r w:rsidR="00222224" w:rsidRPr="00E34310">
              <w:rPr>
                <w:rFonts w:cs="Arial"/>
                <w:szCs w:val="22"/>
                <w:lang w:eastAsia="en-US"/>
              </w:rPr>
              <w:t>regard</w:t>
            </w:r>
            <w:r w:rsidRPr="00E34310">
              <w:rPr>
                <w:rFonts w:cs="Arial"/>
                <w:szCs w:val="22"/>
                <w:lang w:eastAsia="en-US"/>
              </w:rPr>
              <w:t xml:space="preserve"> du cadre de résultats pour 2022-2023</w:t>
            </w:r>
            <w:r w:rsidR="00DB1767">
              <w:rPr>
                <w:rFonts w:cs="Arial"/>
                <w:szCs w:val="22"/>
                <w:lang w:eastAsia="en-US"/>
              </w:rPr>
              <w:t> </w:t>
            </w:r>
            <w:r w:rsidRPr="00E34310">
              <w:rPr>
                <w:rFonts w:cs="Arial"/>
                <w:szCs w:val="22"/>
                <w:lang w:eastAsia="en-US"/>
              </w:rPr>
              <w:t xml:space="preserve">figure dans le document </w:t>
            </w:r>
            <w:hyperlink r:id="rId8" w:history="1">
              <w:r w:rsidRPr="00222224">
                <w:rPr>
                  <w:rStyle w:val="Hyperlink"/>
                  <w:rFonts w:cs="Arial"/>
                  <w:szCs w:val="22"/>
                  <w:lang w:eastAsia="en-US"/>
                </w:rPr>
                <w:t>IOC/EC-57/3.1.Doc(1)</w:t>
              </w:r>
            </w:hyperlink>
            <w:r w:rsidRPr="00E34310">
              <w:rPr>
                <w:rFonts w:cs="Arial"/>
                <w:szCs w:val="22"/>
                <w:lang w:eastAsia="en-US"/>
              </w:rPr>
              <w:t xml:space="preserve">. </w:t>
            </w:r>
          </w:p>
          <w:p w14:paraId="59B3816F" w14:textId="1F3EC87F" w:rsidR="00E34310" w:rsidRPr="00E34310" w:rsidRDefault="00E34310" w:rsidP="00E34310">
            <w:pPr>
              <w:tabs>
                <w:tab w:val="clear" w:pos="567"/>
              </w:tabs>
              <w:snapToGrid/>
              <w:spacing w:after="240"/>
              <w:ind w:left="283" w:right="283"/>
              <w:jc w:val="both"/>
              <w:rPr>
                <w:rFonts w:cs="Arial"/>
                <w:szCs w:val="22"/>
                <w:lang w:eastAsia="en-US"/>
              </w:rPr>
            </w:pPr>
            <w:r w:rsidRPr="00E34310">
              <w:rPr>
                <w:rFonts w:cs="Arial"/>
                <w:szCs w:val="22"/>
                <w:lang w:eastAsia="en-US"/>
              </w:rPr>
              <w:t>L</w:t>
            </w:r>
            <w:r>
              <w:rPr>
                <w:rFonts w:cs="Arial"/>
                <w:szCs w:val="22"/>
                <w:lang w:eastAsia="en-US"/>
              </w:rPr>
              <w:t>’</w:t>
            </w:r>
            <w:r w:rsidRPr="00E34310">
              <w:rPr>
                <w:rFonts w:cs="Arial"/>
                <w:szCs w:val="22"/>
                <w:lang w:eastAsia="en-US"/>
              </w:rPr>
              <w:t xml:space="preserve">addendum au présent document, en anglais seulement, fournit des informations actualisées sur le travail </w:t>
            </w:r>
            <w:r w:rsidR="00685866">
              <w:rPr>
                <w:rFonts w:cs="Arial"/>
                <w:szCs w:val="22"/>
                <w:lang w:eastAsia="en-US"/>
              </w:rPr>
              <w:t>mené</w:t>
            </w:r>
            <w:r w:rsidRPr="00E34310">
              <w:rPr>
                <w:rFonts w:cs="Arial"/>
                <w:szCs w:val="22"/>
                <w:lang w:eastAsia="en-US"/>
              </w:rPr>
              <w:t xml:space="preserve"> entre juin</w:t>
            </w:r>
            <w:r w:rsidR="004F0D67">
              <w:rPr>
                <w:rFonts w:cs="Arial"/>
                <w:szCs w:val="22"/>
                <w:lang w:eastAsia="en-US"/>
              </w:rPr>
              <w:t> </w:t>
            </w:r>
            <w:r w:rsidRPr="00E34310">
              <w:rPr>
                <w:rFonts w:cs="Arial"/>
                <w:szCs w:val="22"/>
                <w:lang w:eastAsia="en-US"/>
              </w:rPr>
              <w:t>2023 et mai</w:t>
            </w:r>
            <w:r w:rsidR="00003DE4">
              <w:rPr>
                <w:rFonts w:cs="Arial"/>
                <w:szCs w:val="22"/>
                <w:lang w:eastAsia="en-US"/>
              </w:rPr>
              <w:t> </w:t>
            </w:r>
            <w:r w:rsidRPr="00E34310">
              <w:rPr>
                <w:rFonts w:cs="Arial"/>
                <w:szCs w:val="22"/>
                <w:lang w:eastAsia="en-US"/>
              </w:rPr>
              <w:t xml:space="preserve">2025, par fonction de la COI. </w:t>
            </w:r>
          </w:p>
          <w:p w14:paraId="56795C62" w14:textId="5BC6E09C" w:rsidR="00E34310" w:rsidRPr="00E34310" w:rsidRDefault="00E34310" w:rsidP="00E34310">
            <w:pPr>
              <w:tabs>
                <w:tab w:val="clear" w:pos="567"/>
              </w:tabs>
              <w:snapToGrid/>
              <w:spacing w:after="240"/>
              <w:ind w:left="283" w:right="283"/>
              <w:jc w:val="both"/>
              <w:rPr>
                <w:rFonts w:cs="Arial"/>
                <w:szCs w:val="22"/>
                <w:lang w:eastAsia="en-US"/>
              </w:rPr>
            </w:pPr>
            <w:r w:rsidRPr="00E34310">
              <w:rPr>
                <w:rFonts w:cs="Arial"/>
                <w:szCs w:val="22"/>
                <w:lang w:eastAsia="en-US"/>
              </w:rPr>
              <w:t>En outre, le Rapport sur l</w:t>
            </w:r>
            <w:r>
              <w:rPr>
                <w:rFonts w:cs="Arial"/>
                <w:szCs w:val="22"/>
                <w:lang w:eastAsia="en-US"/>
              </w:rPr>
              <w:t>’</w:t>
            </w:r>
            <w:r w:rsidRPr="00E34310">
              <w:rPr>
                <w:rFonts w:cs="Arial"/>
                <w:szCs w:val="22"/>
                <w:lang w:eastAsia="en-US"/>
              </w:rPr>
              <w:t>exécution du budget</w:t>
            </w:r>
            <w:r w:rsidR="00DB1767">
              <w:rPr>
                <w:rFonts w:cs="Arial"/>
                <w:szCs w:val="22"/>
                <w:lang w:eastAsia="en-US"/>
              </w:rPr>
              <w:t> </w:t>
            </w:r>
            <w:r w:rsidRPr="00E34310">
              <w:rPr>
                <w:rFonts w:cs="Arial"/>
                <w:szCs w:val="22"/>
                <w:lang w:eastAsia="en-US"/>
              </w:rPr>
              <w:t xml:space="preserve">2024-2025 (42 C/5) </w:t>
            </w:r>
            <w:r w:rsidRPr="00003DE4">
              <w:rPr>
                <w:rFonts w:cs="Arial"/>
                <w:spacing w:val="-2"/>
                <w:szCs w:val="22"/>
                <w:lang w:eastAsia="en-US"/>
              </w:rPr>
              <w:t>au 31</w:t>
            </w:r>
            <w:r w:rsidR="00DB1767" w:rsidRPr="00003DE4">
              <w:rPr>
                <w:rFonts w:cs="Arial"/>
                <w:spacing w:val="-2"/>
                <w:szCs w:val="22"/>
                <w:lang w:eastAsia="en-US"/>
              </w:rPr>
              <w:t> </w:t>
            </w:r>
            <w:r w:rsidRPr="00003DE4">
              <w:rPr>
                <w:rFonts w:cs="Arial"/>
                <w:spacing w:val="-2"/>
                <w:szCs w:val="22"/>
                <w:lang w:eastAsia="en-US"/>
              </w:rPr>
              <w:t>décembre 2024 (IOC/A-33/3.2.Doc(2)) et le Rapport sur la situation financière du Compte spécial de la COI à la fin de l’année</w:t>
            </w:r>
            <w:r w:rsidR="00DB1767" w:rsidRPr="00003DE4">
              <w:rPr>
                <w:rFonts w:cs="Arial"/>
                <w:spacing w:val="-2"/>
                <w:szCs w:val="22"/>
                <w:lang w:eastAsia="en-US"/>
              </w:rPr>
              <w:t> </w:t>
            </w:r>
            <w:r w:rsidRPr="00003DE4">
              <w:rPr>
                <w:rFonts w:cs="Arial"/>
                <w:spacing w:val="-2"/>
                <w:szCs w:val="22"/>
                <w:lang w:eastAsia="en-US"/>
              </w:rPr>
              <w:t>2024 et prévisions pour 2025 (IOC/A-33/3.2.Doc(3)) complètent la documentation accompagnant la présentation orale que le Secrétaire exécutif donnera en séance plénière de l’Assemblée.</w:t>
            </w:r>
            <w:r w:rsidRPr="00E34310">
              <w:rPr>
                <w:rFonts w:cs="Arial"/>
                <w:szCs w:val="22"/>
                <w:lang w:eastAsia="en-US"/>
              </w:rPr>
              <w:t xml:space="preserve"> </w:t>
            </w:r>
          </w:p>
          <w:p w14:paraId="2DF562DA" w14:textId="50C1DECA" w:rsidR="00562336" w:rsidRPr="00E34310" w:rsidRDefault="00E34310" w:rsidP="00E34310">
            <w:pPr>
              <w:tabs>
                <w:tab w:val="clear" w:pos="567"/>
              </w:tabs>
              <w:snapToGrid/>
              <w:spacing w:after="240"/>
              <w:ind w:left="283" w:right="283"/>
              <w:jc w:val="both"/>
              <w:rPr>
                <w:rFonts w:cs="Arial"/>
                <w:szCs w:val="22"/>
                <w:lang w:eastAsia="en-US"/>
              </w:rPr>
            </w:pPr>
            <w:r w:rsidRPr="00FE36B5">
              <w:rPr>
                <w:rFonts w:cs="Arial"/>
                <w:szCs w:val="22"/>
                <w:u w:val="single"/>
                <w:lang w:eastAsia="en-US"/>
              </w:rPr>
              <w:t>Décision proposée</w:t>
            </w:r>
            <w:r w:rsidR="00222224">
              <w:rPr>
                <w:rFonts w:cs="Arial"/>
                <w:szCs w:val="22"/>
                <w:lang w:eastAsia="en-US"/>
              </w:rPr>
              <w:t> :</w:t>
            </w:r>
            <w:r w:rsidRPr="00E34310">
              <w:rPr>
                <w:rFonts w:cs="Arial"/>
                <w:szCs w:val="22"/>
                <w:lang w:eastAsia="en-US"/>
              </w:rPr>
              <w:t xml:space="preserve"> </w:t>
            </w:r>
            <w:r w:rsidR="00685866">
              <w:rPr>
                <w:rFonts w:cs="Arial"/>
                <w:szCs w:val="22"/>
                <w:lang w:eastAsia="en-US"/>
              </w:rPr>
              <w:t>L’Assemblée</w:t>
            </w:r>
            <w:r w:rsidRPr="00E34310">
              <w:rPr>
                <w:rFonts w:cs="Arial"/>
                <w:szCs w:val="22"/>
                <w:lang w:eastAsia="en-US"/>
              </w:rPr>
              <w:t xml:space="preserve"> de la COI est invité</w:t>
            </w:r>
            <w:r w:rsidR="00685866">
              <w:rPr>
                <w:rFonts w:cs="Arial"/>
                <w:szCs w:val="22"/>
                <w:lang w:eastAsia="en-US"/>
              </w:rPr>
              <w:t>e</w:t>
            </w:r>
            <w:r w:rsidRPr="00E34310">
              <w:rPr>
                <w:rFonts w:cs="Arial"/>
                <w:szCs w:val="22"/>
                <w:lang w:eastAsia="en-US"/>
              </w:rPr>
              <w:t xml:space="preserve"> à prendre note du présent document et à examiner le projet de décision portant la cote Déc., IOC/A-33/3.2 dans le Document provisoire relatif aux décisions à adopter (document IOC/A-33/AP).</w:t>
            </w:r>
          </w:p>
        </w:tc>
      </w:tr>
    </w:tbl>
    <w:p w14:paraId="2E979F20" w14:textId="4FADF084" w:rsidR="00436275" w:rsidRDefault="00436275">
      <w:pPr>
        <w:tabs>
          <w:tab w:val="clear" w:pos="567"/>
        </w:tabs>
        <w:snapToGrid/>
        <w:rPr>
          <w:rFonts w:eastAsia="Times New Roman"/>
          <w:lang w:eastAsia="en-US"/>
        </w:rPr>
      </w:pPr>
      <w:r>
        <w:br w:type="page"/>
      </w:r>
    </w:p>
    <w:p w14:paraId="53E1111A" w14:textId="77777777" w:rsidR="000A115B" w:rsidRPr="00003DE4" w:rsidRDefault="000A115B" w:rsidP="00003DE4">
      <w:pPr>
        <w:tabs>
          <w:tab w:val="clear" w:pos="567"/>
        </w:tabs>
        <w:snapToGrid/>
        <w:spacing w:after="240"/>
        <w:jc w:val="both"/>
        <w:rPr>
          <w:rFonts w:eastAsia="Times New Roman" w:cs="Arial"/>
          <w:b/>
          <w:bCs/>
          <w:snapToGrid/>
          <w:szCs w:val="22"/>
          <w:lang w:eastAsia="en-US"/>
        </w:rPr>
      </w:pPr>
      <w:r w:rsidRPr="00003DE4">
        <w:rPr>
          <w:rFonts w:eastAsia="Times New Roman" w:cs="Arial"/>
          <w:b/>
          <w:bCs/>
          <w:snapToGrid/>
          <w:szCs w:val="22"/>
          <w:lang w:eastAsia="en-US"/>
        </w:rPr>
        <w:lastRenderedPageBreak/>
        <w:t>Introduction du Secrétaire exécutif de la COI</w:t>
      </w:r>
    </w:p>
    <w:p w14:paraId="70374975" w14:textId="44155BBC" w:rsidR="00E34310" w:rsidRPr="00003DE4" w:rsidRDefault="00E34310" w:rsidP="00982AA5">
      <w:pPr>
        <w:pStyle w:val="ListParagraph"/>
        <w:tabs>
          <w:tab w:val="left" w:pos="567"/>
        </w:tabs>
        <w:snapToGrid w:val="0"/>
        <w:spacing w:after="240" w:line="240" w:lineRule="auto"/>
        <w:ind w:left="0"/>
        <w:contextualSpacing w:val="0"/>
        <w:jc w:val="both"/>
        <w:rPr>
          <w:rFonts w:ascii="Arial" w:hAnsi="Arial" w:cs="Arial"/>
          <w:lang w:val="fr-FR"/>
        </w:rPr>
      </w:pPr>
      <w:r w:rsidRPr="00003DE4">
        <w:rPr>
          <w:rFonts w:ascii="Arial" w:hAnsi="Arial" w:cs="Arial"/>
          <w:lang w:val="fr-FR"/>
        </w:rPr>
        <w:t>1.</w:t>
      </w:r>
      <w:r w:rsidRPr="00003DE4">
        <w:rPr>
          <w:rFonts w:ascii="Arial" w:hAnsi="Arial" w:cs="Arial"/>
          <w:lang w:val="fr-FR"/>
        </w:rPr>
        <w:tab/>
        <w:t>Le but statutaire de la COI est double. Il consiste en premier lieu à « </w:t>
      </w:r>
      <w:r w:rsidRPr="00003DE4">
        <w:rPr>
          <w:rFonts w:ascii="Arial" w:hAnsi="Arial" w:cs="Arial"/>
          <w:i/>
          <w:iCs/>
          <w:lang w:val="fr-FR"/>
        </w:rPr>
        <w:t>promouvoir la coopération internationale et [</w:t>
      </w:r>
      <w:r w:rsidR="00DB1767" w:rsidRPr="00003DE4">
        <w:rPr>
          <w:rFonts w:ascii="Arial" w:hAnsi="Arial" w:cs="Arial"/>
          <w:i/>
          <w:iCs/>
          <w:lang w:val="fr-FR"/>
        </w:rPr>
        <w:t>…</w:t>
      </w:r>
      <w:r w:rsidRPr="00003DE4">
        <w:rPr>
          <w:rFonts w:ascii="Arial" w:hAnsi="Arial" w:cs="Arial"/>
          <w:i/>
          <w:iCs/>
          <w:lang w:val="fr-FR"/>
        </w:rPr>
        <w:t>] coordonner les programmes de recherche, les services et le renforcement des capacités afin d’accroître les connaissances relatives à la nature et aux ressources des océans et des zones côtières</w:t>
      </w:r>
      <w:r w:rsidRPr="00003DE4">
        <w:rPr>
          <w:rFonts w:ascii="Arial" w:hAnsi="Arial" w:cs="Arial"/>
          <w:lang w:val="fr-FR"/>
        </w:rPr>
        <w:t> »</w:t>
      </w:r>
      <w:r w:rsidR="00FE36B5" w:rsidRPr="00003DE4">
        <w:rPr>
          <w:rFonts w:ascii="Arial" w:hAnsi="Arial" w:cs="Arial"/>
          <w:lang w:val="fr-FR"/>
        </w:rPr>
        <w:t xml:space="preserve"> et</w:t>
      </w:r>
      <w:r w:rsidR="00CE1956" w:rsidRPr="00003DE4">
        <w:rPr>
          <w:rFonts w:ascii="Arial" w:hAnsi="Arial" w:cs="Arial"/>
          <w:lang w:val="fr-FR"/>
        </w:rPr>
        <w:t>, en second lieu,</w:t>
      </w:r>
      <w:r w:rsidRPr="00003DE4">
        <w:rPr>
          <w:rFonts w:ascii="Arial" w:hAnsi="Arial" w:cs="Arial"/>
          <w:lang w:val="fr-FR"/>
        </w:rPr>
        <w:t xml:space="preserve"> </w:t>
      </w:r>
      <w:r w:rsidR="00FE36B5" w:rsidRPr="00003DE4">
        <w:rPr>
          <w:rFonts w:ascii="Arial" w:hAnsi="Arial" w:cs="Arial"/>
          <w:lang w:val="fr-FR"/>
        </w:rPr>
        <w:t xml:space="preserve">à </w:t>
      </w:r>
      <w:r w:rsidRPr="00003DE4">
        <w:rPr>
          <w:rFonts w:ascii="Arial" w:hAnsi="Arial" w:cs="Arial"/>
          <w:lang w:val="fr-FR"/>
        </w:rPr>
        <w:t>« </w:t>
      </w:r>
      <w:r w:rsidRPr="00003DE4">
        <w:rPr>
          <w:rFonts w:ascii="Arial" w:hAnsi="Arial" w:cs="Arial"/>
          <w:i/>
          <w:iCs/>
          <w:lang w:val="fr-FR"/>
        </w:rPr>
        <w:t>appliquer ces connaissances à l’amélioration de la gestion, au développement durable, à la protection du milieu marin et aux processus de prise de décisions par ses États membres</w:t>
      </w:r>
      <w:r w:rsidRPr="00003DE4">
        <w:rPr>
          <w:rFonts w:ascii="Arial" w:hAnsi="Arial" w:cs="Arial"/>
          <w:lang w:val="fr-FR"/>
        </w:rPr>
        <w:t> ». (Article</w:t>
      </w:r>
      <w:r w:rsidR="00DB1767" w:rsidRPr="00003DE4">
        <w:rPr>
          <w:rFonts w:ascii="Arial" w:hAnsi="Arial" w:cs="Arial"/>
          <w:lang w:val="fr-FR"/>
        </w:rPr>
        <w:t> </w:t>
      </w:r>
      <w:r w:rsidRPr="00003DE4">
        <w:rPr>
          <w:rFonts w:ascii="Arial" w:hAnsi="Arial" w:cs="Arial"/>
          <w:lang w:val="fr-FR"/>
        </w:rPr>
        <w:t>2, alinéa</w:t>
      </w:r>
      <w:r w:rsidR="00DB1767" w:rsidRPr="00003DE4">
        <w:rPr>
          <w:rFonts w:ascii="Arial" w:hAnsi="Arial" w:cs="Arial"/>
          <w:lang w:val="fr-FR"/>
        </w:rPr>
        <w:t> </w:t>
      </w:r>
      <w:r w:rsidRPr="00003DE4">
        <w:rPr>
          <w:rFonts w:ascii="Arial" w:hAnsi="Arial" w:cs="Arial"/>
          <w:lang w:val="fr-FR"/>
        </w:rPr>
        <w:t xml:space="preserve">1 des </w:t>
      </w:r>
      <w:hyperlink r:id="rId9" w:history="1">
        <w:r w:rsidRPr="00003DE4">
          <w:rPr>
            <w:rStyle w:val="Hyperlink"/>
            <w:rFonts w:ascii="Arial" w:hAnsi="Arial" w:cs="Arial"/>
            <w:lang w:val="fr-FR"/>
          </w:rPr>
          <w:t>Statuts de la COI</w:t>
        </w:r>
      </w:hyperlink>
      <w:r w:rsidRPr="00003DE4">
        <w:rPr>
          <w:rFonts w:ascii="Arial" w:hAnsi="Arial" w:cs="Arial"/>
          <w:lang w:val="fr-FR"/>
        </w:rPr>
        <w:t>)</w:t>
      </w:r>
    </w:p>
    <w:p w14:paraId="678B7179" w14:textId="5ED2B55E" w:rsidR="00222224" w:rsidRPr="00003DE4" w:rsidRDefault="00222224" w:rsidP="00982AA5">
      <w:pPr>
        <w:pStyle w:val="ListParagraph"/>
        <w:tabs>
          <w:tab w:val="left" w:pos="567"/>
        </w:tabs>
        <w:snapToGrid w:val="0"/>
        <w:spacing w:after="240" w:line="240" w:lineRule="auto"/>
        <w:ind w:left="0"/>
        <w:contextualSpacing w:val="0"/>
        <w:jc w:val="both"/>
        <w:rPr>
          <w:rFonts w:ascii="Arial" w:hAnsi="Arial" w:cs="Arial"/>
          <w:lang w:val="fr-FR"/>
        </w:rPr>
      </w:pPr>
      <w:r w:rsidRPr="00003DE4">
        <w:rPr>
          <w:rFonts w:ascii="Arial" w:hAnsi="Arial" w:cs="Arial"/>
          <w:lang w:val="fr-FR"/>
        </w:rPr>
        <w:t>2.</w:t>
      </w:r>
      <w:r w:rsidRPr="00003DE4">
        <w:rPr>
          <w:rFonts w:ascii="Arial" w:hAnsi="Arial" w:cs="Arial"/>
          <w:lang w:val="fr-FR"/>
        </w:rPr>
        <w:tab/>
      </w:r>
      <w:r w:rsidR="00E34310" w:rsidRPr="00003DE4">
        <w:rPr>
          <w:rFonts w:ascii="Arial" w:hAnsi="Arial" w:cs="Arial"/>
          <w:lang w:val="fr-FR"/>
        </w:rPr>
        <w:t>L’apprentissage est priorit</w:t>
      </w:r>
      <w:r w:rsidR="00CE1956" w:rsidRPr="00003DE4">
        <w:rPr>
          <w:rFonts w:ascii="Arial" w:hAnsi="Arial" w:cs="Arial"/>
          <w:lang w:val="fr-FR"/>
        </w:rPr>
        <w:t>aire</w:t>
      </w:r>
      <w:r w:rsidR="00FE36B5" w:rsidRPr="00003DE4">
        <w:rPr>
          <w:rFonts w:ascii="Arial" w:hAnsi="Arial" w:cs="Arial"/>
          <w:lang w:val="fr-FR"/>
        </w:rPr>
        <w:t xml:space="preserve">. Il </w:t>
      </w:r>
      <w:r w:rsidR="00E34310" w:rsidRPr="00003DE4">
        <w:rPr>
          <w:rFonts w:ascii="Arial" w:hAnsi="Arial" w:cs="Arial"/>
          <w:lang w:val="fr-FR"/>
        </w:rPr>
        <w:t>doit être continu</w:t>
      </w:r>
      <w:r w:rsidR="00FE36B5" w:rsidRPr="00003DE4">
        <w:rPr>
          <w:rFonts w:ascii="Arial" w:hAnsi="Arial" w:cs="Arial"/>
          <w:lang w:val="fr-FR"/>
        </w:rPr>
        <w:t>, car</w:t>
      </w:r>
      <w:r w:rsidR="00E34310" w:rsidRPr="00003DE4">
        <w:rPr>
          <w:rFonts w:ascii="Arial" w:hAnsi="Arial" w:cs="Arial"/>
          <w:lang w:val="fr-FR"/>
        </w:rPr>
        <w:t xml:space="preserve"> dans un océan qui se transforme, nos connaissances d’hier peuvent </w:t>
      </w:r>
      <w:r w:rsidR="00FE36B5" w:rsidRPr="00003DE4">
        <w:rPr>
          <w:rFonts w:ascii="Arial" w:hAnsi="Arial" w:cs="Arial"/>
          <w:lang w:val="fr-FR"/>
        </w:rPr>
        <w:t>ne pas être les mêmes qu</w:t>
      </w:r>
      <w:r w:rsidR="00E34310" w:rsidRPr="00003DE4">
        <w:rPr>
          <w:rFonts w:ascii="Arial" w:hAnsi="Arial" w:cs="Arial"/>
          <w:lang w:val="fr-FR"/>
        </w:rPr>
        <w:t xml:space="preserve">e celles de demain. </w:t>
      </w:r>
      <w:r w:rsidR="00CE1956" w:rsidRPr="00003DE4">
        <w:rPr>
          <w:rFonts w:ascii="Arial" w:hAnsi="Arial" w:cs="Arial"/>
          <w:lang w:val="fr-FR"/>
        </w:rPr>
        <w:t>L</w:t>
      </w:r>
      <w:r w:rsidR="00E34310" w:rsidRPr="00003DE4">
        <w:rPr>
          <w:rFonts w:ascii="Arial" w:hAnsi="Arial" w:cs="Arial"/>
          <w:lang w:val="fr-FR"/>
        </w:rPr>
        <w:t xml:space="preserve">’application des enseignements doit </w:t>
      </w:r>
      <w:r w:rsidR="00CE1956" w:rsidRPr="00003DE4">
        <w:rPr>
          <w:rFonts w:ascii="Arial" w:hAnsi="Arial" w:cs="Arial"/>
          <w:lang w:val="fr-FR"/>
        </w:rPr>
        <w:t xml:space="preserve">donc, elle aussi, être </w:t>
      </w:r>
      <w:r w:rsidR="00E34310" w:rsidRPr="00003DE4">
        <w:rPr>
          <w:rFonts w:ascii="Arial" w:hAnsi="Arial" w:cs="Arial"/>
          <w:lang w:val="fr-FR"/>
        </w:rPr>
        <w:t xml:space="preserve">continue, plus rapide et plus dynamique </w:t>
      </w:r>
      <w:r w:rsidR="00CE1956" w:rsidRPr="00003DE4">
        <w:rPr>
          <w:rFonts w:ascii="Arial" w:hAnsi="Arial" w:cs="Arial"/>
          <w:lang w:val="fr-FR"/>
        </w:rPr>
        <w:t>qu’auparavant</w:t>
      </w:r>
      <w:r w:rsidR="00E34310" w:rsidRPr="00003DE4">
        <w:rPr>
          <w:rFonts w:ascii="Arial" w:hAnsi="Arial" w:cs="Arial"/>
          <w:lang w:val="fr-FR"/>
        </w:rPr>
        <w:t xml:space="preserve">. </w:t>
      </w:r>
    </w:p>
    <w:p w14:paraId="1D273297" w14:textId="1C7E0CCF" w:rsidR="00222224" w:rsidRPr="00003DE4" w:rsidRDefault="00222224" w:rsidP="00982AA5">
      <w:pPr>
        <w:pStyle w:val="ListParagraph"/>
        <w:tabs>
          <w:tab w:val="left" w:pos="567"/>
        </w:tabs>
        <w:snapToGrid w:val="0"/>
        <w:spacing w:after="240" w:line="240" w:lineRule="auto"/>
        <w:ind w:left="0"/>
        <w:contextualSpacing w:val="0"/>
        <w:jc w:val="both"/>
        <w:rPr>
          <w:rFonts w:ascii="Arial" w:hAnsi="Arial" w:cs="Arial"/>
          <w:lang w:val="fr-FR"/>
        </w:rPr>
      </w:pPr>
      <w:r w:rsidRPr="00003DE4">
        <w:rPr>
          <w:rFonts w:ascii="Arial" w:hAnsi="Arial" w:cs="Arial"/>
          <w:lang w:val="fr-FR"/>
        </w:rPr>
        <w:t>3.</w:t>
      </w:r>
      <w:r w:rsidRPr="00003DE4">
        <w:rPr>
          <w:rFonts w:ascii="Arial" w:hAnsi="Arial" w:cs="Arial"/>
          <w:lang w:val="fr-FR"/>
        </w:rPr>
        <w:tab/>
      </w:r>
      <w:r w:rsidR="00E34310" w:rsidRPr="00003DE4">
        <w:rPr>
          <w:rFonts w:ascii="Arial" w:hAnsi="Arial" w:cs="Arial"/>
          <w:lang w:val="fr-FR"/>
        </w:rPr>
        <w:t xml:space="preserve">Le processus d’apprentissage commence par l’observation continue de l’océan, qui produit des données océaniques pour la recherche, l’analyse et la modélisation. Les priorités fixées par les organes directeurs de la COI pour l’exercice budgétaire en cours </w:t>
      </w:r>
      <w:r w:rsidR="00332B7C" w:rsidRPr="00003DE4">
        <w:rPr>
          <w:rFonts w:ascii="Arial" w:hAnsi="Arial" w:cs="Arial"/>
          <w:lang w:val="fr-FR"/>
        </w:rPr>
        <w:t>tiennent compte de ce fonctionnement</w:t>
      </w:r>
      <w:r w:rsidR="00E34310" w:rsidRPr="00003DE4">
        <w:rPr>
          <w:rFonts w:ascii="Arial" w:hAnsi="Arial" w:cs="Arial"/>
          <w:lang w:val="fr-FR"/>
        </w:rPr>
        <w:t xml:space="preserve"> et ont constitué un axe essentiel de notre travail </w:t>
      </w:r>
      <w:r w:rsidR="00CE1956" w:rsidRPr="00003DE4">
        <w:rPr>
          <w:rFonts w:ascii="Arial" w:hAnsi="Arial" w:cs="Arial"/>
          <w:lang w:val="fr-FR"/>
        </w:rPr>
        <w:t>durant</w:t>
      </w:r>
      <w:r w:rsidR="00E34310" w:rsidRPr="00003DE4">
        <w:rPr>
          <w:rFonts w:ascii="Arial" w:hAnsi="Arial" w:cs="Arial"/>
          <w:lang w:val="fr-FR"/>
        </w:rPr>
        <w:t xml:space="preserve"> l’année écoulée. </w:t>
      </w:r>
    </w:p>
    <w:p w14:paraId="5F73EC21" w14:textId="089B78EC" w:rsidR="00222224" w:rsidRPr="00003DE4" w:rsidRDefault="00222224" w:rsidP="00982AA5">
      <w:pPr>
        <w:pStyle w:val="ListParagraph"/>
        <w:tabs>
          <w:tab w:val="left" w:pos="567"/>
        </w:tabs>
        <w:snapToGrid w:val="0"/>
        <w:spacing w:after="240" w:line="240" w:lineRule="auto"/>
        <w:ind w:left="0"/>
        <w:contextualSpacing w:val="0"/>
        <w:jc w:val="both"/>
        <w:rPr>
          <w:rFonts w:ascii="Arial" w:hAnsi="Arial" w:cs="Arial"/>
          <w:lang w:val="fr-FR"/>
        </w:rPr>
      </w:pPr>
      <w:r w:rsidRPr="00003DE4">
        <w:rPr>
          <w:rFonts w:ascii="Arial" w:hAnsi="Arial" w:cs="Arial"/>
          <w:lang w:val="fr-FR"/>
        </w:rPr>
        <w:t>4.</w:t>
      </w:r>
      <w:r w:rsidRPr="00003DE4">
        <w:rPr>
          <w:rFonts w:ascii="Arial" w:hAnsi="Arial" w:cs="Arial"/>
          <w:lang w:val="fr-FR"/>
        </w:rPr>
        <w:tab/>
      </w:r>
      <w:r w:rsidR="00E34310" w:rsidRPr="00003DE4">
        <w:rPr>
          <w:rFonts w:ascii="Arial" w:hAnsi="Arial" w:cs="Arial"/>
          <w:lang w:val="fr-FR"/>
        </w:rPr>
        <w:t>La part du budget ordinaire de l’UNESCO allouée à la COI pour l’exercice</w:t>
      </w:r>
      <w:r w:rsidR="00DB1767" w:rsidRPr="00003DE4">
        <w:rPr>
          <w:rFonts w:ascii="Arial" w:hAnsi="Arial" w:cs="Arial"/>
          <w:lang w:val="fr-FR"/>
        </w:rPr>
        <w:t> </w:t>
      </w:r>
      <w:r w:rsidR="00E34310" w:rsidRPr="00003DE4">
        <w:rPr>
          <w:rFonts w:ascii="Arial" w:hAnsi="Arial" w:cs="Arial"/>
          <w:lang w:val="fr-FR"/>
        </w:rPr>
        <w:t>2024-2025 (42 C/5) ayant été portée à 3 % à la demande de ses États membres, deux tiers (68 %) des ressources supplémentaires hors personnel ont été consacrées à la stabilisation de l</w:t>
      </w:r>
      <w:r w:rsidR="00C360AB" w:rsidRPr="00003DE4">
        <w:rPr>
          <w:rFonts w:ascii="Arial" w:hAnsi="Arial" w:cs="Arial"/>
          <w:lang w:val="fr-FR"/>
        </w:rPr>
        <w:t>’ensemble d</w:t>
      </w:r>
      <w:r w:rsidR="00E34310" w:rsidRPr="00003DE4">
        <w:rPr>
          <w:rFonts w:ascii="Arial" w:hAnsi="Arial" w:cs="Arial"/>
          <w:lang w:val="fr-FR"/>
        </w:rPr>
        <w:t xml:space="preserve">es fonctions de la COI, et un tiers (32 %) a été utilisé en tant qu’investissements ciblés supplémentaires </w:t>
      </w:r>
      <w:r w:rsidR="00C360AB" w:rsidRPr="00003DE4">
        <w:rPr>
          <w:rFonts w:ascii="Arial" w:hAnsi="Arial" w:cs="Arial"/>
          <w:lang w:val="fr-FR"/>
        </w:rPr>
        <w:t>dans le</w:t>
      </w:r>
      <w:r w:rsidR="00E34310" w:rsidRPr="00003DE4">
        <w:rPr>
          <w:rFonts w:ascii="Arial" w:hAnsi="Arial" w:cs="Arial"/>
          <w:lang w:val="fr-FR"/>
        </w:rPr>
        <w:t xml:space="preserve"> Système mondial d’observation de l’océan</w:t>
      </w:r>
      <w:r w:rsidR="00982AA5">
        <w:rPr>
          <w:rFonts w:ascii="Arial" w:hAnsi="Arial" w:cs="Arial"/>
          <w:lang w:val="fr-FR"/>
        </w:rPr>
        <w:t> </w:t>
      </w:r>
      <w:r w:rsidR="00E34310" w:rsidRPr="00003DE4">
        <w:rPr>
          <w:rFonts w:ascii="Arial" w:hAnsi="Arial" w:cs="Arial"/>
          <w:lang w:val="fr-FR"/>
        </w:rPr>
        <w:t xml:space="preserve">(GOOS), l’Échange international des données et de l’information océanographiques (IODE) et </w:t>
      </w:r>
      <w:r w:rsidR="0020288B" w:rsidRPr="00003DE4">
        <w:rPr>
          <w:rFonts w:ascii="Arial" w:hAnsi="Arial" w:cs="Arial"/>
          <w:lang w:val="fr-FR"/>
        </w:rPr>
        <w:t>le</w:t>
      </w:r>
      <w:r w:rsidR="00E34310" w:rsidRPr="00003DE4">
        <w:rPr>
          <w:rFonts w:ascii="Arial" w:hAnsi="Arial" w:cs="Arial"/>
          <w:lang w:val="fr-FR"/>
        </w:rPr>
        <w:t xml:space="preserve"> développement des capacités</w:t>
      </w:r>
      <w:r w:rsidR="0020288B" w:rsidRPr="00003DE4">
        <w:rPr>
          <w:rFonts w:ascii="Arial" w:hAnsi="Arial" w:cs="Arial"/>
          <w:lang w:val="fr-FR"/>
        </w:rPr>
        <w:t>,</w:t>
      </w:r>
      <w:r w:rsidR="00E34310" w:rsidRPr="00003DE4">
        <w:rPr>
          <w:rFonts w:ascii="Arial" w:hAnsi="Arial" w:cs="Arial"/>
          <w:lang w:val="fr-FR"/>
        </w:rPr>
        <w:t xml:space="preserve"> par l’intermédiaire des organes subsidiaires régionaux. </w:t>
      </w:r>
    </w:p>
    <w:p w14:paraId="05A31B25" w14:textId="7BFC5F57" w:rsidR="00E34310" w:rsidRPr="00003DE4" w:rsidRDefault="00222224" w:rsidP="00982AA5">
      <w:pPr>
        <w:pStyle w:val="ListParagraph"/>
        <w:tabs>
          <w:tab w:val="left" w:pos="567"/>
        </w:tabs>
        <w:snapToGrid w:val="0"/>
        <w:spacing w:after="240" w:line="240" w:lineRule="auto"/>
        <w:ind w:left="0"/>
        <w:contextualSpacing w:val="0"/>
        <w:jc w:val="both"/>
        <w:rPr>
          <w:rFonts w:ascii="Arial" w:hAnsi="Arial" w:cs="Arial"/>
          <w:lang w:val="fr-FR"/>
        </w:rPr>
      </w:pPr>
      <w:r w:rsidRPr="00003DE4">
        <w:rPr>
          <w:rFonts w:ascii="Arial" w:hAnsi="Arial" w:cs="Arial"/>
          <w:lang w:val="fr-FR"/>
        </w:rPr>
        <w:t>5.</w:t>
      </w:r>
      <w:r w:rsidRPr="00003DE4">
        <w:rPr>
          <w:rFonts w:ascii="Arial" w:hAnsi="Arial" w:cs="Arial"/>
          <w:lang w:val="fr-FR"/>
        </w:rPr>
        <w:tab/>
      </w:r>
      <w:r w:rsidR="00E34310" w:rsidRPr="00003DE4">
        <w:rPr>
          <w:rFonts w:ascii="Arial" w:hAnsi="Arial" w:cs="Arial"/>
          <w:lang w:val="fr-FR"/>
        </w:rPr>
        <w:t xml:space="preserve">Le graphique ci-dessous </w:t>
      </w:r>
      <w:r w:rsidR="00CE1956" w:rsidRPr="00003DE4">
        <w:rPr>
          <w:rFonts w:ascii="Arial" w:hAnsi="Arial" w:cs="Arial"/>
          <w:lang w:val="fr-FR"/>
        </w:rPr>
        <w:t>compare</w:t>
      </w:r>
      <w:r w:rsidR="00E34310" w:rsidRPr="00003DE4">
        <w:rPr>
          <w:rFonts w:ascii="Arial" w:hAnsi="Arial" w:cs="Arial"/>
          <w:lang w:val="fr-FR"/>
        </w:rPr>
        <w:t xml:space="preserve"> les budgets hors personnel (activités) </w:t>
      </w:r>
      <w:r w:rsidR="00CE1956" w:rsidRPr="00003DE4">
        <w:rPr>
          <w:rFonts w:ascii="Arial" w:hAnsi="Arial" w:cs="Arial"/>
          <w:lang w:val="fr-FR"/>
        </w:rPr>
        <w:t>consacrés à</w:t>
      </w:r>
      <w:r w:rsidR="00E34310" w:rsidRPr="00003DE4">
        <w:rPr>
          <w:rFonts w:ascii="Arial" w:hAnsi="Arial" w:cs="Arial"/>
          <w:lang w:val="fr-FR"/>
        </w:rPr>
        <w:t xml:space="preserve"> ces domaines prioritaires en 2022-2023 (41 C/5) et 2024-2025 (42 C/5). L’augmentation du budget a également permis un renforcement modeste du personnel du GOOS, de l’IODE, de l’IOCAFRICA, de l’IOCINDIO et d</w:t>
      </w:r>
      <w:r w:rsidR="0020288B" w:rsidRPr="00003DE4">
        <w:rPr>
          <w:rFonts w:ascii="Arial" w:hAnsi="Arial" w:cs="Arial"/>
          <w:lang w:val="fr-FR"/>
        </w:rPr>
        <w:t>e la WESTPAC</w:t>
      </w:r>
      <w:r w:rsidR="00E34310" w:rsidRPr="00003DE4">
        <w:rPr>
          <w:rFonts w:ascii="Arial" w:hAnsi="Arial" w:cs="Arial"/>
          <w:lang w:val="fr-FR"/>
        </w:rPr>
        <w:t>.</w:t>
      </w:r>
    </w:p>
    <w:p w14:paraId="21A231F4" w14:textId="1D1E4D87" w:rsidR="00E34310" w:rsidRPr="00003DE4" w:rsidRDefault="00B7108F" w:rsidP="00B7108F">
      <w:pPr>
        <w:rPr>
          <w:rFonts w:cs="Arial"/>
          <w:szCs w:val="22"/>
        </w:rPr>
      </w:pPr>
      <w:r w:rsidRPr="00982AA5">
        <w:rPr>
          <w:rFonts w:cs="Arial"/>
          <w:noProof/>
          <w:szCs w:val="22"/>
          <w:highlight w:val="yellow"/>
        </w:rPr>
        <mc:AlternateContent>
          <mc:Choice Requires="wps">
            <w:drawing>
              <wp:anchor distT="45720" distB="45720" distL="114300" distR="114300" simplePos="0" relativeHeight="251670528" behindDoc="1" locked="1" layoutInCell="1" allowOverlap="1" wp14:anchorId="2E90EF50" wp14:editId="0793F941">
                <wp:simplePos x="0" y="0"/>
                <wp:positionH relativeFrom="margin">
                  <wp:posOffset>3719830</wp:posOffset>
                </wp:positionH>
                <wp:positionV relativeFrom="paragraph">
                  <wp:posOffset>2183130</wp:posOffset>
                </wp:positionV>
                <wp:extent cx="394335" cy="147320"/>
                <wp:effectExtent l="123508" t="9842" r="110172" b="14923"/>
                <wp:wrapThrough wrapText="bothSides">
                  <wp:wrapPolygon edited="0">
                    <wp:start x="20324" y="-6303"/>
                    <wp:lineTo x="11866" y="-31019"/>
                    <wp:lineTo x="-1214" y="1054"/>
                    <wp:lineTo x="-1473" y="16839"/>
                    <wp:lineTo x="1346" y="25078"/>
                    <wp:lineTo x="8013" y="23883"/>
                    <wp:lineTo x="24489" y="10001"/>
                    <wp:lineTo x="23144" y="1935"/>
                    <wp:lineTo x="20324" y="-6303"/>
                  </wp:wrapPolygon>
                </wp:wrapThrough>
                <wp:docPr id="6790958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49399">
                          <a:off x="0" y="0"/>
                          <a:ext cx="394335" cy="147320"/>
                        </a:xfrm>
                        <a:prstGeom prst="rect">
                          <a:avLst/>
                        </a:prstGeom>
                        <a:solidFill>
                          <a:srgbClr val="FFFFFF"/>
                        </a:solidFill>
                        <a:ln w="9525">
                          <a:noFill/>
                          <a:miter lim="800000"/>
                          <a:headEnd/>
                          <a:tailEnd/>
                        </a:ln>
                      </wps:spPr>
                      <wps:txbx>
                        <w:txbxContent>
                          <w:p w14:paraId="46421A29" w14:textId="79948570" w:rsidR="00B7108F" w:rsidRPr="00982AA5" w:rsidRDefault="00B7108F" w:rsidP="00B7108F">
                            <w:pPr>
                              <w:rPr>
                                <w:rFonts w:asciiTheme="minorHAnsi" w:hAnsiTheme="minorHAnsi" w:cstheme="minorHAnsi"/>
                                <w:color w:val="595959" w:themeColor="text1" w:themeTint="A6"/>
                                <w:sz w:val="16"/>
                                <w:szCs w:val="16"/>
                              </w:rPr>
                            </w:pP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90EF50" id="_x0000_t202" coordsize="21600,21600" o:spt="202" path="m,l,21600r21600,l21600,xe">
                <v:stroke joinstyle="miter"/>
                <v:path gradientshapeok="t" o:connecttype="rect"/>
              </v:shapetype>
              <v:shape id="Zone de texte 2" o:spid="_x0000_s1026" type="#_x0000_t202" style="position:absolute;margin-left:292.9pt;margin-top:171.9pt;width:31.05pt;height:11.6pt;rotation:-3113616fd;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" stroked="f">
                <v:textbox inset="1mm,0,1mm,0">
                  <w:txbxContent>
                    <w:p w14:paraId="46421A29" w14:textId="79948570" w:rsidR="00B7108F" w:rsidRPr="00982AA5" w:rsidRDefault="00B7108F" w:rsidP="00B7108F">
                      <w:pPr>
                        <w:rPr>
                          <w:rFonts w:asciiTheme="minorHAnsi" w:hAnsiTheme="minorHAnsi" w:cstheme="minorHAnsi"/>
                          <w:color w:val="595959" w:themeColor="text1" w:themeTint="A6"/>
                          <w:sz w:val="16"/>
                          <w:szCs w:val="16"/>
                        </w:rPr>
                      </w:pPr>
                    </w:p>
                  </w:txbxContent>
                </v:textbox>
                <w10:wrap type="through" anchorx="margin"/>
                <w10:anchorlock/>
              </v:shape>
            </w:pict>
          </mc:Fallback>
        </mc:AlternateContent>
      </w:r>
      <w:r w:rsidRPr="00982AA5">
        <w:rPr>
          <w:rFonts w:cs="Arial"/>
          <w:noProof/>
          <w:szCs w:val="22"/>
          <w:highlight w:val="yellow"/>
        </w:rPr>
        <mc:AlternateContent>
          <mc:Choice Requires="wps">
            <w:drawing>
              <wp:anchor distT="45720" distB="45720" distL="114300" distR="114300" simplePos="0" relativeHeight="251668480" behindDoc="1" locked="1" layoutInCell="1" allowOverlap="1" wp14:anchorId="74F04F3F" wp14:editId="7BF4F338">
                <wp:simplePos x="0" y="0"/>
                <wp:positionH relativeFrom="margin">
                  <wp:posOffset>3301365</wp:posOffset>
                </wp:positionH>
                <wp:positionV relativeFrom="paragraph">
                  <wp:posOffset>2483485</wp:posOffset>
                </wp:positionV>
                <wp:extent cx="633600" cy="165600"/>
                <wp:effectExtent l="0" t="0" r="0" b="6350"/>
                <wp:wrapThrough wrapText="bothSides">
                  <wp:wrapPolygon edited="0">
                    <wp:start x="0" y="0"/>
                    <wp:lineTo x="0" y="19938"/>
                    <wp:lineTo x="20798" y="19938"/>
                    <wp:lineTo x="20798" y="0"/>
                    <wp:lineTo x="0" y="0"/>
                  </wp:wrapPolygon>
                </wp:wrapThrough>
                <wp:docPr id="18237791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0" cy="165600"/>
                        </a:xfrm>
                        <a:prstGeom prst="rect">
                          <a:avLst/>
                        </a:prstGeom>
                        <a:solidFill>
                          <a:srgbClr val="FFFFFF"/>
                        </a:solidFill>
                        <a:ln w="9525">
                          <a:noFill/>
                          <a:miter lim="800000"/>
                          <a:headEnd/>
                          <a:tailEnd/>
                        </a:ln>
                      </wps:spPr>
                      <wps:txbx>
                        <w:txbxContent>
                          <w:p w14:paraId="16BE53AE" w14:textId="1FDC1FE2" w:rsidR="00B7108F" w:rsidRPr="00B7108F" w:rsidRDefault="00B7108F" w:rsidP="00B7108F">
                            <w:pPr>
                              <w:rPr>
                                <w:rFonts w:asciiTheme="minorHAnsi" w:hAnsiTheme="minorHAnsi" w:cstheme="minorHAnsi"/>
                                <w:color w:val="595959" w:themeColor="text1" w:themeTint="A6"/>
                                <w:sz w:val="18"/>
                                <w:szCs w:val="18"/>
                              </w:rPr>
                            </w:pPr>
                            <w:r w:rsidRPr="00B7108F">
                              <w:rPr>
                                <w:rFonts w:asciiTheme="minorHAnsi" w:hAnsiTheme="minorHAnsi" w:cstheme="minorHAnsi"/>
                                <w:color w:val="595959" w:themeColor="text1" w:themeTint="A6"/>
                                <w:sz w:val="18"/>
                                <w:szCs w:val="18"/>
                              </w:rPr>
                              <w:t>Approuvé</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04F3F" id="_x0000_s1027" type="#_x0000_t202" style="position:absolute;margin-left:259.95pt;margin-top:195.55pt;width:49.9pt;height:13.0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" stroked="f">
                <v:textbox inset="1mm,0,1mm,0">
                  <w:txbxContent>
                    <w:p w14:paraId="16BE53AE" w14:textId="1FDC1FE2" w:rsidR="00B7108F" w:rsidRPr="00B7108F" w:rsidRDefault="00B7108F" w:rsidP="00B7108F">
                      <w:pPr>
                        <w:rPr>
                          <w:rFonts w:asciiTheme="minorHAnsi" w:hAnsiTheme="minorHAnsi" w:cstheme="minorHAnsi"/>
                          <w:color w:val="595959" w:themeColor="text1" w:themeTint="A6"/>
                          <w:sz w:val="18"/>
                          <w:szCs w:val="18"/>
                        </w:rPr>
                      </w:pPr>
                      <w:r w:rsidRPr="00B7108F">
                        <w:rPr>
                          <w:rFonts w:asciiTheme="minorHAnsi" w:hAnsiTheme="minorHAnsi" w:cstheme="minorHAnsi"/>
                          <w:color w:val="595959" w:themeColor="text1" w:themeTint="A6"/>
                          <w:sz w:val="18"/>
                          <w:szCs w:val="18"/>
                        </w:rPr>
                        <w:t>Approuvé</w:t>
                      </w:r>
                    </w:p>
                  </w:txbxContent>
                </v:textbox>
                <w10:wrap type="through" anchorx="margin"/>
                <w10:anchorlock/>
              </v:shape>
            </w:pict>
          </mc:Fallback>
        </mc:AlternateContent>
      </w:r>
      <w:r w:rsidR="00982AA5" w:rsidRPr="00982AA5">
        <w:rPr>
          <w:rFonts w:cs="Arial"/>
          <w:noProof/>
          <w:szCs w:val="22"/>
          <w:highlight w:val="yellow"/>
        </w:rPr>
        <mc:AlternateContent>
          <mc:Choice Requires="wps">
            <w:drawing>
              <wp:anchor distT="45720" distB="45720" distL="114300" distR="114300" simplePos="0" relativeHeight="251666432" behindDoc="1" locked="1" layoutInCell="1" allowOverlap="1" wp14:anchorId="2FA7DD94" wp14:editId="7F239956">
                <wp:simplePos x="0" y="0"/>
                <wp:positionH relativeFrom="margin">
                  <wp:posOffset>2023745</wp:posOffset>
                </wp:positionH>
                <wp:positionV relativeFrom="paragraph">
                  <wp:posOffset>1927225</wp:posOffset>
                </wp:positionV>
                <wp:extent cx="889200" cy="388800"/>
                <wp:effectExtent l="250190" t="16510" r="256540" b="27940"/>
                <wp:wrapThrough wrapText="bothSides">
                  <wp:wrapPolygon edited="0">
                    <wp:start x="20831" y="-2083"/>
                    <wp:lineTo x="16142" y="-13795"/>
                    <wp:lineTo x="10681" y="-2352"/>
                    <wp:lineTo x="6304" y="-13283"/>
                    <wp:lineTo x="501" y="-1124"/>
                    <wp:lineTo x="-1179" y="18192"/>
                    <wp:lineTo x="-866" y="18973"/>
                    <wp:lineTo x="697" y="22877"/>
                    <wp:lineTo x="20685" y="22633"/>
                    <wp:lineTo x="25805" y="11905"/>
                    <wp:lineTo x="22395" y="1821"/>
                    <wp:lineTo x="20831" y="-2083"/>
                  </wp:wrapPolygon>
                </wp:wrapThrough>
                <wp:docPr id="13540966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49399">
                          <a:off x="0" y="0"/>
                          <a:ext cx="889200" cy="388800"/>
                        </a:xfrm>
                        <a:prstGeom prst="rect">
                          <a:avLst/>
                        </a:prstGeom>
                        <a:solidFill>
                          <a:srgbClr val="FFFFFF"/>
                        </a:solidFill>
                        <a:ln w="9525">
                          <a:noFill/>
                          <a:miter lim="800000"/>
                          <a:headEnd/>
                          <a:tailEnd/>
                        </a:ln>
                      </wps:spPr>
                      <wps:txbx>
                        <w:txbxContent>
                          <w:p w14:paraId="42C55E2B" w14:textId="7B9A8DAE" w:rsidR="00982AA5" w:rsidRPr="00982AA5" w:rsidRDefault="00982AA5" w:rsidP="00982AA5">
                            <w:pPr>
                              <w:rPr>
                                <w:rFonts w:asciiTheme="minorHAnsi" w:hAnsiTheme="minorHAnsi" w:cstheme="minorHAnsi"/>
                                <w:color w:val="595959" w:themeColor="text1" w:themeTint="A6"/>
                                <w:sz w:val="16"/>
                                <w:szCs w:val="16"/>
                              </w:rPr>
                            </w:pPr>
                            <w:r w:rsidRPr="00982AA5">
                              <w:rPr>
                                <w:rFonts w:asciiTheme="minorHAnsi" w:hAnsiTheme="minorHAnsi" w:cstheme="minorHAnsi"/>
                                <w:color w:val="595959" w:themeColor="text1" w:themeTint="A6"/>
                                <w:sz w:val="16"/>
                                <w:szCs w:val="16"/>
                              </w:rPr>
                              <w:t xml:space="preserve">Coordination </w:t>
                            </w:r>
                            <w:r w:rsidRPr="00982AA5">
                              <w:rPr>
                                <w:rFonts w:asciiTheme="minorHAnsi" w:hAnsiTheme="minorHAnsi" w:cstheme="minorHAnsi"/>
                                <w:color w:val="595959" w:themeColor="text1" w:themeTint="A6"/>
                                <w:sz w:val="16"/>
                                <w:szCs w:val="16"/>
                              </w:rPr>
                              <w:br/>
                              <w:t>du développement</w:t>
                            </w:r>
                            <w:r w:rsidRPr="00982AA5">
                              <w:rPr>
                                <w:rFonts w:asciiTheme="minorHAnsi" w:hAnsiTheme="minorHAnsi" w:cstheme="minorHAnsi"/>
                                <w:color w:val="595959" w:themeColor="text1" w:themeTint="A6"/>
                                <w:sz w:val="16"/>
                                <w:szCs w:val="16"/>
                              </w:rPr>
                              <w:br/>
                              <w:t>des capacités</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7DD94" id="_x0000_s1028" type="#_x0000_t202" style="position:absolute;margin-left:159.35pt;margin-top:151.75pt;width:70pt;height:30.6pt;rotation:-3113616fd;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" stroked="f">
                <v:textbox inset="1mm,0,1mm,0">
                  <w:txbxContent>
                    <w:p w14:paraId="42C55E2B" w14:textId="7B9A8DAE" w:rsidR="00982AA5" w:rsidRPr="00982AA5" w:rsidRDefault="00982AA5" w:rsidP="00982AA5">
                      <w:pPr>
                        <w:rPr>
                          <w:rFonts w:asciiTheme="minorHAnsi" w:hAnsiTheme="minorHAnsi" w:cstheme="minorHAnsi"/>
                          <w:color w:val="595959" w:themeColor="text1" w:themeTint="A6"/>
                          <w:sz w:val="16"/>
                          <w:szCs w:val="16"/>
                        </w:rPr>
                      </w:pPr>
                      <w:r w:rsidRPr="00982AA5">
                        <w:rPr>
                          <w:rFonts w:asciiTheme="minorHAnsi" w:hAnsiTheme="minorHAnsi" w:cstheme="minorHAnsi"/>
                          <w:color w:val="595959" w:themeColor="text1" w:themeTint="A6"/>
                          <w:sz w:val="16"/>
                          <w:szCs w:val="16"/>
                        </w:rPr>
                        <w:t xml:space="preserve">Coordination </w:t>
                      </w:r>
                      <w:r w:rsidRPr="00982AA5">
                        <w:rPr>
                          <w:rFonts w:asciiTheme="minorHAnsi" w:hAnsiTheme="minorHAnsi" w:cstheme="minorHAnsi"/>
                          <w:color w:val="595959" w:themeColor="text1" w:themeTint="A6"/>
                          <w:sz w:val="16"/>
                          <w:szCs w:val="16"/>
                        </w:rPr>
                        <w:br/>
                        <w:t>du développement</w:t>
                      </w:r>
                      <w:r w:rsidRPr="00982AA5">
                        <w:rPr>
                          <w:rFonts w:asciiTheme="minorHAnsi" w:hAnsiTheme="minorHAnsi" w:cstheme="minorHAnsi"/>
                          <w:color w:val="595959" w:themeColor="text1" w:themeTint="A6"/>
                          <w:sz w:val="16"/>
                          <w:szCs w:val="16"/>
                        </w:rPr>
                        <w:br/>
                        <w:t>des capacités</w:t>
                      </w:r>
                    </w:p>
                  </w:txbxContent>
                </v:textbox>
                <w10:wrap type="through" anchorx="margin"/>
                <w10:anchorlock/>
              </v:shape>
            </w:pict>
          </mc:Fallback>
        </mc:AlternateContent>
      </w:r>
      <w:r w:rsidR="00E34310" w:rsidRPr="00592002">
        <w:rPr>
          <w:rFonts w:cs="Arial"/>
          <w:noProof/>
          <w:snapToGrid/>
          <w:szCs w:val="22"/>
        </w:rPr>
        <w:drawing>
          <wp:anchor distT="0" distB="0" distL="114300" distR="114300" simplePos="0" relativeHeight="251661312" behindDoc="0" locked="0" layoutInCell="1" allowOverlap="1" wp14:anchorId="3F5F1197" wp14:editId="6CA757EE">
            <wp:simplePos x="0" y="0"/>
            <wp:positionH relativeFrom="margin">
              <wp:align>center</wp:align>
            </wp:positionH>
            <wp:positionV relativeFrom="paragraph">
              <wp:posOffset>7315</wp:posOffset>
            </wp:positionV>
            <wp:extent cx="4572000" cy="2743200"/>
            <wp:effectExtent l="0" t="0" r="0" b="0"/>
            <wp:wrapSquare wrapText="bothSides"/>
            <wp:docPr id="1753191721" name="Chart 1">
              <a:extLst xmlns:a="http://schemas.openxmlformats.org/drawingml/2006/main">
                <a:ext uri="{FF2B5EF4-FFF2-40B4-BE49-F238E27FC236}">
                  <a16:creationId xmlns:a16="http://schemas.microsoft.com/office/drawing/2014/main" id="{38ABF9F7-0C3F-AD5C-EA05-3993FFEECB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E34310" w:rsidRPr="00592002">
        <w:rPr>
          <w:rFonts w:cs="Arial"/>
          <w:szCs w:val="22"/>
        </w:rPr>
        <w:br w:type="textWrapping" w:clear="all"/>
      </w:r>
    </w:p>
    <w:p w14:paraId="093D6AE3" w14:textId="708DE073" w:rsidR="00222224" w:rsidRPr="00003DE4" w:rsidRDefault="00222224" w:rsidP="002E2CEB">
      <w:pPr>
        <w:pStyle w:val="ListParagraph"/>
        <w:tabs>
          <w:tab w:val="left" w:pos="567"/>
        </w:tabs>
        <w:snapToGrid w:val="0"/>
        <w:spacing w:after="240" w:line="240" w:lineRule="auto"/>
        <w:ind w:left="0"/>
        <w:contextualSpacing w:val="0"/>
        <w:jc w:val="both"/>
        <w:rPr>
          <w:rFonts w:ascii="Arial" w:hAnsi="Arial" w:cs="Arial"/>
          <w:lang w:val="fr-FR"/>
        </w:rPr>
      </w:pPr>
      <w:r w:rsidRPr="00003DE4">
        <w:rPr>
          <w:rFonts w:ascii="Arial" w:hAnsi="Arial" w:cs="Arial"/>
          <w:lang w:val="fr-FR"/>
        </w:rPr>
        <w:t>6.</w:t>
      </w:r>
      <w:r w:rsidRPr="00003DE4">
        <w:rPr>
          <w:rFonts w:ascii="Arial" w:hAnsi="Arial" w:cs="Arial"/>
          <w:lang w:val="fr-FR"/>
        </w:rPr>
        <w:tab/>
      </w:r>
      <w:r w:rsidR="00E34310" w:rsidRPr="00003DE4">
        <w:rPr>
          <w:rFonts w:ascii="Arial" w:hAnsi="Arial" w:cs="Arial"/>
          <w:lang w:val="fr-FR"/>
        </w:rPr>
        <w:t xml:space="preserve">L’application des enseignements et des connaissances, qui constitue le deuxième volet de notre mandat, acquiert une importance grandissante en raison du renforcement du paysage de la gouvernance mondiale des océans et de la pertinence accrue des politiques et des mécanismes de gouvernance régionaux. Le </w:t>
      </w:r>
      <w:r w:rsidR="00506EE9" w:rsidRPr="00003DE4">
        <w:rPr>
          <w:rFonts w:ascii="Arial" w:hAnsi="Arial" w:cs="Arial"/>
          <w:lang w:val="fr-FR"/>
        </w:rPr>
        <w:t>développ</w:t>
      </w:r>
      <w:r w:rsidR="00E34310" w:rsidRPr="00003DE4">
        <w:rPr>
          <w:rFonts w:ascii="Arial" w:hAnsi="Arial" w:cs="Arial"/>
          <w:lang w:val="fr-FR"/>
        </w:rPr>
        <w:t>ement des activités de la COI en matière d’observations et de données océaniques se traduit par des produits et des services qui soutiennent, par exemple, la composante de surveillance marine du Cadre mondial de la biodiversité de Kunming-Montréal</w:t>
      </w:r>
      <w:r w:rsidR="00506EE9" w:rsidRPr="00003DE4">
        <w:rPr>
          <w:rFonts w:ascii="Arial" w:hAnsi="Arial" w:cs="Arial"/>
          <w:lang w:val="fr-FR"/>
        </w:rPr>
        <w:t>,</w:t>
      </w:r>
      <w:r w:rsidR="00E34310" w:rsidRPr="00003DE4">
        <w:rPr>
          <w:rFonts w:ascii="Arial" w:hAnsi="Arial" w:cs="Arial"/>
          <w:lang w:val="fr-FR"/>
        </w:rPr>
        <w:t xml:space="preserve"> </w:t>
      </w:r>
      <w:r w:rsidR="00506EE9" w:rsidRPr="00003DE4">
        <w:rPr>
          <w:rFonts w:ascii="Arial" w:hAnsi="Arial" w:cs="Arial"/>
          <w:lang w:val="fr-FR"/>
        </w:rPr>
        <w:t>ou</w:t>
      </w:r>
      <w:r w:rsidR="00E34310" w:rsidRPr="00003DE4">
        <w:rPr>
          <w:rFonts w:ascii="Arial" w:hAnsi="Arial" w:cs="Arial"/>
          <w:lang w:val="fr-FR"/>
        </w:rPr>
        <w:t xml:space="preserve"> </w:t>
      </w:r>
      <w:r w:rsidR="00506EE9" w:rsidRPr="00003DE4">
        <w:rPr>
          <w:rFonts w:ascii="Arial" w:hAnsi="Arial" w:cs="Arial"/>
          <w:lang w:val="fr-FR"/>
        </w:rPr>
        <w:t xml:space="preserve">encore </w:t>
      </w:r>
      <w:r w:rsidR="00E34310" w:rsidRPr="00003DE4">
        <w:rPr>
          <w:rFonts w:ascii="Arial" w:hAnsi="Arial" w:cs="Arial"/>
          <w:lang w:val="fr-FR"/>
        </w:rPr>
        <w:t xml:space="preserve">l’application du traité relatif à la biodiversité marine des zones ne relevant pas de la juridiction </w:t>
      </w:r>
      <w:r w:rsidR="00E34310" w:rsidRPr="00003DE4">
        <w:rPr>
          <w:rFonts w:ascii="Arial" w:hAnsi="Arial" w:cs="Arial"/>
          <w:lang w:val="fr-FR"/>
        </w:rPr>
        <w:lastRenderedPageBreak/>
        <w:t xml:space="preserve">nationale et des cadres relatifs à la pollution, et qui consolident le rôle de la COI en tant que partenaire mondial du savoir pour la planification durable de l’océan. En parallèle, nous progressons dans l’important processus de réforme du GOOS, qui vise à l’adapter à l’évolution rapide de l’océan et aux conséquences </w:t>
      </w:r>
      <w:r w:rsidR="00382419" w:rsidRPr="00003DE4">
        <w:rPr>
          <w:rFonts w:ascii="Arial" w:hAnsi="Arial" w:cs="Arial"/>
          <w:lang w:val="fr-FR"/>
        </w:rPr>
        <w:t>de cette transformation</w:t>
      </w:r>
      <w:r w:rsidR="00E34310" w:rsidRPr="00003DE4">
        <w:rPr>
          <w:rFonts w:ascii="Arial" w:hAnsi="Arial" w:cs="Arial"/>
          <w:lang w:val="fr-FR"/>
        </w:rPr>
        <w:t xml:space="preserve"> sur les communautés et les économies terrestres. Nous </w:t>
      </w:r>
      <w:r w:rsidR="00382419" w:rsidRPr="00003DE4">
        <w:rPr>
          <w:rFonts w:ascii="Arial" w:hAnsi="Arial" w:cs="Arial"/>
          <w:lang w:val="fr-FR"/>
        </w:rPr>
        <w:t>nous employons</w:t>
      </w:r>
      <w:r w:rsidR="00E34310" w:rsidRPr="00003DE4">
        <w:rPr>
          <w:rFonts w:ascii="Arial" w:hAnsi="Arial" w:cs="Arial"/>
          <w:lang w:val="fr-FR"/>
        </w:rPr>
        <w:t xml:space="preserve"> également à mettre en place une architecture intégrée de données de la COI (point</w:t>
      </w:r>
      <w:r w:rsidR="00DB1767" w:rsidRPr="00003DE4">
        <w:rPr>
          <w:rFonts w:ascii="Arial" w:hAnsi="Arial" w:cs="Arial"/>
          <w:lang w:val="fr-FR"/>
        </w:rPr>
        <w:t> </w:t>
      </w:r>
      <w:r w:rsidR="00E34310" w:rsidRPr="00003DE4">
        <w:rPr>
          <w:rFonts w:ascii="Arial" w:hAnsi="Arial" w:cs="Arial"/>
          <w:lang w:val="fr-FR"/>
        </w:rPr>
        <w:t xml:space="preserve">3.4.3 de l’ordre du jour de cette session), capable de mieux répondre aux besoins des décideurs et des gestionnaires de l’océan. </w:t>
      </w:r>
    </w:p>
    <w:p w14:paraId="07FF323B" w14:textId="2511BD49" w:rsidR="00222224" w:rsidRPr="00003DE4" w:rsidRDefault="00222224" w:rsidP="002E2CEB">
      <w:pPr>
        <w:pStyle w:val="ListParagraph"/>
        <w:tabs>
          <w:tab w:val="left" w:pos="567"/>
        </w:tabs>
        <w:snapToGrid w:val="0"/>
        <w:spacing w:after="240" w:line="240" w:lineRule="auto"/>
        <w:ind w:left="0"/>
        <w:contextualSpacing w:val="0"/>
        <w:jc w:val="both"/>
        <w:rPr>
          <w:rFonts w:ascii="Arial" w:hAnsi="Arial" w:cs="Arial"/>
          <w:lang w:val="fr-FR"/>
        </w:rPr>
      </w:pPr>
      <w:r w:rsidRPr="00003DE4">
        <w:rPr>
          <w:rFonts w:ascii="Arial" w:hAnsi="Arial" w:cs="Arial"/>
          <w:lang w:val="fr-FR"/>
        </w:rPr>
        <w:t>7.</w:t>
      </w:r>
      <w:r w:rsidRPr="00003DE4">
        <w:rPr>
          <w:rFonts w:ascii="Arial" w:hAnsi="Arial" w:cs="Arial"/>
          <w:lang w:val="fr-FR"/>
        </w:rPr>
        <w:tab/>
      </w:r>
      <w:r w:rsidR="00E34310" w:rsidRPr="00003DE4">
        <w:rPr>
          <w:rFonts w:ascii="Arial" w:hAnsi="Arial" w:cs="Arial"/>
          <w:lang w:val="fr-FR"/>
        </w:rPr>
        <w:t>Ce double objectif d’apprentissage et d’application transparaît dans la</w:t>
      </w:r>
      <w:r w:rsidR="00E34310" w:rsidRPr="00003DE4">
        <w:rPr>
          <w:rFonts w:ascii="Arial" w:hAnsi="Arial" w:cs="Arial"/>
          <w:i/>
          <w:iCs/>
          <w:lang w:val="fr-FR"/>
        </w:rPr>
        <w:t xml:space="preserve"> </w:t>
      </w:r>
      <w:hyperlink r:id="rId11" w:history="1">
        <w:r w:rsidR="00E34310" w:rsidRPr="00003DE4">
          <w:rPr>
            <w:rStyle w:val="Hyperlink"/>
            <w:rFonts w:ascii="Arial" w:hAnsi="Arial" w:cs="Arial"/>
            <w:i/>
            <w:iCs/>
            <w:lang w:val="fr-FR"/>
          </w:rPr>
          <w:t>Stratégie à moyen terme de la COI</w:t>
        </w:r>
      </w:hyperlink>
      <w:r w:rsidR="00E34310" w:rsidRPr="00003DE4">
        <w:rPr>
          <w:rFonts w:ascii="Arial" w:hAnsi="Arial" w:cs="Arial"/>
          <w:lang w:val="fr-FR"/>
        </w:rPr>
        <w:t xml:space="preserve"> et </w:t>
      </w:r>
      <w:r w:rsidR="00506EE9" w:rsidRPr="00003DE4">
        <w:rPr>
          <w:rFonts w:ascii="Arial" w:hAnsi="Arial" w:cs="Arial"/>
          <w:lang w:val="fr-FR"/>
        </w:rPr>
        <w:t>correspond à</w:t>
      </w:r>
      <w:r w:rsidR="00E34310" w:rsidRPr="00003DE4">
        <w:rPr>
          <w:rFonts w:ascii="Arial" w:hAnsi="Arial" w:cs="Arial"/>
          <w:lang w:val="fr-FR"/>
        </w:rPr>
        <w:t xml:space="preserve"> </w:t>
      </w:r>
      <w:r w:rsidR="00506EE9" w:rsidRPr="00003DE4">
        <w:rPr>
          <w:rFonts w:ascii="Arial" w:hAnsi="Arial" w:cs="Arial"/>
          <w:lang w:val="fr-FR"/>
        </w:rPr>
        <w:t>la visée</w:t>
      </w:r>
      <w:r w:rsidR="00E34310" w:rsidRPr="00003DE4">
        <w:rPr>
          <w:rFonts w:ascii="Arial" w:hAnsi="Arial" w:cs="Arial"/>
          <w:lang w:val="fr-FR"/>
        </w:rPr>
        <w:t xml:space="preserve"> de la Décennie des Nations</w:t>
      </w:r>
      <w:r w:rsidR="002E2CEB">
        <w:rPr>
          <w:rFonts w:ascii="Arial" w:hAnsi="Arial" w:cs="Arial"/>
          <w:lang w:val="fr-FR"/>
        </w:rPr>
        <w:t> </w:t>
      </w:r>
      <w:r w:rsidR="00E34310" w:rsidRPr="00003DE4">
        <w:rPr>
          <w:rFonts w:ascii="Arial" w:hAnsi="Arial" w:cs="Arial"/>
          <w:lang w:val="fr-FR"/>
        </w:rPr>
        <w:t>Unies pour les sciences océaniques au service du développement durable</w:t>
      </w:r>
      <w:r w:rsidR="002E2CEB">
        <w:rPr>
          <w:rFonts w:ascii="Arial" w:hAnsi="Arial" w:cs="Arial"/>
          <w:lang w:val="fr-FR"/>
        </w:rPr>
        <w:t> </w:t>
      </w:r>
      <w:r w:rsidR="00E34310" w:rsidRPr="00003DE4">
        <w:rPr>
          <w:rFonts w:ascii="Arial" w:hAnsi="Arial" w:cs="Arial"/>
          <w:lang w:val="fr-FR"/>
        </w:rPr>
        <w:t xml:space="preserve">(2021-2030), qui </w:t>
      </w:r>
      <w:r w:rsidR="00506EE9" w:rsidRPr="00003DE4">
        <w:rPr>
          <w:rFonts w:ascii="Arial" w:hAnsi="Arial" w:cs="Arial"/>
          <w:lang w:val="fr-FR"/>
        </w:rPr>
        <w:t>est de</w:t>
      </w:r>
      <w:r w:rsidR="00E34310" w:rsidRPr="00003DE4">
        <w:rPr>
          <w:rFonts w:ascii="Arial" w:hAnsi="Arial" w:cs="Arial"/>
          <w:lang w:val="fr-FR"/>
        </w:rPr>
        <w:t xml:space="preserve"> créer la science nécessaire à la prise des décisions requises pour un océan durable. Les programmes et projets menés par la COI </w:t>
      </w:r>
      <w:r w:rsidR="00C84FC1" w:rsidRPr="00003DE4">
        <w:rPr>
          <w:rFonts w:ascii="Arial" w:hAnsi="Arial" w:cs="Arial"/>
          <w:lang w:val="fr-FR"/>
        </w:rPr>
        <w:t>au titre</w:t>
      </w:r>
      <w:r w:rsidR="00E34310" w:rsidRPr="00003DE4">
        <w:rPr>
          <w:rFonts w:ascii="Arial" w:hAnsi="Arial" w:cs="Arial"/>
          <w:lang w:val="fr-FR"/>
        </w:rPr>
        <w:t xml:space="preserve"> de la Décennie de l’Océan vont de l’observation à la recherche, en passant par la planification durable de l’océan. Ils constituent des laboratoires d’expérimentation d’approches transformatrices de la production de connaissances actualisées, pertinentes et élaborées conjointement qui sont directement applicables </w:t>
      </w:r>
      <w:r w:rsidR="00506EE9" w:rsidRPr="00003DE4">
        <w:rPr>
          <w:rFonts w:ascii="Arial" w:hAnsi="Arial" w:cs="Arial"/>
          <w:lang w:val="fr-FR"/>
        </w:rPr>
        <w:t>à</w:t>
      </w:r>
      <w:r w:rsidR="00E34310" w:rsidRPr="00003DE4">
        <w:rPr>
          <w:rFonts w:ascii="Arial" w:hAnsi="Arial" w:cs="Arial"/>
          <w:lang w:val="fr-FR"/>
        </w:rPr>
        <w:t xml:space="preserve"> la prise de décisions. Les diverses communautés de parties prenantes qui évoluent dans le cadre des processus de la Décennie de l’Océan constitueront </w:t>
      </w:r>
      <w:r w:rsidR="00C84FC1" w:rsidRPr="00003DE4">
        <w:rPr>
          <w:rFonts w:ascii="Arial" w:hAnsi="Arial" w:cs="Arial"/>
          <w:lang w:val="fr-FR"/>
        </w:rPr>
        <w:t xml:space="preserve">des réseaux importants </w:t>
      </w:r>
      <w:r w:rsidR="00D22C72" w:rsidRPr="00003DE4">
        <w:rPr>
          <w:rFonts w:ascii="Arial" w:hAnsi="Arial" w:cs="Arial"/>
          <w:lang w:val="fr-FR"/>
        </w:rPr>
        <w:t xml:space="preserve">pour la COI </w:t>
      </w:r>
      <w:r w:rsidR="00E34310" w:rsidRPr="00003DE4">
        <w:rPr>
          <w:rFonts w:ascii="Arial" w:hAnsi="Arial" w:cs="Arial"/>
          <w:lang w:val="fr-FR"/>
        </w:rPr>
        <w:t>dans la période qui suivra la Décennie</w:t>
      </w:r>
      <w:r w:rsidR="00D22C72" w:rsidRPr="00003DE4">
        <w:rPr>
          <w:rFonts w:ascii="Arial" w:hAnsi="Arial" w:cs="Arial"/>
          <w:lang w:val="fr-FR"/>
        </w:rPr>
        <w:t>,</w:t>
      </w:r>
      <w:r w:rsidR="00E34310" w:rsidRPr="00003DE4">
        <w:rPr>
          <w:rFonts w:ascii="Arial" w:hAnsi="Arial" w:cs="Arial"/>
          <w:lang w:val="fr-FR"/>
        </w:rPr>
        <w:t xml:space="preserve"> </w:t>
      </w:r>
      <w:r w:rsidR="00C84FC1" w:rsidRPr="00003DE4">
        <w:rPr>
          <w:rFonts w:ascii="Arial" w:hAnsi="Arial" w:cs="Arial"/>
          <w:lang w:val="fr-FR"/>
        </w:rPr>
        <w:t>s’agissant</w:t>
      </w:r>
      <w:r w:rsidR="00C5281A" w:rsidRPr="00003DE4">
        <w:rPr>
          <w:rFonts w:ascii="Arial" w:hAnsi="Arial" w:cs="Arial"/>
          <w:lang w:val="fr-FR"/>
        </w:rPr>
        <w:t xml:space="preserve"> </w:t>
      </w:r>
      <w:r w:rsidR="00C84FC1" w:rsidRPr="00003DE4">
        <w:rPr>
          <w:rFonts w:ascii="Arial" w:hAnsi="Arial" w:cs="Arial"/>
          <w:lang w:val="fr-FR"/>
        </w:rPr>
        <w:t xml:space="preserve">de la mise en œuvre de </w:t>
      </w:r>
      <w:r w:rsidR="00C5281A" w:rsidRPr="00003DE4">
        <w:rPr>
          <w:rFonts w:ascii="Arial" w:hAnsi="Arial" w:cs="Arial"/>
          <w:lang w:val="fr-FR"/>
        </w:rPr>
        <w:t>ses activités</w:t>
      </w:r>
      <w:r w:rsidR="00E34310" w:rsidRPr="00003DE4">
        <w:rPr>
          <w:rFonts w:ascii="Arial" w:hAnsi="Arial" w:cs="Arial"/>
          <w:lang w:val="fr-FR"/>
        </w:rPr>
        <w:t xml:space="preserve"> </w:t>
      </w:r>
      <w:r w:rsidR="00C84FC1" w:rsidRPr="00003DE4">
        <w:rPr>
          <w:rFonts w:ascii="Arial" w:hAnsi="Arial" w:cs="Arial"/>
          <w:lang w:val="fr-FR"/>
        </w:rPr>
        <w:t>destinées</w:t>
      </w:r>
      <w:r w:rsidR="00E34310" w:rsidRPr="00003DE4">
        <w:rPr>
          <w:rFonts w:ascii="Arial" w:hAnsi="Arial" w:cs="Arial"/>
          <w:lang w:val="fr-FR"/>
        </w:rPr>
        <w:t xml:space="preserve"> à </w:t>
      </w:r>
      <w:r w:rsidR="006575AB" w:rsidRPr="00003DE4">
        <w:rPr>
          <w:rFonts w:ascii="Arial" w:hAnsi="Arial" w:cs="Arial"/>
          <w:lang w:val="fr-FR"/>
        </w:rPr>
        <w:t>améliorer</w:t>
      </w:r>
      <w:r w:rsidR="00E34310" w:rsidRPr="00003DE4">
        <w:rPr>
          <w:rFonts w:ascii="Arial" w:hAnsi="Arial" w:cs="Arial"/>
          <w:lang w:val="fr-FR"/>
        </w:rPr>
        <w:t xml:space="preserve"> la production de connaissances et leur application. La Décennie de l’Océan fournit </w:t>
      </w:r>
      <w:r w:rsidR="00C84FC1" w:rsidRPr="00003DE4">
        <w:rPr>
          <w:rFonts w:ascii="Arial" w:hAnsi="Arial" w:cs="Arial"/>
          <w:lang w:val="fr-FR"/>
        </w:rPr>
        <w:t>ainsi</w:t>
      </w:r>
      <w:r w:rsidR="00E34310" w:rsidRPr="00003DE4">
        <w:rPr>
          <w:rFonts w:ascii="Arial" w:hAnsi="Arial" w:cs="Arial"/>
          <w:lang w:val="fr-FR"/>
        </w:rPr>
        <w:t xml:space="preserve"> </w:t>
      </w:r>
      <w:r w:rsidR="00D22C72" w:rsidRPr="00003DE4">
        <w:rPr>
          <w:rFonts w:ascii="Arial" w:hAnsi="Arial" w:cs="Arial"/>
          <w:lang w:val="fr-FR"/>
        </w:rPr>
        <w:t xml:space="preserve">un cadre </w:t>
      </w:r>
      <w:r w:rsidR="00E34310" w:rsidRPr="00003DE4">
        <w:rPr>
          <w:rFonts w:ascii="Arial" w:hAnsi="Arial" w:cs="Arial"/>
          <w:lang w:val="fr-FR"/>
        </w:rPr>
        <w:t>aux programmes de la C</w:t>
      </w:r>
      <w:r w:rsidR="00D22C72" w:rsidRPr="00003DE4">
        <w:rPr>
          <w:rFonts w:ascii="Arial" w:hAnsi="Arial" w:cs="Arial"/>
          <w:lang w:val="fr-FR"/>
        </w:rPr>
        <w:t>ommission</w:t>
      </w:r>
      <w:r w:rsidR="00E34310" w:rsidRPr="00003DE4">
        <w:rPr>
          <w:rFonts w:ascii="Arial" w:hAnsi="Arial" w:cs="Arial"/>
          <w:lang w:val="fr-FR"/>
        </w:rPr>
        <w:t xml:space="preserve"> pour </w:t>
      </w:r>
      <w:r w:rsidR="00C84FC1" w:rsidRPr="00003DE4">
        <w:rPr>
          <w:rFonts w:ascii="Arial" w:hAnsi="Arial" w:cs="Arial"/>
          <w:lang w:val="fr-FR"/>
        </w:rPr>
        <w:t>travailler</w:t>
      </w:r>
      <w:r w:rsidR="006575AB" w:rsidRPr="00003DE4">
        <w:rPr>
          <w:rFonts w:ascii="Arial" w:hAnsi="Arial" w:cs="Arial"/>
          <w:lang w:val="fr-FR"/>
        </w:rPr>
        <w:t xml:space="preserve"> </w:t>
      </w:r>
      <w:r w:rsidR="00C84FC1" w:rsidRPr="00003DE4">
        <w:rPr>
          <w:rFonts w:ascii="Arial" w:hAnsi="Arial" w:cs="Arial"/>
          <w:lang w:val="fr-FR"/>
        </w:rPr>
        <w:t xml:space="preserve">sur des questions émergentes </w:t>
      </w:r>
      <w:r w:rsidR="006575AB" w:rsidRPr="00003DE4">
        <w:rPr>
          <w:rFonts w:ascii="Arial" w:hAnsi="Arial" w:cs="Arial"/>
          <w:lang w:val="fr-FR"/>
        </w:rPr>
        <w:t>selon</w:t>
      </w:r>
      <w:r w:rsidR="00E34310" w:rsidRPr="00003DE4">
        <w:rPr>
          <w:rFonts w:ascii="Arial" w:hAnsi="Arial" w:cs="Arial"/>
          <w:lang w:val="fr-FR"/>
        </w:rPr>
        <w:t xml:space="preserve"> de nouvelles m</w:t>
      </w:r>
      <w:r w:rsidR="006575AB" w:rsidRPr="00003DE4">
        <w:rPr>
          <w:rFonts w:ascii="Arial" w:hAnsi="Arial" w:cs="Arial"/>
          <w:lang w:val="fr-FR"/>
        </w:rPr>
        <w:t>odalités</w:t>
      </w:r>
      <w:r w:rsidR="00C84FC1" w:rsidRPr="00003DE4">
        <w:rPr>
          <w:rFonts w:ascii="Arial" w:hAnsi="Arial" w:cs="Arial"/>
          <w:lang w:val="fr-FR"/>
        </w:rPr>
        <w:t xml:space="preserve"> et</w:t>
      </w:r>
      <w:r w:rsidR="00E34310" w:rsidRPr="00003DE4">
        <w:rPr>
          <w:rFonts w:ascii="Arial" w:hAnsi="Arial" w:cs="Arial"/>
          <w:lang w:val="fr-FR"/>
        </w:rPr>
        <w:t xml:space="preserve"> avec de nouveaux partenaires</w:t>
      </w:r>
      <w:r w:rsidR="006575AB" w:rsidRPr="00003DE4">
        <w:rPr>
          <w:rFonts w:ascii="Arial" w:hAnsi="Arial" w:cs="Arial"/>
          <w:lang w:val="fr-FR"/>
        </w:rPr>
        <w:t xml:space="preserve">, </w:t>
      </w:r>
      <w:r w:rsidR="00E34310" w:rsidRPr="00003DE4">
        <w:rPr>
          <w:rFonts w:ascii="Arial" w:hAnsi="Arial" w:cs="Arial"/>
          <w:lang w:val="fr-FR"/>
        </w:rPr>
        <w:t>jetant ainsi les bases de la future COI, qui sera notre héritage après la fin de la Décennie. Le travail de consultation demandé par le Conseil exécutif dans le cadre du processus « La COI et l’avenir de l’océan » (point</w:t>
      </w:r>
      <w:r w:rsidR="00DB1767" w:rsidRPr="00003DE4">
        <w:rPr>
          <w:rFonts w:ascii="Arial" w:hAnsi="Arial" w:cs="Arial"/>
          <w:lang w:val="fr-FR"/>
        </w:rPr>
        <w:t> </w:t>
      </w:r>
      <w:r w:rsidR="00E34310" w:rsidRPr="00003DE4">
        <w:rPr>
          <w:rFonts w:ascii="Arial" w:hAnsi="Arial" w:cs="Arial"/>
          <w:lang w:val="fr-FR"/>
        </w:rPr>
        <w:t xml:space="preserve">5.3 de l’ordre du jour de cette session) permettra de </w:t>
      </w:r>
      <w:r w:rsidR="00924E6C" w:rsidRPr="00003DE4">
        <w:rPr>
          <w:rFonts w:ascii="Arial" w:hAnsi="Arial" w:cs="Arial"/>
          <w:lang w:val="fr-FR"/>
        </w:rPr>
        <w:t>veiller à ce</w:t>
      </w:r>
      <w:r w:rsidR="00E34310" w:rsidRPr="00003DE4">
        <w:rPr>
          <w:rFonts w:ascii="Arial" w:hAnsi="Arial" w:cs="Arial"/>
          <w:lang w:val="fr-FR"/>
        </w:rPr>
        <w:t xml:space="preserve"> que les connaissances et l’expérience acquises grâce à la Décennie de l’Océan p</w:t>
      </w:r>
      <w:r w:rsidR="00924E6C" w:rsidRPr="00003DE4">
        <w:rPr>
          <w:rFonts w:ascii="Arial" w:hAnsi="Arial" w:cs="Arial"/>
          <w:lang w:val="fr-FR"/>
        </w:rPr>
        <w:t>uisse</w:t>
      </w:r>
      <w:r w:rsidR="00E34310" w:rsidRPr="00003DE4">
        <w:rPr>
          <w:rFonts w:ascii="Arial" w:hAnsi="Arial" w:cs="Arial"/>
          <w:lang w:val="fr-FR"/>
        </w:rPr>
        <w:t>nt être mises à profit pour répondre à l’évolution des besoins et des attentes des États membres.</w:t>
      </w:r>
    </w:p>
    <w:p w14:paraId="59771449" w14:textId="08C2BB4C" w:rsidR="00222224" w:rsidRPr="00003DE4" w:rsidRDefault="00222224" w:rsidP="002E2CEB">
      <w:pPr>
        <w:pStyle w:val="ListParagraph"/>
        <w:tabs>
          <w:tab w:val="left" w:pos="567"/>
        </w:tabs>
        <w:snapToGrid w:val="0"/>
        <w:spacing w:after="240" w:line="240" w:lineRule="auto"/>
        <w:ind w:left="0"/>
        <w:contextualSpacing w:val="0"/>
        <w:jc w:val="both"/>
        <w:rPr>
          <w:rFonts w:ascii="Arial" w:hAnsi="Arial" w:cs="Arial"/>
          <w:lang w:val="fr-FR"/>
        </w:rPr>
      </w:pPr>
      <w:r w:rsidRPr="00003DE4">
        <w:rPr>
          <w:rFonts w:ascii="Arial" w:hAnsi="Arial" w:cs="Arial"/>
          <w:lang w:val="fr-FR"/>
        </w:rPr>
        <w:t>8.</w:t>
      </w:r>
      <w:r w:rsidRPr="00003DE4">
        <w:rPr>
          <w:rFonts w:ascii="Arial" w:hAnsi="Arial" w:cs="Arial"/>
          <w:lang w:val="fr-FR"/>
        </w:rPr>
        <w:tab/>
      </w:r>
      <w:r w:rsidR="00E34310" w:rsidRPr="00003DE4">
        <w:rPr>
          <w:rFonts w:ascii="Arial" w:hAnsi="Arial" w:cs="Arial"/>
          <w:lang w:val="fr-FR"/>
        </w:rPr>
        <w:t xml:space="preserve">L’un des principaux objectifs de notre travail étant de parvenir à une interaction plus efficace, plus rapide et plus dynamique entre les connaissances, la prise de décisions et la gestion dans le domaine des océans, </w:t>
      </w:r>
      <w:r w:rsidR="00924E6C" w:rsidRPr="00003DE4">
        <w:rPr>
          <w:rFonts w:ascii="Arial" w:hAnsi="Arial" w:cs="Arial"/>
          <w:lang w:val="fr-FR"/>
        </w:rPr>
        <w:t>il nous faut</w:t>
      </w:r>
      <w:r w:rsidR="00E34310" w:rsidRPr="00003DE4">
        <w:rPr>
          <w:rFonts w:ascii="Arial" w:hAnsi="Arial" w:cs="Arial"/>
          <w:lang w:val="fr-FR"/>
        </w:rPr>
        <w:t xml:space="preserve"> également nous demander si </w:t>
      </w:r>
      <w:r w:rsidR="00E34310" w:rsidRPr="00003DE4">
        <w:rPr>
          <w:rFonts w:ascii="Arial" w:hAnsi="Arial" w:cs="Arial"/>
          <w:i/>
          <w:iCs/>
          <w:lang w:val="fr-FR"/>
        </w:rPr>
        <w:t>notre façon de travailler</w:t>
      </w:r>
      <w:r w:rsidR="00E34310" w:rsidRPr="00003DE4">
        <w:rPr>
          <w:rFonts w:ascii="Arial" w:hAnsi="Arial" w:cs="Arial"/>
          <w:lang w:val="fr-FR"/>
        </w:rPr>
        <w:t xml:space="preserve"> peut </w:t>
      </w:r>
      <w:r w:rsidR="00B47555" w:rsidRPr="00003DE4">
        <w:rPr>
          <w:rFonts w:ascii="Arial" w:hAnsi="Arial" w:cs="Arial"/>
          <w:lang w:val="fr-FR"/>
        </w:rPr>
        <w:t xml:space="preserve">elle </w:t>
      </w:r>
      <w:r w:rsidR="00E34310" w:rsidRPr="00003DE4">
        <w:rPr>
          <w:rFonts w:ascii="Arial" w:hAnsi="Arial" w:cs="Arial"/>
          <w:lang w:val="fr-FR"/>
        </w:rPr>
        <w:t>aussi être plus efficace, plus rapide et plus dynamique. Il était donc bienvenu que le Conseil exécutif demand</w:t>
      </w:r>
      <w:r w:rsidR="00B47555" w:rsidRPr="00003DE4">
        <w:rPr>
          <w:rFonts w:ascii="Arial" w:hAnsi="Arial" w:cs="Arial"/>
          <w:lang w:val="fr-FR"/>
        </w:rPr>
        <w:t>e</w:t>
      </w:r>
      <w:r w:rsidR="00E34310" w:rsidRPr="00003DE4">
        <w:rPr>
          <w:rFonts w:ascii="Arial" w:hAnsi="Arial" w:cs="Arial"/>
          <w:lang w:val="fr-FR"/>
        </w:rPr>
        <w:t>, l’année dernière, une évaluation externe de la gouvernance et de la gestion de la COI (point</w:t>
      </w:r>
      <w:r w:rsidR="00DB1767" w:rsidRPr="00003DE4">
        <w:rPr>
          <w:rFonts w:ascii="Arial" w:hAnsi="Arial" w:cs="Arial"/>
          <w:lang w:val="fr-FR"/>
        </w:rPr>
        <w:t> </w:t>
      </w:r>
      <w:r w:rsidR="00E34310" w:rsidRPr="00003DE4">
        <w:rPr>
          <w:rFonts w:ascii="Arial" w:hAnsi="Arial" w:cs="Arial"/>
          <w:lang w:val="fr-FR"/>
        </w:rPr>
        <w:t xml:space="preserve">5.2 de l’ordre du jour de </w:t>
      </w:r>
      <w:r w:rsidR="00B47555" w:rsidRPr="00003DE4">
        <w:rPr>
          <w:rFonts w:ascii="Arial" w:hAnsi="Arial" w:cs="Arial"/>
          <w:lang w:val="fr-FR"/>
        </w:rPr>
        <w:t>cette</w:t>
      </w:r>
      <w:r w:rsidR="00E34310" w:rsidRPr="00003DE4">
        <w:rPr>
          <w:rFonts w:ascii="Arial" w:hAnsi="Arial" w:cs="Arial"/>
          <w:lang w:val="fr-FR"/>
        </w:rPr>
        <w:t xml:space="preserve"> session) en vue « de rationaliser les opérations et d’optimiser l’utilisation des ressources, de façon à fournir la réponse la plus adaptée face à l’évolution rapide de l’agenda relatif à l’océan et aux demandes croissantes des États membres et des processus multilatéraux »</w:t>
      </w:r>
      <w:r w:rsidRPr="00003DE4">
        <w:rPr>
          <w:rFonts w:ascii="Arial" w:hAnsi="Arial" w:cs="Arial"/>
          <w:lang w:val="fr-FR"/>
        </w:rPr>
        <w:t>.</w:t>
      </w:r>
    </w:p>
    <w:p w14:paraId="12EA4614" w14:textId="6C848859" w:rsidR="00E34310" w:rsidRPr="00003DE4" w:rsidRDefault="00222224" w:rsidP="002E2CEB">
      <w:pPr>
        <w:pStyle w:val="ListParagraph"/>
        <w:tabs>
          <w:tab w:val="left" w:pos="567"/>
        </w:tabs>
        <w:snapToGrid w:val="0"/>
        <w:spacing w:after="240" w:line="240" w:lineRule="auto"/>
        <w:ind w:left="0"/>
        <w:contextualSpacing w:val="0"/>
        <w:jc w:val="both"/>
        <w:rPr>
          <w:rFonts w:ascii="Arial" w:hAnsi="Arial" w:cs="Arial"/>
          <w:lang w:val="fr-FR"/>
        </w:rPr>
      </w:pPr>
      <w:r w:rsidRPr="00003DE4">
        <w:rPr>
          <w:rFonts w:ascii="Arial" w:hAnsi="Arial" w:cs="Arial"/>
          <w:lang w:val="fr-FR"/>
        </w:rPr>
        <w:t>9.</w:t>
      </w:r>
      <w:r w:rsidRPr="00003DE4">
        <w:rPr>
          <w:rFonts w:ascii="Arial" w:hAnsi="Arial" w:cs="Arial"/>
          <w:lang w:val="fr-FR"/>
        </w:rPr>
        <w:tab/>
      </w:r>
      <w:r w:rsidR="00E34310" w:rsidRPr="00003DE4">
        <w:rPr>
          <w:rFonts w:ascii="Arial" w:hAnsi="Arial" w:cs="Arial"/>
          <w:lang w:val="fr-FR"/>
        </w:rPr>
        <w:t>Cette évaluation et les délibérations s’y rapport</w:t>
      </w:r>
      <w:r w:rsidR="005B2F7F" w:rsidRPr="00003DE4">
        <w:rPr>
          <w:rFonts w:ascii="Arial" w:hAnsi="Arial" w:cs="Arial"/>
          <w:lang w:val="fr-FR"/>
        </w:rPr>
        <w:t>a</w:t>
      </w:r>
      <w:r w:rsidR="00E34310" w:rsidRPr="00003DE4">
        <w:rPr>
          <w:rFonts w:ascii="Arial" w:hAnsi="Arial" w:cs="Arial"/>
          <w:lang w:val="fr-FR"/>
        </w:rPr>
        <w:t xml:space="preserve">nt ont </w:t>
      </w:r>
      <w:r w:rsidR="00A20B40" w:rsidRPr="00003DE4">
        <w:rPr>
          <w:rFonts w:ascii="Arial" w:hAnsi="Arial" w:cs="Arial"/>
          <w:lang w:val="fr-FR"/>
        </w:rPr>
        <w:t>fait ressortir</w:t>
      </w:r>
      <w:r w:rsidR="00E34310" w:rsidRPr="00003DE4">
        <w:rPr>
          <w:rFonts w:ascii="Arial" w:hAnsi="Arial" w:cs="Arial"/>
          <w:lang w:val="fr-FR"/>
        </w:rPr>
        <w:t xml:space="preserve"> deux </w:t>
      </w:r>
      <w:r w:rsidR="00A20B40" w:rsidRPr="00003DE4">
        <w:rPr>
          <w:rFonts w:ascii="Arial" w:hAnsi="Arial" w:cs="Arial"/>
          <w:lang w:val="fr-FR"/>
        </w:rPr>
        <w:t>grands</w:t>
      </w:r>
      <w:r w:rsidR="00E34310" w:rsidRPr="00003DE4">
        <w:rPr>
          <w:rFonts w:ascii="Arial" w:hAnsi="Arial" w:cs="Arial"/>
          <w:lang w:val="fr-FR"/>
        </w:rPr>
        <w:t xml:space="preserve"> </w:t>
      </w:r>
      <w:r w:rsidR="00A20B40" w:rsidRPr="00003DE4">
        <w:rPr>
          <w:rFonts w:ascii="Arial" w:hAnsi="Arial" w:cs="Arial"/>
          <w:lang w:val="fr-FR"/>
        </w:rPr>
        <w:t xml:space="preserve">axes d’action </w:t>
      </w:r>
      <w:r w:rsidR="00DB4F2F" w:rsidRPr="00003DE4">
        <w:rPr>
          <w:rFonts w:ascii="Arial" w:hAnsi="Arial" w:cs="Arial"/>
          <w:lang w:val="fr-FR"/>
        </w:rPr>
        <w:t xml:space="preserve">pour </w:t>
      </w:r>
      <w:r w:rsidR="00E34310" w:rsidRPr="00003DE4">
        <w:rPr>
          <w:rFonts w:ascii="Arial" w:hAnsi="Arial" w:cs="Arial"/>
          <w:lang w:val="fr-FR"/>
        </w:rPr>
        <w:t>rationalis</w:t>
      </w:r>
      <w:r w:rsidR="00924E6C" w:rsidRPr="00003DE4">
        <w:rPr>
          <w:rFonts w:ascii="Arial" w:hAnsi="Arial" w:cs="Arial"/>
          <w:lang w:val="fr-FR"/>
        </w:rPr>
        <w:t>er</w:t>
      </w:r>
      <w:r w:rsidR="00E34310" w:rsidRPr="00003DE4">
        <w:rPr>
          <w:rFonts w:ascii="Arial" w:hAnsi="Arial" w:cs="Arial"/>
          <w:lang w:val="fr-FR"/>
        </w:rPr>
        <w:t xml:space="preserve"> nos processus et optimis</w:t>
      </w:r>
      <w:r w:rsidR="00924E6C" w:rsidRPr="00003DE4">
        <w:rPr>
          <w:rFonts w:ascii="Arial" w:hAnsi="Arial" w:cs="Arial"/>
          <w:lang w:val="fr-FR"/>
        </w:rPr>
        <w:t>er</w:t>
      </w:r>
      <w:r w:rsidR="00E34310" w:rsidRPr="00003DE4">
        <w:rPr>
          <w:rFonts w:ascii="Arial" w:hAnsi="Arial" w:cs="Arial"/>
          <w:lang w:val="fr-FR"/>
        </w:rPr>
        <w:t xml:space="preserve"> l’utilisation de nos ressources</w:t>
      </w:r>
      <w:r w:rsidRPr="00003DE4">
        <w:rPr>
          <w:rFonts w:ascii="Arial" w:hAnsi="Arial" w:cs="Arial"/>
          <w:lang w:val="fr-FR"/>
        </w:rPr>
        <w:t> :</w:t>
      </w:r>
      <w:r w:rsidR="00E34310" w:rsidRPr="00003DE4">
        <w:rPr>
          <w:rFonts w:ascii="Arial" w:hAnsi="Arial" w:cs="Arial"/>
          <w:lang w:val="fr-FR"/>
        </w:rPr>
        <w:t xml:space="preserve"> </w:t>
      </w:r>
    </w:p>
    <w:p w14:paraId="408F1833" w14:textId="073D0624" w:rsidR="00E34310" w:rsidRPr="00003DE4" w:rsidRDefault="00A20B40" w:rsidP="00003DE4">
      <w:pPr>
        <w:pStyle w:val="ListParagraph"/>
        <w:numPr>
          <w:ilvl w:val="0"/>
          <w:numId w:val="38"/>
        </w:numPr>
        <w:snapToGrid w:val="0"/>
        <w:spacing w:after="240" w:line="240" w:lineRule="auto"/>
        <w:ind w:left="851" w:hanging="284"/>
        <w:contextualSpacing w:val="0"/>
        <w:jc w:val="both"/>
        <w:rPr>
          <w:rFonts w:ascii="Arial" w:hAnsi="Arial" w:cs="Arial"/>
          <w:lang w:val="fr-FR"/>
        </w:rPr>
      </w:pPr>
      <w:r w:rsidRPr="00003DE4">
        <w:rPr>
          <w:rFonts w:ascii="Arial" w:hAnsi="Arial" w:cs="Arial"/>
          <w:lang w:val="fr-FR"/>
        </w:rPr>
        <w:t xml:space="preserve">premièrement, </w:t>
      </w:r>
      <w:r w:rsidR="00924E6C" w:rsidRPr="00003DE4">
        <w:rPr>
          <w:rFonts w:ascii="Arial" w:hAnsi="Arial" w:cs="Arial"/>
          <w:lang w:val="fr-FR"/>
        </w:rPr>
        <w:t>assurer la</w:t>
      </w:r>
      <w:r w:rsidR="00E34310" w:rsidRPr="00003DE4">
        <w:rPr>
          <w:rFonts w:ascii="Arial" w:hAnsi="Arial" w:cs="Arial"/>
          <w:lang w:val="fr-FR"/>
        </w:rPr>
        <w:t xml:space="preserve"> conform</w:t>
      </w:r>
      <w:r w:rsidR="00924E6C" w:rsidRPr="00003DE4">
        <w:rPr>
          <w:rFonts w:ascii="Arial" w:hAnsi="Arial" w:cs="Arial"/>
          <w:lang w:val="fr-FR"/>
        </w:rPr>
        <w:t>ité</w:t>
      </w:r>
      <w:r w:rsidR="00E34310" w:rsidRPr="00003DE4">
        <w:rPr>
          <w:rFonts w:ascii="Arial" w:hAnsi="Arial" w:cs="Arial"/>
          <w:lang w:val="fr-FR"/>
        </w:rPr>
        <w:t xml:space="preserve"> </w:t>
      </w:r>
      <w:r w:rsidR="00924E6C" w:rsidRPr="00003DE4">
        <w:rPr>
          <w:rFonts w:ascii="Arial" w:hAnsi="Arial" w:cs="Arial"/>
          <w:lang w:val="fr-FR"/>
        </w:rPr>
        <w:t>avec les</w:t>
      </w:r>
      <w:r w:rsidR="00E34310" w:rsidRPr="00003DE4">
        <w:rPr>
          <w:rFonts w:ascii="Arial" w:hAnsi="Arial" w:cs="Arial"/>
          <w:lang w:val="fr-FR"/>
        </w:rPr>
        <w:t xml:space="preserve"> dispositions relatives à l’autorité décisionnelle et </w:t>
      </w:r>
      <w:r w:rsidR="00924E6C" w:rsidRPr="00003DE4">
        <w:rPr>
          <w:rFonts w:ascii="Arial" w:hAnsi="Arial" w:cs="Arial"/>
          <w:lang w:val="fr-FR"/>
        </w:rPr>
        <w:t xml:space="preserve">les </w:t>
      </w:r>
      <w:r w:rsidR="00E34310" w:rsidRPr="00003DE4">
        <w:rPr>
          <w:rFonts w:ascii="Arial" w:hAnsi="Arial" w:cs="Arial"/>
          <w:lang w:val="fr-FR"/>
        </w:rPr>
        <w:t xml:space="preserve">relations de responsabilité établies dans les </w:t>
      </w:r>
      <w:r w:rsidR="00E34310" w:rsidRPr="00003DE4">
        <w:rPr>
          <w:rFonts w:ascii="Arial" w:hAnsi="Arial" w:cs="Arial"/>
          <w:i/>
          <w:iCs/>
          <w:lang w:val="fr-FR"/>
        </w:rPr>
        <w:t>Statuts de la COI</w:t>
      </w:r>
      <w:r w:rsidR="00222224" w:rsidRPr="00003DE4">
        <w:rPr>
          <w:rFonts w:ascii="Arial" w:hAnsi="Arial" w:cs="Arial"/>
          <w:lang w:val="fr-FR"/>
        </w:rPr>
        <w:t> ;</w:t>
      </w:r>
    </w:p>
    <w:p w14:paraId="4CA03970" w14:textId="6CB8D790" w:rsidR="00E34310" w:rsidRPr="00003DE4" w:rsidRDefault="00A20B40" w:rsidP="00003DE4">
      <w:pPr>
        <w:pStyle w:val="ListParagraph"/>
        <w:numPr>
          <w:ilvl w:val="0"/>
          <w:numId w:val="38"/>
        </w:numPr>
        <w:snapToGrid w:val="0"/>
        <w:spacing w:after="240" w:line="240" w:lineRule="auto"/>
        <w:ind w:left="851" w:hanging="284"/>
        <w:contextualSpacing w:val="0"/>
        <w:jc w:val="both"/>
        <w:rPr>
          <w:rFonts w:ascii="Arial" w:hAnsi="Arial" w:cs="Arial"/>
          <w:lang w:val="fr-FR"/>
        </w:rPr>
      </w:pPr>
      <w:r w:rsidRPr="00003DE4">
        <w:rPr>
          <w:rFonts w:ascii="Arial" w:hAnsi="Arial" w:cs="Arial"/>
          <w:lang w:val="fr-FR"/>
        </w:rPr>
        <w:t xml:space="preserve">deuxièmement, </w:t>
      </w:r>
      <w:r w:rsidR="00E34310" w:rsidRPr="00003DE4">
        <w:rPr>
          <w:rFonts w:ascii="Arial" w:hAnsi="Arial" w:cs="Arial"/>
          <w:lang w:val="fr-FR"/>
        </w:rPr>
        <w:t xml:space="preserve">mettre le programme de travail de la COI, ses objectifs et ses indicateurs en adéquation avec la </w:t>
      </w:r>
      <w:r w:rsidR="00E34310" w:rsidRPr="00003DE4">
        <w:rPr>
          <w:rFonts w:ascii="Arial" w:hAnsi="Arial" w:cs="Arial"/>
          <w:i/>
          <w:iCs/>
          <w:lang w:val="fr-FR"/>
        </w:rPr>
        <w:t>Stratégie à moyen terme de la COI</w:t>
      </w:r>
      <w:r w:rsidR="00E34310" w:rsidRPr="00003DE4">
        <w:rPr>
          <w:rFonts w:ascii="Arial" w:hAnsi="Arial" w:cs="Arial"/>
          <w:lang w:val="fr-FR"/>
        </w:rPr>
        <w:t>.</w:t>
      </w:r>
    </w:p>
    <w:p w14:paraId="39C86085" w14:textId="0311AFF4" w:rsidR="00E34310" w:rsidRPr="00003DE4" w:rsidRDefault="00222224" w:rsidP="002E2CEB">
      <w:pPr>
        <w:pStyle w:val="ListParagraph"/>
        <w:tabs>
          <w:tab w:val="left" w:pos="567"/>
        </w:tabs>
        <w:snapToGrid w:val="0"/>
        <w:spacing w:after="240" w:line="240" w:lineRule="auto"/>
        <w:ind w:left="0"/>
        <w:contextualSpacing w:val="0"/>
        <w:jc w:val="both"/>
        <w:rPr>
          <w:rFonts w:ascii="Arial" w:hAnsi="Arial" w:cs="Arial"/>
          <w:lang w:val="fr-FR"/>
        </w:rPr>
      </w:pPr>
      <w:r w:rsidRPr="00003DE4">
        <w:rPr>
          <w:rFonts w:ascii="Arial" w:hAnsi="Arial" w:cs="Arial"/>
          <w:lang w:val="fr-FR"/>
        </w:rPr>
        <w:t>10.</w:t>
      </w:r>
      <w:r w:rsidRPr="00003DE4">
        <w:rPr>
          <w:rFonts w:ascii="Arial" w:hAnsi="Arial" w:cs="Arial"/>
          <w:lang w:val="fr-FR"/>
        </w:rPr>
        <w:tab/>
      </w:r>
      <w:r w:rsidR="00E34310" w:rsidRPr="00003DE4">
        <w:rPr>
          <w:rFonts w:ascii="Arial" w:hAnsi="Arial" w:cs="Arial"/>
          <w:lang w:val="fr-FR"/>
        </w:rPr>
        <w:t xml:space="preserve">La </w:t>
      </w:r>
      <w:r w:rsidR="00A20B40" w:rsidRPr="00003DE4">
        <w:rPr>
          <w:rFonts w:ascii="Arial" w:hAnsi="Arial" w:cs="Arial"/>
          <w:lang w:val="fr-FR"/>
        </w:rPr>
        <w:t>prise de mesures selon ces axes d’action</w:t>
      </w:r>
      <w:r w:rsidR="00E34310" w:rsidRPr="00003DE4">
        <w:rPr>
          <w:rFonts w:ascii="Arial" w:hAnsi="Arial" w:cs="Arial"/>
          <w:lang w:val="fr-FR"/>
        </w:rPr>
        <w:t xml:space="preserve">, ancrés dans les deux </w:t>
      </w:r>
      <w:r w:rsidR="00CB5A87" w:rsidRPr="00003DE4">
        <w:rPr>
          <w:rFonts w:ascii="Arial" w:hAnsi="Arial" w:cs="Arial"/>
          <w:lang w:val="fr-FR"/>
        </w:rPr>
        <w:t xml:space="preserve">principaux </w:t>
      </w:r>
      <w:r w:rsidR="00E34310" w:rsidRPr="00003DE4">
        <w:rPr>
          <w:rFonts w:ascii="Arial" w:hAnsi="Arial" w:cs="Arial"/>
          <w:lang w:val="fr-FR"/>
        </w:rPr>
        <w:t xml:space="preserve">documents </w:t>
      </w:r>
      <w:r w:rsidR="00CB5A87" w:rsidRPr="00003DE4">
        <w:rPr>
          <w:rFonts w:ascii="Arial" w:hAnsi="Arial" w:cs="Arial"/>
          <w:lang w:val="fr-FR"/>
        </w:rPr>
        <w:t>qui</w:t>
      </w:r>
      <w:r w:rsidR="00E34310" w:rsidRPr="00003DE4">
        <w:rPr>
          <w:rFonts w:ascii="Arial" w:hAnsi="Arial" w:cs="Arial"/>
          <w:lang w:val="fr-FR"/>
        </w:rPr>
        <w:t xml:space="preserve"> régiss</w:t>
      </w:r>
      <w:r w:rsidR="00CB5A87" w:rsidRPr="00003DE4">
        <w:rPr>
          <w:rFonts w:ascii="Arial" w:hAnsi="Arial" w:cs="Arial"/>
          <w:lang w:val="fr-FR"/>
        </w:rPr>
        <w:t>e</w:t>
      </w:r>
      <w:r w:rsidR="00E34310" w:rsidRPr="00003DE4">
        <w:rPr>
          <w:rFonts w:ascii="Arial" w:hAnsi="Arial" w:cs="Arial"/>
          <w:lang w:val="fr-FR"/>
        </w:rPr>
        <w:t xml:space="preserve">nt la COI, permettra à la Commission d’être à la fois plus stratégique, plus efficace et plus réactive aux demandes des États membres et des processus multilatéraux. Les discussions et les décisions de l’Assemblée sur ces questions revêtiront donc une grande importance. </w:t>
      </w:r>
    </w:p>
    <w:p w14:paraId="572B9832" w14:textId="1395E103" w:rsidR="00E34310" w:rsidRPr="00003DE4" w:rsidRDefault="00E34310" w:rsidP="00003DE4">
      <w:pPr>
        <w:keepNext/>
        <w:keepLines/>
        <w:tabs>
          <w:tab w:val="clear" w:pos="567"/>
        </w:tabs>
        <w:snapToGrid/>
        <w:spacing w:after="240"/>
        <w:rPr>
          <w:rFonts w:cs="Arial"/>
          <w:b/>
          <w:bCs/>
          <w:szCs w:val="22"/>
        </w:rPr>
      </w:pPr>
      <w:r w:rsidRPr="00003DE4">
        <w:rPr>
          <w:rFonts w:cs="Arial"/>
          <w:b/>
          <w:bCs/>
          <w:szCs w:val="22"/>
        </w:rPr>
        <w:lastRenderedPageBreak/>
        <w:t>Faits marquants concernant l’exécution du programme (juin 2023 – mai 2025)</w:t>
      </w:r>
    </w:p>
    <w:p w14:paraId="1AEFA8D4" w14:textId="0B66A37C" w:rsidR="00222224" w:rsidRPr="00003DE4" w:rsidRDefault="00222224" w:rsidP="008914BF">
      <w:pPr>
        <w:pStyle w:val="ListParagraph"/>
        <w:keepNext/>
        <w:keepLines/>
        <w:tabs>
          <w:tab w:val="left" w:pos="567"/>
        </w:tabs>
        <w:snapToGrid w:val="0"/>
        <w:spacing w:after="240" w:line="240" w:lineRule="auto"/>
        <w:ind w:left="0"/>
        <w:contextualSpacing w:val="0"/>
        <w:jc w:val="both"/>
        <w:rPr>
          <w:rFonts w:ascii="Arial" w:hAnsi="Arial" w:cs="Arial"/>
          <w:lang w:val="fr-FR"/>
        </w:rPr>
      </w:pPr>
      <w:r w:rsidRPr="00003DE4">
        <w:rPr>
          <w:rFonts w:ascii="Arial" w:hAnsi="Arial" w:cs="Arial"/>
          <w:lang w:val="fr-FR"/>
        </w:rPr>
        <w:t>11.</w:t>
      </w:r>
      <w:r w:rsidRPr="00003DE4">
        <w:rPr>
          <w:rFonts w:ascii="Arial" w:hAnsi="Arial" w:cs="Arial"/>
          <w:lang w:val="fr-FR"/>
        </w:rPr>
        <w:tab/>
      </w:r>
      <w:r w:rsidR="00E34310" w:rsidRPr="00003DE4">
        <w:rPr>
          <w:rFonts w:ascii="Arial" w:hAnsi="Arial" w:cs="Arial"/>
          <w:lang w:val="fr-FR"/>
        </w:rPr>
        <w:t xml:space="preserve">Coordonnée par la COI depuis 2021, la </w:t>
      </w:r>
      <w:r w:rsidR="00E34310" w:rsidRPr="00003DE4">
        <w:rPr>
          <w:rFonts w:ascii="Arial" w:hAnsi="Arial" w:cs="Arial"/>
          <w:u w:val="single"/>
          <w:lang w:val="fr-FR"/>
        </w:rPr>
        <w:t>Décennie des Nations Unies pour les sciences océaniques au service du développement durable (2021-2030)</w:t>
      </w:r>
      <w:r w:rsidR="00E34310" w:rsidRPr="00003DE4">
        <w:rPr>
          <w:rFonts w:ascii="Arial" w:hAnsi="Arial" w:cs="Arial"/>
          <w:lang w:val="fr-FR"/>
        </w:rPr>
        <w:t xml:space="preserve"> s’est imposée comme la plus grande initiative mondiale coordonnée jamais entreprise dans le domaine de l’océanographie. </w:t>
      </w:r>
      <w:r w:rsidR="0043646B" w:rsidRPr="00003DE4">
        <w:rPr>
          <w:rFonts w:ascii="Arial" w:hAnsi="Arial" w:cs="Arial"/>
          <w:lang w:val="fr-FR"/>
        </w:rPr>
        <w:t xml:space="preserve">Elle </w:t>
      </w:r>
      <w:r w:rsidR="00E34310" w:rsidRPr="00003DE4">
        <w:rPr>
          <w:rFonts w:ascii="Arial" w:hAnsi="Arial" w:cs="Arial"/>
          <w:lang w:val="fr-FR"/>
        </w:rPr>
        <w:t>a mobilisé plus de 20</w:t>
      </w:r>
      <w:r w:rsidR="004F0D67">
        <w:rPr>
          <w:rFonts w:ascii="Arial" w:hAnsi="Arial" w:cs="Arial"/>
          <w:lang w:val="fr-FR"/>
        </w:rPr>
        <w:t> </w:t>
      </w:r>
      <w:r w:rsidR="00E34310" w:rsidRPr="00003DE4">
        <w:rPr>
          <w:rFonts w:ascii="Arial" w:hAnsi="Arial" w:cs="Arial"/>
          <w:lang w:val="fr-FR"/>
        </w:rPr>
        <w:t>000</w:t>
      </w:r>
      <w:r w:rsidR="0043646B" w:rsidRPr="00003DE4">
        <w:rPr>
          <w:rFonts w:ascii="Arial" w:hAnsi="Arial" w:cs="Arial"/>
          <w:lang w:val="fr-FR"/>
        </w:rPr>
        <w:t> </w:t>
      </w:r>
      <w:r w:rsidR="00E34310" w:rsidRPr="00003DE4">
        <w:rPr>
          <w:rFonts w:ascii="Arial" w:hAnsi="Arial" w:cs="Arial"/>
          <w:lang w:val="fr-FR"/>
        </w:rPr>
        <w:t>personnes travaill</w:t>
      </w:r>
      <w:r w:rsidR="00012B45" w:rsidRPr="00003DE4">
        <w:rPr>
          <w:rFonts w:ascii="Arial" w:hAnsi="Arial" w:cs="Arial"/>
          <w:lang w:val="fr-FR"/>
        </w:rPr>
        <w:t>a</w:t>
      </w:r>
      <w:r w:rsidR="00E34310" w:rsidRPr="00003DE4">
        <w:rPr>
          <w:rFonts w:ascii="Arial" w:hAnsi="Arial" w:cs="Arial"/>
          <w:lang w:val="fr-FR"/>
        </w:rPr>
        <w:t>nt au sein d’équipes internationales pluridisciplinaires pour mettre en œuvre 59</w:t>
      </w:r>
      <w:r w:rsidR="0043646B" w:rsidRPr="00003DE4">
        <w:rPr>
          <w:rFonts w:ascii="Arial" w:hAnsi="Arial" w:cs="Arial"/>
          <w:lang w:val="fr-FR"/>
        </w:rPr>
        <w:t> </w:t>
      </w:r>
      <w:r w:rsidR="00E34310" w:rsidRPr="00003DE4">
        <w:rPr>
          <w:rFonts w:ascii="Arial" w:hAnsi="Arial" w:cs="Arial"/>
          <w:lang w:val="fr-FR"/>
        </w:rPr>
        <w:t>programmes mondiaux de la Décennie approuvés et plus de 500</w:t>
      </w:r>
      <w:r w:rsidR="00DB1767" w:rsidRPr="00003DE4">
        <w:rPr>
          <w:rFonts w:ascii="Arial" w:hAnsi="Arial" w:cs="Arial"/>
          <w:lang w:val="fr-FR"/>
        </w:rPr>
        <w:t> </w:t>
      </w:r>
      <w:r w:rsidR="00E34310" w:rsidRPr="00003DE4">
        <w:rPr>
          <w:rFonts w:ascii="Arial" w:hAnsi="Arial" w:cs="Arial"/>
          <w:lang w:val="fr-FR"/>
        </w:rPr>
        <w:t>projets régionaux et nationaux de la Décennie. Ces actions de la Décennie sont menées par des instituts de recherche, des ONG, des partenaires du secteur privé et des partenaires gouvernementaux dans 76</w:t>
      </w:r>
      <w:r w:rsidR="00DB1767" w:rsidRPr="00003DE4">
        <w:rPr>
          <w:rFonts w:ascii="Arial" w:hAnsi="Arial" w:cs="Arial"/>
          <w:lang w:val="fr-FR"/>
        </w:rPr>
        <w:t> </w:t>
      </w:r>
      <w:r w:rsidR="00E34310" w:rsidRPr="00003DE4">
        <w:rPr>
          <w:rFonts w:ascii="Arial" w:hAnsi="Arial" w:cs="Arial"/>
          <w:lang w:val="fr-FR"/>
        </w:rPr>
        <w:t>pays. Treize</w:t>
      </w:r>
      <w:r w:rsidR="008914BF">
        <w:rPr>
          <w:rFonts w:ascii="Arial" w:hAnsi="Arial" w:cs="Arial"/>
          <w:lang w:val="fr-FR"/>
        </w:rPr>
        <w:t> </w:t>
      </w:r>
      <w:r w:rsidR="00E34310" w:rsidRPr="00003DE4">
        <w:rPr>
          <w:rFonts w:ascii="Arial" w:hAnsi="Arial" w:cs="Arial"/>
          <w:lang w:val="fr-FR"/>
        </w:rPr>
        <w:t>(13) structures de coordination décentralisées régionales et thématiques sont hébergées par des partenaires, notamment un nouveau centre collaboratif de la Décennie consacré à l’économie durable des océans hébergé par la municipalité de Barcelone. Quarante</w:t>
      </w:r>
      <w:r w:rsidR="008914BF">
        <w:rPr>
          <w:rFonts w:ascii="Arial" w:hAnsi="Arial" w:cs="Arial"/>
          <w:lang w:val="fr-FR"/>
        </w:rPr>
        <w:t> </w:t>
      </w:r>
      <w:r w:rsidR="00E34310" w:rsidRPr="00003DE4">
        <w:rPr>
          <w:rFonts w:ascii="Arial" w:hAnsi="Arial" w:cs="Arial"/>
          <w:lang w:val="fr-FR"/>
        </w:rPr>
        <w:t>(40) pays ont mis en place des comités nationaux de la Décennie. La Conférence de la Décennie de l’Océan</w:t>
      </w:r>
      <w:r w:rsidR="00DB1767" w:rsidRPr="00003DE4">
        <w:rPr>
          <w:rFonts w:ascii="Arial" w:hAnsi="Arial" w:cs="Arial"/>
          <w:lang w:val="fr-FR"/>
        </w:rPr>
        <w:t> </w:t>
      </w:r>
      <w:r w:rsidR="00E34310" w:rsidRPr="00003DE4">
        <w:rPr>
          <w:rFonts w:ascii="Arial" w:hAnsi="Arial" w:cs="Arial"/>
          <w:lang w:val="fr-FR"/>
        </w:rPr>
        <w:t>2024, organisée par l’Espagne à Barcelone</w:t>
      </w:r>
      <w:r w:rsidR="00012B45" w:rsidRPr="00003DE4">
        <w:rPr>
          <w:rFonts w:ascii="Arial" w:hAnsi="Arial" w:cs="Arial"/>
          <w:lang w:val="fr-FR"/>
        </w:rPr>
        <w:t xml:space="preserve"> en avril</w:t>
      </w:r>
      <w:r w:rsidR="008914BF">
        <w:rPr>
          <w:rFonts w:ascii="Arial" w:hAnsi="Arial" w:cs="Arial"/>
          <w:lang w:val="fr-FR"/>
        </w:rPr>
        <w:t> </w:t>
      </w:r>
      <w:r w:rsidR="00012B45" w:rsidRPr="00003DE4">
        <w:rPr>
          <w:rFonts w:ascii="Arial" w:hAnsi="Arial" w:cs="Arial"/>
          <w:lang w:val="fr-FR"/>
        </w:rPr>
        <w:t>2024</w:t>
      </w:r>
      <w:r w:rsidR="00E34310" w:rsidRPr="00003DE4">
        <w:rPr>
          <w:rFonts w:ascii="Arial" w:hAnsi="Arial" w:cs="Arial"/>
          <w:lang w:val="fr-FR"/>
        </w:rPr>
        <w:t>, a réuni plus de 2</w:t>
      </w:r>
      <w:r w:rsidR="008914BF">
        <w:rPr>
          <w:rFonts w:ascii="Arial" w:hAnsi="Arial" w:cs="Arial"/>
          <w:lang w:val="fr-FR"/>
        </w:rPr>
        <w:t> </w:t>
      </w:r>
      <w:r w:rsidR="00E34310" w:rsidRPr="00003DE4">
        <w:rPr>
          <w:rFonts w:ascii="Arial" w:hAnsi="Arial" w:cs="Arial"/>
          <w:lang w:val="fr-FR"/>
        </w:rPr>
        <w:t>600</w:t>
      </w:r>
      <w:r w:rsidR="0043646B" w:rsidRPr="00003DE4">
        <w:rPr>
          <w:rFonts w:ascii="Arial" w:hAnsi="Arial" w:cs="Arial"/>
          <w:lang w:val="fr-FR"/>
        </w:rPr>
        <w:t> </w:t>
      </w:r>
      <w:r w:rsidR="00E34310" w:rsidRPr="00003DE4">
        <w:rPr>
          <w:rFonts w:ascii="Arial" w:hAnsi="Arial" w:cs="Arial"/>
          <w:lang w:val="fr-FR"/>
        </w:rPr>
        <w:t xml:space="preserve">participants en </w:t>
      </w:r>
      <w:r w:rsidR="00392FA1" w:rsidRPr="00003DE4">
        <w:rPr>
          <w:rFonts w:ascii="Arial" w:hAnsi="Arial" w:cs="Arial"/>
          <w:lang w:val="fr-FR"/>
        </w:rPr>
        <w:t>présentiel</w:t>
      </w:r>
      <w:r w:rsidR="00E34310" w:rsidRPr="00003DE4">
        <w:rPr>
          <w:rFonts w:ascii="Arial" w:hAnsi="Arial" w:cs="Arial"/>
          <w:lang w:val="fr-FR"/>
        </w:rPr>
        <w:t xml:space="preserve"> pour discuter des besoins en matière de science et de connaissances qui orienteront les futures priorités de la Décennie, des possibilités </w:t>
      </w:r>
      <w:r w:rsidR="00012B45" w:rsidRPr="00003DE4">
        <w:rPr>
          <w:rFonts w:ascii="Arial" w:hAnsi="Arial" w:cs="Arial"/>
          <w:lang w:val="fr-FR"/>
        </w:rPr>
        <w:t>liées aux</w:t>
      </w:r>
      <w:r w:rsidR="00E34310" w:rsidRPr="00003DE4">
        <w:rPr>
          <w:rFonts w:ascii="Arial" w:hAnsi="Arial" w:cs="Arial"/>
          <w:lang w:val="fr-FR"/>
        </w:rPr>
        <w:t xml:space="preserve"> partenariats et </w:t>
      </w:r>
      <w:r w:rsidR="00012B45" w:rsidRPr="00003DE4">
        <w:rPr>
          <w:rFonts w:ascii="Arial" w:hAnsi="Arial" w:cs="Arial"/>
          <w:lang w:val="fr-FR"/>
        </w:rPr>
        <w:t>aux</w:t>
      </w:r>
      <w:r w:rsidR="00E34310" w:rsidRPr="00003DE4">
        <w:rPr>
          <w:rFonts w:ascii="Arial" w:hAnsi="Arial" w:cs="Arial"/>
          <w:lang w:val="fr-FR"/>
        </w:rPr>
        <w:t xml:space="preserve"> ressources</w:t>
      </w:r>
      <w:r w:rsidR="00012B45" w:rsidRPr="00003DE4">
        <w:rPr>
          <w:rFonts w:ascii="Arial" w:hAnsi="Arial" w:cs="Arial"/>
          <w:lang w:val="fr-FR"/>
        </w:rPr>
        <w:t>,</w:t>
      </w:r>
      <w:r w:rsidR="00E34310" w:rsidRPr="00003DE4">
        <w:rPr>
          <w:rFonts w:ascii="Arial" w:hAnsi="Arial" w:cs="Arial"/>
          <w:lang w:val="fr-FR"/>
        </w:rPr>
        <w:t xml:space="preserve"> et des moyens d’assurer la pleine participation des groupes sous-représentés. Ce résultat a pu être obtenu grâce à une mobilisation sans précédent du Secrétariat de la COI et de ses partenaires au cours des trois dernières années. Les recommandations issues de la Conférence de la Décennie de l’Océan ont servi de base </w:t>
      </w:r>
      <w:r w:rsidR="00143EC3" w:rsidRPr="00003DE4">
        <w:rPr>
          <w:rFonts w:ascii="Arial" w:hAnsi="Arial" w:cs="Arial"/>
          <w:lang w:val="fr-FR"/>
        </w:rPr>
        <w:t>à</w:t>
      </w:r>
      <w:r w:rsidR="00E34310" w:rsidRPr="00003DE4">
        <w:rPr>
          <w:rFonts w:ascii="Arial" w:hAnsi="Arial" w:cs="Arial"/>
          <w:lang w:val="fr-FR"/>
        </w:rPr>
        <w:t xml:space="preserve"> la participation de la COI à la préparation de la Conférence des Nations Unies sur l’océan</w:t>
      </w:r>
      <w:r w:rsidR="00DB1767" w:rsidRPr="00003DE4">
        <w:rPr>
          <w:rFonts w:ascii="Arial" w:hAnsi="Arial" w:cs="Arial"/>
          <w:lang w:val="fr-FR"/>
        </w:rPr>
        <w:t> </w:t>
      </w:r>
      <w:r w:rsidR="00E34310" w:rsidRPr="00003DE4">
        <w:rPr>
          <w:rFonts w:ascii="Arial" w:hAnsi="Arial" w:cs="Arial"/>
          <w:lang w:val="fr-FR"/>
        </w:rPr>
        <w:t xml:space="preserve">2025. Cette conférence, qui marquera également la mi-parcours de la mise en œuvre de la Décennie, </w:t>
      </w:r>
      <w:r w:rsidR="00012B45" w:rsidRPr="00003DE4">
        <w:rPr>
          <w:rFonts w:ascii="Arial" w:hAnsi="Arial" w:cs="Arial"/>
          <w:lang w:val="fr-FR"/>
        </w:rPr>
        <w:t xml:space="preserve">sera </w:t>
      </w:r>
      <w:r w:rsidR="00E34310" w:rsidRPr="00003DE4">
        <w:rPr>
          <w:rFonts w:ascii="Arial" w:hAnsi="Arial" w:cs="Arial"/>
          <w:lang w:val="fr-FR"/>
        </w:rPr>
        <w:t xml:space="preserve">un </w:t>
      </w:r>
      <w:r w:rsidR="00012B45" w:rsidRPr="00003DE4">
        <w:rPr>
          <w:rFonts w:ascii="Arial" w:hAnsi="Arial" w:cs="Arial"/>
          <w:lang w:val="fr-FR"/>
        </w:rPr>
        <w:t>événement</w:t>
      </w:r>
      <w:r w:rsidR="00E34310" w:rsidRPr="00003DE4">
        <w:rPr>
          <w:rFonts w:ascii="Arial" w:hAnsi="Arial" w:cs="Arial"/>
          <w:lang w:val="fr-FR"/>
        </w:rPr>
        <w:t xml:space="preserve"> décisi</w:t>
      </w:r>
      <w:r w:rsidR="00012B45" w:rsidRPr="00003DE4">
        <w:rPr>
          <w:rFonts w:ascii="Arial" w:hAnsi="Arial" w:cs="Arial"/>
          <w:lang w:val="fr-FR"/>
        </w:rPr>
        <w:t>f</w:t>
      </w:r>
      <w:r w:rsidR="00E34310" w:rsidRPr="00003DE4">
        <w:rPr>
          <w:rFonts w:ascii="Arial" w:hAnsi="Arial" w:cs="Arial"/>
          <w:lang w:val="fr-FR"/>
        </w:rPr>
        <w:t xml:space="preserve"> dans le programme relatif à la gouvernance mondiale des océans</w:t>
      </w:r>
      <w:r w:rsidR="00012B45" w:rsidRPr="00003DE4">
        <w:rPr>
          <w:rFonts w:ascii="Arial" w:hAnsi="Arial" w:cs="Arial"/>
          <w:lang w:val="fr-FR"/>
        </w:rPr>
        <w:t>. Elle constituera en outre</w:t>
      </w:r>
      <w:r w:rsidR="00E34310" w:rsidRPr="00003DE4">
        <w:rPr>
          <w:rFonts w:ascii="Arial" w:hAnsi="Arial" w:cs="Arial"/>
          <w:lang w:val="fr-FR"/>
        </w:rPr>
        <w:t xml:space="preserve"> une occasion unique pour la COI de faire progress</w:t>
      </w:r>
      <w:r w:rsidR="00012B45" w:rsidRPr="00003DE4">
        <w:rPr>
          <w:rFonts w:ascii="Arial" w:hAnsi="Arial" w:cs="Arial"/>
          <w:lang w:val="fr-FR"/>
        </w:rPr>
        <w:t>er</w:t>
      </w:r>
      <w:r w:rsidR="00E34310" w:rsidRPr="00003DE4">
        <w:rPr>
          <w:rFonts w:ascii="Arial" w:hAnsi="Arial" w:cs="Arial"/>
          <w:lang w:val="fr-FR"/>
        </w:rPr>
        <w:t xml:space="preserve"> l’action menée en faveur de sciences océaniques axées sur la recherche de solutions.</w:t>
      </w:r>
    </w:p>
    <w:p w14:paraId="597BB067" w14:textId="70ACD043" w:rsidR="00222224" w:rsidRPr="00003DE4" w:rsidRDefault="00222224" w:rsidP="008914BF">
      <w:pPr>
        <w:pStyle w:val="ListParagraph"/>
        <w:tabs>
          <w:tab w:val="left" w:pos="567"/>
        </w:tabs>
        <w:snapToGrid w:val="0"/>
        <w:spacing w:after="240" w:line="240" w:lineRule="auto"/>
        <w:ind w:left="0"/>
        <w:contextualSpacing w:val="0"/>
        <w:jc w:val="both"/>
        <w:rPr>
          <w:rFonts w:ascii="Arial" w:hAnsi="Arial" w:cs="Arial"/>
          <w:lang w:val="fr-FR"/>
        </w:rPr>
      </w:pPr>
      <w:r w:rsidRPr="00003DE4">
        <w:rPr>
          <w:rFonts w:ascii="Arial" w:hAnsi="Arial" w:cs="Arial"/>
          <w:lang w:val="fr-FR"/>
        </w:rPr>
        <w:t>12.</w:t>
      </w:r>
      <w:r w:rsidRPr="00003DE4">
        <w:rPr>
          <w:rFonts w:ascii="Arial" w:hAnsi="Arial" w:cs="Arial"/>
          <w:lang w:val="fr-FR"/>
        </w:rPr>
        <w:tab/>
      </w:r>
      <w:r w:rsidR="00E34310" w:rsidRPr="008914BF">
        <w:rPr>
          <w:rFonts w:ascii="Arial" w:hAnsi="Arial" w:cs="Arial"/>
          <w:spacing w:val="-2"/>
          <w:lang w:val="fr-FR"/>
        </w:rPr>
        <w:t>Dans le cadre des activités de base de la COI, et avec le soutien des États membres, les principales réalisations suivantes ont été menées à bien depuis la 32</w:t>
      </w:r>
      <w:r w:rsidR="00E34310" w:rsidRPr="008914BF">
        <w:rPr>
          <w:rFonts w:ascii="Arial" w:hAnsi="Arial" w:cs="Arial"/>
          <w:spacing w:val="-2"/>
          <w:vertAlign w:val="superscript"/>
          <w:lang w:val="fr-FR"/>
        </w:rPr>
        <w:t>e</w:t>
      </w:r>
      <w:r w:rsidR="00360F04" w:rsidRPr="008914BF">
        <w:rPr>
          <w:rFonts w:ascii="Arial" w:hAnsi="Arial" w:cs="Arial"/>
          <w:spacing w:val="-2"/>
          <w:lang w:val="fr-FR"/>
        </w:rPr>
        <w:t> </w:t>
      </w:r>
      <w:r w:rsidR="00E34310" w:rsidRPr="008914BF">
        <w:rPr>
          <w:rFonts w:ascii="Arial" w:hAnsi="Arial" w:cs="Arial"/>
          <w:spacing w:val="-2"/>
          <w:lang w:val="fr-FR"/>
        </w:rPr>
        <w:t>session de l’Assemblée de la COI, en 2023.</w:t>
      </w:r>
      <w:r w:rsidR="00E34310" w:rsidRPr="00003DE4">
        <w:rPr>
          <w:rFonts w:ascii="Arial" w:hAnsi="Arial" w:cs="Arial"/>
          <w:lang w:val="fr-FR"/>
        </w:rPr>
        <w:t xml:space="preserve"> </w:t>
      </w:r>
    </w:p>
    <w:p w14:paraId="59C5D0AE" w14:textId="4BE25B43" w:rsidR="00222224" w:rsidRPr="00003DE4" w:rsidRDefault="00222224" w:rsidP="008914BF">
      <w:pPr>
        <w:pStyle w:val="ListParagraph"/>
        <w:tabs>
          <w:tab w:val="left" w:pos="567"/>
        </w:tabs>
        <w:snapToGrid w:val="0"/>
        <w:spacing w:after="240" w:line="240" w:lineRule="auto"/>
        <w:ind w:left="0"/>
        <w:contextualSpacing w:val="0"/>
        <w:jc w:val="both"/>
        <w:rPr>
          <w:rFonts w:ascii="Arial" w:hAnsi="Arial" w:cs="Arial"/>
          <w:lang w:val="fr-FR"/>
        </w:rPr>
      </w:pPr>
      <w:r w:rsidRPr="00003DE4">
        <w:rPr>
          <w:rFonts w:ascii="Arial" w:hAnsi="Arial" w:cs="Arial"/>
          <w:lang w:val="fr-FR"/>
        </w:rPr>
        <w:t>13.</w:t>
      </w:r>
      <w:r w:rsidRPr="00003DE4">
        <w:rPr>
          <w:rFonts w:ascii="Arial" w:hAnsi="Arial" w:cs="Arial"/>
          <w:lang w:val="fr-FR"/>
        </w:rPr>
        <w:tab/>
      </w:r>
      <w:r w:rsidR="00E34310" w:rsidRPr="00003DE4">
        <w:rPr>
          <w:rFonts w:ascii="Arial" w:hAnsi="Arial" w:cs="Arial"/>
          <w:lang w:val="fr-FR"/>
        </w:rPr>
        <w:t xml:space="preserve">La deuxième édition du </w:t>
      </w:r>
      <w:r w:rsidR="00E34310" w:rsidRPr="00003DE4">
        <w:rPr>
          <w:rFonts w:ascii="Arial" w:hAnsi="Arial" w:cs="Arial"/>
          <w:i/>
          <w:iCs/>
          <w:lang w:val="fr-FR"/>
        </w:rPr>
        <w:t xml:space="preserve">Rapport de la COI sur l’état de l’océan </w:t>
      </w:r>
      <w:r w:rsidR="00E34310" w:rsidRPr="00003DE4">
        <w:rPr>
          <w:rFonts w:ascii="Arial" w:hAnsi="Arial" w:cs="Arial"/>
          <w:lang w:val="fr-FR"/>
        </w:rPr>
        <w:t xml:space="preserve">a paru en juin </w:t>
      </w:r>
      <w:hyperlink r:id="rId12" w:history="1">
        <w:r w:rsidR="00E34310" w:rsidRPr="00003DE4">
          <w:rPr>
            <w:rStyle w:val="Hyperlink"/>
            <w:rFonts w:ascii="Arial" w:hAnsi="Arial" w:cs="Arial"/>
            <w:lang w:val="fr-FR"/>
          </w:rPr>
          <w:t>2024</w:t>
        </w:r>
      </w:hyperlink>
      <w:r w:rsidR="00E34310" w:rsidRPr="00003DE4">
        <w:rPr>
          <w:rFonts w:ascii="Arial" w:hAnsi="Arial" w:cs="Arial"/>
          <w:lang w:val="fr-FR"/>
        </w:rPr>
        <w:t>. Le</w:t>
      </w:r>
      <w:r w:rsidR="008914BF">
        <w:rPr>
          <w:rFonts w:ascii="Arial" w:hAnsi="Arial" w:cs="Arial"/>
          <w:lang w:val="fr-FR"/>
        </w:rPr>
        <w:t> </w:t>
      </w:r>
      <w:r w:rsidR="00E34310" w:rsidRPr="00003DE4">
        <w:rPr>
          <w:rFonts w:ascii="Arial" w:hAnsi="Arial" w:cs="Arial"/>
          <w:lang w:val="fr-FR"/>
        </w:rPr>
        <w:t>Rapport présente les résultats d’activités et d’analyses scientifiques liées à l’océan qui visent à décrire l’état actuel et futur de ce milieu, en se penchant sur des aspects physiques, chimiques, écologiques, socioéconomiques et de gouvernance, avec en ligne de mire les sept résultats de la Décennie de l’Océan. Un appel aux membres du Comité consultatif sur le Rapport sur l’état de l’océan</w:t>
      </w:r>
      <w:r w:rsidR="00DB1767" w:rsidRPr="00003DE4">
        <w:rPr>
          <w:rFonts w:ascii="Arial" w:hAnsi="Arial" w:cs="Arial"/>
          <w:lang w:val="fr-FR"/>
        </w:rPr>
        <w:t> </w:t>
      </w:r>
      <w:r w:rsidR="00E34310" w:rsidRPr="00003DE4">
        <w:rPr>
          <w:rFonts w:ascii="Arial" w:hAnsi="Arial" w:cs="Arial"/>
          <w:lang w:val="fr-FR"/>
        </w:rPr>
        <w:t>2026 a été lancé en mars</w:t>
      </w:r>
      <w:r w:rsidR="008914BF">
        <w:rPr>
          <w:rFonts w:ascii="Arial" w:hAnsi="Arial" w:cs="Arial"/>
          <w:lang w:val="fr-FR"/>
        </w:rPr>
        <w:t> </w:t>
      </w:r>
      <w:r w:rsidR="00E34310" w:rsidRPr="00003DE4">
        <w:rPr>
          <w:rFonts w:ascii="Arial" w:hAnsi="Arial" w:cs="Arial"/>
          <w:lang w:val="fr-FR"/>
        </w:rPr>
        <w:t xml:space="preserve">2025, et une première réunion du Comité consacrée au lancement de la planification </w:t>
      </w:r>
      <w:r w:rsidR="00BF5718" w:rsidRPr="00003DE4">
        <w:rPr>
          <w:rFonts w:ascii="Arial" w:hAnsi="Arial" w:cs="Arial"/>
          <w:lang w:val="fr-FR"/>
        </w:rPr>
        <w:t xml:space="preserve">de l’édition 2026 </w:t>
      </w:r>
      <w:r w:rsidR="00E34310" w:rsidRPr="00003DE4">
        <w:rPr>
          <w:rFonts w:ascii="Arial" w:hAnsi="Arial" w:cs="Arial"/>
          <w:lang w:val="fr-FR"/>
        </w:rPr>
        <w:t>du Rapport s’est tenue en mai</w:t>
      </w:r>
      <w:r w:rsidR="00025D51">
        <w:rPr>
          <w:rFonts w:ascii="Arial" w:hAnsi="Arial" w:cs="Arial"/>
          <w:lang w:val="fr-FR"/>
        </w:rPr>
        <w:t> </w:t>
      </w:r>
      <w:r w:rsidR="00E34310" w:rsidRPr="00003DE4">
        <w:rPr>
          <w:rFonts w:ascii="Arial" w:hAnsi="Arial" w:cs="Arial"/>
          <w:lang w:val="fr-FR"/>
        </w:rPr>
        <w:t>2025.</w:t>
      </w:r>
    </w:p>
    <w:p w14:paraId="33E12C04" w14:textId="42BAC0DC" w:rsidR="00222224" w:rsidRPr="00003DE4" w:rsidRDefault="00222224" w:rsidP="008914BF">
      <w:pPr>
        <w:pStyle w:val="ListParagraph"/>
        <w:tabs>
          <w:tab w:val="left" w:pos="567"/>
        </w:tabs>
        <w:snapToGrid w:val="0"/>
        <w:spacing w:after="240" w:line="240" w:lineRule="auto"/>
        <w:ind w:left="0"/>
        <w:contextualSpacing w:val="0"/>
        <w:jc w:val="both"/>
        <w:rPr>
          <w:rFonts w:ascii="Arial" w:hAnsi="Arial" w:cs="Arial"/>
          <w:lang w:val="fr-FR"/>
        </w:rPr>
      </w:pPr>
      <w:r w:rsidRPr="00003DE4">
        <w:rPr>
          <w:rFonts w:ascii="Arial" w:hAnsi="Arial" w:cs="Arial"/>
          <w:lang w:val="fr-FR"/>
        </w:rPr>
        <w:t>14.</w:t>
      </w:r>
      <w:r w:rsidRPr="00003DE4">
        <w:rPr>
          <w:rFonts w:ascii="Arial" w:hAnsi="Arial" w:cs="Arial"/>
          <w:lang w:val="fr-FR"/>
        </w:rPr>
        <w:tab/>
      </w:r>
      <w:r w:rsidR="00E34310" w:rsidRPr="00003DE4">
        <w:rPr>
          <w:rFonts w:ascii="Arial" w:hAnsi="Arial" w:cs="Arial"/>
          <w:u w:val="single"/>
          <w:lang w:val="fr-FR"/>
        </w:rPr>
        <w:t>Lors de la Conférence des Nations Unies sur les changements climatiques (COP-28)</w:t>
      </w:r>
      <w:r w:rsidR="000F5CEC" w:rsidRPr="00003DE4">
        <w:rPr>
          <w:rFonts w:ascii="Arial" w:hAnsi="Arial" w:cs="Arial"/>
          <w:lang w:val="fr-FR"/>
        </w:rPr>
        <w:t xml:space="preserve">, </w:t>
      </w:r>
      <w:r w:rsidR="00E34310" w:rsidRPr="00003DE4">
        <w:rPr>
          <w:rFonts w:ascii="Arial" w:hAnsi="Arial" w:cs="Arial"/>
          <w:lang w:val="fr-FR"/>
        </w:rPr>
        <w:t>en décembre</w:t>
      </w:r>
      <w:r w:rsidR="00025D51">
        <w:rPr>
          <w:rFonts w:ascii="Arial" w:hAnsi="Arial" w:cs="Arial"/>
          <w:lang w:val="fr-FR"/>
        </w:rPr>
        <w:t> </w:t>
      </w:r>
      <w:r w:rsidR="00E34310" w:rsidRPr="00003DE4">
        <w:rPr>
          <w:rFonts w:ascii="Arial" w:hAnsi="Arial" w:cs="Arial"/>
          <w:lang w:val="fr-FR"/>
        </w:rPr>
        <w:t>2023, la COI a défendu le rôle crucial des sciences océaniques comme fondement de l’action en faveur des océans et du climat. D’importants progrès ont été réalisés en ce qui concerne les enjeux relatifs aux océans dans le cadre du tout premier « </w:t>
      </w:r>
      <w:hyperlink r:id="rId13" w:history="1">
        <w:r w:rsidR="00E34310" w:rsidRPr="00003DE4">
          <w:rPr>
            <w:rStyle w:val="Hyperlink"/>
            <w:rFonts w:ascii="Arial" w:hAnsi="Arial" w:cs="Arial"/>
            <w:lang w:val="fr-FR"/>
          </w:rPr>
          <w:t>Bilan mondial</w:t>
        </w:r>
      </w:hyperlink>
      <w:r w:rsidR="00E34310" w:rsidRPr="00003DE4">
        <w:rPr>
          <w:rFonts w:ascii="Arial" w:hAnsi="Arial" w:cs="Arial"/>
          <w:lang w:val="fr-FR"/>
        </w:rPr>
        <w:t xml:space="preserve"> de la suite donnée à l’Accord de Paris », puisqu’il a été pris acte, de manière inédite, de la nécessité de prendre l’océan en considération dans le cadre de l’action climatique et de renforcer l’action en faveur de l’océan en se fondant sur les meilleures données océanographiques disponibles. </w:t>
      </w:r>
    </w:p>
    <w:p w14:paraId="6436CE60" w14:textId="6FBD5687" w:rsidR="00222224" w:rsidRPr="00003DE4" w:rsidRDefault="00222224" w:rsidP="008914BF">
      <w:pPr>
        <w:pStyle w:val="ListParagraph"/>
        <w:tabs>
          <w:tab w:val="left" w:pos="567"/>
        </w:tabs>
        <w:snapToGrid w:val="0"/>
        <w:spacing w:after="240" w:line="240" w:lineRule="auto"/>
        <w:ind w:left="0"/>
        <w:contextualSpacing w:val="0"/>
        <w:jc w:val="both"/>
        <w:rPr>
          <w:rFonts w:ascii="Arial" w:hAnsi="Arial" w:cs="Arial"/>
          <w:lang w:val="fr-FR"/>
        </w:rPr>
      </w:pPr>
      <w:r w:rsidRPr="00003DE4">
        <w:rPr>
          <w:rFonts w:ascii="Arial" w:hAnsi="Arial" w:cs="Arial"/>
          <w:lang w:val="fr-FR"/>
        </w:rPr>
        <w:t>15.</w:t>
      </w:r>
      <w:r w:rsidRPr="00003DE4">
        <w:rPr>
          <w:rFonts w:ascii="Arial" w:hAnsi="Arial" w:cs="Arial"/>
          <w:lang w:val="fr-FR"/>
        </w:rPr>
        <w:tab/>
      </w:r>
      <w:r w:rsidR="00E34310" w:rsidRPr="00003DE4">
        <w:rPr>
          <w:rFonts w:ascii="Arial" w:hAnsi="Arial" w:cs="Arial"/>
          <w:lang w:val="fr-FR"/>
        </w:rPr>
        <w:t xml:space="preserve">Les données soumises par la COI au titre de </w:t>
      </w:r>
      <w:r w:rsidR="00E34310" w:rsidRPr="00003DE4">
        <w:rPr>
          <w:rFonts w:ascii="Arial" w:hAnsi="Arial" w:cs="Arial"/>
          <w:u w:val="single"/>
          <w:lang w:val="fr-FR"/>
        </w:rPr>
        <w:t>l’indicateur</w:t>
      </w:r>
      <w:r w:rsidR="00DB1767" w:rsidRPr="00003DE4">
        <w:rPr>
          <w:rFonts w:ascii="Arial" w:hAnsi="Arial" w:cs="Arial"/>
          <w:u w:val="single"/>
          <w:lang w:val="fr-FR"/>
        </w:rPr>
        <w:t> </w:t>
      </w:r>
      <w:r w:rsidR="00E34310" w:rsidRPr="00003DE4">
        <w:rPr>
          <w:rFonts w:ascii="Arial" w:hAnsi="Arial" w:cs="Arial"/>
          <w:u w:val="single"/>
          <w:lang w:val="fr-FR"/>
        </w:rPr>
        <w:t>3.1 de l’ODD</w:t>
      </w:r>
      <w:r w:rsidR="00DB1767" w:rsidRPr="00003DE4">
        <w:rPr>
          <w:rFonts w:ascii="Arial" w:hAnsi="Arial" w:cs="Arial"/>
          <w:u w:val="single"/>
          <w:lang w:val="fr-FR"/>
        </w:rPr>
        <w:t> </w:t>
      </w:r>
      <w:r w:rsidR="00E34310" w:rsidRPr="00003DE4">
        <w:rPr>
          <w:rFonts w:ascii="Arial" w:hAnsi="Arial" w:cs="Arial"/>
          <w:u w:val="single"/>
          <w:lang w:val="fr-FR"/>
        </w:rPr>
        <w:t>14 (Acidité moyenne des mers (pH) mesurée à plusieurs points de prélèvement représentatifs)</w:t>
      </w:r>
      <w:r w:rsidR="00E34310" w:rsidRPr="00003DE4">
        <w:rPr>
          <w:rFonts w:ascii="Arial" w:hAnsi="Arial" w:cs="Arial"/>
          <w:lang w:val="fr-FR"/>
        </w:rPr>
        <w:t xml:space="preserve"> ont été recueillies auprès d’un plus grand nombre de pays et de points de prélèvement (178</w:t>
      </w:r>
      <w:r w:rsidR="00025D51">
        <w:rPr>
          <w:rFonts w:ascii="Arial" w:hAnsi="Arial" w:cs="Arial"/>
          <w:lang w:val="fr-FR"/>
        </w:rPr>
        <w:t> </w:t>
      </w:r>
      <w:r w:rsidR="00E34310" w:rsidRPr="00003DE4">
        <w:rPr>
          <w:rFonts w:ascii="Arial" w:hAnsi="Arial" w:cs="Arial"/>
          <w:lang w:val="fr-FR"/>
        </w:rPr>
        <w:t>points de prélèvement en 2021</w:t>
      </w:r>
      <w:r w:rsidRPr="00003DE4">
        <w:rPr>
          <w:rFonts w:ascii="Arial" w:hAnsi="Arial" w:cs="Arial"/>
          <w:lang w:val="fr-FR"/>
        </w:rPr>
        <w:t> ;</w:t>
      </w:r>
      <w:r w:rsidR="00E34310" w:rsidRPr="00003DE4">
        <w:rPr>
          <w:rFonts w:ascii="Arial" w:hAnsi="Arial" w:cs="Arial"/>
          <w:lang w:val="fr-FR"/>
        </w:rPr>
        <w:t xml:space="preserve"> 765</w:t>
      </w:r>
      <w:r w:rsidR="00DB1767" w:rsidRPr="00003DE4">
        <w:rPr>
          <w:rFonts w:ascii="Arial" w:hAnsi="Arial" w:cs="Arial"/>
          <w:lang w:val="fr-FR"/>
        </w:rPr>
        <w:t> </w:t>
      </w:r>
      <w:r w:rsidR="000F5CEC" w:rsidRPr="00003DE4">
        <w:rPr>
          <w:rFonts w:ascii="Arial" w:hAnsi="Arial" w:cs="Arial"/>
          <w:lang w:val="fr-FR"/>
        </w:rPr>
        <w:t xml:space="preserve">points de prélèvement </w:t>
      </w:r>
      <w:r w:rsidR="00E34310" w:rsidRPr="00003DE4">
        <w:rPr>
          <w:rFonts w:ascii="Arial" w:hAnsi="Arial" w:cs="Arial"/>
          <w:lang w:val="fr-FR"/>
        </w:rPr>
        <w:t>d</w:t>
      </w:r>
      <w:r w:rsidR="000F5CEC" w:rsidRPr="00003DE4">
        <w:rPr>
          <w:rFonts w:ascii="Arial" w:hAnsi="Arial" w:cs="Arial"/>
          <w:lang w:val="fr-FR"/>
        </w:rPr>
        <w:t>ans</w:t>
      </w:r>
      <w:r w:rsidR="00E34310" w:rsidRPr="00003DE4">
        <w:rPr>
          <w:rFonts w:ascii="Arial" w:hAnsi="Arial" w:cs="Arial"/>
          <w:lang w:val="fr-FR"/>
        </w:rPr>
        <w:t xml:space="preserve"> 44</w:t>
      </w:r>
      <w:r w:rsidR="00DB1767" w:rsidRPr="00003DE4">
        <w:rPr>
          <w:rFonts w:ascii="Arial" w:hAnsi="Arial" w:cs="Arial"/>
          <w:lang w:val="fr-FR"/>
        </w:rPr>
        <w:t> </w:t>
      </w:r>
      <w:r w:rsidR="00E34310" w:rsidRPr="00003DE4">
        <w:rPr>
          <w:rFonts w:ascii="Arial" w:hAnsi="Arial" w:cs="Arial"/>
          <w:lang w:val="fr-FR"/>
        </w:rPr>
        <w:t xml:space="preserve">pays en 2025). </w:t>
      </w:r>
    </w:p>
    <w:p w14:paraId="2A2BCE6F" w14:textId="0F038666" w:rsidR="00222224" w:rsidRPr="00003DE4" w:rsidRDefault="00222224" w:rsidP="008914BF">
      <w:pPr>
        <w:pStyle w:val="ListParagraph"/>
        <w:tabs>
          <w:tab w:val="left" w:pos="567"/>
        </w:tabs>
        <w:snapToGrid w:val="0"/>
        <w:spacing w:after="240" w:line="240" w:lineRule="auto"/>
        <w:ind w:left="0"/>
        <w:contextualSpacing w:val="0"/>
        <w:jc w:val="both"/>
        <w:rPr>
          <w:rFonts w:ascii="Arial" w:hAnsi="Arial" w:cs="Arial"/>
          <w:lang w:val="fr-FR"/>
        </w:rPr>
      </w:pPr>
      <w:r w:rsidRPr="00003DE4">
        <w:rPr>
          <w:rFonts w:ascii="Arial" w:hAnsi="Arial" w:cs="Arial"/>
          <w:lang w:val="fr-FR"/>
        </w:rPr>
        <w:t>16.</w:t>
      </w:r>
      <w:r w:rsidRPr="00003DE4">
        <w:rPr>
          <w:rFonts w:ascii="Arial" w:hAnsi="Arial" w:cs="Arial"/>
          <w:lang w:val="fr-FR"/>
        </w:rPr>
        <w:tab/>
      </w:r>
      <w:r w:rsidR="00E34310" w:rsidRPr="00003DE4">
        <w:rPr>
          <w:rFonts w:ascii="Arial" w:hAnsi="Arial" w:cs="Arial"/>
          <w:lang w:val="fr-FR"/>
        </w:rPr>
        <w:t>Le réseau mondial d’experts sur l’</w:t>
      </w:r>
      <w:r w:rsidR="00E34310" w:rsidRPr="00003DE4">
        <w:rPr>
          <w:rFonts w:ascii="Arial" w:hAnsi="Arial" w:cs="Arial"/>
          <w:u w:val="single"/>
          <w:lang w:val="fr-FR"/>
        </w:rPr>
        <w:t>acidification de l’océan</w:t>
      </w:r>
      <w:r w:rsidR="00E34310" w:rsidRPr="00003DE4">
        <w:rPr>
          <w:rFonts w:ascii="Arial" w:hAnsi="Arial" w:cs="Arial"/>
          <w:lang w:val="fr-FR"/>
        </w:rPr>
        <w:t xml:space="preserve"> coordonné par la COI compte aujourd’hui plus de 1</w:t>
      </w:r>
      <w:r w:rsidR="00025D51">
        <w:rPr>
          <w:rFonts w:ascii="Arial" w:hAnsi="Arial" w:cs="Arial"/>
          <w:lang w:val="fr-FR"/>
        </w:rPr>
        <w:t> </w:t>
      </w:r>
      <w:r w:rsidR="00E34310" w:rsidRPr="00003DE4">
        <w:rPr>
          <w:rFonts w:ascii="Arial" w:hAnsi="Arial" w:cs="Arial"/>
          <w:lang w:val="fr-FR"/>
        </w:rPr>
        <w:t>500</w:t>
      </w:r>
      <w:r w:rsidR="00DB1767" w:rsidRPr="00003DE4">
        <w:rPr>
          <w:rFonts w:ascii="Arial" w:hAnsi="Arial" w:cs="Arial"/>
          <w:lang w:val="fr-FR"/>
        </w:rPr>
        <w:t> </w:t>
      </w:r>
      <w:r w:rsidR="00E34310" w:rsidRPr="00003DE4">
        <w:rPr>
          <w:rFonts w:ascii="Arial" w:hAnsi="Arial" w:cs="Arial"/>
          <w:lang w:val="fr-FR"/>
        </w:rPr>
        <w:t>membres de 116</w:t>
      </w:r>
      <w:r w:rsidR="00DB1767" w:rsidRPr="00003DE4">
        <w:rPr>
          <w:rFonts w:ascii="Arial" w:hAnsi="Arial" w:cs="Arial"/>
          <w:lang w:val="fr-FR"/>
        </w:rPr>
        <w:t> </w:t>
      </w:r>
      <w:r w:rsidR="00E34310" w:rsidRPr="00003DE4">
        <w:rPr>
          <w:rFonts w:ascii="Arial" w:hAnsi="Arial" w:cs="Arial"/>
          <w:lang w:val="fr-FR"/>
        </w:rPr>
        <w:t>pays (dont 26 en Afrique et 23</w:t>
      </w:r>
      <w:r w:rsidR="00DB1767" w:rsidRPr="00003DE4">
        <w:rPr>
          <w:rFonts w:ascii="Arial" w:hAnsi="Arial" w:cs="Arial"/>
          <w:lang w:val="fr-FR"/>
        </w:rPr>
        <w:t> </w:t>
      </w:r>
      <w:r w:rsidR="00E34310" w:rsidRPr="00003DE4">
        <w:rPr>
          <w:rFonts w:ascii="Arial" w:hAnsi="Arial" w:cs="Arial"/>
          <w:lang w:val="fr-FR"/>
        </w:rPr>
        <w:t xml:space="preserve">PEID) et continue de se développer. </w:t>
      </w:r>
    </w:p>
    <w:p w14:paraId="06272B83" w14:textId="75B14741" w:rsidR="00222224" w:rsidRPr="00003DE4" w:rsidRDefault="00222224" w:rsidP="00025D51">
      <w:pPr>
        <w:pStyle w:val="ListParagraph"/>
        <w:keepNext/>
        <w:keepLines/>
        <w:tabs>
          <w:tab w:val="left" w:pos="567"/>
        </w:tabs>
        <w:snapToGrid w:val="0"/>
        <w:spacing w:after="240" w:line="240" w:lineRule="auto"/>
        <w:ind w:left="0"/>
        <w:contextualSpacing w:val="0"/>
        <w:jc w:val="both"/>
        <w:rPr>
          <w:rFonts w:ascii="Arial" w:hAnsi="Arial" w:cs="Arial"/>
          <w:lang w:val="fr-FR"/>
        </w:rPr>
      </w:pPr>
      <w:r w:rsidRPr="00003DE4">
        <w:rPr>
          <w:rFonts w:ascii="Arial" w:hAnsi="Arial" w:cs="Arial"/>
          <w:lang w:val="fr-FR"/>
        </w:rPr>
        <w:lastRenderedPageBreak/>
        <w:t>17.</w:t>
      </w:r>
      <w:r w:rsidRPr="00003DE4">
        <w:rPr>
          <w:rFonts w:ascii="Arial" w:hAnsi="Arial" w:cs="Arial"/>
          <w:lang w:val="fr-FR"/>
        </w:rPr>
        <w:tab/>
      </w:r>
      <w:r w:rsidR="00E34310" w:rsidRPr="00003DE4">
        <w:rPr>
          <w:rFonts w:ascii="Arial" w:hAnsi="Arial" w:cs="Arial"/>
          <w:lang w:val="fr-FR"/>
        </w:rPr>
        <w:t xml:space="preserve">La </w:t>
      </w:r>
      <w:r w:rsidR="00E34310" w:rsidRPr="00003DE4">
        <w:rPr>
          <w:rFonts w:ascii="Arial" w:hAnsi="Arial" w:cs="Arial"/>
          <w:u w:val="single"/>
          <w:lang w:val="fr-FR"/>
        </w:rPr>
        <w:t>désoxygénation des océans</w:t>
      </w:r>
      <w:r w:rsidR="00E34310" w:rsidRPr="00003DE4">
        <w:rPr>
          <w:rFonts w:ascii="Arial" w:hAnsi="Arial" w:cs="Arial"/>
          <w:lang w:val="fr-FR"/>
        </w:rPr>
        <w:t xml:space="preserve"> continue de menacer la santé des océans. Des approches axées sur la réoxygénation sont proposées comme moyen de réduire l’étendue des zones à faible teneur en oxygène. Le groupe de travail du Réseau mondial de la COI pour le suivi de la concentration en oxygène des océans</w:t>
      </w:r>
      <w:r w:rsidR="00025D51">
        <w:rPr>
          <w:rFonts w:ascii="Arial" w:hAnsi="Arial" w:cs="Arial"/>
          <w:lang w:val="fr-FR"/>
        </w:rPr>
        <w:t> </w:t>
      </w:r>
      <w:r w:rsidR="00E34310" w:rsidRPr="00003DE4">
        <w:rPr>
          <w:rFonts w:ascii="Arial" w:hAnsi="Arial" w:cs="Arial"/>
          <w:lang w:val="fr-FR"/>
        </w:rPr>
        <w:t>(GO2NE) a réuni des experts en septembre</w:t>
      </w:r>
      <w:r w:rsidR="00025D51">
        <w:rPr>
          <w:rFonts w:ascii="Arial" w:hAnsi="Arial" w:cs="Arial"/>
          <w:lang w:val="fr-FR"/>
        </w:rPr>
        <w:t> </w:t>
      </w:r>
      <w:r w:rsidR="00E34310" w:rsidRPr="00003DE4">
        <w:rPr>
          <w:rFonts w:ascii="Arial" w:hAnsi="Arial" w:cs="Arial"/>
          <w:lang w:val="fr-FR"/>
        </w:rPr>
        <w:t xml:space="preserve">2024 </w:t>
      </w:r>
      <w:r w:rsidR="00BF5718" w:rsidRPr="00003DE4">
        <w:rPr>
          <w:rFonts w:ascii="Arial" w:hAnsi="Arial" w:cs="Arial"/>
          <w:lang w:val="fr-FR"/>
        </w:rPr>
        <w:t>afin de</w:t>
      </w:r>
      <w:r w:rsidR="00E34310" w:rsidRPr="00003DE4">
        <w:rPr>
          <w:rFonts w:ascii="Arial" w:hAnsi="Arial" w:cs="Arial"/>
          <w:lang w:val="fr-FR"/>
        </w:rPr>
        <w:t xml:space="preserve"> discuter de la capacité des approches de réoxygénation </w:t>
      </w:r>
      <w:r w:rsidR="00BF5718" w:rsidRPr="00003DE4">
        <w:rPr>
          <w:rFonts w:ascii="Arial" w:hAnsi="Arial" w:cs="Arial"/>
          <w:lang w:val="fr-FR"/>
        </w:rPr>
        <w:t>de</w:t>
      </w:r>
      <w:r w:rsidR="00E34310" w:rsidRPr="00003DE4">
        <w:rPr>
          <w:rFonts w:ascii="Arial" w:hAnsi="Arial" w:cs="Arial"/>
          <w:lang w:val="fr-FR"/>
        </w:rPr>
        <w:t xml:space="preserve"> stopper la désoxygénation. Les résultats de l’atelier </w:t>
      </w:r>
      <w:r w:rsidR="009647BE" w:rsidRPr="00003DE4">
        <w:rPr>
          <w:rFonts w:ascii="Arial" w:hAnsi="Arial" w:cs="Arial"/>
          <w:lang w:val="fr-FR"/>
        </w:rPr>
        <w:t>paraîtront</w:t>
      </w:r>
      <w:r w:rsidR="00E34310" w:rsidRPr="00003DE4">
        <w:rPr>
          <w:rFonts w:ascii="Arial" w:hAnsi="Arial" w:cs="Arial"/>
          <w:lang w:val="fr-FR"/>
        </w:rPr>
        <w:t xml:space="preserve"> dans la revue </w:t>
      </w:r>
      <w:proofErr w:type="spellStart"/>
      <w:r w:rsidR="00E34310" w:rsidRPr="00003DE4">
        <w:rPr>
          <w:rFonts w:ascii="Arial" w:hAnsi="Arial" w:cs="Arial"/>
          <w:i/>
          <w:iCs/>
          <w:lang w:val="fr-FR"/>
        </w:rPr>
        <w:t>Eos</w:t>
      </w:r>
      <w:proofErr w:type="spellEnd"/>
      <w:r w:rsidR="00E34310" w:rsidRPr="00003DE4">
        <w:rPr>
          <w:rFonts w:ascii="Arial" w:hAnsi="Arial" w:cs="Arial"/>
          <w:lang w:val="fr-FR"/>
        </w:rPr>
        <w:t>.</w:t>
      </w:r>
    </w:p>
    <w:p w14:paraId="1E764C7E" w14:textId="75398080" w:rsidR="00222224" w:rsidRPr="00003DE4" w:rsidRDefault="00222224" w:rsidP="00025D51">
      <w:pPr>
        <w:pStyle w:val="ListParagraph"/>
        <w:tabs>
          <w:tab w:val="left" w:pos="567"/>
        </w:tabs>
        <w:snapToGrid w:val="0"/>
        <w:spacing w:after="240" w:line="240" w:lineRule="auto"/>
        <w:ind w:left="0"/>
        <w:contextualSpacing w:val="0"/>
        <w:jc w:val="both"/>
        <w:rPr>
          <w:rFonts w:ascii="Arial" w:hAnsi="Arial" w:cs="Arial"/>
          <w:lang w:val="fr-FR"/>
        </w:rPr>
      </w:pPr>
      <w:r w:rsidRPr="00003DE4">
        <w:rPr>
          <w:rFonts w:ascii="Arial" w:hAnsi="Arial" w:cs="Arial"/>
          <w:lang w:val="fr-FR"/>
        </w:rPr>
        <w:t>18.</w:t>
      </w:r>
      <w:r w:rsidRPr="00003DE4">
        <w:rPr>
          <w:rFonts w:ascii="Arial" w:hAnsi="Arial" w:cs="Arial"/>
          <w:lang w:val="fr-FR"/>
        </w:rPr>
        <w:tab/>
      </w:r>
      <w:r w:rsidR="00E34310" w:rsidRPr="00003DE4">
        <w:rPr>
          <w:rFonts w:ascii="Arial" w:hAnsi="Arial" w:cs="Arial"/>
          <w:lang w:val="fr-FR"/>
        </w:rPr>
        <w:t xml:space="preserve">Le portefeuille d’activités de la COI visant à conserver, restaurer et gérer durablement les écosystèmes côtiers à carbone bleu </w:t>
      </w:r>
      <w:r w:rsidR="009647BE" w:rsidRPr="00003DE4">
        <w:rPr>
          <w:rFonts w:ascii="Arial" w:hAnsi="Arial" w:cs="Arial"/>
          <w:lang w:val="fr-FR"/>
        </w:rPr>
        <w:t>au bénéfice du</w:t>
      </w:r>
      <w:r w:rsidR="00E34310" w:rsidRPr="00003DE4">
        <w:rPr>
          <w:rFonts w:ascii="Arial" w:hAnsi="Arial" w:cs="Arial"/>
          <w:lang w:val="fr-FR"/>
        </w:rPr>
        <w:t xml:space="preserve"> climat, </w:t>
      </w:r>
      <w:r w:rsidR="009647BE" w:rsidRPr="00003DE4">
        <w:rPr>
          <w:rFonts w:ascii="Arial" w:hAnsi="Arial" w:cs="Arial"/>
          <w:lang w:val="fr-FR"/>
        </w:rPr>
        <w:t xml:space="preserve">de </w:t>
      </w:r>
      <w:r w:rsidR="00E34310" w:rsidRPr="00003DE4">
        <w:rPr>
          <w:rFonts w:ascii="Arial" w:hAnsi="Arial" w:cs="Arial"/>
          <w:lang w:val="fr-FR"/>
        </w:rPr>
        <w:t xml:space="preserve">la biodiversité et </w:t>
      </w:r>
      <w:r w:rsidR="009647BE" w:rsidRPr="00003DE4">
        <w:rPr>
          <w:rFonts w:ascii="Arial" w:hAnsi="Arial" w:cs="Arial"/>
          <w:lang w:val="fr-FR"/>
        </w:rPr>
        <w:t xml:space="preserve">de </w:t>
      </w:r>
      <w:r w:rsidR="00E34310" w:rsidRPr="00003DE4">
        <w:rPr>
          <w:rFonts w:ascii="Arial" w:hAnsi="Arial" w:cs="Arial"/>
          <w:lang w:val="fr-FR"/>
        </w:rPr>
        <w:t>l’économie continue de s’étoffer à la demande des États</w:t>
      </w:r>
      <w:r w:rsidR="00025D51">
        <w:rPr>
          <w:rFonts w:ascii="Arial" w:hAnsi="Arial" w:cs="Arial"/>
          <w:lang w:val="fr-FR"/>
        </w:rPr>
        <w:t> </w:t>
      </w:r>
      <w:r w:rsidR="00E34310" w:rsidRPr="00003DE4">
        <w:rPr>
          <w:rFonts w:ascii="Arial" w:hAnsi="Arial" w:cs="Arial"/>
          <w:lang w:val="fr-FR"/>
        </w:rPr>
        <w:t>membres. La C</w:t>
      </w:r>
      <w:r w:rsidR="00F06459" w:rsidRPr="00003DE4">
        <w:rPr>
          <w:rFonts w:ascii="Arial" w:hAnsi="Arial" w:cs="Arial"/>
          <w:lang w:val="fr-FR"/>
        </w:rPr>
        <w:t>ommission</w:t>
      </w:r>
      <w:r w:rsidR="00E34310" w:rsidRPr="00003DE4">
        <w:rPr>
          <w:rFonts w:ascii="Arial" w:hAnsi="Arial" w:cs="Arial"/>
          <w:lang w:val="fr-FR"/>
        </w:rPr>
        <w:t xml:space="preserve"> participe à la coordination de l’Initiative Carbone bleu (depuis 2010), du Partenariat international pour le carbone bleu (IPBC, depuis 2020), une initiative de l’Australie, et du groupe d’ambition de haut niveau sur le carbone bleu (depuis 2022), une initiative de la France. </w:t>
      </w:r>
      <w:r w:rsidR="00426DB0" w:rsidRPr="00003DE4">
        <w:rPr>
          <w:rFonts w:ascii="Arial" w:hAnsi="Arial" w:cs="Arial"/>
          <w:lang w:val="fr-FR"/>
        </w:rPr>
        <w:t>De plus</w:t>
      </w:r>
      <w:r w:rsidR="00F06459" w:rsidRPr="00003DE4">
        <w:rPr>
          <w:rFonts w:ascii="Arial" w:hAnsi="Arial" w:cs="Arial"/>
          <w:lang w:val="fr-FR"/>
        </w:rPr>
        <w:t>, l</w:t>
      </w:r>
      <w:r w:rsidR="00E34310" w:rsidRPr="00003DE4">
        <w:rPr>
          <w:rFonts w:ascii="Arial" w:hAnsi="Arial" w:cs="Arial"/>
          <w:lang w:val="fr-FR"/>
        </w:rPr>
        <w:t>a COI a été l’un des promoteurs du programme de la Décennie mondiale de l’Océan pour le carbone bleu (GO-BC) à la fin de l’année</w:t>
      </w:r>
      <w:r w:rsidR="00DB1767" w:rsidRPr="00003DE4">
        <w:rPr>
          <w:rFonts w:ascii="Arial" w:hAnsi="Arial" w:cs="Arial"/>
          <w:lang w:val="fr-FR"/>
        </w:rPr>
        <w:t> </w:t>
      </w:r>
      <w:r w:rsidR="00E34310" w:rsidRPr="00003DE4">
        <w:rPr>
          <w:rFonts w:ascii="Arial" w:hAnsi="Arial" w:cs="Arial"/>
          <w:lang w:val="fr-FR"/>
        </w:rPr>
        <w:t>2021</w:t>
      </w:r>
      <w:r w:rsidR="00F06459" w:rsidRPr="00003DE4">
        <w:rPr>
          <w:rFonts w:ascii="Arial" w:hAnsi="Arial" w:cs="Arial"/>
          <w:lang w:val="fr-FR"/>
        </w:rPr>
        <w:t>,</w:t>
      </w:r>
      <w:r w:rsidR="00E34310" w:rsidRPr="00003DE4">
        <w:rPr>
          <w:rFonts w:ascii="Arial" w:hAnsi="Arial" w:cs="Arial"/>
          <w:lang w:val="fr-FR"/>
        </w:rPr>
        <w:t xml:space="preserve"> et siège </w:t>
      </w:r>
      <w:r w:rsidR="00F06459" w:rsidRPr="00003DE4">
        <w:rPr>
          <w:rFonts w:ascii="Arial" w:hAnsi="Arial" w:cs="Arial"/>
          <w:lang w:val="fr-FR"/>
        </w:rPr>
        <w:t xml:space="preserve">depuis lors </w:t>
      </w:r>
      <w:r w:rsidR="00E34310" w:rsidRPr="00003DE4">
        <w:rPr>
          <w:rFonts w:ascii="Arial" w:hAnsi="Arial" w:cs="Arial"/>
          <w:lang w:val="fr-FR"/>
        </w:rPr>
        <w:t xml:space="preserve">à son comité directeur. Ces activités ont été présentées aux États membres lors d’une manifestation </w:t>
      </w:r>
      <w:r w:rsidR="009647BE" w:rsidRPr="00003DE4">
        <w:rPr>
          <w:rFonts w:ascii="Arial" w:hAnsi="Arial" w:cs="Arial"/>
          <w:lang w:val="fr-FR"/>
        </w:rPr>
        <w:t xml:space="preserve">spécifique </w:t>
      </w:r>
      <w:r w:rsidR="00E34310" w:rsidRPr="00003DE4">
        <w:rPr>
          <w:rFonts w:ascii="Arial" w:hAnsi="Arial" w:cs="Arial"/>
          <w:lang w:val="fr-FR"/>
        </w:rPr>
        <w:t>tenue en marge de la 57</w:t>
      </w:r>
      <w:r w:rsidR="00E34310" w:rsidRPr="00003DE4">
        <w:rPr>
          <w:rFonts w:ascii="Arial" w:hAnsi="Arial" w:cs="Arial"/>
          <w:vertAlign w:val="superscript"/>
          <w:lang w:val="fr-FR"/>
        </w:rPr>
        <w:t>e</w:t>
      </w:r>
      <w:r w:rsidR="00E34310" w:rsidRPr="00003DE4">
        <w:rPr>
          <w:rFonts w:ascii="Arial" w:hAnsi="Arial" w:cs="Arial"/>
          <w:lang w:val="fr-FR"/>
        </w:rPr>
        <w:t> session du Conseil exécutif de la COI, en juin</w:t>
      </w:r>
      <w:r w:rsidR="00025D51">
        <w:rPr>
          <w:rFonts w:ascii="Arial" w:hAnsi="Arial" w:cs="Arial"/>
          <w:lang w:val="fr-FR"/>
        </w:rPr>
        <w:t> </w:t>
      </w:r>
      <w:r w:rsidR="00E34310" w:rsidRPr="00003DE4">
        <w:rPr>
          <w:rFonts w:ascii="Arial" w:hAnsi="Arial" w:cs="Arial"/>
          <w:lang w:val="fr-FR"/>
        </w:rPr>
        <w:t>2024.</w:t>
      </w:r>
    </w:p>
    <w:p w14:paraId="32DA161B" w14:textId="02A72779" w:rsidR="00222224" w:rsidRPr="00003DE4" w:rsidRDefault="00222224" w:rsidP="00D80053">
      <w:pPr>
        <w:pStyle w:val="ListParagraph"/>
        <w:tabs>
          <w:tab w:val="left" w:pos="567"/>
        </w:tabs>
        <w:snapToGrid w:val="0"/>
        <w:spacing w:after="240" w:line="240" w:lineRule="auto"/>
        <w:ind w:left="0"/>
        <w:contextualSpacing w:val="0"/>
        <w:jc w:val="both"/>
        <w:rPr>
          <w:rFonts w:ascii="Arial" w:hAnsi="Arial" w:cs="Arial"/>
          <w:lang w:val="fr-FR"/>
        </w:rPr>
      </w:pPr>
      <w:r w:rsidRPr="00003DE4">
        <w:rPr>
          <w:rFonts w:ascii="Arial" w:hAnsi="Arial" w:cs="Arial"/>
          <w:lang w:val="fr-FR"/>
        </w:rPr>
        <w:t>19.</w:t>
      </w:r>
      <w:r w:rsidRPr="00003DE4">
        <w:rPr>
          <w:rFonts w:ascii="Arial" w:hAnsi="Arial" w:cs="Arial"/>
          <w:lang w:val="fr-FR"/>
        </w:rPr>
        <w:tab/>
      </w:r>
      <w:r w:rsidR="00E34310" w:rsidRPr="00003DE4">
        <w:rPr>
          <w:rFonts w:ascii="Arial" w:hAnsi="Arial" w:cs="Arial"/>
          <w:lang w:val="fr-FR"/>
        </w:rPr>
        <w:t>D’après le constat que les programmes conjoints entre la COI, le système des Nations Unies et d’autres organisations internationales sont des moyens importants de tirer parti des activités de la COI et de les renforcer pour mieux servir la société, et que ces programmes doivent être étayés par des accords opportuns et pertinents, un mémorandum d’accord révisé de quatre ans pour le Système mondial d’observation du climat (SMOC) a été négocié avec l’Organisation météorologique mondiale</w:t>
      </w:r>
      <w:r w:rsidR="00D80053">
        <w:rPr>
          <w:rFonts w:ascii="Arial" w:hAnsi="Arial" w:cs="Arial"/>
          <w:lang w:val="fr-FR"/>
        </w:rPr>
        <w:t> </w:t>
      </w:r>
      <w:r w:rsidR="00E34310" w:rsidRPr="00003DE4">
        <w:rPr>
          <w:rFonts w:ascii="Arial" w:hAnsi="Arial" w:cs="Arial"/>
          <w:lang w:val="fr-FR"/>
        </w:rPr>
        <w:t>(OMM), le Programme des Nations Unies pour l’environnement</w:t>
      </w:r>
      <w:r w:rsidR="00D80053">
        <w:rPr>
          <w:rFonts w:ascii="Arial" w:hAnsi="Arial" w:cs="Arial"/>
          <w:lang w:val="fr-FR"/>
        </w:rPr>
        <w:t> </w:t>
      </w:r>
      <w:r w:rsidR="00E34310" w:rsidRPr="00003DE4">
        <w:rPr>
          <w:rFonts w:ascii="Arial" w:hAnsi="Arial" w:cs="Arial"/>
          <w:lang w:val="fr-FR"/>
        </w:rPr>
        <w:t>(PNUE) et le Conseil international pour la science</w:t>
      </w:r>
      <w:r w:rsidR="00D80053">
        <w:rPr>
          <w:rFonts w:ascii="Arial" w:hAnsi="Arial" w:cs="Arial"/>
          <w:lang w:val="fr-FR"/>
        </w:rPr>
        <w:t> </w:t>
      </w:r>
      <w:r w:rsidR="00E34310" w:rsidRPr="00003DE4">
        <w:rPr>
          <w:rFonts w:ascii="Arial" w:hAnsi="Arial" w:cs="Arial"/>
          <w:lang w:val="fr-FR"/>
        </w:rPr>
        <w:t xml:space="preserve">(CSI). En outre, un mémorandum d’accord a été signé en avril 2024 entre la COI de l’UNESCO et la FAO </w:t>
      </w:r>
      <w:r w:rsidR="00426DB0" w:rsidRPr="00003DE4">
        <w:rPr>
          <w:rFonts w:ascii="Arial" w:hAnsi="Arial" w:cs="Arial"/>
          <w:lang w:val="fr-FR"/>
        </w:rPr>
        <w:t>afin d’</w:t>
      </w:r>
      <w:r w:rsidR="00E34310" w:rsidRPr="00003DE4">
        <w:rPr>
          <w:rFonts w:ascii="Arial" w:hAnsi="Arial" w:cs="Arial"/>
          <w:lang w:val="fr-FR"/>
        </w:rPr>
        <w:t xml:space="preserve">officialiser le parrainage conjoint du Groupe intergouvernemental chargé d’étudier les efflorescences algales nuisibles (IOC-FAO/IPHAB). Dans le cadre de la version actualisée du plan scientifique et de mise en œuvre du Programme mondial de recherche sur le climat, des discussions sont en cours entre la COI de l’UNESCO, l’OMM et le CSI </w:t>
      </w:r>
      <w:r w:rsidR="00426DB0" w:rsidRPr="00003DE4">
        <w:rPr>
          <w:rFonts w:ascii="Arial" w:hAnsi="Arial" w:cs="Arial"/>
          <w:lang w:val="fr-FR"/>
        </w:rPr>
        <w:t>en vue de</w:t>
      </w:r>
      <w:r w:rsidR="00E34310" w:rsidRPr="00003DE4">
        <w:rPr>
          <w:rFonts w:ascii="Arial" w:hAnsi="Arial" w:cs="Arial"/>
          <w:lang w:val="fr-FR"/>
        </w:rPr>
        <w:t xml:space="preserve"> mettre à jour l’accord de 1993 entre les organismes </w:t>
      </w:r>
      <w:proofErr w:type="spellStart"/>
      <w:r w:rsidR="00E34310" w:rsidRPr="00003DE4">
        <w:rPr>
          <w:rFonts w:ascii="Arial" w:hAnsi="Arial" w:cs="Arial"/>
          <w:lang w:val="fr-FR"/>
        </w:rPr>
        <w:t>coparrainants</w:t>
      </w:r>
      <w:proofErr w:type="spellEnd"/>
      <w:r w:rsidR="00426DB0" w:rsidRPr="00003DE4">
        <w:rPr>
          <w:rFonts w:ascii="Arial" w:hAnsi="Arial" w:cs="Arial"/>
          <w:lang w:val="fr-FR"/>
        </w:rPr>
        <w:t>,</w:t>
      </w:r>
      <w:r w:rsidR="00E34310" w:rsidRPr="00003DE4">
        <w:rPr>
          <w:rFonts w:ascii="Arial" w:hAnsi="Arial" w:cs="Arial"/>
          <w:lang w:val="fr-FR"/>
        </w:rPr>
        <w:t xml:space="preserve"> de </w:t>
      </w:r>
      <w:r w:rsidR="00426DB0" w:rsidRPr="00003DE4">
        <w:rPr>
          <w:rFonts w:ascii="Arial" w:hAnsi="Arial" w:cs="Arial"/>
          <w:lang w:val="fr-FR"/>
        </w:rPr>
        <w:t>façon</w:t>
      </w:r>
      <w:r w:rsidR="00E34310" w:rsidRPr="00003DE4">
        <w:rPr>
          <w:rFonts w:ascii="Arial" w:hAnsi="Arial" w:cs="Arial"/>
          <w:lang w:val="fr-FR"/>
        </w:rPr>
        <w:t xml:space="preserve"> qu’il </w:t>
      </w:r>
      <w:r w:rsidR="00426DB0" w:rsidRPr="00003DE4">
        <w:rPr>
          <w:rFonts w:ascii="Arial" w:hAnsi="Arial" w:cs="Arial"/>
          <w:lang w:val="fr-FR"/>
        </w:rPr>
        <w:t>tienne compte du</w:t>
      </w:r>
      <w:r w:rsidR="00E34310" w:rsidRPr="00003DE4">
        <w:rPr>
          <w:rFonts w:ascii="Arial" w:hAnsi="Arial" w:cs="Arial"/>
          <w:lang w:val="fr-FR"/>
        </w:rPr>
        <w:t xml:space="preserve"> plan et </w:t>
      </w:r>
      <w:r w:rsidR="00426DB0" w:rsidRPr="00003DE4">
        <w:rPr>
          <w:rFonts w:ascii="Arial" w:hAnsi="Arial" w:cs="Arial"/>
          <w:lang w:val="fr-FR"/>
        </w:rPr>
        <w:t>qu’il puisse être</w:t>
      </w:r>
      <w:r w:rsidR="00E34310" w:rsidRPr="00003DE4">
        <w:rPr>
          <w:rFonts w:ascii="Arial" w:hAnsi="Arial" w:cs="Arial"/>
          <w:lang w:val="fr-FR"/>
        </w:rPr>
        <w:t xml:space="preserve"> adapt</w:t>
      </w:r>
      <w:r w:rsidR="00426DB0" w:rsidRPr="00003DE4">
        <w:rPr>
          <w:rFonts w:ascii="Arial" w:hAnsi="Arial" w:cs="Arial"/>
          <w:lang w:val="fr-FR"/>
        </w:rPr>
        <w:t>é par la suite</w:t>
      </w:r>
      <w:r w:rsidR="00E34310" w:rsidRPr="00003DE4">
        <w:rPr>
          <w:rFonts w:ascii="Arial" w:hAnsi="Arial" w:cs="Arial"/>
          <w:lang w:val="fr-FR"/>
        </w:rPr>
        <w:t>. La COI, en tant qu’organisme coparrainant le Programme mondial de recherche sur le climat, organisera une réunion du Comité scientifique mixte au Siège de l’UNESCO en mai</w:t>
      </w:r>
      <w:r w:rsidR="00D80053">
        <w:rPr>
          <w:rFonts w:ascii="Arial" w:hAnsi="Arial" w:cs="Arial"/>
          <w:lang w:val="fr-FR"/>
        </w:rPr>
        <w:t> </w:t>
      </w:r>
      <w:r w:rsidR="00E34310" w:rsidRPr="00003DE4">
        <w:rPr>
          <w:rFonts w:ascii="Arial" w:hAnsi="Arial" w:cs="Arial"/>
          <w:lang w:val="fr-FR"/>
        </w:rPr>
        <w:t>2025.</w:t>
      </w:r>
    </w:p>
    <w:p w14:paraId="1877A55C" w14:textId="0B934F63" w:rsidR="00222224" w:rsidRPr="00003DE4" w:rsidRDefault="00222224" w:rsidP="00D80053">
      <w:pPr>
        <w:pStyle w:val="ListParagraph"/>
        <w:tabs>
          <w:tab w:val="left" w:pos="567"/>
        </w:tabs>
        <w:snapToGrid w:val="0"/>
        <w:spacing w:after="240" w:line="240" w:lineRule="auto"/>
        <w:ind w:left="0"/>
        <w:contextualSpacing w:val="0"/>
        <w:jc w:val="both"/>
        <w:rPr>
          <w:rFonts w:ascii="Arial" w:hAnsi="Arial" w:cs="Arial"/>
          <w:lang w:val="fr-FR"/>
        </w:rPr>
      </w:pPr>
      <w:r w:rsidRPr="00003DE4">
        <w:rPr>
          <w:rFonts w:ascii="Arial" w:hAnsi="Arial" w:cs="Arial"/>
          <w:lang w:val="fr-FR"/>
        </w:rPr>
        <w:t>20.</w:t>
      </w:r>
      <w:r w:rsidRPr="00003DE4">
        <w:rPr>
          <w:rFonts w:ascii="Arial" w:hAnsi="Arial" w:cs="Arial"/>
          <w:lang w:val="fr-FR"/>
        </w:rPr>
        <w:tab/>
      </w:r>
      <w:r w:rsidR="00E34310" w:rsidRPr="00003DE4">
        <w:rPr>
          <w:rFonts w:ascii="Arial" w:hAnsi="Arial" w:cs="Arial"/>
          <w:lang w:val="fr-FR"/>
        </w:rPr>
        <w:t xml:space="preserve">Le </w:t>
      </w:r>
      <w:r w:rsidR="00E34310" w:rsidRPr="00003DE4">
        <w:rPr>
          <w:rFonts w:ascii="Arial" w:hAnsi="Arial" w:cs="Arial"/>
          <w:u w:val="single"/>
          <w:lang w:val="fr-FR"/>
        </w:rPr>
        <w:t>Système mondial d’observation de l’océan (GOOS)</w:t>
      </w:r>
      <w:r w:rsidR="00E34310" w:rsidRPr="00003DE4">
        <w:rPr>
          <w:rFonts w:ascii="Arial" w:hAnsi="Arial" w:cs="Arial"/>
          <w:lang w:val="fr-FR"/>
        </w:rPr>
        <w:t xml:space="preserve"> coordonne plus de 8</w:t>
      </w:r>
      <w:r w:rsidR="00D80053">
        <w:rPr>
          <w:rFonts w:ascii="Arial" w:hAnsi="Arial" w:cs="Arial"/>
          <w:lang w:val="fr-FR"/>
        </w:rPr>
        <w:t> </w:t>
      </w:r>
      <w:r w:rsidR="00E34310" w:rsidRPr="00003DE4">
        <w:rPr>
          <w:rFonts w:ascii="Arial" w:hAnsi="Arial" w:cs="Arial"/>
          <w:lang w:val="fr-FR"/>
        </w:rPr>
        <w:t>700 plates</w:t>
      </w:r>
      <w:r w:rsidR="00D80053">
        <w:rPr>
          <w:rFonts w:ascii="Arial" w:hAnsi="Arial" w:cs="Arial"/>
          <w:lang w:val="fr-FR"/>
        </w:rPr>
        <w:noBreakHyphen/>
      </w:r>
      <w:r w:rsidR="00E34310" w:rsidRPr="00003DE4">
        <w:rPr>
          <w:rFonts w:ascii="Arial" w:hAnsi="Arial" w:cs="Arial"/>
          <w:lang w:val="fr-FR"/>
        </w:rPr>
        <w:t>formes d’observation de l’océan réparties au sein de 13</w:t>
      </w:r>
      <w:r w:rsidR="00DB1767" w:rsidRPr="00003DE4">
        <w:rPr>
          <w:rFonts w:ascii="Arial" w:hAnsi="Arial" w:cs="Arial"/>
          <w:lang w:val="fr-FR"/>
        </w:rPr>
        <w:t> </w:t>
      </w:r>
      <w:r w:rsidR="00E34310" w:rsidRPr="00003DE4">
        <w:rPr>
          <w:rFonts w:ascii="Arial" w:hAnsi="Arial" w:cs="Arial"/>
          <w:lang w:val="fr-FR"/>
        </w:rPr>
        <w:t>réseaux mondiaux d’observation de l’océan, gérés par 83 États membres (dont 9 en Afrique et 9</w:t>
      </w:r>
      <w:r w:rsidR="00DB1767" w:rsidRPr="00003DE4">
        <w:rPr>
          <w:rFonts w:ascii="Arial" w:hAnsi="Arial" w:cs="Arial"/>
          <w:lang w:val="fr-FR"/>
        </w:rPr>
        <w:t> </w:t>
      </w:r>
      <w:r w:rsidR="00E34310" w:rsidRPr="00003DE4">
        <w:rPr>
          <w:rFonts w:ascii="Arial" w:hAnsi="Arial" w:cs="Arial"/>
          <w:lang w:val="fr-FR"/>
        </w:rPr>
        <w:t>PEID). Plus de 120</w:t>
      </w:r>
      <w:r w:rsidR="00D80053">
        <w:rPr>
          <w:rFonts w:ascii="Arial" w:hAnsi="Arial" w:cs="Arial"/>
          <w:lang w:val="fr-FR"/>
        </w:rPr>
        <w:t> </w:t>
      </w:r>
      <w:r w:rsidR="00E34310" w:rsidRPr="00003DE4">
        <w:rPr>
          <w:rFonts w:ascii="Arial" w:hAnsi="Arial" w:cs="Arial"/>
          <w:lang w:val="fr-FR"/>
        </w:rPr>
        <w:t>000 observations océaniques sont fournies chaque jour aux systèmes de prévisions opérationnelles, selon les données du Centre opérationnel</w:t>
      </w:r>
      <w:r w:rsidR="00BD7EC4">
        <w:rPr>
          <w:rFonts w:ascii="Arial" w:hAnsi="Arial" w:cs="Arial"/>
          <w:lang w:val="fr-FR"/>
        </w:rPr>
        <w:t> </w:t>
      </w:r>
      <w:r w:rsidR="00E34310" w:rsidRPr="00003DE4">
        <w:rPr>
          <w:rFonts w:ascii="Arial" w:hAnsi="Arial" w:cs="Arial"/>
          <w:lang w:val="fr-FR"/>
        </w:rPr>
        <w:t>(OceanOPS) de la COI et de l’Organisation météorologique mondiale (OMM). Le nombre de programmes d’observation biologique et écologique coordonnés et suivis est passé à</w:t>
      </w:r>
      <w:r w:rsidR="00BD7EC4">
        <w:rPr>
          <w:rFonts w:ascii="Arial" w:hAnsi="Arial" w:cs="Arial"/>
          <w:lang w:val="fr-FR"/>
        </w:rPr>
        <w:t> </w:t>
      </w:r>
      <w:r w:rsidR="00E34310" w:rsidRPr="00003DE4">
        <w:rPr>
          <w:rFonts w:ascii="Arial" w:hAnsi="Arial" w:cs="Arial"/>
          <w:lang w:val="fr-FR"/>
        </w:rPr>
        <w:t xml:space="preserve">638 dans 71 États membres, dont </w:t>
      </w:r>
      <w:r w:rsidR="00D80053">
        <w:rPr>
          <w:rFonts w:ascii="Arial" w:hAnsi="Arial" w:cs="Arial"/>
          <w:lang w:val="fr-FR"/>
        </w:rPr>
        <w:t>sept</w:t>
      </w:r>
      <w:r w:rsidR="00E34310" w:rsidRPr="00003DE4">
        <w:rPr>
          <w:rFonts w:ascii="Arial" w:hAnsi="Arial" w:cs="Arial"/>
          <w:lang w:val="fr-FR"/>
        </w:rPr>
        <w:t xml:space="preserve"> en Afrique et 14</w:t>
      </w:r>
      <w:r w:rsidR="00DB1767" w:rsidRPr="00003DE4">
        <w:rPr>
          <w:rFonts w:ascii="Arial" w:hAnsi="Arial" w:cs="Arial"/>
          <w:lang w:val="fr-FR"/>
        </w:rPr>
        <w:t> </w:t>
      </w:r>
      <w:r w:rsidR="00E34310" w:rsidRPr="00003DE4">
        <w:rPr>
          <w:rFonts w:ascii="Arial" w:hAnsi="Arial" w:cs="Arial"/>
          <w:lang w:val="fr-FR"/>
        </w:rPr>
        <w:t>PEID.</w:t>
      </w:r>
    </w:p>
    <w:p w14:paraId="1DC89686" w14:textId="53F26260" w:rsidR="00222224" w:rsidRPr="00003DE4" w:rsidRDefault="00222224" w:rsidP="006F4BE4">
      <w:pPr>
        <w:pStyle w:val="ListParagraph"/>
        <w:tabs>
          <w:tab w:val="left" w:pos="567"/>
        </w:tabs>
        <w:snapToGrid w:val="0"/>
        <w:spacing w:after="240" w:line="240" w:lineRule="auto"/>
        <w:ind w:left="0"/>
        <w:contextualSpacing w:val="0"/>
        <w:jc w:val="both"/>
        <w:rPr>
          <w:rFonts w:ascii="Arial" w:hAnsi="Arial" w:cs="Arial"/>
          <w:lang w:val="fr-FR"/>
        </w:rPr>
      </w:pPr>
      <w:r w:rsidRPr="00003DE4">
        <w:rPr>
          <w:rFonts w:ascii="Arial" w:hAnsi="Arial" w:cs="Arial"/>
          <w:lang w:val="fr-FR"/>
        </w:rPr>
        <w:t>21.</w:t>
      </w:r>
      <w:r w:rsidRPr="00003DE4">
        <w:rPr>
          <w:rFonts w:ascii="Arial" w:hAnsi="Arial" w:cs="Arial"/>
          <w:lang w:val="fr-FR"/>
        </w:rPr>
        <w:tab/>
      </w:r>
      <w:r w:rsidR="00E34310" w:rsidRPr="00003DE4">
        <w:rPr>
          <w:rFonts w:ascii="Arial" w:hAnsi="Arial" w:cs="Arial"/>
          <w:lang w:val="fr-FR"/>
        </w:rPr>
        <w:t xml:space="preserve">Le GOOS a continué de renforcer la coordination, l’intégration et la promotion de l’observation de l’océan à l’échelle mondiale, tout en faisant progresser la participation des parties prenantes </w:t>
      </w:r>
      <w:r w:rsidR="00871431" w:rsidRPr="00003DE4">
        <w:rPr>
          <w:rFonts w:ascii="Arial" w:hAnsi="Arial" w:cs="Arial"/>
          <w:lang w:val="fr-FR"/>
        </w:rPr>
        <w:t xml:space="preserve">et la </w:t>
      </w:r>
      <w:r w:rsidR="00E34310" w:rsidRPr="00003DE4">
        <w:rPr>
          <w:rFonts w:ascii="Arial" w:hAnsi="Arial" w:cs="Arial"/>
          <w:lang w:val="fr-FR"/>
        </w:rPr>
        <w:t xml:space="preserve">résilience et </w:t>
      </w:r>
      <w:r w:rsidR="00871431" w:rsidRPr="00003DE4">
        <w:rPr>
          <w:rFonts w:ascii="Arial" w:hAnsi="Arial" w:cs="Arial"/>
          <w:lang w:val="fr-FR"/>
        </w:rPr>
        <w:t>l</w:t>
      </w:r>
      <w:r w:rsidR="00E34310" w:rsidRPr="00003DE4">
        <w:rPr>
          <w:rFonts w:ascii="Arial" w:hAnsi="Arial" w:cs="Arial"/>
          <w:lang w:val="fr-FR"/>
        </w:rPr>
        <w:t>a réactivité</w:t>
      </w:r>
      <w:r w:rsidR="00871431" w:rsidRPr="00003DE4">
        <w:rPr>
          <w:rFonts w:ascii="Arial" w:hAnsi="Arial" w:cs="Arial"/>
          <w:lang w:val="fr-FR"/>
        </w:rPr>
        <w:t xml:space="preserve"> du Système</w:t>
      </w:r>
      <w:r w:rsidR="00E34310" w:rsidRPr="00003DE4">
        <w:rPr>
          <w:rFonts w:ascii="Arial" w:hAnsi="Arial" w:cs="Arial"/>
          <w:lang w:val="fr-FR"/>
        </w:rPr>
        <w:t xml:space="preserve">. </w:t>
      </w:r>
      <w:r w:rsidR="00D06102" w:rsidRPr="00003DE4">
        <w:rPr>
          <w:rFonts w:ascii="Arial" w:hAnsi="Arial" w:cs="Arial"/>
          <w:lang w:val="fr-FR"/>
        </w:rPr>
        <w:t>L</w:t>
      </w:r>
      <w:r w:rsidR="00E34310" w:rsidRPr="00003DE4">
        <w:rPr>
          <w:rFonts w:ascii="Arial" w:hAnsi="Arial" w:cs="Arial"/>
          <w:lang w:val="fr-FR"/>
        </w:rPr>
        <w:t xml:space="preserve">es </w:t>
      </w:r>
      <w:r w:rsidR="00D06102" w:rsidRPr="00003DE4">
        <w:rPr>
          <w:rFonts w:ascii="Arial" w:hAnsi="Arial" w:cs="Arial"/>
          <w:lang w:val="fr-FR"/>
        </w:rPr>
        <w:t xml:space="preserve">récentes </w:t>
      </w:r>
      <w:r w:rsidR="00E34310" w:rsidRPr="00003DE4">
        <w:rPr>
          <w:rFonts w:ascii="Arial" w:hAnsi="Arial" w:cs="Arial"/>
          <w:lang w:val="fr-FR"/>
        </w:rPr>
        <w:t xml:space="preserve">avancées </w:t>
      </w:r>
      <w:r w:rsidR="00D06102" w:rsidRPr="00003DE4">
        <w:rPr>
          <w:rFonts w:ascii="Arial" w:hAnsi="Arial" w:cs="Arial"/>
          <w:lang w:val="fr-FR"/>
        </w:rPr>
        <w:t>comprennent</w:t>
      </w:r>
      <w:r w:rsidR="00871431" w:rsidRPr="00003DE4">
        <w:rPr>
          <w:rFonts w:ascii="Arial" w:hAnsi="Arial" w:cs="Arial"/>
          <w:lang w:val="fr-FR"/>
        </w:rPr>
        <w:t xml:space="preserve"> : </w:t>
      </w:r>
      <w:r w:rsidR="00E34310" w:rsidRPr="00003DE4">
        <w:rPr>
          <w:rFonts w:ascii="Arial" w:hAnsi="Arial" w:cs="Arial"/>
          <w:lang w:val="fr-FR"/>
        </w:rPr>
        <w:t>l’amélioration de l’utilisation par les communautés du concept fondamental de variable océanique essentielle</w:t>
      </w:r>
      <w:r w:rsidR="00E85EC5" w:rsidRPr="00003DE4">
        <w:rPr>
          <w:rFonts w:ascii="Arial" w:hAnsi="Arial" w:cs="Arial"/>
          <w:lang w:val="fr-FR"/>
        </w:rPr>
        <w:t>,</w:t>
      </w:r>
      <w:r w:rsidR="00E34310" w:rsidRPr="00003DE4">
        <w:rPr>
          <w:rFonts w:ascii="Arial" w:hAnsi="Arial" w:cs="Arial"/>
          <w:lang w:val="fr-FR"/>
        </w:rPr>
        <w:t xml:space="preserve"> grâce à un nouvel article (</w:t>
      </w:r>
      <w:r w:rsidR="00D06102" w:rsidRPr="00003DE4">
        <w:rPr>
          <w:rFonts w:ascii="Arial" w:hAnsi="Arial" w:cs="Arial"/>
          <w:lang w:val="fr-FR"/>
        </w:rPr>
        <w:t>présenté</w:t>
      </w:r>
      <w:r w:rsidR="00E34310" w:rsidRPr="00003DE4">
        <w:rPr>
          <w:rFonts w:ascii="Arial" w:hAnsi="Arial" w:cs="Arial"/>
          <w:lang w:val="fr-FR"/>
        </w:rPr>
        <w:t>) et à la révision axée sur les utilisateurs des fiches de spécification des variables océaniques essentielles</w:t>
      </w:r>
      <w:r w:rsidRPr="00003DE4">
        <w:rPr>
          <w:rFonts w:ascii="Arial" w:hAnsi="Arial" w:cs="Arial"/>
          <w:lang w:val="fr-FR"/>
        </w:rPr>
        <w:t> ;</w:t>
      </w:r>
      <w:r w:rsidR="00E34310" w:rsidRPr="00003DE4">
        <w:rPr>
          <w:rFonts w:ascii="Arial" w:hAnsi="Arial" w:cs="Arial"/>
          <w:lang w:val="fr-FR"/>
        </w:rPr>
        <w:t xml:space="preserve"> l’élaboration d’un passeport de métadonnées minimum comportant un identifiant unique pour l’utilisation et le suivi des données</w:t>
      </w:r>
      <w:r w:rsidRPr="00003DE4">
        <w:rPr>
          <w:rFonts w:ascii="Arial" w:hAnsi="Arial" w:cs="Arial"/>
          <w:lang w:val="fr-FR"/>
        </w:rPr>
        <w:t> ;</w:t>
      </w:r>
      <w:r w:rsidR="00E34310" w:rsidRPr="00003DE4">
        <w:rPr>
          <w:rFonts w:ascii="Arial" w:hAnsi="Arial" w:cs="Arial"/>
          <w:lang w:val="fr-FR"/>
        </w:rPr>
        <w:t xml:space="preserve"> l’organisation du premier atelier </w:t>
      </w:r>
      <w:r w:rsidR="00E85EC5" w:rsidRPr="00003DE4">
        <w:rPr>
          <w:rFonts w:ascii="Arial" w:hAnsi="Arial" w:cs="Arial"/>
          <w:lang w:val="fr-FR"/>
        </w:rPr>
        <w:t xml:space="preserve">IODE/GOOS </w:t>
      </w:r>
      <w:r w:rsidR="00E34310" w:rsidRPr="00003DE4">
        <w:rPr>
          <w:rFonts w:ascii="Arial" w:hAnsi="Arial" w:cs="Arial"/>
          <w:lang w:val="fr-FR"/>
        </w:rPr>
        <w:t>sur les données, qui a permis de faire un grand pas en avant dans l’unification des éléments de données de la COI en vue de la mise en place d’une architecture de données de pointe (point</w:t>
      </w:r>
      <w:r w:rsidR="00DB1767" w:rsidRPr="00003DE4">
        <w:rPr>
          <w:rFonts w:ascii="Arial" w:hAnsi="Arial" w:cs="Arial"/>
          <w:lang w:val="fr-FR"/>
        </w:rPr>
        <w:t> </w:t>
      </w:r>
      <w:r w:rsidR="00E34310" w:rsidRPr="00003DE4">
        <w:rPr>
          <w:rFonts w:ascii="Arial" w:hAnsi="Arial" w:cs="Arial"/>
          <w:lang w:val="fr-FR"/>
        </w:rPr>
        <w:t xml:space="preserve">3.4.3 de l’ordre du jour de </w:t>
      </w:r>
      <w:r w:rsidR="00E85EC5" w:rsidRPr="00003DE4">
        <w:rPr>
          <w:rFonts w:ascii="Arial" w:hAnsi="Arial" w:cs="Arial"/>
          <w:lang w:val="fr-FR"/>
        </w:rPr>
        <w:t>cette</w:t>
      </w:r>
      <w:r w:rsidR="00E34310" w:rsidRPr="00003DE4">
        <w:rPr>
          <w:rFonts w:ascii="Arial" w:hAnsi="Arial" w:cs="Arial"/>
          <w:lang w:val="fr-FR"/>
        </w:rPr>
        <w:t xml:space="preserve"> session)</w:t>
      </w:r>
      <w:r w:rsidRPr="00003DE4">
        <w:rPr>
          <w:rFonts w:ascii="Arial" w:hAnsi="Arial" w:cs="Arial"/>
          <w:lang w:val="fr-FR"/>
        </w:rPr>
        <w:t> ;</w:t>
      </w:r>
      <w:r w:rsidR="00E34310" w:rsidRPr="00003DE4">
        <w:rPr>
          <w:rFonts w:ascii="Arial" w:hAnsi="Arial" w:cs="Arial"/>
          <w:lang w:val="fr-FR"/>
        </w:rPr>
        <w:t xml:space="preserve"> le renforcement de la participation des 14</w:t>
      </w:r>
      <w:r w:rsidR="00DB1767" w:rsidRPr="00003DE4">
        <w:rPr>
          <w:rFonts w:ascii="Arial" w:hAnsi="Arial" w:cs="Arial"/>
          <w:lang w:val="fr-FR"/>
        </w:rPr>
        <w:t> </w:t>
      </w:r>
      <w:r w:rsidR="00E34310" w:rsidRPr="00003DE4">
        <w:rPr>
          <w:rFonts w:ascii="Arial" w:hAnsi="Arial" w:cs="Arial"/>
          <w:lang w:val="fr-FR"/>
        </w:rPr>
        <w:t>alliances régionales et des 77</w:t>
      </w:r>
      <w:r w:rsidR="00DB1767" w:rsidRPr="00003DE4">
        <w:rPr>
          <w:rFonts w:ascii="Arial" w:hAnsi="Arial" w:cs="Arial"/>
          <w:lang w:val="fr-FR"/>
        </w:rPr>
        <w:t> </w:t>
      </w:r>
      <w:r w:rsidR="00E34310" w:rsidRPr="00003DE4">
        <w:rPr>
          <w:rFonts w:ascii="Arial" w:hAnsi="Arial" w:cs="Arial"/>
          <w:lang w:val="fr-FR"/>
        </w:rPr>
        <w:t xml:space="preserve">points focaux nationaux du GOOS </w:t>
      </w:r>
      <w:r w:rsidR="006E36B4" w:rsidRPr="00003DE4">
        <w:rPr>
          <w:rFonts w:ascii="Arial" w:hAnsi="Arial" w:cs="Arial"/>
          <w:lang w:val="fr-FR"/>
        </w:rPr>
        <w:t xml:space="preserve">et du soutien qui leur est apporté </w:t>
      </w:r>
      <w:r w:rsidR="0084462A" w:rsidRPr="00003DE4">
        <w:rPr>
          <w:rFonts w:ascii="Arial" w:hAnsi="Arial" w:cs="Arial"/>
          <w:lang w:val="fr-FR"/>
        </w:rPr>
        <w:t>au moyen</w:t>
      </w:r>
      <w:r w:rsidR="00D06102" w:rsidRPr="00003DE4">
        <w:rPr>
          <w:rFonts w:ascii="Arial" w:hAnsi="Arial" w:cs="Arial"/>
          <w:lang w:val="fr-FR"/>
        </w:rPr>
        <w:t xml:space="preserve">, pour </w:t>
      </w:r>
      <w:r w:rsidR="006E36B4" w:rsidRPr="00003DE4">
        <w:rPr>
          <w:rFonts w:ascii="Arial" w:hAnsi="Arial" w:cs="Arial"/>
          <w:lang w:val="fr-FR"/>
        </w:rPr>
        <w:t>ce qui concerne les points focaux</w:t>
      </w:r>
      <w:r w:rsidR="00D06102" w:rsidRPr="00003DE4">
        <w:rPr>
          <w:rFonts w:ascii="Arial" w:hAnsi="Arial" w:cs="Arial"/>
          <w:lang w:val="fr-FR"/>
        </w:rPr>
        <w:t>,</w:t>
      </w:r>
      <w:r w:rsidR="00E34310" w:rsidRPr="00003DE4">
        <w:rPr>
          <w:rFonts w:ascii="Arial" w:hAnsi="Arial" w:cs="Arial"/>
          <w:lang w:val="fr-FR"/>
        </w:rPr>
        <w:t xml:space="preserve"> d’un deuxième forum annuel des points focaux nationaux et d’une enquête. Le Bureau du GOOS a coordonné le travail de l’OMM et de la COI relatif à l’élaboration de la première déclaration d’orientation relative aux applications </w:t>
      </w:r>
      <w:r w:rsidR="00E34310" w:rsidRPr="00003DE4">
        <w:rPr>
          <w:rFonts w:ascii="Arial" w:hAnsi="Arial" w:cs="Arial"/>
          <w:lang w:val="fr-FR"/>
        </w:rPr>
        <w:lastRenderedPageBreak/>
        <w:t>océaniques dans le cadre du processus d’examen continu des besoins. Il s’agit d’une avancée considérable dans l’expression des besoins d’observations des systèmes opérationnels de prévision océanique pour divers domaines d’application.</w:t>
      </w:r>
    </w:p>
    <w:p w14:paraId="3EAE25CE" w14:textId="54BBDE7C" w:rsidR="00222224" w:rsidRPr="00003DE4" w:rsidRDefault="00222224" w:rsidP="006F4BE4">
      <w:pPr>
        <w:pStyle w:val="ListParagraph"/>
        <w:tabs>
          <w:tab w:val="left" w:pos="567"/>
        </w:tabs>
        <w:snapToGrid w:val="0"/>
        <w:spacing w:after="240" w:line="240" w:lineRule="auto"/>
        <w:ind w:left="0"/>
        <w:contextualSpacing w:val="0"/>
        <w:jc w:val="both"/>
        <w:rPr>
          <w:rFonts w:ascii="Arial" w:hAnsi="Arial" w:cs="Arial"/>
          <w:lang w:val="fr-FR"/>
        </w:rPr>
      </w:pPr>
      <w:r w:rsidRPr="00003DE4">
        <w:rPr>
          <w:rFonts w:ascii="Arial" w:hAnsi="Arial" w:cs="Arial"/>
          <w:lang w:val="fr-FR"/>
        </w:rPr>
        <w:t>22.</w:t>
      </w:r>
      <w:r w:rsidRPr="00003DE4">
        <w:rPr>
          <w:rFonts w:ascii="Arial" w:hAnsi="Arial" w:cs="Arial"/>
          <w:lang w:val="fr-FR"/>
        </w:rPr>
        <w:tab/>
      </w:r>
      <w:r w:rsidR="00E34310" w:rsidRPr="00003DE4">
        <w:rPr>
          <w:rFonts w:ascii="Arial" w:hAnsi="Arial" w:cs="Arial"/>
          <w:lang w:val="fr-FR"/>
        </w:rPr>
        <w:t>Afin de s’assurer que la gouvernance du GOOS est adaptée à ses objectifs, une proposition de réforme du GOOS (point</w:t>
      </w:r>
      <w:r w:rsidR="00DB1767" w:rsidRPr="00003DE4">
        <w:rPr>
          <w:rFonts w:ascii="Arial" w:hAnsi="Arial" w:cs="Arial"/>
          <w:lang w:val="fr-FR"/>
        </w:rPr>
        <w:t> </w:t>
      </w:r>
      <w:r w:rsidR="00E34310" w:rsidRPr="00003DE4">
        <w:rPr>
          <w:rFonts w:ascii="Arial" w:hAnsi="Arial" w:cs="Arial"/>
          <w:lang w:val="fr-FR"/>
        </w:rPr>
        <w:t xml:space="preserve">4.5.1 de l’ordre du jour de </w:t>
      </w:r>
      <w:r w:rsidR="00ED5254" w:rsidRPr="00003DE4">
        <w:rPr>
          <w:rFonts w:ascii="Arial" w:hAnsi="Arial" w:cs="Arial"/>
          <w:lang w:val="fr-FR"/>
        </w:rPr>
        <w:t>cette</w:t>
      </w:r>
      <w:r w:rsidR="00E34310" w:rsidRPr="00003DE4">
        <w:rPr>
          <w:rFonts w:ascii="Arial" w:hAnsi="Arial" w:cs="Arial"/>
          <w:lang w:val="fr-FR"/>
        </w:rPr>
        <w:t xml:space="preserve"> session) est en cours d’élaboration, conformément au mandat défini dans la décision</w:t>
      </w:r>
      <w:r w:rsidR="00DB1767" w:rsidRPr="00003DE4">
        <w:rPr>
          <w:rFonts w:ascii="Arial" w:hAnsi="Arial" w:cs="Arial"/>
          <w:lang w:val="fr-FR"/>
        </w:rPr>
        <w:t> </w:t>
      </w:r>
      <w:r w:rsidR="00E34310" w:rsidRPr="00003DE4">
        <w:rPr>
          <w:rFonts w:ascii="Arial" w:hAnsi="Arial" w:cs="Arial"/>
          <w:lang w:val="fr-FR"/>
        </w:rPr>
        <w:t xml:space="preserve">EC-57/4.1 et le document </w:t>
      </w:r>
      <w:hyperlink r:id="rId14" w:history="1">
        <w:r w:rsidR="00E34310" w:rsidRPr="00003DE4">
          <w:rPr>
            <w:rStyle w:val="Hyperlink"/>
            <w:rFonts w:ascii="Arial" w:hAnsi="Arial" w:cs="Arial"/>
            <w:lang w:val="fr-FR"/>
          </w:rPr>
          <w:t>IOC/EC-57/4.1.Doc(1)</w:t>
        </w:r>
      </w:hyperlink>
      <w:r w:rsidR="00E34310" w:rsidRPr="00003DE4">
        <w:rPr>
          <w:rFonts w:ascii="Arial" w:hAnsi="Arial" w:cs="Arial"/>
          <w:lang w:val="fr-FR"/>
        </w:rPr>
        <w:t xml:space="preserve">. </w:t>
      </w:r>
    </w:p>
    <w:p w14:paraId="2F7B960A" w14:textId="3EA383EB" w:rsidR="00222224" w:rsidRPr="00003DE4" w:rsidRDefault="00222224" w:rsidP="006F4BE4">
      <w:pPr>
        <w:pStyle w:val="ListParagraph"/>
        <w:tabs>
          <w:tab w:val="left" w:pos="567"/>
        </w:tabs>
        <w:snapToGrid w:val="0"/>
        <w:spacing w:after="240" w:line="240" w:lineRule="auto"/>
        <w:ind w:left="0"/>
        <w:contextualSpacing w:val="0"/>
        <w:jc w:val="both"/>
        <w:rPr>
          <w:rFonts w:ascii="Arial" w:hAnsi="Arial" w:cs="Arial"/>
          <w:lang w:val="fr-FR"/>
        </w:rPr>
      </w:pPr>
      <w:r w:rsidRPr="00003DE4">
        <w:rPr>
          <w:rFonts w:ascii="Arial" w:hAnsi="Arial" w:cs="Arial"/>
          <w:lang w:val="fr-FR"/>
        </w:rPr>
        <w:t>23.</w:t>
      </w:r>
      <w:r w:rsidRPr="00003DE4">
        <w:rPr>
          <w:rFonts w:ascii="Arial" w:hAnsi="Arial" w:cs="Arial"/>
          <w:lang w:val="fr-FR"/>
        </w:rPr>
        <w:tab/>
      </w:r>
      <w:sdt>
        <w:sdtPr>
          <w:rPr>
            <w:rFonts w:ascii="Arial" w:hAnsi="Arial" w:cs="Arial"/>
          </w:rPr>
          <w:tag w:val="goog_rdk_1"/>
          <w:id w:val="1873411116"/>
        </w:sdtPr>
        <w:sdtEndPr/>
        <w:sdtContent/>
      </w:sdt>
      <w:r w:rsidR="00E34310" w:rsidRPr="00003DE4">
        <w:rPr>
          <w:rFonts w:ascii="Arial" w:hAnsi="Arial" w:cs="Arial"/>
          <w:lang w:val="fr-FR"/>
        </w:rPr>
        <w:t xml:space="preserve">Le Conseil collaboratif mixte OMM-COI s’est réuni en </w:t>
      </w:r>
      <w:r w:rsidR="0084462A" w:rsidRPr="00003DE4">
        <w:rPr>
          <w:rFonts w:ascii="Arial" w:hAnsi="Arial" w:cs="Arial"/>
          <w:lang w:val="fr-FR"/>
        </w:rPr>
        <w:t>présentiel</w:t>
      </w:r>
      <w:r w:rsidR="00E34310" w:rsidRPr="00003DE4">
        <w:rPr>
          <w:rFonts w:ascii="Arial" w:hAnsi="Arial" w:cs="Arial"/>
          <w:lang w:val="fr-FR"/>
        </w:rPr>
        <w:t xml:space="preserve"> en septembre</w:t>
      </w:r>
      <w:r w:rsidR="006F4BE4">
        <w:rPr>
          <w:rFonts w:ascii="Arial" w:hAnsi="Arial" w:cs="Arial"/>
          <w:lang w:val="fr-FR"/>
        </w:rPr>
        <w:t> </w:t>
      </w:r>
      <w:r w:rsidR="00E34310" w:rsidRPr="00003DE4">
        <w:rPr>
          <w:rFonts w:ascii="Arial" w:hAnsi="Arial" w:cs="Arial"/>
          <w:lang w:val="fr-FR"/>
        </w:rPr>
        <w:t xml:space="preserve">2024 et a défini les domaines prioritaires de ses travaux à l’aide d’une analyse multicritères. Ces domaines prioritaires sont la définition du </w:t>
      </w:r>
      <w:r w:rsidR="00ED5254" w:rsidRPr="00003DE4">
        <w:rPr>
          <w:rFonts w:ascii="Arial" w:hAnsi="Arial" w:cs="Arial"/>
          <w:lang w:val="fr-FR"/>
        </w:rPr>
        <w:t>R</w:t>
      </w:r>
      <w:r w:rsidR="00E34310" w:rsidRPr="00003DE4">
        <w:rPr>
          <w:rFonts w:ascii="Arial" w:hAnsi="Arial" w:cs="Arial"/>
          <w:lang w:val="fr-FR"/>
        </w:rPr>
        <w:t>éseau mondial d’observation de base</w:t>
      </w:r>
      <w:r w:rsidR="006F4BE4">
        <w:rPr>
          <w:rFonts w:ascii="Arial" w:hAnsi="Arial" w:cs="Arial"/>
          <w:lang w:val="fr-FR"/>
        </w:rPr>
        <w:t> </w:t>
      </w:r>
      <w:r w:rsidR="00E34310" w:rsidRPr="00003DE4">
        <w:rPr>
          <w:rFonts w:ascii="Arial" w:hAnsi="Arial" w:cs="Arial"/>
          <w:lang w:val="fr-FR"/>
        </w:rPr>
        <w:t>(GBON) pour les océans, l’amélioration de la gestion et de l’interopérabilité des données, le renforcement de la résilience côtière et maritime</w:t>
      </w:r>
      <w:r w:rsidR="00ED5254" w:rsidRPr="00003DE4">
        <w:rPr>
          <w:rFonts w:ascii="Arial" w:hAnsi="Arial" w:cs="Arial"/>
          <w:lang w:val="fr-FR"/>
        </w:rPr>
        <w:t>,</w:t>
      </w:r>
      <w:r w:rsidR="00E34310" w:rsidRPr="00003DE4">
        <w:rPr>
          <w:rFonts w:ascii="Arial" w:hAnsi="Arial" w:cs="Arial"/>
          <w:lang w:val="fr-FR"/>
        </w:rPr>
        <w:t xml:space="preserve"> et le renforcement du développement des capacités par le biais de formations co</w:t>
      </w:r>
      <w:r w:rsidR="00ED5254" w:rsidRPr="00003DE4">
        <w:rPr>
          <w:rFonts w:ascii="Arial" w:hAnsi="Arial" w:cs="Arial"/>
          <w:lang w:val="fr-FR"/>
        </w:rPr>
        <w:t>njoint</w:t>
      </w:r>
      <w:r w:rsidR="00E34310" w:rsidRPr="00003DE4">
        <w:rPr>
          <w:rFonts w:ascii="Arial" w:hAnsi="Arial" w:cs="Arial"/>
          <w:lang w:val="fr-FR"/>
        </w:rPr>
        <w:t>es et de la collaboration.</w:t>
      </w:r>
    </w:p>
    <w:p w14:paraId="492AE090" w14:textId="434658FA" w:rsidR="00E34310" w:rsidRPr="00003DE4" w:rsidRDefault="00222224" w:rsidP="006F4BE4">
      <w:pPr>
        <w:pStyle w:val="ListParagraph"/>
        <w:tabs>
          <w:tab w:val="left" w:pos="567"/>
        </w:tabs>
        <w:snapToGrid w:val="0"/>
        <w:spacing w:after="240" w:line="240" w:lineRule="auto"/>
        <w:ind w:left="0"/>
        <w:contextualSpacing w:val="0"/>
        <w:jc w:val="both"/>
        <w:rPr>
          <w:rFonts w:ascii="Arial" w:eastAsia="Arial" w:hAnsi="Arial" w:cs="Arial"/>
          <w:lang w:val="fr-FR"/>
        </w:rPr>
      </w:pPr>
      <w:r w:rsidRPr="00003DE4">
        <w:rPr>
          <w:rFonts w:ascii="Arial" w:hAnsi="Arial" w:cs="Arial"/>
          <w:lang w:val="fr-FR"/>
        </w:rPr>
        <w:t>24.</w:t>
      </w:r>
      <w:r w:rsidRPr="00003DE4">
        <w:rPr>
          <w:rFonts w:ascii="Arial" w:hAnsi="Arial" w:cs="Arial"/>
          <w:lang w:val="fr-FR"/>
        </w:rPr>
        <w:tab/>
      </w:r>
      <w:r w:rsidR="00E34310" w:rsidRPr="00003DE4">
        <w:rPr>
          <w:rFonts w:ascii="Arial" w:hAnsi="Arial" w:cs="Arial"/>
          <w:lang w:val="fr-FR"/>
        </w:rPr>
        <w:t>Le Groupe de travail intersessions ad</w:t>
      </w:r>
      <w:r w:rsidR="006F4BE4">
        <w:rPr>
          <w:rFonts w:ascii="Arial" w:hAnsi="Arial" w:cs="Arial"/>
          <w:lang w:val="fr-FR"/>
        </w:rPr>
        <w:t> </w:t>
      </w:r>
      <w:r w:rsidR="00E34310" w:rsidRPr="00003DE4">
        <w:rPr>
          <w:rFonts w:ascii="Arial" w:hAnsi="Arial" w:cs="Arial"/>
          <w:lang w:val="fr-FR"/>
        </w:rPr>
        <w:t xml:space="preserve">hoc de la COI sur les observations océaniques dans les zones relevant de la juridiction nationale a mené </w:t>
      </w:r>
      <w:r w:rsidR="00ED5254" w:rsidRPr="00003DE4">
        <w:rPr>
          <w:rFonts w:ascii="Arial" w:hAnsi="Arial" w:cs="Arial"/>
          <w:lang w:val="fr-FR"/>
        </w:rPr>
        <w:t>s</w:t>
      </w:r>
      <w:r w:rsidR="00E34310" w:rsidRPr="00003DE4">
        <w:rPr>
          <w:rFonts w:ascii="Arial" w:hAnsi="Arial" w:cs="Arial"/>
          <w:lang w:val="fr-FR"/>
        </w:rPr>
        <w:t>es travaux conformément au mandat défini dans la décision</w:t>
      </w:r>
      <w:r w:rsidR="00DB1767" w:rsidRPr="00003DE4">
        <w:rPr>
          <w:rFonts w:ascii="Arial" w:hAnsi="Arial" w:cs="Arial"/>
          <w:lang w:val="fr-FR"/>
        </w:rPr>
        <w:t> </w:t>
      </w:r>
      <w:r w:rsidR="00E34310" w:rsidRPr="00003DE4">
        <w:rPr>
          <w:rFonts w:ascii="Arial" w:hAnsi="Arial" w:cs="Arial"/>
          <w:lang w:val="fr-FR"/>
        </w:rPr>
        <w:t>A-32/4.8.2</w:t>
      </w:r>
      <w:r w:rsidR="00ED5254" w:rsidRPr="00003DE4">
        <w:rPr>
          <w:rFonts w:ascii="Arial" w:hAnsi="Arial" w:cs="Arial"/>
          <w:lang w:val="fr-FR"/>
        </w:rPr>
        <w:t xml:space="preserve">. Il </w:t>
      </w:r>
      <w:r w:rsidR="00E34310" w:rsidRPr="00003DE4">
        <w:rPr>
          <w:rFonts w:ascii="Arial" w:hAnsi="Arial" w:cs="Arial"/>
          <w:lang w:val="fr-FR"/>
        </w:rPr>
        <w:t>a établi un rapport sur ses travaux et ses recommandations</w:t>
      </w:r>
      <w:r w:rsidR="0084462A" w:rsidRPr="00003DE4">
        <w:rPr>
          <w:rFonts w:ascii="Arial" w:hAnsi="Arial" w:cs="Arial"/>
          <w:lang w:val="fr-FR"/>
        </w:rPr>
        <w:t>,</w:t>
      </w:r>
      <w:r w:rsidR="00E34310" w:rsidRPr="00003DE4">
        <w:rPr>
          <w:rFonts w:ascii="Arial" w:hAnsi="Arial" w:cs="Arial"/>
          <w:lang w:val="fr-FR"/>
        </w:rPr>
        <w:t xml:space="preserve"> qui sera présenté à l’Assemblée de la COI à sa 33</w:t>
      </w:r>
      <w:r w:rsidR="00E34310" w:rsidRPr="00003DE4">
        <w:rPr>
          <w:rFonts w:ascii="Arial" w:hAnsi="Arial" w:cs="Arial"/>
          <w:vertAlign w:val="superscript"/>
          <w:lang w:val="fr-FR"/>
        </w:rPr>
        <w:t>e</w:t>
      </w:r>
      <w:r w:rsidR="00E34310" w:rsidRPr="00003DE4">
        <w:rPr>
          <w:rFonts w:ascii="Arial" w:hAnsi="Arial" w:cs="Arial"/>
          <w:lang w:val="fr-FR"/>
        </w:rPr>
        <w:t> session (point</w:t>
      </w:r>
      <w:r w:rsidR="00DB1767" w:rsidRPr="00003DE4">
        <w:rPr>
          <w:rFonts w:ascii="Arial" w:hAnsi="Arial" w:cs="Arial"/>
          <w:lang w:val="fr-FR"/>
        </w:rPr>
        <w:t> </w:t>
      </w:r>
      <w:r w:rsidR="00E34310" w:rsidRPr="00003DE4">
        <w:rPr>
          <w:rFonts w:ascii="Arial" w:hAnsi="Arial" w:cs="Arial"/>
          <w:lang w:val="fr-FR"/>
        </w:rPr>
        <w:t xml:space="preserve">4.5.3 de l’ordre du jour de </w:t>
      </w:r>
      <w:r w:rsidR="00ED5254" w:rsidRPr="00003DE4">
        <w:rPr>
          <w:rFonts w:ascii="Arial" w:hAnsi="Arial" w:cs="Arial"/>
          <w:lang w:val="fr-FR"/>
        </w:rPr>
        <w:t>cet</w:t>
      </w:r>
      <w:r w:rsidR="00E34310" w:rsidRPr="00003DE4">
        <w:rPr>
          <w:rFonts w:ascii="Arial" w:hAnsi="Arial" w:cs="Arial"/>
          <w:lang w:val="fr-FR"/>
        </w:rPr>
        <w:t>te session).</w:t>
      </w:r>
    </w:p>
    <w:p w14:paraId="36D9DF34" w14:textId="430D036E" w:rsidR="00170E9F" w:rsidRPr="00003DE4" w:rsidRDefault="00170E9F" w:rsidP="006F4BE4">
      <w:pPr>
        <w:spacing w:after="240"/>
        <w:jc w:val="both"/>
        <w:rPr>
          <w:rFonts w:cs="Arial"/>
          <w:szCs w:val="22"/>
        </w:rPr>
      </w:pPr>
      <w:r w:rsidRPr="00003DE4">
        <w:rPr>
          <w:rFonts w:cs="Arial"/>
          <w:szCs w:val="22"/>
        </w:rPr>
        <w:t>25.</w:t>
      </w:r>
      <w:r w:rsidRPr="00003DE4">
        <w:rPr>
          <w:rFonts w:cs="Arial"/>
          <w:szCs w:val="22"/>
        </w:rPr>
        <w:tab/>
        <w:t>Le Centre conjoint OMM-COI de soutien aux programmes d’observation in situ dans les domaines de l’océanographie et de la météorologie maritime</w:t>
      </w:r>
      <w:r w:rsidR="006F4BE4">
        <w:rPr>
          <w:rFonts w:cs="Arial"/>
          <w:szCs w:val="22"/>
        </w:rPr>
        <w:t> </w:t>
      </w:r>
      <w:r w:rsidRPr="00003DE4">
        <w:rPr>
          <w:rFonts w:cs="Arial"/>
          <w:szCs w:val="22"/>
        </w:rPr>
        <w:t>(OceanOPS) s’est associé à la course Vendée Globe en équipant 25 des 40 bateaux d’instruments perfectionnés destinés à recueillir des données météorologiques et océanographiques essentielles. Cette initiative unique a transformé la course en « station scientifique flottante », fournissant des informations précieuses, notamment sur des régions sous-échantillonnées telles que l’océan Austral. La collaboration entre le Vendée Globe et la COI se poursuivra pour l’édition</w:t>
      </w:r>
      <w:bookmarkStart w:id="0" w:name="_Hlk195544294"/>
      <w:r w:rsidRPr="00003DE4">
        <w:rPr>
          <w:rFonts w:cs="Arial"/>
          <w:szCs w:val="22"/>
        </w:rPr>
        <w:t> </w:t>
      </w:r>
      <w:bookmarkEnd w:id="0"/>
      <w:r w:rsidRPr="00003DE4">
        <w:rPr>
          <w:rFonts w:cs="Arial"/>
          <w:szCs w:val="22"/>
        </w:rPr>
        <w:t>2028, au cours de laquelle tous les skippers devront embarquer des instruments scientifiques.</w:t>
      </w:r>
    </w:p>
    <w:p w14:paraId="5F549811" w14:textId="5D032CE8" w:rsidR="00170E9F" w:rsidRPr="00003DE4" w:rsidRDefault="00170E9F" w:rsidP="006F4BE4">
      <w:pPr>
        <w:spacing w:after="240"/>
        <w:jc w:val="both"/>
        <w:rPr>
          <w:rFonts w:cs="Arial"/>
          <w:szCs w:val="22"/>
        </w:rPr>
      </w:pPr>
      <w:r w:rsidRPr="00003DE4">
        <w:rPr>
          <w:rFonts w:cs="Arial"/>
          <w:szCs w:val="22"/>
        </w:rPr>
        <w:t>26.</w:t>
      </w:r>
      <w:r w:rsidRPr="00003DE4">
        <w:rPr>
          <w:rFonts w:cs="Arial"/>
          <w:szCs w:val="22"/>
        </w:rPr>
        <w:tab/>
        <w:t>Le Système de données et d’information océanographiques</w:t>
      </w:r>
      <w:r w:rsidR="006F4BE4" w:rsidRPr="00003DE4">
        <w:rPr>
          <w:rFonts w:cs="Arial"/>
          <w:szCs w:val="22"/>
        </w:rPr>
        <w:t> </w:t>
      </w:r>
      <w:r w:rsidRPr="00003DE4">
        <w:rPr>
          <w:rFonts w:cs="Arial"/>
          <w:szCs w:val="22"/>
        </w:rPr>
        <w:t>(ODIS) est une fédération de systèmes de données indépendants comprenant des systèmes de données continentaux, des systèmes de données nationaux ainsi que des systèmes gérés par de petites organisations. L’ODIS permet aux individus et aux organisations de diffuser leurs métadonnées auprès du public et de rendre les données océaniques plus facilement trouvables, accessibles, interopérables et réutilisables (principes</w:t>
      </w:r>
      <w:r w:rsidR="006F4BE4">
        <w:rPr>
          <w:rFonts w:cs="Arial"/>
          <w:szCs w:val="22"/>
        </w:rPr>
        <w:t> </w:t>
      </w:r>
      <w:r w:rsidRPr="00003DE4">
        <w:rPr>
          <w:rFonts w:cs="Arial"/>
          <w:szCs w:val="22"/>
        </w:rPr>
        <w:t>FAIR). Ce système, dont le développement se poursuivra, relie actuellement 55 catalogues ou nœuds de données de 45 organisations partenaires, ce qui en fait un écosystème numérique durable, interopérable et inclusif à l’intention de toutes les parties prenantes de l’océan.</w:t>
      </w:r>
    </w:p>
    <w:p w14:paraId="4B5ABDA2" w14:textId="72762EA9" w:rsidR="00170E9F" w:rsidRPr="00003DE4" w:rsidRDefault="00170E9F" w:rsidP="006F4BE4">
      <w:pPr>
        <w:spacing w:after="240"/>
        <w:jc w:val="both"/>
        <w:rPr>
          <w:rFonts w:cs="Arial"/>
          <w:szCs w:val="22"/>
        </w:rPr>
      </w:pPr>
      <w:r w:rsidRPr="00003DE4">
        <w:rPr>
          <w:rFonts w:cs="Arial"/>
          <w:szCs w:val="22"/>
        </w:rPr>
        <w:t>27.</w:t>
      </w:r>
      <w:r w:rsidRPr="00003DE4">
        <w:rPr>
          <w:rFonts w:cs="Arial"/>
          <w:szCs w:val="22"/>
        </w:rPr>
        <w:tab/>
        <w:t>Dans le cadre d’une action conjointe entre le GOOS et le Système d’information sur la biodiversité de l’océan</w:t>
      </w:r>
      <w:r w:rsidR="006F4BE4" w:rsidRPr="00003DE4">
        <w:rPr>
          <w:rFonts w:cs="Arial"/>
          <w:szCs w:val="22"/>
        </w:rPr>
        <w:t> </w:t>
      </w:r>
      <w:r w:rsidRPr="00003DE4">
        <w:rPr>
          <w:rFonts w:cs="Arial"/>
          <w:szCs w:val="22"/>
        </w:rPr>
        <w:t xml:space="preserve">(OBIS) de l’IODE, des informations ont été recueillies auprès de 638 programmes de surveillance biologique active à long terme et intégrées à une plate-forme de métadonnées en ligne (portail </w:t>
      </w:r>
      <w:proofErr w:type="spellStart"/>
      <w:r w:rsidRPr="00003DE4">
        <w:rPr>
          <w:rFonts w:cs="Arial"/>
          <w:szCs w:val="22"/>
        </w:rPr>
        <w:t>BioEco</w:t>
      </w:r>
      <w:proofErr w:type="spellEnd"/>
      <w:r w:rsidRPr="00003DE4">
        <w:rPr>
          <w:rFonts w:cs="Arial"/>
          <w:szCs w:val="22"/>
        </w:rPr>
        <w:t>), qui sera connectée à l’ODIS et deviendra une infrastructure permettant de surveiller l’état de la composante « biologie marine » du GOOS. L’OBIS continue de jouer un rôle crucial à cet égard en hébergeant et en fournissant un point d’accès intégré, normalisé et de qualité contrôlée aux observations biologiques et écosystémiques nécessaires pour alimenter les modèles écosystémiques, les systèmes d’alerte précoce et les cadres d’indicateurs et d’évaluation. Il héberge désormais 136 millions d’observations d’espèces et continue de croître avec plus d’un million de relevés fournis mensuellement par plus de 1 000 institutions de 99 pays.</w:t>
      </w:r>
    </w:p>
    <w:p w14:paraId="7329DA8C" w14:textId="06AD161C" w:rsidR="00170E9F" w:rsidRPr="00003DE4" w:rsidRDefault="00170E9F" w:rsidP="006F4BE4">
      <w:pPr>
        <w:spacing w:after="240"/>
        <w:jc w:val="both"/>
        <w:rPr>
          <w:rFonts w:cs="Arial"/>
          <w:szCs w:val="22"/>
        </w:rPr>
      </w:pPr>
      <w:r w:rsidRPr="00003DE4">
        <w:rPr>
          <w:rFonts w:cs="Arial"/>
          <w:szCs w:val="22"/>
        </w:rPr>
        <w:t>28.</w:t>
      </w:r>
      <w:r w:rsidRPr="00003DE4">
        <w:rPr>
          <w:rFonts w:cs="Arial"/>
          <w:szCs w:val="22"/>
        </w:rPr>
        <w:tab/>
        <w:t>Le projet d’expéditions d’ADN environnemental</w:t>
      </w:r>
      <w:r w:rsidR="006F4BE4">
        <w:rPr>
          <w:rFonts w:cs="Arial"/>
          <w:szCs w:val="22"/>
        </w:rPr>
        <w:t> </w:t>
      </w:r>
      <w:r w:rsidRPr="00003DE4">
        <w:rPr>
          <w:rFonts w:cs="Arial"/>
          <w:szCs w:val="22"/>
        </w:rPr>
        <w:t>(</w:t>
      </w:r>
      <w:proofErr w:type="spellStart"/>
      <w:r w:rsidRPr="00003DE4">
        <w:rPr>
          <w:rFonts w:cs="Arial"/>
          <w:szCs w:val="22"/>
        </w:rPr>
        <w:t>ADNe</w:t>
      </w:r>
      <w:proofErr w:type="spellEnd"/>
      <w:r w:rsidRPr="00003DE4">
        <w:rPr>
          <w:rFonts w:cs="Arial"/>
          <w:szCs w:val="22"/>
        </w:rPr>
        <w:t>) sur les sites du patrimoine mondial marin, financé par le Gouvernement flamand (Royaume de Belgique) et mis en œuvre conjointement par la COI (par l’intermédiaire de l’OBIS) et le Centre du patrimoine mondial, s’est achevé en décembre 2024. Il a démontré le potentiel de transformation de l’</w:t>
      </w:r>
      <w:proofErr w:type="spellStart"/>
      <w:r w:rsidRPr="00003DE4">
        <w:rPr>
          <w:rFonts w:cs="Arial"/>
          <w:szCs w:val="22"/>
        </w:rPr>
        <w:t>ADNe</w:t>
      </w:r>
      <w:proofErr w:type="spellEnd"/>
      <w:r w:rsidRPr="00003DE4">
        <w:rPr>
          <w:rFonts w:cs="Arial"/>
          <w:szCs w:val="22"/>
        </w:rPr>
        <w:t xml:space="preserve"> pour le suivi et la protection de la biodiversité océanique en apportant une méthode économique et accessible, en particulier dans les pays en développement où il est difficile de mener des études traditionnelles. En combinant l’échantillonnage de l’</w:t>
      </w:r>
      <w:proofErr w:type="spellStart"/>
      <w:r w:rsidRPr="00003DE4">
        <w:rPr>
          <w:rFonts w:cs="Arial"/>
          <w:szCs w:val="22"/>
        </w:rPr>
        <w:t>ADNe</w:t>
      </w:r>
      <w:proofErr w:type="spellEnd"/>
      <w:r w:rsidRPr="00003DE4">
        <w:rPr>
          <w:rFonts w:cs="Arial"/>
          <w:szCs w:val="22"/>
        </w:rPr>
        <w:t xml:space="preserve"> et la métagénomique ciblée, cette initiative a permis de faire participer </w:t>
      </w:r>
      <w:r w:rsidRPr="00003DE4">
        <w:rPr>
          <w:rFonts w:cs="Arial"/>
          <w:szCs w:val="22"/>
        </w:rPr>
        <w:lastRenderedPageBreak/>
        <w:t>les populations locales, y compris des élèves, à la science citoyenne, promouvant ainsi l’éducation et la participation du public à la protection de l’océan. Pendant trois ans, des campagnes d’échantillonnage ont été menées sur 21 sites marins du patrimoine mondial de l’UNESCO de 19 pays. Plus de 250 participants ont pris part à cette activité et 400 échantillons d’</w:t>
      </w:r>
      <w:proofErr w:type="spellStart"/>
      <w:r w:rsidRPr="00003DE4">
        <w:rPr>
          <w:rFonts w:cs="Arial"/>
          <w:szCs w:val="22"/>
        </w:rPr>
        <w:t>ADNe</w:t>
      </w:r>
      <w:proofErr w:type="spellEnd"/>
      <w:r w:rsidRPr="00003DE4">
        <w:rPr>
          <w:rFonts w:cs="Arial"/>
          <w:szCs w:val="22"/>
        </w:rPr>
        <w:t xml:space="preserve"> ont été prélevés, permettant </w:t>
      </w:r>
      <w:r w:rsidRPr="00A01D29">
        <w:rPr>
          <w:rFonts w:cs="Arial"/>
          <w:spacing w:val="-2"/>
          <w:szCs w:val="22"/>
        </w:rPr>
        <w:t>l’identification d’environ 4 400 espèces marines, dont 28 mammifères marins, 86 squales, trois tortues et 120 espèces figurant sur la Liste rouge des espèces menacées de l’Union internationale pour la conservation de la nature (UICN). Les données sont consultables par l’intermédiaire de l’OBIS grâce à un tableau de bord interactif (</w:t>
      </w:r>
      <w:hyperlink r:id="rId15" w:history="1">
        <w:r w:rsidRPr="00A01D29">
          <w:rPr>
            <w:rStyle w:val="Hyperlink"/>
            <w:rFonts w:cs="Arial"/>
            <w:spacing w:val="-2"/>
            <w:szCs w:val="22"/>
          </w:rPr>
          <w:t>https://dashboard.ednaexpeditions.org/</w:t>
        </w:r>
      </w:hyperlink>
      <w:r w:rsidRPr="00A01D29">
        <w:rPr>
          <w:rFonts w:cs="Arial"/>
          <w:spacing w:val="-2"/>
          <w:szCs w:val="22"/>
        </w:rPr>
        <w:t>), qui présente des projections tenant compte du changement climatique, ainsi que dans une</w:t>
      </w:r>
      <w:r w:rsidRPr="00003DE4">
        <w:rPr>
          <w:rFonts w:cs="Arial"/>
          <w:szCs w:val="22"/>
        </w:rPr>
        <w:t xml:space="preserve"> publication de l’UNESCO intitulée </w:t>
      </w:r>
      <w:proofErr w:type="spellStart"/>
      <w:r w:rsidRPr="00003DE4">
        <w:rPr>
          <w:rFonts w:cs="Arial"/>
          <w:i/>
          <w:iCs/>
          <w:szCs w:val="22"/>
        </w:rPr>
        <w:t>Engaging</w:t>
      </w:r>
      <w:proofErr w:type="spellEnd"/>
      <w:r w:rsidRPr="00003DE4">
        <w:rPr>
          <w:rFonts w:cs="Arial"/>
          <w:i/>
          <w:iCs/>
          <w:szCs w:val="22"/>
        </w:rPr>
        <w:t xml:space="preserve"> </w:t>
      </w:r>
      <w:proofErr w:type="spellStart"/>
      <w:r w:rsidRPr="00003DE4">
        <w:rPr>
          <w:rFonts w:cs="Arial"/>
          <w:i/>
          <w:iCs/>
          <w:szCs w:val="22"/>
        </w:rPr>
        <w:t>communities</w:t>
      </w:r>
      <w:proofErr w:type="spellEnd"/>
      <w:r w:rsidRPr="00003DE4">
        <w:rPr>
          <w:rFonts w:cs="Arial"/>
          <w:i/>
          <w:iCs/>
          <w:szCs w:val="22"/>
        </w:rPr>
        <w:t xml:space="preserve"> to </w:t>
      </w:r>
      <w:proofErr w:type="spellStart"/>
      <w:r w:rsidRPr="00003DE4">
        <w:rPr>
          <w:rFonts w:cs="Arial"/>
          <w:i/>
          <w:iCs/>
          <w:szCs w:val="22"/>
        </w:rPr>
        <w:t>safeguard</w:t>
      </w:r>
      <w:proofErr w:type="spellEnd"/>
      <w:r w:rsidRPr="00003DE4">
        <w:rPr>
          <w:rFonts w:cs="Arial"/>
          <w:i/>
          <w:iCs/>
          <w:szCs w:val="22"/>
        </w:rPr>
        <w:t xml:space="preserve"> </w:t>
      </w:r>
      <w:proofErr w:type="spellStart"/>
      <w:r w:rsidRPr="00003DE4">
        <w:rPr>
          <w:rFonts w:cs="Arial"/>
          <w:i/>
          <w:iCs/>
          <w:szCs w:val="22"/>
        </w:rPr>
        <w:t>ocean</w:t>
      </w:r>
      <w:proofErr w:type="spellEnd"/>
      <w:r w:rsidRPr="00003DE4">
        <w:rPr>
          <w:rFonts w:cs="Arial"/>
          <w:i/>
          <w:iCs/>
          <w:szCs w:val="22"/>
        </w:rPr>
        <w:t xml:space="preserve"> life : UNESCO </w:t>
      </w:r>
      <w:proofErr w:type="spellStart"/>
      <w:r w:rsidRPr="00003DE4">
        <w:rPr>
          <w:rFonts w:cs="Arial"/>
          <w:i/>
          <w:iCs/>
          <w:szCs w:val="22"/>
        </w:rPr>
        <w:t>Environmental</w:t>
      </w:r>
      <w:proofErr w:type="spellEnd"/>
      <w:r w:rsidRPr="00003DE4">
        <w:rPr>
          <w:rFonts w:cs="Arial"/>
          <w:i/>
          <w:iCs/>
          <w:szCs w:val="22"/>
        </w:rPr>
        <w:t xml:space="preserve"> DNA </w:t>
      </w:r>
      <w:proofErr w:type="spellStart"/>
      <w:r w:rsidRPr="00003DE4">
        <w:rPr>
          <w:rFonts w:cs="Arial"/>
          <w:i/>
          <w:iCs/>
          <w:szCs w:val="22"/>
        </w:rPr>
        <w:t>Expeditions</w:t>
      </w:r>
      <w:proofErr w:type="spellEnd"/>
      <w:r w:rsidRPr="00003DE4">
        <w:rPr>
          <w:rFonts w:cs="Arial"/>
          <w:szCs w:val="22"/>
        </w:rPr>
        <w:t xml:space="preserve"> (Associer les populations à la protection de la vie océanique : les expéditions d’ADN environnemental de l’UNESCO) (</w:t>
      </w:r>
      <w:hyperlink r:id="rId16" w:history="1">
        <w:r w:rsidRPr="00003DE4">
          <w:rPr>
            <w:rStyle w:val="Hyperlink"/>
            <w:rFonts w:cs="Arial"/>
            <w:szCs w:val="22"/>
          </w:rPr>
          <w:t>https://doi.org/10.58337/CBXU3518</w:t>
        </w:r>
      </w:hyperlink>
      <w:r w:rsidRPr="00003DE4">
        <w:rPr>
          <w:rFonts w:cs="Arial"/>
          <w:szCs w:val="22"/>
        </w:rPr>
        <w:t>).</w:t>
      </w:r>
    </w:p>
    <w:p w14:paraId="27B21FE0" w14:textId="1A73B240" w:rsidR="00170E9F" w:rsidRPr="00003DE4" w:rsidRDefault="00170E9F" w:rsidP="00A01D29">
      <w:pPr>
        <w:spacing w:after="240"/>
        <w:jc w:val="both"/>
        <w:rPr>
          <w:rFonts w:cs="Arial"/>
          <w:szCs w:val="22"/>
        </w:rPr>
      </w:pPr>
      <w:r w:rsidRPr="00003DE4">
        <w:rPr>
          <w:rFonts w:cs="Arial"/>
          <w:szCs w:val="22"/>
        </w:rPr>
        <w:t>29.</w:t>
      </w:r>
      <w:r w:rsidRPr="00003DE4">
        <w:rPr>
          <w:rFonts w:cs="Arial"/>
          <w:szCs w:val="22"/>
        </w:rPr>
        <w:tab/>
        <w:t>Grâce au projet de Réseau d’alerte aux invasions biologiques marines des îles du Pacifique (</w:t>
      </w:r>
      <w:proofErr w:type="spellStart"/>
      <w:r w:rsidRPr="00003DE4">
        <w:rPr>
          <w:rFonts w:cs="Arial"/>
          <w:szCs w:val="22"/>
        </w:rPr>
        <w:t>PacMAN</w:t>
      </w:r>
      <w:proofErr w:type="spellEnd"/>
      <w:r w:rsidRPr="00003DE4">
        <w:rPr>
          <w:rFonts w:cs="Arial"/>
          <w:szCs w:val="22"/>
        </w:rPr>
        <w:t>) financé par le Gouvernement flamand</w:t>
      </w:r>
      <w:r w:rsidR="00A01D29">
        <w:rPr>
          <w:rFonts w:cs="Arial"/>
          <w:szCs w:val="22"/>
        </w:rPr>
        <w:t> </w:t>
      </w:r>
      <w:r w:rsidRPr="00003DE4">
        <w:rPr>
          <w:rFonts w:cs="Arial"/>
          <w:szCs w:val="22"/>
        </w:rPr>
        <w:t xml:space="preserve">(2020-2024), qui s’est également achevé en décembre 2024, la COI (par l’entremise de l’OBIS) a mis en place un système de bout en bout de surveillance, d’échantillonnage et d’analyse des espèces marines envahissantes à l’aide de technologies moléculaires, en mettant principalement l’accent sur le renforcement de ces capacités scientifiques aux Fidji dans le cadre d’un projet pilote. L’outil d’aide à la décision d’alerte précoce du </w:t>
      </w:r>
      <w:proofErr w:type="spellStart"/>
      <w:r w:rsidRPr="00003DE4">
        <w:rPr>
          <w:rFonts w:cs="Arial"/>
          <w:szCs w:val="22"/>
        </w:rPr>
        <w:t>PacMAN</w:t>
      </w:r>
      <w:proofErr w:type="spellEnd"/>
      <w:r w:rsidRPr="00003DE4">
        <w:rPr>
          <w:rFonts w:cs="Arial"/>
          <w:szCs w:val="22"/>
        </w:rPr>
        <w:t xml:space="preserve"> permet d’analyser les espèces détectées, d’évaluer les risques, de présenter les informations de manière lisible et de se synchroniser avec l’OBIS pour récupérer les données. Deux espèces envahissantes à haut risque ont été détectées, dont la présence aux Fidji était alors inconnue. Ce projet correspondait aux objectifs nationaux et internationaux en matière de biodiversité en contribuant à la réalisation de la cible 6 du Cadre mondial de la biodiversité de Kunming-Montréal et du plan national d’action stratégique pour la biodiversité (2020-2025) des Fidji.</w:t>
      </w:r>
    </w:p>
    <w:p w14:paraId="777DA751" w14:textId="77777777" w:rsidR="00170E9F" w:rsidRPr="00003DE4" w:rsidRDefault="00170E9F" w:rsidP="00A01D29">
      <w:pPr>
        <w:spacing w:after="240"/>
        <w:jc w:val="both"/>
        <w:rPr>
          <w:rFonts w:cs="Arial"/>
          <w:szCs w:val="22"/>
        </w:rPr>
      </w:pPr>
      <w:r w:rsidRPr="00003DE4">
        <w:rPr>
          <w:rFonts w:cs="Arial"/>
          <w:szCs w:val="22"/>
        </w:rPr>
        <w:t>30.</w:t>
      </w:r>
      <w:r w:rsidRPr="00003DE4">
        <w:rPr>
          <w:rFonts w:cs="Arial"/>
          <w:szCs w:val="22"/>
        </w:rPr>
        <w:tab/>
        <w:t>Le Programme relatif aux tsunamis a continué de mettre l’accent sur le développement des capacités dans tous les bassins océaniques grâce au soutien actif des États membres, comme l’indique le renouvellement des accords conclus avec :</w:t>
      </w:r>
    </w:p>
    <w:p w14:paraId="2A88D18D" w14:textId="77777777" w:rsidR="00170E9F" w:rsidRPr="00003DE4" w:rsidRDefault="00170E9F" w:rsidP="00003DE4">
      <w:pPr>
        <w:tabs>
          <w:tab w:val="clear" w:pos="567"/>
        </w:tabs>
        <w:spacing w:after="240"/>
        <w:ind w:left="851" w:hanging="284"/>
        <w:jc w:val="both"/>
        <w:rPr>
          <w:rFonts w:cs="Arial"/>
          <w:szCs w:val="22"/>
        </w:rPr>
      </w:pPr>
      <w:r w:rsidRPr="00003DE4">
        <w:rPr>
          <w:rFonts w:cs="Arial"/>
          <w:szCs w:val="22"/>
        </w:rPr>
        <w:t>-</w:t>
      </w:r>
      <w:r w:rsidRPr="00003DE4">
        <w:rPr>
          <w:rFonts w:cs="Arial"/>
          <w:szCs w:val="22"/>
        </w:rPr>
        <w:tab/>
        <w:t>l’Agence pour la météorologie, la climatologie et la géophysique de la République d’Indonésie, qui héberge le Centre d’information sur les tsunamis dans l’océan Indien (IOTIC), pour la période 2023-2027 ;</w:t>
      </w:r>
    </w:p>
    <w:p w14:paraId="5DDBE344" w14:textId="68CBCAA7" w:rsidR="00170E9F" w:rsidRPr="00003DE4" w:rsidRDefault="00170E9F" w:rsidP="00003DE4">
      <w:pPr>
        <w:tabs>
          <w:tab w:val="clear" w:pos="567"/>
        </w:tabs>
        <w:spacing w:after="240"/>
        <w:ind w:left="851" w:hanging="284"/>
        <w:jc w:val="both"/>
        <w:rPr>
          <w:rFonts w:cs="Arial"/>
          <w:szCs w:val="22"/>
        </w:rPr>
      </w:pPr>
      <w:r w:rsidRPr="00003DE4">
        <w:rPr>
          <w:rFonts w:cs="Arial"/>
          <w:szCs w:val="22"/>
        </w:rPr>
        <w:t>-</w:t>
      </w:r>
      <w:r w:rsidRPr="00003DE4">
        <w:rPr>
          <w:rFonts w:cs="Arial"/>
          <w:szCs w:val="22"/>
        </w:rPr>
        <w:tab/>
        <w:t>le Groupe de gestion des zones côtières de la Barbade, qui héberge le Centre d’information sur les tsunamis dans les Caraïbes</w:t>
      </w:r>
      <w:r w:rsidR="00A01D29">
        <w:rPr>
          <w:rFonts w:cs="Arial"/>
          <w:szCs w:val="22"/>
        </w:rPr>
        <w:t> </w:t>
      </w:r>
      <w:r w:rsidRPr="00003DE4">
        <w:rPr>
          <w:rFonts w:cs="Arial"/>
          <w:szCs w:val="22"/>
        </w:rPr>
        <w:t>(CTIC), pour la période 2024-2029 ;</w:t>
      </w:r>
    </w:p>
    <w:p w14:paraId="57AA87C3" w14:textId="77777777" w:rsidR="00170E9F" w:rsidRPr="00003DE4" w:rsidRDefault="00170E9F" w:rsidP="00003DE4">
      <w:pPr>
        <w:tabs>
          <w:tab w:val="clear" w:pos="567"/>
        </w:tabs>
        <w:spacing w:after="240"/>
        <w:ind w:left="851" w:hanging="284"/>
        <w:jc w:val="both"/>
        <w:rPr>
          <w:rFonts w:cs="Arial"/>
          <w:szCs w:val="22"/>
        </w:rPr>
      </w:pPr>
      <w:r w:rsidRPr="00003DE4">
        <w:rPr>
          <w:rFonts w:cs="Arial"/>
          <w:szCs w:val="22"/>
        </w:rPr>
        <w:t>-</w:t>
      </w:r>
      <w:r w:rsidRPr="00003DE4">
        <w:rPr>
          <w:rFonts w:cs="Arial"/>
          <w:szCs w:val="22"/>
        </w:rPr>
        <w:tab/>
        <w:t>le Bureau de météorologie de l’Australie, qui héberge le bureau du Système d’alerte aux tsunamis et de mitigation dans l’océan Indien (IOTWMS) à Perth (Australie), pour la période 2023-2027.</w:t>
      </w:r>
    </w:p>
    <w:p w14:paraId="4427186F" w14:textId="77777777" w:rsidR="00170E9F" w:rsidRPr="00003DE4" w:rsidRDefault="00170E9F" w:rsidP="00A01D29">
      <w:pPr>
        <w:spacing w:after="240"/>
        <w:jc w:val="both"/>
        <w:rPr>
          <w:rFonts w:eastAsia="Aptos" w:cs="Arial"/>
          <w:color w:val="212121"/>
          <w:szCs w:val="22"/>
        </w:rPr>
      </w:pPr>
      <w:r w:rsidRPr="00003DE4">
        <w:rPr>
          <w:rFonts w:cs="Arial"/>
          <w:szCs w:val="22"/>
        </w:rPr>
        <w:t>31.</w:t>
      </w:r>
      <w:r w:rsidRPr="00003DE4">
        <w:rPr>
          <w:rFonts w:cs="Arial"/>
          <w:szCs w:val="22"/>
        </w:rPr>
        <w:tab/>
        <w:t>En ce qui concerne le renforcement de la préparation aux tsunamis, les participants au deuxième colloque mondial sur les tsunamis, qui s’est tenu à Banda Aceh (Indonésie), ont souligné l’importance de renforcer le Système mondial d’alerte aux tsunamis et d’atténuation de leurs effets. Ils ont en particulier lancé un appel urgent à investir pour que 100 % des communautés côtières à risque soient certifiées Tsunami Ready d’ici à 2030. En outre, une commémoration a été organisée au Siège de l’UNESCO pour marquer le 20</w:t>
      </w:r>
      <w:r w:rsidRPr="00003DE4">
        <w:rPr>
          <w:rFonts w:cs="Arial"/>
          <w:szCs w:val="22"/>
          <w:vertAlign w:val="superscript"/>
        </w:rPr>
        <w:t>e</w:t>
      </w:r>
      <w:r w:rsidRPr="00003DE4">
        <w:rPr>
          <w:rFonts w:cs="Arial"/>
          <w:szCs w:val="22"/>
        </w:rPr>
        <w:t> anniversaire du tsunami de 2004 dans l’océan Indien, mettant en lumière les progrès réalisés et soulignant le travail qu’il reste à accomplir. On compte désormais 100 communautés certifiées Tsunami Ready dans 31 États membres, dont 15 PEID.</w:t>
      </w:r>
    </w:p>
    <w:p w14:paraId="2AE136F0" w14:textId="77777777" w:rsidR="00170E9F" w:rsidRPr="00003DE4" w:rsidRDefault="00170E9F" w:rsidP="00A01D29">
      <w:pPr>
        <w:spacing w:after="240"/>
        <w:jc w:val="both"/>
        <w:rPr>
          <w:rFonts w:cs="Arial"/>
          <w:szCs w:val="22"/>
        </w:rPr>
      </w:pPr>
      <w:r w:rsidRPr="00003DE4">
        <w:rPr>
          <w:rFonts w:cs="Arial"/>
          <w:szCs w:val="22"/>
        </w:rPr>
        <w:t>32.</w:t>
      </w:r>
      <w:r w:rsidRPr="00003DE4">
        <w:rPr>
          <w:rFonts w:cs="Arial"/>
          <w:szCs w:val="22"/>
        </w:rPr>
        <w:tab/>
        <w:t xml:space="preserve">Un document intitulé </w:t>
      </w:r>
      <w:r w:rsidRPr="00003DE4">
        <w:rPr>
          <w:rFonts w:cs="Arial"/>
          <w:i/>
          <w:iCs/>
          <w:szCs w:val="22"/>
        </w:rPr>
        <w:t xml:space="preserve">Monitoring and Warning for Tsunamis </w:t>
      </w:r>
      <w:proofErr w:type="spellStart"/>
      <w:r w:rsidRPr="00003DE4">
        <w:rPr>
          <w:rFonts w:cs="Arial"/>
          <w:i/>
          <w:iCs/>
          <w:szCs w:val="22"/>
        </w:rPr>
        <w:t>Generated</w:t>
      </w:r>
      <w:proofErr w:type="spellEnd"/>
      <w:r w:rsidRPr="00003DE4">
        <w:rPr>
          <w:rFonts w:cs="Arial"/>
          <w:i/>
          <w:iCs/>
          <w:szCs w:val="22"/>
        </w:rPr>
        <w:t xml:space="preserve"> by </w:t>
      </w:r>
      <w:proofErr w:type="spellStart"/>
      <w:r w:rsidRPr="00003DE4">
        <w:rPr>
          <w:rFonts w:cs="Arial"/>
          <w:i/>
          <w:iCs/>
          <w:szCs w:val="22"/>
        </w:rPr>
        <w:t>Volcanoes</w:t>
      </w:r>
      <w:proofErr w:type="spellEnd"/>
      <w:r w:rsidRPr="00003DE4">
        <w:rPr>
          <w:rFonts w:cs="Arial"/>
          <w:szCs w:val="22"/>
        </w:rPr>
        <w:t xml:space="preserve"> (Systèmes de surveillance et d’alerte concernant les tsunamis d’origine volcanique), </w:t>
      </w:r>
      <w:hyperlink r:id="rId17" w:history="1">
        <w:r w:rsidRPr="00003DE4">
          <w:rPr>
            <w:rStyle w:val="Hyperlink"/>
            <w:rFonts w:cs="Arial"/>
            <w:szCs w:val="22"/>
          </w:rPr>
          <w:t>n° 183</w:t>
        </w:r>
      </w:hyperlink>
      <w:r w:rsidRPr="00003DE4">
        <w:rPr>
          <w:rFonts w:cs="Arial"/>
          <w:szCs w:val="22"/>
        </w:rPr>
        <w:t xml:space="preserve"> de la série technique de la COI, a été publié en 2024.</w:t>
      </w:r>
    </w:p>
    <w:p w14:paraId="1D055C26" w14:textId="6A9C92F3" w:rsidR="00170E9F" w:rsidRPr="00003DE4" w:rsidRDefault="00170E9F" w:rsidP="00A01D29">
      <w:pPr>
        <w:keepNext/>
        <w:keepLines/>
        <w:spacing w:after="240"/>
        <w:jc w:val="both"/>
        <w:rPr>
          <w:rFonts w:cs="Arial"/>
          <w:szCs w:val="22"/>
        </w:rPr>
      </w:pPr>
      <w:r w:rsidRPr="00003DE4">
        <w:rPr>
          <w:rFonts w:cs="Arial"/>
          <w:szCs w:val="22"/>
        </w:rPr>
        <w:lastRenderedPageBreak/>
        <w:t>33.</w:t>
      </w:r>
      <w:r w:rsidRPr="00003DE4">
        <w:rPr>
          <w:rFonts w:cs="Arial"/>
          <w:szCs w:val="22"/>
        </w:rPr>
        <w:tab/>
        <w:t>L’équipe du Programme scientifique conjoint COI-SCOR sur les efflorescences algales nuisibles (</w:t>
      </w:r>
      <w:proofErr w:type="spellStart"/>
      <w:r w:rsidRPr="00003DE4">
        <w:rPr>
          <w:rFonts w:cs="Arial"/>
          <w:szCs w:val="22"/>
        </w:rPr>
        <w:t>GlobalHAB</w:t>
      </w:r>
      <w:proofErr w:type="spellEnd"/>
      <w:r w:rsidRPr="00003DE4">
        <w:rPr>
          <w:rFonts w:cs="Arial"/>
          <w:szCs w:val="22"/>
        </w:rPr>
        <w:t xml:space="preserve">) a élaboré un nouveau plan décennal pour un programme international de recherche sur les efflorescences algales nuisibles, axé sur la connaissance de ce phénomène dans un contexte de viabilité mondiale. Dans le cadre des activités conjointes du </w:t>
      </w:r>
      <w:proofErr w:type="spellStart"/>
      <w:r w:rsidRPr="00003DE4">
        <w:rPr>
          <w:rFonts w:cs="Arial"/>
          <w:szCs w:val="22"/>
        </w:rPr>
        <w:t>GlobalHAB</w:t>
      </w:r>
      <w:proofErr w:type="spellEnd"/>
      <w:r w:rsidRPr="00003DE4">
        <w:rPr>
          <w:rFonts w:cs="Arial"/>
          <w:szCs w:val="22"/>
        </w:rPr>
        <w:t xml:space="preserve"> et du Groupe mixte d’experts chargé d’étudier les aspects scientifiques de la protection de l’environnement marin</w:t>
      </w:r>
      <w:r w:rsidR="00BD7EC4">
        <w:rPr>
          <w:rFonts w:cs="Arial"/>
          <w:szCs w:val="22"/>
        </w:rPr>
        <w:t> </w:t>
      </w:r>
      <w:r w:rsidRPr="00003DE4">
        <w:rPr>
          <w:rFonts w:cs="Arial"/>
          <w:szCs w:val="22"/>
        </w:rPr>
        <w:t xml:space="preserve">(GESAMP), un livre blanc sur les sargasses a paru en juin 2023, tandis que l’équipe du </w:t>
      </w:r>
      <w:proofErr w:type="spellStart"/>
      <w:r w:rsidRPr="00003DE4">
        <w:rPr>
          <w:rFonts w:cs="Arial"/>
          <w:szCs w:val="22"/>
        </w:rPr>
        <w:t>GlobalHAB</w:t>
      </w:r>
      <w:proofErr w:type="spellEnd"/>
      <w:r w:rsidRPr="00003DE4">
        <w:rPr>
          <w:rFonts w:cs="Arial"/>
          <w:szCs w:val="22"/>
        </w:rPr>
        <w:t xml:space="preserve"> a publié un livre blanc intitulé </w:t>
      </w:r>
      <w:r w:rsidRPr="00003DE4">
        <w:rPr>
          <w:rFonts w:cs="Arial"/>
          <w:i/>
          <w:iCs/>
          <w:szCs w:val="22"/>
        </w:rPr>
        <w:t>Fish-</w:t>
      </w:r>
      <w:proofErr w:type="spellStart"/>
      <w:r w:rsidRPr="00003DE4">
        <w:rPr>
          <w:rFonts w:cs="Arial"/>
          <w:i/>
          <w:iCs/>
          <w:szCs w:val="22"/>
        </w:rPr>
        <w:t>killing</w:t>
      </w:r>
      <w:proofErr w:type="spellEnd"/>
      <w:r w:rsidRPr="00003DE4">
        <w:rPr>
          <w:rFonts w:cs="Arial"/>
          <w:i/>
          <w:iCs/>
          <w:szCs w:val="22"/>
        </w:rPr>
        <w:t xml:space="preserve"> marine algal blooms</w:t>
      </w:r>
      <w:r w:rsidRPr="00003DE4">
        <w:rPr>
          <w:rFonts w:cs="Arial"/>
          <w:szCs w:val="22"/>
        </w:rPr>
        <w:t xml:space="preserve"> (Mortalité halieutique liée aux efflorescences algales marines), </w:t>
      </w:r>
      <w:hyperlink r:id="rId18" w:history="1">
        <w:r w:rsidRPr="00003DE4">
          <w:rPr>
            <w:rStyle w:val="Hyperlink"/>
            <w:rFonts w:cs="Arial"/>
            <w:szCs w:val="22"/>
          </w:rPr>
          <w:t>n° 93</w:t>
        </w:r>
      </w:hyperlink>
      <w:r w:rsidRPr="00003DE4">
        <w:rPr>
          <w:rFonts w:cs="Arial"/>
          <w:szCs w:val="22"/>
        </w:rPr>
        <w:t xml:space="preserve"> de la série Manuels et guides de la COI.</w:t>
      </w:r>
    </w:p>
    <w:p w14:paraId="71ACD1CD" w14:textId="77777777" w:rsidR="00170E9F" w:rsidRPr="00003DE4" w:rsidRDefault="00170E9F" w:rsidP="00852EA7">
      <w:pPr>
        <w:spacing w:after="240"/>
        <w:jc w:val="both"/>
        <w:rPr>
          <w:rFonts w:eastAsia="Arial" w:cs="Arial"/>
          <w:szCs w:val="22"/>
        </w:rPr>
      </w:pPr>
      <w:r w:rsidRPr="00003DE4">
        <w:rPr>
          <w:rFonts w:cs="Arial"/>
          <w:szCs w:val="22"/>
        </w:rPr>
        <w:t>34.</w:t>
      </w:r>
      <w:r w:rsidRPr="00003DE4">
        <w:rPr>
          <w:rFonts w:cs="Arial"/>
          <w:szCs w:val="22"/>
        </w:rPr>
        <w:tab/>
        <w:t xml:space="preserve">Un nouveau partenariat entre la COI, la Nippon </w:t>
      </w:r>
      <w:proofErr w:type="spellStart"/>
      <w:r w:rsidRPr="00003DE4">
        <w:rPr>
          <w:rFonts w:cs="Arial"/>
          <w:szCs w:val="22"/>
        </w:rPr>
        <w:t>Foundation</w:t>
      </w:r>
      <w:proofErr w:type="spellEnd"/>
      <w:r w:rsidRPr="00003DE4">
        <w:rPr>
          <w:rFonts w:cs="Arial"/>
          <w:szCs w:val="22"/>
        </w:rPr>
        <w:t xml:space="preserve"> et le PNUE débouchera sur un plan de mise en œuvre décennal pour </w:t>
      </w:r>
      <w:r w:rsidRPr="00003DE4">
        <w:rPr>
          <w:rFonts w:cs="Arial"/>
          <w:i/>
          <w:iCs/>
          <w:szCs w:val="22"/>
        </w:rPr>
        <w:t>« un océan mondial libéré des effets néfastes de la pollution d’ici à 2050 »</w:t>
      </w:r>
      <w:r w:rsidRPr="00003DE4">
        <w:rPr>
          <w:rFonts w:cs="Arial"/>
          <w:szCs w:val="22"/>
        </w:rPr>
        <w:t>. Le concept sous-tendant cette collaboration a été présenté lors du Sommet mondial sur l’océan, qui a eu lieu à Tokyo (Japon) en mars 2025.</w:t>
      </w:r>
    </w:p>
    <w:p w14:paraId="0DF9A7ED" w14:textId="66918126" w:rsidR="00170E9F" w:rsidRPr="00003DE4" w:rsidRDefault="00170E9F" w:rsidP="00852EA7">
      <w:pPr>
        <w:spacing w:after="240"/>
        <w:jc w:val="both"/>
        <w:rPr>
          <w:rFonts w:cs="Arial"/>
          <w:szCs w:val="22"/>
        </w:rPr>
      </w:pPr>
      <w:r w:rsidRPr="00003DE4">
        <w:rPr>
          <w:rFonts w:cs="Arial"/>
          <w:szCs w:val="22"/>
        </w:rPr>
        <w:t>35.</w:t>
      </w:r>
      <w:r w:rsidRPr="00003DE4">
        <w:rPr>
          <w:rFonts w:cs="Arial"/>
          <w:szCs w:val="22"/>
        </w:rPr>
        <w:tab/>
        <w:t xml:space="preserve">En juin 2023, l’Assemblée a adopté la </w:t>
      </w:r>
      <w:hyperlink r:id="rId19" w:history="1">
        <w:r w:rsidRPr="00003DE4">
          <w:rPr>
            <w:rStyle w:val="Hyperlink"/>
            <w:rFonts w:cs="Arial"/>
            <w:i/>
            <w:iCs/>
            <w:szCs w:val="22"/>
          </w:rPr>
          <w:t>Stratégie de la COI pour le développement des capacités (2023-2030)</w:t>
        </w:r>
      </w:hyperlink>
      <w:r w:rsidRPr="00003DE4">
        <w:rPr>
          <w:rFonts w:cs="Arial"/>
          <w:szCs w:val="22"/>
        </w:rPr>
        <w:t xml:space="preserve"> et créé un groupe d’experts sur le développement des capacités chargé d’élaborer un plan de mise en œuvre. L’Académie mondiale </w:t>
      </w:r>
      <w:proofErr w:type="spellStart"/>
      <w:r w:rsidRPr="00003DE4">
        <w:rPr>
          <w:rFonts w:cs="Arial"/>
          <w:szCs w:val="22"/>
        </w:rPr>
        <w:t>OceanTeacher</w:t>
      </w:r>
      <w:proofErr w:type="spellEnd"/>
      <w:r w:rsidRPr="00003DE4">
        <w:rPr>
          <w:rFonts w:cs="Arial"/>
          <w:szCs w:val="22"/>
        </w:rPr>
        <w:t xml:space="preserve"> continue de se développer, avec un nombre croissant de formations (plus de 50 cours par an) et environ 14 000 bénéficiaires dans le monde entier. Composée d’un réseau de 17 centres de formation régionaux et spécialisés, l’Académie reste active et des dizaines de partenaires supplémentaires ont rejoint ses initiatives de formation au cours des deux</w:t>
      </w:r>
      <w:r w:rsidR="00852EA7">
        <w:rPr>
          <w:rFonts w:cs="Arial"/>
          <w:szCs w:val="22"/>
        </w:rPr>
        <w:t> </w:t>
      </w:r>
      <w:r w:rsidRPr="00003DE4">
        <w:rPr>
          <w:rFonts w:cs="Arial"/>
          <w:szCs w:val="22"/>
        </w:rPr>
        <w:t>dernières années. La COI, par l’intermédiaire de l’Académie</w:t>
      </w:r>
      <w:r w:rsidR="00673422">
        <w:rPr>
          <w:rFonts w:cs="Arial"/>
          <w:szCs w:val="22"/>
        </w:rPr>
        <w:t> </w:t>
      </w:r>
      <w:r w:rsidRPr="00003DE4">
        <w:rPr>
          <w:rFonts w:cs="Arial"/>
          <w:szCs w:val="22"/>
        </w:rPr>
        <w:t>– qui est certifiée ISO 29993:2017 en tant que prestataire de services de formation –, délivre chaque année des certificats à des centaines de participants aux formations et garantit la mise à disposition d’un système de gestion de l’apprentissage normalisé de qualité. L’Académie continue de répondre aux besoins et aux priorités en matière de formation de tous les programmes et de toutes les régions de la COI, ainsi qu’à ceux de la Décennie de l’océan, en</w:t>
      </w:r>
      <w:r w:rsidR="00BD7EC4">
        <w:rPr>
          <w:rFonts w:cs="Arial"/>
          <w:szCs w:val="22"/>
        </w:rPr>
        <w:t> </w:t>
      </w:r>
      <w:r w:rsidRPr="00003DE4">
        <w:rPr>
          <w:rFonts w:cs="Arial"/>
          <w:szCs w:val="22"/>
        </w:rPr>
        <w:t>proposant une offre élargie de formation et d’apprentissage tout au long de la vie dans les domaines des sciences océaniques, des services océaniques et de la gestion de l’océan.</w:t>
      </w:r>
    </w:p>
    <w:p w14:paraId="3DABEBB7" w14:textId="376AF894" w:rsidR="00170E9F" w:rsidRPr="00003DE4" w:rsidRDefault="00170E9F" w:rsidP="00673422">
      <w:pPr>
        <w:spacing w:after="240"/>
        <w:jc w:val="both"/>
        <w:rPr>
          <w:rFonts w:cs="Arial"/>
          <w:color w:val="000000" w:themeColor="text1"/>
          <w:szCs w:val="22"/>
        </w:rPr>
      </w:pPr>
      <w:r w:rsidRPr="00003DE4">
        <w:rPr>
          <w:rFonts w:cs="Arial"/>
          <w:szCs w:val="22"/>
        </w:rPr>
        <w:t>36.</w:t>
      </w:r>
      <w:r w:rsidRPr="00003DE4">
        <w:rPr>
          <w:rFonts w:cs="Arial"/>
          <w:szCs w:val="22"/>
        </w:rPr>
        <w:tab/>
        <w:t>Grâce à l’initiative de développement des capacités de la COI soutenue par le financement de l’Agence norvégienne de coopération pour le développement</w:t>
      </w:r>
      <w:r w:rsidR="0042668C">
        <w:rPr>
          <w:rFonts w:cs="Arial"/>
          <w:szCs w:val="22"/>
        </w:rPr>
        <w:t> </w:t>
      </w:r>
      <w:r w:rsidRPr="00003DE4">
        <w:rPr>
          <w:rFonts w:cs="Arial"/>
          <w:szCs w:val="22"/>
        </w:rPr>
        <w:t xml:space="preserve">(NORAD), cinq activités ont été lancées en 2024, conçues conjointement avec des organes subsidiaires régionaux et techniques : (i) mise en place de systèmes d’alerte précoce pour faire face aux efflorescences algales nuisibles en Afrique ; (ii) Système mondial d’observation du niveau de la mer (GLOSS) en Afrique (phase 1 – Afrique du Nord) ; (iii) appui à la planification stratégique et au développement des capacités en matière d’observations océaniques sous l’égide du GOOS-Afrique ; (iv) centre de données sur la biodiversité en haute mer ; (v) stages </w:t>
      </w:r>
      <w:proofErr w:type="spellStart"/>
      <w:r w:rsidRPr="00003DE4">
        <w:rPr>
          <w:rFonts w:cs="Arial"/>
          <w:szCs w:val="22"/>
        </w:rPr>
        <w:t>OceanTraining</w:t>
      </w:r>
      <w:proofErr w:type="spellEnd"/>
      <w:r w:rsidRPr="00003DE4">
        <w:rPr>
          <w:rFonts w:cs="Arial"/>
          <w:szCs w:val="22"/>
        </w:rPr>
        <w:t xml:space="preserve"> visant à renforcer les capacités humaines globales liées au mandat de la COI. L’appel à candidatures pour la cohorte 2025 est en cours et un appel à manifestation d’intérêt a été adressé en février 2025 aux institutions d’accueil. De nouveaux financements reçus en décembre 2024 soutiendront la mise en place à plus grande échelle de systèmes d’alerte précoce aux efflorescences algales nuisibles en Afrique, y compris l’actualisation de l’infrastructure de gestion des données à l’appui de ces systèmes, permettant de déterminer les liens entre les efflorescences et la désoxygénation et de s’assurer que les observations associées aux systèmes alimentent le GOOS.</w:t>
      </w:r>
    </w:p>
    <w:p w14:paraId="077EA34D" w14:textId="77777777" w:rsidR="00170E9F" w:rsidRPr="00003DE4" w:rsidRDefault="00170E9F" w:rsidP="0042668C">
      <w:pPr>
        <w:spacing w:after="240"/>
        <w:jc w:val="both"/>
        <w:rPr>
          <w:rFonts w:cs="Arial"/>
          <w:szCs w:val="22"/>
        </w:rPr>
      </w:pPr>
      <w:r w:rsidRPr="00003DE4">
        <w:rPr>
          <w:rFonts w:cs="Arial"/>
          <w:szCs w:val="22"/>
        </w:rPr>
        <w:t>37.</w:t>
      </w:r>
      <w:r w:rsidRPr="00003DE4">
        <w:rPr>
          <w:rFonts w:cs="Arial"/>
          <w:szCs w:val="22"/>
        </w:rPr>
        <w:tab/>
        <w:t>Les activités de la COI en matière de développement des capacités programmatiques sont complétées par le mécanisme de développement des capacités de la Décennie de l’Océan, qui vise à élaborer et à mettre en œuvre des initiatives prioritaires de développement des capacités dans le cadre de la Décennie de l’Océan, en mettant l’accent sur les PEID, les pays les moins avancés et les jeunes spécialistes de l’océan.</w:t>
      </w:r>
    </w:p>
    <w:p w14:paraId="204B6FF4" w14:textId="77777777" w:rsidR="00170E9F" w:rsidRPr="00003DE4" w:rsidRDefault="00170E9F" w:rsidP="0042668C">
      <w:pPr>
        <w:spacing w:after="240"/>
        <w:jc w:val="both"/>
        <w:rPr>
          <w:rFonts w:cs="Arial"/>
          <w:szCs w:val="22"/>
        </w:rPr>
      </w:pPr>
      <w:r w:rsidRPr="00003DE4">
        <w:rPr>
          <w:rFonts w:cs="Arial"/>
          <w:szCs w:val="22"/>
        </w:rPr>
        <w:t>38.</w:t>
      </w:r>
      <w:r w:rsidRPr="00003DE4">
        <w:rPr>
          <w:rFonts w:cs="Arial"/>
          <w:szCs w:val="22"/>
        </w:rPr>
        <w:tab/>
        <w:t xml:space="preserve">Afin de garantir le succès de notre action en faveur de la priorité globale Afrique, il est essentiel de suivre l’évolution des priorités et des stratégies nationales et régionales. L’équipe spéciale de la Décennie de l’Océan pour l’Afrique supervise et encourage la mise en œuvre de la </w:t>
      </w:r>
      <w:hyperlink r:id="rId20" w:history="1">
        <w:r w:rsidRPr="00003DE4">
          <w:rPr>
            <w:rStyle w:val="Hyperlink"/>
            <w:rFonts w:cs="Arial"/>
            <w:szCs w:val="22"/>
          </w:rPr>
          <w:t>Feuille de route de la Décennie de l’Océan pour l’Afrique</w:t>
        </w:r>
      </w:hyperlink>
      <w:r w:rsidRPr="00003DE4">
        <w:rPr>
          <w:rFonts w:cs="Arial"/>
          <w:szCs w:val="22"/>
        </w:rPr>
        <w:t xml:space="preserve">, notamment l’élaboration et le lancement d’un nouveau programme de la Décennie sur la gestion durable de l’océan en Afrique. De même, l’équipe spéciale </w:t>
      </w:r>
      <w:r w:rsidRPr="00003DE4">
        <w:rPr>
          <w:rFonts w:cs="Arial"/>
          <w:szCs w:val="22"/>
        </w:rPr>
        <w:lastRenderedPageBreak/>
        <w:t>sur l’Amérique tropicale et les Caraïbes supervise l’application de la feuille de route régionale pour la mise en œuvre de la Décennie.</w:t>
      </w:r>
    </w:p>
    <w:p w14:paraId="0912B936" w14:textId="5E92C54E" w:rsidR="00170E9F" w:rsidRPr="00003DE4" w:rsidRDefault="00170E9F" w:rsidP="00DE258D">
      <w:pPr>
        <w:spacing w:after="240"/>
        <w:jc w:val="both"/>
        <w:rPr>
          <w:rFonts w:cs="Arial"/>
          <w:snapToGrid/>
          <w:color w:val="000000" w:themeColor="text1"/>
          <w:szCs w:val="22"/>
        </w:rPr>
      </w:pPr>
      <w:r w:rsidRPr="00003DE4">
        <w:rPr>
          <w:rFonts w:cs="Arial"/>
          <w:szCs w:val="22"/>
        </w:rPr>
        <w:t>39.</w:t>
      </w:r>
      <w:r w:rsidRPr="00003DE4">
        <w:rPr>
          <w:rFonts w:cs="Arial"/>
          <w:szCs w:val="22"/>
        </w:rPr>
        <w:tab/>
        <w:t>Dans la région du Pacifique occidental, des efforts considérables ont été déployés pour que les sciences océaniques tiennent compte des besoins de la société, notamment par le biais d’accords nationaux et internationaux et de cadres stratégiques. Une étape importante a été franchie avec l’organisation en Thaïlande de la deuxième</w:t>
      </w:r>
      <w:r w:rsidR="00EC413D">
        <w:rPr>
          <w:rFonts w:cs="Arial"/>
          <w:szCs w:val="22"/>
        </w:rPr>
        <w:t> </w:t>
      </w:r>
      <w:r w:rsidRPr="00003DE4">
        <w:rPr>
          <w:rFonts w:cs="Arial"/>
          <w:szCs w:val="22"/>
        </w:rPr>
        <w:t>conférence régionale de la Décennie de l’Océan et de la 11</w:t>
      </w:r>
      <w:r w:rsidRPr="00003DE4">
        <w:rPr>
          <w:rFonts w:cs="Arial"/>
          <w:szCs w:val="22"/>
          <w:vertAlign w:val="superscript"/>
        </w:rPr>
        <w:t>e</w:t>
      </w:r>
      <w:r w:rsidRPr="00003DE4">
        <w:rPr>
          <w:rFonts w:cs="Arial"/>
          <w:szCs w:val="22"/>
        </w:rPr>
        <w:t> conférence internationale de la Sous-Commission de la COI pour le Pacifique occidental</w:t>
      </w:r>
      <w:r w:rsidR="00EC413D">
        <w:rPr>
          <w:rFonts w:cs="Arial"/>
          <w:szCs w:val="22"/>
        </w:rPr>
        <w:t> </w:t>
      </w:r>
      <w:r w:rsidRPr="00003DE4">
        <w:rPr>
          <w:rFonts w:cs="Arial"/>
          <w:szCs w:val="22"/>
        </w:rPr>
        <w:t>(WESTPAC) sur les sciences océaniques</w:t>
      </w:r>
      <w:r w:rsidR="00EC413D">
        <w:rPr>
          <w:rFonts w:cs="Arial"/>
          <w:szCs w:val="22"/>
        </w:rPr>
        <w:t> </w:t>
      </w:r>
      <w:r w:rsidRPr="00003DE4">
        <w:rPr>
          <w:rFonts w:cs="Arial"/>
          <w:szCs w:val="22"/>
        </w:rPr>
        <w:t>(22-25 avril 2024), qui ont rassemblé plus de 1 200 parties prenantes de 40 pays situés dans la région et au-delà pour discuter de l’état actuel des connaissances sur l’océan, faire le point sur les réalisations des trois</w:t>
      </w:r>
      <w:r w:rsidR="00EC413D">
        <w:rPr>
          <w:rFonts w:cs="Arial"/>
          <w:szCs w:val="22"/>
        </w:rPr>
        <w:t> </w:t>
      </w:r>
      <w:r w:rsidRPr="00003DE4">
        <w:rPr>
          <w:rFonts w:cs="Arial"/>
          <w:szCs w:val="22"/>
        </w:rPr>
        <w:t xml:space="preserve">premières années des actions de la Décennie de l’Océan dans la région et définir les priorités futures, en s’appuyant sur les résultats de </w:t>
      </w:r>
      <w:hyperlink r:id="rId21" w:history="1">
        <w:r w:rsidRPr="00003DE4">
          <w:rPr>
            <w:rStyle w:val="Hyperlink"/>
            <w:rFonts w:cs="Arial"/>
            <w:szCs w:val="22"/>
          </w:rPr>
          <w:t>Vision 2030</w:t>
        </w:r>
      </w:hyperlink>
      <w:r w:rsidRPr="00003DE4">
        <w:rPr>
          <w:rFonts w:cs="Arial"/>
          <w:szCs w:val="22"/>
        </w:rPr>
        <w:t xml:space="preserve"> (le processus de définition des ambitions stratégiques de la Décennie de l’Océan sur la voie menant à 2030). Un cadre d’action régional visant à accélérer la planification de l’espace marin (PEM) a été adopté pour étayer le projet </w:t>
      </w:r>
      <w:hyperlink r:id="rId22" w:history="1">
        <w:proofErr w:type="spellStart"/>
        <w:r w:rsidRPr="00003DE4">
          <w:rPr>
            <w:rStyle w:val="Hyperlink"/>
            <w:rFonts w:cs="Arial"/>
            <w:szCs w:val="22"/>
          </w:rPr>
          <w:t>MSPglobal</w:t>
        </w:r>
        <w:proofErr w:type="spellEnd"/>
        <w:r w:rsidRPr="00003DE4">
          <w:rPr>
            <w:rStyle w:val="Hyperlink"/>
            <w:rFonts w:cs="Arial"/>
            <w:szCs w:val="22"/>
          </w:rPr>
          <w:t> 2.0</w:t>
        </w:r>
      </w:hyperlink>
      <w:r w:rsidRPr="00003DE4">
        <w:rPr>
          <w:rFonts w:cs="Arial"/>
          <w:szCs w:val="22"/>
        </w:rPr>
        <w:t>.</w:t>
      </w:r>
    </w:p>
    <w:p w14:paraId="2E5810BA" w14:textId="5C931B19" w:rsidR="00170E9F" w:rsidRPr="00003DE4" w:rsidRDefault="00170E9F" w:rsidP="00EC413D">
      <w:pPr>
        <w:spacing w:after="240"/>
        <w:jc w:val="both"/>
        <w:rPr>
          <w:rFonts w:cs="Arial"/>
          <w:szCs w:val="22"/>
        </w:rPr>
      </w:pPr>
      <w:r w:rsidRPr="00003DE4">
        <w:rPr>
          <w:rFonts w:cs="Arial"/>
          <w:szCs w:val="22"/>
        </w:rPr>
        <w:t>40.</w:t>
      </w:r>
      <w:r w:rsidRPr="00003DE4">
        <w:rPr>
          <w:rFonts w:cs="Arial"/>
          <w:szCs w:val="22"/>
        </w:rPr>
        <w:tab/>
        <w:t>Contribuant à la Stratégie opérationnelle de l’UNESCO pour les PEID, la COI dirige le deuxième des six</w:t>
      </w:r>
      <w:r w:rsidR="00EC413D">
        <w:rPr>
          <w:rFonts w:cs="Arial"/>
          <w:szCs w:val="22"/>
        </w:rPr>
        <w:t> </w:t>
      </w:r>
      <w:r w:rsidRPr="00003DE4">
        <w:rPr>
          <w:rFonts w:cs="Arial"/>
          <w:szCs w:val="22"/>
        </w:rPr>
        <w:t>programmes d’accélération intersectoriels, dont le thème est « Renforcer durablement les connaissances des PEID sur l’océan et leurs capacités en matière d’aménagement de l’espace et de gestion de l’eau afin de favoriser la croissance de leur économie bleue ». La</w:t>
      </w:r>
      <w:r w:rsidR="00EC413D">
        <w:rPr>
          <w:rFonts w:cs="Arial"/>
          <w:szCs w:val="22"/>
        </w:rPr>
        <w:t> </w:t>
      </w:r>
      <w:r w:rsidRPr="00003DE4">
        <w:rPr>
          <w:rFonts w:cs="Arial"/>
          <w:szCs w:val="22"/>
        </w:rPr>
        <w:t>mobilisation accrue des PEID en faveur de la Décennie de l’Océan a été soutenue par la mise en place d’un centre de coordination décentralisé pour la région des îles du Pacifique, hébergé par la Communauté du Pacifique, ainsi que par la création d’une équipe spéciale pour la région de l’Amérique tropicale et des Caraïbes chargée de superviser la mise en œuvre de la Décennie de l’Océan dans la région.</w:t>
      </w:r>
    </w:p>
    <w:p w14:paraId="03868DAF" w14:textId="1FBD91F8" w:rsidR="00170E9F" w:rsidRPr="00003DE4" w:rsidRDefault="00170E9F" w:rsidP="00EC413D">
      <w:pPr>
        <w:spacing w:after="240"/>
        <w:jc w:val="both"/>
        <w:rPr>
          <w:rFonts w:cs="Arial"/>
          <w:szCs w:val="22"/>
        </w:rPr>
      </w:pPr>
      <w:r w:rsidRPr="00003DE4">
        <w:rPr>
          <w:rFonts w:cs="Arial"/>
          <w:szCs w:val="22"/>
        </w:rPr>
        <w:t>41.</w:t>
      </w:r>
      <w:r w:rsidRPr="00003DE4">
        <w:rPr>
          <w:rFonts w:cs="Arial"/>
          <w:szCs w:val="22"/>
        </w:rPr>
        <w:tab/>
        <w:t>La COI a intensifié son action en matière de PEM et a publié en 2022 avec la Commission européenne la Feuille de route conjointe pour accélérer les processus de planification de l’espace maritime/marin dans le monde (</w:t>
      </w:r>
      <w:proofErr w:type="spellStart"/>
      <w:r w:rsidRPr="00003DE4">
        <w:rPr>
          <w:rFonts w:cs="Arial"/>
          <w:szCs w:val="22"/>
        </w:rPr>
        <w:t>MSProadmap</w:t>
      </w:r>
      <w:proofErr w:type="spellEnd"/>
      <w:r w:rsidRPr="00003DE4">
        <w:rPr>
          <w:rFonts w:cs="Arial"/>
          <w:szCs w:val="22"/>
        </w:rPr>
        <w:t xml:space="preserve">), puis a repris le projet </w:t>
      </w:r>
      <w:proofErr w:type="spellStart"/>
      <w:r w:rsidRPr="00003DE4">
        <w:rPr>
          <w:rFonts w:cs="Arial"/>
          <w:szCs w:val="22"/>
        </w:rPr>
        <w:t>MSPglobal</w:t>
      </w:r>
      <w:proofErr w:type="spellEnd"/>
      <w:r w:rsidRPr="00003DE4">
        <w:rPr>
          <w:rFonts w:cs="Arial"/>
          <w:szCs w:val="22"/>
        </w:rPr>
        <w:t xml:space="preserve"> en juillet 2023 (noyau du programme </w:t>
      </w:r>
      <w:proofErr w:type="spellStart"/>
      <w:r w:rsidRPr="00003DE4">
        <w:rPr>
          <w:rFonts w:cs="Arial"/>
          <w:szCs w:val="22"/>
        </w:rPr>
        <w:t>MSPglobal</w:t>
      </w:r>
      <w:proofErr w:type="spellEnd"/>
      <w:r w:rsidRPr="00003DE4">
        <w:rPr>
          <w:rFonts w:cs="Arial"/>
          <w:szCs w:val="22"/>
        </w:rPr>
        <w:t xml:space="preserve">, cofinancé par l’Union européenne), en mettant l’accent sur l’Afrique occidentale et le Pacifique occidental. En outre, l’équipe du projet </w:t>
      </w:r>
      <w:proofErr w:type="spellStart"/>
      <w:r w:rsidRPr="00003DE4">
        <w:rPr>
          <w:rFonts w:cs="Arial"/>
          <w:szCs w:val="22"/>
        </w:rPr>
        <w:t>MSPglobal</w:t>
      </w:r>
      <w:proofErr w:type="spellEnd"/>
      <w:r w:rsidRPr="00003DE4">
        <w:rPr>
          <w:rFonts w:cs="Arial"/>
          <w:szCs w:val="22"/>
        </w:rPr>
        <w:t xml:space="preserve"> 2.0 a coproduit de nouveaux outils, de nouvelles connaissances ainsi qu’une nouvelle formation en ligne sur l’Académie mondiale </w:t>
      </w:r>
      <w:proofErr w:type="spellStart"/>
      <w:r w:rsidRPr="00003DE4">
        <w:rPr>
          <w:rFonts w:cs="Arial"/>
          <w:szCs w:val="22"/>
        </w:rPr>
        <w:t>OceanTeacher</w:t>
      </w:r>
      <w:proofErr w:type="spellEnd"/>
      <w:r w:rsidRPr="00003DE4">
        <w:rPr>
          <w:rFonts w:cs="Arial"/>
          <w:szCs w:val="22"/>
        </w:rPr>
        <w:t>, afin d’aider tous les États</w:t>
      </w:r>
      <w:r w:rsidR="00EC413D">
        <w:rPr>
          <w:rFonts w:cs="Arial"/>
          <w:szCs w:val="22"/>
        </w:rPr>
        <w:t> </w:t>
      </w:r>
      <w:r w:rsidRPr="00003DE4">
        <w:rPr>
          <w:rFonts w:cs="Arial"/>
          <w:szCs w:val="22"/>
        </w:rPr>
        <w:t>membres à faire progresser leurs processus de PEM. Deux</w:t>
      </w:r>
      <w:r w:rsidR="00EC413D">
        <w:rPr>
          <w:rFonts w:cs="Arial"/>
          <w:szCs w:val="22"/>
        </w:rPr>
        <w:t> </w:t>
      </w:r>
      <w:r w:rsidRPr="00003DE4">
        <w:rPr>
          <w:rFonts w:cs="Arial"/>
          <w:szCs w:val="22"/>
        </w:rPr>
        <w:t>publications sur la participation des populations autochtones et des communautés locales à la PEM ont été publiées en juillet 2024, tandis que quatre</w:t>
      </w:r>
      <w:r w:rsidR="00EC413D">
        <w:rPr>
          <w:rFonts w:cs="Arial"/>
          <w:szCs w:val="22"/>
        </w:rPr>
        <w:t> </w:t>
      </w:r>
      <w:r w:rsidRPr="00003DE4">
        <w:rPr>
          <w:rFonts w:cs="Arial"/>
          <w:szCs w:val="22"/>
        </w:rPr>
        <w:t xml:space="preserve">autres boîtes à outils sur la participation à la biodiversité, au climat, aux données spatiales et à l’éolien en mer seront publiées d’ici à juin 2025. Ces outils ont été élaborés dans le cadre d’ateliers mondiaux organisés conjointement avec des organisations clés et des experts de tous les continents et de tous les bassins maritimes. Au total, à la mi-mars 2025, les activités du projet </w:t>
      </w:r>
      <w:proofErr w:type="spellStart"/>
      <w:r w:rsidRPr="00003DE4">
        <w:rPr>
          <w:rFonts w:cs="Arial"/>
          <w:szCs w:val="22"/>
        </w:rPr>
        <w:t>MSPglobal</w:t>
      </w:r>
      <w:proofErr w:type="spellEnd"/>
      <w:r w:rsidRPr="00003DE4">
        <w:rPr>
          <w:rFonts w:cs="Arial"/>
          <w:szCs w:val="22"/>
        </w:rPr>
        <w:t> 2.0 avaient rassemblé 1 000 participants de 116 pays. Cette mobilisation a débouché sur l’organisation de formations, d’ateliers et de forums mondiaux et régionaux sur la PEM adressés aux représentants des autorités nationales et du G20. Un nouvel outil d’évaluation rapide destiné à faciliter la planification nationale a été élaboré et mis à l’essai dans sept</w:t>
      </w:r>
      <w:r w:rsidR="00EC413D">
        <w:rPr>
          <w:rFonts w:cs="Arial"/>
          <w:szCs w:val="22"/>
        </w:rPr>
        <w:t> </w:t>
      </w:r>
      <w:r w:rsidRPr="00003DE4">
        <w:rPr>
          <w:rFonts w:cs="Arial"/>
          <w:szCs w:val="22"/>
        </w:rPr>
        <w:t>pays d’Afrique, du Pacifique occidental, d’Amérique latine et des Caraïbes. Un financement additionnel du Gouvernement suédois</w:t>
      </w:r>
      <w:r w:rsidR="00EC413D">
        <w:rPr>
          <w:rFonts w:cs="Arial"/>
          <w:szCs w:val="22"/>
        </w:rPr>
        <w:t> </w:t>
      </w:r>
      <w:r w:rsidRPr="00003DE4">
        <w:rPr>
          <w:rFonts w:cs="Arial"/>
          <w:szCs w:val="22"/>
        </w:rPr>
        <w:t>(2024</w:t>
      </w:r>
      <w:r w:rsidR="00EC413D">
        <w:rPr>
          <w:rFonts w:cs="Arial"/>
          <w:szCs w:val="22"/>
        </w:rPr>
        <w:noBreakHyphen/>
      </w:r>
      <w:r w:rsidRPr="00003DE4">
        <w:rPr>
          <w:rFonts w:cs="Arial"/>
          <w:szCs w:val="22"/>
        </w:rPr>
        <w:t>2027) continuera à appuyer cette activité, en plus du soutien renouvelé de la Direction générale des affaires maritimes et de la pêche</w:t>
      </w:r>
      <w:r w:rsidR="00EC413D">
        <w:rPr>
          <w:rFonts w:cs="Arial"/>
          <w:szCs w:val="22"/>
        </w:rPr>
        <w:t> </w:t>
      </w:r>
      <w:r w:rsidRPr="00003DE4">
        <w:rPr>
          <w:rFonts w:cs="Arial"/>
          <w:szCs w:val="22"/>
        </w:rPr>
        <w:t>(DG MARE) de la Commission européenne pour deux années supplémentaires. Les travaux de la COI en matière de PEM offrent une base solide pour faire progresser le projet de stratégie à l’échelle de la COI sur la planification et la gestion durables de l’océan, ainsi que le nouveau programme de la Décennie sur la planification durable de l’océan, soutenu par un ensemble de partenaires internationaux, qui a été lancé lors de la Conférence de Barcelone. Le groupe de travail de la COI sur la stratégie à l’échelle de la COI s’est réuni trois</w:t>
      </w:r>
      <w:r w:rsidR="00EC413D">
        <w:rPr>
          <w:rFonts w:cs="Arial"/>
          <w:szCs w:val="22"/>
        </w:rPr>
        <w:t> </w:t>
      </w:r>
      <w:r w:rsidRPr="00003DE4">
        <w:rPr>
          <w:rFonts w:cs="Arial"/>
          <w:szCs w:val="22"/>
        </w:rPr>
        <w:t>fois en 2025 afin de finaliser le projet de stratégie et le plan de mise en œuvre correspondant, qui seront présentés à l’Assemblée de la COI à sa 33</w:t>
      </w:r>
      <w:r w:rsidRPr="00003DE4">
        <w:rPr>
          <w:rFonts w:cs="Arial"/>
          <w:szCs w:val="22"/>
          <w:vertAlign w:val="superscript"/>
        </w:rPr>
        <w:t>e</w:t>
      </w:r>
      <w:r w:rsidRPr="00003DE4">
        <w:rPr>
          <w:rFonts w:cs="Arial"/>
          <w:szCs w:val="22"/>
        </w:rPr>
        <w:t> session au titre du point 4.1 de l’ordre du jour.</w:t>
      </w:r>
      <w:bookmarkStart w:id="1" w:name="_Hlk193363706"/>
      <w:bookmarkStart w:id="2" w:name="_Hlk193363768"/>
      <w:bookmarkStart w:id="3" w:name="_Hlk193364247"/>
      <w:bookmarkStart w:id="4" w:name="_Hlk193364217"/>
      <w:bookmarkStart w:id="5" w:name="_Hlk193364227"/>
      <w:bookmarkEnd w:id="1"/>
      <w:bookmarkEnd w:id="2"/>
      <w:bookmarkEnd w:id="3"/>
      <w:bookmarkEnd w:id="4"/>
      <w:bookmarkEnd w:id="5"/>
    </w:p>
    <w:p w14:paraId="5BF62B72" w14:textId="77777777" w:rsidR="00170E9F" w:rsidRPr="00003DE4" w:rsidRDefault="00170E9F" w:rsidP="00EC413D">
      <w:pPr>
        <w:spacing w:after="240"/>
        <w:jc w:val="both"/>
        <w:rPr>
          <w:rFonts w:eastAsia="Arial" w:cs="Arial"/>
          <w:szCs w:val="22"/>
        </w:rPr>
      </w:pPr>
      <w:r w:rsidRPr="00003DE4">
        <w:rPr>
          <w:rFonts w:cs="Arial"/>
          <w:szCs w:val="22"/>
        </w:rPr>
        <w:lastRenderedPageBreak/>
        <w:t>42.</w:t>
      </w:r>
      <w:r w:rsidRPr="00003DE4">
        <w:rPr>
          <w:rFonts w:cs="Arial"/>
          <w:szCs w:val="22"/>
        </w:rPr>
        <w:tab/>
        <w:t xml:space="preserve">Une formation d’initiation à l’océan a été dispensée à un public varié dans le cadre de programmes dédiés, notamment à des élèves, à des jeunes spécialistes de l’océan, à des journalistes, à des architectes et à des urbanistes, ainsi qu’à des experts en finances. Elle s’appuyait sur des ressources pédagogiques en anglais, en français et en espagnol et de modules d’apprentissage en ligne mis à disposition sur l’Académie mondiale </w:t>
      </w:r>
      <w:proofErr w:type="spellStart"/>
      <w:r w:rsidRPr="00003DE4">
        <w:rPr>
          <w:rFonts w:cs="Arial"/>
          <w:szCs w:val="22"/>
        </w:rPr>
        <w:t>OceanTeacher</w:t>
      </w:r>
      <w:proofErr w:type="spellEnd"/>
      <w:r w:rsidRPr="00003DE4">
        <w:rPr>
          <w:rFonts w:cs="Arial"/>
          <w:szCs w:val="22"/>
        </w:rPr>
        <w:t xml:space="preserve">. Pour faciliter la sensibilisation des apprenants, un nouveau centre d’initiation à l’océan, situé sur l’île de San </w:t>
      </w:r>
      <w:proofErr w:type="spellStart"/>
      <w:r w:rsidRPr="00003DE4">
        <w:rPr>
          <w:rFonts w:cs="Arial"/>
          <w:szCs w:val="22"/>
        </w:rPr>
        <w:t>Sèrvolo</w:t>
      </w:r>
      <w:proofErr w:type="spellEnd"/>
      <w:r w:rsidRPr="00003DE4">
        <w:rPr>
          <w:rFonts w:cs="Arial"/>
          <w:szCs w:val="22"/>
        </w:rPr>
        <w:t xml:space="preserve"> à Venise (Italie), a été inauguré en avril 2025. Plus de 55 pays participent désormais au programme de réseau régional ou national des écoles bleues.</w:t>
      </w:r>
    </w:p>
    <w:p w14:paraId="0DED8916" w14:textId="53E6469E" w:rsidR="00170E9F" w:rsidRPr="00003DE4" w:rsidRDefault="00170E9F" w:rsidP="00EC413D">
      <w:pPr>
        <w:spacing w:after="240"/>
        <w:jc w:val="both"/>
        <w:rPr>
          <w:rFonts w:cs="Arial"/>
          <w:szCs w:val="22"/>
        </w:rPr>
      </w:pPr>
      <w:r w:rsidRPr="00003DE4">
        <w:rPr>
          <w:rFonts w:cs="Arial"/>
          <w:szCs w:val="22"/>
        </w:rPr>
        <w:t>43.</w:t>
      </w:r>
      <w:r w:rsidRPr="00003DE4">
        <w:rPr>
          <w:rFonts w:cs="Arial"/>
          <w:szCs w:val="22"/>
        </w:rPr>
        <w:tab/>
        <w:t xml:space="preserve">En juin 2024, la première Conférence mondiale sur l’initiation à l’océan s’est tenue à Venise, sous l’égide du Ministère italien des affaires étrangères. Cette rencontre a rassemblé plus de 140 participants de 76 pays et débouché sur la </w:t>
      </w:r>
      <w:hyperlink r:id="rId23" w:history="1">
        <w:r w:rsidRPr="00003DE4">
          <w:rPr>
            <w:rStyle w:val="Hyperlink"/>
            <w:rFonts w:cs="Arial"/>
            <w:i/>
            <w:iCs/>
            <w:szCs w:val="22"/>
          </w:rPr>
          <w:t>Déclaration de Venise pour la littératie océanique en action</w:t>
        </w:r>
      </w:hyperlink>
      <w:r w:rsidRPr="00003DE4">
        <w:rPr>
          <w:rFonts w:cs="Arial"/>
          <w:i/>
          <w:iCs/>
          <w:szCs w:val="22"/>
        </w:rPr>
        <w:t>.</w:t>
      </w:r>
      <w:r w:rsidRPr="00003DE4">
        <w:rPr>
          <w:rFonts w:cs="Arial"/>
          <w:szCs w:val="22"/>
        </w:rPr>
        <w:t xml:space="preserve"> L’exposition itinérante interactive </w:t>
      </w:r>
      <w:proofErr w:type="spellStart"/>
      <w:r w:rsidRPr="00003DE4">
        <w:rPr>
          <w:rFonts w:cs="Arial"/>
          <w:szCs w:val="22"/>
        </w:rPr>
        <w:t>Ocean&amp;Climate</w:t>
      </w:r>
      <w:proofErr w:type="spellEnd"/>
      <w:r w:rsidRPr="00003DE4">
        <w:rPr>
          <w:rFonts w:cs="Arial"/>
          <w:szCs w:val="22"/>
        </w:rPr>
        <w:t xml:space="preserve"> Village a été présentée à Barcelone (Espagne) lors de la 37</w:t>
      </w:r>
      <w:r w:rsidRPr="00003DE4">
        <w:rPr>
          <w:rFonts w:cs="Arial"/>
          <w:szCs w:val="22"/>
          <w:vertAlign w:val="superscript"/>
        </w:rPr>
        <w:t>e</w:t>
      </w:r>
      <w:r w:rsidRPr="00003DE4">
        <w:rPr>
          <w:rFonts w:cs="Arial"/>
          <w:szCs w:val="22"/>
        </w:rPr>
        <w:t> Coupe de l’America, en partenariat avec Luna Rossa Prada Pirelli. Dans le cadre de la Décennie de l’Océan, la sixième</w:t>
      </w:r>
      <w:r w:rsidR="00EC413D">
        <w:rPr>
          <w:rFonts w:cs="Arial"/>
          <w:szCs w:val="22"/>
        </w:rPr>
        <w:t> </w:t>
      </w:r>
      <w:r w:rsidRPr="00003DE4">
        <w:rPr>
          <w:rFonts w:cs="Arial"/>
          <w:szCs w:val="22"/>
        </w:rPr>
        <w:t xml:space="preserve">édition des dialogues sur l’initiation à l’océan a été organisée à Mumbai (Inde) en collaboration avec l’Institut Jane Goodall et le Bureau de l’UNESCO à New Delhi, et plusieurs webinaires ont été mis sur pied pour catalyser la nouvelle action de la Décennie sur le défi 10. La traduction en swahili du kit pédagogique </w:t>
      </w:r>
      <w:hyperlink r:id="rId24" w:history="1">
        <w:r w:rsidRPr="00003DE4">
          <w:rPr>
            <w:rStyle w:val="Hyperlink"/>
            <w:rFonts w:cs="Arial"/>
            <w:i/>
            <w:iCs/>
            <w:szCs w:val="22"/>
          </w:rPr>
          <w:t>Accès aux connaissances de l’océan pour tous</w:t>
        </w:r>
      </w:hyperlink>
      <w:r w:rsidRPr="00003DE4">
        <w:rPr>
          <w:rFonts w:cs="Arial"/>
          <w:szCs w:val="22"/>
        </w:rPr>
        <w:t xml:space="preserve"> est désormais accessible à plus de 2 000 000 de locuteurs de kiswahili de la sous-région de l’Afrique de l’Est, y compris de la République démocratique du Congo, des Comores, du Kenya, de la République-Unie de Tanzanie et de la Somalie.</w:t>
      </w:r>
    </w:p>
    <w:p w14:paraId="6CB0CE35" w14:textId="77777777" w:rsidR="00170E9F" w:rsidRPr="00003DE4" w:rsidRDefault="00170E9F" w:rsidP="00003DE4">
      <w:pPr>
        <w:tabs>
          <w:tab w:val="clear" w:pos="567"/>
        </w:tabs>
        <w:snapToGrid/>
        <w:spacing w:after="240"/>
        <w:rPr>
          <w:rFonts w:cs="Arial"/>
          <w:szCs w:val="22"/>
        </w:rPr>
      </w:pPr>
      <w:r w:rsidRPr="00003DE4">
        <w:rPr>
          <w:rFonts w:cs="Arial"/>
          <w:szCs w:val="22"/>
        </w:rPr>
        <w:br w:type="page"/>
      </w:r>
    </w:p>
    <w:p w14:paraId="55E3B074" w14:textId="77777777" w:rsidR="00170E9F" w:rsidRPr="00BB1AAF" w:rsidRDefault="00170E9F" w:rsidP="00170E9F">
      <w:pPr>
        <w:keepNext/>
        <w:keepLines/>
        <w:adjustRightInd w:val="0"/>
        <w:ind w:left="567" w:hanging="567"/>
        <w:jc w:val="both"/>
        <w:textAlignment w:val="baseline"/>
        <w:outlineLvl w:val="1"/>
        <w:rPr>
          <w:rFonts w:asciiTheme="minorBidi" w:eastAsia="Times New Roman" w:hAnsiTheme="minorBidi" w:cstheme="minorBidi"/>
          <w:b/>
          <w:bCs/>
          <w:caps/>
          <w:szCs w:val="22"/>
        </w:rPr>
      </w:pPr>
      <w:r w:rsidRPr="00AB1CAF">
        <w:rPr>
          <w:rFonts w:asciiTheme="minorBidi" w:hAnsiTheme="minorBidi" w:cstheme="minorBidi"/>
          <w:b/>
          <w:bCs/>
          <w:szCs w:val="22"/>
        </w:rPr>
        <w:lastRenderedPageBreak/>
        <w:t>Rapport d</w:t>
      </w:r>
      <w:r>
        <w:rPr>
          <w:rFonts w:asciiTheme="minorBidi" w:hAnsiTheme="minorBidi" w:cstheme="minorBidi"/>
          <w:b/>
          <w:bCs/>
          <w:szCs w:val="22"/>
        </w:rPr>
        <w:t>’</w:t>
      </w:r>
      <w:r w:rsidRPr="00AB1CAF">
        <w:rPr>
          <w:rFonts w:asciiTheme="minorBidi" w:hAnsiTheme="minorBidi" w:cstheme="minorBidi"/>
          <w:b/>
          <w:bCs/>
          <w:szCs w:val="22"/>
        </w:rPr>
        <w:t>étape 2024 (présenté au Conseil exécutif de l</w:t>
      </w:r>
      <w:r>
        <w:rPr>
          <w:rFonts w:asciiTheme="minorBidi" w:hAnsiTheme="minorBidi" w:cstheme="minorBidi"/>
          <w:b/>
          <w:bCs/>
          <w:szCs w:val="22"/>
        </w:rPr>
        <w:t>’</w:t>
      </w:r>
      <w:r w:rsidRPr="00AB1CAF">
        <w:rPr>
          <w:rFonts w:asciiTheme="minorBidi" w:hAnsiTheme="minorBidi" w:cstheme="minorBidi"/>
          <w:b/>
          <w:bCs/>
          <w:szCs w:val="22"/>
        </w:rPr>
        <w:t>UNESCO à sa 221</w:t>
      </w:r>
      <w:r w:rsidRPr="00AB1CAF">
        <w:rPr>
          <w:rFonts w:asciiTheme="minorBidi" w:hAnsiTheme="minorBidi" w:cstheme="minorBidi"/>
          <w:b/>
          <w:bCs/>
          <w:szCs w:val="22"/>
          <w:vertAlign w:val="superscript"/>
        </w:rPr>
        <w:t>e</w:t>
      </w:r>
      <w:r w:rsidRPr="00AB1CAF">
        <w:rPr>
          <w:rFonts w:asciiTheme="minorBidi" w:hAnsiTheme="minorBidi" w:cstheme="minorBidi"/>
          <w:b/>
          <w:bCs/>
          <w:szCs w:val="22"/>
        </w:rPr>
        <w:t> session)</w:t>
      </w:r>
    </w:p>
    <w:p w14:paraId="1AF52CE2" w14:textId="77777777" w:rsidR="00170E9F" w:rsidRPr="00BB1AAF" w:rsidRDefault="00170E9F" w:rsidP="00170E9F">
      <w:pPr>
        <w:adjustRightInd w:val="0"/>
        <w:jc w:val="both"/>
        <w:textAlignment w:val="baseline"/>
        <w:rPr>
          <w:rFonts w:asciiTheme="minorBidi" w:eastAsia="Times New Roman" w:hAnsiTheme="minorBidi" w:cstheme="minorBidi"/>
          <w:szCs w:val="22"/>
          <w:lang w:eastAsia="en-US"/>
        </w:rPr>
      </w:pPr>
      <w:r w:rsidRPr="00AB1CAF">
        <w:rPr>
          <w:rFonts w:asciiTheme="minorBidi" w:eastAsia="Times New Roman" w:hAnsiTheme="minorBidi" w:cstheme="minorBidi"/>
          <w:noProof/>
          <w:snapToGrid/>
          <w:szCs w:val="22"/>
        </w:rPr>
        <mc:AlternateContent>
          <mc:Choice Requires="wps">
            <w:drawing>
              <wp:anchor distT="0" distB="0" distL="114300" distR="114300" simplePos="0" relativeHeight="251663360" behindDoc="0" locked="0" layoutInCell="1" allowOverlap="1" wp14:anchorId="12F4FADB" wp14:editId="5B486C03">
                <wp:simplePos x="0" y="0"/>
                <wp:positionH relativeFrom="column">
                  <wp:posOffset>12700</wp:posOffset>
                </wp:positionH>
                <wp:positionV relativeFrom="paragraph">
                  <wp:posOffset>6889</wp:posOffset>
                </wp:positionV>
                <wp:extent cx="6181725" cy="19050"/>
                <wp:effectExtent l="0" t="0" r="28575" b="19050"/>
                <wp:wrapNone/>
                <wp:docPr id="4" name="Straight Connector 4"/>
                <wp:cNvGraphicFramePr/>
                <a:graphic xmlns:a="http://schemas.openxmlformats.org/drawingml/2006/main">
                  <a:graphicData uri="http://schemas.microsoft.com/office/word/2010/wordprocessingShape">
                    <wps:wsp>
                      <wps:cNvCnPr/>
                      <wps:spPr>
                        <a:xfrm flipV="1">
                          <a:off x="0" y="0"/>
                          <a:ext cx="61817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4317D670" id="Straight Connector 4"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pt,.55pt" to="487.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" strokecolor="#4a7ebb"/>
            </w:pict>
          </mc:Fallback>
        </mc:AlternateContent>
      </w:r>
    </w:p>
    <w:p w14:paraId="4AC78C4E" w14:textId="77777777" w:rsidR="00170E9F" w:rsidRDefault="00170E9F" w:rsidP="00170E9F">
      <w:pPr>
        <w:pStyle w:val="Marge"/>
        <w:jc w:val="center"/>
        <w:rPr>
          <w:rFonts w:asciiTheme="minorBidi" w:hAnsiTheme="minorBidi" w:cstheme="minorBidi"/>
          <w:szCs w:val="22"/>
        </w:rPr>
      </w:pPr>
      <w:r w:rsidRPr="00AB1CAF">
        <w:rPr>
          <w:rFonts w:asciiTheme="minorBidi" w:hAnsiTheme="minorBidi" w:cstheme="minorBidi"/>
          <w:i/>
          <w:iCs/>
          <w:szCs w:val="22"/>
        </w:rPr>
        <w:t>(Extraits des documents</w:t>
      </w:r>
      <w:r>
        <w:rPr>
          <w:rFonts w:asciiTheme="minorBidi" w:hAnsiTheme="minorBidi" w:cstheme="minorBidi"/>
          <w:i/>
          <w:iCs/>
          <w:szCs w:val="22"/>
        </w:rPr>
        <w:t> </w:t>
      </w:r>
      <w:hyperlink r:id="rId25" w:history="1">
        <w:r w:rsidRPr="00696395">
          <w:rPr>
            <w:rStyle w:val="Hyperlink"/>
            <w:rFonts w:asciiTheme="minorBidi" w:hAnsiTheme="minorBidi" w:cstheme="minorBidi"/>
            <w:i/>
            <w:iCs/>
            <w:szCs w:val="22"/>
          </w:rPr>
          <w:t>221 EX/4</w:t>
        </w:r>
      </w:hyperlink>
      <w:r w:rsidRPr="00AB1CAF">
        <w:rPr>
          <w:rFonts w:asciiTheme="minorBidi" w:hAnsiTheme="minorBidi" w:cstheme="minorBidi"/>
          <w:i/>
          <w:iCs/>
          <w:szCs w:val="22"/>
        </w:rPr>
        <w:t xml:space="preserve"> et </w:t>
      </w:r>
      <w:hyperlink r:id="rId26" w:history="1">
        <w:r w:rsidRPr="00696395">
          <w:rPr>
            <w:rStyle w:val="Hyperlink"/>
            <w:rFonts w:asciiTheme="minorBidi" w:hAnsiTheme="minorBidi" w:cstheme="minorBidi"/>
            <w:i/>
            <w:iCs/>
            <w:szCs w:val="22"/>
          </w:rPr>
          <w:t>221 EX/4.INF</w:t>
        </w:r>
      </w:hyperlink>
      <w:r w:rsidRPr="00AB1CAF">
        <w:rPr>
          <w:rFonts w:asciiTheme="minorBidi" w:hAnsiTheme="minorBidi" w:cstheme="minorBidi"/>
          <w:i/>
          <w:iCs/>
          <w:szCs w:val="22"/>
        </w:rPr>
        <w:t>)</w:t>
      </w:r>
      <w:r w:rsidRPr="00AB1CAF">
        <w:rPr>
          <w:rFonts w:asciiTheme="minorBidi" w:hAnsiTheme="minorBidi" w:cstheme="minorBidi"/>
          <w:szCs w:val="22"/>
        </w:rPr>
        <w:t xml:space="preserve"> </w:t>
      </w:r>
      <w:r w:rsidRPr="00AB1CAF">
        <w:rPr>
          <w:rFonts w:asciiTheme="minorBidi" w:hAnsiTheme="minorBidi" w:cstheme="minorBidi"/>
          <w:noProof/>
          <w:snapToGrid/>
          <w:szCs w:val="22"/>
          <w:lang w:eastAsia="zh-CN"/>
        </w:rPr>
        <w:drawing>
          <wp:inline distT="0" distB="0" distL="0" distR="0" wp14:anchorId="0464A1BC" wp14:editId="239D5954">
            <wp:extent cx="6020555" cy="8511317"/>
            <wp:effectExtent l="0" t="0" r="0" b="4445"/>
            <wp:docPr id="848809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09179" name="Picture 1" descr="A paper with text on it&#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bwMode="auto">
                    <a:xfrm>
                      <a:off x="0" y="0"/>
                      <a:ext cx="6020555" cy="8511317"/>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Bidi" w:hAnsiTheme="minorBidi" w:cstheme="minorBidi"/>
          <w:szCs w:val="22"/>
        </w:rPr>
        <w:br w:type="page"/>
      </w:r>
    </w:p>
    <w:p w14:paraId="645E5AA2" w14:textId="77777777" w:rsidR="00170E9F" w:rsidRDefault="00170E9F" w:rsidP="00170E9F">
      <w:pPr>
        <w:pStyle w:val="Marge"/>
        <w:jc w:val="center"/>
        <w:rPr>
          <w:rFonts w:asciiTheme="minorBidi" w:hAnsiTheme="minorBidi" w:cstheme="minorBidi"/>
          <w:bCs/>
          <w:i/>
          <w:szCs w:val="22"/>
        </w:rPr>
      </w:pPr>
      <w:r w:rsidRPr="00AB1CAF">
        <w:rPr>
          <w:rFonts w:asciiTheme="minorBidi" w:hAnsiTheme="minorBidi" w:cstheme="minorBidi"/>
          <w:noProof/>
          <w:snapToGrid/>
          <w:szCs w:val="22"/>
          <w:lang w:eastAsia="zh-CN"/>
        </w:rPr>
        <w:lastRenderedPageBreak/>
        <w:drawing>
          <wp:inline distT="0" distB="0" distL="0" distR="0" wp14:anchorId="6678AF8C" wp14:editId="3EF38B5D">
            <wp:extent cx="6019200" cy="8509288"/>
            <wp:effectExtent l="0" t="0" r="635" b="6350"/>
            <wp:docPr id="2122498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98863" name="Picture 1" descr="A close-up of a document&#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bwMode="auto">
                    <a:xfrm>
                      <a:off x="0" y="0"/>
                      <a:ext cx="6019200" cy="8509288"/>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Bidi" w:hAnsiTheme="minorBidi" w:cstheme="minorBidi"/>
          <w:bCs/>
          <w:i/>
          <w:szCs w:val="22"/>
        </w:rPr>
        <w:br w:type="page"/>
      </w:r>
    </w:p>
    <w:p w14:paraId="12C7F1F0" w14:textId="77777777" w:rsidR="00170E9F" w:rsidRPr="00AB1CAF" w:rsidRDefault="00170E9F" w:rsidP="00170E9F">
      <w:pPr>
        <w:pStyle w:val="Marge"/>
        <w:jc w:val="center"/>
        <w:rPr>
          <w:rFonts w:asciiTheme="minorBidi" w:hAnsiTheme="minorBidi" w:cstheme="minorBidi"/>
          <w:bCs/>
          <w:i/>
          <w:szCs w:val="22"/>
        </w:rPr>
      </w:pPr>
      <w:r w:rsidRPr="00AB1CAF">
        <w:rPr>
          <w:rFonts w:asciiTheme="minorBidi" w:hAnsiTheme="minorBidi" w:cstheme="minorBidi"/>
          <w:noProof/>
          <w:snapToGrid/>
          <w:szCs w:val="22"/>
          <w:lang w:eastAsia="zh-CN"/>
        </w:rPr>
        <w:lastRenderedPageBreak/>
        <w:drawing>
          <wp:inline distT="0" distB="0" distL="0" distR="0" wp14:anchorId="20365224" wp14:editId="5EFA035F">
            <wp:extent cx="6019200" cy="8508579"/>
            <wp:effectExtent l="0" t="0" r="635" b="6985"/>
            <wp:docPr id="1360193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93792" name="Picture 1" descr="A white text on a white background&#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bwMode="auto">
                    <a:xfrm>
                      <a:off x="0" y="0"/>
                      <a:ext cx="6019200" cy="8508579"/>
                    </a:xfrm>
                    <a:prstGeom prst="rect">
                      <a:avLst/>
                    </a:prstGeom>
                    <a:ln>
                      <a:noFill/>
                    </a:ln>
                    <a:extLst>
                      <a:ext uri="{53640926-AAD7-44D8-BBD7-CCE9431645EC}">
                        <a14:shadowObscured xmlns:a14="http://schemas.microsoft.com/office/drawing/2010/main"/>
                      </a:ext>
                    </a:extLst>
                  </pic:spPr>
                </pic:pic>
              </a:graphicData>
            </a:graphic>
          </wp:inline>
        </w:drawing>
      </w:r>
      <w:r w:rsidRPr="00AB1CAF">
        <w:rPr>
          <w:rFonts w:asciiTheme="minorBidi" w:hAnsiTheme="minorBidi" w:cstheme="minorBidi"/>
          <w:bCs/>
          <w:i/>
          <w:szCs w:val="22"/>
        </w:rPr>
        <w:br w:type="page"/>
      </w:r>
    </w:p>
    <w:p w14:paraId="1B994C0C" w14:textId="00C8A0DA" w:rsidR="00170E9F" w:rsidRPr="00BB1AAF" w:rsidRDefault="00170E9F" w:rsidP="00170E9F">
      <w:pPr>
        <w:tabs>
          <w:tab w:val="clear" w:pos="567"/>
        </w:tabs>
        <w:snapToGrid/>
        <w:rPr>
          <w:rFonts w:asciiTheme="minorBidi" w:hAnsiTheme="minorBidi" w:cstheme="minorBidi"/>
          <w:b/>
          <w:bCs/>
          <w:szCs w:val="22"/>
        </w:rPr>
      </w:pPr>
      <w:r w:rsidRPr="00AB1CAF">
        <w:rPr>
          <w:rFonts w:asciiTheme="minorBidi" w:hAnsiTheme="minorBidi" w:cstheme="minorBidi"/>
          <w:b/>
          <w:bCs/>
          <w:szCs w:val="22"/>
        </w:rPr>
        <w:lastRenderedPageBreak/>
        <w:t>Progrès réalisés par rapport au cadre de résultats de la COI pour 2024-2025 à la fin de</w:t>
      </w:r>
      <w:r w:rsidR="00EC413D">
        <w:rPr>
          <w:rFonts w:asciiTheme="minorBidi" w:hAnsiTheme="minorBidi" w:cstheme="minorBidi"/>
          <w:b/>
          <w:bCs/>
          <w:szCs w:val="22"/>
        </w:rPr>
        <w:t> </w:t>
      </w:r>
      <w:r w:rsidRPr="00AB1CAF">
        <w:rPr>
          <w:rFonts w:asciiTheme="minorBidi" w:hAnsiTheme="minorBidi" w:cstheme="minorBidi"/>
          <w:b/>
          <w:bCs/>
          <w:szCs w:val="22"/>
        </w:rPr>
        <w:t>l</w:t>
      </w:r>
      <w:r>
        <w:rPr>
          <w:rFonts w:asciiTheme="minorBidi" w:hAnsiTheme="minorBidi" w:cstheme="minorBidi"/>
          <w:b/>
          <w:bCs/>
          <w:szCs w:val="22"/>
        </w:rPr>
        <w:t>’</w:t>
      </w:r>
      <w:r w:rsidRPr="00AB1CAF">
        <w:rPr>
          <w:rFonts w:asciiTheme="minorBidi" w:hAnsiTheme="minorBidi" w:cstheme="minorBidi"/>
          <w:b/>
          <w:bCs/>
          <w:szCs w:val="22"/>
        </w:rPr>
        <w:t>exercice</w:t>
      </w:r>
      <w:r>
        <w:rPr>
          <w:rFonts w:asciiTheme="minorBidi" w:hAnsiTheme="minorBidi" w:cstheme="minorBidi"/>
          <w:b/>
          <w:bCs/>
          <w:szCs w:val="22"/>
        </w:rPr>
        <w:t> </w:t>
      </w:r>
      <w:r w:rsidRPr="00AB1CAF">
        <w:rPr>
          <w:rFonts w:asciiTheme="minorBidi" w:hAnsiTheme="minorBidi" w:cstheme="minorBidi"/>
          <w:b/>
          <w:bCs/>
          <w:szCs w:val="22"/>
        </w:rPr>
        <w:t>2024</w:t>
      </w:r>
    </w:p>
    <w:p w14:paraId="63072340" w14:textId="77777777" w:rsidR="00170E9F" w:rsidRPr="00BB1AAF" w:rsidRDefault="00170E9F" w:rsidP="00170E9F">
      <w:pPr>
        <w:jc w:val="both"/>
        <w:rPr>
          <w:rFonts w:asciiTheme="minorBidi" w:hAnsiTheme="minorBidi" w:cstheme="minorBidi"/>
          <w:szCs w:val="22"/>
        </w:rPr>
      </w:pPr>
      <w:r w:rsidRPr="00AB1CAF">
        <w:rPr>
          <w:rFonts w:asciiTheme="minorBidi" w:eastAsia="Times New Roman" w:hAnsiTheme="minorBidi" w:cstheme="minorBidi"/>
          <w:noProof/>
          <w:snapToGrid/>
          <w:szCs w:val="22"/>
        </w:rPr>
        <mc:AlternateContent>
          <mc:Choice Requires="wps">
            <w:drawing>
              <wp:anchor distT="0" distB="0" distL="114300" distR="114300" simplePos="0" relativeHeight="251664384" behindDoc="0" locked="0" layoutInCell="1" allowOverlap="1" wp14:anchorId="38603A9D" wp14:editId="5EB5707A">
                <wp:simplePos x="0" y="0"/>
                <wp:positionH relativeFrom="column">
                  <wp:posOffset>0</wp:posOffset>
                </wp:positionH>
                <wp:positionV relativeFrom="paragraph">
                  <wp:posOffset>-635</wp:posOffset>
                </wp:positionV>
                <wp:extent cx="6181725" cy="19050"/>
                <wp:effectExtent l="0" t="0" r="28575" b="19050"/>
                <wp:wrapNone/>
                <wp:docPr id="1008525152" name="Straight Connector 1008525152"/>
                <wp:cNvGraphicFramePr/>
                <a:graphic xmlns:a="http://schemas.openxmlformats.org/drawingml/2006/main">
                  <a:graphicData uri="http://schemas.microsoft.com/office/word/2010/wordprocessingShape">
                    <wps:wsp>
                      <wps:cNvCnPr/>
                      <wps:spPr>
                        <a:xfrm flipV="1">
                          <a:off x="0" y="0"/>
                          <a:ext cx="61817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1076E3E" id="Straight Connector 1008525152"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0,-.05pt" to="486.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" strokecolor="#4a7ebb"/>
            </w:pict>
          </mc:Fallback>
        </mc:AlternateContent>
      </w:r>
    </w:p>
    <w:p w14:paraId="23E0459D" w14:textId="77777777" w:rsidR="00170E9F" w:rsidRPr="00AB1CAF" w:rsidRDefault="00170E9F" w:rsidP="00170E9F">
      <w:pPr>
        <w:pStyle w:val="Marge"/>
        <w:jc w:val="center"/>
        <w:rPr>
          <w:rFonts w:asciiTheme="minorBidi" w:hAnsiTheme="minorBidi" w:cstheme="minorBidi"/>
          <w:bCs/>
          <w:i/>
          <w:szCs w:val="22"/>
        </w:rPr>
      </w:pPr>
      <w:r w:rsidRPr="00AB1CAF">
        <w:rPr>
          <w:rFonts w:asciiTheme="minorBidi" w:hAnsiTheme="minorBidi" w:cstheme="minorBidi"/>
          <w:noProof/>
          <w:snapToGrid/>
          <w:szCs w:val="22"/>
          <w:lang w:eastAsia="zh-CN"/>
        </w:rPr>
        <w:drawing>
          <wp:inline distT="0" distB="0" distL="0" distR="0" wp14:anchorId="71A8D12F" wp14:editId="746DE23F">
            <wp:extent cx="6206400" cy="5356800"/>
            <wp:effectExtent l="0" t="0" r="4445" b="0"/>
            <wp:docPr id="1117309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09633" name="Picture 1" descr="A screenshot of a computer&#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bwMode="auto">
                    <a:xfrm>
                      <a:off x="0" y="0"/>
                      <a:ext cx="6206400" cy="5356800"/>
                    </a:xfrm>
                    <a:prstGeom prst="rect">
                      <a:avLst/>
                    </a:prstGeom>
                    <a:ln>
                      <a:noFill/>
                    </a:ln>
                    <a:extLst>
                      <a:ext uri="{53640926-AAD7-44D8-BBD7-CCE9431645EC}">
                        <a14:shadowObscured xmlns:a14="http://schemas.microsoft.com/office/drawing/2010/main"/>
                      </a:ext>
                    </a:extLst>
                  </pic:spPr>
                </pic:pic>
              </a:graphicData>
            </a:graphic>
          </wp:inline>
        </w:drawing>
      </w:r>
      <w:r w:rsidRPr="00AB1CAF">
        <w:rPr>
          <w:rFonts w:asciiTheme="minorBidi" w:hAnsiTheme="minorBidi" w:cstheme="minorBidi"/>
          <w:bCs/>
          <w:i/>
          <w:szCs w:val="22"/>
        </w:rPr>
        <w:br w:type="page"/>
      </w:r>
    </w:p>
    <w:p w14:paraId="6DDB5912" w14:textId="77777777" w:rsidR="00170E9F" w:rsidRPr="00AB1CAF" w:rsidRDefault="00170E9F" w:rsidP="00170E9F">
      <w:pPr>
        <w:pStyle w:val="Marge"/>
        <w:jc w:val="center"/>
        <w:rPr>
          <w:rFonts w:asciiTheme="minorBidi" w:hAnsiTheme="minorBidi" w:cstheme="minorBidi"/>
          <w:bCs/>
          <w:i/>
          <w:szCs w:val="22"/>
        </w:rPr>
      </w:pPr>
      <w:r w:rsidRPr="00AB1CAF">
        <w:rPr>
          <w:rFonts w:asciiTheme="minorBidi" w:hAnsiTheme="minorBidi" w:cstheme="minorBidi"/>
          <w:noProof/>
          <w:snapToGrid/>
          <w:szCs w:val="22"/>
          <w:lang w:eastAsia="zh-CN"/>
        </w:rPr>
        <w:lastRenderedPageBreak/>
        <w:drawing>
          <wp:inline distT="0" distB="0" distL="0" distR="0" wp14:anchorId="368D7390" wp14:editId="6B972BB5">
            <wp:extent cx="6205855" cy="8773160"/>
            <wp:effectExtent l="0" t="0" r="4445" b="8890"/>
            <wp:docPr id="764371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71069" name="Picture 1" descr="A screenshot of a computer&#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bwMode="auto">
                    <a:xfrm>
                      <a:off x="0" y="0"/>
                      <a:ext cx="6205855" cy="8773160"/>
                    </a:xfrm>
                    <a:prstGeom prst="rect">
                      <a:avLst/>
                    </a:prstGeom>
                    <a:ln>
                      <a:noFill/>
                    </a:ln>
                    <a:extLst>
                      <a:ext uri="{53640926-AAD7-44D8-BBD7-CCE9431645EC}">
                        <a14:shadowObscured xmlns:a14="http://schemas.microsoft.com/office/drawing/2010/main"/>
                      </a:ext>
                    </a:extLst>
                  </pic:spPr>
                </pic:pic>
              </a:graphicData>
            </a:graphic>
          </wp:inline>
        </w:drawing>
      </w:r>
      <w:r w:rsidRPr="00AB1CAF">
        <w:rPr>
          <w:rFonts w:asciiTheme="minorBidi" w:hAnsiTheme="minorBidi" w:cstheme="minorBidi"/>
          <w:bCs/>
          <w:i/>
          <w:szCs w:val="22"/>
        </w:rPr>
        <w:br w:type="page"/>
      </w:r>
      <w:r w:rsidRPr="00AB1CAF">
        <w:rPr>
          <w:rFonts w:asciiTheme="minorBidi" w:hAnsiTheme="minorBidi" w:cstheme="minorBidi"/>
          <w:bCs/>
          <w:i/>
          <w:noProof/>
          <w:snapToGrid/>
          <w:szCs w:val="22"/>
          <w:lang w:eastAsia="zh-CN"/>
        </w:rPr>
        <w:lastRenderedPageBreak/>
        <w:drawing>
          <wp:inline distT="0" distB="0" distL="0" distR="0" wp14:anchorId="2174BB23" wp14:editId="163BF546">
            <wp:extent cx="6205855" cy="8773795"/>
            <wp:effectExtent l="0" t="0" r="4445" b="8255"/>
            <wp:docPr id="1759105919" name="Image 175910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3000fre-3.jpg"/>
                    <pic:cNvPicPr/>
                  </pic:nvPicPr>
                  <pic:blipFill>
                    <a:blip r:embed="rId32">
                      <a:extLst>
                        <a:ext uri="{28A0092B-C50C-407E-A947-70E740481C1C}">
                          <a14:useLocalDpi xmlns:a14="http://schemas.microsoft.com/office/drawing/2010/main" val="0"/>
                        </a:ext>
                      </a:extLst>
                    </a:blip>
                    <a:stretch>
                      <a:fillRect/>
                    </a:stretch>
                  </pic:blipFill>
                  <pic:spPr>
                    <a:xfrm>
                      <a:off x="0" y="0"/>
                      <a:ext cx="6205855" cy="8773795"/>
                    </a:xfrm>
                    <a:prstGeom prst="rect">
                      <a:avLst/>
                    </a:prstGeom>
                  </pic:spPr>
                </pic:pic>
              </a:graphicData>
            </a:graphic>
          </wp:inline>
        </w:drawing>
      </w:r>
    </w:p>
    <w:sectPr w:rsidR="00170E9F" w:rsidRPr="00AB1CAF" w:rsidSect="00E2291B">
      <w:headerReference w:type="even" r:id="rId33"/>
      <w:headerReference w:type="default" r:id="rId34"/>
      <w:headerReference w:type="first" r:id="rId35"/>
      <w:pgSz w:w="11906" w:h="16838" w:code="9"/>
      <w:pgMar w:top="1418" w:right="1134" w:bottom="1134" w:left="1134" w:header="851"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2AEF2" w14:textId="77777777" w:rsidR="002C3FFC" w:rsidRDefault="002C3FFC">
      <w:r>
        <w:separator/>
      </w:r>
    </w:p>
  </w:endnote>
  <w:endnote w:type="continuationSeparator" w:id="0">
    <w:p w14:paraId="27AC9744" w14:textId="77777777" w:rsidR="002C3FFC" w:rsidRDefault="002C3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DEDB9" w14:textId="77777777" w:rsidR="002C3FFC" w:rsidRDefault="002C3FFC">
      <w:r>
        <w:separator/>
      </w:r>
    </w:p>
  </w:footnote>
  <w:footnote w:type="continuationSeparator" w:id="0">
    <w:p w14:paraId="06EDCB4B" w14:textId="77777777" w:rsidR="002C3FFC" w:rsidRDefault="002C3F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E599C" w14:textId="6C0FE5DA" w:rsidR="00755CED" w:rsidRPr="00B11A91" w:rsidRDefault="003F3C42" w:rsidP="00B11A91">
    <w:pPr>
      <w:pStyle w:val="Header"/>
      <w:spacing w:after="240"/>
      <w:rPr>
        <w:rFonts w:cs="Arial"/>
        <w:bCs/>
        <w:szCs w:val="22"/>
      </w:rPr>
    </w:pPr>
    <w:r w:rsidRPr="00352423">
      <w:rPr>
        <w:rFonts w:cs="Arial"/>
        <w:bCs/>
        <w:szCs w:val="22"/>
      </w:rPr>
      <w:t>IOC/</w:t>
    </w:r>
    <w:r w:rsidR="00E34310">
      <w:rPr>
        <w:rFonts w:cs="Arial"/>
        <w:bCs/>
        <w:szCs w:val="22"/>
      </w:rPr>
      <w:t>A</w:t>
    </w:r>
    <w:r w:rsidRPr="00352423">
      <w:rPr>
        <w:rFonts w:cs="Arial"/>
        <w:bCs/>
        <w:szCs w:val="22"/>
      </w:rPr>
      <w:t>-</w:t>
    </w:r>
    <w:r w:rsidR="00E34310">
      <w:rPr>
        <w:rFonts w:cs="Arial"/>
        <w:bCs/>
        <w:szCs w:val="22"/>
      </w:rPr>
      <w:t>33</w:t>
    </w:r>
    <w:r w:rsidRPr="00352423">
      <w:rPr>
        <w:rFonts w:cs="Arial"/>
        <w:bCs/>
        <w:szCs w:val="22"/>
      </w:rPr>
      <w:t>/</w:t>
    </w:r>
    <w:r w:rsidR="000A115B">
      <w:rPr>
        <w:rFonts w:cs="Arial"/>
        <w:bCs/>
        <w:szCs w:val="22"/>
      </w:rPr>
      <w:t>3.</w:t>
    </w:r>
    <w:proofErr w:type="gramStart"/>
    <w:r w:rsidR="00E34310">
      <w:rPr>
        <w:rFonts w:cs="Arial"/>
        <w:bCs/>
        <w:szCs w:val="22"/>
      </w:rPr>
      <w:t>2</w:t>
    </w:r>
    <w:r>
      <w:rPr>
        <w:rFonts w:cs="Arial"/>
        <w:bCs/>
        <w:szCs w:val="22"/>
      </w:rPr>
      <w:t>.</w:t>
    </w:r>
    <w:r w:rsidRPr="00352423">
      <w:rPr>
        <w:rFonts w:cs="Arial"/>
        <w:bCs/>
        <w:szCs w:val="22"/>
      </w:rPr>
      <w:t>Doc</w:t>
    </w:r>
    <w:proofErr w:type="gramEnd"/>
    <w:r w:rsidR="00562336">
      <w:rPr>
        <w:rFonts w:cs="Arial"/>
        <w:bCs/>
        <w:szCs w:val="22"/>
      </w:rPr>
      <w:t>(1)</w:t>
    </w:r>
    <w:r w:rsidRPr="00FF54F5">
      <w:rPr>
        <w:rFonts w:cs="Arial"/>
        <w:bCs/>
        <w:szCs w:val="22"/>
      </w:rPr>
      <w:t xml:space="preserve"> – page </w:t>
    </w:r>
    <w:sdt>
      <w:sdtPr>
        <w:rPr>
          <w:rFonts w:cs="Arial"/>
          <w:bCs/>
          <w:szCs w:val="22"/>
        </w:rPr>
        <w:id w:val="554519101"/>
        <w:docPartObj>
          <w:docPartGallery w:val="Page Numbers (Top of Page)"/>
          <w:docPartUnique/>
        </w:docPartObj>
      </w:sdtPr>
      <w:sdtEndPr/>
      <w:sdtContent>
        <w:r w:rsidRPr="00FF54F5">
          <w:rPr>
            <w:rFonts w:cs="Arial"/>
            <w:bCs/>
            <w:szCs w:val="22"/>
          </w:rPr>
          <w:fldChar w:fldCharType="begin"/>
        </w:r>
        <w:r w:rsidRPr="00FF54F5">
          <w:rPr>
            <w:rFonts w:cs="Arial"/>
            <w:bCs/>
            <w:szCs w:val="22"/>
          </w:rPr>
          <w:instrText>PAGE   \* MERGEFORMAT</w:instrText>
        </w:r>
        <w:r w:rsidRPr="00FF54F5">
          <w:rPr>
            <w:rFonts w:cs="Arial"/>
            <w:bCs/>
            <w:szCs w:val="22"/>
          </w:rPr>
          <w:fldChar w:fldCharType="separate"/>
        </w:r>
        <w:r>
          <w:rPr>
            <w:rFonts w:cs="Arial"/>
            <w:bCs/>
            <w:szCs w:val="22"/>
          </w:rPr>
          <w:t>2</w:t>
        </w:r>
        <w:r w:rsidRPr="00FF54F5">
          <w:rPr>
            <w:rFonts w:cs="Arial"/>
            <w:bCs/>
            <w:szCs w:val="22"/>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0D428" w14:textId="7B2FBE0B" w:rsidR="00755CED" w:rsidRPr="00562336" w:rsidRDefault="00562336" w:rsidP="00562336">
    <w:pPr>
      <w:pStyle w:val="Header"/>
      <w:spacing w:after="240"/>
      <w:jc w:val="right"/>
      <w:rPr>
        <w:rFonts w:cs="Arial"/>
        <w:bCs/>
        <w:szCs w:val="22"/>
      </w:rPr>
    </w:pPr>
    <w:r w:rsidRPr="00352423">
      <w:rPr>
        <w:rFonts w:cs="Arial"/>
        <w:bCs/>
        <w:szCs w:val="22"/>
      </w:rPr>
      <w:t>IOC/</w:t>
    </w:r>
    <w:r w:rsidR="00E34310">
      <w:rPr>
        <w:rFonts w:cs="Arial"/>
        <w:bCs/>
        <w:szCs w:val="22"/>
      </w:rPr>
      <w:t>A</w:t>
    </w:r>
    <w:r w:rsidRPr="00352423">
      <w:rPr>
        <w:rFonts w:cs="Arial"/>
        <w:bCs/>
        <w:szCs w:val="22"/>
      </w:rPr>
      <w:t>-</w:t>
    </w:r>
    <w:r w:rsidR="00E34310">
      <w:rPr>
        <w:rFonts w:cs="Arial"/>
        <w:bCs/>
        <w:szCs w:val="22"/>
      </w:rPr>
      <w:t>33</w:t>
    </w:r>
    <w:r w:rsidRPr="00352423">
      <w:rPr>
        <w:rFonts w:cs="Arial"/>
        <w:bCs/>
        <w:szCs w:val="22"/>
      </w:rPr>
      <w:t>/</w:t>
    </w:r>
    <w:r w:rsidR="00636007">
      <w:rPr>
        <w:rFonts w:cs="Arial"/>
        <w:bCs/>
        <w:szCs w:val="22"/>
      </w:rPr>
      <w:t>3</w:t>
    </w:r>
    <w:r w:rsidRPr="00352423">
      <w:rPr>
        <w:rFonts w:cs="Arial"/>
        <w:bCs/>
        <w:szCs w:val="22"/>
      </w:rPr>
      <w:t>.</w:t>
    </w:r>
    <w:proofErr w:type="gramStart"/>
    <w:r w:rsidR="00E34310">
      <w:rPr>
        <w:rFonts w:cs="Arial"/>
        <w:bCs/>
        <w:szCs w:val="22"/>
      </w:rPr>
      <w:t>2</w:t>
    </w:r>
    <w:r>
      <w:rPr>
        <w:rFonts w:cs="Arial"/>
        <w:bCs/>
        <w:szCs w:val="22"/>
      </w:rPr>
      <w:t>.</w:t>
    </w:r>
    <w:r w:rsidRPr="00352423">
      <w:rPr>
        <w:rFonts w:cs="Arial"/>
        <w:bCs/>
        <w:szCs w:val="22"/>
      </w:rPr>
      <w:t>Doc</w:t>
    </w:r>
    <w:proofErr w:type="gramEnd"/>
    <w:r>
      <w:rPr>
        <w:rFonts w:cs="Arial"/>
        <w:bCs/>
        <w:szCs w:val="22"/>
      </w:rPr>
      <w:t>(1)</w:t>
    </w:r>
    <w:r w:rsidRPr="00FF54F5">
      <w:rPr>
        <w:rFonts w:cs="Arial"/>
        <w:bCs/>
        <w:szCs w:val="22"/>
      </w:rPr>
      <w:t xml:space="preserve"> – page</w:t>
    </w:r>
    <w:r w:rsidR="00DB1767">
      <w:rPr>
        <w:rFonts w:cs="Arial"/>
        <w:bCs/>
        <w:szCs w:val="22"/>
      </w:rPr>
      <w:t> </w:t>
    </w:r>
    <w:sdt>
      <w:sdtPr>
        <w:rPr>
          <w:rFonts w:cs="Arial"/>
          <w:bCs/>
          <w:szCs w:val="22"/>
        </w:rPr>
        <w:id w:val="-57473948"/>
        <w:docPartObj>
          <w:docPartGallery w:val="Page Numbers (Top of Page)"/>
          <w:docPartUnique/>
        </w:docPartObj>
      </w:sdtPr>
      <w:sdtEndPr/>
      <w:sdtContent>
        <w:r w:rsidRPr="00FF54F5">
          <w:rPr>
            <w:rFonts w:cs="Arial"/>
            <w:bCs/>
            <w:szCs w:val="22"/>
          </w:rPr>
          <w:fldChar w:fldCharType="begin"/>
        </w:r>
        <w:r w:rsidRPr="00FF54F5">
          <w:rPr>
            <w:rFonts w:cs="Arial"/>
            <w:bCs/>
            <w:szCs w:val="22"/>
          </w:rPr>
          <w:instrText>PAGE   \* MERGEFORMAT</w:instrText>
        </w:r>
        <w:r w:rsidRPr="00FF54F5">
          <w:rPr>
            <w:rFonts w:cs="Arial"/>
            <w:bCs/>
            <w:szCs w:val="22"/>
          </w:rPr>
          <w:fldChar w:fldCharType="separate"/>
        </w:r>
        <w:r>
          <w:rPr>
            <w:rFonts w:cs="Arial"/>
            <w:bCs/>
            <w:szCs w:val="22"/>
          </w:rPr>
          <w:t>2</w:t>
        </w:r>
        <w:r w:rsidRPr="00FF54F5">
          <w:rPr>
            <w:rFonts w:cs="Arial"/>
            <w:bCs/>
            <w:szCs w:val="22"/>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7C99A" w14:textId="74D62C4C" w:rsidR="00EB3895" w:rsidRDefault="00562336">
    <w:pPr>
      <w:pStyle w:val="Header"/>
    </w:pPr>
    <w:r>
      <w:rPr>
        <w:noProof/>
      </w:rPr>
      <mc:AlternateContent>
        <mc:Choice Requires="wps">
          <w:drawing>
            <wp:anchor distT="45720" distB="45720" distL="114300" distR="114300" simplePos="0" relativeHeight="251661312" behindDoc="0" locked="0" layoutInCell="1" allowOverlap="1" wp14:anchorId="695F0820" wp14:editId="3E401BEA">
              <wp:simplePos x="0" y="0"/>
              <wp:positionH relativeFrom="column">
                <wp:posOffset>3794760</wp:posOffset>
              </wp:positionH>
              <wp:positionV relativeFrom="paragraph">
                <wp:posOffset>-92710</wp:posOffset>
              </wp:positionV>
              <wp:extent cx="2571750" cy="1404620"/>
              <wp:effectExtent l="0" t="0" r="0" b="12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404620"/>
                      </a:xfrm>
                      <a:prstGeom prst="rect">
                        <a:avLst/>
                      </a:prstGeom>
                      <a:noFill/>
                      <a:ln w="9525">
                        <a:noFill/>
                        <a:miter lim="800000"/>
                        <a:headEnd/>
                        <a:tailEnd/>
                      </a:ln>
                    </wps:spPr>
                    <wps:txbx>
                      <w:txbxContent>
                        <w:p w14:paraId="6C6242B4" w14:textId="22F787ED" w:rsidR="00EB3895" w:rsidRPr="002A5D14" w:rsidRDefault="00EB3895" w:rsidP="00EB3895">
                          <w:pPr>
                            <w:pStyle w:val="Marge"/>
                            <w:tabs>
                              <w:tab w:val="left" w:pos="6237"/>
                              <w:tab w:val="left" w:pos="7088"/>
                            </w:tabs>
                            <w:spacing w:after="0"/>
                            <w:rPr>
                              <w:rFonts w:cs="Arial"/>
                              <w:b/>
                              <w:sz w:val="36"/>
                              <w:szCs w:val="36"/>
                            </w:rPr>
                          </w:pPr>
                          <w:bookmarkStart w:id="6" w:name="_Hlk54263549"/>
                          <w:r w:rsidRPr="002A5D14">
                            <w:rPr>
                              <w:rFonts w:cs="Arial"/>
                              <w:b/>
                              <w:sz w:val="36"/>
                              <w:szCs w:val="36"/>
                            </w:rPr>
                            <w:t>IOC/</w:t>
                          </w:r>
                          <w:r w:rsidR="00E34310">
                            <w:rPr>
                              <w:rFonts w:cs="Arial"/>
                              <w:b/>
                              <w:sz w:val="36"/>
                              <w:szCs w:val="36"/>
                            </w:rPr>
                            <w:t>A</w:t>
                          </w:r>
                          <w:r w:rsidRPr="002A5D14">
                            <w:rPr>
                              <w:rFonts w:cs="Arial"/>
                              <w:b/>
                              <w:sz w:val="36"/>
                              <w:szCs w:val="36"/>
                            </w:rPr>
                            <w:t>-</w:t>
                          </w:r>
                          <w:r w:rsidR="00E34310">
                            <w:rPr>
                              <w:rFonts w:cs="Arial"/>
                              <w:b/>
                              <w:sz w:val="36"/>
                              <w:szCs w:val="36"/>
                            </w:rPr>
                            <w:t>33</w:t>
                          </w:r>
                          <w:r w:rsidRPr="002A5D14">
                            <w:rPr>
                              <w:rFonts w:cs="Arial"/>
                              <w:b/>
                              <w:sz w:val="36"/>
                              <w:szCs w:val="36"/>
                            </w:rPr>
                            <w:t>/</w:t>
                          </w:r>
                          <w:r w:rsidR="00493CE6">
                            <w:rPr>
                              <w:rFonts w:cs="Arial"/>
                              <w:b/>
                              <w:sz w:val="36"/>
                              <w:szCs w:val="36"/>
                            </w:rPr>
                            <w:t>3.</w:t>
                          </w:r>
                          <w:proofErr w:type="gramStart"/>
                          <w:r w:rsidR="00E34310">
                            <w:rPr>
                              <w:rFonts w:cs="Arial"/>
                              <w:b/>
                              <w:sz w:val="36"/>
                              <w:szCs w:val="36"/>
                            </w:rPr>
                            <w:t>2</w:t>
                          </w:r>
                          <w:r w:rsidRPr="002A5D14">
                            <w:rPr>
                              <w:rFonts w:cs="Arial"/>
                              <w:b/>
                              <w:sz w:val="36"/>
                              <w:szCs w:val="36"/>
                            </w:rPr>
                            <w:t>.Doc</w:t>
                          </w:r>
                          <w:bookmarkEnd w:id="6"/>
                          <w:proofErr w:type="gramEnd"/>
                          <w:r w:rsidR="00562336">
                            <w:rPr>
                              <w:rFonts w:cs="Arial"/>
                              <w:b/>
                              <w:sz w:val="36"/>
                              <w:szCs w:val="36"/>
                            </w:rPr>
                            <w:t>(1)</w:t>
                          </w:r>
                        </w:p>
                        <w:p w14:paraId="10A5E3DC" w14:textId="564475B4" w:rsidR="00EB3895" w:rsidRPr="002A5D14" w:rsidRDefault="00EB3895" w:rsidP="00EB3895">
                          <w:pPr>
                            <w:pStyle w:val="Marge"/>
                            <w:tabs>
                              <w:tab w:val="left" w:pos="6237"/>
                            </w:tabs>
                            <w:spacing w:after="0"/>
                            <w:rPr>
                              <w:rFonts w:cs="Arial"/>
                              <w:szCs w:val="22"/>
                            </w:rPr>
                          </w:pPr>
                          <w:r w:rsidRPr="002A5D14">
                            <w:rPr>
                              <w:rFonts w:cs="Arial"/>
                              <w:szCs w:val="22"/>
                            </w:rPr>
                            <w:t xml:space="preserve">Paris, le </w:t>
                          </w:r>
                          <w:r w:rsidR="00E34310">
                            <w:rPr>
                              <w:rFonts w:cs="Arial"/>
                              <w:szCs w:val="22"/>
                            </w:rPr>
                            <w:t>3</w:t>
                          </w:r>
                          <w:r w:rsidR="00436275">
                            <w:rPr>
                              <w:rFonts w:cs="Arial"/>
                              <w:szCs w:val="22"/>
                            </w:rPr>
                            <w:t xml:space="preserve"> avril</w:t>
                          </w:r>
                          <w:r w:rsidRPr="002A5D14">
                            <w:rPr>
                              <w:rFonts w:cs="Arial"/>
                              <w:szCs w:val="22"/>
                            </w:rPr>
                            <w:t xml:space="preserve"> 202</w:t>
                          </w:r>
                          <w:r w:rsidR="00E34310">
                            <w:rPr>
                              <w:rFonts w:cs="Arial"/>
                              <w:szCs w:val="22"/>
                            </w:rPr>
                            <w:t>5</w:t>
                          </w:r>
                          <w:r w:rsidRPr="002A5D14">
                            <w:rPr>
                              <w:rFonts w:cs="Arial"/>
                              <w:szCs w:val="22"/>
                            </w:rPr>
                            <w:t xml:space="preserve"> </w:t>
                          </w:r>
                        </w:p>
                        <w:p w14:paraId="03157CD4" w14:textId="567ECB1C" w:rsidR="00EB3895" w:rsidRPr="00EB3895" w:rsidRDefault="00EB3895" w:rsidP="00EB3895">
                          <w:pPr>
                            <w:pStyle w:val="Marge"/>
                            <w:tabs>
                              <w:tab w:val="left" w:pos="6237"/>
                            </w:tabs>
                            <w:rPr>
                              <w:rFonts w:cs="Arial"/>
                              <w:szCs w:val="22"/>
                            </w:rPr>
                          </w:pPr>
                          <w:r w:rsidRPr="002A5D14">
                            <w:rPr>
                              <w:rFonts w:cs="Arial"/>
                              <w:szCs w:val="22"/>
                            </w:rPr>
                            <w:t>Original anglais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5F0820" id="_x0000_t202" coordsize="21600,21600" o:spt="202" path="m,l,21600r21600,l21600,xe">
              <v:stroke joinstyle="miter"/>
              <v:path gradientshapeok="t" o:connecttype="rect"/>
            </v:shapetype>
            <v:shape id="_x0000_s1029" type="#_x0000_t202" style="position:absolute;margin-left:298.8pt;margin-top:-7.3pt;width:20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" filled="f" stroked="f">
              <v:textbox style="mso-fit-shape-to-text:t">
                <w:txbxContent>
                  <w:p w14:paraId="6C6242B4" w14:textId="22F787ED" w:rsidR="00EB3895" w:rsidRPr="002A5D14" w:rsidRDefault="00EB3895" w:rsidP="00EB3895">
                    <w:pPr>
                      <w:pStyle w:val="Marge"/>
                      <w:tabs>
                        <w:tab w:val="left" w:pos="6237"/>
                        <w:tab w:val="left" w:pos="7088"/>
                      </w:tabs>
                      <w:spacing w:after="0"/>
                      <w:rPr>
                        <w:rFonts w:cs="Arial"/>
                        <w:b/>
                        <w:sz w:val="36"/>
                        <w:szCs w:val="36"/>
                      </w:rPr>
                    </w:pPr>
                    <w:bookmarkStart w:id="7" w:name="_Hlk54263549"/>
                    <w:r w:rsidRPr="002A5D14">
                      <w:rPr>
                        <w:rFonts w:cs="Arial"/>
                        <w:b/>
                        <w:sz w:val="36"/>
                        <w:szCs w:val="36"/>
                      </w:rPr>
                      <w:t>IOC/</w:t>
                    </w:r>
                    <w:r w:rsidR="00E34310">
                      <w:rPr>
                        <w:rFonts w:cs="Arial"/>
                        <w:b/>
                        <w:sz w:val="36"/>
                        <w:szCs w:val="36"/>
                      </w:rPr>
                      <w:t>A</w:t>
                    </w:r>
                    <w:r w:rsidRPr="002A5D14">
                      <w:rPr>
                        <w:rFonts w:cs="Arial"/>
                        <w:b/>
                        <w:sz w:val="36"/>
                        <w:szCs w:val="36"/>
                      </w:rPr>
                      <w:t>-</w:t>
                    </w:r>
                    <w:r w:rsidR="00E34310">
                      <w:rPr>
                        <w:rFonts w:cs="Arial"/>
                        <w:b/>
                        <w:sz w:val="36"/>
                        <w:szCs w:val="36"/>
                      </w:rPr>
                      <w:t>33</w:t>
                    </w:r>
                    <w:r w:rsidRPr="002A5D14">
                      <w:rPr>
                        <w:rFonts w:cs="Arial"/>
                        <w:b/>
                        <w:sz w:val="36"/>
                        <w:szCs w:val="36"/>
                      </w:rPr>
                      <w:t>/</w:t>
                    </w:r>
                    <w:r w:rsidR="00493CE6">
                      <w:rPr>
                        <w:rFonts w:cs="Arial"/>
                        <w:b/>
                        <w:sz w:val="36"/>
                        <w:szCs w:val="36"/>
                      </w:rPr>
                      <w:t>3.</w:t>
                    </w:r>
                    <w:r w:rsidR="00E34310">
                      <w:rPr>
                        <w:rFonts w:cs="Arial"/>
                        <w:b/>
                        <w:sz w:val="36"/>
                        <w:szCs w:val="36"/>
                      </w:rPr>
                      <w:t>2</w:t>
                    </w:r>
                    <w:r w:rsidRPr="002A5D14">
                      <w:rPr>
                        <w:rFonts w:cs="Arial"/>
                        <w:b/>
                        <w:sz w:val="36"/>
                        <w:szCs w:val="36"/>
                      </w:rPr>
                      <w:t>.Doc</w:t>
                    </w:r>
                    <w:bookmarkEnd w:id="7"/>
                    <w:r w:rsidR="00562336">
                      <w:rPr>
                        <w:rFonts w:cs="Arial"/>
                        <w:b/>
                        <w:sz w:val="36"/>
                        <w:szCs w:val="36"/>
                      </w:rPr>
                      <w:t>(1)</w:t>
                    </w:r>
                  </w:p>
                  <w:p w14:paraId="10A5E3DC" w14:textId="564475B4" w:rsidR="00EB3895" w:rsidRPr="002A5D14" w:rsidRDefault="00EB3895" w:rsidP="00EB3895">
                    <w:pPr>
                      <w:pStyle w:val="Marge"/>
                      <w:tabs>
                        <w:tab w:val="left" w:pos="6237"/>
                      </w:tabs>
                      <w:spacing w:after="0"/>
                      <w:rPr>
                        <w:rFonts w:cs="Arial"/>
                        <w:szCs w:val="22"/>
                      </w:rPr>
                    </w:pPr>
                    <w:r w:rsidRPr="002A5D14">
                      <w:rPr>
                        <w:rFonts w:cs="Arial"/>
                        <w:szCs w:val="22"/>
                      </w:rPr>
                      <w:t xml:space="preserve">Paris, le </w:t>
                    </w:r>
                    <w:r w:rsidR="00E34310">
                      <w:rPr>
                        <w:rFonts w:cs="Arial"/>
                        <w:szCs w:val="22"/>
                      </w:rPr>
                      <w:t>3</w:t>
                    </w:r>
                    <w:r w:rsidR="00436275">
                      <w:rPr>
                        <w:rFonts w:cs="Arial"/>
                        <w:szCs w:val="22"/>
                      </w:rPr>
                      <w:t xml:space="preserve"> avril</w:t>
                    </w:r>
                    <w:r w:rsidRPr="002A5D14">
                      <w:rPr>
                        <w:rFonts w:cs="Arial"/>
                        <w:szCs w:val="22"/>
                      </w:rPr>
                      <w:t xml:space="preserve"> 202</w:t>
                    </w:r>
                    <w:r w:rsidR="00E34310">
                      <w:rPr>
                        <w:rFonts w:cs="Arial"/>
                        <w:szCs w:val="22"/>
                      </w:rPr>
                      <w:t>5</w:t>
                    </w:r>
                    <w:r w:rsidRPr="002A5D14">
                      <w:rPr>
                        <w:rFonts w:cs="Arial"/>
                        <w:szCs w:val="22"/>
                      </w:rPr>
                      <w:t xml:space="preserve"> </w:t>
                    </w:r>
                  </w:p>
                  <w:p w14:paraId="03157CD4" w14:textId="567ECB1C" w:rsidR="00EB3895" w:rsidRPr="00EB3895" w:rsidRDefault="00EB3895" w:rsidP="00EB3895">
                    <w:pPr>
                      <w:pStyle w:val="Marge"/>
                      <w:tabs>
                        <w:tab w:val="left" w:pos="6237"/>
                      </w:tabs>
                      <w:rPr>
                        <w:rFonts w:cs="Arial"/>
                        <w:szCs w:val="22"/>
                      </w:rPr>
                    </w:pPr>
                    <w:r w:rsidRPr="002A5D14">
                      <w:rPr>
                        <w:rFonts w:cs="Arial"/>
                        <w:szCs w:val="22"/>
                      </w:rPr>
                      <w:t>Original anglais</w:t>
                    </w:r>
                  </w:p>
                </w:txbxContent>
              </v:textbox>
              <w10:wrap type="square"/>
            </v:shape>
          </w:pict>
        </mc:Fallback>
      </mc:AlternateContent>
    </w:r>
    <w:r w:rsidR="00DA71B9">
      <w:rPr>
        <w:rFonts w:cs="Arial"/>
        <w:b/>
        <w:noProof/>
        <w:snapToGrid/>
        <w:szCs w:val="22"/>
        <w:lang w:eastAsia="fr-FR"/>
      </w:rPr>
      <w:drawing>
        <wp:anchor distT="0" distB="0" distL="114300" distR="114300" simplePos="0" relativeHeight="251659264" behindDoc="0" locked="0" layoutInCell="1" allowOverlap="1" wp14:anchorId="50B79300" wp14:editId="074C1DB4">
          <wp:simplePos x="0" y="0"/>
          <wp:positionH relativeFrom="column">
            <wp:posOffset>-103201</wp:posOffset>
          </wp:positionH>
          <wp:positionV relativeFrom="paragraph">
            <wp:posOffset>254000</wp:posOffset>
          </wp:positionV>
          <wp:extent cx="1578610" cy="1047115"/>
          <wp:effectExtent l="0" t="0" r="2540" b="635"/>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8610" cy="1047115"/>
                  </a:xfrm>
                  <a:prstGeom prst="rect">
                    <a:avLst/>
                  </a:prstGeom>
                </pic:spPr>
              </pic:pic>
            </a:graphicData>
          </a:graphic>
          <wp14:sizeRelH relativeFrom="page">
            <wp14:pctWidth>0</wp14:pctWidth>
          </wp14:sizeRelH>
          <wp14:sizeRelV relativeFrom="page">
            <wp14:pctHeight>0</wp14:pctHeight>
          </wp14:sizeRelV>
        </wp:anchor>
      </w:drawing>
    </w:r>
    <w:r w:rsidR="00EB3895">
      <w:t>Distribution limitée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E522D"/>
    <w:multiLevelType w:val="hybridMultilevel"/>
    <w:tmpl w:val="AAF29886"/>
    <w:lvl w:ilvl="0" w:tplc="365CB736">
      <w:start w:val="14"/>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E16674"/>
    <w:multiLevelType w:val="hybridMultilevel"/>
    <w:tmpl w:val="942AB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1378B"/>
    <w:multiLevelType w:val="hybridMultilevel"/>
    <w:tmpl w:val="3B14E6C8"/>
    <w:lvl w:ilvl="0" w:tplc="040C000B">
      <w:start w:val="1"/>
      <w:numFmt w:val="bullet"/>
      <w:lvlText w:val=""/>
      <w:lvlJc w:val="left"/>
      <w:pPr>
        <w:tabs>
          <w:tab w:val="num" w:pos="360"/>
        </w:tabs>
        <w:ind w:left="284" w:hanging="284"/>
      </w:pPr>
      <w:rPr>
        <w:rFonts w:ascii="Wingdings" w:hAnsi="Wingdings" w:hint="default"/>
      </w:rPr>
    </w:lvl>
    <w:lvl w:ilvl="1" w:tplc="04090003" w:tentative="1">
      <w:start w:val="1"/>
      <w:numFmt w:val="bullet"/>
      <w:lvlText w:val="o"/>
      <w:lvlJc w:val="left"/>
      <w:pPr>
        <w:tabs>
          <w:tab w:val="num" w:pos="1157"/>
        </w:tabs>
        <w:ind w:left="1157" w:hanging="360"/>
      </w:pPr>
      <w:rPr>
        <w:rFonts w:ascii="Courier New" w:hAnsi="Courier New"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3" w15:restartNumberingAfterBreak="0">
    <w:nsid w:val="08A0156F"/>
    <w:multiLevelType w:val="hybridMultilevel"/>
    <w:tmpl w:val="09C4E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9006FE"/>
    <w:multiLevelType w:val="multilevel"/>
    <w:tmpl w:val="F9BAFD24"/>
    <w:lvl w:ilvl="0">
      <w:start w:val="2"/>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100B1C9C"/>
    <w:multiLevelType w:val="hybridMultilevel"/>
    <w:tmpl w:val="23A85EFA"/>
    <w:lvl w:ilvl="0" w:tplc="CFBCE880">
      <w:start w:val="1"/>
      <w:numFmt w:val="bullet"/>
      <w:pStyle w:val="TIRETbul1cm"/>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157"/>
        </w:tabs>
        <w:ind w:left="1157" w:hanging="360"/>
      </w:pPr>
      <w:rPr>
        <w:rFonts w:ascii="Courier New" w:hAnsi="Courier New"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6" w15:restartNumberingAfterBreak="0">
    <w:nsid w:val="1F617D2A"/>
    <w:multiLevelType w:val="multilevel"/>
    <w:tmpl w:val="2BC69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FE652D"/>
    <w:multiLevelType w:val="hybridMultilevel"/>
    <w:tmpl w:val="DCE6E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907F22"/>
    <w:multiLevelType w:val="hybridMultilevel"/>
    <w:tmpl w:val="1E48F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B14D83"/>
    <w:multiLevelType w:val="singleLevel"/>
    <w:tmpl w:val="6BB68568"/>
    <w:lvl w:ilvl="0">
      <w:start w:val="1"/>
      <w:numFmt w:val="bullet"/>
      <w:lvlText w:val=""/>
      <w:lvlJc w:val="left"/>
      <w:pPr>
        <w:tabs>
          <w:tab w:val="num" w:pos="644"/>
        </w:tabs>
        <w:ind w:left="284" w:firstLine="0"/>
      </w:pPr>
      <w:rPr>
        <w:rFonts w:ascii="Symbol" w:hAnsi="Symbol" w:hint="default"/>
      </w:rPr>
    </w:lvl>
  </w:abstractNum>
  <w:abstractNum w:abstractNumId="10" w15:restartNumberingAfterBreak="0">
    <w:nsid w:val="346E1C6B"/>
    <w:multiLevelType w:val="multilevel"/>
    <w:tmpl w:val="908245F4"/>
    <w:lvl w:ilvl="0">
      <w:start w:val="1"/>
      <w:numFmt w:val="decimal"/>
      <w:lvlText w:val="%1."/>
      <w:lvlJc w:val="left"/>
      <w:pPr>
        <w:ind w:left="720" w:hanging="360"/>
      </w:pPr>
      <w:rPr>
        <w:b/>
        <w:lang w:val="en-US"/>
      </w:rPr>
    </w:lvl>
    <w:lvl w:ilvl="1">
      <w:start w:val="1"/>
      <w:numFmt w:val="decimal"/>
      <w:isLgl/>
      <w:lvlText w:val="%1.%2"/>
      <w:lvlJc w:val="left"/>
      <w:pPr>
        <w:ind w:left="1137" w:hanging="570"/>
      </w:pPr>
      <w:rPr>
        <w:rFonts w:hint="default"/>
        <w:sz w:val="22"/>
        <w:szCs w:val="22"/>
      </w:rPr>
    </w:lvl>
    <w:lvl w:ilvl="2">
      <w:start w:val="1"/>
      <w:numFmt w:val="decimal"/>
      <w:isLgl/>
      <w:lvlText w:val="%1.%2.%3"/>
      <w:lvlJc w:val="left"/>
      <w:pPr>
        <w:ind w:left="1494" w:hanging="720"/>
      </w:pPr>
      <w:rPr>
        <w:rFonts w:hint="default"/>
        <w:b/>
        <w:bCs/>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1" w15:restartNumberingAfterBreak="0">
    <w:nsid w:val="34FF52C0"/>
    <w:multiLevelType w:val="hybridMultilevel"/>
    <w:tmpl w:val="599ABC30"/>
    <w:lvl w:ilvl="0" w:tplc="FC12F2BA">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CB5A35"/>
    <w:multiLevelType w:val="hybridMultilevel"/>
    <w:tmpl w:val="A912CC4A"/>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A797719"/>
    <w:multiLevelType w:val="hybridMultilevel"/>
    <w:tmpl w:val="76925F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430DC1"/>
    <w:multiLevelType w:val="hybridMultilevel"/>
    <w:tmpl w:val="F9B63CB0"/>
    <w:lvl w:ilvl="0" w:tplc="BB02EE46">
      <w:start w:val="1"/>
      <w:numFmt w:val="decimal"/>
      <w:lvlText w:val="%1."/>
      <w:lvlJc w:val="left"/>
      <w:pPr>
        <w:ind w:left="720" w:hanging="360"/>
      </w:pPr>
      <w:rPr>
        <w:rFonts w:hint="default"/>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701306C"/>
    <w:multiLevelType w:val="hybridMultilevel"/>
    <w:tmpl w:val="BC082A6A"/>
    <w:lvl w:ilvl="0" w:tplc="FC12F2BA">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8831B9C"/>
    <w:multiLevelType w:val="hybridMultilevel"/>
    <w:tmpl w:val="DF569476"/>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AD1543"/>
    <w:multiLevelType w:val="hybridMultilevel"/>
    <w:tmpl w:val="36221EB4"/>
    <w:lvl w:ilvl="0" w:tplc="0409000F">
      <w:start w:val="1"/>
      <w:numFmt w:val="decimal"/>
      <w:lvlText w:val="%1."/>
      <w:lvlJc w:val="left"/>
      <w:pPr>
        <w:ind w:left="720" w:hanging="360"/>
      </w:pPr>
      <w:rPr>
        <w:rFonts w:hint="default"/>
      </w:rPr>
    </w:lvl>
    <w:lvl w:ilvl="1" w:tplc="59F0D662">
      <w:start w:val="9"/>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1A6FFD"/>
    <w:multiLevelType w:val="hybridMultilevel"/>
    <w:tmpl w:val="3314E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5E05B7"/>
    <w:multiLevelType w:val="hybridMultilevel"/>
    <w:tmpl w:val="B4ACCC7A"/>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20" w15:restartNumberingAfterBreak="0">
    <w:nsid w:val="548C3970"/>
    <w:multiLevelType w:val="hybridMultilevel"/>
    <w:tmpl w:val="9B720B5A"/>
    <w:lvl w:ilvl="0" w:tplc="8DD21D56">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204EE3"/>
    <w:multiLevelType w:val="hybridMultilevel"/>
    <w:tmpl w:val="599ABC30"/>
    <w:lvl w:ilvl="0" w:tplc="95B4AF8A">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B976B3"/>
    <w:multiLevelType w:val="hybridMultilevel"/>
    <w:tmpl w:val="0C081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392D55"/>
    <w:multiLevelType w:val="hybridMultilevel"/>
    <w:tmpl w:val="B628D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334174"/>
    <w:multiLevelType w:val="hybridMultilevel"/>
    <w:tmpl w:val="A2D68D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2469A9"/>
    <w:multiLevelType w:val="hybridMultilevel"/>
    <w:tmpl w:val="BC082A6A"/>
    <w:lvl w:ilvl="0" w:tplc="8DD21D56">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F12451D"/>
    <w:multiLevelType w:val="hybridMultilevel"/>
    <w:tmpl w:val="0168714A"/>
    <w:lvl w:ilvl="0" w:tplc="B43E528A">
      <w:start w:val="1"/>
      <w:numFmt w:val="lowerRoman"/>
      <w:lvlText w:val="(%1)"/>
      <w:lvlJc w:val="left"/>
      <w:pPr>
        <w:ind w:left="-54" w:hanging="720"/>
      </w:pPr>
      <w:rPr>
        <w:rFonts w:ascii="Arial" w:hAnsi="Arial" w:cs="Arial" w:hint="default"/>
        <w:sz w:val="22"/>
        <w:szCs w:val="22"/>
      </w:rPr>
    </w:lvl>
    <w:lvl w:ilvl="1" w:tplc="040C0019">
      <w:start w:val="1"/>
      <w:numFmt w:val="lowerLetter"/>
      <w:lvlText w:val="%2."/>
      <w:lvlJc w:val="left"/>
      <w:pPr>
        <w:ind w:left="306" w:hanging="360"/>
      </w:pPr>
    </w:lvl>
    <w:lvl w:ilvl="2" w:tplc="040C001B">
      <w:start w:val="1"/>
      <w:numFmt w:val="lowerRoman"/>
      <w:lvlText w:val="%3."/>
      <w:lvlJc w:val="right"/>
      <w:pPr>
        <w:ind w:left="1026" w:hanging="180"/>
      </w:pPr>
    </w:lvl>
    <w:lvl w:ilvl="3" w:tplc="040C000F">
      <w:start w:val="1"/>
      <w:numFmt w:val="decimal"/>
      <w:lvlText w:val="%4."/>
      <w:lvlJc w:val="left"/>
      <w:pPr>
        <w:ind w:left="1746" w:hanging="360"/>
      </w:pPr>
    </w:lvl>
    <w:lvl w:ilvl="4" w:tplc="040C0019">
      <w:start w:val="1"/>
      <w:numFmt w:val="lowerLetter"/>
      <w:lvlText w:val="%5."/>
      <w:lvlJc w:val="left"/>
      <w:pPr>
        <w:ind w:left="2466" w:hanging="360"/>
      </w:pPr>
    </w:lvl>
    <w:lvl w:ilvl="5" w:tplc="040C001B">
      <w:start w:val="1"/>
      <w:numFmt w:val="lowerRoman"/>
      <w:lvlText w:val="%6."/>
      <w:lvlJc w:val="right"/>
      <w:pPr>
        <w:ind w:left="3186" w:hanging="180"/>
      </w:pPr>
    </w:lvl>
    <w:lvl w:ilvl="6" w:tplc="040C000F">
      <w:start w:val="1"/>
      <w:numFmt w:val="decimal"/>
      <w:lvlText w:val="%7."/>
      <w:lvlJc w:val="left"/>
      <w:pPr>
        <w:ind w:left="3906" w:hanging="360"/>
      </w:pPr>
    </w:lvl>
    <w:lvl w:ilvl="7" w:tplc="040C0019">
      <w:start w:val="1"/>
      <w:numFmt w:val="lowerLetter"/>
      <w:lvlText w:val="%8."/>
      <w:lvlJc w:val="left"/>
      <w:pPr>
        <w:ind w:left="4626" w:hanging="360"/>
      </w:pPr>
    </w:lvl>
    <w:lvl w:ilvl="8" w:tplc="040C001B">
      <w:start w:val="1"/>
      <w:numFmt w:val="lowerRoman"/>
      <w:lvlText w:val="%9."/>
      <w:lvlJc w:val="right"/>
      <w:pPr>
        <w:ind w:left="5346" w:hanging="180"/>
      </w:pPr>
    </w:lvl>
  </w:abstractNum>
  <w:abstractNum w:abstractNumId="27" w15:restartNumberingAfterBreak="0">
    <w:nsid w:val="77E54C84"/>
    <w:multiLevelType w:val="hybridMultilevel"/>
    <w:tmpl w:val="6EA0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B83776"/>
    <w:multiLevelType w:val="hybridMultilevel"/>
    <w:tmpl w:val="8FFC3CD4"/>
    <w:lvl w:ilvl="0" w:tplc="EA06A68A">
      <w:start w:val="3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B91A9C"/>
    <w:multiLevelType w:val="hybridMultilevel"/>
    <w:tmpl w:val="25B05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335022"/>
    <w:multiLevelType w:val="hybridMultilevel"/>
    <w:tmpl w:val="30B4CA84"/>
    <w:lvl w:ilvl="0" w:tplc="74649756">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7F314570"/>
    <w:multiLevelType w:val="hybridMultilevel"/>
    <w:tmpl w:val="1988FF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2466188">
    <w:abstractNumId w:val="9"/>
  </w:num>
  <w:num w:numId="2" w16cid:durableId="1610776277">
    <w:abstractNumId w:val="9"/>
  </w:num>
  <w:num w:numId="3" w16cid:durableId="1789153895">
    <w:abstractNumId w:val="5"/>
  </w:num>
  <w:num w:numId="4" w16cid:durableId="299117082">
    <w:abstractNumId w:val="21"/>
  </w:num>
  <w:num w:numId="5" w16cid:durableId="952829015">
    <w:abstractNumId w:val="11"/>
  </w:num>
  <w:num w:numId="6" w16cid:durableId="1388869536">
    <w:abstractNumId w:val="15"/>
  </w:num>
  <w:num w:numId="7" w16cid:durableId="858467715">
    <w:abstractNumId w:val="25"/>
  </w:num>
  <w:num w:numId="8" w16cid:durableId="288710406">
    <w:abstractNumId w:val="20"/>
  </w:num>
  <w:num w:numId="9" w16cid:durableId="1625958759">
    <w:abstractNumId w:val="5"/>
  </w:num>
  <w:num w:numId="10" w16cid:durableId="309290212">
    <w:abstractNumId w:val="5"/>
  </w:num>
  <w:num w:numId="11" w16cid:durableId="875196818">
    <w:abstractNumId w:val="5"/>
  </w:num>
  <w:num w:numId="12" w16cid:durableId="124543536">
    <w:abstractNumId w:val="5"/>
  </w:num>
  <w:num w:numId="13" w16cid:durableId="232545699">
    <w:abstractNumId w:val="17"/>
  </w:num>
  <w:num w:numId="14" w16cid:durableId="370958650">
    <w:abstractNumId w:val="1"/>
  </w:num>
  <w:num w:numId="15" w16cid:durableId="2112310217">
    <w:abstractNumId w:val="16"/>
  </w:num>
  <w:num w:numId="16" w16cid:durableId="645549612">
    <w:abstractNumId w:val="5"/>
  </w:num>
  <w:num w:numId="17" w16cid:durableId="1481732105">
    <w:abstractNumId w:val="2"/>
  </w:num>
  <w:num w:numId="18" w16cid:durableId="2074086808">
    <w:abstractNumId w:val="5"/>
  </w:num>
  <w:num w:numId="19" w16cid:durableId="1345016755">
    <w:abstractNumId w:val="0"/>
  </w:num>
  <w:num w:numId="20" w16cid:durableId="38877136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27738526">
    <w:abstractNumId w:val="19"/>
  </w:num>
  <w:num w:numId="22" w16cid:durableId="1247230427">
    <w:abstractNumId w:val="6"/>
  </w:num>
  <w:num w:numId="23" w16cid:durableId="1024791838">
    <w:abstractNumId w:val="27"/>
  </w:num>
  <w:num w:numId="24" w16cid:durableId="837305171">
    <w:abstractNumId w:val="3"/>
  </w:num>
  <w:num w:numId="25" w16cid:durableId="345401532">
    <w:abstractNumId w:val="23"/>
  </w:num>
  <w:num w:numId="26" w16cid:durableId="193276384">
    <w:abstractNumId w:val="8"/>
  </w:num>
  <w:num w:numId="27" w16cid:durableId="2075470016">
    <w:abstractNumId w:val="22"/>
  </w:num>
  <w:num w:numId="28" w16cid:durableId="1192955982">
    <w:abstractNumId w:val="13"/>
  </w:num>
  <w:num w:numId="29" w16cid:durableId="1399669248">
    <w:abstractNumId w:val="31"/>
  </w:num>
  <w:num w:numId="30" w16cid:durableId="1986542795">
    <w:abstractNumId w:val="18"/>
  </w:num>
  <w:num w:numId="31" w16cid:durableId="1084455727">
    <w:abstractNumId w:val="24"/>
  </w:num>
  <w:num w:numId="32" w16cid:durableId="1625231472">
    <w:abstractNumId w:val="10"/>
  </w:num>
  <w:num w:numId="33" w16cid:durableId="456682888">
    <w:abstractNumId w:val="4"/>
  </w:num>
  <w:num w:numId="34" w16cid:durableId="254099642">
    <w:abstractNumId w:val="7"/>
  </w:num>
  <w:num w:numId="35" w16cid:durableId="45029640">
    <w:abstractNumId w:val="12"/>
  </w:num>
  <w:num w:numId="36" w16cid:durableId="1073426249">
    <w:abstractNumId w:val="29"/>
  </w:num>
  <w:num w:numId="37" w16cid:durableId="368381086">
    <w:abstractNumId w:val="30"/>
  </w:num>
  <w:num w:numId="38" w16cid:durableId="1879512795">
    <w:abstractNumId w:val="28"/>
  </w:num>
  <w:num w:numId="39" w16cid:durableId="557112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6"/>
  <w:drawingGridVerticalSpacing w:val="6"/>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FC8"/>
    <w:rsid w:val="00003DE4"/>
    <w:rsid w:val="00012B45"/>
    <w:rsid w:val="00021558"/>
    <w:rsid w:val="00025D51"/>
    <w:rsid w:val="00057CCA"/>
    <w:rsid w:val="000A115B"/>
    <w:rsid w:val="000B0E4E"/>
    <w:rsid w:val="000D39FC"/>
    <w:rsid w:val="000D4E4C"/>
    <w:rsid w:val="000E7AEA"/>
    <w:rsid w:val="000F1DBA"/>
    <w:rsid w:val="000F258B"/>
    <w:rsid w:val="000F5CEC"/>
    <w:rsid w:val="00100A35"/>
    <w:rsid w:val="0011081B"/>
    <w:rsid w:val="0011114C"/>
    <w:rsid w:val="0011169E"/>
    <w:rsid w:val="00143EC3"/>
    <w:rsid w:val="00170E9F"/>
    <w:rsid w:val="00177B08"/>
    <w:rsid w:val="00190A07"/>
    <w:rsid w:val="001912E2"/>
    <w:rsid w:val="001A6E27"/>
    <w:rsid w:val="001C6211"/>
    <w:rsid w:val="001E413E"/>
    <w:rsid w:val="001F1F04"/>
    <w:rsid w:val="001F5D62"/>
    <w:rsid w:val="00201171"/>
    <w:rsid w:val="0020288B"/>
    <w:rsid w:val="00213953"/>
    <w:rsid w:val="00222224"/>
    <w:rsid w:val="00226B0D"/>
    <w:rsid w:val="00234C33"/>
    <w:rsid w:val="00261E65"/>
    <w:rsid w:val="002750C1"/>
    <w:rsid w:val="00285FF0"/>
    <w:rsid w:val="002A5FFF"/>
    <w:rsid w:val="002B4B18"/>
    <w:rsid w:val="002C108F"/>
    <w:rsid w:val="002C3FFC"/>
    <w:rsid w:val="002C4F28"/>
    <w:rsid w:val="002D2C1D"/>
    <w:rsid w:val="002E2CEB"/>
    <w:rsid w:val="002E70A1"/>
    <w:rsid w:val="00310E5D"/>
    <w:rsid w:val="00311ECE"/>
    <w:rsid w:val="003210F7"/>
    <w:rsid w:val="00332B7C"/>
    <w:rsid w:val="0034355C"/>
    <w:rsid w:val="00346C46"/>
    <w:rsid w:val="003557A8"/>
    <w:rsid w:val="00360F04"/>
    <w:rsid w:val="00363D04"/>
    <w:rsid w:val="00374884"/>
    <w:rsid w:val="003768BB"/>
    <w:rsid w:val="00382419"/>
    <w:rsid w:val="003829C6"/>
    <w:rsid w:val="00392FA1"/>
    <w:rsid w:val="00397DEC"/>
    <w:rsid w:val="003A307F"/>
    <w:rsid w:val="003A6884"/>
    <w:rsid w:val="003B58D6"/>
    <w:rsid w:val="003D46DA"/>
    <w:rsid w:val="003D4875"/>
    <w:rsid w:val="003D675F"/>
    <w:rsid w:val="003E2147"/>
    <w:rsid w:val="003E27AC"/>
    <w:rsid w:val="003F3C42"/>
    <w:rsid w:val="00401C01"/>
    <w:rsid w:val="00403EF5"/>
    <w:rsid w:val="0041299F"/>
    <w:rsid w:val="0042668C"/>
    <w:rsid w:val="00426DB0"/>
    <w:rsid w:val="0043478B"/>
    <w:rsid w:val="00436275"/>
    <w:rsid w:val="0043646B"/>
    <w:rsid w:val="004573F3"/>
    <w:rsid w:val="004618DE"/>
    <w:rsid w:val="00463EA2"/>
    <w:rsid w:val="00465031"/>
    <w:rsid w:val="00484032"/>
    <w:rsid w:val="00493CE6"/>
    <w:rsid w:val="00494C58"/>
    <w:rsid w:val="004A327F"/>
    <w:rsid w:val="004A4527"/>
    <w:rsid w:val="004B08C6"/>
    <w:rsid w:val="004B273A"/>
    <w:rsid w:val="004C100E"/>
    <w:rsid w:val="004C1526"/>
    <w:rsid w:val="004C1D3F"/>
    <w:rsid w:val="004C2DC1"/>
    <w:rsid w:val="004C3E47"/>
    <w:rsid w:val="004D05D2"/>
    <w:rsid w:val="004D0F08"/>
    <w:rsid w:val="004F0D67"/>
    <w:rsid w:val="00505DD8"/>
    <w:rsid w:val="00506EE9"/>
    <w:rsid w:val="00513180"/>
    <w:rsid w:val="005169D0"/>
    <w:rsid w:val="00533732"/>
    <w:rsid w:val="00545B24"/>
    <w:rsid w:val="005516DB"/>
    <w:rsid w:val="00552B1A"/>
    <w:rsid w:val="00562336"/>
    <w:rsid w:val="00572AC5"/>
    <w:rsid w:val="00596820"/>
    <w:rsid w:val="00596B7E"/>
    <w:rsid w:val="005B2F7F"/>
    <w:rsid w:val="005B5EF5"/>
    <w:rsid w:val="005B7E73"/>
    <w:rsid w:val="005D54DD"/>
    <w:rsid w:val="00601F9D"/>
    <w:rsid w:val="00605A3A"/>
    <w:rsid w:val="00610040"/>
    <w:rsid w:val="00612922"/>
    <w:rsid w:val="00623957"/>
    <w:rsid w:val="00636007"/>
    <w:rsid w:val="006519AE"/>
    <w:rsid w:val="00655725"/>
    <w:rsid w:val="006575AB"/>
    <w:rsid w:val="00673422"/>
    <w:rsid w:val="00673F0C"/>
    <w:rsid w:val="006835E4"/>
    <w:rsid w:val="00685866"/>
    <w:rsid w:val="00695BA3"/>
    <w:rsid w:val="0069684F"/>
    <w:rsid w:val="006A3031"/>
    <w:rsid w:val="006C15A5"/>
    <w:rsid w:val="006C2C65"/>
    <w:rsid w:val="006D052A"/>
    <w:rsid w:val="006D36DB"/>
    <w:rsid w:val="006D6768"/>
    <w:rsid w:val="006E2A83"/>
    <w:rsid w:val="006E36B4"/>
    <w:rsid w:val="006F4BE4"/>
    <w:rsid w:val="006F7DED"/>
    <w:rsid w:val="00711C9D"/>
    <w:rsid w:val="00727624"/>
    <w:rsid w:val="007449EA"/>
    <w:rsid w:val="00753AFA"/>
    <w:rsid w:val="00755CED"/>
    <w:rsid w:val="0076217F"/>
    <w:rsid w:val="007701CE"/>
    <w:rsid w:val="00773D5C"/>
    <w:rsid w:val="007823DB"/>
    <w:rsid w:val="00783CE9"/>
    <w:rsid w:val="0078697E"/>
    <w:rsid w:val="007A3E25"/>
    <w:rsid w:val="007A45CC"/>
    <w:rsid w:val="007A49EB"/>
    <w:rsid w:val="007A7EC6"/>
    <w:rsid w:val="007C403E"/>
    <w:rsid w:val="007E4270"/>
    <w:rsid w:val="007E6082"/>
    <w:rsid w:val="007F2BA5"/>
    <w:rsid w:val="00814BE9"/>
    <w:rsid w:val="00831AA4"/>
    <w:rsid w:val="008359B7"/>
    <w:rsid w:val="00835BC3"/>
    <w:rsid w:val="0084462A"/>
    <w:rsid w:val="0085153D"/>
    <w:rsid w:val="00852EA7"/>
    <w:rsid w:val="008534AC"/>
    <w:rsid w:val="008608E4"/>
    <w:rsid w:val="00862AF4"/>
    <w:rsid w:val="00863317"/>
    <w:rsid w:val="00871431"/>
    <w:rsid w:val="00872D78"/>
    <w:rsid w:val="008735A8"/>
    <w:rsid w:val="00873BED"/>
    <w:rsid w:val="008852E4"/>
    <w:rsid w:val="00890B08"/>
    <w:rsid w:val="008914BF"/>
    <w:rsid w:val="008948C7"/>
    <w:rsid w:val="008A0DBF"/>
    <w:rsid w:val="008A6802"/>
    <w:rsid w:val="008B33AC"/>
    <w:rsid w:val="008C24D0"/>
    <w:rsid w:val="008C3D95"/>
    <w:rsid w:val="008C59A5"/>
    <w:rsid w:val="008E2127"/>
    <w:rsid w:val="00902342"/>
    <w:rsid w:val="00904C98"/>
    <w:rsid w:val="009053BE"/>
    <w:rsid w:val="009063B7"/>
    <w:rsid w:val="00907D3B"/>
    <w:rsid w:val="009173FE"/>
    <w:rsid w:val="00920B40"/>
    <w:rsid w:val="00924E6C"/>
    <w:rsid w:val="00932970"/>
    <w:rsid w:val="00936E3D"/>
    <w:rsid w:val="009525AF"/>
    <w:rsid w:val="009647BE"/>
    <w:rsid w:val="00972BBF"/>
    <w:rsid w:val="0097351B"/>
    <w:rsid w:val="00973DE1"/>
    <w:rsid w:val="00982AA5"/>
    <w:rsid w:val="0098415A"/>
    <w:rsid w:val="009E53F6"/>
    <w:rsid w:val="009E6CEB"/>
    <w:rsid w:val="00A00B63"/>
    <w:rsid w:val="00A01D29"/>
    <w:rsid w:val="00A20B40"/>
    <w:rsid w:val="00A23875"/>
    <w:rsid w:val="00A33021"/>
    <w:rsid w:val="00A36041"/>
    <w:rsid w:val="00A70F48"/>
    <w:rsid w:val="00AA73EA"/>
    <w:rsid w:val="00AB649B"/>
    <w:rsid w:val="00B11A91"/>
    <w:rsid w:val="00B143FE"/>
    <w:rsid w:val="00B17DA1"/>
    <w:rsid w:val="00B243F2"/>
    <w:rsid w:val="00B2519D"/>
    <w:rsid w:val="00B47555"/>
    <w:rsid w:val="00B54018"/>
    <w:rsid w:val="00B54421"/>
    <w:rsid w:val="00B557FF"/>
    <w:rsid w:val="00B7108F"/>
    <w:rsid w:val="00B80382"/>
    <w:rsid w:val="00B872CA"/>
    <w:rsid w:val="00BA0E95"/>
    <w:rsid w:val="00BC1245"/>
    <w:rsid w:val="00BC1B6E"/>
    <w:rsid w:val="00BD5A86"/>
    <w:rsid w:val="00BD71DE"/>
    <w:rsid w:val="00BD7EC4"/>
    <w:rsid w:val="00BE3F20"/>
    <w:rsid w:val="00BE6632"/>
    <w:rsid w:val="00BF5718"/>
    <w:rsid w:val="00C05FC8"/>
    <w:rsid w:val="00C108A8"/>
    <w:rsid w:val="00C138E0"/>
    <w:rsid w:val="00C20294"/>
    <w:rsid w:val="00C3501E"/>
    <w:rsid w:val="00C360AB"/>
    <w:rsid w:val="00C41845"/>
    <w:rsid w:val="00C5281A"/>
    <w:rsid w:val="00C84B6A"/>
    <w:rsid w:val="00C84FC1"/>
    <w:rsid w:val="00C91036"/>
    <w:rsid w:val="00CA1880"/>
    <w:rsid w:val="00CA48CF"/>
    <w:rsid w:val="00CB5A87"/>
    <w:rsid w:val="00CC085D"/>
    <w:rsid w:val="00CC3A67"/>
    <w:rsid w:val="00CC501A"/>
    <w:rsid w:val="00CE1956"/>
    <w:rsid w:val="00CE5093"/>
    <w:rsid w:val="00CE7C2F"/>
    <w:rsid w:val="00CF62F2"/>
    <w:rsid w:val="00D06102"/>
    <w:rsid w:val="00D0684F"/>
    <w:rsid w:val="00D22C72"/>
    <w:rsid w:val="00D23B0B"/>
    <w:rsid w:val="00D23EDD"/>
    <w:rsid w:val="00D302AD"/>
    <w:rsid w:val="00D4515E"/>
    <w:rsid w:val="00D70BA8"/>
    <w:rsid w:val="00D80053"/>
    <w:rsid w:val="00D86646"/>
    <w:rsid w:val="00DA71B9"/>
    <w:rsid w:val="00DB1767"/>
    <w:rsid w:val="00DB4F2F"/>
    <w:rsid w:val="00DC1F0C"/>
    <w:rsid w:val="00DC4341"/>
    <w:rsid w:val="00DC7F96"/>
    <w:rsid w:val="00DD1317"/>
    <w:rsid w:val="00DD53BA"/>
    <w:rsid w:val="00DD6E32"/>
    <w:rsid w:val="00DE258D"/>
    <w:rsid w:val="00DF1829"/>
    <w:rsid w:val="00DF72F9"/>
    <w:rsid w:val="00E174A3"/>
    <w:rsid w:val="00E2291B"/>
    <w:rsid w:val="00E34310"/>
    <w:rsid w:val="00E43BFE"/>
    <w:rsid w:val="00E54757"/>
    <w:rsid w:val="00E55EEC"/>
    <w:rsid w:val="00E5717B"/>
    <w:rsid w:val="00E621C7"/>
    <w:rsid w:val="00E62C51"/>
    <w:rsid w:val="00E65D5E"/>
    <w:rsid w:val="00E71F05"/>
    <w:rsid w:val="00E80CF6"/>
    <w:rsid w:val="00E85EC5"/>
    <w:rsid w:val="00E912CA"/>
    <w:rsid w:val="00EB0D54"/>
    <w:rsid w:val="00EB0EBC"/>
    <w:rsid w:val="00EB3895"/>
    <w:rsid w:val="00EC413D"/>
    <w:rsid w:val="00ED39E0"/>
    <w:rsid w:val="00ED5254"/>
    <w:rsid w:val="00EE4F74"/>
    <w:rsid w:val="00EE77CB"/>
    <w:rsid w:val="00EF268A"/>
    <w:rsid w:val="00F017CE"/>
    <w:rsid w:val="00F04FBD"/>
    <w:rsid w:val="00F06459"/>
    <w:rsid w:val="00F077E7"/>
    <w:rsid w:val="00F12B11"/>
    <w:rsid w:val="00F56737"/>
    <w:rsid w:val="00F60534"/>
    <w:rsid w:val="00F90CD8"/>
    <w:rsid w:val="00F92310"/>
    <w:rsid w:val="00F94805"/>
    <w:rsid w:val="00FB3993"/>
    <w:rsid w:val="00FC7B23"/>
    <w:rsid w:val="00FD078F"/>
    <w:rsid w:val="00FD630B"/>
    <w:rsid w:val="00FE36B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C7C3A3"/>
  <w15:docId w15:val="{28A6BD04-9FF5-4433-985C-844F35F54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fr-FR"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s>
      <w:snapToGrid w:val="0"/>
    </w:pPr>
    <w:rPr>
      <w:rFonts w:ascii="Arial" w:hAnsi="Arial"/>
      <w:snapToGrid w:val="0"/>
      <w:sz w:val="22"/>
      <w:szCs w:val="24"/>
    </w:rPr>
  </w:style>
  <w:style w:type="paragraph" w:styleId="Heading1">
    <w:name w:val="heading 1"/>
    <w:basedOn w:val="Normal"/>
    <w:next w:val="Marge"/>
    <w:qFormat/>
    <w:rsid w:val="001F1F04"/>
    <w:pPr>
      <w:keepNext/>
      <w:keepLines/>
      <w:spacing w:before="240" w:after="240"/>
      <w:jc w:val="center"/>
      <w:outlineLvl w:val="0"/>
    </w:pPr>
    <w:rPr>
      <w:rFonts w:eastAsia="Times New Roman"/>
      <w:b/>
      <w:bCs/>
      <w:kern w:val="28"/>
      <w:lang w:eastAsia="en-US"/>
    </w:rPr>
  </w:style>
  <w:style w:type="paragraph" w:styleId="Heading2">
    <w:name w:val="heading 2"/>
    <w:basedOn w:val="Normal"/>
    <w:next w:val="Marge"/>
    <w:qFormat/>
    <w:pPr>
      <w:keepNext/>
      <w:keepLines/>
      <w:spacing w:before="480" w:after="240"/>
      <w:ind w:left="567" w:hanging="567"/>
      <w:outlineLvl w:val="1"/>
    </w:pPr>
    <w:rPr>
      <w:rFonts w:eastAsia="Times New Roman"/>
      <w:b/>
      <w:bCs/>
      <w:caps/>
      <w:lang w:eastAsia="en-US"/>
    </w:rPr>
  </w:style>
  <w:style w:type="paragraph" w:styleId="Heading3">
    <w:name w:val="heading 3"/>
    <w:basedOn w:val="Normal"/>
    <w:next w:val="Marge"/>
    <w:qFormat/>
    <w:pPr>
      <w:keepNext/>
      <w:keepLines/>
      <w:spacing w:after="240"/>
      <w:ind w:left="567" w:hanging="567"/>
      <w:outlineLvl w:val="2"/>
    </w:pPr>
    <w:rPr>
      <w:rFonts w:eastAsia="Times New Roman"/>
      <w:b/>
      <w:bCs/>
      <w:lang w:eastAsia="en-US"/>
    </w:rPr>
  </w:style>
  <w:style w:type="paragraph" w:styleId="Heading4">
    <w:name w:val="heading 4"/>
    <w:basedOn w:val="Normal"/>
    <w:next w:val="Marge"/>
    <w:qFormat/>
    <w:pPr>
      <w:keepNext/>
      <w:keepLines/>
      <w:spacing w:after="240"/>
      <w:outlineLvl w:val="3"/>
    </w:pPr>
    <w:rPr>
      <w:rFonts w:eastAsia="Times New Roman"/>
      <w:b/>
      <w:bCs/>
      <w:lang w:eastAsia="en-US"/>
    </w:rPr>
  </w:style>
  <w:style w:type="paragraph" w:styleId="Heading5">
    <w:name w:val="heading 5"/>
    <w:basedOn w:val="Normal"/>
    <w:next w:val="Marge"/>
    <w:qFormat/>
    <w:pPr>
      <w:keepNext/>
      <w:keepLines/>
      <w:tabs>
        <w:tab w:val="clear" w:pos="567"/>
        <w:tab w:val="left" w:pos="1134"/>
      </w:tabs>
      <w:spacing w:after="240"/>
      <w:ind w:left="1134" w:hanging="567"/>
      <w:outlineLvl w:val="4"/>
    </w:pPr>
    <w:rPr>
      <w:rFonts w:eastAsia="Times New Roman"/>
      <w:b/>
      <w:bCs/>
      <w:lang w:eastAsia="en-US"/>
    </w:rPr>
  </w:style>
  <w:style w:type="paragraph" w:styleId="Heading6">
    <w:name w:val="heading 6"/>
    <w:basedOn w:val="Normal"/>
    <w:next w:val="Marge"/>
    <w:qFormat/>
    <w:pPr>
      <w:keepNext/>
      <w:keepLines/>
      <w:tabs>
        <w:tab w:val="clear" w:pos="567"/>
        <w:tab w:val="left" w:pos="1134"/>
      </w:tabs>
      <w:spacing w:after="240"/>
      <w:ind w:left="567"/>
      <w:outlineLvl w:val="5"/>
    </w:pPr>
    <w:rPr>
      <w:rFonts w:eastAsia="Times New Roman"/>
      <w:b/>
      <w:iCs/>
      <w:szCs w:val="22"/>
      <w:lang w:eastAsia="en-US"/>
    </w:rPr>
  </w:style>
  <w:style w:type="paragraph" w:styleId="Heading7">
    <w:name w:val="heading 7"/>
    <w:basedOn w:val="Normal"/>
    <w:next w:val="Normal"/>
    <w:qFormat/>
    <w:pPr>
      <w:keepNext/>
      <w:spacing w:after="240"/>
      <w:jc w:val="both"/>
      <w:outlineLvl w:val="6"/>
    </w:pPr>
    <w:rPr>
      <w:rFonts w:ascii="Times New Roman" w:hAnsi="Times New Roman"/>
      <w:snapToGrid/>
      <w:color w:val="00000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a)"/>
    <w:basedOn w:val="Normal"/>
    <w:pPr>
      <w:tabs>
        <w:tab w:val="left" w:pos="-737"/>
      </w:tabs>
      <w:spacing w:after="240"/>
      <w:ind w:left="567" w:hanging="567"/>
      <w:jc w:val="both"/>
    </w:pPr>
    <w:rPr>
      <w:rFonts w:eastAsia="Times New Roman"/>
      <w:lang w:eastAsia="en-US"/>
    </w:rPr>
  </w:style>
  <w:style w:type="paragraph" w:customStyle="1" w:styleId="b">
    <w:name w:val="(b)"/>
    <w:basedOn w:val="a"/>
    <w:pPr>
      <w:tabs>
        <w:tab w:val="clear" w:pos="567"/>
        <w:tab w:val="left" w:pos="1134"/>
      </w:tabs>
      <w:ind w:left="1134"/>
    </w:pPr>
  </w:style>
  <w:style w:type="paragraph" w:customStyle="1" w:styleId="c">
    <w:name w:val="(c)"/>
    <w:basedOn w:val="Normal"/>
    <w:pPr>
      <w:tabs>
        <w:tab w:val="clear" w:pos="567"/>
        <w:tab w:val="left" w:pos="1701"/>
      </w:tabs>
      <w:spacing w:after="240"/>
      <w:ind w:left="1701" w:hanging="567"/>
      <w:jc w:val="both"/>
    </w:pPr>
  </w:style>
  <w:style w:type="paragraph" w:customStyle="1" w:styleId="alina">
    <w:name w:val="alinéa"/>
    <w:basedOn w:val="Normal"/>
    <w:pPr>
      <w:snapToGrid/>
      <w:spacing w:after="240"/>
      <w:ind w:left="567"/>
      <w:jc w:val="both"/>
    </w:pPr>
    <w:rPr>
      <w:rFonts w:eastAsia="Times New Roman"/>
      <w:snapToGrid/>
      <w:lang w:eastAsia="en-US"/>
    </w:rPr>
  </w:style>
  <w:style w:type="character" w:styleId="FootnoteReference">
    <w:name w:val="footnote reference"/>
    <w:uiPriority w:val="99"/>
    <w:semiHidden/>
    <w:rPr>
      <w:vertAlign w:val="superscript"/>
    </w:rPr>
  </w:style>
  <w:style w:type="paragraph" w:styleId="Header">
    <w:name w:val="header"/>
    <w:basedOn w:val="Normal"/>
    <w:link w:val="HeaderChar"/>
    <w:uiPriority w:val="99"/>
    <w:pPr>
      <w:tabs>
        <w:tab w:val="center" w:pos="4153"/>
        <w:tab w:val="right" w:pos="8306"/>
      </w:tabs>
    </w:pPr>
    <w:rPr>
      <w:rFonts w:eastAsia="Times New Roman"/>
      <w:lang w:eastAsia="en-US"/>
    </w:rPr>
  </w:style>
  <w:style w:type="paragraph" w:customStyle="1" w:styleId="Par">
    <w:name w:val="Par"/>
    <w:basedOn w:val="Normal"/>
    <w:pPr>
      <w:spacing w:after="240"/>
      <w:ind w:firstLine="567"/>
      <w:jc w:val="both"/>
    </w:pPr>
    <w:rPr>
      <w:rFonts w:eastAsia="Times New Roman"/>
      <w:lang w:eastAsia="en-US"/>
    </w:rPr>
  </w:style>
  <w:style w:type="paragraph" w:customStyle="1" w:styleId="Marge">
    <w:name w:val="Marge"/>
    <w:basedOn w:val="Par"/>
    <w:uiPriority w:val="99"/>
    <w:pPr>
      <w:ind w:firstLine="0"/>
    </w:pPr>
  </w:style>
  <w:style w:type="paragraph" w:styleId="FootnoteText">
    <w:name w:val="footnote text"/>
    <w:basedOn w:val="Normal"/>
    <w:link w:val="FootnoteTextChar"/>
    <w:semiHidden/>
    <w:pPr>
      <w:ind w:left="567" w:hanging="567"/>
    </w:pPr>
    <w:rPr>
      <w:rFonts w:eastAsia="Times New Roman"/>
      <w:sz w:val="20"/>
      <w:szCs w:val="20"/>
      <w:lang w:eastAsia="en-US"/>
    </w:rPr>
  </w:style>
  <w:style w:type="paragraph" w:styleId="Footer">
    <w:name w:val="footer"/>
    <w:basedOn w:val="Normal"/>
    <w:pPr>
      <w:tabs>
        <w:tab w:val="center" w:pos="4153"/>
        <w:tab w:val="right" w:pos="8306"/>
      </w:tabs>
    </w:pPr>
    <w:rPr>
      <w:rFonts w:eastAsia="Times New Roman"/>
      <w:lang w:eastAsia="en-US"/>
    </w:rPr>
  </w:style>
  <w:style w:type="paragraph" w:styleId="BodyText3">
    <w:name w:val="Body Text 3"/>
    <w:basedOn w:val="Normal"/>
    <w:rPr>
      <w:color w:val="000080"/>
    </w:rPr>
  </w:style>
  <w:style w:type="character" w:styleId="PageNumber">
    <w:name w:val="page number"/>
    <w:basedOn w:val="DefaultParagraphFont"/>
  </w:style>
  <w:style w:type="paragraph" w:customStyle="1" w:styleId="TIRETbul1cm">
    <w:name w:val="TIRET bul 1cm"/>
    <w:basedOn w:val="Normal"/>
    <w:pPr>
      <w:numPr>
        <w:numId w:val="3"/>
      </w:numPr>
      <w:tabs>
        <w:tab w:val="clear" w:pos="567"/>
        <w:tab w:val="left" w:pos="851"/>
      </w:tabs>
      <w:adjustRightInd w:val="0"/>
      <w:spacing w:after="240"/>
      <w:jc w:val="both"/>
    </w:pPr>
  </w:style>
  <w:style w:type="paragraph" w:customStyle="1" w:styleId="Serre">
    <w:name w:val="Serre"/>
    <w:basedOn w:val="Normal"/>
    <w:pPr>
      <w:tabs>
        <w:tab w:val="clear" w:pos="567"/>
      </w:tabs>
      <w:suppressAutoHyphens/>
      <w:snapToGrid/>
      <w:jc w:val="both"/>
      <w:outlineLvl w:val="2"/>
    </w:pPr>
    <w:rPr>
      <w:rFonts w:eastAsia="Times New Roman"/>
      <w:snapToGrid/>
      <w:szCs w:val="20"/>
      <w:lang w:eastAsia="fr-FR"/>
    </w:rPr>
  </w:style>
  <w:style w:type="paragraph" w:customStyle="1" w:styleId="tiret">
    <w:name w:val="tiret"/>
    <w:basedOn w:val="Marge"/>
    <w:pPr>
      <w:ind w:left="284" w:hanging="284"/>
    </w:pPr>
    <w:rPr>
      <w:lang w:val="en-GB"/>
    </w:rPr>
  </w:style>
  <w:style w:type="character" w:customStyle="1" w:styleId="PointSoul">
    <w:name w:val="PointSoul"/>
    <w:rPr>
      <w:u w:val="single"/>
    </w:rPr>
  </w:style>
  <w:style w:type="table" w:styleId="TableGrid">
    <w:name w:val="Table Grid"/>
    <w:basedOn w:val="TableNormal"/>
    <w:uiPriority w:val="59"/>
    <w:rsid w:val="00ED39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36041"/>
    <w:rPr>
      <w:rFonts w:ascii="Tahoma" w:hAnsi="Tahoma" w:cs="Tahoma"/>
      <w:sz w:val="16"/>
      <w:szCs w:val="16"/>
    </w:rPr>
  </w:style>
  <w:style w:type="character" w:customStyle="1" w:styleId="BalloonTextChar">
    <w:name w:val="Balloon Text Char"/>
    <w:link w:val="BalloonText"/>
    <w:rsid w:val="00A36041"/>
    <w:rPr>
      <w:rFonts w:ascii="Tahoma" w:hAnsi="Tahoma" w:cs="Tahoma"/>
      <w:snapToGrid w:val="0"/>
      <w:sz w:val="16"/>
      <w:szCs w:val="16"/>
      <w:lang w:eastAsia="zh-CN"/>
    </w:rPr>
  </w:style>
  <w:style w:type="paragraph" w:styleId="BodyText">
    <w:name w:val="Body Text"/>
    <w:basedOn w:val="Normal"/>
    <w:link w:val="BodyTextChar"/>
    <w:rsid w:val="005169D0"/>
    <w:pPr>
      <w:spacing w:after="120"/>
    </w:pPr>
  </w:style>
  <w:style w:type="character" w:customStyle="1" w:styleId="BodyTextChar">
    <w:name w:val="Body Text Char"/>
    <w:link w:val="BodyText"/>
    <w:uiPriority w:val="99"/>
    <w:rsid w:val="005169D0"/>
    <w:rPr>
      <w:rFonts w:ascii="Arial" w:hAnsi="Arial"/>
      <w:snapToGrid w:val="0"/>
      <w:sz w:val="22"/>
      <w:szCs w:val="24"/>
    </w:rPr>
  </w:style>
  <w:style w:type="paragraph" w:styleId="ListParagraph">
    <w:name w:val="List Paragraph"/>
    <w:aliases w:val="List Paragraph (numbered (a)),Lapis Bulleted List,Dot pt,F5 List Paragraph,No Spacing1,List Paragraph Char Char Char,Indicator Text,Numbered Para 1,Bullet 1,List Paragraph12,Bullet Points,MAIN CONTENT"/>
    <w:basedOn w:val="Normal"/>
    <w:link w:val="ListParagraphChar"/>
    <w:uiPriority w:val="34"/>
    <w:qFormat/>
    <w:rsid w:val="005169D0"/>
    <w:pPr>
      <w:tabs>
        <w:tab w:val="clear" w:pos="567"/>
      </w:tabs>
      <w:snapToGrid/>
      <w:spacing w:after="200" w:line="276" w:lineRule="auto"/>
      <w:ind w:left="720"/>
      <w:contextualSpacing/>
    </w:pPr>
    <w:rPr>
      <w:rFonts w:ascii="Calibri" w:hAnsi="Calibri"/>
      <w:snapToGrid/>
      <w:szCs w:val="22"/>
      <w:lang w:val="en-GB" w:eastAsia="en-GB"/>
    </w:rPr>
  </w:style>
  <w:style w:type="paragraph" w:styleId="NormalWeb">
    <w:name w:val="Normal (Web)"/>
    <w:basedOn w:val="Normal"/>
    <w:uiPriority w:val="99"/>
    <w:rsid w:val="00B872CA"/>
    <w:pPr>
      <w:tabs>
        <w:tab w:val="clear" w:pos="567"/>
      </w:tabs>
      <w:suppressAutoHyphens/>
      <w:overflowPunct w:val="0"/>
      <w:autoSpaceDE w:val="0"/>
      <w:snapToGrid/>
      <w:spacing w:before="280" w:after="280"/>
      <w:textAlignment w:val="baseline"/>
    </w:pPr>
    <w:rPr>
      <w:rFonts w:ascii="Times New Roman" w:eastAsia="Times New Roman" w:hAnsi="Times New Roman"/>
      <w:snapToGrid/>
      <w:sz w:val="24"/>
      <w:szCs w:val="20"/>
      <w:lang w:val="en-US" w:eastAsia="ar-SA"/>
    </w:rPr>
  </w:style>
  <w:style w:type="paragraph" w:customStyle="1" w:styleId="Default">
    <w:name w:val="Default"/>
    <w:rsid w:val="006D052A"/>
    <w:pPr>
      <w:autoSpaceDE w:val="0"/>
      <w:autoSpaceDN w:val="0"/>
      <w:adjustRightInd w:val="0"/>
    </w:pPr>
    <w:rPr>
      <w:rFonts w:ascii="Arial" w:eastAsia="Calibri" w:hAnsi="Arial" w:cs="Arial"/>
      <w:color w:val="000000"/>
      <w:sz w:val="24"/>
      <w:szCs w:val="24"/>
      <w:lang w:val="de-DE" w:eastAsia="en-US"/>
    </w:rPr>
  </w:style>
  <w:style w:type="character" w:customStyle="1" w:styleId="admitted">
    <w:name w:val="admitted"/>
    <w:rsid w:val="00100A35"/>
  </w:style>
  <w:style w:type="character" w:customStyle="1" w:styleId="hps">
    <w:name w:val="hps"/>
    <w:uiPriority w:val="99"/>
    <w:rsid w:val="00100A35"/>
  </w:style>
  <w:style w:type="character" w:styleId="Hyperlink">
    <w:name w:val="Hyperlink"/>
    <w:uiPriority w:val="99"/>
    <w:unhideWhenUsed/>
    <w:rsid w:val="00100A35"/>
    <w:rPr>
      <w:color w:val="0000FF"/>
      <w:u w:val="single"/>
    </w:rPr>
  </w:style>
  <w:style w:type="paragraph" w:styleId="TOC1">
    <w:name w:val="toc 1"/>
    <w:basedOn w:val="Normal"/>
    <w:next w:val="Normal"/>
    <w:autoRedefine/>
    <w:uiPriority w:val="39"/>
    <w:unhideWhenUsed/>
    <w:rsid w:val="00100A35"/>
    <w:pPr>
      <w:tabs>
        <w:tab w:val="clear" w:pos="567"/>
        <w:tab w:val="right" w:leader="dot" w:pos="9071"/>
      </w:tabs>
      <w:snapToGrid/>
    </w:pPr>
    <w:rPr>
      <w:rFonts w:eastAsia="Calibri" w:cs="Arial"/>
      <w:noProof/>
      <w:snapToGrid/>
      <w:szCs w:val="22"/>
      <w:lang w:val="en-GB" w:eastAsia="de-DE"/>
    </w:rPr>
  </w:style>
  <w:style w:type="character" w:customStyle="1" w:styleId="newskoshortdesc">
    <w:name w:val="newskoshortdesc"/>
    <w:basedOn w:val="DefaultParagraphFont"/>
    <w:rsid w:val="007A7EC6"/>
  </w:style>
  <w:style w:type="character" w:customStyle="1" w:styleId="newskolongdesc">
    <w:name w:val="newskolongdesc"/>
    <w:basedOn w:val="DefaultParagraphFont"/>
    <w:rsid w:val="007A7EC6"/>
  </w:style>
  <w:style w:type="paragraph" w:styleId="Title">
    <w:name w:val="Title"/>
    <w:basedOn w:val="Normal"/>
    <w:link w:val="TitleChar"/>
    <w:qFormat/>
    <w:rsid w:val="007A7EC6"/>
    <w:pPr>
      <w:tabs>
        <w:tab w:val="clear" w:pos="567"/>
      </w:tabs>
      <w:snapToGrid/>
      <w:jc w:val="center"/>
    </w:pPr>
    <w:rPr>
      <w:rFonts w:ascii="Times New Roman" w:eastAsia="Times New Roman" w:hAnsi="Times New Roman"/>
      <w:b/>
      <w:snapToGrid/>
      <w:sz w:val="24"/>
      <w:szCs w:val="20"/>
      <w:lang w:val="en-GB" w:eastAsia="en-US"/>
    </w:rPr>
  </w:style>
  <w:style w:type="character" w:customStyle="1" w:styleId="TitleChar">
    <w:name w:val="Title Char"/>
    <w:basedOn w:val="DefaultParagraphFont"/>
    <w:link w:val="Title"/>
    <w:rsid w:val="007A7EC6"/>
    <w:rPr>
      <w:rFonts w:eastAsia="Times New Roman"/>
      <w:b/>
      <w:sz w:val="24"/>
      <w:lang w:val="en-GB" w:eastAsia="en-US"/>
    </w:rPr>
  </w:style>
  <w:style w:type="character" w:customStyle="1" w:styleId="Style2">
    <w:name w:val="Style2"/>
    <w:rsid w:val="007A7EC6"/>
    <w:rPr>
      <w:rFonts w:ascii="Arial Black" w:hAnsi="Arial Black"/>
      <w:caps/>
      <w:sz w:val="18"/>
      <w:szCs w:val="22"/>
      <w:u w:val="single"/>
    </w:rPr>
  </w:style>
  <w:style w:type="table" w:styleId="TableWeb1">
    <w:name w:val="Table Web 1"/>
    <w:basedOn w:val="TableNormal"/>
    <w:rsid w:val="007A7EC6"/>
    <w:rPr>
      <w:rFonts w:eastAsia="Times New Roman"/>
      <w:lang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rsid w:val="007A7EC6"/>
    <w:pPr>
      <w:tabs>
        <w:tab w:val="clear" w:pos="567"/>
      </w:tabs>
      <w:snapToGrid/>
    </w:pPr>
    <w:rPr>
      <w:rFonts w:ascii="Courier New" w:eastAsia="Times New Roman" w:hAnsi="Courier New"/>
      <w:snapToGrid/>
      <w:sz w:val="20"/>
      <w:szCs w:val="20"/>
      <w:lang w:val="en-US" w:eastAsia="en-US"/>
    </w:rPr>
  </w:style>
  <w:style w:type="character" w:customStyle="1" w:styleId="PlainTextChar">
    <w:name w:val="Plain Text Char"/>
    <w:basedOn w:val="DefaultParagraphFont"/>
    <w:link w:val="PlainText"/>
    <w:rsid w:val="007A7EC6"/>
    <w:rPr>
      <w:rFonts w:ascii="Courier New" w:eastAsia="Times New Roman" w:hAnsi="Courier New"/>
      <w:lang w:val="en-US" w:eastAsia="en-US"/>
    </w:rPr>
  </w:style>
  <w:style w:type="character" w:styleId="Strong">
    <w:name w:val="Strong"/>
    <w:qFormat/>
    <w:rsid w:val="007A7EC6"/>
    <w:rPr>
      <w:b/>
      <w:bCs/>
    </w:rPr>
  </w:style>
  <w:style w:type="table" w:styleId="TableWeb2">
    <w:name w:val="Table Web 2"/>
    <w:basedOn w:val="TableNormal"/>
    <w:rsid w:val="007A7EC6"/>
    <w:rPr>
      <w:rFonts w:eastAsia="Times New Roman"/>
      <w:lang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7A7EC6"/>
    <w:rPr>
      <w:rFonts w:eastAsia="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A7EC6"/>
    <w:pPr>
      <w:tabs>
        <w:tab w:val="clear" w:pos="567"/>
      </w:tabs>
      <w:snapToGrid/>
      <w:ind w:left="720"/>
      <w:jc w:val="both"/>
    </w:pPr>
    <w:rPr>
      <w:rFonts w:eastAsia="Times New Roman"/>
      <w:snapToGrid/>
      <w:szCs w:val="20"/>
      <w:lang w:val="en-GB" w:eastAsia="en-US"/>
    </w:rPr>
  </w:style>
  <w:style w:type="character" w:customStyle="1" w:styleId="BodyTextIndent2Char">
    <w:name w:val="Body Text Indent 2 Char"/>
    <w:basedOn w:val="DefaultParagraphFont"/>
    <w:link w:val="BodyTextIndent2"/>
    <w:rsid w:val="007A7EC6"/>
    <w:rPr>
      <w:rFonts w:ascii="Arial" w:eastAsia="Times New Roman" w:hAnsi="Arial"/>
      <w:sz w:val="22"/>
      <w:lang w:val="en-GB" w:eastAsia="en-US"/>
    </w:rPr>
  </w:style>
  <w:style w:type="paragraph" w:styleId="BodyTextIndent">
    <w:name w:val="Body Text Indent"/>
    <w:basedOn w:val="Normal"/>
    <w:link w:val="BodyTextIndentChar"/>
    <w:rsid w:val="007A7EC6"/>
    <w:pPr>
      <w:widowControl w:val="0"/>
      <w:tabs>
        <w:tab w:val="clear" w:pos="567"/>
      </w:tabs>
      <w:snapToGrid/>
      <w:spacing w:line="280" w:lineRule="exact"/>
      <w:ind w:left="720" w:hanging="720"/>
    </w:pPr>
    <w:rPr>
      <w:rFonts w:eastAsia="Times New Roman" w:cs="Arial"/>
      <w:snapToGrid/>
      <w:szCs w:val="20"/>
      <w:lang w:val="en-GB" w:eastAsia="en-US"/>
    </w:rPr>
  </w:style>
  <w:style w:type="character" w:customStyle="1" w:styleId="BodyTextIndentChar">
    <w:name w:val="Body Text Indent Char"/>
    <w:basedOn w:val="DefaultParagraphFont"/>
    <w:link w:val="BodyTextIndent"/>
    <w:rsid w:val="007A7EC6"/>
    <w:rPr>
      <w:rFonts w:ascii="Arial" w:eastAsia="Times New Roman" w:hAnsi="Arial" w:cs="Arial"/>
      <w:sz w:val="22"/>
      <w:lang w:val="en-GB" w:eastAsia="en-US"/>
    </w:rPr>
  </w:style>
  <w:style w:type="character" w:styleId="Emphasis">
    <w:name w:val="Emphasis"/>
    <w:uiPriority w:val="20"/>
    <w:qFormat/>
    <w:rsid w:val="007A7EC6"/>
    <w:rPr>
      <w:b/>
      <w:bCs/>
      <w:i w:val="0"/>
      <w:iCs w:val="0"/>
    </w:rPr>
  </w:style>
  <w:style w:type="paragraph" w:styleId="Date">
    <w:name w:val="Date"/>
    <w:basedOn w:val="Normal"/>
    <w:next w:val="Normal"/>
    <w:link w:val="DateChar"/>
    <w:rsid w:val="007A7EC6"/>
    <w:pPr>
      <w:tabs>
        <w:tab w:val="clear" w:pos="567"/>
      </w:tabs>
      <w:snapToGrid/>
    </w:pPr>
    <w:rPr>
      <w:rFonts w:ascii="Times New Roman" w:eastAsia="Times New Roman" w:hAnsi="Times New Roman"/>
      <w:snapToGrid/>
      <w:sz w:val="24"/>
      <w:lang w:val="x-none" w:eastAsia="en-US"/>
    </w:rPr>
  </w:style>
  <w:style w:type="character" w:customStyle="1" w:styleId="DateChar">
    <w:name w:val="Date Char"/>
    <w:basedOn w:val="DefaultParagraphFont"/>
    <w:link w:val="Date"/>
    <w:rsid w:val="007A7EC6"/>
    <w:rPr>
      <w:rFonts w:eastAsia="Times New Roman"/>
      <w:sz w:val="24"/>
      <w:szCs w:val="24"/>
      <w:lang w:val="x-none" w:eastAsia="en-US"/>
    </w:rPr>
  </w:style>
  <w:style w:type="paragraph" w:styleId="NoSpacing">
    <w:name w:val="No Spacing"/>
    <w:basedOn w:val="Normal"/>
    <w:link w:val="NoSpacingChar"/>
    <w:qFormat/>
    <w:rsid w:val="007A7EC6"/>
    <w:pPr>
      <w:tabs>
        <w:tab w:val="clear" w:pos="567"/>
      </w:tabs>
      <w:snapToGrid/>
    </w:pPr>
    <w:rPr>
      <w:rFonts w:ascii="Times New Roman" w:eastAsia="Times New Roman" w:hAnsi="Times New Roman"/>
      <w:snapToGrid/>
      <w:sz w:val="24"/>
      <w:lang w:eastAsia="fr-FR"/>
    </w:rPr>
  </w:style>
  <w:style w:type="character" w:customStyle="1" w:styleId="NoSpacingChar">
    <w:name w:val="No Spacing Char"/>
    <w:link w:val="NoSpacing"/>
    <w:rsid w:val="007A7EC6"/>
    <w:rPr>
      <w:rFonts w:eastAsia="Times New Roman"/>
      <w:sz w:val="24"/>
      <w:szCs w:val="24"/>
      <w:lang w:eastAsia="fr-FR"/>
    </w:rPr>
  </w:style>
  <w:style w:type="character" w:styleId="FollowedHyperlink">
    <w:name w:val="FollowedHyperlink"/>
    <w:rsid w:val="007A7EC6"/>
    <w:rPr>
      <w:color w:val="800080"/>
      <w:u w:val="single"/>
    </w:rPr>
  </w:style>
  <w:style w:type="character" w:customStyle="1" w:styleId="fn">
    <w:name w:val="fn"/>
    <w:basedOn w:val="DefaultParagraphFont"/>
    <w:rsid w:val="007A7EC6"/>
  </w:style>
  <w:style w:type="character" w:styleId="CommentReference">
    <w:name w:val="annotation reference"/>
    <w:rsid w:val="007A7EC6"/>
    <w:rPr>
      <w:sz w:val="16"/>
      <w:szCs w:val="16"/>
    </w:rPr>
  </w:style>
  <w:style w:type="paragraph" w:styleId="CommentText">
    <w:name w:val="annotation text"/>
    <w:basedOn w:val="Normal"/>
    <w:link w:val="CommentTextChar"/>
    <w:rsid w:val="007A7EC6"/>
    <w:pPr>
      <w:tabs>
        <w:tab w:val="clear" w:pos="567"/>
      </w:tabs>
      <w:snapToGrid/>
    </w:pPr>
    <w:rPr>
      <w:rFonts w:ascii="Times New Roman" w:eastAsia="Times New Roman" w:hAnsi="Times New Roman"/>
      <w:snapToGrid/>
      <w:sz w:val="20"/>
      <w:szCs w:val="20"/>
      <w:lang w:val="en-US" w:eastAsia="en-US"/>
    </w:rPr>
  </w:style>
  <w:style w:type="character" w:customStyle="1" w:styleId="CommentTextChar">
    <w:name w:val="Comment Text Char"/>
    <w:basedOn w:val="DefaultParagraphFont"/>
    <w:link w:val="CommentText"/>
    <w:rsid w:val="007A7EC6"/>
    <w:rPr>
      <w:rFonts w:eastAsia="Times New Roman"/>
      <w:lang w:val="en-US" w:eastAsia="en-US"/>
    </w:rPr>
  </w:style>
  <w:style w:type="paragraph" w:styleId="CommentSubject">
    <w:name w:val="annotation subject"/>
    <w:basedOn w:val="CommentText"/>
    <w:next w:val="CommentText"/>
    <w:link w:val="CommentSubjectChar"/>
    <w:rsid w:val="007A7EC6"/>
    <w:rPr>
      <w:b/>
      <w:bCs/>
      <w:lang w:val="x-none" w:eastAsia="x-none"/>
    </w:rPr>
  </w:style>
  <w:style w:type="character" w:customStyle="1" w:styleId="CommentSubjectChar">
    <w:name w:val="Comment Subject Char"/>
    <w:basedOn w:val="CommentTextChar"/>
    <w:link w:val="CommentSubject"/>
    <w:rsid w:val="007A7EC6"/>
    <w:rPr>
      <w:rFonts w:eastAsia="Times New Roman"/>
      <w:b/>
      <w:bCs/>
      <w:lang w:val="x-none" w:eastAsia="x-none"/>
    </w:rPr>
  </w:style>
  <w:style w:type="paragraph" w:styleId="Revision">
    <w:name w:val="Revision"/>
    <w:hidden/>
    <w:uiPriority w:val="99"/>
    <w:semiHidden/>
    <w:rsid w:val="007A7EC6"/>
    <w:rPr>
      <w:rFonts w:eastAsia="Times New Roman"/>
      <w:sz w:val="24"/>
      <w:szCs w:val="24"/>
      <w:lang w:val="en-US" w:eastAsia="en-US"/>
    </w:rPr>
  </w:style>
  <w:style w:type="table" w:customStyle="1" w:styleId="TableGrid0">
    <w:name w:val="TableGrid"/>
    <w:rsid w:val="007A7EC6"/>
    <w:rPr>
      <w:rFonts w:ascii="Calibri" w:eastAsia="Times New Roman" w:hAnsi="Calibri"/>
      <w:sz w:val="22"/>
      <w:szCs w:val="22"/>
      <w:lang w:val="en-US" w:eastAsia="en-US"/>
    </w:rPr>
    <w:tblPr>
      <w:tblCellMar>
        <w:top w:w="0" w:type="dxa"/>
        <w:left w:w="0" w:type="dxa"/>
        <w:bottom w:w="0" w:type="dxa"/>
        <w:right w:w="0" w:type="dxa"/>
      </w:tblCellMar>
    </w:tblPr>
  </w:style>
  <w:style w:type="character" w:customStyle="1" w:styleId="st">
    <w:name w:val="st"/>
    <w:rsid w:val="007A7EC6"/>
  </w:style>
  <w:style w:type="character" w:customStyle="1" w:styleId="FootnoteTextChar">
    <w:name w:val="Footnote Text Char"/>
    <w:link w:val="FootnoteText"/>
    <w:uiPriority w:val="99"/>
    <w:semiHidden/>
    <w:rsid w:val="007A7EC6"/>
    <w:rPr>
      <w:rFonts w:ascii="Arial" w:eastAsia="Times New Roman" w:hAnsi="Arial"/>
      <w:snapToGrid w:val="0"/>
      <w:lang w:eastAsia="en-US"/>
    </w:rPr>
  </w:style>
  <w:style w:type="paragraph" w:customStyle="1" w:styleId="TableParagraph">
    <w:name w:val="Table Paragraph"/>
    <w:basedOn w:val="Normal"/>
    <w:uiPriority w:val="1"/>
    <w:qFormat/>
    <w:rsid w:val="007A7EC6"/>
    <w:pPr>
      <w:widowControl w:val="0"/>
      <w:tabs>
        <w:tab w:val="clear" w:pos="567"/>
      </w:tabs>
      <w:autoSpaceDE w:val="0"/>
      <w:autoSpaceDN w:val="0"/>
      <w:snapToGrid/>
      <w:ind w:left="107"/>
    </w:pPr>
    <w:rPr>
      <w:rFonts w:eastAsia="Arial" w:cs="Arial"/>
      <w:snapToGrid/>
      <w:szCs w:val="22"/>
      <w:lang w:val="en-US" w:eastAsia="en-US" w:bidi="en-US"/>
    </w:rPr>
  </w:style>
  <w:style w:type="table" w:styleId="TableClassic1">
    <w:name w:val="Table Classic 1"/>
    <w:basedOn w:val="TableNormal"/>
    <w:rsid w:val="007A7EC6"/>
    <w:rPr>
      <w:rFonts w:eastAsia="Times New Roman"/>
      <w:lang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7A7EC6"/>
    <w:rPr>
      <w:rFonts w:eastAsia="Times New Roman"/>
      <w:lang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A7EC6"/>
    <w:rPr>
      <w:rFonts w:eastAsia="Times New Roman"/>
      <w:lang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A7EC6"/>
    <w:rPr>
      <w:rFonts w:eastAsia="Times New Roman"/>
      <w:lang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rsid w:val="007A7EC6"/>
    <w:rPr>
      <w:rFonts w:eastAsia="Times New Roman"/>
      <w:lang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xmsonormal">
    <w:name w:val="x_msonormal"/>
    <w:basedOn w:val="Normal"/>
    <w:uiPriority w:val="99"/>
    <w:rsid w:val="007A7EC6"/>
    <w:pPr>
      <w:tabs>
        <w:tab w:val="clear" w:pos="567"/>
      </w:tabs>
      <w:snapToGrid/>
    </w:pPr>
    <w:rPr>
      <w:rFonts w:ascii="Calibri" w:eastAsia="Calibri" w:hAnsi="Calibri"/>
      <w:snapToGrid/>
      <w:szCs w:val="22"/>
      <w:lang w:eastAsia="fr-FR"/>
    </w:rPr>
  </w:style>
  <w:style w:type="paragraph" w:styleId="EndnoteText">
    <w:name w:val="endnote text"/>
    <w:basedOn w:val="Normal"/>
    <w:link w:val="EndnoteTextChar"/>
    <w:rsid w:val="007A7EC6"/>
    <w:pPr>
      <w:tabs>
        <w:tab w:val="clear" w:pos="567"/>
      </w:tabs>
      <w:snapToGrid/>
    </w:pPr>
    <w:rPr>
      <w:rFonts w:ascii="Times New Roman" w:eastAsia="Times New Roman" w:hAnsi="Times New Roman"/>
      <w:snapToGrid/>
      <w:sz w:val="20"/>
      <w:szCs w:val="20"/>
      <w:lang w:val="en-US" w:eastAsia="en-US"/>
    </w:rPr>
  </w:style>
  <w:style w:type="character" w:customStyle="1" w:styleId="EndnoteTextChar">
    <w:name w:val="Endnote Text Char"/>
    <w:basedOn w:val="DefaultParagraphFont"/>
    <w:link w:val="EndnoteText"/>
    <w:rsid w:val="007A7EC6"/>
    <w:rPr>
      <w:rFonts w:eastAsia="Times New Roman"/>
      <w:lang w:val="en-US" w:eastAsia="en-US"/>
    </w:rPr>
  </w:style>
  <w:style w:type="character" w:styleId="EndnoteReference">
    <w:name w:val="endnote reference"/>
    <w:rsid w:val="007A7EC6"/>
    <w:rPr>
      <w:vertAlign w:val="superscript"/>
    </w:rPr>
  </w:style>
  <w:style w:type="character" w:customStyle="1" w:styleId="HeaderChar">
    <w:name w:val="Header Char"/>
    <w:basedOn w:val="DefaultParagraphFont"/>
    <w:link w:val="Header"/>
    <w:uiPriority w:val="99"/>
    <w:locked/>
    <w:rsid w:val="003F3C42"/>
    <w:rPr>
      <w:rFonts w:ascii="Arial" w:eastAsia="Times New Roman" w:hAnsi="Arial"/>
      <w:snapToGrid w:val="0"/>
      <w:sz w:val="22"/>
      <w:szCs w:val="24"/>
      <w:lang w:eastAsia="en-US"/>
    </w:rPr>
  </w:style>
  <w:style w:type="table" w:customStyle="1" w:styleId="Grilledutableau1">
    <w:name w:val="Grille du tableau1"/>
    <w:basedOn w:val="TableNormal"/>
    <w:next w:val="TableGrid"/>
    <w:rsid w:val="00562336"/>
    <w:rPr>
      <w:rFonts w:eastAsia="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62336"/>
    <w:rPr>
      <w:color w:val="605E5C"/>
      <w:shd w:val="clear" w:color="auto" w:fill="E1DFDD"/>
    </w:rPr>
  </w:style>
  <w:style w:type="character" w:customStyle="1" w:styleId="ListParagraphChar">
    <w:name w:val="List Paragraph Char"/>
    <w:aliases w:val="List Paragraph (numbered (a)) Char,Lapis Bulleted List Char,Dot pt Char,F5 List Paragraph Char,No Spacing1 Char,List Paragraph Char Char Char Char,Indicator Text Char,Numbered Para 1 Char,Bullet 1 Char,List Paragraph12 Char"/>
    <w:link w:val="ListParagraph"/>
    <w:uiPriority w:val="34"/>
    <w:locked/>
    <w:rsid w:val="00E34310"/>
    <w:rPr>
      <w:rFonts w:ascii="Calibri" w:hAnsi="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nfccc.int/topics/global-stocktake/about-the-global-stocktake/frequently-asked-questions-about-the-global-stocktake" TargetMode="External"/><Relationship Id="rId18" Type="http://schemas.openxmlformats.org/officeDocument/2006/relationships/hyperlink" Target="https://unesdoc.unesco.org/ark:/48223/pf0000387393" TargetMode="External"/><Relationship Id="rId26" Type="http://schemas.openxmlformats.org/officeDocument/2006/relationships/hyperlink" Target="https://unesdoc.unesco.org/ark:/48223/pf0000393000_fre.page=47" TargetMode="External"/><Relationship Id="rId21" Type="http://schemas.openxmlformats.org/officeDocument/2006/relationships/hyperlink" Target="https://oceandecade.org/fr/vision-2030/"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unesdoc.unesco.org/ark:/48223/pf0000390054.locale=en" TargetMode="External"/><Relationship Id="rId17" Type="http://schemas.openxmlformats.org/officeDocument/2006/relationships/hyperlink" Target="https://unesdoc.unesco.org/ark:/48223/pf0000388765" TargetMode="External"/><Relationship Id="rId25" Type="http://schemas.openxmlformats.org/officeDocument/2006/relationships/hyperlink" Target="https://unesdoc.unesco.org/ark:/48223/pf0000392997_fre.page=47"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58337/CBXU3518" TargetMode="External"/><Relationship Id="rId20" Type="http://schemas.openxmlformats.org/officeDocument/2006/relationships/hyperlink" Target="https://unesdoc.unesco.org/ark:/48223/pf0000381488_fre" TargetMode="External"/><Relationship Id="rId29"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ceanexpert.org/document/13388" TargetMode="External"/><Relationship Id="rId24" Type="http://schemas.openxmlformats.org/officeDocument/2006/relationships/hyperlink" Target="https://unesdoc.unesco.org/ark:/48223/pf0000266169" TargetMode="External"/><Relationship Id="rId32" Type="http://schemas.openxmlformats.org/officeDocument/2006/relationships/image" Target="media/image6.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ashboard.ednaexpeditions.org/" TargetMode="External"/><Relationship Id="rId23" Type="http://schemas.openxmlformats.org/officeDocument/2006/relationships/hyperlink" Target="https://unesdoc.unesco.org/ark:/48223/pf0000390297_fre" TargetMode="External"/><Relationship Id="rId28" Type="http://schemas.openxmlformats.org/officeDocument/2006/relationships/image" Target="media/image2.jpg"/><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https://unesdoc.unesco.org/ark:/48223/pf0000390082" TargetMode="External"/><Relationship Id="rId31"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https://oceanexpert.org/document/1730" TargetMode="External"/><Relationship Id="rId14" Type="http://schemas.openxmlformats.org/officeDocument/2006/relationships/hyperlink" Target="https://oceanexpert.org/document/34454" TargetMode="External"/><Relationship Id="rId22" Type="http://schemas.openxmlformats.org/officeDocument/2006/relationships/hyperlink" Target="https://www.mspglobal2030.org/fr/" TargetMode="External"/><Relationship Id="rId27" Type="http://schemas.openxmlformats.org/officeDocument/2006/relationships/image" Target="media/image1.jpg"/><Relationship Id="rId30" Type="http://schemas.openxmlformats.org/officeDocument/2006/relationships/image" Target="media/image4.jpg"/><Relationship Id="rId35" Type="http://schemas.openxmlformats.org/officeDocument/2006/relationships/header" Target="header3.xml"/><Relationship Id="rId8" Type="http://schemas.openxmlformats.org/officeDocument/2006/relationships/hyperlink" Target="https://oceanexpert.org/document/34200"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Budget ordinaire (hors personnel) - investissements ciblés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charts!$P$5</c:f>
              <c:strCache>
                <c:ptCount val="1"/>
                <c:pt idx="0">
                  <c:v>41 C/5</c:v>
                </c:pt>
              </c:strCache>
            </c:strRef>
          </c:tx>
          <c:spPr>
            <a:solidFill>
              <a:schemeClr val="tx2">
                <a:lumMod val="20000"/>
                <a:lumOff val="80000"/>
              </a:schemeClr>
            </a:solidFill>
            <a:ln>
              <a:noFill/>
            </a:ln>
            <a:effectLst/>
          </c:spPr>
          <c:invertIfNegative val="0"/>
          <c:cat>
            <c:strRef>
              <c:f>charts!$O$6:$O$12</c:f>
              <c:strCache>
                <c:ptCount val="7"/>
                <c:pt idx="0">
                  <c:v>IODE</c:v>
                </c:pt>
                <c:pt idx="1">
                  <c:v>GOOS</c:v>
                </c:pt>
                <c:pt idx="2">
                  <c:v>CD coordination</c:v>
                </c:pt>
                <c:pt idx="3">
                  <c:v>IOCAFRICA</c:v>
                </c:pt>
                <c:pt idx="4">
                  <c:v>IOCARIBE</c:v>
                </c:pt>
                <c:pt idx="5">
                  <c:v>IOC WESTPAC</c:v>
                </c:pt>
                <c:pt idx="6">
                  <c:v>IOCINDIO</c:v>
                </c:pt>
              </c:strCache>
            </c:strRef>
          </c:cat>
          <c:val>
            <c:numRef>
              <c:f>charts!$P$6:$P$12</c:f>
              <c:numCache>
                <c:formatCode>#,##0</c:formatCode>
                <c:ptCount val="7"/>
                <c:pt idx="0">
                  <c:v>154950</c:v>
                </c:pt>
                <c:pt idx="1">
                  <c:v>348255</c:v>
                </c:pt>
                <c:pt idx="2">
                  <c:v>49963</c:v>
                </c:pt>
                <c:pt idx="3">
                  <c:v>138000</c:v>
                </c:pt>
                <c:pt idx="4">
                  <c:v>77540</c:v>
                </c:pt>
                <c:pt idx="5">
                  <c:v>77540</c:v>
                </c:pt>
                <c:pt idx="6">
                  <c:v>40000</c:v>
                </c:pt>
              </c:numCache>
            </c:numRef>
          </c:val>
          <c:extLst>
            <c:ext xmlns:c16="http://schemas.microsoft.com/office/drawing/2014/chart" uri="{C3380CC4-5D6E-409C-BE32-E72D297353CC}">
              <c16:uniqueId val="{00000000-C2EB-457D-8D6C-E3FB1B0C1CB6}"/>
            </c:ext>
          </c:extLst>
        </c:ser>
        <c:ser>
          <c:idx val="1"/>
          <c:order val="1"/>
          <c:tx>
            <c:strRef>
              <c:f>charts!$Q$5</c:f>
              <c:strCache>
                <c:ptCount val="1"/>
                <c:pt idx="0">
                  <c:v>42 C/5 Approved</c:v>
                </c:pt>
              </c:strCache>
            </c:strRef>
          </c:tx>
          <c:spPr>
            <a:solidFill>
              <a:schemeClr val="tx2">
                <a:lumMod val="60000"/>
                <a:lumOff val="40000"/>
              </a:schemeClr>
            </a:solidFill>
            <a:ln>
              <a:noFill/>
            </a:ln>
            <a:effectLst/>
          </c:spPr>
          <c:invertIfNegative val="0"/>
          <c:cat>
            <c:strRef>
              <c:f>charts!$O$6:$O$12</c:f>
              <c:strCache>
                <c:ptCount val="7"/>
                <c:pt idx="0">
                  <c:v>IODE</c:v>
                </c:pt>
                <c:pt idx="1">
                  <c:v>GOOS</c:v>
                </c:pt>
                <c:pt idx="2">
                  <c:v>CD coordination</c:v>
                </c:pt>
                <c:pt idx="3">
                  <c:v>IOCAFRICA</c:v>
                </c:pt>
                <c:pt idx="4">
                  <c:v>IOCARIBE</c:v>
                </c:pt>
                <c:pt idx="5">
                  <c:v>IOC WESTPAC</c:v>
                </c:pt>
                <c:pt idx="6">
                  <c:v>IOCINDIO</c:v>
                </c:pt>
              </c:strCache>
            </c:strRef>
          </c:cat>
          <c:val>
            <c:numRef>
              <c:f>charts!$Q$6:$Q$12</c:f>
              <c:numCache>
                <c:formatCode>#,##0</c:formatCode>
                <c:ptCount val="7"/>
                <c:pt idx="0">
                  <c:v>1297081</c:v>
                </c:pt>
                <c:pt idx="1">
                  <c:v>1660392</c:v>
                </c:pt>
                <c:pt idx="2">
                  <c:v>410553</c:v>
                </c:pt>
                <c:pt idx="3">
                  <c:v>937309</c:v>
                </c:pt>
                <c:pt idx="4">
                  <c:v>450930</c:v>
                </c:pt>
                <c:pt idx="5">
                  <c:v>450933</c:v>
                </c:pt>
                <c:pt idx="6">
                  <c:v>347904</c:v>
                </c:pt>
              </c:numCache>
            </c:numRef>
          </c:val>
          <c:extLst>
            <c:ext xmlns:c16="http://schemas.microsoft.com/office/drawing/2014/chart" uri="{C3380CC4-5D6E-409C-BE32-E72D297353CC}">
              <c16:uniqueId val="{00000001-C2EB-457D-8D6C-E3FB1B0C1CB6}"/>
            </c:ext>
          </c:extLst>
        </c:ser>
        <c:dLbls>
          <c:showLegendKey val="0"/>
          <c:showVal val="0"/>
          <c:showCatName val="0"/>
          <c:showSerName val="0"/>
          <c:showPercent val="0"/>
          <c:showBubbleSize val="0"/>
        </c:dLbls>
        <c:gapWidth val="219"/>
        <c:overlap val="-27"/>
        <c:axId val="2132753280"/>
        <c:axId val="2132759400"/>
      </c:barChart>
      <c:catAx>
        <c:axId val="213275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2759400"/>
        <c:crosses val="autoZero"/>
        <c:auto val="0"/>
        <c:lblAlgn val="ctr"/>
        <c:lblOffset val="100"/>
        <c:noMultiLvlLbl val="0"/>
      </c:catAx>
      <c:valAx>
        <c:axId val="2132759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275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AC6B6-F858-B449-9934-481B97674BFF}">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16</Pages>
  <Words>5882</Words>
  <Characters>32918</Characters>
  <Application>Microsoft Office Word</Application>
  <DocSecurity>0</DocSecurity>
  <Lines>274</Lines>
  <Paragraphs>77</Paragraphs>
  <ScaleCrop>false</ScaleCrop>
  <HeadingPairs>
    <vt:vector size="6" baseType="variant">
      <vt:variant>
        <vt:lpstr>Titre</vt:lpstr>
      </vt:variant>
      <vt:variant>
        <vt:i4>1</vt:i4>
      </vt:variant>
      <vt:variant>
        <vt:lpstr>Titres</vt:lpstr>
      </vt:variant>
      <vt:variant>
        <vt:i4>4</vt:i4>
      </vt:variant>
      <vt:variant>
        <vt:lpstr>Title</vt:lpstr>
      </vt:variant>
      <vt:variant>
        <vt:i4>1</vt:i4>
      </vt:variant>
    </vt:vector>
  </HeadingPairs>
  <TitlesOfParts>
    <vt:vector size="6" baseType="lpstr">
      <vt:lpstr>Commission océanographique intergouvernementale (de l’UNESCO) – Cinquante-septième session du Conseil exécutif – UNESCO, Paris, 25-28 juin 2024 – Point 3.1 de l'ordre du jour provisoire – Rapport du Secrétaire exécutif sur le travail accompli depuis la 32</vt:lpstr>
      <vt:lpstr/>
      <vt:lpstr>COMMISSION OCÉANOGRAPHIQUE INTERGOUVERNEMENTALE</vt:lpstr>
      <vt:lpstr>RAPPORT DU SECRÉTAIRE EXÉCUTIF SUR LE TRAVAIL ACCOMPLI  DEPUIS LA 32e SESSION DE</vt:lpstr>
      <vt:lpstr>    Rapport d’étape 2024 (présenté au Conseil exécutif de l’UNESCO à sa 221e session</vt:lpstr>
      <vt:lpstr>Commission océanographique intergouvernementale (de l’UNESCO) – Cinquante-septième session du Conseil exécutif – UNESCO, Paris, 25-28 juin 2024 – Point 3.1 de l'ordre du jour provisoire – Rapport du Secrétaire exécutif sur le travail accompli depuis la 32</vt:lpstr>
    </vt:vector>
  </TitlesOfParts>
  <Company>Unesco</Company>
  <LinksUpToDate>false</LinksUpToDate>
  <CharactersWithSpaces>38723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Commission océanographique intergouvernementale (de l’UNESCO) – Trente-troisième session de l'Assemblée– UNESCO, Paris, 25 juin - 3 juillet 2025 – Rapport du Secrétaire exécutif sur le travail accompli _x000d_
depuis la 32e session de l’Assemblée (juin 2023 – mai 2025)</dc:title>
  <dc:subject>IOC/A-33/3.2.Doc(1)</dc:subject>
  <dc:creator>as.machu@unesco.org</dc:creator>
  <cp:keywords>18.12F</cp:keywords>
  <dc:description/>
  <cp:lastModifiedBy>Boned, Patrice</cp:lastModifiedBy>
  <cp:revision>2</cp:revision>
  <cp:lastPrinted>2012-08-02T14:52:00Z</cp:lastPrinted>
  <dcterms:created xsi:type="dcterms:W3CDTF">2025-06-16T18:31:00Z</dcterms:created>
  <dcterms:modified xsi:type="dcterms:W3CDTF">2025-06-16T18:31:00Z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F</vt:lpwstr>
  </property>
  <property fmtid="{D5CDD505-2E9C-101B-9397-08002B2CF9AE}" pid="3" name="JobDCPMS">
    <vt:lpwstr>202402761</vt:lpwstr>
  </property>
  <property fmtid="{D5CDD505-2E9C-101B-9397-08002B2CF9AE}" pid="4" name="JobNumber">
    <vt:lpwstr>2500306F</vt:lpwstr>
  </property>
  <property fmtid="{D5CDD505-2E9C-101B-9397-08002B2CF9AE}" pid="5" name="ForceJobNumber">
    <vt:bool>false</vt:bool>
  </property>
</Properties>
</file>