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4395C" w14:textId="64AB77F4" w:rsidR="00AA5F8E" w:rsidRPr="00C368BE" w:rsidRDefault="00502140" w:rsidP="00B96458">
      <w:pPr>
        <w:pStyle w:val="BodyTextIndent3"/>
        <w:ind w:left="0" w:right="-261" w:firstLine="3600"/>
        <w:jc w:val="both"/>
        <w:rPr>
          <w:rFonts w:ascii="Arial" w:hAnsi="Arial" w:cs="Arial"/>
          <w:b/>
          <w:szCs w:val="22"/>
        </w:rPr>
      </w:pPr>
      <w:r>
        <w:rPr>
          <w:b/>
          <w:bCs/>
          <w:lang w:val="ru"/>
        </w:rPr>
        <w:tab/>
      </w:r>
    </w:p>
    <w:p w14:paraId="3B296FB7" w14:textId="77777777" w:rsidR="008D23A7" w:rsidRPr="005A5CC6" w:rsidRDefault="008D23A7" w:rsidP="00E4633C">
      <w:pPr>
        <w:pStyle w:val="Footer"/>
        <w:tabs>
          <w:tab w:val="clear" w:pos="4153"/>
          <w:tab w:val="clear" w:pos="8306"/>
        </w:tabs>
        <w:jc w:val="center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b/>
          <w:bCs/>
          <w:sz w:val="22"/>
          <w:szCs w:val="22"/>
          <w:lang w:val="ru"/>
        </w:rPr>
        <w:t>МЕЖПРАВИТЕЛЬСТВЕННАЯ ОКЕАНОГРАФИЧЕСКАЯ КОМИССИЯ</w:t>
      </w:r>
    </w:p>
    <w:p w14:paraId="3FAF8B88" w14:textId="0702F2A0" w:rsidR="008D23A7" w:rsidRPr="005A5CC6" w:rsidRDefault="008D23A7" w:rsidP="00E4633C">
      <w:pPr>
        <w:pStyle w:val="Footer"/>
        <w:tabs>
          <w:tab w:val="clear" w:pos="4153"/>
          <w:tab w:val="clear" w:pos="8306"/>
        </w:tabs>
        <w:jc w:val="center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ru"/>
        </w:rPr>
        <w:t>(ЮНЕСКО)</w:t>
      </w:r>
    </w:p>
    <w:p w14:paraId="4C88C842" w14:textId="77777777" w:rsidR="008D23A7" w:rsidRPr="005A5CC6" w:rsidRDefault="008D23A7" w:rsidP="00E4633C">
      <w:pPr>
        <w:pStyle w:val="Footer"/>
        <w:tabs>
          <w:tab w:val="clear" w:pos="4153"/>
          <w:tab w:val="clear" w:pos="8306"/>
          <w:tab w:val="left" w:pos="5245"/>
        </w:tabs>
        <w:jc w:val="center"/>
        <w:rPr>
          <w:rFonts w:ascii="Arial" w:hAnsi="Arial" w:cs="Arial"/>
          <w:sz w:val="22"/>
          <w:szCs w:val="22"/>
          <w:lang w:val="fr-FR"/>
        </w:rPr>
      </w:pPr>
    </w:p>
    <w:p w14:paraId="36775C60" w14:textId="77777777" w:rsidR="003B7C02" w:rsidRPr="005A5CC6" w:rsidRDefault="003B7C02" w:rsidP="00E4633C">
      <w:pPr>
        <w:pStyle w:val="Footer"/>
        <w:tabs>
          <w:tab w:val="clear" w:pos="4153"/>
          <w:tab w:val="clear" w:pos="8306"/>
          <w:tab w:val="left" w:pos="5245"/>
        </w:tabs>
        <w:jc w:val="center"/>
        <w:rPr>
          <w:rFonts w:ascii="Arial" w:hAnsi="Arial" w:cs="Arial"/>
          <w:sz w:val="22"/>
          <w:szCs w:val="22"/>
          <w:lang w:val="fr-FR"/>
        </w:rPr>
      </w:pPr>
    </w:p>
    <w:p w14:paraId="1C1FA4E5" w14:textId="7DF10EAB" w:rsidR="008D23A7" w:rsidRPr="005A5CC6" w:rsidRDefault="00A452B6" w:rsidP="00E4633C">
      <w:pPr>
        <w:pStyle w:val="Footer"/>
        <w:jc w:val="center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bCs/>
          <w:sz w:val="22"/>
          <w:szCs w:val="22"/>
          <w:lang w:val="ru"/>
        </w:rPr>
        <w:t xml:space="preserve">ТРИДЦАТЬ ПЕРВАЯ СЕССИЯ МЕЖПРАВИТЕЛЬСТВЕННОЙ КООРДИНАЦИОННОЙ ГРУППЫ </w:t>
      </w:r>
      <w:r>
        <w:rPr>
          <w:rFonts w:ascii="Arial" w:hAnsi="Arial" w:cs="Arial"/>
          <w:sz w:val="22"/>
          <w:szCs w:val="22"/>
          <w:lang w:val="ru"/>
        </w:rPr>
        <w:br/>
      </w:r>
      <w:r>
        <w:rPr>
          <w:rFonts w:ascii="Arial" w:hAnsi="Arial" w:cs="Arial"/>
          <w:b/>
          <w:bCs/>
          <w:sz w:val="22"/>
          <w:szCs w:val="22"/>
          <w:lang w:val="ru"/>
        </w:rPr>
        <w:t xml:space="preserve">ПО СИСТЕМЕ ПРЕДУПРЕЖДЕНИЯ О ЦУНАМИ И СМЯГЧЕНИЯ ИХ ПОСЛЕДСТВИЙ В ТИХОМ ОКЕАНЕ </w:t>
      </w:r>
    </w:p>
    <w:p w14:paraId="7789CE7B" w14:textId="77777777" w:rsidR="0099215A" w:rsidRPr="005A5CC6" w:rsidRDefault="0099215A" w:rsidP="0099215A">
      <w:pPr>
        <w:pStyle w:val="Footer"/>
        <w:rPr>
          <w:rFonts w:ascii="Arial" w:hAnsi="Arial" w:cs="Arial"/>
          <w:bCs/>
          <w:sz w:val="22"/>
          <w:szCs w:val="22"/>
          <w:lang w:val="fr-FR"/>
        </w:rPr>
      </w:pPr>
    </w:p>
    <w:p w14:paraId="1BC8C84D" w14:textId="43BADC53" w:rsidR="0099215A" w:rsidRPr="00BD5840" w:rsidRDefault="00873F2D" w:rsidP="0099215A">
      <w:pPr>
        <w:pStyle w:val="Footer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ru"/>
        </w:rPr>
        <w:t>7–11 апреля 2025 г., Пекин (Китай)</w:t>
      </w:r>
    </w:p>
    <w:p w14:paraId="6039974D" w14:textId="77777777" w:rsidR="003D36F0" w:rsidRPr="00BD5840" w:rsidRDefault="003D36F0" w:rsidP="0099215A">
      <w:pPr>
        <w:pStyle w:val="Footer"/>
        <w:rPr>
          <w:rFonts w:ascii="Arial" w:hAnsi="Arial" w:cs="Arial"/>
          <w:bCs/>
          <w:sz w:val="22"/>
          <w:szCs w:val="22"/>
        </w:rPr>
      </w:pPr>
    </w:p>
    <w:p w14:paraId="4D01FC82" w14:textId="77777777" w:rsidR="003D36F0" w:rsidRPr="00BD5840" w:rsidRDefault="003D36F0" w:rsidP="00E4633C">
      <w:pPr>
        <w:pStyle w:val="Footer"/>
        <w:jc w:val="center"/>
        <w:rPr>
          <w:rFonts w:ascii="Arial" w:hAnsi="Arial" w:cs="Arial"/>
          <w:bCs/>
          <w:sz w:val="22"/>
          <w:szCs w:val="22"/>
        </w:rPr>
      </w:pPr>
    </w:p>
    <w:p w14:paraId="2C94442B" w14:textId="77777777" w:rsidR="00EA249B" w:rsidRPr="00BD5840" w:rsidRDefault="00EA249B" w:rsidP="00E4633C">
      <w:pPr>
        <w:pStyle w:val="Footer"/>
        <w:jc w:val="center"/>
        <w:rPr>
          <w:rFonts w:ascii="Arial" w:hAnsi="Arial" w:cs="Arial"/>
          <w:bCs/>
          <w:sz w:val="22"/>
          <w:szCs w:val="22"/>
        </w:rPr>
      </w:pPr>
    </w:p>
    <w:p w14:paraId="5D943631" w14:textId="3935C7C8" w:rsidR="003B7C02" w:rsidRPr="00BD5840" w:rsidRDefault="004D79DE" w:rsidP="00667EEC">
      <w:pPr>
        <w:pStyle w:val="Footer"/>
        <w:tabs>
          <w:tab w:val="clear" w:pos="4153"/>
          <w:tab w:val="clear" w:pos="8306"/>
        </w:tabs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noProof/>
          <w:lang w:val="ru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136F3AC" wp14:editId="0CD096CC">
                <wp:simplePos x="0" y="0"/>
                <wp:positionH relativeFrom="column">
                  <wp:posOffset>581660</wp:posOffset>
                </wp:positionH>
                <wp:positionV relativeFrom="paragraph">
                  <wp:posOffset>46355</wp:posOffset>
                </wp:positionV>
                <wp:extent cx="4986655" cy="2241550"/>
                <wp:effectExtent l="0" t="0" r="4445" b="698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6655" cy="224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DABC4" w14:textId="77777777" w:rsidR="00780A7E" w:rsidRPr="00B96458" w:rsidRDefault="00780A7E" w:rsidP="00B96458">
                            <w:pPr>
                              <w:pStyle w:val="Footer"/>
                              <w:tabs>
                                <w:tab w:val="clear" w:pos="4153"/>
                                <w:tab w:val="clear" w:pos="8306"/>
                              </w:tabs>
                              <w:spacing w:after="2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ru"/>
                              </w:rPr>
                              <w:t>РАБОЧЕЕ РЕЗЮМЕ</w:t>
                            </w:r>
                          </w:p>
                          <w:p w14:paraId="49B59CEC" w14:textId="6E9A60D8" w:rsidR="003D36F0" w:rsidRPr="005A5CC6" w:rsidRDefault="00780A7E" w:rsidP="0099215A">
                            <w:pPr>
                              <w:pStyle w:val="BodyText"/>
                              <w:spacing w:after="200" w:line="239" w:lineRule="auto"/>
                              <w:ind w:left="142" w:right="47"/>
                              <w:jc w:val="both"/>
                              <w:rPr>
                                <w:rFonts w:ascii="Arial" w:hAnsi="Arial" w:cs="Arial"/>
                                <w:lang w:val="ru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ru"/>
                              </w:rPr>
                              <w:t xml:space="preserve">В соответствии со статьей 48.3 Правил процедуры для основных вспомогательных органов Комиссии Межправительственная координационная группа по системе предупреждения о цунами и смягчения их последствий в Тихом океане должна представлять руководящему органу доклады о своих сессиях. Документация и информация для сессии доступны </w:t>
                            </w:r>
                            <w:hyperlink r:id="rId11" w:anchor="overview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lang w:val="ru"/>
                                </w:rPr>
                                <w:t>онлайн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lang w:val="ru"/>
                              </w:rPr>
                              <w:t>.</w:t>
                            </w:r>
                          </w:p>
                          <w:p w14:paraId="31570546" w14:textId="4B28FCDF" w:rsidR="003D36F0" w:rsidRPr="005A5CC6" w:rsidRDefault="003D36F0" w:rsidP="00780A7E">
                            <w:pPr>
                              <w:pStyle w:val="BodyText"/>
                              <w:spacing w:after="200" w:line="239" w:lineRule="auto"/>
                              <w:ind w:left="142" w:right="47"/>
                              <w:jc w:val="both"/>
                              <w:rPr>
                                <w:rFonts w:ascii="Arial" w:hAnsi="Arial" w:cs="Arial"/>
                                <w:lang w:val="ru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lang w:val="ru"/>
                              </w:rPr>
                              <w:t>33-й сессии Ассамблеи МОК будет предложено рассмотреть настоящее рабочее резюме и содержащиеся в нем рекомендации.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36F3A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.8pt;margin-top:3.65pt;width:392.65pt;height:176.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">
                <v:textbox style="mso-fit-shape-to-text:t">
                  <w:txbxContent>
                    <w:p w14:paraId="1E9DABC4" w14:textId="77777777" w:rsidR="00780A7E" w:rsidRPr="00B96458" w:rsidRDefault="00780A7E" w:rsidP="00B96458">
                      <w:pPr>
                        <w:pStyle w:val="Footer"/>
                        <w:tabs>
                          <w:tab w:val="clear" w:pos="4153"/>
                          <w:tab w:val="clear" w:pos="8306"/>
                        </w:tabs>
                        <w:spacing w:after="240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ru"/>
                        </w:rPr>
                        <w:t>РАБОЧЕЕ РЕЗЮМЕ</w:t>
                      </w:r>
                    </w:p>
                    <w:p w14:paraId="49B59CEC" w14:textId="6E9A60D8" w:rsidR="003D36F0" w:rsidRPr="005A5CC6" w:rsidRDefault="00780A7E" w:rsidP="0099215A">
                      <w:pPr>
                        <w:pStyle w:val="BodyText"/>
                        <w:spacing w:after="200" w:line="239" w:lineRule="auto"/>
                        <w:ind w:left="142" w:right="47"/>
                        <w:jc w:val="both"/>
                        <w:rPr>
                          <w:rFonts w:ascii="Arial" w:hAnsi="Arial" w:cs="Arial"/>
                          <w:lang w:val="ru"/>
                        </w:rPr>
                      </w:pPr>
                      <w:r>
                        <w:rPr>
                          <w:rFonts w:ascii="Arial" w:hAnsi="Arial" w:cs="Arial"/>
                          <w:lang w:val="ru"/>
                        </w:rPr>
                        <w:t xml:space="preserve">В соответствии со статьей 48.3 Правил процедуры для основных вспомогательных органов Комиссии Межправительственная координационная группа по системе предупреждения о цунами и смягчения их последствий в Тихом океане должна представлять руководящему органу доклады о своих сессиях. Документация и информация для сессии доступны </w:t>
                      </w:r>
                      <w:hyperlink r:id="rId12" w:anchor="overview" w:history="1">
                        <w:r>
                          <w:rPr>
                            <w:rStyle w:val="Hyperlink"/>
                            <w:rFonts w:ascii="Arial" w:hAnsi="Arial" w:cs="Arial"/>
                            <w:lang w:val="ru"/>
                          </w:rPr>
                          <w:t>онлайн</w:t>
                        </w:r>
                      </w:hyperlink>
                      <w:r>
                        <w:rPr>
                          <w:rFonts w:ascii="Arial" w:hAnsi="Arial" w:cs="Arial"/>
                          <w:lang w:val="ru"/>
                        </w:rPr>
                        <w:t>.</w:t>
                      </w:r>
                    </w:p>
                    <w:p w14:paraId="31570546" w14:textId="4B28FCDF" w:rsidR="003D36F0" w:rsidRPr="005A5CC6" w:rsidRDefault="003D36F0" w:rsidP="00780A7E">
                      <w:pPr>
                        <w:pStyle w:val="BodyText"/>
                        <w:spacing w:after="200" w:line="239" w:lineRule="auto"/>
                        <w:ind w:left="142" w:right="47"/>
                        <w:jc w:val="both"/>
                        <w:rPr>
                          <w:rFonts w:ascii="Arial" w:hAnsi="Arial" w:cs="Arial"/>
                          <w:lang w:val="ru"/>
                        </w:rPr>
                      </w:pPr>
                      <w:r>
                        <w:rPr>
                          <w:rFonts w:asciiTheme="minorBidi" w:hAnsiTheme="minorBidi"/>
                          <w:lang w:val="ru"/>
                        </w:rPr>
                        <w:t>33-й сессии Ассамблеи МОК будет предложено рассмотреть настоящее рабочее резюме и содержащиеся в нем рекомендации.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EFEA3E" w14:textId="77777777" w:rsidR="003B7C02" w:rsidRPr="00BD5840" w:rsidRDefault="003B7C02" w:rsidP="00667EEC">
      <w:pPr>
        <w:pStyle w:val="Footer"/>
        <w:tabs>
          <w:tab w:val="clear" w:pos="4153"/>
          <w:tab w:val="clear" w:pos="8306"/>
        </w:tabs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</w:p>
    <w:p w14:paraId="4A6B7FD3" w14:textId="77777777" w:rsidR="0002560F" w:rsidRPr="00BD5840" w:rsidRDefault="0002560F" w:rsidP="00667EEC">
      <w:pPr>
        <w:pStyle w:val="Footer"/>
        <w:tabs>
          <w:tab w:val="clear" w:pos="4153"/>
          <w:tab w:val="clear" w:pos="8306"/>
        </w:tabs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</w:p>
    <w:p w14:paraId="1913A1CA" w14:textId="77777777" w:rsidR="0002560F" w:rsidRPr="00BD5840" w:rsidRDefault="0002560F" w:rsidP="00667EEC">
      <w:pPr>
        <w:pStyle w:val="Footer"/>
        <w:tabs>
          <w:tab w:val="clear" w:pos="4153"/>
          <w:tab w:val="clear" w:pos="8306"/>
        </w:tabs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</w:p>
    <w:p w14:paraId="21327796" w14:textId="77777777" w:rsidR="0002560F" w:rsidRPr="00BD5840" w:rsidRDefault="0002560F" w:rsidP="00667EEC">
      <w:pPr>
        <w:pStyle w:val="Footer"/>
        <w:tabs>
          <w:tab w:val="clear" w:pos="4153"/>
          <w:tab w:val="clear" w:pos="8306"/>
        </w:tabs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</w:p>
    <w:p w14:paraId="2822679F" w14:textId="77777777" w:rsidR="0002560F" w:rsidRPr="00BD5840" w:rsidRDefault="0002560F" w:rsidP="00667EEC">
      <w:pPr>
        <w:pStyle w:val="Footer"/>
        <w:tabs>
          <w:tab w:val="clear" w:pos="4153"/>
          <w:tab w:val="clear" w:pos="8306"/>
        </w:tabs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</w:p>
    <w:p w14:paraId="5A7125AB" w14:textId="77777777" w:rsidR="00E617DC" w:rsidRPr="00BD5840" w:rsidRDefault="00E617DC" w:rsidP="00E617DC">
      <w:pPr>
        <w:tabs>
          <w:tab w:val="left" w:pos="284"/>
        </w:tabs>
        <w:ind w:right="-198"/>
        <w:jc w:val="both"/>
        <w:rPr>
          <w:rFonts w:ascii="Arial" w:hAnsi="Arial" w:cs="Arial"/>
        </w:rPr>
      </w:pPr>
    </w:p>
    <w:p w14:paraId="18A975A6" w14:textId="77777777" w:rsidR="00E617DC" w:rsidRPr="00BD5840" w:rsidRDefault="00E617DC" w:rsidP="00E617DC">
      <w:pPr>
        <w:tabs>
          <w:tab w:val="left" w:pos="284"/>
        </w:tabs>
        <w:ind w:right="-198"/>
        <w:jc w:val="both"/>
        <w:rPr>
          <w:rFonts w:ascii="Arial" w:hAnsi="Arial" w:cs="Arial"/>
        </w:rPr>
      </w:pPr>
    </w:p>
    <w:p w14:paraId="560BFCBC" w14:textId="77777777" w:rsidR="00E617DC" w:rsidRPr="00BD5840" w:rsidRDefault="00E617DC" w:rsidP="007A563B">
      <w:pPr>
        <w:pStyle w:val="ListParagraph"/>
        <w:tabs>
          <w:tab w:val="left" w:pos="284"/>
        </w:tabs>
        <w:spacing w:after="0" w:line="240" w:lineRule="auto"/>
        <w:ind w:left="-270" w:right="-198"/>
        <w:jc w:val="both"/>
        <w:rPr>
          <w:rFonts w:ascii="Arial" w:hAnsi="Arial" w:cs="Arial"/>
        </w:rPr>
      </w:pPr>
    </w:p>
    <w:p w14:paraId="40C3E170" w14:textId="77777777" w:rsidR="001913B0" w:rsidRPr="00BD5840" w:rsidRDefault="001913B0" w:rsidP="007A563B">
      <w:pPr>
        <w:pStyle w:val="ListParagraph"/>
        <w:tabs>
          <w:tab w:val="left" w:pos="284"/>
        </w:tabs>
        <w:spacing w:after="0" w:line="240" w:lineRule="auto"/>
        <w:ind w:left="-270" w:right="-198"/>
        <w:jc w:val="both"/>
        <w:rPr>
          <w:rFonts w:ascii="Arial" w:hAnsi="Arial" w:cs="Arial"/>
        </w:rPr>
      </w:pPr>
    </w:p>
    <w:p w14:paraId="3B135475" w14:textId="631F04D6" w:rsidR="00EB0563" w:rsidRPr="005A5CC6" w:rsidRDefault="00097219" w:rsidP="00203CF2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pacing w:before="120" w:after="240" w:line="240" w:lineRule="atLeast"/>
        <w:ind w:left="0" w:firstLine="0"/>
        <w:jc w:val="both"/>
        <w:rPr>
          <w:rFonts w:ascii="Arial" w:hAnsi="Arial" w:cs="Arial"/>
          <w:sz w:val="22"/>
          <w:szCs w:val="22"/>
          <w:lang w:val="ru"/>
        </w:rPr>
      </w:pPr>
      <w:r>
        <w:rPr>
          <w:rFonts w:ascii="Arial" w:hAnsi="Arial" w:cs="Arial"/>
          <w:sz w:val="22"/>
          <w:szCs w:val="22"/>
          <w:lang w:val="ru"/>
        </w:rPr>
        <w:t xml:space="preserve">Тридцать первая сессия Межправительственной координационной группы по системе предупреждения о цунами и смягчения их последствий в Тихом океане (МКГ/СПЦТО) состоялась 7-11 апреля 2025 г. в Пекине (Китай). Сессия прошла в гибридном формате (очные заседания и заседания в режиме онлайн). В ней приняли участие 62 делегата от 24 стран Тихоокеанского региона (Австралия, Вануату, Индонезия, Канада, Китай, Колумбия, Коста-Рика, Малайзия, Мексика, Никарагуа, Новая Зеландия, Папуа-Новая Гвинея, Республика Корея, Российская Федерация, Соединенные Штаты Америки, Соломоновы острова, Тонга, Федеративные Штаты Микронезии, Фиджи, Филиппины, Франция, Чили, Эквадор и Япония). На сессии также присутствовали 32 наблюдателя из 14 стран (Аргентина, Гаити, Индия, Индонезия, Италия, Новая Зеландия, Российская Федерация, Сингапур, Соединенное Королевство Великобритании и Северной Ирландии, Соединенные Штаты Америки, Таиланд, Франция, Эквадор и Япония). </w:t>
      </w:r>
    </w:p>
    <w:p w14:paraId="35D2D95C" w14:textId="6B909BC9" w:rsidR="00E21FB9" w:rsidRPr="00BD5840" w:rsidRDefault="00E617DC" w:rsidP="00EB0563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ru"/>
        </w:rPr>
        <w:t xml:space="preserve">МКГ приняла решение </w:t>
      </w:r>
      <w:r>
        <w:rPr>
          <w:rFonts w:ascii="Arial" w:hAnsi="Arial"/>
          <w:sz w:val="22"/>
          <w:szCs w:val="22"/>
          <w:lang w:val="ru"/>
        </w:rPr>
        <w:t xml:space="preserve">продолжить работу: Рабочей группы 1 по осведомленности о рисках, связанных с цунами; РГ2 по выявлению, предупреждению о цунами и информированию; Целевой группы РГ2 по провайдерам данных слежения за цунами; </w:t>
      </w:r>
      <w:r>
        <w:rPr>
          <w:rFonts w:ascii="Arial" w:hAnsi="Arial"/>
          <w:color w:val="000000"/>
          <w:sz w:val="22"/>
          <w:szCs w:val="22"/>
          <w:lang w:val="ru"/>
        </w:rPr>
        <w:t>Целевой группы РГ2 по прогнозированию цунами на основании наблюдений</w:t>
      </w:r>
      <w:r>
        <w:rPr>
          <w:rFonts w:ascii="Arial" w:hAnsi="Arial"/>
          <w:sz w:val="22"/>
          <w:szCs w:val="22"/>
          <w:lang w:val="ru"/>
        </w:rPr>
        <w:t xml:space="preserve"> </w:t>
      </w:r>
      <w:r>
        <w:rPr>
          <w:rFonts w:ascii="Arial" w:hAnsi="Arial"/>
          <w:color w:val="000000"/>
          <w:sz w:val="22"/>
          <w:szCs w:val="22"/>
          <w:lang w:val="ru"/>
        </w:rPr>
        <w:t xml:space="preserve">за океаном; Целевой группы РГ2 </w:t>
      </w:r>
      <w:r>
        <w:rPr>
          <w:rFonts w:ascii="Arial" w:hAnsi="Arial"/>
          <w:sz w:val="22"/>
          <w:szCs w:val="22"/>
          <w:lang w:val="ru"/>
        </w:rPr>
        <w:t xml:space="preserve">по </w:t>
      </w:r>
      <w:r>
        <w:rPr>
          <w:rFonts w:ascii="Arial" w:hAnsi="Arial"/>
          <w:color w:val="000000"/>
          <w:sz w:val="22"/>
          <w:szCs w:val="22"/>
          <w:lang w:val="ru"/>
        </w:rPr>
        <w:t xml:space="preserve">цунами, вызванными вулканами; </w:t>
      </w:r>
      <w:r>
        <w:rPr>
          <w:rFonts w:ascii="Arial" w:hAnsi="Arial"/>
          <w:sz w:val="22"/>
          <w:szCs w:val="22"/>
          <w:lang w:val="ru"/>
        </w:rPr>
        <w:t xml:space="preserve">РГ3 по уменьшению риска стихийных бедствий и повышению готовности к ним; </w:t>
      </w:r>
      <w:r>
        <w:rPr>
          <w:rFonts w:ascii="Arial" w:hAnsi="Arial"/>
          <w:color w:val="000000"/>
          <w:sz w:val="22"/>
          <w:szCs w:val="22"/>
          <w:lang w:val="ru"/>
        </w:rPr>
        <w:t>Целевой группы РГ3</w:t>
      </w:r>
      <w:r>
        <w:rPr>
          <w:rFonts w:ascii="Arial" w:hAnsi="Arial"/>
          <w:sz w:val="22"/>
          <w:szCs w:val="22"/>
          <w:lang w:val="ru"/>
        </w:rPr>
        <w:t xml:space="preserve"> по </w:t>
      </w:r>
      <w:r>
        <w:rPr>
          <w:rFonts w:ascii="Arial" w:hAnsi="Arial"/>
          <w:color w:val="000000"/>
          <w:sz w:val="22"/>
          <w:szCs w:val="22"/>
          <w:lang w:val="ru"/>
        </w:rPr>
        <w:t xml:space="preserve">готовности к цунами; </w:t>
      </w:r>
      <w:r>
        <w:rPr>
          <w:rFonts w:ascii="Arial" w:hAnsi="Arial"/>
          <w:sz w:val="22"/>
          <w:szCs w:val="22"/>
          <w:lang w:val="ru"/>
        </w:rPr>
        <w:t xml:space="preserve">Субрегиональных рабочих групп (Региональной рабочей группы по системе предупреждения </w:t>
      </w:r>
      <w:r>
        <w:rPr>
          <w:rFonts w:ascii="Arial" w:hAnsi="Arial"/>
          <w:sz w:val="22"/>
          <w:szCs w:val="22"/>
          <w:lang w:val="ru"/>
        </w:rPr>
        <w:lastRenderedPageBreak/>
        <w:t xml:space="preserve">о цунами и смягчения их последствий в регионе Южно-Китайского моря (РГ-ЮКМ)); </w:t>
      </w:r>
      <w:r>
        <w:rPr>
          <w:rFonts w:ascii="Arial" w:hAnsi="Arial"/>
          <w:color w:val="000000"/>
          <w:sz w:val="22"/>
          <w:szCs w:val="22"/>
          <w:lang w:val="ru"/>
        </w:rPr>
        <w:t xml:space="preserve">Целевой группы РГ-ЮКМ по развитию потенциала и услугам; </w:t>
      </w:r>
      <w:r>
        <w:rPr>
          <w:rFonts w:ascii="Arial" w:hAnsi="Arial"/>
          <w:sz w:val="22"/>
          <w:szCs w:val="22"/>
          <w:lang w:val="ru"/>
        </w:rPr>
        <w:t xml:space="preserve">Региональной рабочей группы по системе предупреждения о цунами и смягчения их последствий на тихоокеанском побережье Центральной Америки (РГ-ЦА); Региональной рабочей группы по системе предупреждения о цунами и смягчения их последствий в юго-восточной части Тихоокеанского региона (РГ-ЮВТ); Рабочей группы по системе предупреждения о цунами и смягчения их последствий для островных государств и территорий в Тихом океане (РГ-ОГТТ); </w:t>
      </w:r>
      <w:r>
        <w:rPr>
          <w:rFonts w:ascii="Arial" w:hAnsi="Arial"/>
          <w:color w:val="000000"/>
          <w:sz w:val="22"/>
          <w:szCs w:val="22"/>
          <w:lang w:val="ru"/>
        </w:rPr>
        <w:t>Целевой группы РГ-ОГТТ</w:t>
      </w:r>
      <w:r>
        <w:rPr>
          <w:rFonts w:ascii="Arial" w:hAnsi="Arial"/>
          <w:sz w:val="22"/>
          <w:szCs w:val="22"/>
          <w:lang w:val="ru"/>
        </w:rPr>
        <w:t xml:space="preserve"> по </w:t>
      </w:r>
      <w:r>
        <w:rPr>
          <w:rFonts w:ascii="Arial" w:hAnsi="Arial"/>
          <w:color w:val="000000"/>
          <w:sz w:val="22"/>
          <w:szCs w:val="22"/>
          <w:lang w:val="ru"/>
        </w:rPr>
        <w:t>обмену данными о сейсмической активности в юго-западной части Тихого океана; Целевой группы РГ-ОГТТ</w:t>
      </w:r>
      <w:r>
        <w:rPr>
          <w:rFonts w:ascii="Arial" w:hAnsi="Arial"/>
          <w:sz w:val="22"/>
          <w:szCs w:val="22"/>
          <w:lang w:val="ru"/>
        </w:rPr>
        <w:t xml:space="preserve"> по </w:t>
      </w:r>
      <w:r>
        <w:rPr>
          <w:rFonts w:ascii="Arial" w:hAnsi="Arial"/>
          <w:color w:val="000000"/>
          <w:sz w:val="22"/>
          <w:szCs w:val="22"/>
          <w:lang w:val="ru"/>
        </w:rPr>
        <w:t>развитию потенциала</w:t>
      </w:r>
      <w:r>
        <w:rPr>
          <w:rFonts w:ascii="Arial" w:hAnsi="Arial"/>
          <w:sz w:val="22"/>
          <w:szCs w:val="22"/>
          <w:lang w:val="ru"/>
        </w:rPr>
        <w:t xml:space="preserve">; </w:t>
      </w:r>
      <w:r>
        <w:rPr>
          <w:rFonts w:ascii="Arial" w:hAnsi="Arial"/>
          <w:color w:val="000000"/>
          <w:sz w:val="22"/>
          <w:szCs w:val="22"/>
          <w:lang w:val="ru"/>
        </w:rPr>
        <w:t>Целевой группы РГ-ОГТТ</w:t>
      </w:r>
      <w:r>
        <w:rPr>
          <w:rFonts w:ascii="Arial" w:hAnsi="Arial"/>
          <w:sz w:val="22"/>
          <w:szCs w:val="22"/>
          <w:lang w:val="ru"/>
        </w:rPr>
        <w:t xml:space="preserve"> по </w:t>
      </w:r>
      <w:r>
        <w:rPr>
          <w:rFonts w:ascii="Arial" w:hAnsi="Arial"/>
          <w:color w:val="000000"/>
          <w:sz w:val="22"/>
          <w:szCs w:val="22"/>
          <w:lang w:val="ru"/>
        </w:rPr>
        <w:t xml:space="preserve">платформам обмена данными; Целевой группы Руководящего комитета по учениям «Тихоокеанская волна». Она </w:t>
      </w:r>
      <w:r>
        <w:rPr>
          <w:rFonts w:ascii="Arial" w:hAnsi="Arial"/>
          <w:b/>
          <w:bCs/>
          <w:sz w:val="22"/>
          <w:szCs w:val="22"/>
          <w:lang w:val="ru"/>
        </w:rPr>
        <w:t>приняла решение</w:t>
      </w:r>
      <w:r>
        <w:rPr>
          <w:rFonts w:ascii="Arial" w:hAnsi="Arial"/>
          <w:sz w:val="22"/>
          <w:szCs w:val="22"/>
          <w:lang w:val="ru"/>
        </w:rPr>
        <w:t xml:space="preserve"> распустить Целевую группу РГ2 по комплексным сетям датчиков СПЦТО для выявления цунами и определения их характеристик. </w:t>
      </w:r>
      <w:r>
        <w:rPr>
          <w:rFonts w:ascii="Arial" w:hAnsi="Arial"/>
          <w:i/>
          <w:iCs/>
          <w:sz w:val="22"/>
          <w:szCs w:val="22"/>
          <w:lang w:val="ru"/>
        </w:rPr>
        <w:t xml:space="preserve">(См. </w:t>
      </w:r>
      <w:hyperlink r:id="rId13" w:history="1">
        <w:r>
          <w:rPr>
            <w:rStyle w:val="Hyperlink"/>
            <w:rFonts w:ascii="Arial" w:hAnsi="Arial" w:cs="Arial"/>
            <w:i/>
            <w:iCs/>
            <w:sz w:val="22"/>
            <w:szCs w:val="22"/>
            <w:lang w:val="ru"/>
          </w:rPr>
          <w:t>Организационную структуру МКГ/СПЦТО</w:t>
        </w:r>
      </w:hyperlink>
      <w:r>
        <w:rPr>
          <w:i/>
          <w:iCs/>
          <w:lang w:val="ru"/>
        </w:rPr>
        <w:t>)</w:t>
      </w:r>
      <w:r>
        <w:rPr>
          <w:rFonts w:ascii="Arial" w:hAnsi="Arial"/>
          <w:i/>
          <w:iCs/>
          <w:sz w:val="22"/>
          <w:szCs w:val="22"/>
          <w:lang w:val="ru"/>
        </w:rPr>
        <w:t>.</w:t>
      </w:r>
    </w:p>
    <w:p w14:paraId="5592F92F" w14:textId="76636673" w:rsidR="00E617DC" w:rsidRPr="00BD5840" w:rsidRDefault="00E617DC" w:rsidP="00E21FB9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pacing w:before="120" w:after="240" w:line="24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ru"/>
        </w:rPr>
        <w:t xml:space="preserve">МКГ приняла решение </w:t>
      </w:r>
      <w:r>
        <w:rPr>
          <w:rFonts w:ascii="Arial" w:hAnsi="Arial" w:cs="Arial"/>
          <w:sz w:val="22"/>
          <w:szCs w:val="22"/>
          <w:lang w:val="ru"/>
        </w:rPr>
        <w:t>продолжить работу Руководящего комитета СПЦТО с пересмотренным Кругом ведения для создания постоянной структуры, включающей трех заместителей председателя.</w:t>
      </w:r>
    </w:p>
    <w:p w14:paraId="4CD1FEA2" w14:textId="447130A7" w:rsidR="00E21FB9" w:rsidRPr="00BD5840" w:rsidRDefault="00E21FB9" w:rsidP="00E21FB9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pacing w:before="120" w:after="240" w:line="24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ru"/>
        </w:rPr>
        <w:t>МКГ выразила признательность</w:t>
      </w:r>
      <w:r>
        <w:rPr>
          <w:rFonts w:ascii="Arial" w:hAnsi="Arial" w:cs="Arial"/>
          <w:sz w:val="22"/>
          <w:szCs w:val="22"/>
          <w:lang w:val="ru"/>
        </w:rPr>
        <w:t xml:space="preserve"> за проведение учений «Тихоокеанская волна-24»и первого тестирования распространения продуктов для обеспечения безопасности на море </w:t>
      </w:r>
      <w:r>
        <w:rPr>
          <w:rFonts w:ascii="Arial" w:hAnsi="Arial" w:cs="Arial"/>
          <w:color w:val="000000" w:themeColor="text1"/>
          <w:sz w:val="22"/>
          <w:szCs w:val="22"/>
          <w:lang w:val="ru"/>
        </w:rPr>
        <w:t>среди координаторов системы «NAVAREA» в Тихом океане и в юго-западной части Атлантического океана (в частности, «NAVAREA» VI, X, XI, XII, XIII, XIV, XV и XVI)</w:t>
      </w:r>
      <w:r>
        <w:rPr>
          <w:rFonts w:ascii="Arial" w:hAnsi="Arial" w:cs="Arial"/>
          <w:sz w:val="22"/>
          <w:szCs w:val="22"/>
          <w:lang w:val="ru"/>
        </w:rPr>
        <w:t xml:space="preserve">. </w:t>
      </w:r>
    </w:p>
    <w:p w14:paraId="7D519727" w14:textId="0267BFC9" w:rsidR="00610465" w:rsidRPr="00BD5840" w:rsidRDefault="00610465" w:rsidP="00E617DC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pacing w:before="120" w:after="240" w:line="24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ru"/>
        </w:rPr>
        <w:t>МКГ приняла решение</w:t>
      </w:r>
      <w:r>
        <w:rPr>
          <w:rFonts w:ascii="Arial" w:hAnsi="Arial" w:cs="Arial"/>
          <w:sz w:val="22"/>
          <w:szCs w:val="22"/>
          <w:lang w:val="ru"/>
        </w:rPr>
        <w:t xml:space="preserve"> провести 12-е учения в Тихом океане в 2026 году («Тихоокеанская волна-26») в период с сентября по ноябрь 2024 г. в поддержку Международного дня по снижению риска бедствий (13 октября) и Всемирного дня распространения информации о проблеме цунами (5 ноября).</w:t>
      </w:r>
    </w:p>
    <w:p w14:paraId="29401EB9" w14:textId="44FE5EAF" w:rsidR="00E21FB9" w:rsidRPr="005A5CC6" w:rsidRDefault="00610465" w:rsidP="003C665B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pacing w:before="120" w:after="240" w:line="240" w:lineRule="atLeast"/>
        <w:ind w:left="0" w:firstLine="0"/>
        <w:jc w:val="both"/>
        <w:rPr>
          <w:rFonts w:ascii="Arial" w:hAnsi="Arial" w:cs="Arial"/>
          <w:sz w:val="22"/>
          <w:szCs w:val="22"/>
          <w:lang w:val="ru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ru"/>
        </w:rPr>
        <w:t>МКГ с признательностью приняла</w:t>
      </w:r>
      <w:r>
        <w:rPr>
          <w:rFonts w:ascii="Arial" w:hAnsi="Arial" w:cs="Arial"/>
          <w:color w:val="000000"/>
          <w:sz w:val="22"/>
          <w:szCs w:val="22"/>
          <w:lang w:val="ru"/>
        </w:rPr>
        <w:t xml:space="preserve"> любезное предложение Эквадора провести 32-ю сессию МКГ/СПЦТО в Эквадоре в 2027 году. Точные даты будут определены позднее.</w:t>
      </w:r>
    </w:p>
    <w:p w14:paraId="695AEB15" w14:textId="5010294B" w:rsidR="003C665B" w:rsidRPr="005A5CC6" w:rsidRDefault="003C665B" w:rsidP="003C665B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pacing w:before="120" w:after="240" w:line="240" w:lineRule="atLeast"/>
        <w:ind w:left="0" w:firstLine="0"/>
        <w:jc w:val="both"/>
        <w:rPr>
          <w:rFonts w:ascii="Arial" w:hAnsi="Arial" w:cs="Arial"/>
          <w:color w:val="000000"/>
          <w:sz w:val="22"/>
          <w:szCs w:val="22"/>
          <w:lang w:val="ru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ru"/>
        </w:rPr>
        <w:t>Напомнив</w:t>
      </w:r>
      <w:r>
        <w:rPr>
          <w:rFonts w:ascii="Arial" w:hAnsi="Arial" w:cs="Arial"/>
          <w:color w:val="000000"/>
          <w:sz w:val="22"/>
          <w:szCs w:val="22"/>
          <w:lang w:val="ru"/>
        </w:rPr>
        <w:t xml:space="preserve"> о своей обеспокоенности в отношении сейсмической активности в регионе Южно-Антильского хребта, как указано в Рабочем резюме предыдущей сессии (доклад IOC/ICG/PTWS-XXX/3s), МКГ </w:t>
      </w:r>
      <w:r>
        <w:rPr>
          <w:rFonts w:ascii="Arial" w:hAnsi="Arial" w:cs="Arial"/>
          <w:b/>
          <w:bCs/>
          <w:color w:val="000000"/>
          <w:sz w:val="22"/>
          <w:szCs w:val="22"/>
          <w:lang w:val="ru"/>
        </w:rPr>
        <w:t>предложила</w:t>
      </w:r>
      <w:r>
        <w:rPr>
          <w:rFonts w:ascii="Arial" w:hAnsi="Arial" w:cs="Arial"/>
          <w:color w:val="000000"/>
          <w:sz w:val="22"/>
          <w:szCs w:val="22"/>
          <w:lang w:val="ru"/>
        </w:rPr>
        <w:t xml:space="preserve"> РГ1 и Секретариату рассмотреть возможность организации рабочего совещания для оценки цунамигенного потенциала Южно-Антильского хребта в части его воздействия на Зону обслуживания СПЦТО.</w:t>
      </w:r>
    </w:p>
    <w:p w14:paraId="732B47FD" w14:textId="6BBEE0AA" w:rsidR="003C665B" w:rsidRPr="005A5CC6" w:rsidRDefault="003C665B" w:rsidP="003C665B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pacing w:before="120" w:after="240" w:line="240" w:lineRule="atLeast"/>
        <w:ind w:left="0" w:firstLine="0"/>
        <w:jc w:val="both"/>
        <w:rPr>
          <w:rFonts w:ascii="Arial" w:hAnsi="Arial" w:cs="Arial"/>
          <w:color w:val="000000"/>
          <w:sz w:val="22"/>
          <w:szCs w:val="22"/>
          <w:lang w:val="ru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ru"/>
        </w:rPr>
        <w:t>Обращая внимание</w:t>
      </w:r>
      <w:r>
        <w:rPr>
          <w:rFonts w:ascii="Arial" w:hAnsi="Arial" w:cs="Arial"/>
          <w:color w:val="000000"/>
          <w:sz w:val="22"/>
          <w:szCs w:val="22"/>
          <w:lang w:val="ru"/>
        </w:rPr>
        <w:t xml:space="preserve"> на необходимость активного взаимодействия Аргентины с МКГ/КАРИБ-СРП и МКГ/СПЦТО в отношении обязанностей Аргентины по координации поиска и спасения и системы «NAVAREA VI», как указано в «Принятых решениях и резолюциях» 57-й сессии Исполнительного совета в 2024 году, МКГ </w:t>
      </w:r>
      <w:r>
        <w:rPr>
          <w:rFonts w:ascii="Arial" w:hAnsi="Arial" w:cs="Arial"/>
          <w:b/>
          <w:bCs/>
          <w:color w:val="000000"/>
          <w:sz w:val="22"/>
          <w:szCs w:val="22"/>
          <w:lang w:val="ru"/>
        </w:rPr>
        <w:t xml:space="preserve">с удовлетворением отметила </w:t>
      </w:r>
      <w:r>
        <w:rPr>
          <w:rFonts w:ascii="Arial" w:hAnsi="Arial" w:cs="Arial"/>
          <w:color w:val="000000"/>
          <w:sz w:val="22"/>
          <w:szCs w:val="22"/>
          <w:lang w:val="ru"/>
        </w:rPr>
        <w:t xml:space="preserve">активное участие Аргентины в учениях «Тихоокеанская волна-24» в роли координатора системы «NAVAREA VI» в целях тестирования распространения продуктов для обеспечения безопасности на море и </w:t>
      </w:r>
      <w:r>
        <w:rPr>
          <w:rFonts w:ascii="Arial" w:hAnsi="Arial" w:cs="Arial"/>
          <w:b/>
          <w:bCs/>
          <w:color w:val="000000"/>
          <w:sz w:val="22"/>
          <w:szCs w:val="22"/>
          <w:lang w:val="ru"/>
        </w:rPr>
        <w:t>призвала</w:t>
      </w:r>
      <w:r>
        <w:rPr>
          <w:rFonts w:ascii="Arial" w:hAnsi="Arial" w:cs="Arial"/>
          <w:color w:val="000000"/>
          <w:sz w:val="22"/>
          <w:szCs w:val="22"/>
          <w:lang w:val="ru"/>
        </w:rPr>
        <w:t xml:space="preserve"> Аргентину более активно участвовать в учениях «Тихоокеанская волна» с учетом ее обязанностей по координации поиска и спасения и системы «NAVAREA VI».</w:t>
      </w:r>
    </w:p>
    <w:p w14:paraId="28E536FD" w14:textId="7E18849A" w:rsidR="003C665B" w:rsidRPr="005A5CC6" w:rsidRDefault="00EB0563" w:rsidP="003C665B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pacing w:before="120" w:after="240" w:line="240" w:lineRule="atLeast"/>
        <w:ind w:left="0" w:firstLine="0"/>
        <w:jc w:val="both"/>
        <w:rPr>
          <w:rFonts w:ascii="Arial" w:hAnsi="Arial" w:cs="Arial"/>
          <w:color w:val="000000"/>
          <w:sz w:val="22"/>
          <w:szCs w:val="22"/>
          <w:lang w:val="ru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ru"/>
        </w:rPr>
        <w:t>МКГ одобрила</w:t>
      </w:r>
      <w:r>
        <w:rPr>
          <w:rFonts w:ascii="Arial" w:hAnsi="Arial" w:cs="Arial"/>
          <w:color w:val="000000"/>
          <w:sz w:val="22"/>
          <w:szCs w:val="22"/>
          <w:lang w:val="ru"/>
        </w:rPr>
        <w:t xml:space="preserve"> проведение первой в истории МОК ЮНЕСКО оценки потенциала готовности к цунами в Тихом океане, которая представляет собой первое общесистемное измерение существующих возможностей для оптимизации будущих усилий по совершенствованию СПЦТО при любезной поддержке ЭСКАТО, и </w:t>
      </w:r>
      <w:r>
        <w:rPr>
          <w:rFonts w:ascii="Arial" w:hAnsi="Arial" w:cs="Arial"/>
          <w:b/>
          <w:bCs/>
          <w:color w:val="000000"/>
          <w:sz w:val="22"/>
          <w:szCs w:val="22"/>
          <w:lang w:val="ru"/>
        </w:rPr>
        <w:t xml:space="preserve">поручила </w:t>
      </w:r>
      <w:r>
        <w:rPr>
          <w:rFonts w:ascii="Arial" w:hAnsi="Arial" w:cs="Arial"/>
          <w:color w:val="000000"/>
          <w:sz w:val="22"/>
          <w:szCs w:val="22"/>
          <w:lang w:val="ru"/>
        </w:rPr>
        <w:t>Руководящему комитету СПЦТО возглавить реализацию, отчетность и деятельность по итогам в межсессионный период.</w:t>
      </w:r>
    </w:p>
    <w:p w14:paraId="40913E48" w14:textId="4BEA4CED" w:rsidR="00D71ADF" w:rsidRPr="005A5CC6" w:rsidRDefault="00EB0563" w:rsidP="00D71ADF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pacing w:before="120" w:after="240" w:line="240" w:lineRule="atLeast"/>
        <w:ind w:left="0" w:firstLine="0"/>
        <w:jc w:val="both"/>
        <w:rPr>
          <w:rFonts w:ascii="Arial" w:hAnsi="Arial" w:cs="Arial"/>
          <w:color w:val="000000"/>
          <w:sz w:val="22"/>
          <w:szCs w:val="22"/>
          <w:lang w:val="ru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ru"/>
        </w:rPr>
        <w:t xml:space="preserve">МКГ напомнила </w:t>
      </w:r>
      <w:r>
        <w:rPr>
          <w:rFonts w:ascii="Arial" w:hAnsi="Arial" w:cs="Arial"/>
          <w:color w:val="000000"/>
          <w:sz w:val="22"/>
          <w:szCs w:val="22"/>
          <w:lang w:val="ru"/>
        </w:rPr>
        <w:t xml:space="preserve">о своей рекомендации, данной на последней сессии, разрешить начало полнофункциональной деятельности Консультативного центра по цунами для региона </w:t>
      </w:r>
      <w:r>
        <w:rPr>
          <w:rFonts w:ascii="Arial" w:hAnsi="Arial" w:cs="Arial"/>
          <w:color w:val="000000"/>
          <w:sz w:val="22"/>
          <w:szCs w:val="22"/>
          <w:lang w:val="ru"/>
        </w:rPr>
        <w:lastRenderedPageBreak/>
        <w:t xml:space="preserve">Центральной Америки (КЦЦЦА), который начнет свою работу после сессии руководящего органа МОК в июне 2024 года, при этом точная дата должна быть определена после согласования с МКГ/КАРИБ-СРП (рекомендация ICG/PTWS-XXX-6), и </w:t>
      </w:r>
      <w:r>
        <w:rPr>
          <w:rFonts w:ascii="Arial" w:hAnsi="Arial" w:cs="Arial"/>
          <w:b/>
          <w:bCs/>
          <w:color w:val="000000"/>
          <w:sz w:val="22"/>
          <w:szCs w:val="22"/>
          <w:lang w:val="ru"/>
        </w:rPr>
        <w:t>приняла к сведению</w:t>
      </w:r>
      <w:r>
        <w:rPr>
          <w:rFonts w:ascii="Arial" w:hAnsi="Arial" w:cs="Arial"/>
          <w:color w:val="000000"/>
          <w:sz w:val="22"/>
          <w:szCs w:val="22"/>
          <w:lang w:val="ru"/>
        </w:rPr>
        <w:t xml:space="preserve"> рекомендацию 17-й сессии МКГ/КАРИБ-СРП относительно обзора деятельности КЦЦЦА как поставщика данных слежения за цунами на ее 18-й сессии в мае 2025 года, чтобы позволить Ассамблее МОК рассмотреть вопрос об окончательном утверждении КЦЦЦА в качестве ПДСЦ в июне 2025 года (рекомендация ICG/CARIBE-EWS-XVII.8).</w:t>
      </w:r>
    </w:p>
    <w:p w14:paraId="62678E52" w14:textId="7F2F0EE3" w:rsidR="00D71ADF" w:rsidRPr="005A5CC6" w:rsidRDefault="00D71ADF" w:rsidP="00D71ADF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pacing w:before="120" w:after="240" w:line="240" w:lineRule="atLeast"/>
        <w:ind w:left="0" w:firstLine="0"/>
        <w:jc w:val="both"/>
        <w:rPr>
          <w:rFonts w:ascii="Arial" w:hAnsi="Arial" w:cs="Arial"/>
          <w:color w:val="000000"/>
          <w:sz w:val="22"/>
          <w:szCs w:val="22"/>
          <w:lang w:val="ru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ru"/>
        </w:rPr>
        <w:t xml:space="preserve">Отмечая </w:t>
      </w:r>
      <w:r>
        <w:rPr>
          <w:rFonts w:ascii="Arial" w:hAnsi="Arial" w:cs="Arial"/>
          <w:color w:val="000000"/>
          <w:sz w:val="22"/>
          <w:szCs w:val="22"/>
          <w:lang w:val="ru"/>
        </w:rPr>
        <w:t xml:space="preserve">тот факт, что нехватка батиметрических и топографических данных с высоким разрешением препятствует моделированию наводнений в контексте готовности к цунами и Программы по сертификации готовности к цунами, </w:t>
      </w:r>
      <w:r>
        <w:rPr>
          <w:rFonts w:ascii="Arial" w:hAnsi="Arial" w:cs="Arial"/>
          <w:b/>
          <w:bCs/>
          <w:color w:val="000000"/>
          <w:sz w:val="22"/>
          <w:szCs w:val="22"/>
          <w:lang w:val="ru"/>
        </w:rPr>
        <w:t>МКГ поручила</w:t>
      </w:r>
      <w:r>
        <w:rPr>
          <w:rFonts w:ascii="Arial" w:hAnsi="Arial" w:cs="Arial"/>
          <w:color w:val="000000"/>
          <w:sz w:val="22"/>
          <w:szCs w:val="22"/>
          <w:lang w:val="ru"/>
        </w:rPr>
        <w:t xml:space="preserve"> РГ1 рассмотреть возможность объединения существующих или разработки новых руководящих указаний по методикам моделирования наводнений в условиях отсутствия батиметрических и топографических данных с высоким разрешением в рамках многоуровневого подхода к вероятностной оценке опасности цунами (ВООЦ), а также </w:t>
      </w:r>
      <w:r>
        <w:rPr>
          <w:rFonts w:ascii="Arial" w:hAnsi="Arial" w:cs="Arial"/>
          <w:b/>
          <w:bCs/>
          <w:color w:val="000000"/>
          <w:sz w:val="22"/>
          <w:szCs w:val="22"/>
          <w:lang w:val="ru"/>
        </w:rPr>
        <w:t xml:space="preserve">поручила РГ1 </w:t>
      </w:r>
      <w:r>
        <w:rPr>
          <w:rFonts w:ascii="Arial" w:hAnsi="Arial" w:cs="Arial"/>
          <w:color w:val="000000"/>
          <w:sz w:val="22"/>
          <w:szCs w:val="22"/>
          <w:lang w:val="ru"/>
        </w:rPr>
        <w:t>продолжить поддержку исследований для оценки опасности цунами в Тихом океане в рамках всеобъемлющей оценки риска в соответствии с первой задачей ПЦДО ООН для достижения 100% покрытия прибрежных районов, подверженных цунами.</w:t>
      </w:r>
    </w:p>
    <w:p w14:paraId="0D8733F1" w14:textId="1EC1E05E" w:rsidR="00D71ADF" w:rsidRPr="005A5CC6" w:rsidRDefault="00D71ADF" w:rsidP="007A6EE1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pacing w:before="120" w:after="240" w:line="240" w:lineRule="atLeast"/>
        <w:ind w:left="0" w:firstLine="0"/>
        <w:jc w:val="both"/>
        <w:rPr>
          <w:rFonts w:ascii="Arial" w:hAnsi="Arial" w:cs="Arial"/>
          <w:color w:val="000000"/>
          <w:sz w:val="22"/>
          <w:szCs w:val="22"/>
          <w:lang w:val="ru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ru"/>
        </w:rPr>
        <w:t>Отмечая</w:t>
      </w:r>
      <w:r>
        <w:rPr>
          <w:rFonts w:ascii="Arial" w:hAnsi="Arial" w:cs="Arial"/>
          <w:color w:val="000000"/>
          <w:sz w:val="22"/>
          <w:szCs w:val="22"/>
          <w:lang w:val="ru"/>
        </w:rPr>
        <w:t xml:space="preserve"> </w:t>
      </w:r>
      <w:hyperlink r:id="rId14" w:history="1">
        <w:r>
          <w:rPr>
            <w:rStyle w:val="Hyperlink"/>
            <w:rFonts w:ascii="Arial" w:hAnsi="Arial" w:cs="Arial"/>
            <w:sz w:val="22"/>
            <w:szCs w:val="22"/>
            <w:lang w:val="ru"/>
          </w:rPr>
          <w:t>рекомендацию</w:t>
        </w:r>
      </w:hyperlink>
      <w:r>
        <w:rPr>
          <w:rFonts w:ascii="Arial" w:hAnsi="Arial" w:cs="Arial"/>
          <w:color w:val="000000"/>
          <w:sz w:val="22"/>
          <w:szCs w:val="22"/>
          <w:lang w:val="ru"/>
        </w:rPr>
        <w:t xml:space="preserve"> Рабочей группы МОК по системам предупреждения о цунами и других опасных явлениях, связанных с изменением уровня моря (РГ-СПЦО), для 33-й сессии Ассамблеи МОК в 2025 году, в которой Секретариату МОК предлагается разработать стандартную и усовершенствованную методику сбора контактной информации НКЦ/КПЦ/НЦПЦ в тесном сотрудничестве с Целевой группой по наблюдениям за цунами (ЦГ-НЦ) и Целевой группой по реагированию на стихийные бедствия и повышению готовности к ним (ЦГ-РБГ) и представить результаты своей работы на следующем совместном заседании ЦГ-НЦ и ЦГ-РБГ, </w:t>
      </w:r>
      <w:r>
        <w:rPr>
          <w:rFonts w:ascii="Arial" w:hAnsi="Arial" w:cs="Arial"/>
          <w:b/>
          <w:bCs/>
          <w:color w:val="000000"/>
          <w:sz w:val="22"/>
          <w:szCs w:val="22"/>
          <w:lang w:val="ru"/>
        </w:rPr>
        <w:t>МКГ поручила</w:t>
      </w:r>
      <w:r>
        <w:rPr>
          <w:rFonts w:ascii="Arial" w:hAnsi="Arial" w:cs="Arial"/>
          <w:color w:val="000000"/>
          <w:sz w:val="22"/>
          <w:szCs w:val="22"/>
          <w:lang w:val="ru"/>
        </w:rPr>
        <w:t xml:space="preserve"> Целевой группе РГ2 по провайдерам данных слежения за цунами (ЦГ-ПДСЦ) изучить требования ПДСЦ, НКЦ НЦПЦ и КПЦ, чтобы внести свой вклад в эту работу. </w:t>
      </w:r>
    </w:p>
    <w:p w14:paraId="5AA929A0" w14:textId="4D4023FE" w:rsidR="00D71ADF" w:rsidRPr="005A5CC6" w:rsidRDefault="00D71ADF" w:rsidP="00D71ADF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pacing w:before="120" w:after="240" w:line="240" w:lineRule="atLeast"/>
        <w:ind w:left="0" w:firstLine="0"/>
        <w:jc w:val="both"/>
        <w:rPr>
          <w:rFonts w:ascii="Arial" w:hAnsi="Arial" w:cs="Arial"/>
          <w:color w:val="000000"/>
          <w:sz w:val="22"/>
          <w:szCs w:val="22"/>
          <w:lang w:val="ru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ru"/>
        </w:rPr>
        <w:t>Отмечая</w:t>
      </w:r>
      <w:r>
        <w:rPr>
          <w:rFonts w:ascii="Arial" w:hAnsi="Arial" w:cs="Arial"/>
          <w:color w:val="000000"/>
          <w:sz w:val="22"/>
          <w:szCs w:val="22"/>
          <w:lang w:val="ru"/>
        </w:rPr>
        <w:t xml:space="preserve"> Доклад Секретариата о примерах передовой практики МКГ/СПЦСВАСМ, касающихся проведения регулярных проверок функционирования систем оповещения ПДСЦ с 2012 года, </w:t>
      </w:r>
      <w:r>
        <w:rPr>
          <w:rFonts w:ascii="Arial" w:hAnsi="Arial" w:cs="Arial"/>
          <w:b/>
          <w:bCs/>
          <w:color w:val="000000"/>
          <w:sz w:val="22"/>
          <w:szCs w:val="22"/>
          <w:lang w:val="ru"/>
        </w:rPr>
        <w:t>МКГ поручила</w:t>
      </w:r>
      <w:r>
        <w:rPr>
          <w:rFonts w:ascii="Arial" w:hAnsi="Arial" w:cs="Arial"/>
          <w:color w:val="000000"/>
          <w:sz w:val="22"/>
          <w:szCs w:val="22"/>
          <w:lang w:val="ru"/>
        </w:rPr>
        <w:t xml:space="preserve"> ЦГ-ПДСЦ РГ2 изучить реализацию этого метода поставщиками данных слежения за цунами МКГ/СПЦТО для устранения необходимости в издании циркулярных писем МОК в целях осуществления регулярной деятельности оперативного характера.</w:t>
      </w:r>
    </w:p>
    <w:p w14:paraId="2571C89C" w14:textId="30B199FF" w:rsidR="00D71ADF" w:rsidRPr="005A5CC6" w:rsidRDefault="00D71ADF" w:rsidP="00D71ADF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pacing w:before="120" w:after="240" w:line="240" w:lineRule="atLeast"/>
        <w:ind w:left="0" w:firstLine="0"/>
        <w:jc w:val="both"/>
        <w:rPr>
          <w:rFonts w:ascii="Arial" w:hAnsi="Arial" w:cs="Arial"/>
          <w:color w:val="000000"/>
          <w:sz w:val="22"/>
          <w:szCs w:val="22"/>
          <w:lang w:val="ru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ru"/>
        </w:rPr>
        <w:t>Отмечая</w:t>
      </w:r>
      <w:r>
        <w:rPr>
          <w:rFonts w:ascii="Arial" w:hAnsi="Arial" w:cs="Arial"/>
          <w:color w:val="000000"/>
          <w:sz w:val="22"/>
          <w:szCs w:val="22"/>
          <w:lang w:val="ru"/>
        </w:rPr>
        <w:t xml:space="preserve"> рекомендацию TOWS-WG-XVIII для 33-й сессии Ассамблеи МОК в 2025 году о создании механизмов между ПДСЦ в рамках каждой МКГ для обеспечения бесперебойного оказания услуг во всей Зоне обслуживания МКГ, </w:t>
      </w:r>
      <w:r>
        <w:rPr>
          <w:rFonts w:ascii="Arial" w:hAnsi="Arial" w:cs="Arial"/>
          <w:b/>
          <w:bCs/>
          <w:color w:val="000000"/>
          <w:sz w:val="22"/>
          <w:szCs w:val="22"/>
          <w:lang w:val="ru"/>
        </w:rPr>
        <w:t xml:space="preserve">МКГ поручила </w:t>
      </w:r>
      <w:r>
        <w:rPr>
          <w:rFonts w:ascii="Arial" w:hAnsi="Arial" w:cs="Arial"/>
          <w:color w:val="000000"/>
          <w:sz w:val="22"/>
          <w:szCs w:val="22"/>
          <w:lang w:val="ru"/>
        </w:rPr>
        <w:t>ЦГ-ПДСЦ РГ2 составить отчет об анализе необходимости и требований таких механизмов в рамках ПДСЦ, приняв во внимание требования и возможности событий как в ближней, таки в дальней зоне, существующие резервные механизмы, расширение Зоны обслуживания существующих ПДСЦ, где это применимо, а также возможность и целесообразность создания новых ПДСЦ государствами-членами совместно или независимо друг от друга.</w:t>
      </w:r>
    </w:p>
    <w:p w14:paraId="29C0C669" w14:textId="79D0EC45" w:rsidR="00154A31" w:rsidRPr="005A5CC6" w:rsidRDefault="00154A31" w:rsidP="00FA5203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pacing w:before="120" w:after="240" w:line="240" w:lineRule="atLeast"/>
        <w:ind w:left="0" w:firstLine="0"/>
        <w:jc w:val="both"/>
        <w:rPr>
          <w:rFonts w:ascii="Arial" w:hAnsi="Arial" w:cs="Arial"/>
          <w:color w:val="000000"/>
          <w:sz w:val="22"/>
          <w:szCs w:val="22"/>
          <w:lang w:val="ru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ru"/>
        </w:rPr>
        <w:t>Отмечая</w:t>
      </w:r>
      <w:r>
        <w:rPr>
          <w:rFonts w:ascii="Arial" w:hAnsi="Arial" w:cs="Arial"/>
          <w:color w:val="000000"/>
          <w:sz w:val="22"/>
          <w:szCs w:val="22"/>
          <w:lang w:val="ru"/>
        </w:rPr>
        <w:t xml:space="preserve"> значительный потенциал SMART-кабелей для улучшения мониторинга и прогнозирования цунами, а также прогресс инициатив, связанных со SMART-кабелями, в юго-западной части Тихого океана, включая развертывание кабеля TAM-TAM, МКГ посредством своей РГ2 </w:t>
      </w:r>
      <w:r>
        <w:rPr>
          <w:rFonts w:ascii="Arial" w:hAnsi="Arial" w:cs="Arial"/>
          <w:b/>
          <w:bCs/>
          <w:color w:val="000000"/>
          <w:sz w:val="22"/>
          <w:szCs w:val="22"/>
          <w:lang w:val="ru"/>
        </w:rPr>
        <w:t>рекомендовала</w:t>
      </w:r>
      <w:r>
        <w:rPr>
          <w:rFonts w:ascii="Arial" w:hAnsi="Arial" w:cs="Arial"/>
          <w:color w:val="000000"/>
          <w:sz w:val="22"/>
          <w:szCs w:val="22"/>
          <w:lang w:val="ru"/>
        </w:rPr>
        <w:t xml:space="preserve"> государствам-членам интегрировать SMART-функционал в новые проекты по подводным телекоммуникационным кабелям, уделять приоритетное внимание развертыванию в зонах с высоким риском цунами и предоставлять данные с открытым доступом для мониторинга и прогнозирования, а </w:t>
      </w:r>
      <w:r>
        <w:rPr>
          <w:rFonts w:ascii="Arial" w:hAnsi="Arial" w:cs="Arial"/>
          <w:b/>
          <w:bCs/>
          <w:color w:val="000000"/>
          <w:sz w:val="22"/>
          <w:szCs w:val="22"/>
          <w:lang w:val="ru"/>
        </w:rPr>
        <w:t>также призвала</w:t>
      </w:r>
      <w:r>
        <w:rPr>
          <w:rFonts w:ascii="Arial" w:hAnsi="Arial" w:cs="Arial"/>
          <w:color w:val="000000"/>
          <w:sz w:val="22"/>
          <w:szCs w:val="22"/>
          <w:lang w:val="ru"/>
        </w:rPr>
        <w:t xml:space="preserve"> к открытому доступу в целях исследования для снижения риска бедствий. Она </w:t>
      </w:r>
      <w:r>
        <w:rPr>
          <w:rFonts w:ascii="Arial" w:hAnsi="Arial" w:cs="Arial"/>
          <w:b/>
          <w:bCs/>
          <w:color w:val="000000"/>
          <w:sz w:val="22"/>
          <w:szCs w:val="22"/>
          <w:lang w:val="ru"/>
        </w:rPr>
        <w:t>также рекомендовала</w:t>
      </w:r>
      <w:r>
        <w:rPr>
          <w:rFonts w:ascii="Arial" w:hAnsi="Arial" w:cs="Arial"/>
          <w:color w:val="000000"/>
          <w:sz w:val="22"/>
          <w:szCs w:val="22"/>
          <w:lang w:val="ru"/>
        </w:rPr>
        <w:t xml:space="preserve"> им присоединиться к Объединенной целевой группе по SMART-кабелям для разработки протоколов доступа к </w:t>
      </w:r>
      <w:r>
        <w:rPr>
          <w:rFonts w:ascii="Arial" w:hAnsi="Arial" w:cs="Arial"/>
          <w:color w:val="000000"/>
          <w:sz w:val="22"/>
          <w:szCs w:val="22"/>
          <w:lang w:val="ru"/>
        </w:rPr>
        <w:lastRenderedPageBreak/>
        <w:t xml:space="preserve">данным в режиме реального времени и интеграции данных, полученных с помощью SMART-кабелей, в СПЦТО и Национальные центры предупреждения о цунами. </w:t>
      </w:r>
    </w:p>
    <w:p w14:paraId="3EE66446" w14:textId="01E8B4F0" w:rsidR="00154A31" w:rsidRPr="005A5CC6" w:rsidRDefault="00F40D06" w:rsidP="00F40D06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pacing w:before="120" w:after="240" w:line="240" w:lineRule="atLeast"/>
        <w:ind w:left="0" w:firstLine="0"/>
        <w:jc w:val="both"/>
        <w:rPr>
          <w:rFonts w:ascii="Arial" w:hAnsi="Arial" w:cs="Arial"/>
          <w:color w:val="000000"/>
          <w:sz w:val="22"/>
          <w:szCs w:val="22"/>
          <w:lang w:val="ru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ru"/>
        </w:rPr>
        <w:t xml:space="preserve">Принимая во внимание </w:t>
      </w:r>
      <w:r>
        <w:rPr>
          <w:rFonts w:ascii="Arial" w:hAnsi="Arial" w:cs="Arial"/>
          <w:color w:val="000000"/>
          <w:sz w:val="22"/>
          <w:szCs w:val="22"/>
          <w:lang w:val="ru"/>
        </w:rPr>
        <w:t xml:space="preserve">дискуссию по предложенным поправкам в текстовый продукт СПЦТО, включая наименование побережий, для которых прогнозируемая амплитуда цунами составляет менее 0,3 м, и добавление положения в ключевые положения, поясняющего, что они являются лишь рекомендациями для побережий СПЦТО, </w:t>
      </w:r>
      <w:r>
        <w:rPr>
          <w:rFonts w:ascii="Arial" w:hAnsi="Arial" w:cs="Arial"/>
          <w:b/>
          <w:bCs/>
          <w:color w:val="000000"/>
          <w:sz w:val="22"/>
          <w:szCs w:val="22"/>
          <w:lang w:val="ru"/>
        </w:rPr>
        <w:t>МКГ поручила</w:t>
      </w:r>
      <w:r>
        <w:rPr>
          <w:rFonts w:ascii="Arial" w:hAnsi="Arial" w:cs="Arial"/>
          <w:color w:val="000000"/>
          <w:sz w:val="22"/>
          <w:szCs w:val="22"/>
          <w:lang w:val="ru"/>
        </w:rPr>
        <w:t xml:space="preserve"> ЦПЦТО удалить раздел с наименованиями побережий с прогнозируемой амплитудой менее 0,3 м и добавить пояснение о применении ключевых положений текстового продукта, уточнив, что они представляют собой лишь рекомендацию для побережий СПЦТО.</w:t>
      </w:r>
    </w:p>
    <w:p w14:paraId="388E3E46" w14:textId="48755EFD" w:rsidR="00154A31" w:rsidRPr="005A5CC6" w:rsidRDefault="00154A31" w:rsidP="00154A31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pacing w:before="120" w:after="240" w:line="240" w:lineRule="atLeast"/>
        <w:ind w:left="0" w:firstLine="0"/>
        <w:jc w:val="both"/>
        <w:rPr>
          <w:rFonts w:ascii="Arial" w:hAnsi="Arial" w:cs="Arial"/>
          <w:color w:val="000000"/>
          <w:sz w:val="22"/>
          <w:szCs w:val="22"/>
          <w:lang w:val="ru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ru"/>
        </w:rPr>
        <w:t>Напомнив</w:t>
      </w:r>
      <w:r>
        <w:rPr>
          <w:rFonts w:ascii="Arial" w:hAnsi="Arial" w:cs="Arial"/>
          <w:color w:val="000000"/>
          <w:sz w:val="22"/>
          <w:szCs w:val="22"/>
          <w:lang w:val="ru"/>
        </w:rPr>
        <w:t xml:space="preserve"> о том, что решение A-32/3.4.1 Ассамблеи МОК поручило всем региональным поставщикам данных слежения за цунами в сотрудничестве с операторами системы «NAVAREA» МГО провести тестирование продуктов для обеспечения безопасности на море во время цунами в 2023-24 годах с целью их оперативного внедрения в 2024–2025 годах, </w:t>
      </w:r>
      <w:r>
        <w:rPr>
          <w:rFonts w:ascii="Arial" w:hAnsi="Arial" w:cs="Arial"/>
          <w:b/>
          <w:bCs/>
          <w:color w:val="000000"/>
          <w:sz w:val="22"/>
          <w:szCs w:val="22"/>
          <w:lang w:val="ru"/>
        </w:rPr>
        <w:t xml:space="preserve">и учитывая </w:t>
      </w:r>
      <w:r>
        <w:rPr>
          <w:rFonts w:ascii="Arial" w:hAnsi="Arial" w:cs="Arial"/>
          <w:color w:val="000000"/>
          <w:sz w:val="22"/>
          <w:szCs w:val="22"/>
          <w:lang w:val="ru"/>
        </w:rPr>
        <w:t>тот факт, что ЦПЦТО как ПДСЦ, охватывающий все побережья системы предупреждения о цунами в Тихом океане, согласился оказывать такую услугу СПЦТО и разработал такие продукты, провел проверку функционирования систем оповещения с координаторами системы «NAVAREA» для Тихого океана и составил проект руководства по этим продуктам,</w:t>
      </w:r>
      <w:r>
        <w:rPr>
          <w:rFonts w:ascii="Arial" w:hAnsi="Arial" w:cs="Arial"/>
          <w:b/>
          <w:bCs/>
          <w:color w:val="000000"/>
          <w:sz w:val="22"/>
          <w:szCs w:val="22"/>
          <w:lang w:val="ru"/>
        </w:rPr>
        <w:t xml:space="preserve"> МКГ поручила </w:t>
      </w:r>
      <w:r>
        <w:rPr>
          <w:rFonts w:ascii="Arial" w:hAnsi="Arial" w:cs="Arial"/>
          <w:color w:val="000000"/>
          <w:sz w:val="22"/>
          <w:szCs w:val="22"/>
          <w:lang w:val="ru"/>
        </w:rPr>
        <w:t>ЦПЦТО внедрить эти продукты в 2025 году после следующего совещания Всемирной службы навигационных предупреждений в сентябре 2025 года.</w:t>
      </w:r>
    </w:p>
    <w:p w14:paraId="1E1FA0A7" w14:textId="59C9D9CA" w:rsidR="00154A31" w:rsidRPr="005A5CC6" w:rsidRDefault="00154A31" w:rsidP="00154A31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pacing w:before="120" w:after="240" w:line="240" w:lineRule="atLeast"/>
        <w:ind w:left="0" w:firstLine="0"/>
        <w:jc w:val="both"/>
        <w:rPr>
          <w:rFonts w:ascii="Arial" w:hAnsi="Arial" w:cs="Arial"/>
          <w:color w:val="000000"/>
          <w:sz w:val="22"/>
          <w:szCs w:val="22"/>
          <w:lang w:val="ru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ru"/>
        </w:rPr>
        <w:t xml:space="preserve">Напоминая </w:t>
      </w:r>
      <w:r>
        <w:rPr>
          <w:rFonts w:ascii="Arial" w:hAnsi="Arial" w:cs="Arial"/>
          <w:color w:val="000000"/>
          <w:sz w:val="22"/>
          <w:szCs w:val="22"/>
          <w:lang w:val="ru"/>
        </w:rPr>
        <w:t xml:space="preserve">о том, что РГ-СПЦО на своем 17-м заседании утвердила План реализации Коалиции в поддержку обеспечения готовности к цунами, направленный на реализацию и поддержание готовности к цунами посредством целенаправленного продвижения, информационно-просветительской деятельности, мобилизации ресурсов, налаживания связей, оказания влияния и предоставления консультаций, </w:t>
      </w:r>
      <w:r>
        <w:rPr>
          <w:rFonts w:ascii="Arial" w:hAnsi="Arial" w:cs="Arial"/>
          <w:b/>
          <w:bCs/>
          <w:color w:val="000000"/>
          <w:sz w:val="22"/>
          <w:szCs w:val="22"/>
          <w:lang w:val="ru"/>
        </w:rPr>
        <w:t xml:space="preserve">МКГ попросила </w:t>
      </w:r>
      <w:r>
        <w:rPr>
          <w:rFonts w:ascii="Arial" w:hAnsi="Arial" w:cs="Arial"/>
          <w:color w:val="000000"/>
          <w:sz w:val="22"/>
          <w:szCs w:val="22"/>
          <w:lang w:val="ru"/>
        </w:rPr>
        <w:t>РГ3 и ее Целевую группу по готовности к цунами активно поддержать деятельность по реализации Коалиции в поддержку обеспечения готовности к цунами.</w:t>
      </w:r>
    </w:p>
    <w:p w14:paraId="72B85DC2" w14:textId="03858E6C" w:rsidR="00154A31" w:rsidRPr="005A5CC6" w:rsidRDefault="00154A31" w:rsidP="00EB0563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pacing w:before="120" w:after="240" w:line="240" w:lineRule="atLeast"/>
        <w:ind w:left="0" w:firstLine="0"/>
        <w:jc w:val="both"/>
        <w:rPr>
          <w:rFonts w:ascii="Arial" w:hAnsi="Arial" w:cs="Arial"/>
          <w:color w:val="000000"/>
          <w:sz w:val="22"/>
          <w:szCs w:val="22"/>
          <w:lang w:val="ru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ru"/>
        </w:rPr>
        <w:t>МКГ рекомендовала</w:t>
      </w:r>
      <w:r>
        <w:rPr>
          <w:rFonts w:ascii="Arial" w:hAnsi="Arial" w:cs="Arial"/>
          <w:color w:val="000000"/>
          <w:sz w:val="22"/>
          <w:szCs w:val="22"/>
          <w:lang w:val="ru"/>
        </w:rPr>
        <w:t xml:space="preserve"> предварительно утвердить «Руководство по эквивалентности готовности к цунами» в соответствии с </w:t>
      </w:r>
      <w:hyperlink r:id="rId15" w:history="1">
        <w:r>
          <w:rPr>
            <w:rStyle w:val="Hyperlink"/>
            <w:rFonts w:ascii="Arial" w:hAnsi="Arial" w:cs="Arial"/>
            <w:sz w:val="22"/>
            <w:szCs w:val="22"/>
            <w:lang w:val="ru"/>
          </w:rPr>
          <w:t>Проектом документа</w:t>
        </w:r>
      </w:hyperlink>
      <w:r>
        <w:rPr>
          <w:rFonts w:ascii="Arial" w:hAnsi="Arial" w:cs="Arial"/>
          <w:color w:val="000000"/>
          <w:sz w:val="22"/>
          <w:szCs w:val="22"/>
          <w:lang w:val="ru"/>
        </w:rPr>
        <w:t xml:space="preserve"> (пункт 4.2 Повестки дня) сессии ICG/PTWS-XXXI для пробного использования с целью доработки Руководства и его утверждения на сессии ICG/PTWS-XXXII. </w:t>
      </w:r>
      <w:r w:rsidR="005A5CC6" w:rsidRPr="005A5CC6">
        <w:rPr>
          <w:rFonts w:ascii="Arial" w:hAnsi="Arial" w:cs="Arial"/>
          <w:color w:val="000000"/>
          <w:sz w:val="22"/>
          <w:szCs w:val="22"/>
          <w:lang w:val="ru"/>
        </w:rPr>
        <w:t xml:space="preserve">Он </w:t>
      </w:r>
      <w:r w:rsidR="005A5CC6" w:rsidRPr="005A5CC6">
        <w:rPr>
          <w:rFonts w:ascii="Arial" w:hAnsi="Arial" w:cs="Arial"/>
          <w:b/>
          <w:bCs/>
          <w:color w:val="000000"/>
          <w:sz w:val="22"/>
          <w:szCs w:val="22"/>
          <w:lang w:val="ru"/>
        </w:rPr>
        <w:t>также рекомендовал</w:t>
      </w:r>
      <w:r>
        <w:rPr>
          <w:rFonts w:ascii="Arial" w:hAnsi="Arial" w:cs="Arial"/>
          <w:color w:val="000000"/>
          <w:sz w:val="22"/>
          <w:szCs w:val="22"/>
          <w:lang w:val="ru"/>
        </w:rPr>
        <w:t xml:space="preserve"> Целевой группе по готовности к цунами РГ3 МКГ/СПЦТО провести пилотное тестирование «Руководства СПЦТО по эквивалентности готовности к цунами».  </w:t>
      </w:r>
    </w:p>
    <w:p w14:paraId="70078377" w14:textId="297071AA" w:rsidR="00154A31" w:rsidRPr="005A5CC6" w:rsidRDefault="00154A31" w:rsidP="00EB0563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pacing w:before="120" w:after="240" w:line="240" w:lineRule="atLeast"/>
        <w:ind w:left="0" w:firstLine="0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ru"/>
        </w:rPr>
        <w:t>Напоминая</w:t>
      </w:r>
      <w:r>
        <w:rPr>
          <w:rFonts w:ascii="Arial" w:hAnsi="Arial" w:cs="Arial"/>
          <w:color w:val="000000"/>
          <w:sz w:val="22"/>
          <w:szCs w:val="22"/>
          <w:lang w:val="ru"/>
        </w:rPr>
        <w:t xml:space="preserve"> о важности Программы МОК ЮНЕСКО по сертификации готовности к цунами как ключевого механизма для достижения цели Десятилетия ООН, посвященного науке об океане (обеспечение к 2030 году готовности и устойчивости к цунами 100% районов, подверженных риску цунами), </w:t>
      </w:r>
      <w:r>
        <w:rPr>
          <w:rFonts w:ascii="Arial" w:hAnsi="Arial" w:cs="Arial"/>
          <w:b/>
          <w:bCs/>
          <w:color w:val="000000"/>
          <w:sz w:val="22"/>
          <w:szCs w:val="22"/>
          <w:lang w:val="ru"/>
        </w:rPr>
        <w:t>МКГ попросила</w:t>
      </w:r>
      <w:r>
        <w:rPr>
          <w:rFonts w:ascii="Arial" w:hAnsi="Arial" w:cs="Arial"/>
          <w:color w:val="000000"/>
          <w:sz w:val="22"/>
          <w:szCs w:val="22"/>
          <w:lang w:val="ru"/>
        </w:rPr>
        <w:t xml:space="preserve"> Целевую группу РГ3 по готовности к цунами продолжить изучение дальнейших действий по признанию, поддержке и освещению преимуществ официального признания готовности к цунами со стороны ЮНЕСКО-МОК.</w:t>
      </w:r>
    </w:p>
    <w:p w14:paraId="285A13C3" w14:textId="4B922D12" w:rsidR="003B6D4C" w:rsidRPr="005A5CC6" w:rsidRDefault="008165A7" w:rsidP="00C92D5F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pacing w:before="120" w:after="240" w:line="240" w:lineRule="atLeast"/>
        <w:ind w:left="0" w:firstLine="0"/>
        <w:jc w:val="both"/>
        <w:rPr>
          <w:rFonts w:ascii="Arial" w:eastAsia="Arial" w:hAnsi="Arial" w:cs="Arial"/>
          <w:bCs/>
          <w:sz w:val="22"/>
          <w:szCs w:val="22"/>
          <w:lang w:val="fr-FR"/>
        </w:rPr>
      </w:pPr>
      <w:r>
        <w:rPr>
          <w:rFonts w:ascii="Arial" w:eastAsia="Arial" w:hAnsi="Arial" w:cs="Arial"/>
          <w:b/>
          <w:bCs/>
          <w:sz w:val="22"/>
          <w:szCs w:val="22"/>
          <w:lang w:val="ru"/>
        </w:rPr>
        <w:t xml:space="preserve">МКГ </w:t>
      </w:r>
      <w:r>
        <w:rPr>
          <w:rFonts w:ascii="Arial" w:eastAsia="Arial" w:hAnsi="Arial" w:cs="Arial"/>
          <w:sz w:val="22"/>
          <w:szCs w:val="22"/>
          <w:lang w:val="ru"/>
        </w:rPr>
        <w:t>избрала д-ра Дакуи Ванга (Китай) в качестве Председателя, а г-на Леву Антфала (Вануату), г-жу Лару Бланд (Новая Зеландия) и д-ра Милен Виллегас (Филиппины) в качестве заместителей председателя МКГ/СПЦТО.</w:t>
      </w:r>
    </w:p>
    <w:sectPr w:rsidR="003B6D4C" w:rsidRPr="005A5CC6" w:rsidSect="00B96458">
      <w:headerReference w:type="even" r:id="rId16"/>
      <w:headerReference w:type="default" r:id="rId17"/>
      <w:headerReference w:type="first" r:id="rId18"/>
      <w:pgSz w:w="11907" w:h="16840" w:code="9"/>
      <w:pgMar w:top="1134" w:right="1134" w:bottom="1134" w:left="1134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CE719" w14:textId="77777777" w:rsidR="0085024F" w:rsidRDefault="0085024F">
      <w:r>
        <w:separator/>
      </w:r>
    </w:p>
  </w:endnote>
  <w:endnote w:type="continuationSeparator" w:id="0">
    <w:p w14:paraId="4131120C" w14:textId="77777777" w:rsidR="0085024F" w:rsidRDefault="00850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3A080" w14:textId="77777777" w:rsidR="0085024F" w:rsidRDefault="0085024F">
      <w:r>
        <w:separator/>
      </w:r>
    </w:p>
  </w:footnote>
  <w:footnote w:type="continuationSeparator" w:id="0">
    <w:p w14:paraId="17A01BF7" w14:textId="77777777" w:rsidR="0085024F" w:rsidRDefault="00850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66B3B" w14:textId="3CED6592" w:rsidR="0023152A" w:rsidRPr="005A5CC6" w:rsidRDefault="00D924ED" w:rsidP="0002560F">
    <w:pPr>
      <w:pStyle w:val="Header"/>
      <w:rPr>
        <w:sz w:val="20"/>
        <w:lang w:val="en-US"/>
      </w:rPr>
    </w:pPr>
    <w:r>
      <w:rPr>
        <w:sz w:val="20"/>
        <w:lang w:val="ru"/>
      </w:rPr>
      <w:t xml:space="preserve">IOC/ICG/PTWS-XXXI/3s – страница </w:t>
    </w:r>
    <w:r>
      <w:rPr>
        <w:sz w:val="20"/>
        <w:lang w:val="ru"/>
      </w:rPr>
      <w:fldChar w:fldCharType="begin"/>
    </w:r>
    <w:r>
      <w:rPr>
        <w:sz w:val="20"/>
        <w:lang w:val="ru"/>
      </w:rPr>
      <w:instrText>PAGE   \* MERGEFORMAT</w:instrText>
    </w:r>
    <w:r>
      <w:rPr>
        <w:sz w:val="20"/>
        <w:lang w:val="ru"/>
      </w:rPr>
      <w:fldChar w:fldCharType="separate"/>
    </w:r>
    <w:r>
      <w:rPr>
        <w:noProof/>
        <w:sz w:val="20"/>
        <w:lang w:val="ru"/>
      </w:rPr>
      <w:t>16</w:t>
    </w:r>
    <w:r>
      <w:rPr>
        <w:sz w:val="20"/>
        <w:lang w:val="ru"/>
      </w:rPr>
      <w:fldChar w:fldCharType="end"/>
    </w:r>
  </w:p>
  <w:p w14:paraId="20DC9944" w14:textId="77777777" w:rsidR="0023152A" w:rsidRPr="005A5CC6" w:rsidRDefault="0023152A" w:rsidP="007A121B">
    <w:pPr>
      <w:pStyle w:val="Header"/>
      <w:rPr>
        <w:lang w:val="en-US"/>
      </w:rPr>
    </w:pPr>
  </w:p>
  <w:p w14:paraId="49F08F95" w14:textId="77777777" w:rsidR="0002560F" w:rsidRPr="005A5CC6" w:rsidRDefault="0002560F" w:rsidP="007A121B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A554E" w14:textId="7A5E7876" w:rsidR="0002560F" w:rsidRPr="005A5CC6" w:rsidRDefault="00D924ED" w:rsidP="003B6D4C">
    <w:pPr>
      <w:pStyle w:val="Header"/>
      <w:ind w:left="6379"/>
      <w:rPr>
        <w:sz w:val="20"/>
        <w:lang w:val="en-US"/>
      </w:rPr>
    </w:pPr>
    <w:r>
      <w:rPr>
        <w:sz w:val="20"/>
        <w:lang w:val="ru"/>
      </w:rPr>
      <w:t xml:space="preserve">IOC/ICG/PTWS-XXX/3s – страница </w:t>
    </w:r>
    <w:r>
      <w:rPr>
        <w:sz w:val="20"/>
        <w:lang w:val="ru"/>
      </w:rPr>
      <w:fldChar w:fldCharType="begin"/>
    </w:r>
    <w:r>
      <w:rPr>
        <w:sz w:val="20"/>
        <w:lang w:val="ru"/>
      </w:rPr>
      <w:instrText>PAGE   \* MERGEFORMAT</w:instrText>
    </w:r>
    <w:r>
      <w:rPr>
        <w:sz w:val="20"/>
        <w:lang w:val="ru"/>
      </w:rPr>
      <w:fldChar w:fldCharType="separate"/>
    </w:r>
    <w:r>
      <w:rPr>
        <w:sz w:val="20"/>
        <w:lang w:val="ru"/>
      </w:rPr>
      <w:t>2</w:t>
    </w:r>
    <w:r>
      <w:rPr>
        <w:sz w:val="20"/>
        <w:lang w:val="ru"/>
      </w:rPr>
      <w:fldChar w:fldCharType="end"/>
    </w:r>
  </w:p>
  <w:p w14:paraId="09973621" w14:textId="77777777" w:rsidR="0002560F" w:rsidRPr="005A5CC6" w:rsidRDefault="0002560F" w:rsidP="00B96458">
    <w:pPr>
      <w:pStyle w:val="Header"/>
      <w:ind w:left="6663"/>
      <w:rPr>
        <w:lang w:val="en-US"/>
      </w:rPr>
    </w:pPr>
  </w:p>
  <w:p w14:paraId="24E6ABEC" w14:textId="77777777" w:rsidR="00ED4416" w:rsidRPr="005A5CC6" w:rsidRDefault="00ED4416" w:rsidP="00B96458">
    <w:pPr>
      <w:pStyle w:val="Header"/>
      <w:ind w:left="6663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42FE7" w14:textId="2B12DA31" w:rsidR="0002560F" w:rsidRPr="00F65914" w:rsidRDefault="00292939" w:rsidP="00F65914">
    <w:pPr>
      <w:ind w:left="6946"/>
      <w:rPr>
        <w:rFonts w:ascii="Arial" w:eastAsia="Arial" w:hAnsi="Arial" w:cs="Arial"/>
        <w:b/>
        <w:bCs/>
      </w:rPr>
    </w:pPr>
    <w:r>
      <w:rPr>
        <w:noProof/>
        <w:lang w:val="ru"/>
      </w:rPr>
      <w:drawing>
        <wp:anchor distT="0" distB="0" distL="114300" distR="114300" simplePos="0" relativeHeight="251659264" behindDoc="0" locked="0" layoutInCell="1" allowOverlap="1" wp14:anchorId="14F6AA34" wp14:editId="5C81D43D">
          <wp:simplePos x="0" y="0"/>
          <wp:positionH relativeFrom="column">
            <wp:posOffset>0</wp:posOffset>
          </wp:positionH>
          <wp:positionV relativeFrom="paragraph">
            <wp:posOffset>-5605</wp:posOffset>
          </wp:positionV>
          <wp:extent cx="1578610" cy="1047115"/>
          <wp:effectExtent l="0" t="0" r="0" b="0"/>
          <wp:wrapSquare wrapText="bothSides"/>
          <wp:docPr id="6" name="Picture 22" descr="Логотип, название компании Описание генерируется автоматическ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610" cy="1047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bCs/>
        <w:lang w:val="ru"/>
      </w:rPr>
      <w:t>IOC/ICG/PTWS-XXXI/3s</w:t>
    </w:r>
  </w:p>
  <w:p w14:paraId="47AEA249" w14:textId="41D7E4C7" w:rsidR="0002560F" w:rsidRPr="006D7111" w:rsidRDefault="000A5379" w:rsidP="00F65914">
    <w:pPr>
      <w:tabs>
        <w:tab w:val="left" w:pos="613"/>
      </w:tabs>
      <w:ind w:left="6946" w:right="96"/>
      <w:rPr>
        <w:rFonts w:ascii="Arial" w:eastAsia="Arial" w:hAnsi="Arial" w:cs="Arial"/>
      </w:rPr>
    </w:pPr>
    <w:r>
      <w:rPr>
        <w:rFonts w:ascii="Arial" w:eastAsia="Arial" w:hAnsi="Arial" w:cs="Arial"/>
        <w:lang w:val="ru"/>
      </w:rPr>
      <w:t>30 мая 2025 года</w:t>
    </w:r>
  </w:p>
  <w:p w14:paraId="11949D9E" w14:textId="77777777" w:rsidR="0002560F" w:rsidRPr="006D7111" w:rsidRDefault="0002560F" w:rsidP="00F65914">
    <w:pPr>
      <w:ind w:left="6946" w:right="426"/>
      <w:rPr>
        <w:rFonts w:ascii="Arial" w:eastAsia="Arial" w:hAnsi="Arial" w:cs="Arial"/>
      </w:rPr>
    </w:pPr>
    <w:r>
      <w:rPr>
        <w:rFonts w:ascii="Arial" w:eastAsia="Arial" w:hAnsi="Arial" w:cs="Arial"/>
        <w:lang w:val="ru"/>
      </w:rPr>
      <w:t>Язык оригинала: английский</w:t>
    </w:r>
  </w:p>
  <w:p w14:paraId="0D6F7ABD" w14:textId="77777777" w:rsidR="0002560F" w:rsidRPr="00B14399" w:rsidRDefault="0002560F" w:rsidP="0002560F">
    <w:pPr>
      <w:spacing w:before="100" w:beforeAutospacing="1"/>
      <w:ind w:left="5670" w:right="296" w:hanging="56"/>
      <w:jc w:val="right"/>
      <w:rPr>
        <w:rFonts w:ascii="Arial" w:eastAsia="Arial" w:hAnsi="Arial" w:cs="Arial"/>
      </w:rPr>
    </w:pPr>
  </w:p>
  <w:p w14:paraId="4DC3CA99" w14:textId="77777777" w:rsidR="0002560F" w:rsidRPr="00292939" w:rsidRDefault="000256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303"/>
    <w:multiLevelType w:val="hybridMultilevel"/>
    <w:tmpl w:val="E3BC53A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776259"/>
    <w:multiLevelType w:val="hybridMultilevel"/>
    <w:tmpl w:val="EF5E68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7985A9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CC5061"/>
    <w:multiLevelType w:val="hybridMultilevel"/>
    <w:tmpl w:val="8D66E700"/>
    <w:lvl w:ilvl="0" w:tplc="A34076D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223D1"/>
    <w:multiLevelType w:val="hybridMultilevel"/>
    <w:tmpl w:val="90D60C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D01BD"/>
    <w:multiLevelType w:val="hybridMultilevel"/>
    <w:tmpl w:val="C65ADF7A"/>
    <w:lvl w:ilvl="0" w:tplc="0178C1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CA94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FEA4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52C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10C1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DAF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521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204E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E02B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EDB284A"/>
    <w:multiLevelType w:val="hybridMultilevel"/>
    <w:tmpl w:val="78442958"/>
    <w:lvl w:ilvl="0" w:tplc="2708D2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F1190"/>
    <w:multiLevelType w:val="multilevel"/>
    <w:tmpl w:val="0E7ACB0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165FB0"/>
    <w:multiLevelType w:val="hybridMultilevel"/>
    <w:tmpl w:val="D56C3986"/>
    <w:lvl w:ilvl="0" w:tplc="080282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8B0859"/>
    <w:multiLevelType w:val="hybridMultilevel"/>
    <w:tmpl w:val="F7D08472"/>
    <w:lvl w:ilvl="0" w:tplc="A3C06B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D891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857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9C33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A668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8A09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1481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9896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A064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C04703"/>
    <w:multiLevelType w:val="hybridMultilevel"/>
    <w:tmpl w:val="EB16638E"/>
    <w:lvl w:ilvl="0" w:tplc="404021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5D6049"/>
    <w:multiLevelType w:val="hybridMultilevel"/>
    <w:tmpl w:val="3E20B6E0"/>
    <w:lvl w:ilvl="0" w:tplc="1320F3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DA3099"/>
    <w:multiLevelType w:val="hybridMultilevel"/>
    <w:tmpl w:val="1E9C9DDA"/>
    <w:lvl w:ilvl="0" w:tplc="0409000F">
      <w:start w:val="1"/>
      <w:numFmt w:val="decimal"/>
      <w:lvlText w:val="%1.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" w15:restartNumberingAfterBreak="0">
    <w:nsid w:val="1AE336D9"/>
    <w:multiLevelType w:val="hybridMultilevel"/>
    <w:tmpl w:val="6DE09E5E"/>
    <w:lvl w:ilvl="0" w:tplc="151C39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77BD5"/>
    <w:multiLevelType w:val="hybridMultilevel"/>
    <w:tmpl w:val="DFECEE5E"/>
    <w:lvl w:ilvl="0" w:tplc="2DC097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E13F2"/>
    <w:multiLevelType w:val="hybridMultilevel"/>
    <w:tmpl w:val="CC8C96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514DBB"/>
    <w:multiLevelType w:val="hybridMultilevel"/>
    <w:tmpl w:val="38C2C72E"/>
    <w:lvl w:ilvl="0" w:tplc="5CC8D5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526AF6"/>
    <w:multiLevelType w:val="hybridMultilevel"/>
    <w:tmpl w:val="61D22A70"/>
    <w:lvl w:ilvl="0" w:tplc="921E0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2E8C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38E1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AA19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C4A8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4496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040E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2A12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22D8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945E8A"/>
    <w:multiLevelType w:val="hybridMultilevel"/>
    <w:tmpl w:val="470CF724"/>
    <w:lvl w:ilvl="0" w:tplc="921E0B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B4C4F9E"/>
    <w:multiLevelType w:val="hybridMultilevel"/>
    <w:tmpl w:val="7238613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172DB5"/>
    <w:multiLevelType w:val="hybridMultilevel"/>
    <w:tmpl w:val="5E648E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CDA533E"/>
    <w:multiLevelType w:val="hybridMultilevel"/>
    <w:tmpl w:val="902C87EE"/>
    <w:lvl w:ilvl="0" w:tplc="93604B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4A6456"/>
    <w:multiLevelType w:val="hybridMultilevel"/>
    <w:tmpl w:val="276CE808"/>
    <w:lvl w:ilvl="0" w:tplc="38E88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8CB3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0C29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72BB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6E78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8E70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CE33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3010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C221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1217E4E"/>
    <w:multiLevelType w:val="hybridMultilevel"/>
    <w:tmpl w:val="7CE86FEE"/>
    <w:lvl w:ilvl="0" w:tplc="A1526B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4D81006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1456978A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8D21C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F486DA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CD3292A2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C224913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85E11A8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CF84A344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3" w15:restartNumberingAfterBreak="0">
    <w:nsid w:val="318915C9"/>
    <w:multiLevelType w:val="hybridMultilevel"/>
    <w:tmpl w:val="5044A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E44216"/>
    <w:multiLevelType w:val="hybridMultilevel"/>
    <w:tmpl w:val="04CED530"/>
    <w:lvl w:ilvl="0" w:tplc="0D6436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04E4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58B9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3481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D8B0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76AB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1048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EAFA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22D4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35251275"/>
    <w:multiLevelType w:val="hybridMultilevel"/>
    <w:tmpl w:val="78EA1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1634E9"/>
    <w:multiLevelType w:val="hybridMultilevel"/>
    <w:tmpl w:val="992C9B0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9928AC"/>
    <w:multiLevelType w:val="hybridMultilevel"/>
    <w:tmpl w:val="F31C19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DD54203"/>
    <w:multiLevelType w:val="hybridMultilevel"/>
    <w:tmpl w:val="522E36F2"/>
    <w:lvl w:ilvl="0" w:tplc="485EB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EB27D04"/>
    <w:multiLevelType w:val="hybridMultilevel"/>
    <w:tmpl w:val="B7A4A0B4"/>
    <w:lvl w:ilvl="0" w:tplc="C41AD5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671904"/>
    <w:multiLevelType w:val="hybridMultilevel"/>
    <w:tmpl w:val="CC8C96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CD5C30"/>
    <w:multiLevelType w:val="hybridMultilevel"/>
    <w:tmpl w:val="74E27108"/>
    <w:lvl w:ilvl="0" w:tplc="ADC04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AU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E109BB"/>
    <w:multiLevelType w:val="hybridMultilevel"/>
    <w:tmpl w:val="9530DB58"/>
    <w:lvl w:ilvl="0" w:tplc="50A8B4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69E6002"/>
    <w:multiLevelType w:val="multilevel"/>
    <w:tmpl w:val="E5A2257A"/>
    <w:lvl w:ilvl="0">
      <w:start w:val="1"/>
      <w:numFmt w:val="decimal"/>
      <w:pStyle w:val="Heading1"/>
      <w:suff w:val="space"/>
      <w:lvlText w:val="%1. 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46AF7E1D"/>
    <w:multiLevelType w:val="hybridMultilevel"/>
    <w:tmpl w:val="DE5A9D6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67106"/>
    <w:multiLevelType w:val="hybridMultilevel"/>
    <w:tmpl w:val="A9444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7C42D5"/>
    <w:multiLevelType w:val="hybridMultilevel"/>
    <w:tmpl w:val="2434393E"/>
    <w:lvl w:ilvl="0" w:tplc="803CE420">
      <w:start w:val="1"/>
      <w:numFmt w:val="bullet"/>
      <w:pStyle w:val="COI"/>
      <w:lvlText w:val="•"/>
      <w:lvlJc w:val="left"/>
      <w:pPr>
        <w:ind w:left="11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4F50644F"/>
    <w:multiLevelType w:val="hybridMultilevel"/>
    <w:tmpl w:val="F92EE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F95947"/>
    <w:multiLevelType w:val="hybridMultilevel"/>
    <w:tmpl w:val="3DB25688"/>
    <w:lvl w:ilvl="0" w:tplc="404021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E369B7"/>
    <w:multiLevelType w:val="hybridMultilevel"/>
    <w:tmpl w:val="E454308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BA3B8B"/>
    <w:multiLevelType w:val="hybridMultilevel"/>
    <w:tmpl w:val="F1DAD58E"/>
    <w:lvl w:ilvl="0" w:tplc="4998D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6C6BF7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A46A69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676448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2301F5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37AB90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B74820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284744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DDCA1E9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1" w15:restartNumberingAfterBreak="0">
    <w:nsid w:val="58F62EBD"/>
    <w:multiLevelType w:val="hybridMultilevel"/>
    <w:tmpl w:val="6AA0D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750AAD"/>
    <w:multiLevelType w:val="hybridMultilevel"/>
    <w:tmpl w:val="175ECCA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7757EC"/>
    <w:multiLevelType w:val="hybridMultilevel"/>
    <w:tmpl w:val="9D5675D4"/>
    <w:lvl w:ilvl="0" w:tplc="5CC8D5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5133DA"/>
    <w:multiLevelType w:val="hybridMultilevel"/>
    <w:tmpl w:val="F79E2AC6"/>
    <w:lvl w:ilvl="0" w:tplc="51884E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460D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5626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962E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4A07D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601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84BC7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2236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CC670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E53F71"/>
    <w:multiLevelType w:val="hybridMultilevel"/>
    <w:tmpl w:val="175ECCA4"/>
    <w:lvl w:ilvl="0" w:tplc="5CC8D5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44E51B1"/>
    <w:multiLevelType w:val="hybridMultilevel"/>
    <w:tmpl w:val="85929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4EB5DD6"/>
    <w:multiLevelType w:val="hybridMultilevel"/>
    <w:tmpl w:val="488EE332"/>
    <w:lvl w:ilvl="0" w:tplc="B2469C0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DE8CB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3EA6B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7DE06D0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C72D1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782CB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A0C2F7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62A97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B2F9D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5FA6348"/>
    <w:multiLevelType w:val="hybridMultilevel"/>
    <w:tmpl w:val="296C9FAE"/>
    <w:lvl w:ilvl="0" w:tplc="DA20B7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C01317"/>
    <w:multiLevelType w:val="hybridMultilevel"/>
    <w:tmpl w:val="FBE6547A"/>
    <w:lvl w:ilvl="0" w:tplc="8B68843A">
      <w:start w:val="5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0" w15:restartNumberingAfterBreak="0">
    <w:nsid w:val="67D52DA3"/>
    <w:multiLevelType w:val="hybridMultilevel"/>
    <w:tmpl w:val="FD4E1E10"/>
    <w:lvl w:ilvl="0" w:tplc="1D7EE6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684468"/>
    <w:multiLevelType w:val="hybridMultilevel"/>
    <w:tmpl w:val="29D065B2"/>
    <w:lvl w:ilvl="0" w:tplc="87E26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CF54AA6"/>
    <w:multiLevelType w:val="hybridMultilevel"/>
    <w:tmpl w:val="FC40E91E"/>
    <w:lvl w:ilvl="0" w:tplc="CD607BA0">
      <w:start w:val="1"/>
      <w:numFmt w:val="upperRoman"/>
      <w:lvlText w:val="%1."/>
      <w:lvlJc w:val="left"/>
      <w:pPr>
        <w:ind w:hanging="452"/>
      </w:pPr>
      <w:rPr>
        <w:rFonts w:ascii="Arial" w:eastAsia="Arial" w:hAnsi="Arial" w:hint="default"/>
        <w:spacing w:val="1"/>
        <w:sz w:val="22"/>
        <w:szCs w:val="22"/>
      </w:rPr>
    </w:lvl>
    <w:lvl w:ilvl="1" w:tplc="17D21920">
      <w:start w:val="1"/>
      <w:numFmt w:val="bullet"/>
      <w:lvlText w:val="•"/>
      <w:lvlJc w:val="left"/>
      <w:rPr>
        <w:rFonts w:hint="default"/>
      </w:rPr>
    </w:lvl>
    <w:lvl w:ilvl="2" w:tplc="2BBC137A">
      <w:start w:val="1"/>
      <w:numFmt w:val="bullet"/>
      <w:lvlText w:val="•"/>
      <w:lvlJc w:val="left"/>
      <w:rPr>
        <w:rFonts w:hint="default"/>
      </w:rPr>
    </w:lvl>
    <w:lvl w:ilvl="3" w:tplc="A8E859F4">
      <w:start w:val="1"/>
      <w:numFmt w:val="bullet"/>
      <w:lvlText w:val="•"/>
      <w:lvlJc w:val="left"/>
      <w:rPr>
        <w:rFonts w:hint="default"/>
      </w:rPr>
    </w:lvl>
    <w:lvl w:ilvl="4" w:tplc="71B0DC6A">
      <w:start w:val="1"/>
      <w:numFmt w:val="bullet"/>
      <w:lvlText w:val="•"/>
      <w:lvlJc w:val="left"/>
      <w:rPr>
        <w:rFonts w:hint="default"/>
      </w:rPr>
    </w:lvl>
    <w:lvl w:ilvl="5" w:tplc="5310F3E2">
      <w:start w:val="1"/>
      <w:numFmt w:val="bullet"/>
      <w:lvlText w:val="•"/>
      <w:lvlJc w:val="left"/>
      <w:rPr>
        <w:rFonts w:hint="default"/>
      </w:rPr>
    </w:lvl>
    <w:lvl w:ilvl="6" w:tplc="B6A2E900">
      <w:start w:val="1"/>
      <w:numFmt w:val="bullet"/>
      <w:lvlText w:val="•"/>
      <w:lvlJc w:val="left"/>
      <w:rPr>
        <w:rFonts w:hint="default"/>
      </w:rPr>
    </w:lvl>
    <w:lvl w:ilvl="7" w:tplc="340E534C">
      <w:start w:val="1"/>
      <w:numFmt w:val="bullet"/>
      <w:lvlText w:val="•"/>
      <w:lvlJc w:val="left"/>
      <w:rPr>
        <w:rFonts w:hint="default"/>
      </w:rPr>
    </w:lvl>
    <w:lvl w:ilvl="8" w:tplc="00A63002">
      <w:start w:val="1"/>
      <w:numFmt w:val="bullet"/>
      <w:lvlText w:val="•"/>
      <w:lvlJc w:val="left"/>
      <w:rPr>
        <w:rFonts w:hint="default"/>
      </w:rPr>
    </w:lvl>
  </w:abstractNum>
  <w:abstractNum w:abstractNumId="53" w15:restartNumberingAfterBreak="0">
    <w:nsid w:val="6EA204C4"/>
    <w:multiLevelType w:val="hybridMultilevel"/>
    <w:tmpl w:val="0E38BEEA"/>
    <w:lvl w:ilvl="0" w:tplc="347CD1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0610762"/>
    <w:multiLevelType w:val="hybridMultilevel"/>
    <w:tmpl w:val="D8527A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12D14CF"/>
    <w:multiLevelType w:val="hybridMultilevel"/>
    <w:tmpl w:val="D652B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D8583B"/>
    <w:multiLevelType w:val="hybridMultilevel"/>
    <w:tmpl w:val="3C5E3AF2"/>
    <w:lvl w:ilvl="0" w:tplc="A1D2A6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3024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82FC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1CDF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1415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EE6A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FC2A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9A46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C8D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7C8E37CF"/>
    <w:multiLevelType w:val="hybridMultilevel"/>
    <w:tmpl w:val="98C401C0"/>
    <w:lvl w:ilvl="0" w:tplc="74C62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FCD4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90ED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8630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88D8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A0A1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30F4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9051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02EE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F3B47E0"/>
    <w:multiLevelType w:val="hybridMultilevel"/>
    <w:tmpl w:val="4E684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464695">
    <w:abstractNumId w:val="33"/>
  </w:num>
  <w:num w:numId="2" w16cid:durableId="6228853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123188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9127136">
    <w:abstractNumId w:val="26"/>
  </w:num>
  <w:num w:numId="5" w16cid:durableId="510993253">
    <w:abstractNumId w:val="3"/>
  </w:num>
  <w:num w:numId="6" w16cid:durableId="365639584">
    <w:abstractNumId w:val="39"/>
  </w:num>
  <w:num w:numId="7" w16cid:durableId="117728407">
    <w:abstractNumId w:val="34"/>
  </w:num>
  <w:num w:numId="8" w16cid:durableId="1903178117">
    <w:abstractNumId w:val="54"/>
  </w:num>
  <w:num w:numId="9" w16cid:durableId="1136097858">
    <w:abstractNumId w:val="1"/>
  </w:num>
  <w:num w:numId="10" w16cid:durableId="352003939">
    <w:abstractNumId w:val="46"/>
  </w:num>
  <w:num w:numId="11" w16cid:durableId="90974658">
    <w:abstractNumId w:val="31"/>
  </w:num>
  <w:num w:numId="12" w16cid:durableId="1144272946">
    <w:abstractNumId w:val="58"/>
  </w:num>
  <w:num w:numId="13" w16cid:durableId="1549564916">
    <w:abstractNumId w:val="7"/>
  </w:num>
  <w:num w:numId="14" w16cid:durableId="2134975823">
    <w:abstractNumId w:val="32"/>
  </w:num>
  <w:num w:numId="15" w16cid:durableId="122117539">
    <w:abstractNumId w:val="2"/>
  </w:num>
  <w:num w:numId="16" w16cid:durableId="211625804">
    <w:abstractNumId w:val="16"/>
  </w:num>
  <w:num w:numId="17" w16cid:durableId="1831753930">
    <w:abstractNumId w:val="57"/>
  </w:num>
  <w:num w:numId="18" w16cid:durableId="2092500793">
    <w:abstractNumId w:val="24"/>
  </w:num>
  <w:num w:numId="19" w16cid:durableId="1780292577">
    <w:abstractNumId w:val="15"/>
  </w:num>
  <w:num w:numId="20" w16cid:durableId="1701277617">
    <w:abstractNumId w:val="47"/>
  </w:num>
  <w:num w:numId="21" w16cid:durableId="401417986">
    <w:abstractNumId w:val="17"/>
  </w:num>
  <w:num w:numId="22" w16cid:durableId="295179712">
    <w:abstractNumId w:val="22"/>
  </w:num>
  <w:num w:numId="23" w16cid:durableId="1444768028">
    <w:abstractNumId w:val="45"/>
  </w:num>
  <w:num w:numId="24" w16cid:durableId="1171750523">
    <w:abstractNumId w:val="43"/>
  </w:num>
  <w:num w:numId="25" w16cid:durableId="687754402">
    <w:abstractNumId w:val="21"/>
  </w:num>
  <w:num w:numId="26" w16cid:durableId="579217557">
    <w:abstractNumId w:val="41"/>
  </w:num>
  <w:num w:numId="27" w16cid:durableId="912550817">
    <w:abstractNumId w:val="37"/>
  </w:num>
  <w:num w:numId="28" w16cid:durableId="510722518">
    <w:abstractNumId w:val="8"/>
  </w:num>
  <w:num w:numId="29" w16cid:durableId="1654332132">
    <w:abstractNumId w:val="49"/>
  </w:num>
  <w:num w:numId="30" w16cid:durableId="130369403">
    <w:abstractNumId w:val="27"/>
  </w:num>
  <w:num w:numId="31" w16cid:durableId="107625588">
    <w:abstractNumId w:val="11"/>
  </w:num>
  <w:num w:numId="32" w16cid:durableId="847329120">
    <w:abstractNumId w:val="35"/>
  </w:num>
  <w:num w:numId="33" w16cid:durableId="762266789">
    <w:abstractNumId w:val="25"/>
  </w:num>
  <w:num w:numId="34" w16cid:durableId="847139753">
    <w:abstractNumId w:val="55"/>
  </w:num>
  <w:num w:numId="35" w16cid:durableId="1998994707">
    <w:abstractNumId w:val="40"/>
  </w:num>
  <w:num w:numId="36" w16cid:durableId="1406147688">
    <w:abstractNumId w:val="56"/>
  </w:num>
  <w:num w:numId="37" w16cid:durableId="436146323">
    <w:abstractNumId w:val="10"/>
  </w:num>
  <w:num w:numId="38" w16cid:durableId="1293440789">
    <w:abstractNumId w:val="44"/>
  </w:num>
  <w:num w:numId="39" w16cid:durableId="614286400">
    <w:abstractNumId w:val="42"/>
  </w:num>
  <w:num w:numId="40" w16cid:durableId="1836995121">
    <w:abstractNumId w:val="4"/>
  </w:num>
  <w:num w:numId="41" w16cid:durableId="1490945724">
    <w:abstractNumId w:val="0"/>
  </w:num>
  <w:num w:numId="42" w16cid:durableId="409162809">
    <w:abstractNumId w:val="28"/>
  </w:num>
  <w:num w:numId="43" w16cid:durableId="309945683">
    <w:abstractNumId w:val="19"/>
  </w:num>
  <w:num w:numId="44" w16cid:durableId="2082362975">
    <w:abstractNumId w:val="9"/>
  </w:num>
  <w:num w:numId="45" w16cid:durableId="300155050">
    <w:abstractNumId w:val="38"/>
  </w:num>
  <w:num w:numId="46" w16cid:durableId="485631274">
    <w:abstractNumId w:val="48"/>
  </w:num>
  <w:num w:numId="47" w16cid:durableId="830368633">
    <w:abstractNumId w:val="50"/>
  </w:num>
  <w:num w:numId="48" w16cid:durableId="1789814091">
    <w:abstractNumId w:val="20"/>
  </w:num>
  <w:num w:numId="49" w16cid:durableId="1960649158">
    <w:abstractNumId w:val="13"/>
  </w:num>
  <w:num w:numId="50" w16cid:durableId="1575628703">
    <w:abstractNumId w:val="53"/>
  </w:num>
  <w:num w:numId="51" w16cid:durableId="402024645">
    <w:abstractNumId w:val="51"/>
  </w:num>
  <w:num w:numId="52" w16cid:durableId="53049016">
    <w:abstractNumId w:val="18"/>
  </w:num>
  <w:num w:numId="53" w16cid:durableId="680544367">
    <w:abstractNumId w:val="52"/>
  </w:num>
  <w:num w:numId="54" w16cid:durableId="42291076">
    <w:abstractNumId w:val="29"/>
  </w:num>
  <w:num w:numId="55" w16cid:durableId="740370262">
    <w:abstractNumId w:val="36"/>
  </w:num>
  <w:num w:numId="56" w16cid:durableId="1969697670">
    <w:abstractNumId w:val="23"/>
  </w:num>
  <w:num w:numId="57" w16cid:durableId="461850505">
    <w:abstractNumId w:val="5"/>
  </w:num>
  <w:num w:numId="58" w16cid:durableId="1380321173">
    <w:abstractNumId w:val="12"/>
  </w:num>
  <w:num w:numId="59" w16cid:durableId="1630435667">
    <w:abstractNumId w:val="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3B3"/>
    <w:rsid w:val="000028AE"/>
    <w:rsid w:val="00007232"/>
    <w:rsid w:val="000151D3"/>
    <w:rsid w:val="00015586"/>
    <w:rsid w:val="00016195"/>
    <w:rsid w:val="0002013A"/>
    <w:rsid w:val="00021DD8"/>
    <w:rsid w:val="000222C5"/>
    <w:rsid w:val="0002560F"/>
    <w:rsid w:val="000345BF"/>
    <w:rsid w:val="0003637E"/>
    <w:rsid w:val="00040660"/>
    <w:rsid w:val="000415AB"/>
    <w:rsid w:val="000455A8"/>
    <w:rsid w:val="00046F60"/>
    <w:rsid w:val="0005367E"/>
    <w:rsid w:val="0006143E"/>
    <w:rsid w:val="00062B7B"/>
    <w:rsid w:val="000662ED"/>
    <w:rsid w:val="00067EF8"/>
    <w:rsid w:val="00071D44"/>
    <w:rsid w:val="000769BE"/>
    <w:rsid w:val="00081C99"/>
    <w:rsid w:val="00084FB7"/>
    <w:rsid w:val="00087416"/>
    <w:rsid w:val="00091AD2"/>
    <w:rsid w:val="000928F9"/>
    <w:rsid w:val="000964B2"/>
    <w:rsid w:val="00097219"/>
    <w:rsid w:val="000A095C"/>
    <w:rsid w:val="000A5379"/>
    <w:rsid w:val="000A58AE"/>
    <w:rsid w:val="000B6EC4"/>
    <w:rsid w:val="000C0B00"/>
    <w:rsid w:val="000C394B"/>
    <w:rsid w:val="000C77BE"/>
    <w:rsid w:val="000D1159"/>
    <w:rsid w:val="000D3316"/>
    <w:rsid w:val="000D5816"/>
    <w:rsid w:val="000E00EE"/>
    <w:rsid w:val="000E110D"/>
    <w:rsid w:val="000E178F"/>
    <w:rsid w:val="000E2CBB"/>
    <w:rsid w:val="000E33B9"/>
    <w:rsid w:val="000E4926"/>
    <w:rsid w:val="000E6E09"/>
    <w:rsid w:val="000F0CEB"/>
    <w:rsid w:val="000F5757"/>
    <w:rsid w:val="000F6011"/>
    <w:rsid w:val="000F7B1C"/>
    <w:rsid w:val="001048BE"/>
    <w:rsid w:val="001100EC"/>
    <w:rsid w:val="00113688"/>
    <w:rsid w:val="00123440"/>
    <w:rsid w:val="00131950"/>
    <w:rsid w:val="001322DE"/>
    <w:rsid w:val="0014434D"/>
    <w:rsid w:val="001474EE"/>
    <w:rsid w:val="00151636"/>
    <w:rsid w:val="00152ECA"/>
    <w:rsid w:val="00153F37"/>
    <w:rsid w:val="00154A31"/>
    <w:rsid w:val="001577ED"/>
    <w:rsid w:val="001616E0"/>
    <w:rsid w:val="0016230E"/>
    <w:rsid w:val="00166C33"/>
    <w:rsid w:val="00167CAA"/>
    <w:rsid w:val="001740DD"/>
    <w:rsid w:val="0017491B"/>
    <w:rsid w:val="00175A1B"/>
    <w:rsid w:val="001834E7"/>
    <w:rsid w:val="00190E87"/>
    <w:rsid w:val="001913B0"/>
    <w:rsid w:val="00193AF4"/>
    <w:rsid w:val="001978CF"/>
    <w:rsid w:val="001A14AB"/>
    <w:rsid w:val="001A2DDC"/>
    <w:rsid w:val="001A42A2"/>
    <w:rsid w:val="001C768E"/>
    <w:rsid w:val="001C7DE3"/>
    <w:rsid w:val="001D19EF"/>
    <w:rsid w:val="001D3C3F"/>
    <w:rsid w:val="001D4AAB"/>
    <w:rsid w:val="001E2484"/>
    <w:rsid w:val="001E4830"/>
    <w:rsid w:val="001F501B"/>
    <w:rsid w:val="00203CF2"/>
    <w:rsid w:val="00206629"/>
    <w:rsid w:val="00210904"/>
    <w:rsid w:val="00214108"/>
    <w:rsid w:val="00216C2A"/>
    <w:rsid w:val="00223225"/>
    <w:rsid w:val="002244DB"/>
    <w:rsid w:val="00227240"/>
    <w:rsid w:val="00230469"/>
    <w:rsid w:val="0023152A"/>
    <w:rsid w:val="00232D7A"/>
    <w:rsid w:val="00233C55"/>
    <w:rsid w:val="002346CE"/>
    <w:rsid w:val="00243DCA"/>
    <w:rsid w:val="00244EBD"/>
    <w:rsid w:val="002501B1"/>
    <w:rsid w:val="00250383"/>
    <w:rsid w:val="00252C9D"/>
    <w:rsid w:val="00254BA9"/>
    <w:rsid w:val="00256CB1"/>
    <w:rsid w:val="00260F52"/>
    <w:rsid w:val="00264DD3"/>
    <w:rsid w:val="002670ED"/>
    <w:rsid w:val="002708F3"/>
    <w:rsid w:val="0027267C"/>
    <w:rsid w:val="00274670"/>
    <w:rsid w:val="00276065"/>
    <w:rsid w:val="00280EAF"/>
    <w:rsid w:val="00284862"/>
    <w:rsid w:val="00284BE6"/>
    <w:rsid w:val="002863E9"/>
    <w:rsid w:val="002864B0"/>
    <w:rsid w:val="00286681"/>
    <w:rsid w:val="002870A2"/>
    <w:rsid w:val="00292939"/>
    <w:rsid w:val="0029483A"/>
    <w:rsid w:val="002963C2"/>
    <w:rsid w:val="00297910"/>
    <w:rsid w:val="002A105C"/>
    <w:rsid w:val="002A7FE1"/>
    <w:rsid w:val="002B0CF1"/>
    <w:rsid w:val="002B147D"/>
    <w:rsid w:val="002B1D7A"/>
    <w:rsid w:val="002B2067"/>
    <w:rsid w:val="002B7356"/>
    <w:rsid w:val="002B75A8"/>
    <w:rsid w:val="002C20F3"/>
    <w:rsid w:val="002C2D92"/>
    <w:rsid w:val="002C2E8E"/>
    <w:rsid w:val="002C3FE3"/>
    <w:rsid w:val="002C4A1C"/>
    <w:rsid w:val="002D1C1C"/>
    <w:rsid w:val="002D1E01"/>
    <w:rsid w:val="002D32E2"/>
    <w:rsid w:val="002E0C6C"/>
    <w:rsid w:val="002E2128"/>
    <w:rsid w:val="002E3B4A"/>
    <w:rsid w:val="002E60A1"/>
    <w:rsid w:val="002E74C2"/>
    <w:rsid w:val="002F154A"/>
    <w:rsid w:val="002F1821"/>
    <w:rsid w:val="002F4A9F"/>
    <w:rsid w:val="00313177"/>
    <w:rsid w:val="00313C0D"/>
    <w:rsid w:val="0031493E"/>
    <w:rsid w:val="0031587A"/>
    <w:rsid w:val="003224D8"/>
    <w:rsid w:val="003248B5"/>
    <w:rsid w:val="0032738A"/>
    <w:rsid w:val="0032782B"/>
    <w:rsid w:val="00330C5B"/>
    <w:rsid w:val="00332D6A"/>
    <w:rsid w:val="00334B80"/>
    <w:rsid w:val="00336E32"/>
    <w:rsid w:val="00337957"/>
    <w:rsid w:val="00340541"/>
    <w:rsid w:val="003422D1"/>
    <w:rsid w:val="00343536"/>
    <w:rsid w:val="0034357A"/>
    <w:rsid w:val="00343C94"/>
    <w:rsid w:val="003468FB"/>
    <w:rsid w:val="00346F3E"/>
    <w:rsid w:val="003500D9"/>
    <w:rsid w:val="00352F6A"/>
    <w:rsid w:val="00354A21"/>
    <w:rsid w:val="003603E8"/>
    <w:rsid w:val="00360686"/>
    <w:rsid w:val="00360AE3"/>
    <w:rsid w:val="003635C5"/>
    <w:rsid w:val="00363E47"/>
    <w:rsid w:val="003667F8"/>
    <w:rsid w:val="00372CED"/>
    <w:rsid w:val="00375F45"/>
    <w:rsid w:val="0037750B"/>
    <w:rsid w:val="0038382E"/>
    <w:rsid w:val="00383CFC"/>
    <w:rsid w:val="0039106E"/>
    <w:rsid w:val="00391F90"/>
    <w:rsid w:val="00392BD5"/>
    <w:rsid w:val="00397BC3"/>
    <w:rsid w:val="003B0792"/>
    <w:rsid w:val="003B07A4"/>
    <w:rsid w:val="003B6D4C"/>
    <w:rsid w:val="003B7C02"/>
    <w:rsid w:val="003C3EA4"/>
    <w:rsid w:val="003C665B"/>
    <w:rsid w:val="003C6F53"/>
    <w:rsid w:val="003D0094"/>
    <w:rsid w:val="003D212E"/>
    <w:rsid w:val="003D2D60"/>
    <w:rsid w:val="003D36F0"/>
    <w:rsid w:val="003D5EF6"/>
    <w:rsid w:val="003E34BF"/>
    <w:rsid w:val="003E5544"/>
    <w:rsid w:val="003E75F3"/>
    <w:rsid w:val="003F1803"/>
    <w:rsid w:val="003F5B1B"/>
    <w:rsid w:val="003F73CA"/>
    <w:rsid w:val="00400BB2"/>
    <w:rsid w:val="00405DBE"/>
    <w:rsid w:val="00406AAC"/>
    <w:rsid w:val="00406E17"/>
    <w:rsid w:val="00413B75"/>
    <w:rsid w:val="004155D4"/>
    <w:rsid w:val="004179D1"/>
    <w:rsid w:val="00420D08"/>
    <w:rsid w:val="00426AC3"/>
    <w:rsid w:val="00430319"/>
    <w:rsid w:val="00430EC6"/>
    <w:rsid w:val="00432256"/>
    <w:rsid w:val="004350D0"/>
    <w:rsid w:val="0043558D"/>
    <w:rsid w:val="004362C1"/>
    <w:rsid w:val="00440E04"/>
    <w:rsid w:val="00445B95"/>
    <w:rsid w:val="00446F2D"/>
    <w:rsid w:val="004470D7"/>
    <w:rsid w:val="00447A37"/>
    <w:rsid w:val="00451926"/>
    <w:rsid w:val="004526D0"/>
    <w:rsid w:val="00454419"/>
    <w:rsid w:val="004557F6"/>
    <w:rsid w:val="00456AA4"/>
    <w:rsid w:val="00457198"/>
    <w:rsid w:val="00464281"/>
    <w:rsid w:val="00465938"/>
    <w:rsid w:val="004661E9"/>
    <w:rsid w:val="004667BD"/>
    <w:rsid w:val="00467674"/>
    <w:rsid w:val="00467ED9"/>
    <w:rsid w:val="004738A2"/>
    <w:rsid w:val="00473EC8"/>
    <w:rsid w:val="004752CC"/>
    <w:rsid w:val="004774D6"/>
    <w:rsid w:val="00480216"/>
    <w:rsid w:val="00490467"/>
    <w:rsid w:val="00491656"/>
    <w:rsid w:val="00495B14"/>
    <w:rsid w:val="00495FDD"/>
    <w:rsid w:val="00496E4E"/>
    <w:rsid w:val="004A0297"/>
    <w:rsid w:val="004A227E"/>
    <w:rsid w:val="004A5C43"/>
    <w:rsid w:val="004A6E34"/>
    <w:rsid w:val="004B25EE"/>
    <w:rsid w:val="004C0701"/>
    <w:rsid w:val="004C43B3"/>
    <w:rsid w:val="004C5E24"/>
    <w:rsid w:val="004C7706"/>
    <w:rsid w:val="004D6AA1"/>
    <w:rsid w:val="004D79DE"/>
    <w:rsid w:val="004E10CC"/>
    <w:rsid w:val="004E30F7"/>
    <w:rsid w:val="004E4907"/>
    <w:rsid w:val="004E6AED"/>
    <w:rsid w:val="004E6C7B"/>
    <w:rsid w:val="004F3918"/>
    <w:rsid w:val="004F57BF"/>
    <w:rsid w:val="004F6404"/>
    <w:rsid w:val="004F717A"/>
    <w:rsid w:val="005003A3"/>
    <w:rsid w:val="00500675"/>
    <w:rsid w:val="00501540"/>
    <w:rsid w:val="00502140"/>
    <w:rsid w:val="00502204"/>
    <w:rsid w:val="005027F0"/>
    <w:rsid w:val="00504212"/>
    <w:rsid w:val="005108ED"/>
    <w:rsid w:val="00512CE2"/>
    <w:rsid w:val="00513812"/>
    <w:rsid w:val="00513920"/>
    <w:rsid w:val="005170CF"/>
    <w:rsid w:val="00517DCE"/>
    <w:rsid w:val="00521DD9"/>
    <w:rsid w:val="005234CB"/>
    <w:rsid w:val="00531D0A"/>
    <w:rsid w:val="005328C7"/>
    <w:rsid w:val="00534168"/>
    <w:rsid w:val="005366C4"/>
    <w:rsid w:val="00540BA5"/>
    <w:rsid w:val="00544E7F"/>
    <w:rsid w:val="00552A5F"/>
    <w:rsid w:val="00555060"/>
    <w:rsid w:val="00557F6B"/>
    <w:rsid w:val="005657CD"/>
    <w:rsid w:val="00573759"/>
    <w:rsid w:val="00574792"/>
    <w:rsid w:val="0057608F"/>
    <w:rsid w:val="005826D6"/>
    <w:rsid w:val="00584F71"/>
    <w:rsid w:val="0058616B"/>
    <w:rsid w:val="00587E35"/>
    <w:rsid w:val="005925C2"/>
    <w:rsid w:val="00593B35"/>
    <w:rsid w:val="0059603A"/>
    <w:rsid w:val="005A17BC"/>
    <w:rsid w:val="005A36A5"/>
    <w:rsid w:val="005A47AE"/>
    <w:rsid w:val="005A580E"/>
    <w:rsid w:val="005A5CC6"/>
    <w:rsid w:val="005A6545"/>
    <w:rsid w:val="005A72D3"/>
    <w:rsid w:val="005A7FCF"/>
    <w:rsid w:val="005B7CF1"/>
    <w:rsid w:val="005C2F5E"/>
    <w:rsid w:val="005C3618"/>
    <w:rsid w:val="005C3E0A"/>
    <w:rsid w:val="005C5245"/>
    <w:rsid w:val="005C7187"/>
    <w:rsid w:val="005D2CEB"/>
    <w:rsid w:val="005D3F66"/>
    <w:rsid w:val="005D4281"/>
    <w:rsid w:val="005E17FB"/>
    <w:rsid w:val="005E2251"/>
    <w:rsid w:val="005E502D"/>
    <w:rsid w:val="005F66B2"/>
    <w:rsid w:val="00601E89"/>
    <w:rsid w:val="0060629F"/>
    <w:rsid w:val="00610465"/>
    <w:rsid w:val="00611CCF"/>
    <w:rsid w:val="0061341B"/>
    <w:rsid w:val="00613CA3"/>
    <w:rsid w:val="0061626A"/>
    <w:rsid w:val="006162A8"/>
    <w:rsid w:val="00620C97"/>
    <w:rsid w:val="006223BC"/>
    <w:rsid w:val="00622F24"/>
    <w:rsid w:val="00624056"/>
    <w:rsid w:val="00624592"/>
    <w:rsid w:val="00630731"/>
    <w:rsid w:val="00633693"/>
    <w:rsid w:val="006428A4"/>
    <w:rsid w:val="00642C2D"/>
    <w:rsid w:val="00644FB8"/>
    <w:rsid w:val="0064557C"/>
    <w:rsid w:val="00655444"/>
    <w:rsid w:val="00667EEC"/>
    <w:rsid w:val="006700B1"/>
    <w:rsid w:val="00672545"/>
    <w:rsid w:val="00674F31"/>
    <w:rsid w:val="00675589"/>
    <w:rsid w:val="00677032"/>
    <w:rsid w:val="00681C8D"/>
    <w:rsid w:val="00683F75"/>
    <w:rsid w:val="006903A1"/>
    <w:rsid w:val="00691B4F"/>
    <w:rsid w:val="00692EAF"/>
    <w:rsid w:val="00695921"/>
    <w:rsid w:val="00697EAB"/>
    <w:rsid w:val="006A083A"/>
    <w:rsid w:val="006A2045"/>
    <w:rsid w:val="006A3FAA"/>
    <w:rsid w:val="006A5012"/>
    <w:rsid w:val="006B0977"/>
    <w:rsid w:val="006B410C"/>
    <w:rsid w:val="006B6117"/>
    <w:rsid w:val="006B6591"/>
    <w:rsid w:val="006C094C"/>
    <w:rsid w:val="006C5D0B"/>
    <w:rsid w:val="006C71E7"/>
    <w:rsid w:val="006D7111"/>
    <w:rsid w:val="006E3204"/>
    <w:rsid w:val="006E4934"/>
    <w:rsid w:val="006F2184"/>
    <w:rsid w:val="007017E5"/>
    <w:rsid w:val="00701A5F"/>
    <w:rsid w:val="0070487B"/>
    <w:rsid w:val="00705E7C"/>
    <w:rsid w:val="00706404"/>
    <w:rsid w:val="00706651"/>
    <w:rsid w:val="007067FD"/>
    <w:rsid w:val="00710047"/>
    <w:rsid w:val="00712506"/>
    <w:rsid w:val="00712B56"/>
    <w:rsid w:val="00713ED1"/>
    <w:rsid w:val="007147F7"/>
    <w:rsid w:val="007207BC"/>
    <w:rsid w:val="007220D5"/>
    <w:rsid w:val="007233FA"/>
    <w:rsid w:val="00723888"/>
    <w:rsid w:val="00735A9C"/>
    <w:rsid w:val="007367A9"/>
    <w:rsid w:val="00741D09"/>
    <w:rsid w:val="00742174"/>
    <w:rsid w:val="007426D7"/>
    <w:rsid w:val="0075069A"/>
    <w:rsid w:val="00753398"/>
    <w:rsid w:val="007614AF"/>
    <w:rsid w:val="0076555A"/>
    <w:rsid w:val="00766995"/>
    <w:rsid w:val="007706E0"/>
    <w:rsid w:val="00771BB0"/>
    <w:rsid w:val="00775376"/>
    <w:rsid w:val="007757FF"/>
    <w:rsid w:val="00780A7E"/>
    <w:rsid w:val="0078168E"/>
    <w:rsid w:val="0078470A"/>
    <w:rsid w:val="007869DA"/>
    <w:rsid w:val="00787067"/>
    <w:rsid w:val="00790D2A"/>
    <w:rsid w:val="0079106A"/>
    <w:rsid w:val="00791B4E"/>
    <w:rsid w:val="00794B54"/>
    <w:rsid w:val="0079589F"/>
    <w:rsid w:val="00797688"/>
    <w:rsid w:val="007A121B"/>
    <w:rsid w:val="007A31A5"/>
    <w:rsid w:val="007A4F17"/>
    <w:rsid w:val="007A563B"/>
    <w:rsid w:val="007A6EE1"/>
    <w:rsid w:val="007A7CD2"/>
    <w:rsid w:val="007B0703"/>
    <w:rsid w:val="007B096B"/>
    <w:rsid w:val="007B1CB3"/>
    <w:rsid w:val="007B7B8C"/>
    <w:rsid w:val="007C1F69"/>
    <w:rsid w:val="007C6513"/>
    <w:rsid w:val="007C6B88"/>
    <w:rsid w:val="007E1425"/>
    <w:rsid w:val="007E3326"/>
    <w:rsid w:val="007F16DC"/>
    <w:rsid w:val="007F3093"/>
    <w:rsid w:val="007F3C5B"/>
    <w:rsid w:val="007F421D"/>
    <w:rsid w:val="007F5B10"/>
    <w:rsid w:val="007F70C2"/>
    <w:rsid w:val="007F766F"/>
    <w:rsid w:val="00800CAE"/>
    <w:rsid w:val="00803403"/>
    <w:rsid w:val="0080426C"/>
    <w:rsid w:val="00807F42"/>
    <w:rsid w:val="00810D2B"/>
    <w:rsid w:val="008112A5"/>
    <w:rsid w:val="008165A7"/>
    <w:rsid w:val="00825326"/>
    <w:rsid w:val="008271DC"/>
    <w:rsid w:val="00827F94"/>
    <w:rsid w:val="00830877"/>
    <w:rsid w:val="00831742"/>
    <w:rsid w:val="008447C2"/>
    <w:rsid w:val="00845B89"/>
    <w:rsid w:val="00845D67"/>
    <w:rsid w:val="00845EF2"/>
    <w:rsid w:val="0085024F"/>
    <w:rsid w:val="008608DA"/>
    <w:rsid w:val="00862177"/>
    <w:rsid w:val="00863201"/>
    <w:rsid w:val="0086480C"/>
    <w:rsid w:val="00864D3F"/>
    <w:rsid w:val="00865E10"/>
    <w:rsid w:val="00873441"/>
    <w:rsid w:val="00873F2D"/>
    <w:rsid w:val="00875477"/>
    <w:rsid w:val="00876D39"/>
    <w:rsid w:val="00882C34"/>
    <w:rsid w:val="00892174"/>
    <w:rsid w:val="008925A1"/>
    <w:rsid w:val="0089672B"/>
    <w:rsid w:val="008A0BA8"/>
    <w:rsid w:val="008A0CD0"/>
    <w:rsid w:val="008A2E82"/>
    <w:rsid w:val="008A35AC"/>
    <w:rsid w:val="008A5293"/>
    <w:rsid w:val="008A52B5"/>
    <w:rsid w:val="008A56CD"/>
    <w:rsid w:val="008B226E"/>
    <w:rsid w:val="008B2A26"/>
    <w:rsid w:val="008B2BD3"/>
    <w:rsid w:val="008B3BA1"/>
    <w:rsid w:val="008B41EE"/>
    <w:rsid w:val="008B4593"/>
    <w:rsid w:val="008B4F45"/>
    <w:rsid w:val="008B5BA9"/>
    <w:rsid w:val="008C344E"/>
    <w:rsid w:val="008C4986"/>
    <w:rsid w:val="008C68D5"/>
    <w:rsid w:val="008D1AC4"/>
    <w:rsid w:val="008D23A7"/>
    <w:rsid w:val="008D2EF6"/>
    <w:rsid w:val="008D3B5D"/>
    <w:rsid w:val="008D4127"/>
    <w:rsid w:val="008D6203"/>
    <w:rsid w:val="008D7692"/>
    <w:rsid w:val="008E00AF"/>
    <w:rsid w:val="008E031B"/>
    <w:rsid w:val="008E0E79"/>
    <w:rsid w:val="008E1331"/>
    <w:rsid w:val="008E7EE4"/>
    <w:rsid w:val="008F1E7D"/>
    <w:rsid w:val="008F636F"/>
    <w:rsid w:val="008F7410"/>
    <w:rsid w:val="0090097F"/>
    <w:rsid w:val="009012FB"/>
    <w:rsid w:val="0090637E"/>
    <w:rsid w:val="00906C32"/>
    <w:rsid w:val="00910D40"/>
    <w:rsid w:val="0091329A"/>
    <w:rsid w:val="00914D1B"/>
    <w:rsid w:val="00926F56"/>
    <w:rsid w:val="009328C6"/>
    <w:rsid w:val="00934BC2"/>
    <w:rsid w:val="0093544C"/>
    <w:rsid w:val="0094074C"/>
    <w:rsid w:val="00945D82"/>
    <w:rsid w:val="00946C06"/>
    <w:rsid w:val="009534A5"/>
    <w:rsid w:val="0095457D"/>
    <w:rsid w:val="00956D94"/>
    <w:rsid w:val="00961A04"/>
    <w:rsid w:val="00961CBC"/>
    <w:rsid w:val="00965D35"/>
    <w:rsid w:val="00967FB1"/>
    <w:rsid w:val="00973394"/>
    <w:rsid w:val="00974348"/>
    <w:rsid w:val="00980298"/>
    <w:rsid w:val="00982E9A"/>
    <w:rsid w:val="0098300C"/>
    <w:rsid w:val="00985E91"/>
    <w:rsid w:val="00986B09"/>
    <w:rsid w:val="00990B2E"/>
    <w:rsid w:val="0099215A"/>
    <w:rsid w:val="0099773E"/>
    <w:rsid w:val="009A16EB"/>
    <w:rsid w:val="009A2421"/>
    <w:rsid w:val="009A5EF3"/>
    <w:rsid w:val="009B40C0"/>
    <w:rsid w:val="009B4F5E"/>
    <w:rsid w:val="009B5E8C"/>
    <w:rsid w:val="009B6F5D"/>
    <w:rsid w:val="009B6FED"/>
    <w:rsid w:val="009B7735"/>
    <w:rsid w:val="009C3259"/>
    <w:rsid w:val="009C7258"/>
    <w:rsid w:val="009D00E1"/>
    <w:rsid w:val="009D1A97"/>
    <w:rsid w:val="009D2284"/>
    <w:rsid w:val="009D383D"/>
    <w:rsid w:val="009D6D3B"/>
    <w:rsid w:val="009D728B"/>
    <w:rsid w:val="009D7586"/>
    <w:rsid w:val="009D795A"/>
    <w:rsid w:val="009E38F6"/>
    <w:rsid w:val="009E40ED"/>
    <w:rsid w:val="009E66B7"/>
    <w:rsid w:val="009E7609"/>
    <w:rsid w:val="009F2DB1"/>
    <w:rsid w:val="009F358B"/>
    <w:rsid w:val="00A01196"/>
    <w:rsid w:val="00A11EAA"/>
    <w:rsid w:val="00A131F3"/>
    <w:rsid w:val="00A15F51"/>
    <w:rsid w:val="00A16F2E"/>
    <w:rsid w:val="00A1767B"/>
    <w:rsid w:val="00A22A5D"/>
    <w:rsid w:val="00A2593A"/>
    <w:rsid w:val="00A312AE"/>
    <w:rsid w:val="00A35B4B"/>
    <w:rsid w:val="00A36557"/>
    <w:rsid w:val="00A4296D"/>
    <w:rsid w:val="00A43C28"/>
    <w:rsid w:val="00A452B6"/>
    <w:rsid w:val="00A50932"/>
    <w:rsid w:val="00A55DEF"/>
    <w:rsid w:val="00A64465"/>
    <w:rsid w:val="00A64686"/>
    <w:rsid w:val="00A650E7"/>
    <w:rsid w:val="00A658EE"/>
    <w:rsid w:val="00A67A5A"/>
    <w:rsid w:val="00A72DEB"/>
    <w:rsid w:val="00A72F48"/>
    <w:rsid w:val="00A7384A"/>
    <w:rsid w:val="00A73909"/>
    <w:rsid w:val="00A7523E"/>
    <w:rsid w:val="00A77034"/>
    <w:rsid w:val="00A80062"/>
    <w:rsid w:val="00A84C0A"/>
    <w:rsid w:val="00A87789"/>
    <w:rsid w:val="00A9166D"/>
    <w:rsid w:val="00A9248B"/>
    <w:rsid w:val="00A9582C"/>
    <w:rsid w:val="00AA5F8E"/>
    <w:rsid w:val="00AA79CA"/>
    <w:rsid w:val="00AB0B28"/>
    <w:rsid w:val="00AB36DA"/>
    <w:rsid w:val="00AB5D77"/>
    <w:rsid w:val="00AC23D0"/>
    <w:rsid w:val="00AC26F5"/>
    <w:rsid w:val="00AC6044"/>
    <w:rsid w:val="00AC62E5"/>
    <w:rsid w:val="00AC774E"/>
    <w:rsid w:val="00AC78DC"/>
    <w:rsid w:val="00AD3217"/>
    <w:rsid w:val="00AD32DA"/>
    <w:rsid w:val="00AD514D"/>
    <w:rsid w:val="00AD5EF1"/>
    <w:rsid w:val="00AD69EB"/>
    <w:rsid w:val="00AD7B70"/>
    <w:rsid w:val="00AE4CA8"/>
    <w:rsid w:val="00AE59C0"/>
    <w:rsid w:val="00AE5E89"/>
    <w:rsid w:val="00AF1361"/>
    <w:rsid w:val="00AF630E"/>
    <w:rsid w:val="00AF6A01"/>
    <w:rsid w:val="00B01FD3"/>
    <w:rsid w:val="00B02C9F"/>
    <w:rsid w:val="00B03C9D"/>
    <w:rsid w:val="00B04E29"/>
    <w:rsid w:val="00B06E1C"/>
    <w:rsid w:val="00B21D10"/>
    <w:rsid w:val="00B24E37"/>
    <w:rsid w:val="00B278E7"/>
    <w:rsid w:val="00B30BA8"/>
    <w:rsid w:val="00B35B9C"/>
    <w:rsid w:val="00B37B66"/>
    <w:rsid w:val="00B4120C"/>
    <w:rsid w:val="00B440F6"/>
    <w:rsid w:val="00B4553A"/>
    <w:rsid w:val="00B4665F"/>
    <w:rsid w:val="00B531EE"/>
    <w:rsid w:val="00B53212"/>
    <w:rsid w:val="00B53726"/>
    <w:rsid w:val="00B538E5"/>
    <w:rsid w:val="00B70741"/>
    <w:rsid w:val="00B753AD"/>
    <w:rsid w:val="00B77D81"/>
    <w:rsid w:val="00B82A4B"/>
    <w:rsid w:val="00B83266"/>
    <w:rsid w:val="00B87FAB"/>
    <w:rsid w:val="00B907B7"/>
    <w:rsid w:val="00B93AF3"/>
    <w:rsid w:val="00B93D7F"/>
    <w:rsid w:val="00B96458"/>
    <w:rsid w:val="00BA03C2"/>
    <w:rsid w:val="00BA04FB"/>
    <w:rsid w:val="00BA5892"/>
    <w:rsid w:val="00BB0D11"/>
    <w:rsid w:val="00BB463C"/>
    <w:rsid w:val="00BB6328"/>
    <w:rsid w:val="00BC1FDA"/>
    <w:rsid w:val="00BC245D"/>
    <w:rsid w:val="00BC5A53"/>
    <w:rsid w:val="00BC71C4"/>
    <w:rsid w:val="00BD5436"/>
    <w:rsid w:val="00BD5840"/>
    <w:rsid w:val="00BD77DB"/>
    <w:rsid w:val="00BE3304"/>
    <w:rsid w:val="00BE4116"/>
    <w:rsid w:val="00BE49DF"/>
    <w:rsid w:val="00BE4EC7"/>
    <w:rsid w:val="00BE548F"/>
    <w:rsid w:val="00BF0539"/>
    <w:rsid w:val="00BF1047"/>
    <w:rsid w:val="00BF29E7"/>
    <w:rsid w:val="00BF5E0E"/>
    <w:rsid w:val="00C01EA7"/>
    <w:rsid w:val="00C05C91"/>
    <w:rsid w:val="00C07FB6"/>
    <w:rsid w:val="00C101A5"/>
    <w:rsid w:val="00C11792"/>
    <w:rsid w:val="00C12B73"/>
    <w:rsid w:val="00C17591"/>
    <w:rsid w:val="00C20B6E"/>
    <w:rsid w:val="00C20C1D"/>
    <w:rsid w:val="00C21D4A"/>
    <w:rsid w:val="00C2267C"/>
    <w:rsid w:val="00C22C1E"/>
    <w:rsid w:val="00C252E8"/>
    <w:rsid w:val="00C26E6F"/>
    <w:rsid w:val="00C30A50"/>
    <w:rsid w:val="00C368BE"/>
    <w:rsid w:val="00C37AA2"/>
    <w:rsid w:val="00C44A4A"/>
    <w:rsid w:val="00C451DA"/>
    <w:rsid w:val="00C45CE4"/>
    <w:rsid w:val="00C473B1"/>
    <w:rsid w:val="00C540AA"/>
    <w:rsid w:val="00C55101"/>
    <w:rsid w:val="00C55AD9"/>
    <w:rsid w:val="00C56440"/>
    <w:rsid w:val="00C567B1"/>
    <w:rsid w:val="00C609E6"/>
    <w:rsid w:val="00C61DEA"/>
    <w:rsid w:val="00C62833"/>
    <w:rsid w:val="00C6421B"/>
    <w:rsid w:val="00C6486E"/>
    <w:rsid w:val="00C64F5D"/>
    <w:rsid w:val="00C66FBE"/>
    <w:rsid w:val="00C75B2E"/>
    <w:rsid w:val="00C91C36"/>
    <w:rsid w:val="00C92D5F"/>
    <w:rsid w:val="00C93B82"/>
    <w:rsid w:val="00CA04F9"/>
    <w:rsid w:val="00CA25E2"/>
    <w:rsid w:val="00CA6637"/>
    <w:rsid w:val="00CB2996"/>
    <w:rsid w:val="00CB47C8"/>
    <w:rsid w:val="00CB6A84"/>
    <w:rsid w:val="00CC1617"/>
    <w:rsid w:val="00CC1C7E"/>
    <w:rsid w:val="00CC1DEE"/>
    <w:rsid w:val="00CD0E4A"/>
    <w:rsid w:val="00CD170E"/>
    <w:rsid w:val="00CD19F4"/>
    <w:rsid w:val="00CD5999"/>
    <w:rsid w:val="00CD5AE6"/>
    <w:rsid w:val="00CD6DEB"/>
    <w:rsid w:val="00CE043C"/>
    <w:rsid w:val="00CE1201"/>
    <w:rsid w:val="00CE20ED"/>
    <w:rsid w:val="00CE2A5B"/>
    <w:rsid w:val="00CE3E74"/>
    <w:rsid w:val="00CE5ADA"/>
    <w:rsid w:val="00CE7A15"/>
    <w:rsid w:val="00CE7C81"/>
    <w:rsid w:val="00CF1773"/>
    <w:rsid w:val="00D021EB"/>
    <w:rsid w:val="00D0618C"/>
    <w:rsid w:val="00D105B3"/>
    <w:rsid w:val="00D1724B"/>
    <w:rsid w:val="00D200BC"/>
    <w:rsid w:val="00D21A30"/>
    <w:rsid w:val="00D23D69"/>
    <w:rsid w:val="00D24AF1"/>
    <w:rsid w:val="00D314D7"/>
    <w:rsid w:val="00D325A4"/>
    <w:rsid w:val="00D3492F"/>
    <w:rsid w:val="00D34FB6"/>
    <w:rsid w:val="00D35E41"/>
    <w:rsid w:val="00D3638C"/>
    <w:rsid w:val="00D363B0"/>
    <w:rsid w:val="00D37991"/>
    <w:rsid w:val="00D42CDE"/>
    <w:rsid w:val="00D44B26"/>
    <w:rsid w:val="00D46F18"/>
    <w:rsid w:val="00D46FF6"/>
    <w:rsid w:val="00D47C62"/>
    <w:rsid w:val="00D53D36"/>
    <w:rsid w:val="00D56E2F"/>
    <w:rsid w:val="00D63BB5"/>
    <w:rsid w:val="00D64521"/>
    <w:rsid w:val="00D646E1"/>
    <w:rsid w:val="00D6533E"/>
    <w:rsid w:val="00D656BF"/>
    <w:rsid w:val="00D679ED"/>
    <w:rsid w:val="00D703FF"/>
    <w:rsid w:val="00D71ADF"/>
    <w:rsid w:val="00D727B3"/>
    <w:rsid w:val="00D7677F"/>
    <w:rsid w:val="00D812F3"/>
    <w:rsid w:val="00D814EB"/>
    <w:rsid w:val="00D81C49"/>
    <w:rsid w:val="00D83CFB"/>
    <w:rsid w:val="00D8762F"/>
    <w:rsid w:val="00D92195"/>
    <w:rsid w:val="00D924ED"/>
    <w:rsid w:val="00D924F7"/>
    <w:rsid w:val="00D92505"/>
    <w:rsid w:val="00D92BC4"/>
    <w:rsid w:val="00D93951"/>
    <w:rsid w:val="00D93E88"/>
    <w:rsid w:val="00D94B20"/>
    <w:rsid w:val="00DB2841"/>
    <w:rsid w:val="00DB31C9"/>
    <w:rsid w:val="00DB33DB"/>
    <w:rsid w:val="00DB595F"/>
    <w:rsid w:val="00DB7FDE"/>
    <w:rsid w:val="00DC6AD4"/>
    <w:rsid w:val="00DD21B5"/>
    <w:rsid w:val="00DD5C67"/>
    <w:rsid w:val="00DD634E"/>
    <w:rsid w:val="00DD7E22"/>
    <w:rsid w:val="00DE19B1"/>
    <w:rsid w:val="00DE36C4"/>
    <w:rsid w:val="00DE3758"/>
    <w:rsid w:val="00DE6D07"/>
    <w:rsid w:val="00DF11DE"/>
    <w:rsid w:val="00DF4111"/>
    <w:rsid w:val="00DF7C2F"/>
    <w:rsid w:val="00E049BA"/>
    <w:rsid w:val="00E04A98"/>
    <w:rsid w:val="00E123A4"/>
    <w:rsid w:val="00E12E4B"/>
    <w:rsid w:val="00E152DE"/>
    <w:rsid w:val="00E21FB9"/>
    <w:rsid w:val="00E24AA2"/>
    <w:rsid w:val="00E25A01"/>
    <w:rsid w:val="00E2747A"/>
    <w:rsid w:val="00E3020D"/>
    <w:rsid w:val="00E40BA2"/>
    <w:rsid w:val="00E43611"/>
    <w:rsid w:val="00E4633C"/>
    <w:rsid w:val="00E507A8"/>
    <w:rsid w:val="00E52DBC"/>
    <w:rsid w:val="00E60136"/>
    <w:rsid w:val="00E617DC"/>
    <w:rsid w:val="00E66912"/>
    <w:rsid w:val="00E66B93"/>
    <w:rsid w:val="00E70B0C"/>
    <w:rsid w:val="00E73F98"/>
    <w:rsid w:val="00E74D27"/>
    <w:rsid w:val="00E750B3"/>
    <w:rsid w:val="00E830E6"/>
    <w:rsid w:val="00E83C62"/>
    <w:rsid w:val="00E87446"/>
    <w:rsid w:val="00E9087D"/>
    <w:rsid w:val="00E97785"/>
    <w:rsid w:val="00EA06F9"/>
    <w:rsid w:val="00EA249B"/>
    <w:rsid w:val="00EB0563"/>
    <w:rsid w:val="00EB5A1B"/>
    <w:rsid w:val="00EB631F"/>
    <w:rsid w:val="00EC0733"/>
    <w:rsid w:val="00EC3D7D"/>
    <w:rsid w:val="00EC3E66"/>
    <w:rsid w:val="00EC51BC"/>
    <w:rsid w:val="00EC7990"/>
    <w:rsid w:val="00ED06DF"/>
    <w:rsid w:val="00ED1E3F"/>
    <w:rsid w:val="00ED25B6"/>
    <w:rsid w:val="00ED386B"/>
    <w:rsid w:val="00ED4416"/>
    <w:rsid w:val="00ED59AF"/>
    <w:rsid w:val="00ED743D"/>
    <w:rsid w:val="00EE2BB9"/>
    <w:rsid w:val="00EE415A"/>
    <w:rsid w:val="00EF07EB"/>
    <w:rsid w:val="00EF0831"/>
    <w:rsid w:val="00EF43CF"/>
    <w:rsid w:val="00EF7631"/>
    <w:rsid w:val="00EF7BBB"/>
    <w:rsid w:val="00F0149C"/>
    <w:rsid w:val="00F04D60"/>
    <w:rsid w:val="00F05B77"/>
    <w:rsid w:val="00F05BF2"/>
    <w:rsid w:val="00F06E82"/>
    <w:rsid w:val="00F10511"/>
    <w:rsid w:val="00F10B6C"/>
    <w:rsid w:val="00F1126D"/>
    <w:rsid w:val="00F15DCF"/>
    <w:rsid w:val="00F219DF"/>
    <w:rsid w:val="00F26183"/>
    <w:rsid w:val="00F3046C"/>
    <w:rsid w:val="00F31EBF"/>
    <w:rsid w:val="00F35EE4"/>
    <w:rsid w:val="00F35FCF"/>
    <w:rsid w:val="00F36C9A"/>
    <w:rsid w:val="00F371EF"/>
    <w:rsid w:val="00F37BE0"/>
    <w:rsid w:val="00F40D06"/>
    <w:rsid w:val="00F4194C"/>
    <w:rsid w:val="00F44251"/>
    <w:rsid w:val="00F50B5E"/>
    <w:rsid w:val="00F5113F"/>
    <w:rsid w:val="00F51C44"/>
    <w:rsid w:val="00F546F1"/>
    <w:rsid w:val="00F56928"/>
    <w:rsid w:val="00F62F46"/>
    <w:rsid w:val="00F631D6"/>
    <w:rsid w:val="00F652F1"/>
    <w:rsid w:val="00F65914"/>
    <w:rsid w:val="00F65D16"/>
    <w:rsid w:val="00F726C9"/>
    <w:rsid w:val="00F74D25"/>
    <w:rsid w:val="00F74EFD"/>
    <w:rsid w:val="00F755B8"/>
    <w:rsid w:val="00F85F10"/>
    <w:rsid w:val="00F8662B"/>
    <w:rsid w:val="00F8743F"/>
    <w:rsid w:val="00F90A7B"/>
    <w:rsid w:val="00F90DC3"/>
    <w:rsid w:val="00F934FD"/>
    <w:rsid w:val="00F96A18"/>
    <w:rsid w:val="00F96A9C"/>
    <w:rsid w:val="00FA4BF2"/>
    <w:rsid w:val="00FA5203"/>
    <w:rsid w:val="00FB0B3A"/>
    <w:rsid w:val="00FB0B78"/>
    <w:rsid w:val="00FB3B0A"/>
    <w:rsid w:val="00FB4A6C"/>
    <w:rsid w:val="00FB752D"/>
    <w:rsid w:val="00FC10D6"/>
    <w:rsid w:val="00FC5B72"/>
    <w:rsid w:val="00FD05FF"/>
    <w:rsid w:val="00FD08B8"/>
    <w:rsid w:val="00FD156D"/>
    <w:rsid w:val="00FD6224"/>
    <w:rsid w:val="00FD7626"/>
    <w:rsid w:val="00FE0583"/>
    <w:rsid w:val="00FE0C99"/>
    <w:rsid w:val="00FE2A67"/>
    <w:rsid w:val="00FF11E8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4E922B"/>
  <w15:chartTrackingRefBased/>
  <w15:docId w15:val="{DDC6A4B2-E1A7-4CB7-A029-9C166F64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Times New Roman Bold" w:hAnsi="Times New Roman Bold" w:cs="Arial"/>
      <w:bCs/>
      <w:caps/>
      <w:kern w:val="32"/>
    </w:rPr>
  </w:style>
  <w:style w:type="paragraph" w:styleId="Heading2">
    <w:name w:val="heading 2"/>
    <w:basedOn w:val="Normal"/>
    <w:next w:val="Normal"/>
    <w:qFormat/>
    <w:rsid w:val="00C473B1"/>
    <w:pPr>
      <w:numPr>
        <w:ilvl w:val="1"/>
        <w:numId w:val="1"/>
      </w:numPr>
      <w:spacing w:before="240" w:after="60"/>
      <w:ind w:left="0" w:firstLine="0"/>
      <w:outlineLvl w:val="1"/>
    </w:pPr>
    <w:rPr>
      <w:rFonts w:hAnsi="Times New Roman Bold" w:cs="Arial"/>
      <w:bCs/>
      <w:iCs/>
      <w:cap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D23A7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qFormat/>
    <w:rsid w:val="008D23A7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qFormat/>
    <w:rsid w:val="008D23A7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qFormat/>
    <w:rsid w:val="008D23A7"/>
    <w:pPr>
      <w:tabs>
        <w:tab w:val="num" w:pos="1296"/>
      </w:tabs>
      <w:spacing w:before="240" w:after="60"/>
      <w:ind w:left="1296" w:hanging="1296"/>
      <w:outlineLvl w:val="6"/>
    </w:pPr>
    <w:rPr>
      <w:lang w:val="en-US"/>
    </w:rPr>
  </w:style>
  <w:style w:type="paragraph" w:styleId="Heading8">
    <w:name w:val="heading 8"/>
    <w:basedOn w:val="Normal"/>
    <w:next w:val="Normal"/>
    <w:qFormat/>
    <w:rsid w:val="008D23A7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en-US"/>
    </w:rPr>
  </w:style>
  <w:style w:type="paragraph" w:styleId="Heading9">
    <w:name w:val="heading 9"/>
    <w:basedOn w:val="Normal"/>
    <w:next w:val="Normal"/>
    <w:qFormat/>
    <w:pPr>
      <w:keepNext/>
      <w:tabs>
        <w:tab w:val="left" w:pos="567"/>
      </w:tabs>
      <w:snapToGrid w:val="0"/>
      <w:jc w:val="center"/>
      <w:outlineLvl w:val="8"/>
    </w:pPr>
    <w:rPr>
      <w:rFonts w:ascii="Arial Narrow" w:eastAsia="SimSun" w:hAnsi="Arial Narrow" w:cs="Arial Unicode MS"/>
      <w:snapToGrid w:val="0"/>
      <w:color w:val="0000FF"/>
      <w:spacing w:val="4"/>
      <w:sz w:val="18"/>
      <w:szCs w:val="18"/>
      <w:lang w:val="fr-FR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D34FB6"/>
    <w:rPr>
      <w:color w:val="0000FF"/>
      <w:u w:val="single"/>
    </w:rPr>
  </w:style>
  <w:style w:type="character" w:styleId="CommentReference">
    <w:name w:val="annotation reference"/>
    <w:uiPriority w:val="99"/>
    <w:semiHidden/>
    <w:rsid w:val="00BA03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A03C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A03C2"/>
    <w:rPr>
      <w:b/>
      <w:bCs/>
    </w:rPr>
  </w:style>
  <w:style w:type="paragraph" w:styleId="Header">
    <w:name w:val="header"/>
    <w:basedOn w:val="Normal"/>
    <w:link w:val="HeaderChar"/>
    <w:uiPriority w:val="99"/>
    <w:rsid w:val="00D47C62"/>
    <w:pPr>
      <w:tabs>
        <w:tab w:val="left" w:pos="567"/>
        <w:tab w:val="center" w:pos="4153"/>
        <w:tab w:val="right" w:pos="8306"/>
      </w:tabs>
      <w:snapToGrid w:val="0"/>
    </w:pPr>
    <w:rPr>
      <w:rFonts w:ascii="Arial" w:hAnsi="Arial"/>
      <w:snapToGrid w:val="0"/>
      <w:sz w:val="22"/>
      <w:lang w:val="fr-FR"/>
    </w:rPr>
  </w:style>
  <w:style w:type="paragraph" w:customStyle="1" w:styleId="Marge">
    <w:name w:val="Marge"/>
    <w:basedOn w:val="Normal"/>
    <w:rsid w:val="00D47C62"/>
    <w:pPr>
      <w:tabs>
        <w:tab w:val="left" w:pos="567"/>
      </w:tabs>
      <w:snapToGrid w:val="0"/>
      <w:spacing w:after="240"/>
      <w:jc w:val="both"/>
    </w:pPr>
    <w:rPr>
      <w:rFonts w:ascii="Arial" w:hAnsi="Arial"/>
      <w:snapToGrid w:val="0"/>
      <w:sz w:val="22"/>
      <w:lang w:val="fr-FR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F85F10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Footer">
    <w:name w:val="footer"/>
    <w:basedOn w:val="Normal"/>
    <w:rsid w:val="008D23A7"/>
    <w:pPr>
      <w:tabs>
        <w:tab w:val="center" w:pos="4153"/>
        <w:tab w:val="right" w:pos="8306"/>
      </w:tabs>
    </w:pPr>
    <w:rPr>
      <w:lang w:val="en-US"/>
    </w:rPr>
  </w:style>
  <w:style w:type="paragraph" w:styleId="BodyTextIndent3">
    <w:name w:val="Body Text Indent 3"/>
    <w:basedOn w:val="Normal"/>
    <w:rsid w:val="008D23A7"/>
    <w:pPr>
      <w:ind w:left="7200"/>
    </w:pPr>
    <w:rPr>
      <w:sz w:val="22"/>
      <w:lang w:val="fr-FR"/>
    </w:rPr>
  </w:style>
  <w:style w:type="paragraph" w:customStyle="1" w:styleId="COI">
    <w:name w:val="COI"/>
    <w:basedOn w:val="Marge"/>
    <w:autoRedefine/>
    <w:rsid w:val="005A47AE"/>
    <w:pPr>
      <w:numPr>
        <w:numId w:val="55"/>
      </w:numPr>
      <w:tabs>
        <w:tab w:val="clear" w:pos="567"/>
      </w:tabs>
      <w:spacing w:line="240" w:lineRule="atLeast"/>
      <w:ind w:hanging="431"/>
    </w:pPr>
    <w:rPr>
      <w:rFonts w:eastAsia="Arial Unicode MS" w:cs="Arial"/>
      <w:lang w:val="en-GB"/>
    </w:rPr>
  </w:style>
  <w:style w:type="paragraph" w:customStyle="1" w:styleId="Default">
    <w:name w:val="Default"/>
    <w:rsid w:val="008D23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AU" w:eastAsia="en-AU"/>
    </w:rPr>
  </w:style>
  <w:style w:type="paragraph" w:customStyle="1" w:styleId="WW-Default">
    <w:name w:val="WW-Default"/>
    <w:rsid w:val="008D23A7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val="en-US" w:eastAsia="ar-SA"/>
    </w:rPr>
  </w:style>
  <w:style w:type="character" w:styleId="PageNumber">
    <w:name w:val="page number"/>
    <w:basedOn w:val="DefaultParagraphFont"/>
    <w:rsid w:val="007A121B"/>
  </w:style>
  <w:style w:type="table" w:styleId="TableGrid">
    <w:name w:val="Table Grid"/>
    <w:basedOn w:val="TableNormal"/>
    <w:rsid w:val="0060629F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locked/>
    <w:rsid w:val="00D814EB"/>
    <w:rPr>
      <w:rFonts w:ascii="Times New Roman Bold" w:hAnsi="Times New Roman Bold" w:cs="Arial"/>
      <w:bCs/>
      <w:caps/>
      <w:kern w:val="32"/>
      <w:sz w:val="24"/>
      <w:szCs w:val="24"/>
      <w:lang w:val="en-AU" w:eastAsia="en-US"/>
    </w:rPr>
  </w:style>
  <w:style w:type="character" w:customStyle="1" w:styleId="CharChar">
    <w:name w:val="Char Char"/>
    <w:locked/>
    <w:rsid w:val="007B1CB3"/>
    <w:rPr>
      <w:rFonts w:ascii="Times New Roman Bold" w:hAnsi="Times New Roman Bold" w:cs="Arial"/>
      <w:bCs/>
      <w:caps/>
      <w:kern w:val="32"/>
      <w:sz w:val="24"/>
      <w:szCs w:val="24"/>
      <w:lang w:val="en-AU" w:eastAsia="en-US" w:bidi="ar-SA"/>
    </w:rPr>
  </w:style>
  <w:style w:type="paragraph" w:styleId="FootnoteText">
    <w:name w:val="footnote text"/>
    <w:basedOn w:val="Normal"/>
    <w:semiHidden/>
    <w:rsid w:val="009C7258"/>
    <w:rPr>
      <w:sz w:val="20"/>
      <w:szCs w:val="20"/>
    </w:rPr>
  </w:style>
  <w:style w:type="character" w:styleId="FootnoteReference">
    <w:name w:val="footnote reference"/>
    <w:semiHidden/>
    <w:rsid w:val="009C7258"/>
    <w:rPr>
      <w:vertAlign w:val="superscript"/>
    </w:rPr>
  </w:style>
  <w:style w:type="paragraph" w:styleId="NoSpacing">
    <w:name w:val="No Spacing"/>
    <w:uiPriority w:val="1"/>
    <w:qFormat/>
    <w:rsid w:val="00244EBD"/>
    <w:rPr>
      <w:rFonts w:ascii="Calibri" w:eastAsia="Calibri" w:hAnsi="Calibri"/>
      <w:sz w:val="22"/>
      <w:szCs w:val="22"/>
      <w:lang w:val="en-AU" w:eastAsia="en-US"/>
    </w:rPr>
  </w:style>
  <w:style w:type="paragraph" w:styleId="ListParagraph">
    <w:name w:val="List Paragraph"/>
    <w:aliases w:val="List Paragraph (numbered (a)),Lapis Bulleted List,Dot pt,F5 List Paragraph,No Spacing1,List Paragraph Char Char Char,Indicator Text,Numbered Para 1,Bullet 1,List Paragraph12,Bullet Points,MAIN CONTENT,WB Para,List 100s"/>
    <w:basedOn w:val="Normal"/>
    <w:uiPriority w:val="34"/>
    <w:qFormat/>
    <w:rsid w:val="00244E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st">
    <w:name w:val="st"/>
    <w:rsid w:val="00007232"/>
  </w:style>
  <w:style w:type="character" w:customStyle="1" w:styleId="preferred">
    <w:name w:val="preferred"/>
    <w:rsid w:val="002D1E01"/>
  </w:style>
  <w:style w:type="character" w:styleId="FollowedHyperlink">
    <w:name w:val="FollowedHyperlink"/>
    <w:rsid w:val="00DD5C67"/>
    <w:rPr>
      <w:color w:val="954F72"/>
      <w:u w:val="single"/>
    </w:rPr>
  </w:style>
  <w:style w:type="character" w:customStyle="1" w:styleId="HeaderChar">
    <w:name w:val="Header Char"/>
    <w:link w:val="Header"/>
    <w:uiPriority w:val="99"/>
    <w:rsid w:val="00D200BC"/>
    <w:rPr>
      <w:rFonts w:ascii="Arial" w:hAnsi="Arial"/>
      <w:snapToGrid w:val="0"/>
      <w:sz w:val="22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046F60"/>
    <w:pPr>
      <w:spacing w:before="100" w:beforeAutospacing="1" w:after="100" w:afterAutospacing="1"/>
    </w:pPr>
    <w:rPr>
      <w:lang w:val="en-US" w:eastAsia="zh-CN"/>
    </w:rPr>
  </w:style>
  <w:style w:type="paragraph" w:customStyle="1" w:styleId="ydp5ce225aamsolistparagraph">
    <w:name w:val="ydp5ce225aamsolistparagraph"/>
    <w:basedOn w:val="Normal"/>
    <w:rsid w:val="00040660"/>
    <w:pPr>
      <w:spacing w:before="100" w:beforeAutospacing="1" w:after="100" w:afterAutospacing="1"/>
    </w:pPr>
    <w:rPr>
      <w:rFonts w:ascii="Calibri" w:eastAsia="DengXian" w:hAnsi="Calibri" w:cs="Calibri"/>
      <w:sz w:val="22"/>
      <w:szCs w:val="22"/>
      <w:lang w:val="en-US" w:eastAsia="zh-CN"/>
    </w:rPr>
  </w:style>
  <w:style w:type="character" w:styleId="UnresolvedMention">
    <w:name w:val="Unresolved Mention"/>
    <w:uiPriority w:val="99"/>
    <w:semiHidden/>
    <w:unhideWhenUsed/>
    <w:rsid w:val="009A5E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A58AE"/>
    <w:rPr>
      <w:sz w:val="24"/>
      <w:szCs w:val="24"/>
      <w:lang w:val="en-AU" w:eastAsia="en-US"/>
    </w:rPr>
  </w:style>
  <w:style w:type="paragraph" w:styleId="BodyText">
    <w:name w:val="Body Text"/>
    <w:basedOn w:val="Normal"/>
    <w:link w:val="BodyTextChar"/>
    <w:rsid w:val="003B7C02"/>
    <w:pPr>
      <w:spacing w:after="120"/>
    </w:pPr>
  </w:style>
  <w:style w:type="character" w:customStyle="1" w:styleId="BodyTextChar">
    <w:name w:val="Body Text Char"/>
    <w:link w:val="BodyText"/>
    <w:rsid w:val="003B7C02"/>
    <w:rPr>
      <w:sz w:val="24"/>
      <w:szCs w:val="24"/>
      <w:lang w:val="en-AU" w:eastAsia="en-US"/>
    </w:rPr>
  </w:style>
  <w:style w:type="character" w:customStyle="1" w:styleId="Aucun">
    <w:name w:val="Aucun"/>
    <w:rsid w:val="00EC7990"/>
    <w:rPr>
      <w:lang w:val="en-US"/>
    </w:rPr>
  </w:style>
  <w:style w:type="paragraph" w:customStyle="1" w:styleId="Corps">
    <w:name w:val="Corps"/>
    <w:rsid w:val="00EC799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val="en-US" w:eastAsia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51D3"/>
    <w:rPr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5776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73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13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74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29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80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30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9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00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78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5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63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998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19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42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10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9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41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32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2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2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5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7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6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46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15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11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08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98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0865">
          <w:marLeft w:val="547"/>
          <w:marRight w:val="0"/>
          <w:marTop w:val="2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59962">
          <w:marLeft w:val="547"/>
          <w:marRight w:val="0"/>
          <w:marTop w:val="2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9761">
          <w:marLeft w:val="547"/>
          <w:marRight w:val="0"/>
          <w:marTop w:val="2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2347">
          <w:marLeft w:val="547"/>
          <w:marRight w:val="0"/>
          <w:marTop w:val="2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3509">
          <w:marLeft w:val="547"/>
          <w:marRight w:val="0"/>
          <w:marTop w:val="2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5489">
          <w:marLeft w:val="547"/>
          <w:marRight w:val="0"/>
          <w:marTop w:val="2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9707">
          <w:marLeft w:val="547"/>
          <w:marRight w:val="0"/>
          <w:marTop w:val="2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8680">
          <w:marLeft w:val="547"/>
          <w:marRight w:val="0"/>
          <w:marTop w:val="2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87892">
          <w:marLeft w:val="547"/>
          <w:marRight w:val="0"/>
          <w:marTop w:val="2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4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6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86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18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0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15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46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50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68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48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8418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470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350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0976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738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660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7485">
          <w:marLeft w:val="720"/>
          <w:marRight w:val="0"/>
          <w:marTop w:val="2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951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027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014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10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856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39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9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8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5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62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6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83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4065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49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209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3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8351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2191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5579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553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681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373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3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11969">
          <w:marLeft w:val="446"/>
          <w:marRight w:val="58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4384">
          <w:marLeft w:val="446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3763">
          <w:marLeft w:val="446"/>
          <w:marRight w:val="58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46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7362">
          <w:marLeft w:val="446"/>
          <w:marRight w:val="58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47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2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366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01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9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41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16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59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48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09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ceanexpert.org/downloadFile/59599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ceanexpert.org/event/4627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ceanexpert.org/event/4627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oceanexpert.org/document/36094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ceanexpert.org/document/36421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e86eab3-7e79-4a6c-9299-b0d67a87b48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19AA4DCB672843B9D3A23330FAD3FA" ma:contentTypeVersion="13" ma:contentTypeDescription="Create a new document." ma:contentTypeScope="" ma:versionID="54c9b0a2b689ef2da8e0a4cbcaf69984">
  <xsd:schema xmlns:xsd="http://www.w3.org/2001/XMLSchema" xmlns:xs="http://www.w3.org/2001/XMLSchema" xmlns:p="http://schemas.microsoft.com/office/2006/metadata/properties" xmlns:ns3="de86eab3-7e79-4a6c-9299-b0d67a87b48e" xmlns:ns4="ad7c873b-b406-4c8b-ac2c-9c1e4433ca36" targetNamespace="http://schemas.microsoft.com/office/2006/metadata/properties" ma:root="true" ma:fieldsID="d97c04faa73e9881abb96865bf0b4abc" ns3:_="" ns4:_="">
    <xsd:import namespace="de86eab3-7e79-4a6c-9299-b0d67a87b48e"/>
    <xsd:import namespace="ad7c873b-b406-4c8b-ac2c-9c1e4433ca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6eab3-7e79-4a6c-9299-b0d67a87b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c873b-b406-4c8b-ac2c-9c1e4433ca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BCD7F4-036F-470C-B0EC-21210DC32E62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de86eab3-7e79-4a6c-9299-b0d67a87b48e"/>
    <ds:schemaRef ds:uri="http://purl.org/dc/elements/1.1/"/>
    <ds:schemaRef ds:uri="http://schemas.openxmlformats.org/package/2006/metadata/core-properties"/>
    <ds:schemaRef ds:uri="ad7c873b-b406-4c8b-ac2c-9c1e4433ca36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4DA886E-9634-4B2E-B743-E0DB5AEA5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86eab3-7e79-4a6c-9299-b0d67a87b48e"/>
    <ds:schemaRef ds:uri="ad7c873b-b406-4c8b-ac2c-9c1e4433c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06A973-2DC3-764D-8B58-B1BFD0EFB2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8569D7-DF91-478F-975C-764F1FA7EFC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1619</Words>
  <Characters>10888</Characters>
  <Application>Microsoft Office Word</Application>
  <DocSecurity>0</DocSecurity>
  <Lines>90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IOC</Company>
  <LinksUpToDate>false</LinksUpToDate>
  <CharactersWithSpaces>12483</CharactersWithSpaces>
  <SharedDoc>false</SharedDoc>
  <HLinks>
    <vt:vector size="6" baseType="variant">
      <vt:variant>
        <vt:i4>3735604</vt:i4>
      </vt:variant>
      <vt:variant>
        <vt:i4>0</vt:i4>
      </vt:variant>
      <vt:variant>
        <vt:i4>0</vt:i4>
      </vt:variant>
      <vt:variant>
        <vt:i4>5</vt:i4>
      </vt:variant>
      <vt:variant>
        <vt:lpwstr>https://oceanexpert.org/event/3861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bille</dc:creator>
  <cp:keywords/>
  <cp:lastModifiedBy>Boned, Patrice</cp:lastModifiedBy>
  <cp:revision>3</cp:revision>
  <cp:lastPrinted>2025-06-06T08:01:00Z</cp:lastPrinted>
  <dcterms:created xsi:type="dcterms:W3CDTF">2025-06-11T16:00:00Z</dcterms:created>
  <dcterms:modified xsi:type="dcterms:W3CDTF">2025-06-12T09:34:00Z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0x0101003F19AA4DCB672843B9D3A23330FAD3FA</vt:lpwstr>
  </property>
</Properties>
</file>