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395C" w14:textId="64AB77F4" w:rsidR="00AA5F8E" w:rsidRPr="00B45100" w:rsidRDefault="00502140" w:rsidP="00B96458">
      <w:pPr>
        <w:pStyle w:val="BodyTextIndent3"/>
        <w:ind w:left="0" w:right="-261" w:firstLine="3600"/>
        <w:jc w:val="both"/>
        <w:rPr>
          <w:rFonts w:ascii="Arial" w:hAnsi="Arial" w:cs="Arial"/>
          <w:b/>
          <w:szCs w:val="22"/>
        </w:rPr>
      </w:pPr>
      <w:r>
        <w:rPr>
          <w:b/>
          <w:bCs/>
          <w:lang w:val="ru"/>
        </w:rPr>
        <w:tab/>
      </w:r>
    </w:p>
    <w:p w14:paraId="3B296FB7" w14:textId="77777777" w:rsidR="008D23A7" w:rsidRPr="00B45100" w:rsidRDefault="008D23A7" w:rsidP="00E4633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МЕЖПРАВИТЕЛЬСТВЕННАЯ ОКЕАНОГРАФИЧЕСКАЯ КОМИССИЯ</w:t>
      </w:r>
    </w:p>
    <w:p w14:paraId="3FAF8B88" w14:textId="0702F2A0" w:rsidR="008D23A7" w:rsidRPr="00B45100" w:rsidRDefault="008D23A7" w:rsidP="00E4633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(ЮНЕСКО)</w:t>
      </w:r>
    </w:p>
    <w:p w14:paraId="4C88C842" w14:textId="77777777" w:rsidR="008D23A7" w:rsidRPr="00B45100" w:rsidRDefault="008D23A7" w:rsidP="00E4633C">
      <w:pPr>
        <w:pStyle w:val="Footer"/>
        <w:tabs>
          <w:tab w:val="clear" w:pos="4153"/>
          <w:tab w:val="clear" w:pos="8306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6775C60" w14:textId="77777777" w:rsidR="003B7C02" w:rsidRPr="00B45100" w:rsidRDefault="003B7C02" w:rsidP="00E4633C">
      <w:pPr>
        <w:pStyle w:val="Footer"/>
        <w:tabs>
          <w:tab w:val="clear" w:pos="4153"/>
          <w:tab w:val="clear" w:pos="8306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1C1FA4E5" w14:textId="61A3FCAA" w:rsidR="008D23A7" w:rsidRPr="00B45100" w:rsidRDefault="001724FF" w:rsidP="00E4633C">
      <w:pPr>
        <w:pStyle w:val="Foot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ВОСЕМНАДЦАТАЯ СЕССИЯ МЕЖПРАВИТЕЛЬСТВЕННОЙ КООРДИНАЦИОННОЙ ГРУППЫ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 xml:space="preserve">ПО СИСТЕМЕ ПРЕДУПРЕЖДЕНИЯ О ЦУНАМИ И ОПАСНОСТИ ДРУГИХ БЕДСТВИЙ В ПРИБРЕЖНЫХ РАЙОНАХ КАРИБСКОГО БАССЕЙНА И ПРИЛЕГАЮЩИХ РЕГИОНОВ </w:t>
      </w:r>
    </w:p>
    <w:p w14:paraId="0505ACC0" w14:textId="77777777" w:rsidR="008D23A7" w:rsidRPr="00B45100" w:rsidRDefault="008D23A7" w:rsidP="00E4633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sz w:val="22"/>
          <w:szCs w:val="22"/>
        </w:rPr>
      </w:pPr>
    </w:p>
    <w:p w14:paraId="45C10722" w14:textId="67E73296" w:rsidR="008D23A7" w:rsidRPr="00B45100" w:rsidRDefault="008D23A7" w:rsidP="00E4633C">
      <w:pPr>
        <w:pStyle w:val="Footer"/>
        <w:jc w:val="center"/>
        <w:rPr>
          <w:rFonts w:ascii="Arial" w:hAnsi="Arial" w:cs="Arial"/>
          <w:sz w:val="22"/>
          <w:szCs w:val="22"/>
        </w:rPr>
      </w:pPr>
    </w:p>
    <w:p w14:paraId="193B84D6" w14:textId="573587EF" w:rsidR="008D23A7" w:rsidRPr="00B45100" w:rsidRDefault="001724FF" w:rsidP="00E4633C">
      <w:pPr>
        <w:pStyle w:val="Footer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5–7 и 9 мая 2025 года (в режиме онлайн)</w:t>
      </w:r>
    </w:p>
    <w:p w14:paraId="1B63C549" w14:textId="77777777" w:rsidR="0089672B" w:rsidRPr="00B45100" w:rsidRDefault="0089672B" w:rsidP="00E4633C">
      <w:pPr>
        <w:pStyle w:val="Footer"/>
        <w:jc w:val="center"/>
        <w:rPr>
          <w:rFonts w:ascii="Arial" w:hAnsi="Arial" w:cs="Arial"/>
          <w:bCs/>
          <w:sz w:val="22"/>
          <w:szCs w:val="22"/>
        </w:rPr>
      </w:pPr>
    </w:p>
    <w:p w14:paraId="6039974D" w14:textId="77777777" w:rsidR="003D36F0" w:rsidRPr="00B45100" w:rsidRDefault="003D36F0" w:rsidP="00E4633C">
      <w:pPr>
        <w:pStyle w:val="Footer"/>
        <w:jc w:val="center"/>
        <w:rPr>
          <w:rFonts w:ascii="Arial" w:hAnsi="Arial" w:cs="Arial"/>
          <w:bCs/>
          <w:sz w:val="22"/>
          <w:szCs w:val="22"/>
        </w:rPr>
      </w:pPr>
    </w:p>
    <w:p w14:paraId="4D01FC82" w14:textId="77777777" w:rsidR="003D36F0" w:rsidRPr="00B45100" w:rsidRDefault="003D36F0" w:rsidP="00E4633C">
      <w:pPr>
        <w:pStyle w:val="Footer"/>
        <w:jc w:val="center"/>
        <w:rPr>
          <w:rFonts w:ascii="Arial" w:hAnsi="Arial" w:cs="Arial"/>
          <w:bCs/>
          <w:sz w:val="22"/>
          <w:szCs w:val="22"/>
        </w:rPr>
      </w:pPr>
    </w:p>
    <w:p w14:paraId="5D943631" w14:textId="3935C7C8" w:rsidR="003B7C02" w:rsidRPr="00B45100" w:rsidRDefault="004D79DE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val="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136F3AC" wp14:editId="0CD096CC">
                <wp:simplePos x="0" y="0"/>
                <wp:positionH relativeFrom="column">
                  <wp:posOffset>581660</wp:posOffset>
                </wp:positionH>
                <wp:positionV relativeFrom="paragraph">
                  <wp:posOffset>46355</wp:posOffset>
                </wp:positionV>
                <wp:extent cx="4986655" cy="2241550"/>
                <wp:effectExtent l="0" t="0" r="4445" b="698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DABC4" w14:textId="77777777" w:rsidR="00780A7E" w:rsidRPr="00BF4882" w:rsidRDefault="00780A7E" w:rsidP="00B96458">
                            <w:pPr>
                              <w:pStyle w:val="Footer"/>
                              <w:tabs>
                                <w:tab w:val="clear" w:pos="4153"/>
                                <w:tab w:val="clear" w:pos="8306"/>
                              </w:tabs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ru"/>
                              </w:rPr>
                              <w:t>РАБОЧЕЕ РЕЗЮМЕ</w:t>
                            </w:r>
                          </w:p>
                          <w:p w14:paraId="21D348AF" w14:textId="7A320F6F" w:rsidR="00780A7E" w:rsidRPr="007071A0" w:rsidRDefault="00780A7E" w:rsidP="00780A7E">
                            <w:pPr>
                              <w:pStyle w:val="BodyText"/>
                              <w:spacing w:after="200" w:line="239" w:lineRule="auto"/>
                              <w:ind w:left="142" w:right="4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"/>
                              </w:rPr>
                              <w:t>В соответствии со статьей 48.3 Правил процедуры для основных вспомогательных органов Комиссии Межправительственная координационная группа по системе предупреждения о цунами и опасности других бедствий в прибрежных районах Карибского бассейна и прилегающих регионов должна представлять руководящему органу доклады о своих сессиях.</w:t>
                            </w:r>
                          </w:p>
                          <w:p w14:paraId="49B59CEC" w14:textId="652E3E63" w:rsidR="003D36F0" w:rsidRPr="007071A0" w:rsidRDefault="003D36F0" w:rsidP="00780A7E">
                            <w:pPr>
                              <w:pStyle w:val="BodyText"/>
                              <w:spacing w:after="200" w:line="239" w:lineRule="auto"/>
                              <w:ind w:left="142" w:right="4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"/>
                              </w:rPr>
                              <w:t xml:space="preserve">Документация и информация для сессии доступны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ru"/>
                                </w:rPr>
                                <w:t>онлайн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"/>
                              </w:rPr>
                              <w:t>.</w:t>
                            </w:r>
                          </w:p>
                          <w:p w14:paraId="31570546" w14:textId="1CB6309D" w:rsidR="003D36F0" w:rsidRPr="007071A0" w:rsidRDefault="001724FF" w:rsidP="001724FF">
                            <w:pPr>
                              <w:pStyle w:val="BodyText"/>
                              <w:spacing w:after="200" w:line="239" w:lineRule="auto"/>
                              <w:ind w:left="142" w:right="4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"/>
                              </w:rPr>
                              <w:t>33-й сессии Ассамблеи МОК в июне 2025 года будет предложено рассмотреть настоящее рабочее резюме и содержащиеся в нем решения.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36F3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.8pt;margin-top:3.65pt;width:392.65pt;height:176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">
                <v:textbox style="mso-fit-shape-to-text:t">
                  <w:txbxContent>
                    <w:p w14:paraId="1E9DABC4" w14:textId="77777777" w:rsidR="00780A7E" w:rsidRPr="00BF4882" w:rsidRDefault="00780A7E" w:rsidP="00B96458">
                      <w:pPr>
                        <w:pStyle w:val="Footer"/>
                        <w:tabs>
                          <w:tab w:val="clear" w:pos="4153"/>
                          <w:tab w:val="clear" w:pos="8306"/>
                        </w:tabs>
                        <w:spacing w:after="24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22"/>
                          <w:szCs w:val="22"/>
                          <w:lang w:val="ru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РАБОЧЕЕ РЕЗЮМЕ</w:t>
                      </w:r>
                    </w:p>
                    <w:p w14:paraId="21D348AF" w14:textId="7A320F6F" w:rsidR="00780A7E" w:rsidRPr="007071A0" w:rsidRDefault="00780A7E" w:rsidP="00780A7E">
                      <w:pPr>
                        <w:pStyle w:val="BodyText"/>
                        <w:spacing w:after="200" w:line="239" w:lineRule="auto"/>
                        <w:ind w:left="142" w:right="4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22"/>
                          <w:szCs w:val="22"/>
                          <w:lang w:val="ru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В соответствии со статьей 48.3 Правил процедуры для основных вспомогательных органов Комиссии Межправительственная координационная группа по системе предупреждения о цунами и опасности других бедствий в прибрежных районах Карибского бассейна и прилегающих регионов должна представлять руководящему органу доклады о своих сессиях.</w:t>
                      </w:r>
                    </w:p>
                    <w:p w14:paraId="49B59CEC" w14:textId="652E3E63" w:rsidR="003D36F0" w:rsidRPr="007071A0" w:rsidRDefault="003D36F0" w:rsidP="00780A7E">
                      <w:pPr>
                        <w:pStyle w:val="BodyText"/>
                        <w:spacing w:after="200" w:line="239" w:lineRule="auto"/>
                        <w:ind w:left="142" w:right="4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22"/>
                          <w:szCs w:val="22"/>
                          <w:lang w:val="ru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Документация и информация для сессии доступны </w:t>
                      </w:r>
                      <w:hyperlink r:id="rId12" w:history="1">
                        <w:r>
                          <w:rPr>
                            <w:rStyle w:val="Hyperlink"/>
                            <w:rFonts w:ascii="Arial" w:cs="Arial" w:hAnsi="Arial"/>
                            <w:sz w:val="22"/>
                            <w:szCs w:val="22"/>
                            <w:lang w:val="ru"/>
                            <w:b w:val="0"/>
                            <w:bCs w:val="0"/>
                            <w:i w:val="0"/>
                            <w:iCs w:val="0"/>
                            <w:u w:val="single"/>
                            <w:vertAlign w:val="baseline"/>
                            <w:rtl w:val="0"/>
                          </w:rPr>
                          <w:t xml:space="preserve">онлайн</w:t>
                        </w:r>
                      </w:hyperlink>
                      <w:r>
                        <w:rPr>
                          <w:rFonts w:ascii="Arial" w:cs="Arial" w:hAnsi="Arial"/>
                          <w:sz w:val="22"/>
                          <w:szCs w:val="22"/>
                          <w:lang w:val="ru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.</w:t>
                      </w:r>
                    </w:p>
                    <w:p w14:paraId="31570546" w14:textId="1CB6309D" w:rsidR="003D36F0" w:rsidRPr="007071A0" w:rsidRDefault="001724FF" w:rsidP="001724FF">
                      <w:pPr>
                        <w:pStyle w:val="BodyText"/>
                        <w:spacing w:after="200" w:line="239" w:lineRule="auto"/>
                        <w:ind w:left="142" w:right="4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22"/>
                          <w:szCs w:val="22"/>
                          <w:lang w:val="ru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33-й сессии Ассамблеи МОК в июне 2025 года будет предложено рассмотреть настоящее рабочее резюме и содержащиеся в нем решения.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FEA3E" w14:textId="77777777" w:rsidR="003B7C02" w:rsidRPr="00B45100" w:rsidRDefault="003B7C02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4A6B7FD3" w14:textId="77777777" w:rsidR="0002560F" w:rsidRPr="00B45100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1913A1CA" w14:textId="77777777" w:rsidR="0002560F" w:rsidRPr="00B45100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21327796" w14:textId="77777777" w:rsidR="0002560F" w:rsidRPr="00B45100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2822679F" w14:textId="77777777" w:rsidR="0002560F" w:rsidRPr="00B45100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4AEE0618" w14:textId="77777777" w:rsidR="0002560F" w:rsidRPr="00B45100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286C9D90" w14:textId="77777777" w:rsidR="0002560F" w:rsidRPr="00B45100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15B7AAA5" w14:textId="43BF97D3" w:rsidR="00447062" w:rsidRPr="00B45100" w:rsidRDefault="00097219" w:rsidP="00447062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ru"/>
        </w:rPr>
        <w:t xml:space="preserve">Восемнадцатая сессия Межправительственной координационной группы МОК ЮНЕСКО по Системе раннего предупреждения о цунами и опасности других бедствий в прибрежных районах Карибского бассейна и прилегающих регионов (ICG/CARIBE EWS-XVIII) состоялась 5-7и 9 мая 2025 г. в режиме онлайн, поскольку ни одно из государств-членов МКГ/КАРИБ-СРП не выразило готовность организовать сессию ICG/CARIBE-EWS-XVIII в очном формате. В сессии приняли участие 58 виртуальных участников из 19 государств-членов/территорий (Антигуа и Барбуда, Бразилия, Великобритания, Венесуэла, Гватемала, Гвиана, Гондурас, Доминика, Колумбия, Коста-Рика, Куба, Мексика, Кюрасао (Королевство Нидерландов), Никарагуа, Панама, Сент-Китс и Невис, США, Тринидад и Тобаго, Франция) и 21 наблюдатель из 12 государств-членов/территорий (Аргентина, Индия, Италия, Китай, Колумбия, Коста-Рика, США (включая Пуэрто-Рико и Американские Виргинские острова), Тринидад и Тобаго, Уругвай и Франция), включая представителей трех организаций-наблюдателей — Пуэрториканской сейсмической сети (ПСС), Всемирной метеорологической организации (СМО) и Регионального офиса УСРБ ООН в Северной и Южной Америке и Карибском бассейне. </w:t>
      </w:r>
    </w:p>
    <w:p w14:paraId="265B3E37" w14:textId="3473C610" w:rsidR="00447062" w:rsidRPr="00B45100" w:rsidRDefault="00447062" w:rsidP="00447062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приветствовала</w:t>
      </w:r>
      <w:r>
        <w:rPr>
          <w:rFonts w:ascii="Arial" w:eastAsia="Arial" w:hAnsi="Arial" w:cs="Arial"/>
          <w:lang w:val="ru"/>
        </w:rPr>
        <w:t xml:space="preserve"> участие Аргентины и Уругвая в сессии ICG/CARIBE-EWS-XVIII в качестве наблюдателей.</w:t>
      </w:r>
    </w:p>
    <w:p w14:paraId="1B8012F0" w14:textId="13DB1C79" w:rsidR="008F6998" w:rsidRPr="00B45100" w:rsidRDefault="004738A2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ru"/>
        </w:rPr>
        <w:t>МКГ отметила</w:t>
      </w:r>
      <w:r>
        <w:rPr>
          <w:rFonts w:ascii="Arial" w:hAnsi="Arial" w:cs="Arial"/>
          <w:lang w:val="ru"/>
        </w:rPr>
        <w:t xml:space="preserve"> сквозные элементы рабочей программы МКГ/КАРИБ-СРП, тесно связанные с инициативой Генерального секретаря ООН «Заблаговременные </w:t>
      </w:r>
      <w:r>
        <w:rPr>
          <w:rFonts w:ascii="Arial" w:hAnsi="Arial" w:cs="Arial"/>
          <w:lang w:val="ru"/>
        </w:rPr>
        <w:lastRenderedPageBreak/>
        <w:t xml:space="preserve">предупреждения для всех» (EW4All) и руководствующиеся такими стратегическими элементами как Программа по цунами в рамках Десятилетия ООН, посвященного науке об океане (ПЦДО), и Программа МОК ЮНЕСКО по сертификации готовности к цунами (ПСГЦ). </w:t>
      </w:r>
    </w:p>
    <w:p w14:paraId="2C7CBEEC" w14:textId="11E4605E" w:rsidR="005D6A06" w:rsidRPr="00B45100" w:rsidRDefault="006C0682" w:rsidP="005D6A06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ru"/>
        </w:rPr>
        <w:t>МКГ приветствовала</w:t>
      </w:r>
      <w:r>
        <w:rPr>
          <w:rFonts w:ascii="Arial" w:hAnsi="Arial" w:cs="Arial"/>
          <w:lang w:val="ru"/>
        </w:rPr>
        <w:t xml:space="preserve"> подписание Меморандума о взаимопонимании между Организацией Объединенных Наций по вопросам образования, науки и культуры (ЮНЕСКО) и Карибским агентством по чрезвычайным ситуациям (CDEMA) для поддержки и активизации усилий по снижению риска бедствий в Карибском регионе.</w:t>
      </w:r>
      <w:r>
        <w:rPr>
          <w:rFonts w:ascii="Arial" w:hAnsi="Arial" w:cs="Arial"/>
          <w:b/>
          <w:bCs/>
          <w:lang w:val="ru"/>
        </w:rPr>
        <w:t xml:space="preserve"> </w:t>
      </w:r>
    </w:p>
    <w:p w14:paraId="357DA984" w14:textId="57E01A9C" w:rsidR="00F16117" w:rsidRPr="00B45100" w:rsidRDefault="00F16117" w:rsidP="005D6A06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МГК оценила</w:t>
      </w:r>
      <w:r>
        <w:rPr>
          <w:rFonts w:ascii="Arial" w:eastAsia="Arial" w:hAnsi="Arial" w:cs="Arial"/>
          <w:lang w:val="ru"/>
        </w:rPr>
        <w:t xml:space="preserve"> готовность Национальной метеорологической службы США при посредничестве ее Центров предупреждения о цунами и Международного центра информации о цунами (МЦИЦ) продолжать оказывать своевременные и эффективные услуги в связи с цунами для защиты жизней, средств к существованию и экономического благополучия в США, Тихом океане, Карибском бассейне и прилегающих регионах.</w:t>
      </w:r>
    </w:p>
    <w:p w14:paraId="0B958515" w14:textId="763A9D54" w:rsidR="00447B59" w:rsidRPr="00B45100" w:rsidRDefault="00447B59" w:rsidP="00447B59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ru"/>
        </w:rPr>
        <w:t xml:space="preserve">МКГ приняла решение </w:t>
      </w:r>
      <w:r>
        <w:rPr>
          <w:rFonts w:ascii="Arial" w:hAnsi="Arial" w:cs="Arial"/>
          <w:lang w:val="ru"/>
        </w:rPr>
        <w:t>продолжить деятельность Рабочей группы 1 по знанию рисков, Рабочей группы 2 по выявлению, анализу и прогнозированию цунами, Рабочей группы 3 по распространению предупреждений о цунами и информационному взаимодействию, Рабочей группы 4 по готовности и потенциалу реагирования, Целевой группы по учениям «Карибская волна» и Целевой группы по готовности к цунами.</w:t>
      </w:r>
    </w:p>
    <w:p w14:paraId="1E618CBA" w14:textId="67749D54" w:rsidR="0032206A" w:rsidRPr="00B45100" w:rsidRDefault="00F0770B" w:rsidP="0032206A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 xml:space="preserve">МКГ дала положительную оценку </w:t>
      </w:r>
      <w:r>
        <w:rPr>
          <w:rFonts w:ascii="Arial" w:eastAsia="Arial" w:hAnsi="Arial" w:cs="Arial"/>
          <w:lang w:val="ru"/>
        </w:rPr>
        <w:t xml:space="preserve">Совместному совещанию экспертов, посвященному сейсмическим источникам на северо-западе Карибского бассейна и несейсмическим источникам цунами для Карибского бассейна и прилегающих регионов, состоявшемуся 3-5 декабря 2024 года в Эредии (Коста-Рика) и любезно организованному SINAMOT. Она </w:t>
      </w:r>
      <w:r>
        <w:rPr>
          <w:rFonts w:ascii="Arial" w:eastAsia="Arial" w:hAnsi="Arial" w:cs="Arial"/>
          <w:b/>
          <w:bCs/>
          <w:lang w:val="ru"/>
        </w:rPr>
        <w:t xml:space="preserve">отметила </w:t>
      </w:r>
      <w:r>
        <w:rPr>
          <w:rFonts w:ascii="Arial" w:eastAsia="Arial" w:hAnsi="Arial" w:cs="Arial"/>
          <w:lang w:val="ru"/>
        </w:rPr>
        <w:t xml:space="preserve">усилия Секретариата и Рабочей группы 1 по проведению регионального обучения по цифровой модели рельефа (ЦМР), которое состоится ориентировочно в 4 квартале 2025 года или в 1 квартале 2026 года, включая определение места его проведения, экспертов и инструментов, которые будут использованы для обучения (программное обеспечение с открытым исходным кодом или лицензированное программного обеспечение), и </w:t>
      </w:r>
      <w:r>
        <w:rPr>
          <w:rFonts w:ascii="Arial" w:eastAsia="Arial" w:hAnsi="Arial" w:cs="Arial"/>
          <w:b/>
          <w:bCs/>
          <w:lang w:val="ru"/>
        </w:rPr>
        <w:t>призвала</w:t>
      </w:r>
      <w:r>
        <w:rPr>
          <w:rFonts w:ascii="Arial" w:eastAsia="Arial" w:hAnsi="Arial" w:cs="Arial"/>
          <w:lang w:val="ru"/>
        </w:rPr>
        <w:t xml:space="preserve"> Рабочую группу 1 и Секретариат рассмотреть возможность организации Совещания экспертов по вероятностной оценке опасности цунами (ВООЦ) сейсмического и несейсмического происхождения в Карибском бассейне и прилегающих регионах.</w:t>
      </w:r>
    </w:p>
    <w:p w14:paraId="0B59153E" w14:textId="7A32C33B" w:rsidR="00447B59" w:rsidRPr="00B45100" w:rsidRDefault="00447B59" w:rsidP="00447B59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попросила</w:t>
      </w:r>
      <w:r>
        <w:rPr>
          <w:rFonts w:ascii="Arial" w:eastAsia="Arial" w:hAnsi="Arial" w:cs="Arial"/>
          <w:lang w:val="ru"/>
        </w:rPr>
        <w:t xml:space="preserve"> организовать региональные рабочие совещания для рассмотрения требований «Мониторинга и предупреждения о цунами, вызванных вулканами» (</w:t>
      </w:r>
      <w:hyperlink r:id="rId13">
        <w:r>
          <w:rPr>
            <w:rFonts w:ascii="Arial" w:eastAsia="Arial" w:hAnsi="Arial" w:cs="Arial"/>
            <w:color w:val="1155CC"/>
            <w:u w:val="single"/>
            <w:lang w:val="ru"/>
          </w:rPr>
          <w:t>Техническая серия МОК № 183</w:t>
        </w:r>
      </w:hyperlink>
      <w:r>
        <w:rPr>
          <w:rFonts w:ascii="Arial" w:eastAsia="Arial" w:hAnsi="Arial" w:cs="Arial"/>
          <w:lang w:val="ru"/>
        </w:rPr>
        <w:t>) и призвала Секретариат, в тесном сотрудничестве с Рабочими группами МКГ/КАРИБ-СРП, организовать рабочее совещание, посвященное разработке стандартных оперативных процедур между вулканическими обсерваториями в Карибском бассейне и ПДСЦ и НЦПЦ МКГ/КАРИБ-СРП.</w:t>
      </w:r>
    </w:p>
    <w:p w14:paraId="6ACB1EC7" w14:textId="05F89FF3" w:rsidR="0032206A" w:rsidRPr="00B45100" w:rsidRDefault="0032206A" w:rsidP="0032206A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приняла к сведению</w:t>
      </w:r>
      <w:r>
        <w:rPr>
          <w:rFonts w:ascii="Arial" w:eastAsia="Arial" w:hAnsi="Arial" w:cs="Arial"/>
          <w:lang w:val="ru"/>
        </w:rPr>
        <w:t xml:space="preserve"> инструкции Рабочей группы МОК по системам предупреждения о цунами и других опасных явлениях, связанных с изменением уровня моря (РГ-СПЦО), данные ею на 18-м совещании Целевой группы по наблюдениям за цунами (ЦГ-НЦ), по включению в ее рабочую программу цунами, вызванных подводными и поверхностными оползнями, и сотрудничеству с научным и оперативным сообществом, специализирующимся на оползневых опасностях, а также раннем предупреждении и оперативном реагировании, для выполнения требований первой задачи ПЦДО, которая заключается в развитии потенциала систем предупреждения для выдачи эффективных и своевременных предупреждений о цунами в отношении всех цунами из всех выявленных источников для 100 % подверженных риску побережий, и </w:t>
      </w:r>
      <w:r>
        <w:rPr>
          <w:rFonts w:ascii="Arial" w:eastAsia="Arial" w:hAnsi="Arial" w:cs="Arial"/>
          <w:b/>
          <w:bCs/>
          <w:lang w:val="ru"/>
        </w:rPr>
        <w:t>попросила</w:t>
      </w:r>
      <w:r>
        <w:rPr>
          <w:rFonts w:ascii="Arial" w:eastAsia="Arial" w:hAnsi="Arial" w:cs="Arial"/>
          <w:lang w:val="ru"/>
        </w:rPr>
        <w:t xml:space="preserve"> Рабочую группу 1 (в сотрудничестве с Рабочей группой 2) провести обзор литературы, посвященной обнаружению подводных оползней в режиме реального времени, чтобы поддержать эти усилия.</w:t>
      </w:r>
    </w:p>
    <w:p w14:paraId="25FCC5CE" w14:textId="354171DC" w:rsidR="0032206A" w:rsidRPr="00B45100" w:rsidRDefault="00F0770B" w:rsidP="0032206A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lastRenderedPageBreak/>
        <w:t>МКГ призвала</w:t>
      </w:r>
      <w:r>
        <w:rPr>
          <w:rFonts w:ascii="Arial" w:eastAsia="Arial" w:hAnsi="Arial" w:cs="Arial"/>
          <w:lang w:val="ru"/>
        </w:rPr>
        <w:t xml:space="preserve"> Секретариат (в сотрудничестве с Рабочей группой 2) продолжить свою работу над организацией учебных курсов по уровню моря на английском и испанском языках каждые два года при поддержке НОАА и Секретариата, а также в тесном сотрудничестве с Международной гидрографической организацией (МГО) и Международной морской организацией (ИМО).</w:t>
      </w:r>
    </w:p>
    <w:p w14:paraId="4ACFC790" w14:textId="32CDE535" w:rsidR="00F0770B" w:rsidRPr="00B45100" w:rsidRDefault="0032206A" w:rsidP="0032206A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отметила</w:t>
      </w:r>
      <w:r>
        <w:rPr>
          <w:rFonts w:ascii="Arial" w:eastAsia="Arial" w:hAnsi="Arial" w:cs="Arial"/>
          <w:lang w:val="ru"/>
        </w:rPr>
        <w:t xml:space="preserve">, что довольно большой процент станций сети наблюдения за уровнем моря и сейсмической сети КАРИБ-СРП в настоящее время не работают и, таким образом, могут задержать надлежащую оценку цунами и выдачу своевременных и точных оповещений о цунами. Она </w:t>
      </w:r>
      <w:r>
        <w:rPr>
          <w:rFonts w:ascii="Arial" w:eastAsia="Arial" w:hAnsi="Arial" w:cs="Arial"/>
          <w:b/>
          <w:bCs/>
          <w:lang w:val="ru"/>
        </w:rPr>
        <w:t>настоятельно призвала</w:t>
      </w:r>
      <w:r>
        <w:rPr>
          <w:rFonts w:ascii="Arial" w:eastAsia="Arial" w:hAnsi="Arial" w:cs="Arial"/>
          <w:lang w:val="ru"/>
        </w:rPr>
        <w:t xml:space="preserve"> государства-члены и операторов станций слежения за уровнем моря и сейсмической активностью, вносящих свой вклад в КАРИБ-СРП, поддерживать работоспособность станций и регулярно пересматривать и обновлять статус их станций в </w:t>
      </w:r>
      <w:hyperlink r:id="rId14" w:history="1">
        <w:r>
          <w:rPr>
            <w:rStyle w:val="Hyperlink"/>
            <w:rFonts w:ascii="Arial" w:eastAsia="Arial" w:hAnsi="Arial" w:cs="Arial"/>
            <w:lang w:val="ru"/>
          </w:rPr>
          <w:t>Центре мониторинга уровня моря</w:t>
        </w:r>
      </w:hyperlink>
      <w:r>
        <w:rPr>
          <w:rFonts w:ascii="Arial" w:eastAsia="Arial" w:hAnsi="Arial" w:cs="Arial"/>
          <w:lang w:val="ru"/>
        </w:rPr>
        <w:t xml:space="preserve"> и в Центре предупреждения о цунами в Тихом океане (ЦПЦТО).</w:t>
      </w:r>
    </w:p>
    <w:p w14:paraId="0D6E55EC" w14:textId="5EA0883C" w:rsidR="00447B59" w:rsidRPr="00B45100" w:rsidRDefault="0032206A" w:rsidP="0032206A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 xml:space="preserve">МКГ приняла к сведению </w:t>
      </w:r>
      <w:r>
        <w:rPr>
          <w:rFonts w:ascii="Arial" w:eastAsia="Arial" w:hAnsi="Arial" w:cs="Arial"/>
          <w:lang w:val="ru"/>
        </w:rPr>
        <w:t>обновление Реестра методов распространения предупреждений о цунами и информационного взаимодействия КАРИБ-СРП для Карибского бассейна и прилегающих регионов и</w:t>
      </w:r>
      <w:r>
        <w:rPr>
          <w:rFonts w:ascii="Arial" w:eastAsia="Arial" w:hAnsi="Arial" w:cs="Arial"/>
          <w:b/>
          <w:bCs/>
          <w:lang w:val="ru"/>
        </w:rPr>
        <w:t xml:space="preserve"> рекомендовала </w:t>
      </w:r>
      <w:r>
        <w:rPr>
          <w:rFonts w:ascii="Arial" w:eastAsia="Arial" w:hAnsi="Arial" w:cs="Arial"/>
          <w:lang w:val="ru"/>
        </w:rPr>
        <w:t>Рабочей группе 3 сотрудничать с Секцией устойчивости к цунами МОК ЮНЕСКО для публикации и распространения доклада и результатов и их пересмотра в случае необходимости.</w:t>
      </w:r>
    </w:p>
    <w:p w14:paraId="36DACE6E" w14:textId="62850DEC" w:rsidR="00447B59" w:rsidRPr="00DA0475" w:rsidRDefault="0032206A" w:rsidP="0032206A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 xml:space="preserve">МКГ отметила </w:t>
      </w:r>
      <w:r>
        <w:rPr>
          <w:rFonts w:ascii="Arial" w:eastAsia="Arial" w:hAnsi="Arial" w:cs="Arial"/>
          <w:lang w:val="ru"/>
        </w:rPr>
        <w:t xml:space="preserve">рекомендацию Рабочей группы МОК по системам предупреждения о цунами и других опасных явлениях, связанных с изменением уровня моря (РГ-СПЦО), а также результаты исследования КАРИБ-СРП в отношении необходимости обучения Общему протоколу оповещения (ОПО) и продолжающейся работы по инициативе «Заблаговременные предупреждения для всех» (EW4All) и </w:t>
      </w:r>
      <w:r>
        <w:rPr>
          <w:rFonts w:ascii="Arial" w:eastAsia="Arial" w:hAnsi="Arial" w:cs="Arial"/>
          <w:b/>
          <w:bCs/>
          <w:lang w:val="ru"/>
        </w:rPr>
        <w:t>попросила</w:t>
      </w:r>
      <w:r>
        <w:rPr>
          <w:rFonts w:ascii="Arial" w:eastAsia="Arial" w:hAnsi="Arial" w:cs="Arial"/>
          <w:lang w:val="ru"/>
        </w:rPr>
        <w:t xml:space="preserve"> Секцию устойчивости к цунами МОК ЮНЕСКО усилить координацию (включая обучение) по ОПО с УСРБ ООН, Международным союзом электросвязи (МСЭ) и ВМО и содействовать их участию в заседаниях МКГ/КАРИБ-СРП.</w:t>
      </w:r>
    </w:p>
    <w:p w14:paraId="465ADCD6" w14:textId="69ECBE8B" w:rsidR="00447B59" w:rsidRPr="00DA0475" w:rsidRDefault="0032206A" w:rsidP="00D71049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 xml:space="preserve">МКГ приняла к сведению </w:t>
      </w:r>
      <w:r>
        <w:rPr>
          <w:rFonts w:ascii="Arial" w:eastAsia="Arial" w:hAnsi="Arial" w:cs="Arial"/>
          <w:lang w:val="ru"/>
        </w:rPr>
        <w:t xml:space="preserve">обновления </w:t>
      </w:r>
      <w:r>
        <w:rPr>
          <w:rFonts w:ascii="Arial" w:eastAsia="Arial" w:hAnsi="Arial" w:cs="Arial"/>
          <w:i/>
          <w:iCs/>
          <w:lang w:val="ru"/>
        </w:rPr>
        <w:t>«Руководства пользователя по процедурам и продуктам ЦПЦТО для КАРИБ-СРП»</w:t>
      </w:r>
      <w:r>
        <w:rPr>
          <w:rFonts w:ascii="Arial" w:eastAsia="Arial" w:hAnsi="Arial" w:cs="Arial"/>
          <w:lang w:val="ru"/>
        </w:rPr>
        <w:t xml:space="preserve"> (Техническая серия МОК, </w:t>
      </w:r>
      <w:hyperlink r:id="rId15" w:history="1">
        <w:r>
          <w:rPr>
            <w:rStyle w:val="Hyperlink"/>
            <w:rFonts w:ascii="Arial" w:eastAsia="Arial" w:hAnsi="Arial" w:cs="Arial"/>
            <w:lang w:val="ru"/>
          </w:rPr>
          <w:t>135</w:t>
        </w:r>
      </w:hyperlink>
      <w:r>
        <w:rPr>
          <w:rFonts w:ascii="Arial" w:eastAsia="Arial" w:hAnsi="Arial" w:cs="Arial"/>
          <w:lang w:val="ru"/>
        </w:rPr>
        <w:t xml:space="preserve">), включая интеграцию «Плана информационного взаимодействия ЦПЦТО для КАРИБ-СРП» 2006 года, и </w:t>
      </w:r>
      <w:r>
        <w:rPr>
          <w:rFonts w:ascii="Arial" w:eastAsia="Arial" w:hAnsi="Arial" w:cs="Arial"/>
          <w:b/>
          <w:bCs/>
          <w:lang w:val="ru"/>
        </w:rPr>
        <w:t>рекомендовала</w:t>
      </w:r>
      <w:r>
        <w:rPr>
          <w:rFonts w:ascii="Arial" w:eastAsia="Arial" w:hAnsi="Arial" w:cs="Arial"/>
          <w:lang w:val="ru"/>
        </w:rPr>
        <w:t xml:space="preserve"> принять новое «Руководство пользователя ЦПЦТО» 2025 года и внедрять новые продукты ЦПЦТО, уведомив государства-члены за три месяца.</w:t>
      </w:r>
    </w:p>
    <w:p w14:paraId="2CDBCF38" w14:textId="1563D622" w:rsidR="00447B59" w:rsidRPr="00DA0475" w:rsidRDefault="00D71049" w:rsidP="007071A0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 xml:space="preserve">МКГ высоко оценила </w:t>
      </w:r>
      <w:r>
        <w:rPr>
          <w:rFonts w:ascii="Arial" w:eastAsia="Arial" w:hAnsi="Arial" w:cs="Arial"/>
          <w:lang w:val="ru"/>
        </w:rPr>
        <w:t xml:space="preserve">доклад и технический и административный прогресс, достигнутый Консультативным центром по цунами для региона Центральной Америки (КЦЦЦА) в межсессионный период, а также текущую работу КЦЦЦА по дальнейшему совершенствованию сейсмологической и информационной технологической системы, позволяющей выявлять источники цунами в Центральной Америке и своевременно распространять эффективные продукты о цунами, усиливать потенциал своих пользователей и информировать их о потенциальных событиях. </w:t>
      </w:r>
      <w:r>
        <w:rPr>
          <w:rFonts w:ascii="Arial" w:eastAsia="Arial" w:hAnsi="Arial" w:cs="Arial"/>
          <w:b/>
          <w:bCs/>
          <w:lang w:val="ru"/>
        </w:rPr>
        <w:t>Она приняла к сведению</w:t>
      </w:r>
      <w:r>
        <w:rPr>
          <w:rFonts w:ascii="Arial" w:eastAsia="Arial" w:hAnsi="Arial" w:cs="Arial"/>
          <w:lang w:val="ru"/>
        </w:rPr>
        <w:t xml:space="preserve"> трудности, с которыми столкнулся КЦЦЦА во время события M7.6, произошедшего в западной части Карибского бассейна 8 февраля 2025 года, когда из-за проблем на сервере КЦЦЦА по электронной почте было разослано только первое сообщение. МКГ </w:t>
      </w:r>
      <w:r>
        <w:rPr>
          <w:rFonts w:ascii="Arial" w:eastAsia="Arial" w:hAnsi="Arial" w:cs="Arial"/>
          <w:b/>
          <w:bCs/>
          <w:lang w:val="ru"/>
        </w:rPr>
        <w:t>рекомендовала</w:t>
      </w:r>
      <w:r>
        <w:rPr>
          <w:rFonts w:ascii="Arial" w:eastAsia="Arial" w:hAnsi="Arial" w:cs="Arial"/>
          <w:lang w:val="ru"/>
        </w:rPr>
        <w:t xml:space="preserve"> использовать резервные и надежные способы передачи продуктов КЦЦЦА его пользователям. КЦЦЦА было </w:t>
      </w:r>
      <w:r>
        <w:rPr>
          <w:rFonts w:ascii="Arial" w:eastAsia="Arial" w:hAnsi="Arial" w:cs="Arial"/>
          <w:b/>
          <w:bCs/>
          <w:lang w:val="ru"/>
        </w:rPr>
        <w:t xml:space="preserve">рекомендовано </w:t>
      </w:r>
      <w:r>
        <w:rPr>
          <w:rFonts w:ascii="Arial" w:eastAsia="Arial" w:hAnsi="Arial" w:cs="Arial"/>
          <w:lang w:val="ru"/>
        </w:rPr>
        <w:t xml:space="preserve">продолжать работу в полном объеме на временной основе, чтобы оказать помощь Национальным центрам предупреждения о цунами (НЦПЦ), координаторам по предупреждению о цунами (КПЦ) и ведомствам по управлению чрезвычайными ситуациями в Центральной Америке для решения этих проблем. МКГ </w:t>
      </w:r>
      <w:r>
        <w:rPr>
          <w:rFonts w:ascii="Arial" w:eastAsia="Arial" w:hAnsi="Arial" w:cs="Arial"/>
          <w:b/>
          <w:bCs/>
          <w:lang w:val="ru"/>
        </w:rPr>
        <w:t>попросила</w:t>
      </w:r>
      <w:r>
        <w:rPr>
          <w:rFonts w:ascii="Arial" w:eastAsia="Arial" w:hAnsi="Arial" w:cs="Arial"/>
          <w:lang w:val="ru"/>
        </w:rPr>
        <w:t xml:space="preserve"> КЦЦЦА представить Рабочей группе 3 обновленное «Руководство пользователя по процедурам и продуктам КЦЦЦА для КАРИБ-СРП» к концу 2025 года. В заключение она </w:t>
      </w:r>
      <w:r>
        <w:rPr>
          <w:rFonts w:ascii="Arial" w:eastAsia="Arial" w:hAnsi="Arial" w:cs="Arial"/>
          <w:b/>
          <w:bCs/>
          <w:lang w:val="ru"/>
        </w:rPr>
        <w:t>порекомендовала</w:t>
      </w:r>
      <w:r>
        <w:rPr>
          <w:rFonts w:ascii="Arial" w:eastAsia="Arial" w:hAnsi="Arial" w:cs="Arial"/>
          <w:lang w:val="ru"/>
        </w:rPr>
        <w:t xml:space="preserve"> Руководящему комитету вместе с КЦЦЦА и государствами-членами проработать возможность вступления КЦЦЦА в ряды ПДСЦ на его 19-м совещании в </w:t>
      </w:r>
      <w:r>
        <w:rPr>
          <w:rFonts w:ascii="Arial" w:eastAsia="Arial" w:hAnsi="Arial" w:cs="Arial"/>
          <w:lang w:val="ru"/>
        </w:rPr>
        <w:lastRenderedPageBreak/>
        <w:t>2026 году, так чтобы Исполнительный комитет МОК мог рассмотреть вопрос об окончательном утверждении КЦЦЦА в качестве ПДСЦ в июне 2026 года.</w:t>
      </w:r>
    </w:p>
    <w:p w14:paraId="19195EEF" w14:textId="19B082BD" w:rsidR="009C2344" w:rsidRPr="00B45100" w:rsidRDefault="009C2344" w:rsidP="009C2344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 xml:space="preserve">МКГ попросила </w:t>
      </w:r>
      <w:r>
        <w:rPr>
          <w:rFonts w:ascii="Arial" w:eastAsia="Arial" w:hAnsi="Arial" w:cs="Arial"/>
          <w:lang w:val="ru"/>
        </w:rPr>
        <w:t>ЦПЦТО и КЦЦЦА скоординировать друг с другом свою деятельность и провести проверку функционирования систем оповещения, которая должна начаться после уведомления государств-членов и передачи им необходимых инструкций.</w:t>
      </w:r>
    </w:p>
    <w:p w14:paraId="7F88F15E" w14:textId="1E6B1D28" w:rsidR="009C2344" w:rsidRPr="00B45100" w:rsidRDefault="009C2344" w:rsidP="009C2344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lang w:val="ru"/>
        </w:rPr>
        <w:t>МКГ отметила</w:t>
      </w:r>
      <w:r>
        <w:rPr>
          <w:rFonts w:ascii="Arial" w:hAnsi="Arial" w:cs="Arial"/>
          <w:color w:val="000000"/>
          <w:lang w:val="ru"/>
        </w:rPr>
        <w:t xml:space="preserve"> рекомендацию </w:t>
      </w:r>
      <w:hyperlink r:id="rId16" w:history="1">
        <w:r>
          <w:rPr>
            <w:rStyle w:val="Hyperlink"/>
            <w:rFonts w:ascii="Arial" w:hAnsi="Arial" w:cs="Arial"/>
            <w:lang w:val="ru"/>
          </w:rPr>
          <w:t>TOWS-WG-XVIII</w:t>
        </w:r>
      </w:hyperlink>
      <w:r>
        <w:rPr>
          <w:rFonts w:ascii="Arial" w:hAnsi="Arial" w:cs="Arial"/>
          <w:color w:val="000000"/>
          <w:lang w:val="ru"/>
        </w:rPr>
        <w:t xml:space="preserve"> для 33-й сессии Ассамблеи МОК в 2025 году, в которой Секретариату МОК предлагается разработать стандартную и усовершенствованную методику сбора контактной информации НКЦ/КПЦ/НЦПЦ в тесном сотрудничестве с Целевой группой по наблюдениям за цунами (ЦГ-НЦ) и Целевой группой по реагированию на стихийные бедствия и повышению готовности к ним (ЦГ-РБГ) и представить результаты своей работы на следующем совместном заседании ЦГ-НЦ и ЦГ-РБГ, </w:t>
      </w:r>
      <w:r>
        <w:rPr>
          <w:rFonts w:ascii="Arial" w:hAnsi="Arial" w:cs="Arial"/>
          <w:b/>
          <w:bCs/>
          <w:color w:val="000000"/>
          <w:lang w:val="ru"/>
        </w:rPr>
        <w:t>и попросила</w:t>
      </w:r>
      <w:r>
        <w:rPr>
          <w:rFonts w:ascii="Arial" w:hAnsi="Arial" w:cs="Arial"/>
          <w:color w:val="000000"/>
          <w:lang w:val="ru"/>
        </w:rPr>
        <w:t xml:space="preserve"> </w:t>
      </w:r>
      <w:r>
        <w:rPr>
          <w:rFonts w:ascii="Arial" w:hAnsi="Arial" w:cs="Arial"/>
          <w:lang w:val="ru"/>
        </w:rPr>
        <w:t>ЦПЦТО, КЦЦЦА, КЦИЦ и КБ-МЦИЦ оказать Секретариату поддержку в этой работе.</w:t>
      </w:r>
    </w:p>
    <w:p w14:paraId="4033E91C" w14:textId="18ED91EA" w:rsidR="00447B59" w:rsidRPr="00B45100" w:rsidRDefault="0032206A" w:rsidP="0032206A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отметила</w:t>
      </w:r>
      <w:r>
        <w:rPr>
          <w:rFonts w:ascii="Arial" w:eastAsia="Arial" w:hAnsi="Arial" w:cs="Arial"/>
          <w:lang w:val="ru"/>
        </w:rPr>
        <w:t xml:space="preserve">, что во время учений «Тихоокеанская волна-24», состоявшихся 5ноября 2024 года, в СПЦТО прошло тестирование распространения специализированных бюллетеней ПДСЦ для морского сообщества. Она </w:t>
      </w:r>
      <w:r>
        <w:rPr>
          <w:rFonts w:ascii="Arial" w:eastAsia="Arial" w:hAnsi="Arial" w:cs="Arial"/>
          <w:b/>
          <w:bCs/>
          <w:lang w:val="ru"/>
        </w:rPr>
        <w:t>приняла к сведению</w:t>
      </w:r>
      <w:r>
        <w:rPr>
          <w:rFonts w:ascii="Arial" w:eastAsia="Arial" w:hAnsi="Arial" w:cs="Arial"/>
          <w:lang w:val="ru"/>
        </w:rPr>
        <w:t xml:space="preserve"> рекомендацию TOWS-WG-XVIII о необходимости проведения тестирования распространения специализированных бюллетеней ПДСЦ для морского сообщества в КАРИБ-СРП, СПЦСПИО и СПЦСВАСМ по меньшей мере одним провайдером данных слежения за цунами либо в рамках запланированной проверки функционирования систем оповещения, либо в рамках учений по проверке готовности к цунами. МКГ</w:t>
      </w:r>
      <w:r>
        <w:rPr>
          <w:rFonts w:ascii="Arial" w:eastAsia="Arial" w:hAnsi="Arial" w:cs="Arial"/>
          <w:b/>
          <w:bCs/>
          <w:lang w:val="ru"/>
        </w:rPr>
        <w:t xml:space="preserve"> также отметила</w:t>
      </w:r>
      <w:r>
        <w:rPr>
          <w:rFonts w:ascii="Arial" w:eastAsia="Arial" w:hAnsi="Arial" w:cs="Arial"/>
          <w:lang w:val="ru"/>
        </w:rPr>
        <w:t xml:space="preserve"> рекомендацию TOWS-WG-XVIII осуществить полную оперативную реализацию специализированных бюллетеней ПДСЦ для морского сообщества по меньшей мере одним ПДСЦ в каждой МКГ в 2025 году и </w:t>
      </w:r>
      <w:r>
        <w:rPr>
          <w:rFonts w:ascii="Arial" w:eastAsia="Arial" w:hAnsi="Arial" w:cs="Arial"/>
          <w:b/>
          <w:bCs/>
          <w:lang w:val="ru"/>
        </w:rPr>
        <w:t xml:space="preserve">утвердила </w:t>
      </w:r>
      <w:r>
        <w:rPr>
          <w:rFonts w:ascii="Arial" w:eastAsia="Arial" w:hAnsi="Arial" w:cs="Arial"/>
          <w:lang w:val="ru"/>
        </w:rPr>
        <w:t xml:space="preserve">реализацию ЦПЦТО морских продуктов координаторов системы «NAVAREA» IV и V Всемирной службы навигационных предупреждений. ЦПЦТО </w:t>
      </w:r>
      <w:r>
        <w:rPr>
          <w:rFonts w:ascii="Arial" w:eastAsia="Arial" w:hAnsi="Arial" w:cs="Arial"/>
          <w:b/>
          <w:bCs/>
          <w:lang w:val="ru"/>
        </w:rPr>
        <w:t>было поручено</w:t>
      </w:r>
      <w:r>
        <w:rPr>
          <w:rFonts w:ascii="Arial" w:eastAsia="Arial" w:hAnsi="Arial" w:cs="Arial"/>
          <w:lang w:val="ru"/>
        </w:rPr>
        <w:t xml:space="preserve"> создать приложение к «Руководству пользователя» с описанием морских продуктов и </w:t>
      </w:r>
      <w:r>
        <w:rPr>
          <w:rFonts w:ascii="Arial" w:eastAsia="Arial" w:hAnsi="Arial" w:cs="Arial"/>
          <w:b/>
          <w:bCs/>
          <w:lang w:val="ru"/>
        </w:rPr>
        <w:t>рекомендовано</w:t>
      </w:r>
      <w:r>
        <w:rPr>
          <w:rFonts w:ascii="Arial" w:eastAsia="Arial" w:hAnsi="Arial" w:cs="Arial"/>
          <w:lang w:val="ru"/>
        </w:rPr>
        <w:t xml:space="preserve"> согласовать с «NAVAREA» дату запуска реализации морских продуктов до конца 2025 года, а также протестировать их во время учений «Карибская волна-26». Секретариату </w:t>
      </w:r>
      <w:r>
        <w:rPr>
          <w:rFonts w:ascii="Arial" w:eastAsia="Arial" w:hAnsi="Arial" w:cs="Arial"/>
          <w:b/>
          <w:bCs/>
          <w:lang w:val="ru"/>
        </w:rPr>
        <w:t>было поручено</w:t>
      </w:r>
      <w:r>
        <w:rPr>
          <w:rFonts w:ascii="Arial" w:eastAsia="Arial" w:hAnsi="Arial" w:cs="Arial"/>
          <w:lang w:val="ru"/>
        </w:rPr>
        <w:t xml:space="preserve"> должным образом проинформировать соответствующих координаторов системы «NAVAREA» IV и V.</w:t>
      </w:r>
    </w:p>
    <w:p w14:paraId="593FC330" w14:textId="5084D170" w:rsidR="00447B59" w:rsidRPr="00067F35" w:rsidRDefault="00447B59" w:rsidP="00067F35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ru"/>
        </w:rPr>
        <w:t xml:space="preserve">МКГ </w:t>
      </w:r>
      <w:r>
        <w:rPr>
          <w:rFonts w:ascii="Arial" w:eastAsia="Arial" w:hAnsi="Arial" w:cs="Arial"/>
          <w:b/>
          <w:bCs/>
          <w:lang w:val="ru"/>
        </w:rPr>
        <w:t>поздравила</w:t>
      </w:r>
      <w:r>
        <w:rPr>
          <w:rFonts w:ascii="Arial" w:eastAsia="Arial" w:hAnsi="Arial" w:cs="Arial"/>
          <w:lang w:val="ru"/>
        </w:rPr>
        <w:t xml:space="preserve"> 44 государства-члена и территории, которые поддержали и приняли участие в учениях «Карибская волна-25», объединивших более полумиллиона участников, и </w:t>
      </w:r>
      <w:r>
        <w:rPr>
          <w:rFonts w:ascii="Arial" w:eastAsia="Arial" w:hAnsi="Arial" w:cs="Arial"/>
          <w:b/>
          <w:bCs/>
          <w:lang w:val="ru"/>
        </w:rPr>
        <w:t>приняла решение</w:t>
      </w:r>
      <w:r>
        <w:rPr>
          <w:rFonts w:ascii="Arial" w:eastAsia="Arial" w:hAnsi="Arial" w:cs="Arial"/>
          <w:lang w:val="ru"/>
        </w:rPr>
        <w:t xml:space="preserve"> провести учения «Карибская волна-26» в четверг 19 марта 2026 года по следующим сценариям:(i) извержение вулкана Кик-эм-Дженни и (ii) землетрясение и цунами на Каймановых островах, которые начнутся в 15:00 UTC с одного фиктивного сообщения для проверки функционирования систем оповещения, направленного ПДСЦ и КЦЦА национальным координаторам по предупреждению о цунами и Национальным центрам предупреждения о цунами. Вскоре после этого будет отправлено первое сообщение в рамках сценариев в соответствии с процедурами, смоделированными ЦПЦТО и КЦЦЦА для их соответствующих сценариев. Государствам-членам рекомендуется осуществлять деятельность в удобное для них время с учетом национальных процедур и обстоятельств.</w:t>
      </w:r>
    </w:p>
    <w:p w14:paraId="5534568D" w14:textId="12B5F3B8" w:rsidR="00447B59" w:rsidRPr="00B45100" w:rsidRDefault="0032206A" w:rsidP="00447B59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рекомендовала</w:t>
      </w:r>
      <w:r>
        <w:rPr>
          <w:rFonts w:ascii="Arial" w:eastAsia="Arial" w:hAnsi="Arial" w:cs="Arial"/>
          <w:lang w:val="ru"/>
        </w:rPr>
        <w:t xml:space="preserve"> рассмотреть дополнительные варианты организации совместного обучения по Справочникам и руководствам, </w:t>
      </w:r>
      <w:hyperlink r:id="rId17" w:history="1">
        <w:r>
          <w:rPr>
            <w:rStyle w:val="Hyperlink"/>
            <w:rFonts w:ascii="Arial" w:eastAsia="Arial" w:hAnsi="Arial" w:cs="Arial"/>
            <w:lang w:val="ru"/>
          </w:rPr>
          <w:t>86</w:t>
        </w:r>
      </w:hyperlink>
      <w:r>
        <w:rPr>
          <w:rFonts w:ascii="Arial" w:eastAsia="Arial" w:hAnsi="Arial" w:cs="Arial"/>
          <w:lang w:val="ru"/>
        </w:rPr>
        <w:t xml:space="preserve">, </w:t>
      </w:r>
      <w:r>
        <w:rPr>
          <w:rFonts w:ascii="Arial" w:eastAsia="Arial" w:hAnsi="Arial" w:cs="Arial"/>
          <w:i/>
          <w:iCs/>
          <w:lang w:val="ru"/>
        </w:rPr>
        <w:t>Многолетняя программа учений по проверке готовности общин к цунами: Руководящие принципы для Системы раннего предупреждения о цунами и опасности других бедствий в прибрежных районах Карибского бассейна и прилегающих регионов</w:t>
      </w:r>
      <w:r>
        <w:rPr>
          <w:rFonts w:ascii="Arial" w:eastAsia="Arial" w:hAnsi="Arial" w:cs="Arial"/>
          <w:lang w:val="ru"/>
        </w:rPr>
        <w:t xml:space="preserve"> силами Целевой группы КАРИБ-СРП, КЦИЦ и КБ-МЦИЦ в координации с Рабочей группой 4 до 19-й сессии МКГ/КАРИБ-СРП и </w:t>
      </w:r>
      <w:r>
        <w:rPr>
          <w:rFonts w:ascii="Arial" w:eastAsia="Arial" w:hAnsi="Arial" w:cs="Arial"/>
          <w:b/>
          <w:bCs/>
          <w:lang w:val="ru"/>
        </w:rPr>
        <w:t>призвала</w:t>
      </w:r>
      <w:r>
        <w:rPr>
          <w:rFonts w:ascii="Arial" w:eastAsia="Arial" w:hAnsi="Arial" w:cs="Arial"/>
          <w:lang w:val="ru"/>
        </w:rPr>
        <w:t xml:space="preserve"> государства-члены мобилизовать финансирование или вступать в партнерские отношения с Секретариатом МОК для поддержки такого обучения.  </w:t>
      </w:r>
    </w:p>
    <w:p w14:paraId="131C4C77" w14:textId="2B61FAC4" w:rsidR="00447B59" w:rsidRPr="00B45100" w:rsidRDefault="00447B59" w:rsidP="00447B59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lastRenderedPageBreak/>
        <w:t xml:space="preserve">МКГ поздравила </w:t>
      </w:r>
      <w:r>
        <w:rPr>
          <w:rFonts w:ascii="Arial" w:eastAsia="Arial" w:hAnsi="Arial" w:cs="Arial"/>
          <w:lang w:val="ru"/>
        </w:rPr>
        <w:t xml:space="preserve">общины Сент-Джеймс Централ (Барбадос), Портсмут (Доминика), Кауита (Коста-Рика) и Лабория (Сент-Люсия) с сертификацией их готовности к цунами в 2024 году в дополнение к 19 другим общинам в регионе КАРИБ-СРП и </w:t>
      </w:r>
      <w:r>
        <w:rPr>
          <w:rFonts w:ascii="Arial" w:eastAsia="Arial" w:hAnsi="Arial" w:cs="Arial"/>
          <w:b/>
          <w:bCs/>
          <w:lang w:val="ru"/>
        </w:rPr>
        <w:t>попросила</w:t>
      </w:r>
      <w:r>
        <w:rPr>
          <w:rFonts w:ascii="Arial" w:eastAsia="Arial" w:hAnsi="Arial" w:cs="Arial"/>
          <w:lang w:val="ru"/>
        </w:rPr>
        <w:t xml:space="preserve"> Руководящий комитет, в тесном сотрудничестве с Секретариатом, КЦИЦ и КБ-МЦИЦ, разработать план по обеспечению устойчивости реализации Программы МОК ЮНЕСКО по сертификации готовности к цунами (ПСГЦ) в Карибском бассейне и прилегающих регионах.</w:t>
      </w:r>
    </w:p>
    <w:p w14:paraId="340D7695" w14:textId="3BC1E05A" w:rsidR="00447B59" w:rsidRPr="00B45100" w:rsidRDefault="00D61D4A" w:rsidP="00447B59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выразила признательность</w:t>
      </w:r>
      <w:r>
        <w:rPr>
          <w:rFonts w:ascii="Arial" w:eastAsia="Arial" w:hAnsi="Arial" w:cs="Arial"/>
          <w:lang w:val="ru"/>
        </w:rPr>
        <w:t xml:space="preserve"> Бюро по гуманитарной помощи Агентства Соединенных Штатов Америки по международному развитию (USAID/BHA), Австралии и Норвегии за финансовую поддержку реализации Программы «К цунами готов», Международному центру информации о цунами (МЦИЦ) и его Карибскому бюро за непрерывную поддержку, в частности, Карибского центра информации о цунами (КЦИЦ), а также за реализацию деятельности по обеспечению готовности к цунами в Антигуа и Барбуда, Белизе, Великобритании (Ангилья), Гондурасе, Доминике, Сент-Люсии, отметив при этом текущий уровень обеспеченности ресурсами, кадровые, финансовые и административные ограничения, с которыми сталкивается КЦИЦ. Она</w:t>
      </w:r>
      <w:r>
        <w:rPr>
          <w:rFonts w:ascii="Arial" w:eastAsia="Arial" w:hAnsi="Arial" w:cs="Arial"/>
          <w:b/>
          <w:bCs/>
          <w:lang w:val="ru"/>
        </w:rPr>
        <w:t xml:space="preserve"> рекомендовала</w:t>
      </w:r>
      <w:r>
        <w:rPr>
          <w:rFonts w:ascii="Arial" w:eastAsia="Arial" w:hAnsi="Arial" w:cs="Arial"/>
          <w:lang w:val="ru"/>
        </w:rPr>
        <w:t xml:space="preserve"> Секретариату МОК и КЦИЦ уделить первоочередное внимание завершению оставшихся проектов ПСГЦ в Барбадосе, Гренаде, Тринидаде и Тобаго, Ямайке до следующей сессии МКГ.</w:t>
      </w:r>
    </w:p>
    <w:p w14:paraId="427A0026" w14:textId="223BE4F9" w:rsidR="00447B59" w:rsidRPr="00B45100" w:rsidRDefault="00447B59" w:rsidP="00447B59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отметила</w:t>
      </w:r>
      <w:r>
        <w:rPr>
          <w:rFonts w:ascii="Arial" w:eastAsia="Arial" w:hAnsi="Arial" w:cs="Arial"/>
          <w:lang w:val="ru"/>
        </w:rPr>
        <w:t xml:space="preserve"> трудности, возникающие при контакте с соответствующими респондентами и получении всесторонней обратной связи, и</w:t>
      </w:r>
      <w:r>
        <w:rPr>
          <w:rFonts w:ascii="Arial" w:eastAsia="Arial" w:hAnsi="Arial" w:cs="Arial"/>
          <w:b/>
          <w:bCs/>
          <w:lang w:val="ru"/>
        </w:rPr>
        <w:t xml:space="preserve"> предложила</w:t>
      </w:r>
      <w:r>
        <w:rPr>
          <w:rFonts w:ascii="Arial" w:eastAsia="Arial" w:hAnsi="Arial" w:cs="Arial"/>
          <w:lang w:val="ru"/>
        </w:rPr>
        <w:t xml:space="preserve"> КЦИЦ и КБ-МЦИЦ внедрить усовершенствованный опрос после получения общиной сертификата готовности к цунами. Она также предложила КЦИЦ создать в сотрудничестве с КБ-МЦИЦ механизм ежегодной отчетности для всех сертифицированных общин, который позволит непрерывно получать обратную связь, улучшать и адаптировать руководства и поддерживать взаимоотношения с сертифицированными общинами. Она предложила Руководящему комитету оценить целесообразность и востребованность создания должности национального координатора по обеспечению готовности к цунами, которым мог бы стать председатель Национального совета по обеспечению готовности к цунами.</w:t>
      </w:r>
    </w:p>
    <w:p w14:paraId="788F9746" w14:textId="6ECBDAC7" w:rsidR="009C2344" w:rsidRPr="00B45100" w:rsidRDefault="009C2344" w:rsidP="009C2344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ru"/>
        </w:rPr>
        <w:t>МКГ предложила</w:t>
      </w:r>
      <w:r>
        <w:rPr>
          <w:rFonts w:ascii="Arial" w:hAnsi="Arial" w:cs="Arial"/>
          <w:lang w:val="ru"/>
        </w:rPr>
        <w:t xml:space="preserve"> государствам-членам МКГ/КАРИБ-СРП активно поддержать Коалицию в поддержку обеспечения готовности к цунами. Для этого сессии TOWS-WG-XVIII было рекомендовано утвердить план реализации. </w:t>
      </w:r>
    </w:p>
    <w:p w14:paraId="53C6469B" w14:textId="61FC882E" w:rsidR="009C2344" w:rsidRPr="00B45100" w:rsidRDefault="009C2344" w:rsidP="009C2344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предложила</w:t>
      </w:r>
      <w:r>
        <w:rPr>
          <w:rFonts w:ascii="Arial" w:eastAsia="Arial" w:hAnsi="Arial" w:cs="Arial"/>
          <w:lang w:val="ru"/>
        </w:rPr>
        <w:t xml:space="preserve"> всем государствам-членам поддержать реализацию Программы «К цунами готов» в своих сообществах или в сообществах других государств-членов и </w:t>
      </w:r>
      <w:r>
        <w:rPr>
          <w:rFonts w:ascii="Arial" w:eastAsia="Arial" w:hAnsi="Arial" w:cs="Arial"/>
          <w:b/>
          <w:bCs/>
          <w:lang w:val="ru"/>
        </w:rPr>
        <w:t>призвала</w:t>
      </w:r>
      <w:r>
        <w:rPr>
          <w:rFonts w:ascii="Arial" w:eastAsia="Arial" w:hAnsi="Arial" w:cs="Arial"/>
          <w:lang w:val="ru"/>
        </w:rPr>
        <w:t xml:space="preserve"> государства-члены и доноров предоставить средства для ускорения реализации Программы «К цунами готов» в Карибском бассейне и прилегающих регионах.</w:t>
      </w:r>
    </w:p>
    <w:p w14:paraId="06656713" w14:textId="1F58B056" w:rsidR="00447B59" w:rsidRPr="00B45100" w:rsidRDefault="00D71049" w:rsidP="00447B59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с признательностью отметила</w:t>
      </w:r>
      <w:r>
        <w:rPr>
          <w:rFonts w:ascii="Arial" w:eastAsia="Arial" w:hAnsi="Arial" w:cs="Arial"/>
          <w:lang w:val="ru"/>
        </w:rPr>
        <w:t xml:space="preserve"> предложение Панамы организовать следующий саммит по обеспечению готовности к цунами в 2025 году, за исключением ноября и декабря, и </w:t>
      </w:r>
      <w:r>
        <w:rPr>
          <w:rFonts w:ascii="Arial" w:eastAsia="Arial" w:hAnsi="Arial" w:cs="Arial"/>
          <w:b/>
          <w:bCs/>
          <w:lang w:val="ru"/>
        </w:rPr>
        <w:t>рекомендовала</w:t>
      </w:r>
      <w:r>
        <w:rPr>
          <w:rFonts w:ascii="Arial" w:eastAsia="Arial" w:hAnsi="Arial" w:cs="Arial"/>
          <w:lang w:val="ru"/>
        </w:rPr>
        <w:t xml:space="preserve"> рассмотреть альтернативные даты в 2026 году, а также </w:t>
      </w:r>
      <w:r>
        <w:rPr>
          <w:rFonts w:ascii="Arial" w:eastAsia="Arial" w:hAnsi="Arial" w:cs="Arial"/>
          <w:b/>
          <w:bCs/>
          <w:lang w:val="ru"/>
        </w:rPr>
        <w:t>настоятельно призвала</w:t>
      </w:r>
      <w:r>
        <w:rPr>
          <w:rFonts w:ascii="Arial" w:eastAsia="Arial" w:hAnsi="Arial" w:cs="Arial"/>
          <w:lang w:val="ru"/>
        </w:rPr>
        <w:t xml:space="preserve"> государства-члены, наблюдателей и партнеров рассмотреть возможность мобилизации средств или установления партнерских отношений с Секретариатом МОК для финансирования саммита по обеспечению готовности к цунами и/или рабочих совещаний по обеспечению готовности к цунами.</w:t>
      </w:r>
    </w:p>
    <w:p w14:paraId="494CE414" w14:textId="0803D01F" w:rsidR="00447B59" w:rsidRPr="00B45100" w:rsidRDefault="00447B59" w:rsidP="00447B59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приветствовала</w:t>
      </w:r>
      <w:r>
        <w:rPr>
          <w:rFonts w:ascii="Arial" w:eastAsia="Arial" w:hAnsi="Arial" w:cs="Arial"/>
          <w:lang w:val="ru"/>
        </w:rPr>
        <w:t xml:space="preserve"> непрерывную поддержку, оказываемую МЦИЦ и его Карибским бюро по запросу КЦИЦ; она </w:t>
      </w:r>
      <w:r>
        <w:rPr>
          <w:rFonts w:ascii="Arial" w:eastAsia="Arial" w:hAnsi="Arial" w:cs="Arial"/>
          <w:b/>
          <w:bCs/>
          <w:lang w:val="ru"/>
        </w:rPr>
        <w:t xml:space="preserve">напомнила </w:t>
      </w:r>
      <w:r>
        <w:rPr>
          <w:rFonts w:ascii="Arial" w:eastAsia="Arial" w:hAnsi="Arial" w:cs="Arial"/>
          <w:lang w:val="ru"/>
        </w:rPr>
        <w:t>о расширении мандата КЦИЦ с момента его создания и о возникших новых политических вопросах, а также о необходимости провести стратегический обзор документа ICG/CARIBE-EWS-II/12 от 8 марта 2007 года и предоставить КЦИЦ необходимые людские ресурсы для осуществления программной и проектной деятельности, направленной на устойчивую поддержку структур МКГ/КАРИБ-СРП и EW4All. Она</w:t>
      </w:r>
      <w:r>
        <w:rPr>
          <w:rFonts w:ascii="Arial" w:eastAsia="Arial" w:hAnsi="Arial" w:cs="Arial"/>
          <w:b/>
          <w:bCs/>
          <w:lang w:val="ru"/>
        </w:rPr>
        <w:t xml:space="preserve"> настоятельно призвала </w:t>
      </w:r>
      <w:r>
        <w:rPr>
          <w:rFonts w:ascii="Arial" w:eastAsia="Arial" w:hAnsi="Arial" w:cs="Arial"/>
          <w:lang w:val="ru"/>
        </w:rPr>
        <w:t>государства-члены МКГ/КАРИБ-СРП делать дополнительные взносы в МОК и предоставлять людские ресурсы посредством различных механизмом, включая долгосрочные и краткосрочные стажировки, для поддержки работы КЦИЦ.</w:t>
      </w:r>
    </w:p>
    <w:p w14:paraId="4CB82B73" w14:textId="521F6949" w:rsidR="009C2344" w:rsidRPr="00B45100" w:rsidRDefault="009C2344" w:rsidP="009C2344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lastRenderedPageBreak/>
        <w:t>МКГ попросила</w:t>
      </w:r>
      <w:r>
        <w:rPr>
          <w:rFonts w:ascii="Arial" w:eastAsia="Arial" w:hAnsi="Arial" w:cs="Arial"/>
          <w:lang w:val="ru"/>
        </w:rPr>
        <w:t xml:space="preserve"> государства-члены, КЦИЦ и КБ МЦИЦ продолжать свою работу по информированию и вовлечению лиц с ограниченными возможностями.</w:t>
      </w:r>
    </w:p>
    <w:p w14:paraId="6F6683D8" w14:textId="59097D24" w:rsidR="00F0770B" w:rsidRPr="00B45100" w:rsidRDefault="00F0770B" w:rsidP="00F0770B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с признательностью отметила</w:t>
      </w:r>
      <w:r>
        <w:rPr>
          <w:rFonts w:ascii="Arial" w:eastAsia="Arial" w:hAnsi="Arial" w:cs="Arial"/>
          <w:lang w:val="ru"/>
        </w:rPr>
        <w:t xml:space="preserve"> намерение, высказанное Барбадосом на прошлой сессии и Кюрасао на сессии ICG/CARIBE EWS-XVIII, организовать следующую сессию МКГ/КАРИБ-СРП в 2026 году. Она </w:t>
      </w:r>
      <w:r>
        <w:rPr>
          <w:rFonts w:ascii="Arial" w:eastAsia="Arial" w:hAnsi="Arial" w:cs="Arial"/>
          <w:b/>
          <w:bCs/>
          <w:lang w:val="ru"/>
        </w:rPr>
        <w:t>попросила</w:t>
      </w:r>
      <w:r>
        <w:rPr>
          <w:rFonts w:ascii="Arial" w:eastAsia="Arial" w:hAnsi="Arial" w:cs="Arial"/>
          <w:lang w:val="ru"/>
        </w:rPr>
        <w:t xml:space="preserve"> Секретариат направить государствам-членам циркулярное письмо с предложением организовать сессию ICG/CARIBE-EWS-XIX в 2026 году и официально сообщить о своей готовности к проведению до 30 сентября 2025 года, если Секретариат МОК не получит подтверждение от правительств Барбадоса или Кюрасао до 15 июня 2025 года. Она </w:t>
      </w:r>
      <w:r>
        <w:rPr>
          <w:rFonts w:ascii="Arial" w:eastAsia="Arial" w:hAnsi="Arial" w:cs="Arial"/>
          <w:b/>
          <w:bCs/>
          <w:lang w:val="ru"/>
        </w:rPr>
        <w:t>также решила</w:t>
      </w:r>
      <w:r>
        <w:rPr>
          <w:rFonts w:ascii="Arial" w:eastAsia="Arial" w:hAnsi="Arial" w:cs="Arial"/>
          <w:lang w:val="ru"/>
        </w:rPr>
        <w:t xml:space="preserve"> провести сессию ICG/CARIBE-EWS-XIX в режиме онлайн, если Секретарит не получит ни одного официального предложения до 30 сентября 2025 года.</w:t>
      </w:r>
    </w:p>
    <w:p w14:paraId="61BB7273" w14:textId="06E895C9" w:rsidR="00447B59" w:rsidRPr="007366DE" w:rsidRDefault="00F0770B" w:rsidP="007366DE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ru"/>
        </w:rPr>
        <w:t>МКГ приняла к сведению</w:t>
      </w:r>
      <w:r>
        <w:rPr>
          <w:rFonts w:ascii="Arial" w:hAnsi="Arial" w:cs="Arial"/>
          <w:lang w:val="ru"/>
        </w:rPr>
        <w:t xml:space="preserve"> </w:t>
      </w:r>
      <w:r>
        <w:rPr>
          <w:rFonts w:ascii="Arial" w:hAnsi="Arial" w:cs="Arial"/>
          <w:color w:val="1155CC"/>
          <w:u w:val="single"/>
          <w:lang w:val="ru"/>
        </w:rPr>
        <w:t>Руководство МОК ЮНЕСКО по периодичности проведения межправительственных сессий МОК от 2005 г.</w:t>
      </w:r>
      <w:r>
        <w:rPr>
          <w:rFonts w:ascii="Arial" w:hAnsi="Arial" w:cs="Arial"/>
          <w:lang w:val="ru"/>
        </w:rPr>
        <w:t xml:space="preserve">, согласно которому периодичность проведения сессий основных и вторичных вспомогательных органов зависит от ряда факторов, включая этап развития деятельности, которой занимается орган, поскольку на начальных этапах желательно проводить заседания относительно чаще, положение государств-членов (с точки зрения финансирования, графика и т. д.) в отношении конкретной деятельности, а также рабочей нагрузки и графика заседаний Секретариата. Она </w:t>
      </w:r>
      <w:r>
        <w:rPr>
          <w:rFonts w:ascii="Arial" w:hAnsi="Arial" w:cs="Arial"/>
          <w:b/>
          <w:bCs/>
          <w:lang w:val="ru"/>
        </w:rPr>
        <w:t>подтвердила</w:t>
      </w:r>
      <w:r>
        <w:rPr>
          <w:rFonts w:ascii="Arial" w:hAnsi="Arial" w:cs="Arial"/>
          <w:lang w:val="ru"/>
        </w:rPr>
        <w:t xml:space="preserve"> свое решение рассмотреть возможность проведения будущих сессий в очном формате раз в два года начиная с 2026 года и в режиме онлайн в промежутке между ними и </w:t>
      </w:r>
      <w:r>
        <w:rPr>
          <w:rFonts w:ascii="Arial" w:hAnsi="Arial" w:cs="Arial"/>
          <w:b/>
          <w:bCs/>
          <w:lang w:val="ru"/>
        </w:rPr>
        <w:t>приняла решение</w:t>
      </w:r>
      <w:r>
        <w:rPr>
          <w:rFonts w:ascii="Arial" w:hAnsi="Arial" w:cs="Arial"/>
          <w:lang w:val="ru"/>
        </w:rPr>
        <w:t>, что 20-я сессия МКГ/КАРИБ-СРП предварительно состоится в течение недели с 26 апреля 2027 года.</w:t>
      </w:r>
    </w:p>
    <w:p w14:paraId="462BA034" w14:textId="35EF0E39" w:rsidR="00F0770B" w:rsidRPr="00B45100" w:rsidRDefault="00F0770B" w:rsidP="00F0770B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napToGrid w:val="0"/>
        <w:spacing w:before="120" w:after="240" w:line="240" w:lineRule="atLeast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ru"/>
        </w:rPr>
        <w:t>МКГ поздравила</w:t>
      </w:r>
      <w:r>
        <w:rPr>
          <w:rFonts w:ascii="Arial" w:eastAsia="Arial" w:hAnsi="Arial" w:cs="Arial"/>
          <w:lang w:val="ru"/>
        </w:rPr>
        <w:t xml:space="preserve"> председателя г-на Жерара Метайера (Гаити) и заместителей председателя г-жу Регину Браун (Американские Виргинские острова), д-ра Сильвию Чакон Баррантес (Коста-Рика) и Мари-Ноэль Раво (Франция-Мартиника) с избранием в качестве должностных лиц КАРИБ-СРП.</w:t>
      </w:r>
    </w:p>
    <w:sectPr w:rsidR="00F0770B" w:rsidRPr="00B45100" w:rsidSect="00B96458">
      <w:headerReference w:type="even" r:id="rId18"/>
      <w:headerReference w:type="default" r:id="rId19"/>
      <w:headerReference w:type="first" r:id="rId20"/>
      <w:pgSz w:w="11907" w:h="16840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8665" w14:textId="77777777" w:rsidR="00662FC0" w:rsidRDefault="00662FC0">
      <w:r>
        <w:separator/>
      </w:r>
    </w:p>
  </w:endnote>
  <w:endnote w:type="continuationSeparator" w:id="0">
    <w:p w14:paraId="7F547BCD" w14:textId="77777777" w:rsidR="00662FC0" w:rsidRDefault="0066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57AA" w14:textId="77777777" w:rsidR="00662FC0" w:rsidRDefault="00662FC0">
      <w:r>
        <w:separator/>
      </w:r>
    </w:p>
  </w:footnote>
  <w:footnote w:type="continuationSeparator" w:id="0">
    <w:p w14:paraId="630E766F" w14:textId="77777777" w:rsidR="00662FC0" w:rsidRDefault="0066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6B3B" w14:textId="7D77AE7D" w:rsidR="0023152A" w:rsidRPr="00D200BC" w:rsidRDefault="0089641D" w:rsidP="0002560F">
    <w:pPr>
      <w:pStyle w:val="Header"/>
      <w:rPr>
        <w:sz w:val="20"/>
      </w:rPr>
    </w:pPr>
    <w:r>
      <w:rPr>
        <w:sz w:val="20"/>
        <w:lang w:val="ru"/>
      </w:rPr>
      <w:t xml:space="preserve">IOC/ICG/CARIBE EWS-XVIII/3s – страница </w:t>
    </w:r>
    <w:r>
      <w:rPr>
        <w:sz w:val="20"/>
        <w:lang w:val="ru"/>
      </w:rPr>
      <w:fldChar w:fldCharType="begin"/>
    </w:r>
    <w:r>
      <w:rPr>
        <w:sz w:val="20"/>
        <w:lang w:val="ru"/>
      </w:rPr>
      <w:instrText>PAGE   \* MERGEFORMAT</w:instrText>
    </w:r>
    <w:r>
      <w:rPr>
        <w:sz w:val="20"/>
        <w:lang w:val="ru"/>
      </w:rPr>
      <w:fldChar w:fldCharType="separate"/>
    </w:r>
    <w:r>
      <w:rPr>
        <w:noProof/>
        <w:sz w:val="20"/>
        <w:lang w:val="ru"/>
      </w:rPr>
      <w:t>6</w:t>
    </w:r>
    <w:r>
      <w:rPr>
        <w:sz w:val="20"/>
        <w:lang w:val="ru"/>
      </w:rPr>
      <w:fldChar w:fldCharType="end"/>
    </w:r>
  </w:p>
  <w:p w14:paraId="20DC9944" w14:textId="77777777" w:rsidR="0023152A" w:rsidRDefault="0023152A" w:rsidP="007A121B">
    <w:pPr>
      <w:pStyle w:val="Header"/>
    </w:pPr>
  </w:p>
  <w:p w14:paraId="49F08F95" w14:textId="77777777" w:rsidR="0002560F" w:rsidRPr="00512CE2" w:rsidRDefault="0002560F" w:rsidP="007A1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554E" w14:textId="471EAB1B" w:rsidR="0002560F" w:rsidRPr="00D200BC" w:rsidRDefault="0089641D" w:rsidP="007071A0">
    <w:pPr>
      <w:pStyle w:val="Header"/>
      <w:jc w:val="right"/>
      <w:rPr>
        <w:sz w:val="20"/>
      </w:rPr>
    </w:pPr>
    <w:r>
      <w:rPr>
        <w:sz w:val="20"/>
        <w:lang w:val="ru"/>
      </w:rPr>
      <w:t xml:space="preserve">IOC/ICG/CARIBE EWS-XVIII/3s – страница </w:t>
    </w:r>
    <w:r>
      <w:rPr>
        <w:sz w:val="20"/>
        <w:lang w:val="ru"/>
      </w:rPr>
      <w:fldChar w:fldCharType="begin"/>
    </w:r>
    <w:r>
      <w:rPr>
        <w:sz w:val="20"/>
        <w:lang w:val="ru"/>
      </w:rPr>
      <w:instrText>PAGE   \* MERGEFORMAT</w:instrText>
    </w:r>
    <w:r>
      <w:rPr>
        <w:sz w:val="20"/>
        <w:lang w:val="ru"/>
      </w:rPr>
      <w:fldChar w:fldCharType="separate"/>
    </w:r>
    <w:r>
      <w:rPr>
        <w:noProof/>
        <w:sz w:val="20"/>
        <w:lang w:val="ru"/>
      </w:rPr>
      <w:t>5</w:t>
    </w:r>
    <w:r>
      <w:rPr>
        <w:sz w:val="20"/>
        <w:lang w:val="ru"/>
      </w:rPr>
      <w:fldChar w:fldCharType="end"/>
    </w:r>
  </w:p>
  <w:p w14:paraId="09973621" w14:textId="77777777" w:rsidR="0002560F" w:rsidRDefault="0002560F" w:rsidP="00B96458">
    <w:pPr>
      <w:pStyle w:val="Header"/>
      <w:ind w:left="6663"/>
    </w:pPr>
  </w:p>
  <w:p w14:paraId="24E6ABEC" w14:textId="77777777" w:rsidR="00ED4416" w:rsidRPr="00D200BC" w:rsidRDefault="00ED4416" w:rsidP="00B96458">
    <w:pPr>
      <w:pStyle w:val="Header"/>
      <w:ind w:left="66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2FE7" w14:textId="1DE42CFA" w:rsidR="0002560F" w:rsidRPr="0089641D" w:rsidRDefault="00292939" w:rsidP="0089641D">
    <w:pPr>
      <w:ind w:left="5954" w:right="96"/>
      <w:rPr>
        <w:rFonts w:ascii="Arial" w:eastAsia="Arial" w:hAnsi="Arial" w:cs="Arial"/>
        <w:b/>
        <w:bCs/>
      </w:rPr>
    </w:pPr>
    <w:r>
      <w:rPr>
        <w:noProof/>
        <w:sz w:val="20"/>
        <w:szCs w:val="20"/>
        <w:lang w:val="ru"/>
      </w:rPr>
      <w:drawing>
        <wp:anchor distT="0" distB="0" distL="114300" distR="114300" simplePos="0" relativeHeight="251659264" behindDoc="0" locked="0" layoutInCell="1" allowOverlap="1" wp14:anchorId="14F6AA34" wp14:editId="5C81D43D">
          <wp:simplePos x="0" y="0"/>
          <wp:positionH relativeFrom="column">
            <wp:posOffset>0</wp:posOffset>
          </wp:positionH>
          <wp:positionV relativeFrom="paragraph">
            <wp:posOffset>-5605</wp:posOffset>
          </wp:positionV>
          <wp:extent cx="1578610" cy="1047115"/>
          <wp:effectExtent l="0" t="0" r="0" b="0"/>
          <wp:wrapSquare wrapText="bothSides"/>
          <wp:docPr id="6" name="Picture 22" descr="Логотип, название компании Описание генерируется автоматичес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bCs/>
        <w:lang w:val="ru"/>
      </w:rPr>
      <w:t>IOC/ICG/CARIBE EWS-XVIII/3s</w:t>
    </w:r>
  </w:p>
  <w:p w14:paraId="47AEA249" w14:textId="7F85C604" w:rsidR="0002560F" w:rsidRPr="00B14399" w:rsidRDefault="00BF4882" w:rsidP="0089641D">
    <w:pPr>
      <w:tabs>
        <w:tab w:val="left" w:pos="613"/>
        <w:tab w:val="left" w:pos="5670"/>
        <w:tab w:val="right" w:pos="6247"/>
      </w:tabs>
      <w:ind w:left="5954" w:right="96"/>
      <w:rPr>
        <w:rFonts w:ascii="Arial" w:eastAsia="Arial" w:hAnsi="Arial" w:cs="Arial"/>
      </w:rPr>
    </w:pPr>
    <w:r>
      <w:rPr>
        <w:rFonts w:ascii="Arial" w:eastAsia="Arial" w:hAnsi="Arial" w:cs="Arial"/>
        <w:lang w:val="ru"/>
      </w:rPr>
      <w:t>2 июня 2025 г.</w:t>
    </w:r>
  </w:p>
  <w:p w14:paraId="11949D9E" w14:textId="01D0ECC3" w:rsidR="0002560F" w:rsidRPr="00B14399" w:rsidRDefault="0002560F" w:rsidP="0089641D">
    <w:pPr>
      <w:tabs>
        <w:tab w:val="left" w:pos="5670"/>
      </w:tabs>
      <w:ind w:left="5954" w:right="426"/>
      <w:rPr>
        <w:rFonts w:ascii="Arial" w:eastAsia="Arial" w:hAnsi="Arial" w:cs="Arial"/>
      </w:rPr>
    </w:pPr>
    <w:r>
      <w:rPr>
        <w:rFonts w:ascii="Arial" w:eastAsia="Arial" w:hAnsi="Arial" w:cs="Arial"/>
        <w:lang w:val="ru"/>
      </w:rPr>
      <w:t>Язык оригинала: английский</w:t>
    </w:r>
  </w:p>
  <w:p w14:paraId="0D6F7ABD" w14:textId="77777777" w:rsidR="0002560F" w:rsidRPr="00B14399" w:rsidRDefault="0002560F" w:rsidP="0002560F">
    <w:pPr>
      <w:spacing w:before="100" w:beforeAutospacing="1"/>
      <w:ind w:left="5670" w:right="296" w:hanging="56"/>
      <w:jc w:val="right"/>
      <w:rPr>
        <w:rFonts w:ascii="Arial" w:eastAsia="Arial" w:hAnsi="Arial" w:cs="Arial"/>
      </w:rPr>
    </w:pPr>
  </w:p>
  <w:p w14:paraId="4DC3CA99" w14:textId="77777777" w:rsidR="0002560F" w:rsidRPr="00292939" w:rsidRDefault="00025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303"/>
    <w:multiLevelType w:val="hybridMultilevel"/>
    <w:tmpl w:val="E3BC53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76259"/>
    <w:multiLevelType w:val="hybridMultilevel"/>
    <w:tmpl w:val="EF5E6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985A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CC5061"/>
    <w:multiLevelType w:val="hybridMultilevel"/>
    <w:tmpl w:val="8D66E700"/>
    <w:lvl w:ilvl="0" w:tplc="A34076D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23D1"/>
    <w:multiLevelType w:val="hybridMultilevel"/>
    <w:tmpl w:val="90D60C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D01BD"/>
    <w:multiLevelType w:val="hybridMultilevel"/>
    <w:tmpl w:val="C65ADF7A"/>
    <w:lvl w:ilvl="0" w:tplc="0178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A9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EA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2C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0C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AF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1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04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02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DB284A"/>
    <w:multiLevelType w:val="hybridMultilevel"/>
    <w:tmpl w:val="78442958"/>
    <w:lvl w:ilvl="0" w:tplc="2708D2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65FB0"/>
    <w:multiLevelType w:val="hybridMultilevel"/>
    <w:tmpl w:val="D56C3986"/>
    <w:lvl w:ilvl="0" w:tplc="08028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B0859"/>
    <w:multiLevelType w:val="hybridMultilevel"/>
    <w:tmpl w:val="F7D08472"/>
    <w:lvl w:ilvl="0" w:tplc="A3C06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D89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5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C3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668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A0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148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896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6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C04703"/>
    <w:multiLevelType w:val="hybridMultilevel"/>
    <w:tmpl w:val="EB16638E"/>
    <w:lvl w:ilvl="0" w:tplc="40402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D6049"/>
    <w:multiLevelType w:val="hybridMultilevel"/>
    <w:tmpl w:val="3E20B6E0"/>
    <w:lvl w:ilvl="0" w:tplc="1320F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A3099"/>
    <w:multiLevelType w:val="hybridMultilevel"/>
    <w:tmpl w:val="1E9C9DDA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1F677BD5"/>
    <w:multiLevelType w:val="hybridMultilevel"/>
    <w:tmpl w:val="DFECEE5E"/>
    <w:lvl w:ilvl="0" w:tplc="2DC09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13F2"/>
    <w:multiLevelType w:val="hybridMultilevel"/>
    <w:tmpl w:val="CC8C96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14DBB"/>
    <w:multiLevelType w:val="hybridMultilevel"/>
    <w:tmpl w:val="38C2C72E"/>
    <w:lvl w:ilvl="0" w:tplc="5CC8D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26AF6"/>
    <w:multiLevelType w:val="hybridMultilevel"/>
    <w:tmpl w:val="61D22A70"/>
    <w:lvl w:ilvl="0" w:tplc="921E0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E8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E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A1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4A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49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40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A1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2D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45E8A"/>
    <w:multiLevelType w:val="hybridMultilevel"/>
    <w:tmpl w:val="470CF724"/>
    <w:lvl w:ilvl="0" w:tplc="921E0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4C4F9E"/>
    <w:multiLevelType w:val="hybridMultilevel"/>
    <w:tmpl w:val="723861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172DB5"/>
    <w:multiLevelType w:val="hybridMultilevel"/>
    <w:tmpl w:val="5E648E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DA533E"/>
    <w:multiLevelType w:val="hybridMultilevel"/>
    <w:tmpl w:val="902C87EE"/>
    <w:lvl w:ilvl="0" w:tplc="93604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A6456"/>
    <w:multiLevelType w:val="hybridMultilevel"/>
    <w:tmpl w:val="276CE808"/>
    <w:lvl w:ilvl="0" w:tplc="38E88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CB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C2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72B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E7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E7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E3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01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22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217E4E"/>
    <w:multiLevelType w:val="hybridMultilevel"/>
    <w:tmpl w:val="7CE86FEE"/>
    <w:lvl w:ilvl="0" w:tplc="A1526B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4D8100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456978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8D21C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F486D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CD3292A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22491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5E11A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CF84A34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318915C9"/>
    <w:multiLevelType w:val="hybridMultilevel"/>
    <w:tmpl w:val="5044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44216"/>
    <w:multiLevelType w:val="hybridMultilevel"/>
    <w:tmpl w:val="04CED530"/>
    <w:lvl w:ilvl="0" w:tplc="0D6436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4E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58B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348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8B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76A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04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AF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2D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5251275"/>
    <w:multiLevelType w:val="hybridMultilevel"/>
    <w:tmpl w:val="78EA1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634E9"/>
    <w:multiLevelType w:val="hybridMultilevel"/>
    <w:tmpl w:val="992C9B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928AC"/>
    <w:multiLevelType w:val="hybridMultilevel"/>
    <w:tmpl w:val="F31C1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D54203"/>
    <w:multiLevelType w:val="hybridMultilevel"/>
    <w:tmpl w:val="522E36F2"/>
    <w:lvl w:ilvl="0" w:tplc="485EB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B27D04"/>
    <w:multiLevelType w:val="hybridMultilevel"/>
    <w:tmpl w:val="B7A4A0B4"/>
    <w:lvl w:ilvl="0" w:tplc="C41AD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71904"/>
    <w:multiLevelType w:val="hybridMultilevel"/>
    <w:tmpl w:val="CC8C96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D5C30"/>
    <w:multiLevelType w:val="hybridMultilevel"/>
    <w:tmpl w:val="74E27108"/>
    <w:lvl w:ilvl="0" w:tplc="ADC04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A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109BB"/>
    <w:multiLevelType w:val="hybridMultilevel"/>
    <w:tmpl w:val="9530DB58"/>
    <w:lvl w:ilvl="0" w:tplc="50A8B4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E6002"/>
    <w:multiLevelType w:val="multilevel"/>
    <w:tmpl w:val="E5A2257A"/>
    <w:lvl w:ilvl="0">
      <w:start w:val="1"/>
      <w:numFmt w:val="decimal"/>
      <w:pStyle w:val="Heading1"/>
      <w:suff w:val="space"/>
      <w:lvlText w:val="%1. 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6AF7E1D"/>
    <w:multiLevelType w:val="hybridMultilevel"/>
    <w:tmpl w:val="DE5A9D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67106"/>
    <w:multiLevelType w:val="hybridMultilevel"/>
    <w:tmpl w:val="A9444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C42D5"/>
    <w:multiLevelType w:val="hybridMultilevel"/>
    <w:tmpl w:val="2434393E"/>
    <w:lvl w:ilvl="0" w:tplc="803CE420">
      <w:start w:val="1"/>
      <w:numFmt w:val="bullet"/>
      <w:pStyle w:val="COI"/>
      <w:lvlText w:val="•"/>
      <w:lvlJc w:val="left"/>
      <w:pPr>
        <w:ind w:left="11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4F50644F"/>
    <w:multiLevelType w:val="hybridMultilevel"/>
    <w:tmpl w:val="F92E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F95947"/>
    <w:multiLevelType w:val="hybridMultilevel"/>
    <w:tmpl w:val="3DB25688"/>
    <w:lvl w:ilvl="0" w:tplc="40402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E369B7"/>
    <w:multiLevelType w:val="hybridMultilevel"/>
    <w:tmpl w:val="E45430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A3B8B"/>
    <w:multiLevelType w:val="hybridMultilevel"/>
    <w:tmpl w:val="F1DAD58E"/>
    <w:lvl w:ilvl="0" w:tplc="4998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C6BF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46A6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67644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301F5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37AB90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B7482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84744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DCA1E9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58F62EBD"/>
    <w:multiLevelType w:val="hybridMultilevel"/>
    <w:tmpl w:val="6AA0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50AAD"/>
    <w:multiLevelType w:val="hybridMultilevel"/>
    <w:tmpl w:val="175ECC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757EC"/>
    <w:multiLevelType w:val="hybridMultilevel"/>
    <w:tmpl w:val="9D5675D4"/>
    <w:lvl w:ilvl="0" w:tplc="5CC8D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5133DA"/>
    <w:multiLevelType w:val="hybridMultilevel"/>
    <w:tmpl w:val="F79E2AC6"/>
    <w:lvl w:ilvl="0" w:tplc="51884E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460D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626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2E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4A07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601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4BC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36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CC67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E53F71"/>
    <w:multiLevelType w:val="hybridMultilevel"/>
    <w:tmpl w:val="175ECCA4"/>
    <w:lvl w:ilvl="0" w:tplc="5CC8D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44E51B1"/>
    <w:multiLevelType w:val="hybridMultilevel"/>
    <w:tmpl w:val="85929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4EB5DD6"/>
    <w:multiLevelType w:val="hybridMultilevel"/>
    <w:tmpl w:val="488EE332"/>
    <w:lvl w:ilvl="0" w:tplc="B2469C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DE8C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3EA6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DE06D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C72D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82CB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A0C2F7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62A9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B2F9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FA6348"/>
    <w:multiLevelType w:val="hybridMultilevel"/>
    <w:tmpl w:val="296C9FAE"/>
    <w:lvl w:ilvl="0" w:tplc="DA20B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C01317"/>
    <w:multiLevelType w:val="hybridMultilevel"/>
    <w:tmpl w:val="FBE6547A"/>
    <w:lvl w:ilvl="0" w:tplc="8B68843A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7D52DA3"/>
    <w:multiLevelType w:val="hybridMultilevel"/>
    <w:tmpl w:val="FD4E1E10"/>
    <w:lvl w:ilvl="0" w:tplc="1D7EE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84468"/>
    <w:multiLevelType w:val="hybridMultilevel"/>
    <w:tmpl w:val="29D065B2"/>
    <w:lvl w:ilvl="0" w:tplc="87E2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F54AA6"/>
    <w:multiLevelType w:val="hybridMultilevel"/>
    <w:tmpl w:val="FC40E91E"/>
    <w:lvl w:ilvl="0" w:tplc="CD607BA0">
      <w:start w:val="1"/>
      <w:numFmt w:val="upperRoman"/>
      <w:lvlText w:val="%1."/>
      <w:lvlJc w:val="left"/>
      <w:pPr>
        <w:ind w:hanging="452"/>
      </w:pPr>
      <w:rPr>
        <w:rFonts w:ascii="Arial" w:eastAsia="Arial" w:hAnsi="Arial" w:hint="default"/>
        <w:spacing w:val="1"/>
        <w:sz w:val="22"/>
        <w:szCs w:val="22"/>
      </w:rPr>
    </w:lvl>
    <w:lvl w:ilvl="1" w:tplc="17D21920">
      <w:start w:val="1"/>
      <w:numFmt w:val="bullet"/>
      <w:lvlText w:val="•"/>
      <w:lvlJc w:val="left"/>
      <w:rPr>
        <w:rFonts w:hint="default"/>
      </w:rPr>
    </w:lvl>
    <w:lvl w:ilvl="2" w:tplc="2BBC137A">
      <w:start w:val="1"/>
      <w:numFmt w:val="bullet"/>
      <w:lvlText w:val="•"/>
      <w:lvlJc w:val="left"/>
      <w:rPr>
        <w:rFonts w:hint="default"/>
      </w:rPr>
    </w:lvl>
    <w:lvl w:ilvl="3" w:tplc="A8E859F4">
      <w:start w:val="1"/>
      <w:numFmt w:val="bullet"/>
      <w:lvlText w:val="•"/>
      <w:lvlJc w:val="left"/>
      <w:rPr>
        <w:rFonts w:hint="default"/>
      </w:rPr>
    </w:lvl>
    <w:lvl w:ilvl="4" w:tplc="71B0DC6A">
      <w:start w:val="1"/>
      <w:numFmt w:val="bullet"/>
      <w:lvlText w:val="•"/>
      <w:lvlJc w:val="left"/>
      <w:rPr>
        <w:rFonts w:hint="default"/>
      </w:rPr>
    </w:lvl>
    <w:lvl w:ilvl="5" w:tplc="5310F3E2">
      <w:start w:val="1"/>
      <w:numFmt w:val="bullet"/>
      <w:lvlText w:val="•"/>
      <w:lvlJc w:val="left"/>
      <w:rPr>
        <w:rFonts w:hint="default"/>
      </w:rPr>
    </w:lvl>
    <w:lvl w:ilvl="6" w:tplc="B6A2E900">
      <w:start w:val="1"/>
      <w:numFmt w:val="bullet"/>
      <w:lvlText w:val="•"/>
      <w:lvlJc w:val="left"/>
      <w:rPr>
        <w:rFonts w:hint="default"/>
      </w:rPr>
    </w:lvl>
    <w:lvl w:ilvl="7" w:tplc="340E534C">
      <w:start w:val="1"/>
      <w:numFmt w:val="bullet"/>
      <w:lvlText w:val="•"/>
      <w:lvlJc w:val="left"/>
      <w:rPr>
        <w:rFonts w:hint="default"/>
      </w:rPr>
    </w:lvl>
    <w:lvl w:ilvl="8" w:tplc="00A63002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6EA204C4"/>
    <w:multiLevelType w:val="hybridMultilevel"/>
    <w:tmpl w:val="0E38BEEA"/>
    <w:lvl w:ilvl="0" w:tplc="347CD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610762"/>
    <w:multiLevelType w:val="hybridMultilevel"/>
    <w:tmpl w:val="D8527A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2D14CF"/>
    <w:multiLevelType w:val="hybridMultilevel"/>
    <w:tmpl w:val="D652B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13D59"/>
    <w:multiLevelType w:val="hybridMultilevel"/>
    <w:tmpl w:val="5C28FF6E"/>
    <w:lvl w:ilvl="0" w:tplc="8DAEB51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4D8583B"/>
    <w:multiLevelType w:val="hybridMultilevel"/>
    <w:tmpl w:val="3C5E3AF2"/>
    <w:lvl w:ilvl="0" w:tplc="A1D2A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02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2F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CD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41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E6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C2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A4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8D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7C8E37CF"/>
    <w:multiLevelType w:val="hybridMultilevel"/>
    <w:tmpl w:val="98C401C0"/>
    <w:lvl w:ilvl="0" w:tplc="74C6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CD4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90E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63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8D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A0A1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0F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051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02E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3B47E0"/>
    <w:multiLevelType w:val="hybridMultilevel"/>
    <w:tmpl w:val="4E68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18516">
    <w:abstractNumId w:val="31"/>
  </w:num>
  <w:num w:numId="2" w16cid:durableId="19746310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5478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100848">
    <w:abstractNumId w:val="24"/>
  </w:num>
  <w:num w:numId="5" w16cid:durableId="2052612742">
    <w:abstractNumId w:val="3"/>
  </w:num>
  <w:num w:numId="6" w16cid:durableId="595216857">
    <w:abstractNumId w:val="37"/>
  </w:num>
  <w:num w:numId="7" w16cid:durableId="100417334">
    <w:abstractNumId w:val="32"/>
  </w:num>
  <w:num w:numId="8" w16cid:durableId="1449932522">
    <w:abstractNumId w:val="52"/>
  </w:num>
  <w:num w:numId="9" w16cid:durableId="1706444328">
    <w:abstractNumId w:val="1"/>
  </w:num>
  <w:num w:numId="10" w16cid:durableId="1348941312">
    <w:abstractNumId w:val="44"/>
  </w:num>
  <w:num w:numId="11" w16cid:durableId="394472329">
    <w:abstractNumId w:val="29"/>
  </w:num>
  <w:num w:numId="12" w16cid:durableId="1489052447">
    <w:abstractNumId w:val="57"/>
  </w:num>
  <w:num w:numId="13" w16cid:durableId="1677616149">
    <w:abstractNumId w:val="6"/>
  </w:num>
  <w:num w:numId="14" w16cid:durableId="1293486382">
    <w:abstractNumId w:val="30"/>
  </w:num>
  <w:num w:numId="15" w16cid:durableId="703287345">
    <w:abstractNumId w:val="2"/>
  </w:num>
  <w:num w:numId="16" w16cid:durableId="467893406">
    <w:abstractNumId w:val="14"/>
  </w:num>
  <w:num w:numId="17" w16cid:durableId="2092699659">
    <w:abstractNumId w:val="56"/>
  </w:num>
  <w:num w:numId="18" w16cid:durableId="155612857">
    <w:abstractNumId w:val="22"/>
  </w:num>
  <w:num w:numId="19" w16cid:durableId="2110078715">
    <w:abstractNumId w:val="13"/>
  </w:num>
  <w:num w:numId="20" w16cid:durableId="1197422949">
    <w:abstractNumId w:val="45"/>
  </w:num>
  <w:num w:numId="21" w16cid:durableId="2112046543">
    <w:abstractNumId w:val="15"/>
  </w:num>
  <w:num w:numId="22" w16cid:durableId="302202248">
    <w:abstractNumId w:val="20"/>
  </w:num>
  <w:num w:numId="23" w16cid:durableId="1911578883">
    <w:abstractNumId w:val="43"/>
  </w:num>
  <w:num w:numId="24" w16cid:durableId="201065104">
    <w:abstractNumId w:val="41"/>
  </w:num>
  <w:num w:numId="25" w16cid:durableId="1843474051">
    <w:abstractNumId w:val="19"/>
  </w:num>
  <w:num w:numId="26" w16cid:durableId="546143688">
    <w:abstractNumId w:val="39"/>
  </w:num>
  <w:num w:numId="27" w16cid:durableId="1015611924">
    <w:abstractNumId w:val="35"/>
  </w:num>
  <w:num w:numId="28" w16cid:durableId="1985498252">
    <w:abstractNumId w:val="7"/>
  </w:num>
  <w:num w:numId="29" w16cid:durableId="191501339">
    <w:abstractNumId w:val="47"/>
  </w:num>
  <w:num w:numId="30" w16cid:durableId="350570527">
    <w:abstractNumId w:val="25"/>
  </w:num>
  <w:num w:numId="31" w16cid:durableId="138496888">
    <w:abstractNumId w:val="10"/>
  </w:num>
  <w:num w:numId="32" w16cid:durableId="1998073533">
    <w:abstractNumId w:val="33"/>
  </w:num>
  <w:num w:numId="33" w16cid:durableId="703599781">
    <w:abstractNumId w:val="23"/>
  </w:num>
  <w:num w:numId="34" w16cid:durableId="1875271092">
    <w:abstractNumId w:val="53"/>
  </w:num>
  <w:num w:numId="35" w16cid:durableId="118110078">
    <w:abstractNumId w:val="38"/>
  </w:num>
  <w:num w:numId="36" w16cid:durableId="1030106217">
    <w:abstractNumId w:val="55"/>
  </w:num>
  <w:num w:numId="37" w16cid:durableId="1732850584">
    <w:abstractNumId w:val="9"/>
  </w:num>
  <w:num w:numId="38" w16cid:durableId="1076636599">
    <w:abstractNumId w:val="42"/>
  </w:num>
  <w:num w:numId="39" w16cid:durableId="1822037376">
    <w:abstractNumId w:val="40"/>
  </w:num>
  <w:num w:numId="40" w16cid:durableId="1192183143">
    <w:abstractNumId w:val="4"/>
  </w:num>
  <w:num w:numId="41" w16cid:durableId="8341662">
    <w:abstractNumId w:val="0"/>
  </w:num>
  <w:num w:numId="42" w16cid:durableId="416874723">
    <w:abstractNumId w:val="26"/>
  </w:num>
  <w:num w:numId="43" w16cid:durableId="354158830">
    <w:abstractNumId w:val="17"/>
  </w:num>
  <w:num w:numId="44" w16cid:durableId="508833144">
    <w:abstractNumId w:val="8"/>
  </w:num>
  <w:num w:numId="45" w16cid:durableId="511992454">
    <w:abstractNumId w:val="36"/>
  </w:num>
  <w:num w:numId="46" w16cid:durableId="86314908">
    <w:abstractNumId w:val="46"/>
  </w:num>
  <w:num w:numId="47" w16cid:durableId="1105467420">
    <w:abstractNumId w:val="48"/>
  </w:num>
  <w:num w:numId="48" w16cid:durableId="644773570">
    <w:abstractNumId w:val="18"/>
  </w:num>
  <w:num w:numId="49" w16cid:durableId="953831650">
    <w:abstractNumId w:val="11"/>
  </w:num>
  <w:num w:numId="50" w16cid:durableId="1257710033">
    <w:abstractNumId w:val="51"/>
  </w:num>
  <w:num w:numId="51" w16cid:durableId="1575358676">
    <w:abstractNumId w:val="49"/>
  </w:num>
  <w:num w:numId="52" w16cid:durableId="237598647">
    <w:abstractNumId w:val="16"/>
  </w:num>
  <w:num w:numId="53" w16cid:durableId="1379432859">
    <w:abstractNumId w:val="50"/>
  </w:num>
  <w:num w:numId="54" w16cid:durableId="143668586">
    <w:abstractNumId w:val="27"/>
  </w:num>
  <w:num w:numId="55" w16cid:durableId="800920405">
    <w:abstractNumId w:val="34"/>
  </w:num>
  <w:num w:numId="56" w16cid:durableId="1864248886">
    <w:abstractNumId w:val="21"/>
  </w:num>
  <w:num w:numId="57" w16cid:durableId="958221080">
    <w:abstractNumId w:val="5"/>
  </w:num>
  <w:num w:numId="58" w16cid:durableId="983316182">
    <w:abstractNumId w:val="5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B3"/>
    <w:rsid w:val="000028AE"/>
    <w:rsid w:val="00006AAC"/>
    <w:rsid w:val="00007232"/>
    <w:rsid w:val="000151D3"/>
    <w:rsid w:val="00016195"/>
    <w:rsid w:val="0002013A"/>
    <w:rsid w:val="0002102E"/>
    <w:rsid w:val="00021DD8"/>
    <w:rsid w:val="000222C5"/>
    <w:rsid w:val="0002560F"/>
    <w:rsid w:val="000345BF"/>
    <w:rsid w:val="00037AEA"/>
    <w:rsid w:val="00040660"/>
    <w:rsid w:val="000415AB"/>
    <w:rsid w:val="000455A8"/>
    <w:rsid w:val="00046F60"/>
    <w:rsid w:val="0005367E"/>
    <w:rsid w:val="0006143E"/>
    <w:rsid w:val="00062B7B"/>
    <w:rsid w:val="00065444"/>
    <w:rsid w:val="000662ED"/>
    <w:rsid w:val="00067EF8"/>
    <w:rsid w:val="00067F35"/>
    <w:rsid w:val="000713B5"/>
    <w:rsid w:val="00071D44"/>
    <w:rsid w:val="000769BE"/>
    <w:rsid w:val="00081C99"/>
    <w:rsid w:val="00084FB7"/>
    <w:rsid w:val="00087416"/>
    <w:rsid w:val="00091AD2"/>
    <w:rsid w:val="000928F9"/>
    <w:rsid w:val="000964B2"/>
    <w:rsid w:val="00097219"/>
    <w:rsid w:val="000A095C"/>
    <w:rsid w:val="000A58AE"/>
    <w:rsid w:val="000B311E"/>
    <w:rsid w:val="000B558B"/>
    <w:rsid w:val="000B6EC4"/>
    <w:rsid w:val="000C0B00"/>
    <w:rsid w:val="000C394B"/>
    <w:rsid w:val="000D1159"/>
    <w:rsid w:val="000D3316"/>
    <w:rsid w:val="000D5816"/>
    <w:rsid w:val="000E00EE"/>
    <w:rsid w:val="000E110D"/>
    <w:rsid w:val="000E178F"/>
    <w:rsid w:val="000E2837"/>
    <w:rsid w:val="000E33B9"/>
    <w:rsid w:val="000E4926"/>
    <w:rsid w:val="000E6E09"/>
    <w:rsid w:val="000E736D"/>
    <w:rsid w:val="000F0CEB"/>
    <w:rsid w:val="000F5757"/>
    <w:rsid w:val="000F6011"/>
    <w:rsid w:val="000F6655"/>
    <w:rsid w:val="000F7B1C"/>
    <w:rsid w:val="001024FE"/>
    <w:rsid w:val="001048BE"/>
    <w:rsid w:val="001100EC"/>
    <w:rsid w:val="00113688"/>
    <w:rsid w:val="00123440"/>
    <w:rsid w:val="00131950"/>
    <w:rsid w:val="001322DE"/>
    <w:rsid w:val="00135D95"/>
    <w:rsid w:val="001362F4"/>
    <w:rsid w:val="0014434D"/>
    <w:rsid w:val="001474EE"/>
    <w:rsid w:val="00151636"/>
    <w:rsid w:val="00152ECA"/>
    <w:rsid w:val="00153F37"/>
    <w:rsid w:val="001577ED"/>
    <w:rsid w:val="001616E0"/>
    <w:rsid w:val="0016230E"/>
    <w:rsid w:val="00167CAA"/>
    <w:rsid w:val="001724FF"/>
    <w:rsid w:val="001740DD"/>
    <w:rsid w:val="0017491B"/>
    <w:rsid w:val="00175A1B"/>
    <w:rsid w:val="001834E7"/>
    <w:rsid w:val="00185B5A"/>
    <w:rsid w:val="00190E87"/>
    <w:rsid w:val="0019533D"/>
    <w:rsid w:val="001978CF"/>
    <w:rsid w:val="001A1018"/>
    <w:rsid w:val="001A14AB"/>
    <w:rsid w:val="001A2DDC"/>
    <w:rsid w:val="001A42A2"/>
    <w:rsid w:val="001C1F35"/>
    <w:rsid w:val="001C768E"/>
    <w:rsid w:val="001C7DE3"/>
    <w:rsid w:val="001D19EF"/>
    <w:rsid w:val="001D25A9"/>
    <w:rsid w:val="001D3C3F"/>
    <w:rsid w:val="001E2484"/>
    <w:rsid w:val="001E4830"/>
    <w:rsid w:val="001F501B"/>
    <w:rsid w:val="001F73E5"/>
    <w:rsid w:val="00206629"/>
    <w:rsid w:val="00210904"/>
    <w:rsid w:val="00212C6C"/>
    <w:rsid w:val="00214108"/>
    <w:rsid w:val="00216C2A"/>
    <w:rsid w:val="00223225"/>
    <w:rsid w:val="002244DB"/>
    <w:rsid w:val="00227240"/>
    <w:rsid w:val="0022798F"/>
    <w:rsid w:val="00227DFA"/>
    <w:rsid w:val="00230469"/>
    <w:rsid w:val="0023152A"/>
    <w:rsid w:val="00232D7A"/>
    <w:rsid w:val="00233C55"/>
    <w:rsid w:val="002346CE"/>
    <w:rsid w:val="00237A9B"/>
    <w:rsid w:val="00243DCA"/>
    <w:rsid w:val="00244EBD"/>
    <w:rsid w:val="002501B1"/>
    <w:rsid w:val="00250383"/>
    <w:rsid w:val="00252C9D"/>
    <w:rsid w:val="00254BA9"/>
    <w:rsid w:val="00256CB1"/>
    <w:rsid w:val="00260F52"/>
    <w:rsid w:val="00264DD3"/>
    <w:rsid w:val="00265795"/>
    <w:rsid w:val="002670ED"/>
    <w:rsid w:val="002701B9"/>
    <w:rsid w:val="002708F3"/>
    <w:rsid w:val="0027267C"/>
    <w:rsid w:val="00274670"/>
    <w:rsid w:val="00276065"/>
    <w:rsid w:val="00280EAF"/>
    <w:rsid w:val="00284862"/>
    <w:rsid w:val="00284BE6"/>
    <w:rsid w:val="002863E9"/>
    <w:rsid w:val="002864B0"/>
    <w:rsid w:val="00286681"/>
    <w:rsid w:val="002870A2"/>
    <w:rsid w:val="00292939"/>
    <w:rsid w:val="0029483A"/>
    <w:rsid w:val="002963C2"/>
    <w:rsid w:val="00297910"/>
    <w:rsid w:val="002A105C"/>
    <w:rsid w:val="002A7FE1"/>
    <w:rsid w:val="002B0CF1"/>
    <w:rsid w:val="002B1D7A"/>
    <w:rsid w:val="002B2067"/>
    <w:rsid w:val="002B7356"/>
    <w:rsid w:val="002B75A8"/>
    <w:rsid w:val="002C20F3"/>
    <w:rsid w:val="002C2D92"/>
    <w:rsid w:val="002C2E8E"/>
    <w:rsid w:val="002C3FE3"/>
    <w:rsid w:val="002C4A1C"/>
    <w:rsid w:val="002C7B1D"/>
    <w:rsid w:val="002D1C1C"/>
    <w:rsid w:val="002D1E01"/>
    <w:rsid w:val="002D32E2"/>
    <w:rsid w:val="002E0C6C"/>
    <w:rsid w:val="002E2128"/>
    <w:rsid w:val="002E3B4A"/>
    <w:rsid w:val="002E60A1"/>
    <w:rsid w:val="002E74C2"/>
    <w:rsid w:val="002E7DE0"/>
    <w:rsid w:val="002F154A"/>
    <w:rsid w:val="002F1821"/>
    <w:rsid w:val="002F4A9F"/>
    <w:rsid w:val="00313177"/>
    <w:rsid w:val="00313C0D"/>
    <w:rsid w:val="0031493E"/>
    <w:rsid w:val="0031587A"/>
    <w:rsid w:val="0032206A"/>
    <w:rsid w:val="003224D8"/>
    <w:rsid w:val="00322FB4"/>
    <w:rsid w:val="003248B5"/>
    <w:rsid w:val="0032738A"/>
    <w:rsid w:val="0032782B"/>
    <w:rsid w:val="00330C5B"/>
    <w:rsid w:val="00334B80"/>
    <w:rsid w:val="00336E32"/>
    <w:rsid w:val="0033775C"/>
    <w:rsid w:val="00337957"/>
    <w:rsid w:val="00337F52"/>
    <w:rsid w:val="00340541"/>
    <w:rsid w:val="003422D1"/>
    <w:rsid w:val="00343536"/>
    <w:rsid w:val="0034357A"/>
    <w:rsid w:val="00343C94"/>
    <w:rsid w:val="003468FB"/>
    <w:rsid w:val="00346F3E"/>
    <w:rsid w:val="003500D9"/>
    <w:rsid w:val="00352F6A"/>
    <w:rsid w:val="00354A21"/>
    <w:rsid w:val="003603E8"/>
    <w:rsid w:val="00360686"/>
    <w:rsid w:val="00360AE3"/>
    <w:rsid w:val="003635C5"/>
    <w:rsid w:val="003667F8"/>
    <w:rsid w:val="00372CED"/>
    <w:rsid w:val="00373AFC"/>
    <w:rsid w:val="00375F45"/>
    <w:rsid w:val="00382ABE"/>
    <w:rsid w:val="0038382E"/>
    <w:rsid w:val="00383CFC"/>
    <w:rsid w:val="0039106E"/>
    <w:rsid w:val="00391F90"/>
    <w:rsid w:val="00392BD5"/>
    <w:rsid w:val="00397BC3"/>
    <w:rsid w:val="003B0792"/>
    <w:rsid w:val="003B6421"/>
    <w:rsid w:val="003B6D4C"/>
    <w:rsid w:val="003B7C02"/>
    <w:rsid w:val="003C3EA4"/>
    <w:rsid w:val="003C6F53"/>
    <w:rsid w:val="003D0094"/>
    <w:rsid w:val="003D212E"/>
    <w:rsid w:val="003D2D60"/>
    <w:rsid w:val="003D36F0"/>
    <w:rsid w:val="003D5EF6"/>
    <w:rsid w:val="003E28E7"/>
    <w:rsid w:val="003E34BF"/>
    <w:rsid w:val="003E5544"/>
    <w:rsid w:val="003F1803"/>
    <w:rsid w:val="003F5B1B"/>
    <w:rsid w:val="003F73CA"/>
    <w:rsid w:val="00400BB2"/>
    <w:rsid w:val="004055A2"/>
    <w:rsid w:val="00405BC4"/>
    <w:rsid w:val="00405DBE"/>
    <w:rsid w:val="00406AAC"/>
    <w:rsid w:val="00406E17"/>
    <w:rsid w:val="00413B75"/>
    <w:rsid w:val="004179D1"/>
    <w:rsid w:val="00417D4A"/>
    <w:rsid w:val="00420D08"/>
    <w:rsid w:val="00426AC3"/>
    <w:rsid w:val="00430EC6"/>
    <w:rsid w:val="00432256"/>
    <w:rsid w:val="004350D0"/>
    <w:rsid w:val="0043558D"/>
    <w:rsid w:val="004362C1"/>
    <w:rsid w:val="00440E04"/>
    <w:rsid w:val="00445B95"/>
    <w:rsid w:val="00446F2D"/>
    <w:rsid w:val="00447062"/>
    <w:rsid w:val="004470D7"/>
    <w:rsid w:val="00447A37"/>
    <w:rsid w:val="00447B59"/>
    <w:rsid w:val="00451926"/>
    <w:rsid w:val="004526D0"/>
    <w:rsid w:val="00454419"/>
    <w:rsid w:val="00455464"/>
    <w:rsid w:val="004557F6"/>
    <w:rsid w:val="00456AA4"/>
    <w:rsid w:val="00457198"/>
    <w:rsid w:val="00464281"/>
    <w:rsid w:val="00465938"/>
    <w:rsid w:val="004661E9"/>
    <w:rsid w:val="004667BD"/>
    <w:rsid w:val="00467ED9"/>
    <w:rsid w:val="004738A2"/>
    <w:rsid w:val="00473EC8"/>
    <w:rsid w:val="004752CC"/>
    <w:rsid w:val="004774D6"/>
    <w:rsid w:val="00480216"/>
    <w:rsid w:val="004857D3"/>
    <w:rsid w:val="00490467"/>
    <w:rsid w:val="00491656"/>
    <w:rsid w:val="00495B14"/>
    <w:rsid w:val="00495DFE"/>
    <w:rsid w:val="00495FDD"/>
    <w:rsid w:val="00496E4E"/>
    <w:rsid w:val="004A0297"/>
    <w:rsid w:val="004A227E"/>
    <w:rsid w:val="004A5C43"/>
    <w:rsid w:val="004A6E34"/>
    <w:rsid w:val="004B25EE"/>
    <w:rsid w:val="004C0701"/>
    <w:rsid w:val="004C43B3"/>
    <w:rsid w:val="004C5E24"/>
    <w:rsid w:val="004C7706"/>
    <w:rsid w:val="004D6AA1"/>
    <w:rsid w:val="004D79DE"/>
    <w:rsid w:val="004E30F7"/>
    <w:rsid w:val="004E4907"/>
    <w:rsid w:val="004E6AED"/>
    <w:rsid w:val="004E6C7B"/>
    <w:rsid w:val="004F3918"/>
    <w:rsid w:val="004F57BF"/>
    <w:rsid w:val="004F6404"/>
    <w:rsid w:val="004F717A"/>
    <w:rsid w:val="005003A3"/>
    <w:rsid w:val="00500675"/>
    <w:rsid w:val="00501540"/>
    <w:rsid w:val="00502140"/>
    <w:rsid w:val="005027F0"/>
    <w:rsid w:val="00504212"/>
    <w:rsid w:val="005108ED"/>
    <w:rsid w:val="00512CE2"/>
    <w:rsid w:val="005131F6"/>
    <w:rsid w:val="00513812"/>
    <w:rsid w:val="00513920"/>
    <w:rsid w:val="005170CF"/>
    <w:rsid w:val="00517DCE"/>
    <w:rsid w:val="00521DD9"/>
    <w:rsid w:val="005234CB"/>
    <w:rsid w:val="00531D0A"/>
    <w:rsid w:val="005328C7"/>
    <w:rsid w:val="00534168"/>
    <w:rsid w:val="005366C4"/>
    <w:rsid w:val="00544E7F"/>
    <w:rsid w:val="00552A5F"/>
    <w:rsid w:val="00555060"/>
    <w:rsid w:val="00557F6B"/>
    <w:rsid w:val="005657CD"/>
    <w:rsid w:val="00573759"/>
    <w:rsid w:val="00574792"/>
    <w:rsid w:val="005826D6"/>
    <w:rsid w:val="00584F71"/>
    <w:rsid w:val="00587E35"/>
    <w:rsid w:val="005925C2"/>
    <w:rsid w:val="00593B35"/>
    <w:rsid w:val="0059603A"/>
    <w:rsid w:val="005A01B8"/>
    <w:rsid w:val="005A17BC"/>
    <w:rsid w:val="005A36A5"/>
    <w:rsid w:val="005A47AE"/>
    <w:rsid w:val="005A580E"/>
    <w:rsid w:val="005A6545"/>
    <w:rsid w:val="005A72D3"/>
    <w:rsid w:val="005A7FCF"/>
    <w:rsid w:val="005B7CF1"/>
    <w:rsid w:val="005C2F5E"/>
    <w:rsid w:val="005C3618"/>
    <w:rsid w:val="005C3E0A"/>
    <w:rsid w:val="005C7187"/>
    <w:rsid w:val="005D2CEB"/>
    <w:rsid w:val="005D3F66"/>
    <w:rsid w:val="005D4281"/>
    <w:rsid w:val="005D6A06"/>
    <w:rsid w:val="005E17FB"/>
    <w:rsid w:val="005E4DA5"/>
    <w:rsid w:val="005E502D"/>
    <w:rsid w:val="00605F16"/>
    <w:rsid w:val="0060629F"/>
    <w:rsid w:val="00611CCF"/>
    <w:rsid w:val="00613CA3"/>
    <w:rsid w:val="0061626A"/>
    <w:rsid w:val="006162A8"/>
    <w:rsid w:val="00620C97"/>
    <w:rsid w:val="00621A60"/>
    <w:rsid w:val="006223BC"/>
    <w:rsid w:val="00622F24"/>
    <w:rsid w:val="00624056"/>
    <w:rsid w:val="00624592"/>
    <w:rsid w:val="00630731"/>
    <w:rsid w:val="00633693"/>
    <w:rsid w:val="00634FDF"/>
    <w:rsid w:val="006379A1"/>
    <w:rsid w:val="006428A4"/>
    <w:rsid w:val="00642C2D"/>
    <w:rsid w:val="00644FB8"/>
    <w:rsid w:val="0064557C"/>
    <w:rsid w:val="00655444"/>
    <w:rsid w:val="00662FC0"/>
    <w:rsid w:val="00667EEC"/>
    <w:rsid w:val="006700B1"/>
    <w:rsid w:val="00672545"/>
    <w:rsid w:val="00675589"/>
    <w:rsid w:val="00677032"/>
    <w:rsid w:val="0068183F"/>
    <w:rsid w:val="00681C8D"/>
    <w:rsid w:val="00683F75"/>
    <w:rsid w:val="006903A1"/>
    <w:rsid w:val="00691B4F"/>
    <w:rsid w:val="00692754"/>
    <w:rsid w:val="00692EAF"/>
    <w:rsid w:val="00695921"/>
    <w:rsid w:val="00697EAB"/>
    <w:rsid w:val="006A083A"/>
    <w:rsid w:val="006A2045"/>
    <w:rsid w:val="006A3FAA"/>
    <w:rsid w:val="006A5012"/>
    <w:rsid w:val="006B0977"/>
    <w:rsid w:val="006B410C"/>
    <w:rsid w:val="006B6117"/>
    <w:rsid w:val="006B6591"/>
    <w:rsid w:val="006C0682"/>
    <w:rsid w:val="006C094C"/>
    <w:rsid w:val="006C5D0B"/>
    <w:rsid w:val="006C71E7"/>
    <w:rsid w:val="006E3204"/>
    <w:rsid w:val="006E4934"/>
    <w:rsid w:val="006F2184"/>
    <w:rsid w:val="006F5380"/>
    <w:rsid w:val="007017E5"/>
    <w:rsid w:val="00701A5F"/>
    <w:rsid w:val="0070487B"/>
    <w:rsid w:val="00705E7C"/>
    <w:rsid w:val="00706404"/>
    <w:rsid w:val="00706651"/>
    <w:rsid w:val="007067FD"/>
    <w:rsid w:val="007071A0"/>
    <w:rsid w:val="00710047"/>
    <w:rsid w:val="00712B56"/>
    <w:rsid w:val="00713ED1"/>
    <w:rsid w:val="007147F7"/>
    <w:rsid w:val="007207BC"/>
    <w:rsid w:val="007218D9"/>
    <w:rsid w:val="007220D5"/>
    <w:rsid w:val="00723888"/>
    <w:rsid w:val="00725B0A"/>
    <w:rsid w:val="007276B7"/>
    <w:rsid w:val="00733EC1"/>
    <w:rsid w:val="00735A9C"/>
    <w:rsid w:val="007366DE"/>
    <w:rsid w:val="007367A9"/>
    <w:rsid w:val="00742174"/>
    <w:rsid w:val="007426D7"/>
    <w:rsid w:val="0075069A"/>
    <w:rsid w:val="00753398"/>
    <w:rsid w:val="007614AF"/>
    <w:rsid w:val="00765820"/>
    <w:rsid w:val="00766995"/>
    <w:rsid w:val="007706E0"/>
    <w:rsid w:val="00771BB0"/>
    <w:rsid w:val="00772DE2"/>
    <w:rsid w:val="00775376"/>
    <w:rsid w:val="007757FF"/>
    <w:rsid w:val="00780A7E"/>
    <w:rsid w:val="00780C67"/>
    <w:rsid w:val="0078168E"/>
    <w:rsid w:val="0078470A"/>
    <w:rsid w:val="007869DA"/>
    <w:rsid w:val="00787067"/>
    <w:rsid w:val="0079106A"/>
    <w:rsid w:val="00791B4E"/>
    <w:rsid w:val="0079589F"/>
    <w:rsid w:val="00797688"/>
    <w:rsid w:val="007A121B"/>
    <w:rsid w:val="007A31A5"/>
    <w:rsid w:val="007A4F17"/>
    <w:rsid w:val="007A7CD2"/>
    <w:rsid w:val="007B0703"/>
    <w:rsid w:val="007B096B"/>
    <w:rsid w:val="007B1CB3"/>
    <w:rsid w:val="007B7B8C"/>
    <w:rsid w:val="007C6513"/>
    <w:rsid w:val="007C6B88"/>
    <w:rsid w:val="007D276A"/>
    <w:rsid w:val="007E1425"/>
    <w:rsid w:val="007E3326"/>
    <w:rsid w:val="007E33FA"/>
    <w:rsid w:val="007F041A"/>
    <w:rsid w:val="007F3093"/>
    <w:rsid w:val="007F3C5B"/>
    <w:rsid w:val="007F421D"/>
    <w:rsid w:val="007F5B10"/>
    <w:rsid w:val="007F70C2"/>
    <w:rsid w:val="00800CAE"/>
    <w:rsid w:val="00803403"/>
    <w:rsid w:val="0080426C"/>
    <w:rsid w:val="00807F42"/>
    <w:rsid w:val="00810D2B"/>
    <w:rsid w:val="008112A5"/>
    <w:rsid w:val="00825326"/>
    <w:rsid w:val="00825533"/>
    <w:rsid w:val="00825AC2"/>
    <w:rsid w:val="008271DC"/>
    <w:rsid w:val="00827F94"/>
    <w:rsid w:val="00830877"/>
    <w:rsid w:val="00831742"/>
    <w:rsid w:val="00837B42"/>
    <w:rsid w:val="008447C2"/>
    <w:rsid w:val="00845B89"/>
    <w:rsid w:val="00845D67"/>
    <w:rsid w:val="00845EF2"/>
    <w:rsid w:val="008608DA"/>
    <w:rsid w:val="00862177"/>
    <w:rsid w:val="00863201"/>
    <w:rsid w:val="00863D15"/>
    <w:rsid w:val="0086480C"/>
    <w:rsid w:val="00864D3F"/>
    <w:rsid w:val="00865E10"/>
    <w:rsid w:val="00865FCA"/>
    <w:rsid w:val="00875477"/>
    <w:rsid w:val="00876D39"/>
    <w:rsid w:val="00882C34"/>
    <w:rsid w:val="00891153"/>
    <w:rsid w:val="00892174"/>
    <w:rsid w:val="008925A1"/>
    <w:rsid w:val="0089641D"/>
    <w:rsid w:val="0089672B"/>
    <w:rsid w:val="008A0BA8"/>
    <w:rsid w:val="008A0CD0"/>
    <w:rsid w:val="008A2E82"/>
    <w:rsid w:val="008A35AC"/>
    <w:rsid w:val="008A4D52"/>
    <w:rsid w:val="008A5293"/>
    <w:rsid w:val="008A52B5"/>
    <w:rsid w:val="008A56CD"/>
    <w:rsid w:val="008B226E"/>
    <w:rsid w:val="008B2A26"/>
    <w:rsid w:val="008B2BD3"/>
    <w:rsid w:val="008B3BA1"/>
    <w:rsid w:val="008B41EE"/>
    <w:rsid w:val="008B4593"/>
    <w:rsid w:val="008B4F45"/>
    <w:rsid w:val="008B5BA9"/>
    <w:rsid w:val="008C68D5"/>
    <w:rsid w:val="008D1AC4"/>
    <w:rsid w:val="008D23A7"/>
    <w:rsid w:val="008D3B5D"/>
    <w:rsid w:val="008D4127"/>
    <w:rsid w:val="008D6203"/>
    <w:rsid w:val="008D64EF"/>
    <w:rsid w:val="008D7692"/>
    <w:rsid w:val="008D7A65"/>
    <w:rsid w:val="008E00AF"/>
    <w:rsid w:val="008E031B"/>
    <w:rsid w:val="008E0E79"/>
    <w:rsid w:val="008E1331"/>
    <w:rsid w:val="008E1AC9"/>
    <w:rsid w:val="008E617C"/>
    <w:rsid w:val="008E7EE4"/>
    <w:rsid w:val="008F1E7D"/>
    <w:rsid w:val="008F636F"/>
    <w:rsid w:val="008F6998"/>
    <w:rsid w:val="008F7410"/>
    <w:rsid w:val="0090097F"/>
    <w:rsid w:val="009012FB"/>
    <w:rsid w:val="0090637E"/>
    <w:rsid w:val="00906C32"/>
    <w:rsid w:val="00910D40"/>
    <w:rsid w:val="0091329A"/>
    <w:rsid w:val="00914D1B"/>
    <w:rsid w:val="00926F56"/>
    <w:rsid w:val="009328C6"/>
    <w:rsid w:val="00934BC2"/>
    <w:rsid w:val="00935F43"/>
    <w:rsid w:val="0094074C"/>
    <w:rsid w:val="00945D82"/>
    <w:rsid w:val="00946C06"/>
    <w:rsid w:val="0095457D"/>
    <w:rsid w:val="00956D94"/>
    <w:rsid w:val="00961A04"/>
    <w:rsid w:val="00961CBC"/>
    <w:rsid w:val="00965D35"/>
    <w:rsid w:val="00967FB1"/>
    <w:rsid w:val="00973394"/>
    <w:rsid w:val="00974348"/>
    <w:rsid w:val="00980298"/>
    <w:rsid w:val="00982E9A"/>
    <w:rsid w:val="0098300C"/>
    <w:rsid w:val="00985E91"/>
    <w:rsid w:val="00986B09"/>
    <w:rsid w:val="00990B2E"/>
    <w:rsid w:val="0099773E"/>
    <w:rsid w:val="009A16EB"/>
    <w:rsid w:val="009A2421"/>
    <w:rsid w:val="009A5EF3"/>
    <w:rsid w:val="009B40C0"/>
    <w:rsid w:val="009B4F5E"/>
    <w:rsid w:val="009B6F5D"/>
    <w:rsid w:val="009B6FED"/>
    <w:rsid w:val="009B7735"/>
    <w:rsid w:val="009C2344"/>
    <w:rsid w:val="009C3259"/>
    <w:rsid w:val="009C7258"/>
    <w:rsid w:val="009D00E1"/>
    <w:rsid w:val="009D1A97"/>
    <w:rsid w:val="009D2284"/>
    <w:rsid w:val="009D383D"/>
    <w:rsid w:val="009D6D3B"/>
    <w:rsid w:val="009D728B"/>
    <w:rsid w:val="009D7586"/>
    <w:rsid w:val="009D795A"/>
    <w:rsid w:val="009E38F6"/>
    <w:rsid w:val="009E40ED"/>
    <w:rsid w:val="009E66B7"/>
    <w:rsid w:val="009E7609"/>
    <w:rsid w:val="009F2DB1"/>
    <w:rsid w:val="009F358B"/>
    <w:rsid w:val="00A01196"/>
    <w:rsid w:val="00A11EAA"/>
    <w:rsid w:val="00A131F3"/>
    <w:rsid w:val="00A15F51"/>
    <w:rsid w:val="00A16F2E"/>
    <w:rsid w:val="00A1767B"/>
    <w:rsid w:val="00A22A5D"/>
    <w:rsid w:val="00A233A1"/>
    <w:rsid w:val="00A2593A"/>
    <w:rsid w:val="00A312AE"/>
    <w:rsid w:val="00A35B4B"/>
    <w:rsid w:val="00A36557"/>
    <w:rsid w:val="00A4296D"/>
    <w:rsid w:val="00A650E7"/>
    <w:rsid w:val="00A67A5A"/>
    <w:rsid w:val="00A72DEB"/>
    <w:rsid w:val="00A72F48"/>
    <w:rsid w:val="00A7384A"/>
    <w:rsid w:val="00A73909"/>
    <w:rsid w:val="00A7523E"/>
    <w:rsid w:val="00A77034"/>
    <w:rsid w:val="00A80062"/>
    <w:rsid w:val="00A84C0A"/>
    <w:rsid w:val="00A87789"/>
    <w:rsid w:val="00A87E73"/>
    <w:rsid w:val="00A9166D"/>
    <w:rsid w:val="00A9248B"/>
    <w:rsid w:val="00A9582C"/>
    <w:rsid w:val="00AA5F8E"/>
    <w:rsid w:val="00AA79CA"/>
    <w:rsid w:val="00AB0B28"/>
    <w:rsid w:val="00AB4A4C"/>
    <w:rsid w:val="00AB5D77"/>
    <w:rsid w:val="00AC23D0"/>
    <w:rsid w:val="00AC26F5"/>
    <w:rsid w:val="00AC62E5"/>
    <w:rsid w:val="00AC74EB"/>
    <w:rsid w:val="00AC774E"/>
    <w:rsid w:val="00AD0754"/>
    <w:rsid w:val="00AD3217"/>
    <w:rsid w:val="00AD32DA"/>
    <w:rsid w:val="00AD514D"/>
    <w:rsid w:val="00AD5EF1"/>
    <w:rsid w:val="00AD69EB"/>
    <w:rsid w:val="00AD7B70"/>
    <w:rsid w:val="00AE4CA8"/>
    <w:rsid w:val="00AE59C0"/>
    <w:rsid w:val="00AE5E89"/>
    <w:rsid w:val="00AF1361"/>
    <w:rsid w:val="00AF630E"/>
    <w:rsid w:val="00B01FD3"/>
    <w:rsid w:val="00B03C9D"/>
    <w:rsid w:val="00B04168"/>
    <w:rsid w:val="00B04E29"/>
    <w:rsid w:val="00B06E1C"/>
    <w:rsid w:val="00B15367"/>
    <w:rsid w:val="00B16D90"/>
    <w:rsid w:val="00B24E37"/>
    <w:rsid w:val="00B278E7"/>
    <w:rsid w:val="00B30BA8"/>
    <w:rsid w:val="00B35B9C"/>
    <w:rsid w:val="00B37B66"/>
    <w:rsid w:val="00B4120C"/>
    <w:rsid w:val="00B440F6"/>
    <w:rsid w:val="00B45100"/>
    <w:rsid w:val="00B4553A"/>
    <w:rsid w:val="00B4665F"/>
    <w:rsid w:val="00B531EE"/>
    <w:rsid w:val="00B53212"/>
    <w:rsid w:val="00B53726"/>
    <w:rsid w:val="00B5424F"/>
    <w:rsid w:val="00B653B0"/>
    <w:rsid w:val="00B71890"/>
    <w:rsid w:val="00B753AD"/>
    <w:rsid w:val="00B82A4B"/>
    <w:rsid w:val="00B83266"/>
    <w:rsid w:val="00B87FAB"/>
    <w:rsid w:val="00B907B7"/>
    <w:rsid w:val="00B93AF3"/>
    <w:rsid w:val="00B93D7F"/>
    <w:rsid w:val="00B96458"/>
    <w:rsid w:val="00B96F29"/>
    <w:rsid w:val="00BA03C2"/>
    <w:rsid w:val="00BA04FB"/>
    <w:rsid w:val="00BA5892"/>
    <w:rsid w:val="00BB0D11"/>
    <w:rsid w:val="00BB463C"/>
    <w:rsid w:val="00BB6328"/>
    <w:rsid w:val="00BC1FDA"/>
    <w:rsid w:val="00BC5A53"/>
    <w:rsid w:val="00BC71C4"/>
    <w:rsid w:val="00BD3991"/>
    <w:rsid w:val="00BD5436"/>
    <w:rsid w:val="00BD77DB"/>
    <w:rsid w:val="00BE3304"/>
    <w:rsid w:val="00BE4116"/>
    <w:rsid w:val="00BE49DF"/>
    <w:rsid w:val="00BE4EC7"/>
    <w:rsid w:val="00BE548F"/>
    <w:rsid w:val="00BF0539"/>
    <w:rsid w:val="00BF1047"/>
    <w:rsid w:val="00BF29E7"/>
    <w:rsid w:val="00BF4882"/>
    <w:rsid w:val="00BF5E0E"/>
    <w:rsid w:val="00C01EA7"/>
    <w:rsid w:val="00C05C91"/>
    <w:rsid w:val="00C07FB6"/>
    <w:rsid w:val="00C101A5"/>
    <w:rsid w:val="00C11792"/>
    <w:rsid w:val="00C12B73"/>
    <w:rsid w:val="00C17591"/>
    <w:rsid w:val="00C20B6E"/>
    <w:rsid w:val="00C20C1D"/>
    <w:rsid w:val="00C21D4A"/>
    <w:rsid w:val="00C2267C"/>
    <w:rsid w:val="00C252E8"/>
    <w:rsid w:val="00C26E6F"/>
    <w:rsid w:val="00C30A50"/>
    <w:rsid w:val="00C37AA2"/>
    <w:rsid w:val="00C44B9E"/>
    <w:rsid w:val="00C451DA"/>
    <w:rsid w:val="00C45CE4"/>
    <w:rsid w:val="00C473B1"/>
    <w:rsid w:val="00C540AA"/>
    <w:rsid w:val="00C55101"/>
    <w:rsid w:val="00C55AD9"/>
    <w:rsid w:val="00C56440"/>
    <w:rsid w:val="00C567B1"/>
    <w:rsid w:val="00C609E6"/>
    <w:rsid w:val="00C62833"/>
    <w:rsid w:val="00C6421B"/>
    <w:rsid w:val="00C64F5D"/>
    <w:rsid w:val="00C66FBE"/>
    <w:rsid w:val="00C75B2E"/>
    <w:rsid w:val="00C80052"/>
    <w:rsid w:val="00C91A9D"/>
    <w:rsid w:val="00C91C36"/>
    <w:rsid w:val="00C93B82"/>
    <w:rsid w:val="00CA04F9"/>
    <w:rsid w:val="00CA25E2"/>
    <w:rsid w:val="00CA6637"/>
    <w:rsid w:val="00CB2996"/>
    <w:rsid w:val="00CB47C8"/>
    <w:rsid w:val="00CC1617"/>
    <w:rsid w:val="00CC1C7E"/>
    <w:rsid w:val="00CC1DEE"/>
    <w:rsid w:val="00CD0E4A"/>
    <w:rsid w:val="00CD170E"/>
    <w:rsid w:val="00CD5999"/>
    <w:rsid w:val="00CD6AB9"/>
    <w:rsid w:val="00CD6DEB"/>
    <w:rsid w:val="00CE043C"/>
    <w:rsid w:val="00CE1201"/>
    <w:rsid w:val="00CE20ED"/>
    <w:rsid w:val="00CE2FC8"/>
    <w:rsid w:val="00CE3E74"/>
    <w:rsid w:val="00CE7A15"/>
    <w:rsid w:val="00CE7C81"/>
    <w:rsid w:val="00CF0CBB"/>
    <w:rsid w:val="00CF1773"/>
    <w:rsid w:val="00D021EB"/>
    <w:rsid w:val="00D0590E"/>
    <w:rsid w:val="00D0618C"/>
    <w:rsid w:val="00D105B3"/>
    <w:rsid w:val="00D1724B"/>
    <w:rsid w:val="00D200BC"/>
    <w:rsid w:val="00D21A30"/>
    <w:rsid w:val="00D23D69"/>
    <w:rsid w:val="00D24AF1"/>
    <w:rsid w:val="00D314D7"/>
    <w:rsid w:val="00D325A4"/>
    <w:rsid w:val="00D3492F"/>
    <w:rsid w:val="00D34FB6"/>
    <w:rsid w:val="00D35E41"/>
    <w:rsid w:val="00D3638C"/>
    <w:rsid w:val="00D363B0"/>
    <w:rsid w:val="00D37991"/>
    <w:rsid w:val="00D42CDE"/>
    <w:rsid w:val="00D44B26"/>
    <w:rsid w:val="00D46F18"/>
    <w:rsid w:val="00D46FF6"/>
    <w:rsid w:val="00D47C62"/>
    <w:rsid w:val="00D53D36"/>
    <w:rsid w:val="00D56E2F"/>
    <w:rsid w:val="00D61D4A"/>
    <w:rsid w:val="00D63BB5"/>
    <w:rsid w:val="00D64521"/>
    <w:rsid w:val="00D646E1"/>
    <w:rsid w:val="00D6533E"/>
    <w:rsid w:val="00D656BF"/>
    <w:rsid w:val="00D679ED"/>
    <w:rsid w:val="00D703FF"/>
    <w:rsid w:val="00D71049"/>
    <w:rsid w:val="00D72673"/>
    <w:rsid w:val="00D727B3"/>
    <w:rsid w:val="00D7677F"/>
    <w:rsid w:val="00D812F3"/>
    <w:rsid w:val="00D814EB"/>
    <w:rsid w:val="00D82847"/>
    <w:rsid w:val="00D83CFB"/>
    <w:rsid w:val="00D8762F"/>
    <w:rsid w:val="00D92195"/>
    <w:rsid w:val="00D924F7"/>
    <w:rsid w:val="00D92505"/>
    <w:rsid w:val="00D92BC4"/>
    <w:rsid w:val="00D93951"/>
    <w:rsid w:val="00D93E88"/>
    <w:rsid w:val="00D94B20"/>
    <w:rsid w:val="00DA0475"/>
    <w:rsid w:val="00DB2841"/>
    <w:rsid w:val="00DB31C9"/>
    <w:rsid w:val="00DB33DB"/>
    <w:rsid w:val="00DB595F"/>
    <w:rsid w:val="00DB7FDE"/>
    <w:rsid w:val="00DC3293"/>
    <w:rsid w:val="00DC6AD4"/>
    <w:rsid w:val="00DD21B5"/>
    <w:rsid w:val="00DD5C67"/>
    <w:rsid w:val="00DD634E"/>
    <w:rsid w:val="00DE36C4"/>
    <w:rsid w:val="00DE3758"/>
    <w:rsid w:val="00DE6D07"/>
    <w:rsid w:val="00DF11DE"/>
    <w:rsid w:val="00DF4111"/>
    <w:rsid w:val="00DF5000"/>
    <w:rsid w:val="00DF7C2F"/>
    <w:rsid w:val="00E04A98"/>
    <w:rsid w:val="00E07A98"/>
    <w:rsid w:val="00E123A4"/>
    <w:rsid w:val="00E12E4B"/>
    <w:rsid w:val="00E152DE"/>
    <w:rsid w:val="00E24AA2"/>
    <w:rsid w:val="00E25A01"/>
    <w:rsid w:val="00E3020D"/>
    <w:rsid w:val="00E40BA2"/>
    <w:rsid w:val="00E43611"/>
    <w:rsid w:val="00E4633C"/>
    <w:rsid w:val="00E507A8"/>
    <w:rsid w:val="00E52DBC"/>
    <w:rsid w:val="00E60136"/>
    <w:rsid w:val="00E66912"/>
    <w:rsid w:val="00E66B93"/>
    <w:rsid w:val="00E70B0C"/>
    <w:rsid w:val="00E73F98"/>
    <w:rsid w:val="00E74D27"/>
    <w:rsid w:val="00E750B3"/>
    <w:rsid w:val="00E830E6"/>
    <w:rsid w:val="00E83C62"/>
    <w:rsid w:val="00E84E14"/>
    <w:rsid w:val="00E86871"/>
    <w:rsid w:val="00E87446"/>
    <w:rsid w:val="00E9087D"/>
    <w:rsid w:val="00E928FA"/>
    <w:rsid w:val="00E97785"/>
    <w:rsid w:val="00EA06F9"/>
    <w:rsid w:val="00EA5A86"/>
    <w:rsid w:val="00EB5A1B"/>
    <w:rsid w:val="00EB77D3"/>
    <w:rsid w:val="00EC0733"/>
    <w:rsid w:val="00EC3D7D"/>
    <w:rsid w:val="00EC3E66"/>
    <w:rsid w:val="00EC51BC"/>
    <w:rsid w:val="00EC7990"/>
    <w:rsid w:val="00ED06DF"/>
    <w:rsid w:val="00ED1E3F"/>
    <w:rsid w:val="00ED23E9"/>
    <w:rsid w:val="00ED25B6"/>
    <w:rsid w:val="00ED386B"/>
    <w:rsid w:val="00ED4416"/>
    <w:rsid w:val="00ED59AF"/>
    <w:rsid w:val="00ED743D"/>
    <w:rsid w:val="00ED7A21"/>
    <w:rsid w:val="00EE2BB9"/>
    <w:rsid w:val="00EE415A"/>
    <w:rsid w:val="00EF07EB"/>
    <w:rsid w:val="00EF0831"/>
    <w:rsid w:val="00EF43CF"/>
    <w:rsid w:val="00EF7631"/>
    <w:rsid w:val="00EF7BBB"/>
    <w:rsid w:val="00F0149C"/>
    <w:rsid w:val="00F04D60"/>
    <w:rsid w:val="00F05B77"/>
    <w:rsid w:val="00F05BF2"/>
    <w:rsid w:val="00F06E82"/>
    <w:rsid w:val="00F0770B"/>
    <w:rsid w:val="00F10511"/>
    <w:rsid w:val="00F10B6C"/>
    <w:rsid w:val="00F1126D"/>
    <w:rsid w:val="00F15DCF"/>
    <w:rsid w:val="00F16117"/>
    <w:rsid w:val="00F26183"/>
    <w:rsid w:val="00F3046C"/>
    <w:rsid w:val="00F31EBF"/>
    <w:rsid w:val="00F33935"/>
    <w:rsid w:val="00F35EE4"/>
    <w:rsid w:val="00F35FCF"/>
    <w:rsid w:val="00F36C9A"/>
    <w:rsid w:val="00F371EF"/>
    <w:rsid w:val="00F37BE0"/>
    <w:rsid w:val="00F4194C"/>
    <w:rsid w:val="00F44251"/>
    <w:rsid w:val="00F50B5E"/>
    <w:rsid w:val="00F5113F"/>
    <w:rsid w:val="00F5174F"/>
    <w:rsid w:val="00F51C44"/>
    <w:rsid w:val="00F546F1"/>
    <w:rsid w:val="00F56928"/>
    <w:rsid w:val="00F62F46"/>
    <w:rsid w:val="00F631D6"/>
    <w:rsid w:val="00F652F1"/>
    <w:rsid w:val="00F65D16"/>
    <w:rsid w:val="00F726C9"/>
    <w:rsid w:val="00F74D25"/>
    <w:rsid w:val="00F74EFD"/>
    <w:rsid w:val="00F755B8"/>
    <w:rsid w:val="00F76A55"/>
    <w:rsid w:val="00F81D72"/>
    <w:rsid w:val="00F85BC7"/>
    <w:rsid w:val="00F85F10"/>
    <w:rsid w:val="00F8662B"/>
    <w:rsid w:val="00F8743F"/>
    <w:rsid w:val="00F90A7B"/>
    <w:rsid w:val="00F90DC3"/>
    <w:rsid w:val="00F934FD"/>
    <w:rsid w:val="00F96A18"/>
    <w:rsid w:val="00F96A9C"/>
    <w:rsid w:val="00FA4BF2"/>
    <w:rsid w:val="00FB0B3A"/>
    <w:rsid w:val="00FB0B78"/>
    <w:rsid w:val="00FB3B0A"/>
    <w:rsid w:val="00FB4A6C"/>
    <w:rsid w:val="00FB752D"/>
    <w:rsid w:val="00FC10D6"/>
    <w:rsid w:val="00FC5B72"/>
    <w:rsid w:val="00FD05FF"/>
    <w:rsid w:val="00FD08B8"/>
    <w:rsid w:val="00FD156D"/>
    <w:rsid w:val="00FD38B0"/>
    <w:rsid w:val="00FD5E64"/>
    <w:rsid w:val="00FD6224"/>
    <w:rsid w:val="00FD7626"/>
    <w:rsid w:val="00FE0583"/>
    <w:rsid w:val="00FE0C99"/>
    <w:rsid w:val="00FE2A67"/>
    <w:rsid w:val="00FF11E8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E922B"/>
  <w15:chartTrackingRefBased/>
  <w15:docId w15:val="{DDC6A4B2-E1A7-4CB7-A029-9C166F64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Times New Roman Bold" w:hAnsi="Times New Roman Bold" w:cs="Arial"/>
      <w:bCs/>
      <w:caps/>
      <w:kern w:val="32"/>
    </w:rPr>
  </w:style>
  <w:style w:type="paragraph" w:styleId="Heading2">
    <w:name w:val="heading 2"/>
    <w:basedOn w:val="Normal"/>
    <w:next w:val="Normal"/>
    <w:qFormat/>
    <w:rsid w:val="00C473B1"/>
    <w:pPr>
      <w:numPr>
        <w:ilvl w:val="1"/>
        <w:numId w:val="1"/>
      </w:numPr>
      <w:spacing w:before="240" w:after="60"/>
      <w:ind w:left="0" w:firstLine="0"/>
      <w:outlineLvl w:val="1"/>
    </w:pPr>
    <w:rPr>
      <w:rFonts w:hAnsi="Times New Roman Bold" w:cs="Arial"/>
      <w:bCs/>
      <w:iCs/>
      <w: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3A7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8D23A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rsid w:val="008D23A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8D23A7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Heading8">
    <w:name w:val="heading 8"/>
    <w:basedOn w:val="Normal"/>
    <w:next w:val="Normal"/>
    <w:qFormat/>
    <w:rsid w:val="008D23A7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snapToGrid w:val="0"/>
      <w:jc w:val="center"/>
      <w:outlineLvl w:val="8"/>
    </w:pPr>
    <w:rPr>
      <w:rFonts w:ascii="Arial Narrow" w:eastAsia="SimSun" w:hAnsi="Arial Narrow" w:cs="Arial Unicode MS"/>
      <w:snapToGrid w:val="0"/>
      <w:color w:val="0000FF"/>
      <w:spacing w:val="4"/>
      <w:sz w:val="18"/>
      <w:szCs w:val="18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D34FB6"/>
    <w:rPr>
      <w:color w:val="0000FF"/>
      <w:u w:val="single"/>
    </w:rPr>
  </w:style>
  <w:style w:type="character" w:styleId="CommentReference">
    <w:name w:val="annotation reference"/>
    <w:uiPriority w:val="99"/>
    <w:semiHidden/>
    <w:rsid w:val="00BA0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03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03C2"/>
    <w:rPr>
      <w:b/>
      <w:bCs/>
    </w:rPr>
  </w:style>
  <w:style w:type="paragraph" w:styleId="Header">
    <w:name w:val="header"/>
    <w:basedOn w:val="Normal"/>
    <w:link w:val="HeaderChar"/>
    <w:uiPriority w:val="99"/>
    <w:rsid w:val="00D47C62"/>
    <w:pPr>
      <w:tabs>
        <w:tab w:val="left" w:pos="567"/>
        <w:tab w:val="center" w:pos="4153"/>
        <w:tab w:val="right" w:pos="8306"/>
      </w:tabs>
      <w:snapToGrid w:val="0"/>
    </w:pPr>
    <w:rPr>
      <w:rFonts w:ascii="Arial" w:hAnsi="Arial"/>
      <w:snapToGrid w:val="0"/>
      <w:sz w:val="22"/>
      <w:lang w:val="fr-FR"/>
    </w:rPr>
  </w:style>
  <w:style w:type="paragraph" w:customStyle="1" w:styleId="Marge">
    <w:name w:val="Marge"/>
    <w:basedOn w:val="Normal"/>
    <w:rsid w:val="00D47C62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  <w:lang w:val="fr-FR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F85F1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Footer">
    <w:name w:val="footer"/>
    <w:basedOn w:val="Normal"/>
    <w:rsid w:val="008D23A7"/>
    <w:pPr>
      <w:tabs>
        <w:tab w:val="center" w:pos="4153"/>
        <w:tab w:val="right" w:pos="8306"/>
      </w:tabs>
    </w:pPr>
    <w:rPr>
      <w:lang w:val="en-US"/>
    </w:rPr>
  </w:style>
  <w:style w:type="paragraph" w:styleId="BodyTextIndent3">
    <w:name w:val="Body Text Indent 3"/>
    <w:basedOn w:val="Normal"/>
    <w:rsid w:val="008D23A7"/>
    <w:pPr>
      <w:ind w:left="7200"/>
    </w:pPr>
    <w:rPr>
      <w:sz w:val="22"/>
      <w:lang w:val="fr-FR"/>
    </w:rPr>
  </w:style>
  <w:style w:type="paragraph" w:customStyle="1" w:styleId="COI">
    <w:name w:val="COI"/>
    <w:basedOn w:val="Marge"/>
    <w:autoRedefine/>
    <w:rsid w:val="005A47AE"/>
    <w:pPr>
      <w:numPr>
        <w:numId w:val="55"/>
      </w:numPr>
      <w:tabs>
        <w:tab w:val="clear" w:pos="567"/>
      </w:tabs>
      <w:spacing w:line="240" w:lineRule="atLeast"/>
      <w:ind w:hanging="431"/>
    </w:pPr>
    <w:rPr>
      <w:rFonts w:eastAsia="Arial Unicode MS" w:cs="Arial"/>
      <w:lang w:val="en-GB"/>
    </w:rPr>
  </w:style>
  <w:style w:type="paragraph" w:customStyle="1" w:styleId="Default">
    <w:name w:val="Default"/>
    <w:rsid w:val="008D23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WW-Default">
    <w:name w:val="WW-Default"/>
    <w:rsid w:val="008D23A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character" w:styleId="PageNumber">
    <w:name w:val="page number"/>
    <w:basedOn w:val="DefaultParagraphFont"/>
    <w:rsid w:val="007A121B"/>
  </w:style>
  <w:style w:type="table" w:styleId="TableGrid">
    <w:name w:val="Table Grid"/>
    <w:basedOn w:val="TableNormal"/>
    <w:rsid w:val="006062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D814EB"/>
    <w:rPr>
      <w:rFonts w:ascii="Times New Roman Bold" w:hAnsi="Times New Roman Bold" w:cs="Arial"/>
      <w:bCs/>
      <w:caps/>
      <w:kern w:val="32"/>
      <w:sz w:val="24"/>
      <w:szCs w:val="24"/>
      <w:lang w:val="en-AU" w:eastAsia="en-US"/>
    </w:rPr>
  </w:style>
  <w:style w:type="character" w:customStyle="1" w:styleId="CharChar">
    <w:name w:val="Char Char"/>
    <w:locked/>
    <w:rsid w:val="007B1CB3"/>
    <w:rPr>
      <w:rFonts w:ascii="Times New Roman Bold" w:hAnsi="Times New Roman Bold" w:cs="Arial"/>
      <w:bCs/>
      <w:caps/>
      <w:kern w:val="32"/>
      <w:sz w:val="24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9C7258"/>
    <w:rPr>
      <w:sz w:val="20"/>
      <w:szCs w:val="20"/>
    </w:rPr>
  </w:style>
  <w:style w:type="character" w:styleId="FootnoteReference">
    <w:name w:val="footnote reference"/>
    <w:semiHidden/>
    <w:rsid w:val="009C7258"/>
    <w:rPr>
      <w:vertAlign w:val="superscript"/>
    </w:rPr>
  </w:style>
  <w:style w:type="paragraph" w:styleId="NoSpacing">
    <w:name w:val="No Spacing"/>
    <w:uiPriority w:val="1"/>
    <w:qFormat/>
    <w:rsid w:val="00244EBD"/>
    <w:rPr>
      <w:rFonts w:ascii="Calibri" w:eastAsia="Calibri" w:hAnsi="Calibri"/>
      <w:sz w:val="22"/>
      <w:szCs w:val="22"/>
      <w:lang w:val="en-AU" w:eastAsia="en-US"/>
    </w:rPr>
  </w:style>
  <w:style w:type="paragraph" w:styleId="ListParagraph">
    <w:name w:val="List Paragraph"/>
    <w:aliases w:val="List Paragraph (numbered (a)),Lapis Bulleted List,Dot pt,F5 List Paragraph,No Spacing1,List Paragraph Char Char Char,Indicator Text,Numbered Para 1,Bullet 1,List Paragraph12,Bullet Points,MAIN CONTENT,WB Para,List 100s"/>
    <w:basedOn w:val="Normal"/>
    <w:uiPriority w:val="1"/>
    <w:qFormat/>
    <w:rsid w:val="00244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">
    <w:name w:val="st"/>
    <w:rsid w:val="00007232"/>
  </w:style>
  <w:style w:type="character" w:customStyle="1" w:styleId="preferred">
    <w:name w:val="preferred"/>
    <w:rsid w:val="002D1E01"/>
  </w:style>
  <w:style w:type="character" w:styleId="FollowedHyperlink">
    <w:name w:val="FollowedHyperlink"/>
    <w:rsid w:val="00DD5C67"/>
    <w:rPr>
      <w:color w:val="954F72"/>
      <w:u w:val="single"/>
    </w:rPr>
  </w:style>
  <w:style w:type="character" w:customStyle="1" w:styleId="HeaderChar">
    <w:name w:val="Header Char"/>
    <w:link w:val="Header"/>
    <w:uiPriority w:val="99"/>
    <w:rsid w:val="00D200BC"/>
    <w:rPr>
      <w:rFonts w:ascii="Arial" w:hAnsi="Arial"/>
      <w:snapToGrid w:val="0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46F60"/>
    <w:pPr>
      <w:spacing w:before="100" w:beforeAutospacing="1" w:after="100" w:afterAutospacing="1"/>
    </w:pPr>
    <w:rPr>
      <w:lang w:val="en-US" w:eastAsia="zh-CN"/>
    </w:rPr>
  </w:style>
  <w:style w:type="paragraph" w:customStyle="1" w:styleId="ydp5ce225aamsolistparagraph">
    <w:name w:val="ydp5ce225aamsolistparagraph"/>
    <w:basedOn w:val="Normal"/>
    <w:rsid w:val="00040660"/>
    <w:pPr>
      <w:spacing w:before="100" w:beforeAutospacing="1" w:after="100" w:afterAutospacing="1"/>
    </w:pPr>
    <w:rPr>
      <w:rFonts w:ascii="Calibri" w:eastAsia="DengXia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9A5E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58AE"/>
    <w:rPr>
      <w:sz w:val="24"/>
      <w:szCs w:val="24"/>
      <w:lang w:val="en-AU" w:eastAsia="en-US"/>
    </w:rPr>
  </w:style>
  <w:style w:type="paragraph" w:styleId="BodyText">
    <w:name w:val="Body Text"/>
    <w:basedOn w:val="Normal"/>
    <w:link w:val="BodyTextChar"/>
    <w:rsid w:val="003B7C02"/>
    <w:pPr>
      <w:spacing w:after="120"/>
    </w:pPr>
  </w:style>
  <w:style w:type="character" w:customStyle="1" w:styleId="BodyTextChar">
    <w:name w:val="Body Text Char"/>
    <w:link w:val="BodyText"/>
    <w:rsid w:val="003B7C02"/>
    <w:rPr>
      <w:sz w:val="24"/>
      <w:szCs w:val="24"/>
      <w:lang w:val="en-AU" w:eastAsia="en-US"/>
    </w:rPr>
  </w:style>
  <w:style w:type="character" w:customStyle="1" w:styleId="Aucun">
    <w:name w:val="Aucun"/>
    <w:rsid w:val="00EC7990"/>
    <w:rPr>
      <w:lang w:val="en-US"/>
    </w:rPr>
  </w:style>
  <w:style w:type="paragraph" w:customStyle="1" w:styleId="Corps">
    <w:name w:val="Corps"/>
    <w:rsid w:val="00EC79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1D3"/>
    <w:rPr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5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76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7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13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4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78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2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4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1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865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962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761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347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509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489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707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680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892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1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41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7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5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7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485">
          <w:marLeft w:val="720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5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1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5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9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9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06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49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20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35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19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57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5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81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1969">
          <w:marLeft w:val="446"/>
          <w:marRight w:val="58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384">
          <w:marLeft w:val="446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763">
          <w:marLeft w:val="446"/>
          <w:marRight w:val="58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362">
          <w:marLeft w:val="446"/>
          <w:marRight w:val="58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47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2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1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sdoc.unesco.org/ark:/48223/pf0000388765.locale=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ceanexpert.org/event/4626" TargetMode="External"/><Relationship Id="rId17" Type="http://schemas.openxmlformats.org/officeDocument/2006/relationships/hyperlink" Target="https://unesdoc.unesco.org/ark:/48223/pf0000380540.locale=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ceanexpert.org/document/36421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eanexpert.org/event/462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esdoc.unesco.org/ark:/48223/pf0000259725.locale=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oc-sealevelmonitoring.org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86eab3-7e79-4a6c-9299-b0d67a87b4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9AA4DCB672843B9D3A23330FAD3FA" ma:contentTypeVersion="13" ma:contentTypeDescription="Create a new document." ma:contentTypeScope="" ma:versionID="54c9b0a2b689ef2da8e0a4cbcaf69984">
  <xsd:schema xmlns:xsd="http://www.w3.org/2001/XMLSchema" xmlns:xs="http://www.w3.org/2001/XMLSchema" xmlns:p="http://schemas.microsoft.com/office/2006/metadata/properties" xmlns:ns3="de86eab3-7e79-4a6c-9299-b0d67a87b48e" xmlns:ns4="ad7c873b-b406-4c8b-ac2c-9c1e4433ca36" targetNamespace="http://schemas.microsoft.com/office/2006/metadata/properties" ma:root="true" ma:fieldsID="d97c04faa73e9881abb96865bf0b4abc" ns3:_="" ns4:_="">
    <xsd:import namespace="de86eab3-7e79-4a6c-9299-b0d67a87b48e"/>
    <xsd:import namespace="ad7c873b-b406-4c8b-ac2c-9c1e4433ca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6eab3-7e79-4a6c-9299-b0d67a87b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c873b-b406-4c8b-ac2c-9c1e4433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69D7-DF91-478F-975C-764F1FA7E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CD7F4-036F-470C-B0EC-21210DC32E62}">
  <ds:schemaRefs>
    <ds:schemaRef ds:uri="http://schemas.microsoft.com/office/2006/metadata/properties"/>
    <ds:schemaRef ds:uri="http://schemas.microsoft.com/office/infopath/2007/PartnerControls"/>
    <ds:schemaRef ds:uri="de86eab3-7e79-4a6c-9299-b0d67a87b48e"/>
  </ds:schemaRefs>
</ds:datastoreItem>
</file>

<file path=customXml/itemProps3.xml><?xml version="1.0" encoding="utf-8"?>
<ds:datastoreItem xmlns:ds="http://schemas.openxmlformats.org/officeDocument/2006/customXml" ds:itemID="{D4DA886E-9634-4B2E-B743-E0DB5AEA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6eab3-7e79-4a6c-9299-b0d67a87b48e"/>
    <ds:schemaRef ds:uri="ad7c873b-b406-4c8b-ac2c-9c1e4433c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E53ACD-921B-4FCD-86BC-7068CEC44E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2385</Words>
  <Characters>16555</Characters>
  <Application>Microsoft Office Word</Application>
  <DocSecurity>4</DocSecurity>
  <Lines>137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IOC</Company>
  <LinksUpToDate>false</LinksUpToDate>
  <CharactersWithSpaces>18903</CharactersWithSpaces>
  <SharedDoc>false</SharedDoc>
  <HLinks>
    <vt:vector size="6" baseType="variant">
      <vt:variant>
        <vt:i4>3735604</vt:i4>
      </vt:variant>
      <vt:variant>
        <vt:i4>0</vt:i4>
      </vt:variant>
      <vt:variant>
        <vt:i4>0</vt:i4>
      </vt:variant>
      <vt:variant>
        <vt:i4>5</vt:i4>
      </vt:variant>
      <vt:variant>
        <vt:lpwstr>https://oceanexpert.org/event/3861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bille</dc:creator>
  <cp:keywords/>
  <cp:lastModifiedBy>Boned, Patrice</cp:lastModifiedBy>
  <cp:revision>2</cp:revision>
  <cp:lastPrinted>2015-05-19T11:47:00Z</cp:lastPrinted>
  <dcterms:created xsi:type="dcterms:W3CDTF">2025-06-11T16:04:00Z</dcterms:created>
  <dcterms:modified xsi:type="dcterms:W3CDTF">2025-06-11T16:04:00Z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0x0101003F19AA4DCB672843B9D3A23330FAD3FA</vt:lpwstr>
  </property>
</Properties>
</file>