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2"/>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A635A5" w14:paraId="20FBEF57" w14:textId="77777777">
        <w:trPr>
          <w:jc w:val="center"/>
        </w:trPr>
        <w:tc>
          <w:tcPr>
            <w:tcW w:w="7654" w:type="dxa"/>
            <w:tcMar>
              <w:top w:w="170" w:type="dxa"/>
              <w:left w:w="170" w:type="dxa"/>
              <w:bottom w:w="170" w:type="dxa"/>
              <w:right w:w="170" w:type="dxa"/>
            </w:tcMar>
          </w:tcPr>
          <w:p w14:paraId="577554C8" w14:textId="77777777" w:rsidR="00A635A5" w:rsidRDefault="00067ABD">
            <w:pPr>
              <w:pBdr>
                <w:top w:val="nil"/>
                <w:left w:val="nil"/>
                <w:bottom w:val="nil"/>
                <w:right w:val="nil"/>
                <w:between w:val="nil"/>
              </w:pBdr>
              <w:spacing w:after="240"/>
              <w:jc w:val="center"/>
              <w:rPr>
                <w:color w:val="000000"/>
              </w:rPr>
            </w:pPr>
            <w:r>
              <w:rPr>
                <w:color w:val="000000"/>
                <w:u w:val="single"/>
              </w:rPr>
              <w:t>Summary</w:t>
            </w:r>
          </w:p>
          <w:p w14:paraId="4B425AB1" w14:textId="79BC2C0D" w:rsidR="00A635A5" w:rsidRDefault="0043700A">
            <w:pPr>
              <w:pBdr>
                <w:top w:val="nil"/>
                <w:left w:val="nil"/>
                <w:bottom w:val="nil"/>
                <w:right w:val="nil"/>
                <w:between w:val="nil"/>
              </w:pBdr>
              <w:spacing w:after="120"/>
              <w:jc w:val="both"/>
              <w:rPr>
                <w:color w:val="000000"/>
              </w:rPr>
            </w:pPr>
            <w:r>
              <w:rPr>
                <w:color w:val="000000"/>
              </w:rPr>
              <w:t>By</w:t>
            </w:r>
            <w:r w:rsidR="00067ABD">
              <w:rPr>
                <w:color w:val="000000"/>
              </w:rPr>
              <w:t xml:space="preserve"> Decision A-32/4.8.2</w:t>
            </w:r>
            <w:r>
              <w:rPr>
                <w:color w:val="000000"/>
              </w:rPr>
              <w:t>, the IOC Assembly</w:t>
            </w:r>
            <w:r w:rsidR="00067ABD">
              <w:rPr>
                <w:color w:val="000000"/>
              </w:rPr>
              <w:t xml:space="preserve"> decided to establish an ad</w:t>
            </w:r>
            <w:r>
              <w:rPr>
                <w:color w:val="000000"/>
              </w:rPr>
              <w:t> </w:t>
            </w:r>
            <w:r w:rsidR="00067ABD">
              <w:rPr>
                <w:color w:val="000000"/>
              </w:rPr>
              <w:t>hoc intersessional Working</w:t>
            </w:r>
            <w:r w:rsidR="00067ABD">
              <w:t xml:space="preserve"> </w:t>
            </w:r>
            <w:r w:rsidR="00067ABD">
              <w:rPr>
                <w:color w:val="000000"/>
              </w:rPr>
              <w:t xml:space="preserve">Group on Ocean Observations in Areas under National Jurisdiction according to the terms of reference provided in the Annex to the same </w:t>
            </w:r>
            <w:r>
              <w:rPr>
                <w:color w:val="000000"/>
              </w:rPr>
              <w:t>d</w:t>
            </w:r>
            <w:r w:rsidR="00067ABD">
              <w:rPr>
                <w:color w:val="000000"/>
              </w:rPr>
              <w:t>ecision and requested the Working Group to report to the IOC Assembly at its 33rd session.</w:t>
            </w:r>
          </w:p>
          <w:p w14:paraId="4B9E1091" w14:textId="77777777" w:rsidR="00A635A5" w:rsidRDefault="00067ABD">
            <w:pPr>
              <w:pBdr>
                <w:top w:val="nil"/>
                <w:left w:val="nil"/>
                <w:bottom w:val="nil"/>
                <w:right w:val="nil"/>
                <w:between w:val="nil"/>
              </w:pBdr>
              <w:spacing w:after="120"/>
              <w:jc w:val="both"/>
              <w:rPr>
                <w:color w:val="000000"/>
              </w:rPr>
            </w:pPr>
            <w:r>
              <w:rPr>
                <w:color w:val="000000"/>
              </w:rPr>
              <w:t xml:space="preserve">This document provides the report from the </w:t>
            </w:r>
            <w:r>
              <w:t>W</w:t>
            </w:r>
            <w:r>
              <w:rPr>
                <w:color w:val="000000"/>
              </w:rPr>
              <w:t xml:space="preserve">orking Group </w:t>
            </w:r>
            <w:r>
              <w:t xml:space="preserve">including </w:t>
            </w:r>
            <w:r>
              <w:rPr>
                <w:color w:val="000000"/>
              </w:rPr>
              <w:t xml:space="preserve">recommendations for </w:t>
            </w:r>
            <w:r>
              <w:t>action</w:t>
            </w:r>
            <w:r>
              <w:rPr>
                <w:color w:val="000000"/>
              </w:rPr>
              <w:t xml:space="preserve">. </w:t>
            </w:r>
          </w:p>
          <w:p w14:paraId="09EE6378" w14:textId="5BE69272" w:rsidR="00A635A5" w:rsidRDefault="00067ABD">
            <w:pPr>
              <w:spacing w:after="120"/>
              <w:jc w:val="both"/>
            </w:pPr>
            <w:r>
              <w:t>Financial and administrative implications</w:t>
            </w:r>
            <w:r w:rsidR="0043700A">
              <w:t xml:space="preserve">: </w:t>
            </w:r>
            <w:r>
              <w:t>paragraph 14</w:t>
            </w:r>
            <w:r w:rsidR="0043700A">
              <w:t xml:space="preserve">. </w:t>
            </w:r>
            <w:r>
              <w:t xml:space="preserve"> </w:t>
            </w:r>
          </w:p>
          <w:p w14:paraId="2CD9220C" w14:textId="569A5503" w:rsidR="00A635A5" w:rsidRDefault="00067ABD">
            <w:pPr>
              <w:pBdr>
                <w:top w:val="nil"/>
                <w:left w:val="nil"/>
                <w:bottom w:val="nil"/>
                <w:right w:val="nil"/>
                <w:between w:val="nil"/>
              </w:pBdr>
              <w:spacing w:after="120"/>
              <w:jc w:val="both"/>
              <w:rPr>
                <w:color w:val="000000"/>
              </w:rPr>
            </w:pPr>
            <w:r>
              <w:rPr>
                <w:color w:val="000000"/>
                <w:u w:val="single"/>
              </w:rPr>
              <w:t>The proposed decision(s)</w:t>
            </w:r>
            <w:r>
              <w:rPr>
                <w:color w:val="000000"/>
              </w:rPr>
              <w:t xml:space="preserve"> is referenced A-33/Dec.4.5.3 in the Action Paper (document </w:t>
            </w:r>
            <w:hyperlink r:id="rId8" w:history="1">
              <w:r w:rsidRPr="004530FD">
                <w:rPr>
                  <w:rStyle w:val="Hyperlink"/>
                </w:rPr>
                <w:t>IOC/A-33/2 Prov.</w:t>
              </w:r>
            </w:hyperlink>
            <w:r>
              <w:rPr>
                <w:color w:val="000000"/>
              </w:rPr>
              <w:t>)</w:t>
            </w:r>
          </w:p>
        </w:tc>
      </w:tr>
    </w:tbl>
    <w:p w14:paraId="55480858" w14:textId="77777777" w:rsidR="0043700A" w:rsidRDefault="0043700A">
      <w:pPr>
        <w:keepNext/>
        <w:keepLines/>
        <w:pBdr>
          <w:top w:val="nil"/>
          <w:left w:val="nil"/>
          <w:bottom w:val="nil"/>
          <w:right w:val="nil"/>
          <w:between w:val="nil"/>
        </w:pBdr>
        <w:spacing w:after="240"/>
        <w:rPr>
          <w:b/>
          <w:color w:val="000000"/>
        </w:rPr>
      </w:pPr>
    </w:p>
    <w:p w14:paraId="6E087160" w14:textId="77777777" w:rsidR="0043700A" w:rsidRDefault="0043700A">
      <w:pPr>
        <w:snapToGrid/>
        <w:rPr>
          <w:b/>
          <w:color w:val="000000"/>
        </w:rPr>
      </w:pPr>
      <w:r>
        <w:rPr>
          <w:b/>
          <w:color w:val="000000"/>
        </w:rPr>
        <w:br w:type="page"/>
      </w:r>
    </w:p>
    <w:p w14:paraId="01004A86" w14:textId="4774FC86" w:rsidR="00A635A5" w:rsidRDefault="00067ABD">
      <w:pPr>
        <w:keepNext/>
        <w:keepLines/>
        <w:pBdr>
          <w:top w:val="nil"/>
          <w:left w:val="nil"/>
          <w:bottom w:val="nil"/>
          <w:right w:val="nil"/>
          <w:between w:val="nil"/>
        </w:pBdr>
        <w:spacing w:after="240"/>
        <w:rPr>
          <w:b/>
          <w:color w:val="000000"/>
        </w:rPr>
      </w:pPr>
      <w:r>
        <w:rPr>
          <w:b/>
          <w:color w:val="000000"/>
        </w:rPr>
        <w:lastRenderedPageBreak/>
        <w:t>Introduction</w:t>
      </w:r>
    </w:p>
    <w:p w14:paraId="033796FA" w14:textId="50D93889" w:rsidR="00A635A5" w:rsidRDefault="004530FD" w:rsidP="00A4057B">
      <w:pPr>
        <w:numPr>
          <w:ilvl w:val="0"/>
          <w:numId w:val="1"/>
        </w:numPr>
        <w:pBdr>
          <w:top w:val="nil"/>
          <w:left w:val="nil"/>
          <w:bottom w:val="nil"/>
          <w:right w:val="nil"/>
          <w:between w:val="nil"/>
        </w:pBdr>
        <w:tabs>
          <w:tab w:val="clear" w:pos="567"/>
          <w:tab w:val="left" w:pos="709"/>
        </w:tabs>
        <w:spacing w:after="240"/>
        <w:jc w:val="both"/>
        <w:rPr>
          <w:color w:val="000000"/>
        </w:rPr>
      </w:pPr>
      <w:r>
        <w:t xml:space="preserve">In compliance with Assembly </w:t>
      </w:r>
      <w:hyperlink r:id="rId9">
        <w:r>
          <w:rPr>
            <w:color w:val="1155CC"/>
            <w:u w:val="single"/>
          </w:rPr>
          <w:t>d</w:t>
        </w:r>
        <w:r w:rsidR="00067ABD">
          <w:rPr>
            <w:color w:val="1155CC"/>
            <w:u w:val="single"/>
          </w:rPr>
          <w:t>ecision A-32/4.8.2</w:t>
        </w:r>
      </w:hyperlink>
      <w:r>
        <w:t xml:space="preserve"> (2023)</w:t>
      </w:r>
      <w:r w:rsidR="00067ABD">
        <w:t>, an ad</w:t>
      </w:r>
      <w:r>
        <w:t> </w:t>
      </w:r>
      <w:r w:rsidR="00067ABD">
        <w:t xml:space="preserve">hoc intersessional Working Group </w:t>
      </w:r>
      <w:r>
        <w:rPr>
          <w:color w:val="000000"/>
        </w:rPr>
        <w:t>on Ocean Observations in Areas under National Jurisdiction</w:t>
      </w:r>
      <w:r>
        <w:t xml:space="preserve"> </w:t>
      </w:r>
      <w:r w:rsidR="00067ABD">
        <w:t>(referred to as the Working Group)</w:t>
      </w:r>
      <w:r>
        <w:t xml:space="preserve"> was established with </w:t>
      </w:r>
      <w:r w:rsidR="00067ABD">
        <w:t>representatives from 27 Member States</w:t>
      </w:r>
      <w:r>
        <w:t xml:space="preserve"> under the co-</w:t>
      </w:r>
      <w:proofErr w:type="spellStart"/>
      <w:r>
        <w:t>chairship</w:t>
      </w:r>
      <w:proofErr w:type="spellEnd"/>
      <w:r>
        <w:t xml:space="preserve"> of </w:t>
      </w:r>
      <w:r w:rsidR="00067ABD">
        <w:t>Dr</w:t>
      </w:r>
      <w:r>
        <w:t> </w:t>
      </w:r>
      <w:r w:rsidR="00067ABD">
        <w:t>Suzan M. El-Gharabawy (Egypt) and M</w:t>
      </w:r>
      <w:r>
        <w:t>r </w:t>
      </w:r>
      <w:r w:rsidR="00067ABD">
        <w:t xml:space="preserve">Ariel Hernán Troisi (Argentina). The Working Group has met </w:t>
      </w:r>
      <w:proofErr w:type="gramStart"/>
      <w:r w:rsidR="00067ABD">
        <w:t>on a monthly basis</w:t>
      </w:r>
      <w:proofErr w:type="gramEnd"/>
      <w:r w:rsidR="00067ABD">
        <w:t xml:space="preserve"> since November 2023.</w:t>
      </w:r>
    </w:p>
    <w:p w14:paraId="06A7B351" w14:textId="0FA14F0B" w:rsidR="00A635A5" w:rsidRDefault="00067ABD" w:rsidP="00A4057B">
      <w:pPr>
        <w:numPr>
          <w:ilvl w:val="0"/>
          <w:numId w:val="1"/>
        </w:numPr>
        <w:pBdr>
          <w:top w:val="nil"/>
          <w:left w:val="nil"/>
          <w:bottom w:val="nil"/>
          <w:right w:val="nil"/>
          <w:between w:val="nil"/>
        </w:pBdr>
        <w:tabs>
          <w:tab w:val="clear" w:pos="567"/>
          <w:tab w:val="left" w:pos="709"/>
        </w:tabs>
        <w:spacing w:after="240"/>
        <w:jc w:val="both"/>
        <w:rPr>
          <w:color w:val="000000"/>
        </w:rPr>
      </w:pPr>
      <w:r>
        <w:t>The Working Group provided an interim report (</w:t>
      </w:r>
      <w:hyperlink r:id="rId10">
        <w:r>
          <w:rPr>
            <w:color w:val="1155CC"/>
            <w:highlight w:val="white"/>
            <w:u w:val="single"/>
          </w:rPr>
          <w:t>IOC/EC-57/4.2.Doc(1</w:t>
        </w:r>
      </w:hyperlink>
      <w:hyperlink r:id="rId11">
        <w:r>
          <w:rPr>
            <w:color w:val="1155CC"/>
            <w:u w:val="single"/>
          </w:rPr>
          <w:t>)</w:t>
        </w:r>
      </w:hyperlink>
      <w:r>
        <w:t xml:space="preserve">) on </w:t>
      </w:r>
      <w:r w:rsidR="004530FD">
        <w:t>its</w:t>
      </w:r>
      <w:r>
        <w:t xml:space="preserve"> work to the</w:t>
      </w:r>
      <w:r w:rsidR="004530FD">
        <w:t xml:space="preserve"> IOC Executive Council at its 57</w:t>
      </w:r>
      <w:r w:rsidR="004530FD" w:rsidRPr="004530FD">
        <w:rPr>
          <w:vertAlign w:val="superscript"/>
        </w:rPr>
        <w:t>th</w:t>
      </w:r>
      <w:r w:rsidR="004530FD">
        <w:t xml:space="preserve"> session in June 2024</w:t>
      </w:r>
      <w:r>
        <w:t xml:space="preserve">. The Executive Council through IOC </w:t>
      </w:r>
      <w:hyperlink r:id="rId12">
        <w:r>
          <w:rPr>
            <w:color w:val="1155CC"/>
            <w:u w:val="single"/>
          </w:rPr>
          <w:t>Decision EC-57/4.2</w:t>
        </w:r>
      </w:hyperlink>
      <w:r>
        <w:t xml:space="preserve"> encouraged the Working Group to continue its work, and encouraged Member States to contribute to the work of the group. </w:t>
      </w:r>
    </w:p>
    <w:p w14:paraId="6A96D5C4" w14:textId="7F16A975" w:rsidR="00A635A5" w:rsidRDefault="00067ABD" w:rsidP="00A4057B">
      <w:pPr>
        <w:numPr>
          <w:ilvl w:val="0"/>
          <w:numId w:val="1"/>
        </w:numPr>
        <w:tabs>
          <w:tab w:val="clear" w:pos="567"/>
          <w:tab w:val="left" w:pos="709"/>
        </w:tabs>
        <w:spacing w:after="240"/>
        <w:jc w:val="both"/>
      </w:pPr>
      <w:r>
        <w:t xml:space="preserve">In accordance with </w:t>
      </w:r>
      <w:r w:rsidR="004530FD">
        <w:t>its terms of reference, the</w:t>
      </w:r>
      <w:r>
        <w:t xml:space="preserve"> Working Group presents </w:t>
      </w:r>
      <w:r w:rsidR="004530FD">
        <w:t xml:space="preserve">to this Assembly </w:t>
      </w:r>
      <w:r>
        <w:t>the results of the Working Group including recommendations for actions.</w:t>
      </w:r>
    </w:p>
    <w:p w14:paraId="3793BFA1" w14:textId="77777777" w:rsidR="00A635A5" w:rsidRDefault="00067ABD">
      <w:pPr>
        <w:pBdr>
          <w:top w:val="nil"/>
          <w:left w:val="nil"/>
          <w:bottom w:val="nil"/>
          <w:right w:val="nil"/>
          <w:between w:val="nil"/>
        </w:pBdr>
        <w:tabs>
          <w:tab w:val="left" w:pos="709"/>
        </w:tabs>
        <w:spacing w:after="240"/>
        <w:jc w:val="both"/>
      </w:pPr>
      <w:r>
        <w:rPr>
          <w:b/>
        </w:rPr>
        <w:t>Background</w:t>
      </w:r>
    </w:p>
    <w:p w14:paraId="3A2B54C9" w14:textId="701DE5CF" w:rsidR="00A635A5" w:rsidRDefault="00067ABD" w:rsidP="00A4057B">
      <w:pPr>
        <w:numPr>
          <w:ilvl w:val="0"/>
          <w:numId w:val="1"/>
        </w:numPr>
        <w:pBdr>
          <w:top w:val="nil"/>
          <w:left w:val="nil"/>
          <w:bottom w:val="nil"/>
          <w:right w:val="nil"/>
          <w:between w:val="nil"/>
        </w:pBdr>
        <w:tabs>
          <w:tab w:val="clear" w:pos="567"/>
          <w:tab w:val="left" w:pos="709"/>
        </w:tabs>
        <w:spacing w:after="240"/>
        <w:jc w:val="both"/>
        <w:rPr>
          <w:color w:val="000000"/>
        </w:rPr>
      </w:pPr>
      <w:r>
        <w:t xml:space="preserve">Prior to </w:t>
      </w:r>
      <w:r w:rsidR="004530FD">
        <w:t xml:space="preserve">2023 and discussion of this matter at </w:t>
      </w:r>
      <w:r>
        <w:t xml:space="preserve">the 32nd </w:t>
      </w:r>
      <w:r w:rsidR="004530FD">
        <w:t>session</w:t>
      </w:r>
      <w:r>
        <w:t xml:space="preserve"> of the Assembly:</w:t>
      </w:r>
    </w:p>
    <w:p w14:paraId="2B607FEF" w14:textId="3F958974" w:rsidR="00A635A5" w:rsidRDefault="00067ABD" w:rsidP="00A4057B">
      <w:pPr>
        <w:numPr>
          <w:ilvl w:val="1"/>
          <w:numId w:val="3"/>
        </w:numPr>
        <w:pBdr>
          <w:top w:val="nil"/>
          <w:left w:val="nil"/>
          <w:bottom w:val="nil"/>
          <w:right w:val="nil"/>
          <w:between w:val="nil"/>
        </w:pBdr>
        <w:tabs>
          <w:tab w:val="left" w:pos="709"/>
        </w:tabs>
        <w:spacing w:after="240"/>
        <w:ind w:left="1276" w:hanging="567"/>
        <w:jc w:val="both"/>
        <w:rPr>
          <w:color w:val="000000"/>
        </w:rPr>
      </w:pPr>
      <w:r>
        <w:t>The</w:t>
      </w:r>
      <w:r>
        <w:rPr>
          <w:color w:val="000000"/>
        </w:rPr>
        <w:t xml:space="preserve"> IOC Executive Council </w:t>
      </w:r>
      <w:r w:rsidR="004530FD">
        <w:rPr>
          <w:color w:val="000000"/>
        </w:rPr>
        <w:t>at its 55</w:t>
      </w:r>
      <w:r w:rsidR="004530FD">
        <w:rPr>
          <w:color w:val="000000"/>
          <w:vertAlign w:val="superscript"/>
        </w:rPr>
        <w:t>th</w:t>
      </w:r>
      <w:r w:rsidR="004530FD">
        <w:rPr>
          <w:color w:val="000000"/>
        </w:rPr>
        <w:t xml:space="preserve"> session in 2022 </w:t>
      </w:r>
      <w:r>
        <w:rPr>
          <w:color w:val="000000"/>
        </w:rPr>
        <w:t xml:space="preserve">had </w:t>
      </w:r>
      <w:r>
        <w:t xml:space="preserve">considered document </w:t>
      </w:r>
      <w:hyperlink r:id="rId13">
        <w:r>
          <w:rPr>
            <w:color w:val="1155CC"/>
            <w:u w:val="single"/>
          </w:rPr>
          <w:t>IOC/EC-55/3.4.Doc(1)</w:t>
        </w:r>
      </w:hyperlink>
      <w:r>
        <w:rPr>
          <w:color w:val="000000"/>
        </w:rPr>
        <w:t>, which highlighted issues and solutions for enhancing sustained ocean observations in areas under national jurisdiction, and the role of IOC, WMO and DOALOS</w:t>
      </w:r>
      <w:r w:rsidR="004530FD">
        <w:rPr>
          <w:color w:val="000000"/>
        </w:rPr>
        <w:t xml:space="preserve"> in this regard</w:t>
      </w:r>
      <w:r>
        <w:rPr>
          <w:color w:val="000000"/>
        </w:rPr>
        <w:t xml:space="preserve">. The document was based primarily on the summary report of the </w:t>
      </w:r>
      <w:r w:rsidRPr="004530FD">
        <w:rPr>
          <w:i/>
          <w:iCs/>
          <w:color w:val="000000"/>
        </w:rPr>
        <w:t>Experts Workshop on Ocean Observations in Areas under National Jurisdiction</w:t>
      </w:r>
      <w:r>
        <w:rPr>
          <w:color w:val="000000"/>
        </w:rPr>
        <w:t xml:space="preserve"> (</w:t>
      </w:r>
      <w:hyperlink r:id="rId14">
        <w:r>
          <w:rPr>
            <w:color w:val="1155CC"/>
            <w:u w:val="single"/>
          </w:rPr>
          <w:t>OONJ, 2021, GOOS-246</w:t>
        </w:r>
      </w:hyperlink>
      <w:r>
        <w:rPr>
          <w:color w:val="000000"/>
        </w:rPr>
        <w:t xml:space="preserve">). </w:t>
      </w:r>
    </w:p>
    <w:p w14:paraId="3018B04B" w14:textId="0CFA3272" w:rsidR="00A635A5" w:rsidRDefault="00067ABD" w:rsidP="00A4057B">
      <w:pPr>
        <w:numPr>
          <w:ilvl w:val="1"/>
          <w:numId w:val="3"/>
        </w:numPr>
        <w:pBdr>
          <w:top w:val="nil"/>
          <w:left w:val="nil"/>
          <w:bottom w:val="nil"/>
          <w:right w:val="nil"/>
          <w:between w:val="nil"/>
        </w:pBdr>
        <w:tabs>
          <w:tab w:val="left" w:pos="709"/>
        </w:tabs>
        <w:spacing w:after="240"/>
        <w:ind w:left="1276" w:hanging="567"/>
        <w:jc w:val="both"/>
        <w:rPr>
          <w:color w:val="000000"/>
        </w:rPr>
      </w:pPr>
      <w:hyperlink r:id="rId15">
        <w:r>
          <w:rPr>
            <w:color w:val="1155CC"/>
            <w:u w:val="single"/>
          </w:rPr>
          <w:t>Decision IOC/EC-55/3.4</w:t>
        </w:r>
      </w:hyperlink>
      <w:r>
        <w:t xml:space="preserve"> invited </w:t>
      </w:r>
      <w:r w:rsidR="00A4057B">
        <w:t xml:space="preserve">the </w:t>
      </w:r>
      <w:r w:rsidR="00A4057B" w:rsidRPr="00A4057B">
        <w:t xml:space="preserve">Global Ocean Observing System (GOOS) </w:t>
      </w:r>
      <w:r>
        <w:t xml:space="preserve">to provide detailed information on the issues raised and requested Member States to provide information on their experiences regarding sustained ocean observations in areas under their </w:t>
      </w:r>
      <w:r w:rsidR="00A4057B">
        <w:t xml:space="preserve">national jurisdiction </w:t>
      </w:r>
      <w:r>
        <w:t>including on the issues identified by GOOS</w:t>
      </w:r>
      <w:r>
        <w:rPr>
          <w:color w:val="000000"/>
        </w:rPr>
        <w:t>.</w:t>
      </w:r>
      <w:r>
        <w:t xml:space="preserve"> S</w:t>
      </w:r>
      <w:r>
        <w:rPr>
          <w:color w:val="000000"/>
        </w:rPr>
        <w:t>eparate surveys were then conducted</w:t>
      </w:r>
      <w:r>
        <w:t xml:space="preserve"> throughout 2022</w:t>
      </w:r>
      <w:r w:rsidR="00A4057B">
        <w:t>–</w:t>
      </w:r>
      <w:r>
        <w:t>2023</w:t>
      </w:r>
      <w:r>
        <w:rPr>
          <w:color w:val="000000"/>
        </w:rPr>
        <w:t xml:space="preserve">, </w:t>
      </w:r>
      <w:r>
        <w:t xml:space="preserve">to seek feedback from </w:t>
      </w:r>
      <w:r>
        <w:rPr>
          <w:color w:val="000000"/>
        </w:rPr>
        <w:t xml:space="preserve">GOOS observation networks and from Member States. The results of these surveys were presented to the Assembly </w:t>
      </w:r>
      <w:r w:rsidR="00A4057B">
        <w:rPr>
          <w:color w:val="000000"/>
        </w:rPr>
        <w:t>at its 32</w:t>
      </w:r>
      <w:r w:rsidR="00A4057B">
        <w:rPr>
          <w:color w:val="000000"/>
          <w:vertAlign w:val="superscript"/>
        </w:rPr>
        <w:t>nd</w:t>
      </w:r>
      <w:r w:rsidR="00A4057B">
        <w:rPr>
          <w:color w:val="000000"/>
        </w:rPr>
        <w:t xml:space="preserve"> session (2023) </w:t>
      </w:r>
      <w:r>
        <w:t xml:space="preserve">in document </w:t>
      </w:r>
      <w:hyperlink r:id="rId16">
        <w:r>
          <w:rPr>
            <w:color w:val="1155CC"/>
            <w:u w:val="single"/>
          </w:rPr>
          <w:t>IOC-32/4.8.</w:t>
        </w:r>
        <w:proofErr w:type="gramStart"/>
        <w:r>
          <w:rPr>
            <w:color w:val="1155CC"/>
            <w:u w:val="single"/>
          </w:rPr>
          <w:t>2.Doc</w:t>
        </w:r>
        <w:proofErr w:type="gramEnd"/>
        <w:r>
          <w:rPr>
            <w:color w:val="1155CC"/>
            <w:u w:val="single"/>
          </w:rPr>
          <w:t>(1)</w:t>
        </w:r>
      </w:hyperlink>
      <w:r>
        <w:rPr>
          <w:color w:val="000000"/>
        </w:rPr>
        <w:t>.</w:t>
      </w:r>
    </w:p>
    <w:p w14:paraId="3E2FF720" w14:textId="77777777" w:rsidR="00A635A5" w:rsidRDefault="00067ABD">
      <w:pPr>
        <w:keepNext/>
        <w:keepLines/>
        <w:pBdr>
          <w:top w:val="nil"/>
          <w:left w:val="nil"/>
          <w:bottom w:val="nil"/>
          <w:right w:val="nil"/>
          <w:between w:val="nil"/>
        </w:pBdr>
        <w:spacing w:after="240"/>
        <w:rPr>
          <w:b/>
          <w:color w:val="000000"/>
        </w:rPr>
      </w:pPr>
      <w:r>
        <w:rPr>
          <w:b/>
          <w:color w:val="000000"/>
        </w:rPr>
        <w:t>Summary of discussions from the Working Group</w:t>
      </w:r>
    </w:p>
    <w:p w14:paraId="51286436" w14:textId="1E8628B3" w:rsidR="00A635A5" w:rsidRDefault="00067ABD" w:rsidP="00A4057B">
      <w:pPr>
        <w:numPr>
          <w:ilvl w:val="0"/>
          <w:numId w:val="1"/>
        </w:numPr>
        <w:pBdr>
          <w:top w:val="nil"/>
          <w:left w:val="nil"/>
          <w:bottom w:val="nil"/>
          <w:right w:val="nil"/>
          <w:between w:val="nil"/>
        </w:pBdr>
        <w:tabs>
          <w:tab w:val="clear" w:pos="567"/>
          <w:tab w:val="left" w:pos="709"/>
        </w:tabs>
        <w:spacing w:after="240"/>
        <w:jc w:val="both"/>
        <w:rPr>
          <w:color w:val="000000"/>
        </w:rPr>
      </w:pPr>
      <w:r>
        <w:rPr>
          <w:color w:val="000000"/>
        </w:rPr>
        <w:t xml:space="preserve">The </w:t>
      </w:r>
      <w:r>
        <w:t>W</w:t>
      </w:r>
      <w:r>
        <w:rPr>
          <w:color w:val="000000"/>
        </w:rPr>
        <w:t xml:space="preserve">orking </w:t>
      </w:r>
      <w:r>
        <w:t>G</w:t>
      </w:r>
      <w:r>
        <w:rPr>
          <w:color w:val="000000"/>
        </w:rPr>
        <w:t>roup reviewed a range of material</w:t>
      </w:r>
      <w:r w:rsidR="00A4057B">
        <w:rPr>
          <w:color w:val="000000"/>
        </w:rPr>
        <w:t>,</w:t>
      </w:r>
      <w:r>
        <w:rPr>
          <w:color w:val="000000"/>
        </w:rPr>
        <w:t xml:space="preserve"> including the summary report of the </w:t>
      </w:r>
      <w:r w:rsidRPr="00A4057B">
        <w:rPr>
          <w:i/>
          <w:iCs/>
          <w:color w:val="000000"/>
        </w:rPr>
        <w:t>Experts Workshop on Ocean Observations in Areas under National Jurisdiction</w:t>
      </w:r>
      <w:r>
        <w:rPr>
          <w:color w:val="000000"/>
        </w:rPr>
        <w:t xml:space="preserve"> (</w:t>
      </w:r>
      <w:hyperlink r:id="rId17">
        <w:r>
          <w:rPr>
            <w:color w:val="0000FF"/>
            <w:u w:val="single"/>
          </w:rPr>
          <w:t>OONJ, 2021, GOOS-246</w:t>
        </w:r>
      </w:hyperlink>
      <w:r>
        <w:rPr>
          <w:color w:val="000000"/>
        </w:rPr>
        <w:t xml:space="preserve">) as well as additional </w:t>
      </w:r>
      <w:r w:rsidR="00A4057B">
        <w:rPr>
          <w:color w:val="000000"/>
        </w:rPr>
        <w:t>information</w:t>
      </w:r>
      <w:r>
        <w:rPr>
          <w:color w:val="000000"/>
        </w:rPr>
        <w:t xml:space="preserve"> </w:t>
      </w:r>
      <w:r w:rsidR="00A4057B">
        <w:rPr>
          <w:color w:val="000000"/>
        </w:rPr>
        <w:t>collected</w:t>
      </w:r>
      <w:r>
        <w:rPr>
          <w:color w:val="000000"/>
        </w:rPr>
        <w:t xml:space="preserve"> in 2022</w:t>
      </w:r>
      <w:r w:rsidR="00A4057B">
        <w:rPr>
          <w:color w:val="000000"/>
        </w:rPr>
        <w:t>–</w:t>
      </w:r>
      <w:r>
        <w:rPr>
          <w:color w:val="000000"/>
        </w:rPr>
        <w:t xml:space="preserve">2023 via </w:t>
      </w:r>
      <w:r>
        <w:t>the</w:t>
      </w:r>
      <w:r>
        <w:rPr>
          <w:color w:val="000000"/>
        </w:rPr>
        <w:t xml:space="preserve"> survey undertaken with networks (</w:t>
      </w:r>
      <w:hyperlink r:id="rId18">
        <w:r>
          <w:rPr>
            <w:color w:val="0000FF"/>
            <w:u w:val="single"/>
          </w:rPr>
          <w:t>IOC/INF-1431</w:t>
        </w:r>
      </w:hyperlink>
      <w:r>
        <w:rPr>
          <w:color w:val="000000"/>
        </w:rPr>
        <w:t xml:space="preserve">) and Member States </w:t>
      </w:r>
      <w:r w:rsidR="00A4057B">
        <w:rPr>
          <w:color w:val="000000"/>
        </w:rPr>
        <w:t>in response to IOC</w:t>
      </w:r>
      <w:r>
        <w:rPr>
          <w:color w:val="000000"/>
        </w:rPr>
        <w:t xml:space="preserve"> </w:t>
      </w:r>
      <w:hyperlink r:id="rId19">
        <w:r w:rsidRPr="00A4057B">
          <w:rPr>
            <w:color w:val="000000" w:themeColor="text1"/>
          </w:rPr>
          <w:t xml:space="preserve">Circular Letter </w:t>
        </w:r>
        <w:r>
          <w:rPr>
            <w:color w:val="0000FF"/>
            <w:u w:val="single"/>
          </w:rPr>
          <w:t>2938</w:t>
        </w:r>
      </w:hyperlink>
      <w:r>
        <w:rPr>
          <w:color w:val="000000"/>
        </w:rPr>
        <w:t xml:space="preserve">. </w:t>
      </w:r>
      <w:r w:rsidR="00A4057B">
        <w:rPr>
          <w:color w:val="000000"/>
        </w:rPr>
        <w:t>In addition</w:t>
      </w:r>
      <w:r>
        <w:rPr>
          <w:color w:val="000000"/>
        </w:rPr>
        <w:t xml:space="preserve">, </w:t>
      </w:r>
      <w:r>
        <w:t>t</w:t>
      </w:r>
      <w:r>
        <w:rPr>
          <w:color w:val="000000"/>
        </w:rPr>
        <w:t xml:space="preserve">he Working Group also invited representatives from </w:t>
      </w:r>
      <w:proofErr w:type="gramStart"/>
      <w:r>
        <w:rPr>
          <w:color w:val="000000"/>
        </w:rPr>
        <w:t>a number of</w:t>
      </w:r>
      <w:proofErr w:type="gramEnd"/>
      <w:r>
        <w:rPr>
          <w:color w:val="000000"/>
        </w:rPr>
        <w:t xml:space="preserve"> networks (Argo, Go-SHIP) as well as OceanOPS to</w:t>
      </w:r>
      <w:r w:rsidR="00A4057B">
        <w:rPr>
          <w:color w:val="000000"/>
        </w:rPr>
        <w:t xml:space="preserve"> its meetings to comment on issues within the </w:t>
      </w:r>
      <w:r>
        <w:rPr>
          <w:color w:val="000000"/>
        </w:rPr>
        <w:t>Working Group</w:t>
      </w:r>
      <w:r w:rsidR="00A4057B">
        <w:rPr>
          <w:color w:val="000000"/>
        </w:rPr>
        <w:t>’s</w:t>
      </w:r>
      <w:r>
        <w:rPr>
          <w:color w:val="000000"/>
        </w:rPr>
        <w:t xml:space="preserve"> </w:t>
      </w:r>
      <w:r w:rsidR="00A4057B">
        <w:rPr>
          <w:color w:val="000000"/>
        </w:rPr>
        <w:t>mandate</w:t>
      </w:r>
      <w:r>
        <w:rPr>
          <w:color w:val="000000"/>
        </w:rPr>
        <w:t>.</w:t>
      </w:r>
    </w:p>
    <w:p w14:paraId="15994070" w14:textId="04FB5AF1" w:rsidR="00A635A5" w:rsidRDefault="00A4057B" w:rsidP="00A4057B">
      <w:pPr>
        <w:numPr>
          <w:ilvl w:val="0"/>
          <w:numId w:val="1"/>
        </w:numPr>
        <w:pBdr>
          <w:top w:val="nil"/>
          <w:left w:val="nil"/>
          <w:bottom w:val="nil"/>
          <w:right w:val="nil"/>
          <w:between w:val="nil"/>
        </w:pBdr>
        <w:tabs>
          <w:tab w:val="clear" w:pos="567"/>
          <w:tab w:val="left" w:pos="709"/>
        </w:tabs>
        <w:spacing w:after="240"/>
        <w:jc w:val="both"/>
        <w:rPr>
          <w:color w:val="000000"/>
        </w:rPr>
      </w:pPr>
      <w:r w:rsidRPr="00A4057B">
        <w:rPr>
          <w:color w:val="000000"/>
        </w:rPr>
        <w:t>One of the main requirements of the working group was to identify and document specific examples of problems encountered in the implementation of continuous ocean observations and to assess their impact on GOOS, as well as on research, services and products that depend on GOOS data.</w:t>
      </w:r>
    </w:p>
    <w:p w14:paraId="3349D3D7" w14:textId="0BFF824E" w:rsidR="00A635A5" w:rsidRDefault="00067ABD" w:rsidP="00A4057B">
      <w:pPr>
        <w:numPr>
          <w:ilvl w:val="0"/>
          <w:numId w:val="1"/>
        </w:numPr>
        <w:pBdr>
          <w:top w:val="nil"/>
          <w:left w:val="nil"/>
          <w:bottom w:val="nil"/>
          <w:right w:val="nil"/>
          <w:between w:val="nil"/>
        </w:pBdr>
        <w:tabs>
          <w:tab w:val="clear" w:pos="567"/>
          <w:tab w:val="left" w:pos="709"/>
        </w:tabs>
        <w:spacing w:after="240"/>
        <w:jc w:val="both"/>
        <w:rPr>
          <w:color w:val="000000"/>
        </w:rPr>
      </w:pPr>
      <w:proofErr w:type="gramStart"/>
      <w:r>
        <w:rPr>
          <w:color w:val="000000"/>
        </w:rPr>
        <w:t>In order to</w:t>
      </w:r>
      <w:proofErr w:type="gramEnd"/>
      <w:r>
        <w:rPr>
          <w:color w:val="000000"/>
        </w:rPr>
        <w:t xml:space="preserve"> </w:t>
      </w:r>
      <w:r w:rsidR="00E63DC6">
        <w:rPr>
          <w:color w:val="000000"/>
        </w:rPr>
        <w:t xml:space="preserve">focus on its </w:t>
      </w:r>
      <w:r>
        <w:rPr>
          <w:color w:val="000000"/>
        </w:rPr>
        <w:t xml:space="preserve">work, the Working Group did not seek to define what </w:t>
      </w:r>
      <w:r w:rsidR="00E63DC6">
        <w:t>is</w:t>
      </w:r>
      <w:r>
        <w:t xml:space="preserve"> </w:t>
      </w:r>
      <w:r>
        <w:rPr>
          <w:color w:val="000000"/>
        </w:rPr>
        <w:t xml:space="preserve">meant by </w:t>
      </w:r>
      <w:r w:rsidR="00E63DC6">
        <w:rPr>
          <w:color w:val="000000"/>
        </w:rPr>
        <w:t>‘</w:t>
      </w:r>
      <w:r>
        <w:rPr>
          <w:color w:val="000000"/>
        </w:rPr>
        <w:t>sustained ocean observations</w:t>
      </w:r>
      <w:r w:rsidR="00E63DC6">
        <w:rPr>
          <w:color w:val="000000"/>
        </w:rPr>
        <w:t xml:space="preserve">’, </w:t>
      </w:r>
      <w:r>
        <w:rPr>
          <w:color w:val="000000"/>
        </w:rPr>
        <w:t xml:space="preserve">but </w:t>
      </w:r>
      <w:r w:rsidR="00E63DC6">
        <w:rPr>
          <w:color w:val="000000"/>
        </w:rPr>
        <w:t xml:space="preserve">based its </w:t>
      </w:r>
      <w:r>
        <w:rPr>
          <w:color w:val="000000"/>
        </w:rPr>
        <w:t>work</w:t>
      </w:r>
      <w:r w:rsidR="00E63DC6">
        <w:rPr>
          <w:color w:val="000000"/>
        </w:rPr>
        <w:t xml:space="preserve"> on the principle that </w:t>
      </w:r>
      <w:r>
        <w:t xml:space="preserve">GOOS </w:t>
      </w:r>
      <w:r>
        <w:rPr>
          <w:color w:val="000000"/>
        </w:rPr>
        <w:t>long</w:t>
      </w:r>
      <w:r w:rsidR="00B125AA">
        <w:rPr>
          <w:color w:val="000000"/>
        </w:rPr>
        <w:t>-</w:t>
      </w:r>
      <w:r>
        <w:rPr>
          <w:color w:val="000000"/>
        </w:rPr>
        <w:t xml:space="preserve">term observations are those conducted through deployment of instruments </w:t>
      </w:r>
      <w:r w:rsidR="00E63DC6">
        <w:rPr>
          <w:color w:val="000000"/>
        </w:rPr>
        <w:t>over</w:t>
      </w:r>
      <w:r>
        <w:rPr>
          <w:color w:val="000000"/>
        </w:rPr>
        <w:t xml:space="preserve"> long periods</w:t>
      </w:r>
      <w:r w:rsidR="00E63DC6">
        <w:rPr>
          <w:color w:val="000000"/>
        </w:rPr>
        <w:t xml:space="preserve"> of time</w:t>
      </w:r>
      <w:r>
        <w:rPr>
          <w:color w:val="000000"/>
        </w:rPr>
        <w:t>, as well as repeat</w:t>
      </w:r>
      <w:r w:rsidR="00E63DC6">
        <w:rPr>
          <w:color w:val="000000"/>
        </w:rPr>
        <w:t>ed</w:t>
      </w:r>
      <w:r>
        <w:rPr>
          <w:color w:val="000000"/>
        </w:rPr>
        <w:t xml:space="preserve"> surveys. This </w:t>
      </w:r>
      <w:r w:rsidR="00E63DC6">
        <w:rPr>
          <w:color w:val="000000"/>
        </w:rPr>
        <w:t>c</w:t>
      </w:r>
      <w:r>
        <w:rPr>
          <w:color w:val="000000"/>
        </w:rPr>
        <w:t>ontrast</w:t>
      </w:r>
      <w:r w:rsidR="00E63DC6">
        <w:rPr>
          <w:color w:val="000000"/>
        </w:rPr>
        <w:t xml:space="preserve">s with </w:t>
      </w:r>
      <w:r>
        <w:rPr>
          <w:color w:val="000000"/>
        </w:rPr>
        <w:t xml:space="preserve">other </w:t>
      </w:r>
      <w:proofErr w:type="gramStart"/>
      <w:r w:rsidR="00E63DC6">
        <w:rPr>
          <w:color w:val="000000"/>
        </w:rPr>
        <w:t>types</w:t>
      </w:r>
      <w:proofErr w:type="gramEnd"/>
      <w:r w:rsidR="00E63DC6">
        <w:rPr>
          <w:color w:val="000000"/>
        </w:rPr>
        <w:t xml:space="preserve"> </w:t>
      </w:r>
      <w:r>
        <w:rPr>
          <w:color w:val="000000"/>
        </w:rPr>
        <w:t>observations</w:t>
      </w:r>
      <w:r w:rsidR="00E63DC6">
        <w:rPr>
          <w:color w:val="000000"/>
        </w:rPr>
        <w:t>,</w:t>
      </w:r>
      <w:r>
        <w:rPr>
          <w:color w:val="000000"/>
        </w:rPr>
        <w:t xml:space="preserve"> such as short</w:t>
      </w:r>
      <w:r w:rsidR="00E63DC6">
        <w:rPr>
          <w:color w:val="000000"/>
        </w:rPr>
        <w:t>-</w:t>
      </w:r>
      <w:r>
        <w:rPr>
          <w:color w:val="000000"/>
        </w:rPr>
        <w:t>term seagoing expeditions.</w:t>
      </w:r>
    </w:p>
    <w:p w14:paraId="3250C010" w14:textId="57ADFCF5" w:rsidR="00A635A5" w:rsidRDefault="00067ABD" w:rsidP="00E63DC6">
      <w:pPr>
        <w:numPr>
          <w:ilvl w:val="0"/>
          <w:numId w:val="1"/>
        </w:numPr>
        <w:pBdr>
          <w:top w:val="nil"/>
          <w:left w:val="nil"/>
          <w:bottom w:val="nil"/>
          <w:right w:val="nil"/>
          <w:between w:val="nil"/>
        </w:pBdr>
        <w:tabs>
          <w:tab w:val="clear" w:pos="567"/>
          <w:tab w:val="left" w:pos="709"/>
        </w:tabs>
        <w:spacing w:after="120"/>
        <w:jc w:val="both"/>
        <w:rPr>
          <w:color w:val="000000"/>
        </w:rPr>
      </w:pPr>
      <w:r>
        <w:rPr>
          <w:color w:val="000000"/>
        </w:rPr>
        <w:lastRenderedPageBreak/>
        <w:t xml:space="preserve">The Working Group extracted and </w:t>
      </w:r>
      <w:r w:rsidR="00E63DC6">
        <w:rPr>
          <w:color w:val="000000"/>
        </w:rPr>
        <w:t>grouped</w:t>
      </w:r>
      <w:r>
        <w:rPr>
          <w:color w:val="000000"/>
        </w:rPr>
        <w:t xml:space="preserve"> the issues raised by the networks and Member States from the survey results into </w:t>
      </w:r>
      <w:r w:rsidR="00E63DC6">
        <w:rPr>
          <w:color w:val="000000"/>
        </w:rPr>
        <w:t>several</w:t>
      </w:r>
      <w:r>
        <w:rPr>
          <w:color w:val="000000"/>
        </w:rPr>
        <w:t xml:space="preserve"> categories. It became </w:t>
      </w:r>
      <w:r w:rsidR="00E63DC6">
        <w:rPr>
          <w:color w:val="000000"/>
        </w:rPr>
        <w:t>clear</w:t>
      </w:r>
      <w:r>
        <w:rPr>
          <w:color w:val="000000"/>
        </w:rPr>
        <w:t xml:space="preserve"> that </w:t>
      </w:r>
      <w:r>
        <w:t xml:space="preserve">the </w:t>
      </w:r>
      <w:r w:rsidR="00E63DC6">
        <w:t>main</w:t>
      </w:r>
      <w:r>
        <w:t xml:space="preserve"> </w:t>
      </w:r>
      <w:r>
        <w:rPr>
          <w:color w:val="000000"/>
        </w:rPr>
        <w:t xml:space="preserve">issue </w:t>
      </w:r>
      <w:r w:rsidR="00E63DC6">
        <w:rPr>
          <w:color w:val="000000"/>
        </w:rPr>
        <w:t xml:space="preserve">raised in the surveys </w:t>
      </w:r>
      <w:r>
        <w:t xml:space="preserve">was </w:t>
      </w:r>
      <w:r w:rsidR="00E63DC6">
        <w:t>the</w:t>
      </w:r>
      <w:r>
        <w:rPr>
          <w:color w:val="000000"/>
        </w:rPr>
        <w:t xml:space="preserve"> lack of clarity, awareness or </w:t>
      </w:r>
      <w:r>
        <w:t xml:space="preserve">understanding </w:t>
      </w:r>
      <w:r w:rsidR="00E63DC6">
        <w:rPr>
          <w:color w:val="000000"/>
        </w:rPr>
        <w:t xml:space="preserve">of the application process for </w:t>
      </w:r>
      <w:r w:rsidRPr="00E63DC6">
        <w:rPr>
          <w:b/>
          <w:bCs/>
        </w:rPr>
        <w:t>Marine Scientific Research (MSR)</w:t>
      </w:r>
      <w:r>
        <w:t xml:space="preserve">, which often differs </w:t>
      </w:r>
      <w:r w:rsidR="00E63DC6">
        <w:t>from one</w:t>
      </w:r>
      <w:r>
        <w:t xml:space="preserve"> countr</w:t>
      </w:r>
      <w:r w:rsidR="00E63DC6">
        <w:t>y to another</w:t>
      </w:r>
      <w:r>
        <w:rPr>
          <w:color w:val="000000"/>
        </w:rPr>
        <w:t xml:space="preserve">. This impression was confirmed throughout the discussions between the </w:t>
      </w:r>
      <w:r>
        <w:t>Working</w:t>
      </w:r>
      <w:r>
        <w:rPr>
          <w:color w:val="000000"/>
        </w:rPr>
        <w:t xml:space="preserve"> Group and </w:t>
      </w:r>
      <w:r w:rsidR="00E63DC6">
        <w:rPr>
          <w:color w:val="000000"/>
        </w:rPr>
        <w:t xml:space="preserve">the </w:t>
      </w:r>
      <w:r>
        <w:rPr>
          <w:color w:val="000000"/>
        </w:rPr>
        <w:t>GOOS observing networks</w:t>
      </w:r>
      <w:r w:rsidR="00E63DC6">
        <w:rPr>
          <w:color w:val="000000"/>
        </w:rPr>
        <w:t>,</w:t>
      </w:r>
      <w:r>
        <w:rPr>
          <w:color w:val="000000"/>
        </w:rPr>
        <w:t xml:space="preserve"> which identified </w:t>
      </w:r>
      <w:r>
        <w:t xml:space="preserve">challenges </w:t>
      </w:r>
      <w:r w:rsidR="00E63DC6">
        <w:rPr>
          <w:color w:val="000000"/>
        </w:rPr>
        <w:t>such as the d</w:t>
      </w:r>
      <w:r>
        <w:rPr>
          <w:color w:val="000000"/>
        </w:rPr>
        <w:t>eployment of observ</w:t>
      </w:r>
      <w:r w:rsidR="00E63DC6">
        <w:rPr>
          <w:color w:val="000000"/>
        </w:rPr>
        <w:t xml:space="preserve">ation </w:t>
      </w:r>
      <w:r>
        <w:rPr>
          <w:color w:val="000000"/>
        </w:rPr>
        <w:t>equipment</w:t>
      </w:r>
      <w:r>
        <w:t xml:space="preserve"> </w:t>
      </w:r>
      <w:r>
        <w:rPr>
          <w:color w:val="000000"/>
        </w:rPr>
        <w:t xml:space="preserve">and </w:t>
      </w:r>
      <w:r w:rsidR="00901408">
        <w:rPr>
          <w:color w:val="000000"/>
        </w:rPr>
        <w:t>the</w:t>
      </w:r>
      <w:r>
        <w:rPr>
          <w:color w:val="000000"/>
        </w:rPr>
        <w:t xml:space="preserve"> </w:t>
      </w:r>
      <w:r w:rsidR="00901408">
        <w:rPr>
          <w:color w:val="000000"/>
        </w:rPr>
        <w:t>repetition of</w:t>
      </w:r>
      <w:r>
        <w:rPr>
          <w:color w:val="000000"/>
        </w:rPr>
        <w:t xml:space="preserve"> activities. </w:t>
      </w:r>
      <w:r>
        <w:t xml:space="preserve">The key points identified by the Working Group on the MSR application process </w:t>
      </w:r>
      <w:r w:rsidR="00901408">
        <w:t>are as follows</w:t>
      </w:r>
      <w:r>
        <w:rPr>
          <w:color w:val="000000"/>
        </w:rPr>
        <w:t>:</w:t>
      </w:r>
    </w:p>
    <w:p w14:paraId="5EE5014C" w14:textId="75448BC6" w:rsidR="00A635A5" w:rsidRDefault="00067ABD" w:rsidP="00E63DC6">
      <w:pPr>
        <w:numPr>
          <w:ilvl w:val="1"/>
          <w:numId w:val="4"/>
        </w:numPr>
        <w:pBdr>
          <w:top w:val="nil"/>
          <w:left w:val="nil"/>
          <w:bottom w:val="nil"/>
          <w:right w:val="nil"/>
          <w:between w:val="nil"/>
        </w:pBdr>
        <w:tabs>
          <w:tab w:val="clear" w:pos="567"/>
        </w:tabs>
        <w:spacing w:after="120"/>
        <w:ind w:left="1418" w:hanging="709"/>
        <w:jc w:val="both"/>
        <w:rPr>
          <w:color w:val="000000"/>
        </w:rPr>
      </w:pPr>
      <w:r>
        <w:rPr>
          <w:color w:val="000000"/>
        </w:rPr>
        <w:t>Administrative complexity</w:t>
      </w:r>
      <w:r w:rsidR="00901408">
        <w:rPr>
          <w:color w:val="000000"/>
        </w:rPr>
        <w:t>,</w:t>
      </w:r>
      <w:r>
        <w:rPr>
          <w:color w:val="000000"/>
        </w:rPr>
        <w:t xml:space="preserve"> such as unclear </w:t>
      </w:r>
      <w:r w:rsidR="00901408">
        <w:rPr>
          <w:color w:val="000000"/>
        </w:rPr>
        <w:t xml:space="preserve">points of </w:t>
      </w:r>
      <w:r>
        <w:rPr>
          <w:color w:val="000000"/>
        </w:rPr>
        <w:t xml:space="preserve">contact or </w:t>
      </w:r>
      <w:r w:rsidR="00901408">
        <w:rPr>
          <w:color w:val="000000"/>
        </w:rPr>
        <w:t>delayed</w:t>
      </w:r>
      <w:r>
        <w:rPr>
          <w:color w:val="000000"/>
        </w:rPr>
        <w:t xml:space="preserve"> responses, particular</w:t>
      </w:r>
      <w:r w:rsidR="00901408">
        <w:rPr>
          <w:color w:val="000000"/>
        </w:rPr>
        <w:t>ly</w:t>
      </w:r>
      <w:r>
        <w:rPr>
          <w:color w:val="000000"/>
        </w:rPr>
        <w:t xml:space="preserve"> when more than one </w:t>
      </w:r>
      <w:r w:rsidR="00901408">
        <w:rPr>
          <w:color w:val="000000"/>
        </w:rPr>
        <w:t>c</w:t>
      </w:r>
      <w:r>
        <w:rPr>
          <w:color w:val="000000"/>
        </w:rPr>
        <w:t xml:space="preserve">oastal State </w:t>
      </w:r>
      <w:r w:rsidR="00B125AA">
        <w:rPr>
          <w:color w:val="000000"/>
        </w:rPr>
        <w:t>are</w:t>
      </w:r>
      <w:r>
        <w:rPr>
          <w:color w:val="000000"/>
        </w:rPr>
        <w:t xml:space="preserve"> </w:t>
      </w:r>
      <w:proofErr w:type="gramStart"/>
      <w:r>
        <w:rPr>
          <w:color w:val="000000"/>
        </w:rPr>
        <w:t>involved;</w:t>
      </w:r>
      <w:proofErr w:type="gramEnd"/>
    </w:p>
    <w:p w14:paraId="126FB87F" w14:textId="60B70914" w:rsidR="00A635A5" w:rsidRDefault="00067ABD" w:rsidP="00E63DC6">
      <w:pPr>
        <w:numPr>
          <w:ilvl w:val="1"/>
          <w:numId w:val="4"/>
        </w:numPr>
        <w:pBdr>
          <w:top w:val="nil"/>
          <w:left w:val="nil"/>
          <w:bottom w:val="nil"/>
          <w:right w:val="nil"/>
          <w:between w:val="nil"/>
        </w:pBdr>
        <w:tabs>
          <w:tab w:val="clear" w:pos="567"/>
        </w:tabs>
        <w:spacing w:after="120"/>
        <w:ind w:left="1418" w:hanging="709"/>
        <w:jc w:val="both"/>
        <w:rPr>
          <w:color w:val="000000"/>
        </w:rPr>
      </w:pPr>
      <w:r>
        <w:rPr>
          <w:color w:val="000000"/>
        </w:rPr>
        <w:t xml:space="preserve">Additional costs or additional </w:t>
      </w:r>
      <w:r w:rsidR="00901408">
        <w:rPr>
          <w:color w:val="000000"/>
        </w:rPr>
        <w:t xml:space="preserve">information </w:t>
      </w:r>
      <w:r>
        <w:rPr>
          <w:color w:val="000000"/>
        </w:rPr>
        <w:t xml:space="preserve">requirements during the application </w:t>
      </w:r>
      <w:proofErr w:type="gramStart"/>
      <w:r>
        <w:rPr>
          <w:color w:val="000000"/>
        </w:rPr>
        <w:t>process;</w:t>
      </w:r>
      <w:proofErr w:type="gramEnd"/>
    </w:p>
    <w:p w14:paraId="6305AB96" w14:textId="62A0313A" w:rsidR="00A635A5" w:rsidRDefault="00067ABD" w:rsidP="00E63DC6">
      <w:pPr>
        <w:numPr>
          <w:ilvl w:val="1"/>
          <w:numId w:val="4"/>
        </w:numPr>
        <w:pBdr>
          <w:top w:val="nil"/>
          <w:left w:val="nil"/>
          <w:bottom w:val="nil"/>
          <w:right w:val="nil"/>
          <w:between w:val="nil"/>
        </w:pBdr>
        <w:tabs>
          <w:tab w:val="clear" w:pos="567"/>
        </w:tabs>
        <w:spacing w:after="120"/>
        <w:ind w:left="1418" w:hanging="709"/>
        <w:jc w:val="both"/>
        <w:rPr>
          <w:color w:val="000000"/>
        </w:rPr>
      </w:pPr>
      <w:r>
        <w:rPr>
          <w:color w:val="000000"/>
        </w:rPr>
        <w:t xml:space="preserve">Missed deployment opportunities due to the </w:t>
      </w:r>
      <w:r w:rsidR="00901408">
        <w:rPr>
          <w:color w:val="000000"/>
        </w:rPr>
        <w:t>six</w:t>
      </w:r>
      <w:r>
        <w:rPr>
          <w:color w:val="000000"/>
        </w:rPr>
        <w:t xml:space="preserve">-month requirement in </w:t>
      </w:r>
      <w:r w:rsidR="00901408">
        <w:rPr>
          <w:color w:val="000000"/>
        </w:rPr>
        <w:t xml:space="preserve">Article 248 of </w:t>
      </w:r>
      <w:proofErr w:type="gramStart"/>
      <w:r>
        <w:rPr>
          <w:color w:val="000000"/>
        </w:rPr>
        <w:t>UNCLOS;</w:t>
      </w:r>
      <w:proofErr w:type="gramEnd"/>
    </w:p>
    <w:p w14:paraId="6B949652" w14:textId="54DF5436" w:rsidR="00A635A5" w:rsidRDefault="00901408" w:rsidP="00E63DC6">
      <w:pPr>
        <w:numPr>
          <w:ilvl w:val="1"/>
          <w:numId w:val="4"/>
        </w:numPr>
        <w:pBdr>
          <w:top w:val="nil"/>
          <w:left w:val="nil"/>
          <w:bottom w:val="nil"/>
          <w:right w:val="nil"/>
          <w:between w:val="nil"/>
        </w:pBdr>
        <w:tabs>
          <w:tab w:val="clear" w:pos="567"/>
        </w:tabs>
        <w:spacing w:after="240"/>
        <w:ind w:left="1418" w:hanging="709"/>
        <w:jc w:val="both"/>
        <w:rPr>
          <w:color w:val="000000"/>
        </w:rPr>
      </w:pPr>
      <w:r>
        <w:rPr>
          <w:color w:val="000000"/>
        </w:rPr>
        <w:t>Difficulties in using</w:t>
      </w:r>
      <w:r w:rsidR="00067ABD">
        <w:rPr>
          <w:color w:val="000000"/>
        </w:rPr>
        <w:t xml:space="preserve"> Form A (Annex I to the 2010 DOALOS </w:t>
      </w:r>
      <w:r w:rsidR="00067ABD">
        <w:t>G</w:t>
      </w:r>
      <w:r w:rsidR="00067ABD">
        <w:rPr>
          <w:color w:val="000000"/>
        </w:rPr>
        <w:t>uide on MSR</w:t>
      </w:r>
      <w:r w:rsidR="00067ABD">
        <w:rPr>
          <w:color w:val="000000"/>
          <w:vertAlign w:val="superscript"/>
        </w:rPr>
        <w:footnoteReference w:id="1"/>
      </w:r>
      <w:r w:rsidR="00067ABD">
        <w:rPr>
          <w:color w:val="000000"/>
        </w:rPr>
        <w:t>).</w:t>
      </w:r>
    </w:p>
    <w:p w14:paraId="466706A0" w14:textId="497B0F0F" w:rsidR="00A635A5" w:rsidRDefault="0019497E" w:rsidP="00A4057B">
      <w:pPr>
        <w:numPr>
          <w:ilvl w:val="0"/>
          <w:numId w:val="1"/>
        </w:numPr>
        <w:pBdr>
          <w:top w:val="nil"/>
          <w:left w:val="nil"/>
          <w:bottom w:val="nil"/>
          <w:right w:val="nil"/>
          <w:between w:val="nil"/>
        </w:pBdr>
        <w:tabs>
          <w:tab w:val="clear" w:pos="567"/>
          <w:tab w:val="left" w:pos="709"/>
        </w:tabs>
        <w:spacing w:after="240"/>
        <w:jc w:val="both"/>
        <w:rPr>
          <w:color w:val="000000"/>
        </w:rPr>
      </w:pPr>
      <w:proofErr w:type="gramStart"/>
      <w:r>
        <w:rPr>
          <w:color w:val="000000"/>
        </w:rPr>
        <w:t>In light</w:t>
      </w:r>
      <w:r w:rsidR="00067ABD">
        <w:rPr>
          <w:color w:val="000000"/>
        </w:rPr>
        <w:t xml:space="preserve"> of</w:t>
      </w:r>
      <w:proofErr w:type="gramEnd"/>
      <w:r w:rsidR="00067ABD">
        <w:rPr>
          <w:color w:val="000000"/>
        </w:rPr>
        <w:t xml:space="preserve"> the above, the Working Group sought to understand what the </w:t>
      </w:r>
      <w:r>
        <w:rPr>
          <w:color w:val="000000"/>
        </w:rPr>
        <w:t>material</w:t>
      </w:r>
      <w:r w:rsidR="00067ABD">
        <w:rPr>
          <w:color w:val="000000"/>
        </w:rPr>
        <w:t xml:space="preserve"> impacts </w:t>
      </w:r>
      <w:r>
        <w:rPr>
          <w:color w:val="000000"/>
        </w:rPr>
        <w:t>of these</w:t>
      </w:r>
      <w:r w:rsidR="00067ABD">
        <w:rPr>
          <w:color w:val="000000"/>
        </w:rPr>
        <w:t xml:space="preserve"> </w:t>
      </w:r>
      <w:r w:rsidR="00067ABD">
        <w:t xml:space="preserve">challenges </w:t>
      </w:r>
      <w:r w:rsidR="00B125AA">
        <w:rPr>
          <w:color w:val="000000"/>
        </w:rPr>
        <w:t>for</w:t>
      </w:r>
      <w:r w:rsidR="00067ABD">
        <w:rPr>
          <w:color w:val="000000"/>
        </w:rPr>
        <w:t xml:space="preserve"> GOOS. The Working Group members had differ</w:t>
      </w:r>
      <w:r>
        <w:rPr>
          <w:color w:val="000000"/>
        </w:rPr>
        <w:t>ing</w:t>
      </w:r>
      <w:r w:rsidR="00067ABD">
        <w:rPr>
          <w:color w:val="000000"/>
        </w:rPr>
        <w:t xml:space="preserve"> views on what </w:t>
      </w:r>
      <w:r w:rsidR="00067ABD">
        <w:t>constitutes</w:t>
      </w:r>
      <w:r w:rsidR="00067ABD">
        <w:rPr>
          <w:color w:val="000000"/>
        </w:rPr>
        <w:t xml:space="preserve"> </w:t>
      </w:r>
      <w:r>
        <w:rPr>
          <w:color w:val="000000"/>
        </w:rPr>
        <w:t xml:space="preserve">a </w:t>
      </w:r>
      <w:r w:rsidR="00067ABD">
        <w:rPr>
          <w:color w:val="000000"/>
        </w:rPr>
        <w:t xml:space="preserve">material impact. Qualitatively, </w:t>
      </w:r>
      <w:r>
        <w:rPr>
          <w:color w:val="000000"/>
        </w:rPr>
        <w:t xml:space="preserve">these </w:t>
      </w:r>
      <w:r w:rsidR="00067ABD">
        <w:rPr>
          <w:color w:val="000000"/>
        </w:rPr>
        <w:t>impacts include missed deployments, reduc</w:t>
      </w:r>
      <w:r>
        <w:rPr>
          <w:color w:val="000000"/>
        </w:rPr>
        <w:t xml:space="preserve">ed </w:t>
      </w:r>
      <w:r w:rsidR="00067ABD">
        <w:rPr>
          <w:color w:val="000000"/>
        </w:rPr>
        <w:t>data collect</w:t>
      </w:r>
      <w:r>
        <w:rPr>
          <w:color w:val="000000"/>
        </w:rPr>
        <w:t>ion</w:t>
      </w:r>
      <w:r w:rsidR="00067ABD">
        <w:rPr>
          <w:color w:val="000000"/>
        </w:rPr>
        <w:t xml:space="preserve">, </w:t>
      </w:r>
      <w:r>
        <w:rPr>
          <w:color w:val="000000"/>
        </w:rPr>
        <w:t>decreased</w:t>
      </w:r>
      <w:r w:rsidR="00067ABD">
        <w:rPr>
          <w:color w:val="000000"/>
        </w:rPr>
        <w:t xml:space="preserve"> data flow to GOOS, </w:t>
      </w:r>
      <w:r>
        <w:rPr>
          <w:color w:val="000000"/>
        </w:rPr>
        <w:t xml:space="preserve">and </w:t>
      </w:r>
      <w:r w:rsidR="00067ABD">
        <w:rPr>
          <w:color w:val="000000"/>
        </w:rPr>
        <w:t>missed opportunities due to</w:t>
      </w:r>
      <w:r>
        <w:rPr>
          <w:color w:val="000000"/>
        </w:rPr>
        <w:t xml:space="preserve"> simplification or cancellation of</w:t>
      </w:r>
      <w:r w:rsidR="00067ABD">
        <w:rPr>
          <w:color w:val="000000"/>
        </w:rPr>
        <w:t xml:space="preserve"> a cruise. </w:t>
      </w:r>
      <w:r w:rsidR="00067ABD">
        <w:t>However</w:t>
      </w:r>
      <w:r w:rsidR="00067ABD">
        <w:rPr>
          <w:color w:val="000000"/>
        </w:rPr>
        <w:t xml:space="preserve">, </w:t>
      </w:r>
      <w:r>
        <w:rPr>
          <w:color w:val="000000"/>
        </w:rPr>
        <w:t>after</w:t>
      </w:r>
      <w:r w:rsidR="00067ABD">
        <w:rPr>
          <w:color w:val="000000"/>
        </w:rPr>
        <w:t xml:space="preserve"> consultation with the networks, no data or evidence was provided to </w:t>
      </w:r>
      <w:r>
        <w:t>quantitatively</w:t>
      </w:r>
      <w:r>
        <w:rPr>
          <w:color w:val="000000"/>
        </w:rPr>
        <w:t xml:space="preserve"> </w:t>
      </w:r>
      <w:r w:rsidR="00067ABD">
        <w:rPr>
          <w:color w:val="000000"/>
        </w:rPr>
        <w:t xml:space="preserve">determine the perceived data </w:t>
      </w:r>
      <w:r>
        <w:rPr>
          <w:color w:val="000000"/>
        </w:rPr>
        <w:t xml:space="preserve">deficit </w:t>
      </w:r>
      <w:r w:rsidR="00067ABD">
        <w:t xml:space="preserve">or </w:t>
      </w:r>
      <w:r w:rsidR="00067ABD">
        <w:rPr>
          <w:color w:val="000000"/>
        </w:rPr>
        <w:t xml:space="preserve">material impact on GOOS services or products. </w:t>
      </w:r>
    </w:p>
    <w:p w14:paraId="797612D2" w14:textId="7193778C" w:rsidR="00A635A5" w:rsidRDefault="00067ABD" w:rsidP="00A4057B">
      <w:pPr>
        <w:numPr>
          <w:ilvl w:val="0"/>
          <w:numId w:val="1"/>
        </w:numPr>
        <w:pBdr>
          <w:top w:val="nil"/>
          <w:left w:val="nil"/>
          <w:bottom w:val="nil"/>
          <w:right w:val="nil"/>
          <w:between w:val="nil"/>
        </w:pBdr>
        <w:tabs>
          <w:tab w:val="clear" w:pos="567"/>
          <w:tab w:val="left" w:pos="709"/>
        </w:tabs>
        <w:spacing w:after="240"/>
        <w:jc w:val="both"/>
        <w:rPr>
          <w:color w:val="000000"/>
        </w:rPr>
      </w:pPr>
      <w:r>
        <w:t>A report from the Ship</w:t>
      </w:r>
      <w:r w:rsidR="001C1BC0">
        <w:t>-o</w:t>
      </w:r>
      <w:r>
        <w:t>f</w:t>
      </w:r>
      <w:r w:rsidR="001C1BC0">
        <w:t>-</w:t>
      </w:r>
      <w:r>
        <w:t xml:space="preserve">Opportunity Programme (SOOP) </w:t>
      </w:r>
      <w:r w:rsidR="001C1BC0">
        <w:t>presented</w:t>
      </w:r>
      <w:r>
        <w:t xml:space="preserve"> evidence of material impacts for GOOS caused by the existing MSR process. T</w:t>
      </w:r>
      <w:r>
        <w:rPr>
          <w:color w:val="000000"/>
        </w:rPr>
        <w:t>he data provided by SOCONET/SOOP-CO</w:t>
      </w:r>
      <w:r>
        <w:rPr>
          <w:color w:val="000000"/>
          <w:vertAlign w:val="subscript"/>
        </w:rPr>
        <w:t>2</w:t>
      </w:r>
      <w:r>
        <w:rPr>
          <w:color w:val="000000"/>
        </w:rPr>
        <w:t xml:space="preserve"> (pCO2) provides the CO</w:t>
      </w:r>
      <w:r>
        <w:rPr>
          <w:color w:val="000000"/>
          <w:vertAlign w:val="subscript"/>
        </w:rPr>
        <w:t>2</w:t>
      </w:r>
      <w:r>
        <w:rPr>
          <w:color w:val="000000"/>
        </w:rPr>
        <w:t xml:space="preserve"> fluxes between air and ocean and </w:t>
      </w:r>
      <w:r w:rsidR="00CC6AFE">
        <w:rPr>
          <w:color w:val="000000"/>
        </w:rPr>
        <w:t xml:space="preserve">trends in surface water </w:t>
      </w:r>
      <w:r>
        <w:rPr>
          <w:color w:val="000000"/>
        </w:rPr>
        <w:t xml:space="preserve">acidification. These data are </w:t>
      </w:r>
      <w:r w:rsidR="00CC6AFE">
        <w:rPr>
          <w:color w:val="000000"/>
        </w:rPr>
        <w:t>essential</w:t>
      </w:r>
      <w:r>
        <w:rPr>
          <w:color w:val="000000"/>
        </w:rPr>
        <w:t xml:space="preserve"> for annual assessments such as those provided by the Global Carbon Project and play an important role in IPCC reports. </w:t>
      </w:r>
      <w:r w:rsidR="00CC6AFE">
        <w:rPr>
          <w:color w:val="000000"/>
        </w:rPr>
        <w:t>In addition</w:t>
      </w:r>
      <w:r>
        <w:rPr>
          <w:color w:val="000000"/>
        </w:rPr>
        <w:t>, the</w:t>
      </w:r>
      <w:r w:rsidR="00CC6AFE">
        <w:rPr>
          <w:color w:val="000000"/>
        </w:rPr>
        <w:t>se</w:t>
      </w:r>
      <w:r>
        <w:rPr>
          <w:color w:val="000000"/>
        </w:rPr>
        <w:t xml:space="preserve"> data are important for validati</w:t>
      </w:r>
      <w:r w:rsidR="00CC6AFE">
        <w:rPr>
          <w:color w:val="000000"/>
        </w:rPr>
        <w:t>ng</w:t>
      </w:r>
      <w:r>
        <w:rPr>
          <w:color w:val="000000"/>
        </w:rPr>
        <w:t xml:space="preserve"> data obtained </w:t>
      </w:r>
      <w:r w:rsidR="00CC6AFE">
        <w:rPr>
          <w:color w:val="000000"/>
        </w:rPr>
        <w:t>using</w:t>
      </w:r>
      <w:r>
        <w:rPr>
          <w:color w:val="000000"/>
        </w:rPr>
        <w:t xml:space="preserve"> biogeochemical sensors on </w:t>
      </w:r>
      <w:r w:rsidR="00CC6AFE">
        <w:rPr>
          <w:color w:val="000000"/>
        </w:rPr>
        <w:t xml:space="preserve">Argo </w:t>
      </w:r>
      <w:r>
        <w:rPr>
          <w:color w:val="000000"/>
        </w:rPr>
        <w:t>floats (BGC Argo). The</w:t>
      </w:r>
      <w:r w:rsidR="00CC6AFE">
        <w:rPr>
          <w:color w:val="000000"/>
        </w:rPr>
        <w:t>se</w:t>
      </w:r>
      <w:r>
        <w:rPr>
          <w:color w:val="000000"/>
        </w:rPr>
        <w:t xml:space="preserve"> challenges have a significant negative impact on GOOS. </w:t>
      </w:r>
      <w:r w:rsidR="00CC6AFE">
        <w:rPr>
          <w:color w:val="000000"/>
        </w:rPr>
        <w:t>C</w:t>
      </w:r>
      <w:r>
        <w:rPr>
          <w:color w:val="000000"/>
        </w:rPr>
        <w:t xml:space="preserve">urrent legal requirements make MSR applications extremely complex, if not even impossible, </w:t>
      </w:r>
      <w:r w:rsidR="00CC6AFE">
        <w:rPr>
          <w:color w:val="000000"/>
        </w:rPr>
        <w:t xml:space="preserve">for SOOP, even though </w:t>
      </w:r>
      <w:r>
        <w:rPr>
          <w:color w:val="000000"/>
        </w:rPr>
        <w:t>the</w:t>
      </w:r>
      <w:r w:rsidR="00CC6AFE">
        <w:rPr>
          <w:color w:val="000000"/>
        </w:rPr>
        <w:t>se</w:t>
      </w:r>
      <w:r>
        <w:rPr>
          <w:color w:val="000000"/>
        </w:rPr>
        <w:t xml:space="preserve"> data are needed </w:t>
      </w:r>
      <w:r w:rsidR="00CC6AFE">
        <w:rPr>
          <w:color w:val="000000"/>
        </w:rPr>
        <w:t xml:space="preserve">for </w:t>
      </w:r>
      <w:r>
        <w:rPr>
          <w:color w:val="000000"/>
        </w:rPr>
        <w:t>scientific</w:t>
      </w:r>
      <w:r w:rsidR="00CC6AFE">
        <w:rPr>
          <w:color w:val="000000"/>
        </w:rPr>
        <w:t xml:space="preserve"> purposes</w:t>
      </w:r>
      <w:r>
        <w:rPr>
          <w:color w:val="000000"/>
        </w:rPr>
        <w:t xml:space="preserve"> and for IPCC reports, among </w:t>
      </w:r>
      <w:r>
        <w:t>others</w:t>
      </w:r>
      <w:r>
        <w:rPr>
          <w:color w:val="000000"/>
        </w:rPr>
        <w:t xml:space="preserve">. </w:t>
      </w:r>
    </w:p>
    <w:p w14:paraId="41BCF54E" w14:textId="1F643FA4" w:rsidR="00A635A5" w:rsidRDefault="00067ABD" w:rsidP="00586EFE">
      <w:pPr>
        <w:numPr>
          <w:ilvl w:val="0"/>
          <w:numId w:val="1"/>
        </w:numPr>
        <w:pBdr>
          <w:top w:val="nil"/>
          <w:left w:val="nil"/>
          <w:bottom w:val="nil"/>
          <w:right w:val="nil"/>
          <w:between w:val="nil"/>
        </w:pBdr>
        <w:tabs>
          <w:tab w:val="clear" w:pos="567"/>
          <w:tab w:val="left" w:pos="709"/>
        </w:tabs>
        <w:spacing w:after="120"/>
        <w:jc w:val="both"/>
        <w:rPr>
          <w:color w:val="000000"/>
        </w:rPr>
      </w:pPr>
      <w:r>
        <w:rPr>
          <w:color w:val="000000"/>
        </w:rPr>
        <w:t xml:space="preserve">The Working Group recognised that many of the issues raised </w:t>
      </w:r>
      <w:r w:rsidR="00730DB8">
        <w:rPr>
          <w:color w:val="000000"/>
        </w:rPr>
        <w:t>concerned</w:t>
      </w:r>
      <w:r>
        <w:rPr>
          <w:color w:val="000000"/>
        </w:rPr>
        <w:t xml:space="preserve"> the need to comply with Part XIII of </w:t>
      </w:r>
      <w:proofErr w:type="gramStart"/>
      <w:r>
        <w:rPr>
          <w:color w:val="000000"/>
        </w:rPr>
        <w:t xml:space="preserve">UNCLOS, </w:t>
      </w:r>
      <w:r w:rsidR="00CC6AFE">
        <w:rPr>
          <w:color w:val="000000"/>
        </w:rPr>
        <w:t>and</w:t>
      </w:r>
      <w:proofErr w:type="gramEnd"/>
      <w:r w:rsidR="00CC6AFE">
        <w:rPr>
          <w:color w:val="000000"/>
        </w:rPr>
        <w:t xml:space="preserve"> therefore sought to identify </w:t>
      </w:r>
      <w:r>
        <w:rPr>
          <w:color w:val="000000"/>
        </w:rPr>
        <w:t xml:space="preserve">best practices </w:t>
      </w:r>
      <w:r w:rsidR="00CC6AFE">
        <w:rPr>
          <w:color w:val="000000"/>
        </w:rPr>
        <w:t>among</w:t>
      </w:r>
      <w:r>
        <w:rPr>
          <w:color w:val="000000"/>
        </w:rPr>
        <w:t xml:space="preserve"> Member States </w:t>
      </w:r>
      <w:proofErr w:type="gramStart"/>
      <w:r w:rsidR="00CC6AFE">
        <w:rPr>
          <w:color w:val="000000"/>
        </w:rPr>
        <w:t xml:space="preserve">in order </w:t>
      </w:r>
      <w:r w:rsidR="00586EFE">
        <w:rPr>
          <w:color w:val="000000"/>
        </w:rPr>
        <w:t>to</w:t>
      </w:r>
      <w:proofErr w:type="gramEnd"/>
      <w:r w:rsidR="00586EFE">
        <w:rPr>
          <w:color w:val="000000"/>
        </w:rPr>
        <w:t xml:space="preserve"> promote </w:t>
      </w:r>
      <w:r>
        <w:rPr>
          <w:color w:val="000000"/>
        </w:rPr>
        <w:t>good working practices within GOOS networks. Examples included:</w:t>
      </w:r>
    </w:p>
    <w:p w14:paraId="091B8449" w14:textId="77777777" w:rsidR="00A635A5" w:rsidRDefault="00067ABD" w:rsidP="00586EFE">
      <w:pPr>
        <w:numPr>
          <w:ilvl w:val="1"/>
          <w:numId w:val="5"/>
        </w:numPr>
        <w:pBdr>
          <w:top w:val="nil"/>
          <w:left w:val="nil"/>
          <w:bottom w:val="nil"/>
          <w:right w:val="nil"/>
          <w:between w:val="nil"/>
        </w:pBdr>
        <w:tabs>
          <w:tab w:val="clear" w:pos="567"/>
        </w:tabs>
        <w:spacing w:after="120"/>
        <w:ind w:hanging="726"/>
        <w:jc w:val="both"/>
      </w:pPr>
      <w:r>
        <w:rPr>
          <w:color w:val="000000"/>
        </w:rPr>
        <w:t xml:space="preserve">USA State Department compilation of States’ MSR application processes </w:t>
      </w:r>
      <w:hyperlink r:id="rId20">
        <w:r>
          <w:rPr>
            <w:color w:val="0000FF"/>
            <w:u w:val="single"/>
          </w:rPr>
          <w:t>https://www.state.gov/guidance-on-supporting-documentation/</w:t>
        </w:r>
      </w:hyperlink>
    </w:p>
    <w:p w14:paraId="7FAE9AEA" w14:textId="17F5C221" w:rsidR="00A635A5" w:rsidRDefault="00067ABD" w:rsidP="00586EFE">
      <w:pPr>
        <w:numPr>
          <w:ilvl w:val="1"/>
          <w:numId w:val="5"/>
        </w:numPr>
        <w:pBdr>
          <w:top w:val="nil"/>
          <w:left w:val="nil"/>
          <w:bottom w:val="nil"/>
          <w:right w:val="nil"/>
          <w:between w:val="nil"/>
        </w:pBdr>
        <w:tabs>
          <w:tab w:val="clear" w:pos="567"/>
        </w:tabs>
        <w:spacing w:after="120"/>
        <w:ind w:hanging="726"/>
        <w:jc w:val="both"/>
        <w:rPr>
          <w:color w:val="000000"/>
        </w:rPr>
      </w:pPr>
      <w:r>
        <w:rPr>
          <w:color w:val="000000"/>
        </w:rPr>
        <w:t xml:space="preserve">France have developed a solution designed to help countries obtain French equipment with their own vessels, </w:t>
      </w:r>
      <w:r w:rsidR="00586EFE">
        <w:rPr>
          <w:color w:val="000000"/>
        </w:rPr>
        <w:t>enable</w:t>
      </w:r>
      <w:r>
        <w:rPr>
          <w:color w:val="000000"/>
        </w:rPr>
        <w:t xml:space="preserve"> them to control what is measured and provide FAIR data to the global community</w:t>
      </w:r>
      <w:r w:rsidR="00586EFE">
        <w:rPr>
          <w:color w:val="000000"/>
        </w:rPr>
        <w:t xml:space="preserve">, as is the </w:t>
      </w:r>
      <w:r>
        <w:rPr>
          <w:color w:val="000000"/>
        </w:rPr>
        <w:t xml:space="preserve">case for </w:t>
      </w:r>
      <w:proofErr w:type="gramStart"/>
      <w:r>
        <w:rPr>
          <w:color w:val="000000"/>
        </w:rPr>
        <w:t>Morocco;</w:t>
      </w:r>
      <w:proofErr w:type="gramEnd"/>
      <w:r>
        <w:rPr>
          <w:color w:val="000000"/>
        </w:rPr>
        <w:t xml:space="preserve"> </w:t>
      </w:r>
    </w:p>
    <w:p w14:paraId="6879FE43" w14:textId="05130DAE" w:rsidR="00A635A5" w:rsidRDefault="00067ABD" w:rsidP="00586EFE">
      <w:pPr>
        <w:numPr>
          <w:ilvl w:val="1"/>
          <w:numId w:val="5"/>
        </w:numPr>
        <w:pBdr>
          <w:top w:val="nil"/>
          <w:left w:val="nil"/>
          <w:bottom w:val="nil"/>
          <w:right w:val="nil"/>
          <w:between w:val="nil"/>
        </w:pBdr>
        <w:tabs>
          <w:tab w:val="clear" w:pos="567"/>
        </w:tabs>
        <w:spacing w:after="120"/>
        <w:ind w:hanging="726"/>
        <w:jc w:val="both"/>
        <w:rPr>
          <w:color w:val="000000"/>
        </w:rPr>
      </w:pPr>
      <w:r>
        <w:rPr>
          <w:color w:val="000000"/>
        </w:rPr>
        <w:t>Mauritius ha</w:t>
      </w:r>
      <w:r w:rsidR="00586EFE">
        <w:rPr>
          <w:color w:val="000000"/>
        </w:rPr>
        <w:t>s</w:t>
      </w:r>
      <w:r>
        <w:rPr>
          <w:color w:val="000000"/>
        </w:rPr>
        <w:t xml:space="preserve"> acquired floats from NOAA, the data </w:t>
      </w:r>
      <w:r w:rsidR="00586EFE">
        <w:rPr>
          <w:color w:val="000000"/>
        </w:rPr>
        <w:t>are</w:t>
      </w:r>
      <w:r>
        <w:rPr>
          <w:color w:val="000000"/>
        </w:rPr>
        <w:t xml:space="preserve"> automatically </w:t>
      </w:r>
      <w:r w:rsidR="00586EFE">
        <w:rPr>
          <w:color w:val="000000"/>
        </w:rPr>
        <w:t xml:space="preserve">uploaded </w:t>
      </w:r>
      <w:r>
        <w:rPr>
          <w:color w:val="000000"/>
        </w:rPr>
        <w:t xml:space="preserve">nationally, and the country can choose to deliver the data to the global </w:t>
      </w:r>
      <w:proofErr w:type="gramStart"/>
      <w:r>
        <w:rPr>
          <w:color w:val="000000"/>
        </w:rPr>
        <w:t>community;</w:t>
      </w:r>
      <w:proofErr w:type="gramEnd"/>
      <w:r>
        <w:rPr>
          <w:color w:val="000000"/>
        </w:rPr>
        <w:t xml:space="preserve"> </w:t>
      </w:r>
    </w:p>
    <w:p w14:paraId="2B1C48E7" w14:textId="77777777" w:rsidR="00A635A5" w:rsidRDefault="00067ABD" w:rsidP="00586EFE">
      <w:pPr>
        <w:numPr>
          <w:ilvl w:val="1"/>
          <w:numId w:val="5"/>
        </w:numPr>
        <w:pBdr>
          <w:top w:val="nil"/>
          <w:left w:val="nil"/>
          <w:bottom w:val="nil"/>
          <w:right w:val="nil"/>
          <w:between w:val="nil"/>
        </w:pBdr>
        <w:tabs>
          <w:tab w:val="clear" w:pos="567"/>
        </w:tabs>
        <w:spacing w:after="240"/>
        <w:ind w:hanging="726"/>
        <w:jc w:val="both"/>
        <w:rPr>
          <w:color w:val="000000"/>
        </w:rPr>
      </w:pPr>
      <w:r>
        <w:rPr>
          <w:color w:val="000000"/>
        </w:rPr>
        <w:t xml:space="preserve">Bilateral arrangements between certain countries coordinating on </w:t>
      </w:r>
      <w:proofErr w:type="gramStart"/>
      <w:r>
        <w:rPr>
          <w:color w:val="000000"/>
        </w:rPr>
        <w:t>GOOS;</w:t>
      </w:r>
      <w:proofErr w:type="gramEnd"/>
    </w:p>
    <w:p w14:paraId="7725835B" w14:textId="5FB306DE" w:rsidR="00A635A5" w:rsidRDefault="00586EFE" w:rsidP="00A4057B">
      <w:pPr>
        <w:numPr>
          <w:ilvl w:val="0"/>
          <w:numId w:val="1"/>
        </w:numPr>
        <w:pBdr>
          <w:top w:val="nil"/>
          <w:left w:val="nil"/>
          <w:bottom w:val="nil"/>
          <w:right w:val="nil"/>
          <w:between w:val="nil"/>
        </w:pBdr>
        <w:tabs>
          <w:tab w:val="clear" w:pos="567"/>
          <w:tab w:val="left" w:pos="709"/>
        </w:tabs>
        <w:spacing w:after="240"/>
        <w:jc w:val="both"/>
      </w:pPr>
      <w:r>
        <w:t xml:space="preserve">Although this list is not </w:t>
      </w:r>
      <w:r w:rsidR="00067ABD">
        <w:t xml:space="preserve">exhaustive, details of best practices should be </w:t>
      </w:r>
      <w:r>
        <w:t>communicated to GOOS for dissemination to</w:t>
      </w:r>
      <w:r w:rsidR="00067ABD">
        <w:t xml:space="preserve"> the community, as appropriate.</w:t>
      </w:r>
    </w:p>
    <w:p w14:paraId="752D3829" w14:textId="77777777" w:rsidR="00A635A5" w:rsidRDefault="00A635A5" w:rsidP="00A4057B">
      <w:pPr>
        <w:pBdr>
          <w:top w:val="nil"/>
          <w:left w:val="nil"/>
          <w:bottom w:val="nil"/>
          <w:right w:val="nil"/>
          <w:between w:val="nil"/>
        </w:pBdr>
        <w:tabs>
          <w:tab w:val="clear" w:pos="567"/>
          <w:tab w:val="left" w:pos="709"/>
        </w:tabs>
        <w:ind w:left="720"/>
        <w:jc w:val="both"/>
      </w:pPr>
    </w:p>
    <w:p w14:paraId="62D071B5" w14:textId="03869F41" w:rsidR="00A635A5" w:rsidRDefault="00067ABD" w:rsidP="00586EFE">
      <w:pPr>
        <w:numPr>
          <w:ilvl w:val="0"/>
          <w:numId w:val="1"/>
        </w:numPr>
        <w:pBdr>
          <w:top w:val="nil"/>
          <w:left w:val="nil"/>
          <w:bottom w:val="nil"/>
          <w:right w:val="nil"/>
          <w:between w:val="nil"/>
        </w:pBdr>
        <w:tabs>
          <w:tab w:val="clear" w:pos="567"/>
          <w:tab w:val="left" w:pos="709"/>
        </w:tabs>
        <w:spacing w:after="120"/>
        <w:jc w:val="both"/>
      </w:pPr>
      <w:r>
        <w:rPr>
          <w:color w:val="000000"/>
        </w:rPr>
        <w:lastRenderedPageBreak/>
        <w:t xml:space="preserve">Furthermore, </w:t>
      </w:r>
      <w:r w:rsidR="00586EFE">
        <w:rPr>
          <w:color w:val="000000"/>
        </w:rPr>
        <w:t>given th</w:t>
      </w:r>
      <w:r>
        <w:rPr>
          <w:color w:val="000000"/>
        </w:rPr>
        <w:t>e Working Group</w:t>
      </w:r>
      <w:r>
        <w:t>’</w:t>
      </w:r>
      <w:r>
        <w:rPr>
          <w:color w:val="000000"/>
        </w:rPr>
        <w:t xml:space="preserve">s mandate to identify potential actions that </w:t>
      </w:r>
      <w:r w:rsidR="00586EFE">
        <w:rPr>
          <w:color w:val="000000"/>
        </w:rPr>
        <w:t>fall</w:t>
      </w:r>
      <w:r>
        <w:rPr>
          <w:color w:val="000000"/>
        </w:rPr>
        <w:t xml:space="preserve"> within the IOC mandate, several </w:t>
      </w:r>
      <w:r>
        <w:t>recommendations</w:t>
      </w:r>
      <w:r>
        <w:rPr>
          <w:color w:val="000000"/>
        </w:rPr>
        <w:t xml:space="preserve"> were considered:    </w:t>
      </w:r>
    </w:p>
    <w:p w14:paraId="71A70D7C" w14:textId="07747980" w:rsidR="00A635A5" w:rsidRDefault="00067ABD" w:rsidP="00586EFE">
      <w:pPr>
        <w:numPr>
          <w:ilvl w:val="1"/>
          <w:numId w:val="6"/>
        </w:numPr>
        <w:pBdr>
          <w:top w:val="nil"/>
          <w:left w:val="nil"/>
          <w:bottom w:val="nil"/>
          <w:right w:val="nil"/>
          <w:between w:val="nil"/>
        </w:pBdr>
        <w:tabs>
          <w:tab w:val="clear" w:pos="567"/>
        </w:tabs>
        <w:spacing w:after="120"/>
        <w:ind w:hanging="726"/>
        <w:jc w:val="both"/>
        <w:rPr>
          <w:color w:val="000000"/>
        </w:rPr>
      </w:pPr>
      <w:r>
        <w:rPr>
          <w:color w:val="000000"/>
        </w:rPr>
        <w:t xml:space="preserve">IOC/GOOS could raise awareness of the MSR process, </w:t>
      </w:r>
      <w:r w:rsidR="00B125AA">
        <w:rPr>
          <w:color w:val="000000"/>
        </w:rPr>
        <w:t>for example</w:t>
      </w:r>
      <w:r>
        <w:rPr>
          <w:color w:val="000000"/>
        </w:rPr>
        <w:t xml:space="preserve"> through relevant communications, including appropriate links to </w:t>
      </w:r>
      <w:proofErr w:type="gramStart"/>
      <w:r>
        <w:rPr>
          <w:color w:val="000000"/>
        </w:rPr>
        <w:t>information</w:t>
      </w:r>
      <w:r>
        <w:t>;</w:t>
      </w:r>
      <w:proofErr w:type="gramEnd"/>
      <w:r>
        <w:rPr>
          <w:color w:val="000000"/>
        </w:rPr>
        <w:t xml:space="preserve"> </w:t>
      </w:r>
    </w:p>
    <w:p w14:paraId="30BD3AFE" w14:textId="769C9BEE" w:rsidR="00A635A5" w:rsidRDefault="00B125AA" w:rsidP="00586EFE">
      <w:pPr>
        <w:numPr>
          <w:ilvl w:val="1"/>
          <w:numId w:val="6"/>
        </w:numPr>
        <w:pBdr>
          <w:top w:val="nil"/>
          <w:left w:val="nil"/>
          <w:bottom w:val="nil"/>
          <w:right w:val="nil"/>
          <w:between w:val="nil"/>
        </w:pBdr>
        <w:tabs>
          <w:tab w:val="clear" w:pos="567"/>
        </w:tabs>
        <w:spacing w:after="120"/>
        <w:ind w:hanging="726"/>
        <w:jc w:val="both"/>
        <w:rPr>
          <w:color w:val="000000"/>
        </w:rPr>
      </w:pPr>
      <w:r>
        <w:t>r</w:t>
      </w:r>
      <w:r w:rsidR="00067ABD">
        <w:t xml:space="preserve">equest GOOS to consult its networks and relevant stakeholders to determine </w:t>
      </w:r>
      <w:r>
        <w:t xml:space="preserve">whether and, if so, </w:t>
      </w:r>
      <w:r w:rsidR="00067ABD">
        <w:t>where the 2010 DOALOS Guide on MSR could be revised</w:t>
      </w:r>
      <w:r>
        <w:t xml:space="preserve">, </w:t>
      </w:r>
      <w:r w:rsidR="00067ABD">
        <w:t xml:space="preserve">and report back to the 34th IOC </w:t>
      </w:r>
      <w:proofErr w:type="gramStart"/>
      <w:r w:rsidR="00067ABD">
        <w:t>Assembly</w:t>
      </w:r>
      <w:r>
        <w:t>;</w:t>
      </w:r>
      <w:proofErr w:type="gramEnd"/>
    </w:p>
    <w:p w14:paraId="668D004E" w14:textId="77777777" w:rsidR="00A635A5" w:rsidRDefault="00067ABD" w:rsidP="00586EFE">
      <w:pPr>
        <w:numPr>
          <w:ilvl w:val="1"/>
          <w:numId w:val="6"/>
        </w:numPr>
        <w:pBdr>
          <w:top w:val="nil"/>
          <w:left w:val="nil"/>
          <w:bottom w:val="nil"/>
          <w:right w:val="nil"/>
          <w:between w:val="nil"/>
        </w:pBdr>
        <w:tabs>
          <w:tab w:val="clear" w:pos="567"/>
        </w:tabs>
        <w:spacing w:after="120"/>
        <w:ind w:hanging="726"/>
        <w:jc w:val="both"/>
      </w:pPr>
      <w:r>
        <w:rPr>
          <w:color w:val="000000"/>
        </w:rPr>
        <w:t>IOC Member States</w:t>
      </w:r>
      <w:r>
        <w:t xml:space="preserve"> sh</w:t>
      </w:r>
      <w:r>
        <w:rPr>
          <w:color w:val="000000"/>
        </w:rPr>
        <w:t xml:space="preserve">ould promote collaboration between neighbouring coastal States to facilitate bilateral and regional facilitation of MSR </w:t>
      </w:r>
      <w:proofErr w:type="gramStart"/>
      <w:r>
        <w:rPr>
          <w:color w:val="000000"/>
        </w:rPr>
        <w:t>clearance;</w:t>
      </w:r>
      <w:proofErr w:type="gramEnd"/>
    </w:p>
    <w:p w14:paraId="4A51AEF7" w14:textId="1AA852BF" w:rsidR="00A635A5" w:rsidRDefault="00067ABD" w:rsidP="00586EFE">
      <w:pPr>
        <w:numPr>
          <w:ilvl w:val="1"/>
          <w:numId w:val="6"/>
        </w:numPr>
        <w:pBdr>
          <w:top w:val="nil"/>
          <w:left w:val="nil"/>
          <w:bottom w:val="nil"/>
          <w:right w:val="nil"/>
          <w:between w:val="nil"/>
        </w:pBdr>
        <w:tabs>
          <w:tab w:val="clear" w:pos="567"/>
        </w:tabs>
        <w:spacing w:after="120"/>
        <w:ind w:hanging="726"/>
        <w:jc w:val="both"/>
      </w:pPr>
      <w:r>
        <w:rPr>
          <w:color w:val="000000"/>
        </w:rPr>
        <w:t>Invite IOC’s Regional Subsidiary Bodies and GOOS Regional Alliances</w:t>
      </w:r>
      <w:r>
        <w:t xml:space="preserve"> </w:t>
      </w:r>
      <w:r>
        <w:rPr>
          <w:color w:val="000000"/>
        </w:rPr>
        <w:t xml:space="preserve">to act as intermediaries between national authorities and research networks and </w:t>
      </w:r>
      <w:r>
        <w:t xml:space="preserve">facilitate </w:t>
      </w:r>
      <w:r>
        <w:rPr>
          <w:color w:val="000000"/>
        </w:rPr>
        <w:t xml:space="preserve">awareness of the MSR clearance process by offering consistent technical advice and guidance, as well as coordinating efforts to streamline procedures among countries with similar regional </w:t>
      </w:r>
      <w:proofErr w:type="gramStart"/>
      <w:r>
        <w:rPr>
          <w:color w:val="000000"/>
        </w:rPr>
        <w:t>characteristics</w:t>
      </w:r>
      <w:r w:rsidR="00B125AA">
        <w:rPr>
          <w:color w:val="000000"/>
        </w:rPr>
        <w:t>;</w:t>
      </w:r>
      <w:proofErr w:type="gramEnd"/>
    </w:p>
    <w:p w14:paraId="3AB21285" w14:textId="467B1778" w:rsidR="00A635A5" w:rsidRDefault="00B125AA" w:rsidP="00586EFE">
      <w:pPr>
        <w:numPr>
          <w:ilvl w:val="1"/>
          <w:numId w:val="6"/>
        </w:numPr>
        <w:pBdr>
          <w:top w:val="nil"/>
          <w:left w:val="nil"/>
          <w:bottom w:val="nil"/>
          <w:right w:val="nil"/>
          <w:between w:val="nil"/>
        </w:pBdr>
        <w:tabs>
          <w:tab w:val="clear" w:pos="567"/>
        </w:tabs>
        <w:spacing w:after="240"/>
        <w:ind w:hanging="726"/>
        <w:jc w:val="both"/>
      </w:pPr>
      <w:r>
        <w:t>r</w:t>
      </w:r>
      <w:r w:rsidR="00067ABD">
        <w:t xml:space="preserve">ecognising the value of the IOC mandate for the Argo programme, the Working Group identified that IOC could consider a similar mandate for other relevant GOOS networks, in particular </w:t>
      </w:r>
      <w:proofErr w:type="gramStart"/>
      <w:r w:rsidR="00067ABD">
        <w:t>SOOP;</w:t>
      </w:r>
      <w:proofErr w:type="gramEnd"/>
    </w:p>
    <w:p w14:paraId="5C7D5B85" w14:textId="37222FD4" w:rsidR="00A635A5" w:rsidRDefault="00067ABD">
      <w:pPr>
        <w:pStyle w:val="Heading3"/>
      </w:pPr>
      <w:bookmarkStart w:id="0" w:name="_heading=h.lj3sftc0gspz" w:colFirst="0" w:colLast="0"/>
      <w:bookmarkEnd w:id="0"/>
      <w:r>
        <w:t>Financial and administrative implications</w:t>
      </w:r>
      <w:r>
        <w:tab/>
      </w:r>
    </w:p>
    <w:p w14:paraId="502CEA09" w14:textId="1DD1E565" w:rsidR="00A635A5" w:rsidRDefault="00067ABD" w:rsidP="00A4057B">
      <w:pPr>
        <w:numPr>
          <w:ilvl w:val="0"/>
          <w:numId w:val="1"/>
        </w:numPr>
        <w:tabs>
          <w:tab w:val="clear" w:pos="567"/>
          <w:tab w:val="left" w:pos="709"/>
        </w:tabs>
        <w:spacing w:after="240"/>
        <w:jc w:val="both"/>
      </w:pPr>
      <w:r>
        <w:t>The financial and administrative immediate implications of the activities fall within the parameters of the regular budget of IOC (42 C/5) and the activities under Function B of the IOC Medium</w:t>
      </w:r>
      <w:r w:rsidR="00B125AA">
        <w:t>-</w:t>
      </w:r>
      <w:r>
        <w:t>Term Strategy</w:t>
      </w:r>
      <w:r w:rsidR="00B125AA">
        <w:t>:</w:t>
      </w:r>
      <w:r>
        <w:t xml:space="preserve"> “Observing System / Data Management”.</w:t>
      </w:r>
    </w:p>
    <w:sectPr w:rsidR="00A635A5">
      <w:headerReference w:type="even" r:id="rId21"/>
      <w:headerReference w:type="default" r:id="rId22"/>
      <w:headerReference w:type="first" r:id="rId23"/>
      <w:pgSz w:w="11906" w:h="16838"/>
      <w:pgMar w:top="1418" w:right="1134" w:bottom="1134" w:left="1133"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015A" w14:textId="77777777" w:rsidR="00067ABD" w:rsidRDefault="00067ABD">
      <w:r>
        <w:separator/>
      </w:r>
    </w:p>
  </w:endnote>
  <w:endnote w:type="continuationSeparator" w:id="0">
    <w:p w14:paraId="076FDEE5" w14:textId="77777777" w:rsidR="00067ABD" w:rsidRDefault="0006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CC63" w14:textId="77777777" w:rsidR="00067ABD" w:rsidRDefault="00067ABD">
      <w:r>
        <w:separator/>
      </w:r>
    </w:p>
  </w:footnote>
  <w:footnote w:type="continuationSeparator" w:id="0">
    <w:p w14:paraId="4941B2DF" w14:textId="77777777" w:rsidR="00067ABD" w:rsidRDefault="00067ABD">
      <w:r>
        <w:continuationSeparator/>
      </w:r>
    </w:p>
  </w:footnote>
  <w:footnote w:id="1">
    <w:p w14:paraId="7C5685F3" w14:textId="3B55739F" w:rsidR="00A635A5" w:rsidRDefault="00067ABD">
      <w:pPr>
        <w:pBdr>
          <w:top w:val="nil"/>
          <w:left w:val="nil"/>
          <w:bottom w:val="nil"/>
          <w:right w:val="nil"/>
          <w:between w:val="nil"/>
        </w:pBdr>
        <w:ind w:left="567" w:hanging="567"/>
        <w:rPr>
          <w:color w:val="000000"/>
          <w:sz w:val="20"/>
          <w:szCs w:val="20"/>
        </w:rPr>
      </w:pPr>
      <w:r>
        <w:rPr>
          <w:rStyle w:val="FootnoteReference"/>
        </w:rPr>
        <w:footnoteRef/>
      </w:r>
      <w:r>
        <w:rPr>
          <w:color w:val="000000"/>
          <w:sz w:val="20"/>
          <w:szCs w:val="20"/>
        </w:rPr>
        <w:t xml:space="preserve"> </w:t>
      </w:r>
      <w:r w:rsidR="00901408">
        <w:rPr>
          <w:color w:val="000000"/>
          <w:sz w:val="20"/>
          <w:szCs w:val="20"/>
        </w:rPr>
        <w:tab/>
      </w:r>
      <w:hyperlink r:id="rId1" w:history="1">
        <w:r w:rsidRPr="0019497E">
          <w:rPr>
            <w:rStyle w:val="Hyperlink"/>
            <w:i/>
            <w:iCs/>
            <w:sz w:val="20"/>
            <w:szCs w:val="20"/>
          </w:rPr>
          <w:t>Marine Scientific Research: A revised guide to the implementation of the relevant provisions of the United Nations Convention on the Law of the Sea</w:t>
        </w:r>
      </w:hyperlink>
      <w:r>
        <w:rPr>
          <w:color w:val="000000"/>
          <w:sz w:val="20"/>
          <w:szCs w:val="20"/>
        </w:rPr>
        <w:t>, United Nations Division for Ocean Affairs and the Law of the Sea Office of Legal Affairs, United Nations, New York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E329" w14:textId="4C11AB1C" w:rsidR="00A635A5" w:rsidRPr="0043700A" w:rsidRDefault="0043700A">
    <w:pPr>
      <w:pBdr>
        <w:top w:val="nil"/>
        <w:left w:val="nil"/>
        <w:bottom w:val="nil"/>
        <w:right w:val="nil"/>
        <w:between w:val="nil"/>
      </w:pBdr>
      <w:tabs>
        <w:tab w:val="center" w:pos="4153"/>
        <w:tab w:val="right" w:pos="8306"/>
      </w:tabs>
      <w:rPr>
        <w:color w:val="000000"/>
        <w:sz w:val="20"/>
        <w:szCs w:val="20"/>
        <w:lang w:val="fr-FR"/>
      </w:rPr>
    </w:pPr>
    <w:r w:rsidRPr="00D21F15">
      <w:rPr>
        <w:color w:val="000000" w:themeColor="text1"/>
        <w:sz w:val="20"/>
        <w:szCs w:val="20"/>
      </w:rPr>
      <w:t>IOC/A-33/4.5.</w:t>
    </w:r>
    <w:proofErr w:type="gramStart"/>
    <w:r w:rsidRPr="00D21F15">
      <w:rPr>
        <w:color w:val="000000" w:themeColor="text1"/>
        <w:sz w:val="20"/>
        <w:szCs w:val="20"/>
      </w:rPr>
      <w:t>3.Doc</w:t>
    </w:r>
    <w:proofErr w:type="gramEnd"/>
    <w:r w:rsidRPr="00D21F15">
      <w:rPr>
        <w:color w:val="000000" w:themeColor="text1"/>
        <w:sz w:val="20"/>
        <w:szCs w:val="20"/>
      </w:rPr>
      <w:t>(1)</w:t>
    </w:r>
  </w:p>
  <w:p w14:paraId="092184A6" w14:textId="7512160D" w:rsidR="00A635A5" w:rsidRPr="0043700A" w:rsidRDefault="00067ABD">
    <w:pPr>
      <w:pBdr>
        <w:top w:val="nil"/>
        <w:left w:val="nil"/>
        <w:bottom w:val="nil"/>
        <w:right w:val="nil"/>
        <w:between w:val="nil"/>
      </w:pBdr>
      <w:tabs>
        <w:tab w:val="center" w:pos="4153"/>
        <w:tab w:val="right" w:pos="8306"/>
      </w:tabs>
      <w:rPr>
        <w:color w:val="000000"/>
        <w:sz w:val="20"/>
        <w:szCs w:val="20"/>
        <w:lang w:val="fr-FR"/>
      </w:rPr>
    </w:pPr>
    <w:proofErr w:type="gramStart"/>
    <w:r w:rsidRPr="0043700A">
      <w:rPr>
        <w:color w:val="000000"/>
        <w:sz w:val="20"/>
        <w:szCs w:val="20"/>
        <w:lang w:val="fr-FR"/>
      </w:rPr>
      <w:t>page</w:t>
    </w:r>
    <w:proofErr w:type="gramEnd"/>
    <w:r w:rsidRPr="0043700A">
      <w:rPr>
        <w:color w:val="000000"/>
        <w:sz w:val="20"/>
        <w:szCs w:val="20"/>
        <w:lang w:val="fr-FR"/>
      </w:rPr>
      <w:t> </w:t>
    </w:r>
    <w:r>
      <w:rPr>
        <w:color w:val="000000"/>
        <w:sz w:val="20"/>
        <w:szCs w:val="20"/>
      </w:rPr>
      <w:fldChar w:fldCharType="begin"/>
    </w:r>
    <w:r w:rsidRPr="0043700A">
      <w:rPr>
        <w:color w:val="000000"/>
        <w:sz w:val="20"/>
        <w:szCs w:val="20"/>
        <w:lang w:val="fr-FR"/>
      </w:rPr>
      <w:instrText>PAGE</w:instrText>
    </w:r>
    <w:r>
      <w:rPr>
        <w:color w:val="000000"/>
        <w:sz w:val="20"/>
        <w:szCs w:val="20"/>
      </w:rPr>
      <w:fldChar w:fldCharType="separate"/>
    </w:r>
    <w:r w:rsidR="0043700A" w:rsidRPr="0043700A">
      <w:rPr>
        <w:noProof/>
        <w:color w:val="000000"/>
        <w:sz w:val="20"/>
        <w:szCs w:val="20"/>
        <w:lang w:val="fr-FR"/>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19B9" w14:textId="39FF08CA" w:rsidR="00A635A5" w:rsidRPr="0043700A" w:rsidRDefault="0043700A" w:rsidP="0043700A">
    <w:pPr>
      <w:pBdr>
        <w:top w:val="nil"/>
        <w:left w:val="nil"/>
        <w:bottom w:val="nil"/>
        <w:right w:val="nil"/>
        <w:between w:val="nil"/>
      </w:pBdr>
      <w:tabs>
        <w:tab w:val="center" w:pos="4153"/>
        <w:tab w:val="right" w:pos="8306"/>
      </w:tabs>
      <w:ind w:left="7513"/>
      <w:rPr>
        <w:color w:val="000000"/>
        <w:lang w:val="fr-FR"/>
      </w:rPr>
    </w:pPr>
    <w:r w:rsidRPr="00D21F15">
      <w:rPr>
        <w:color w:val="000000" w:themeColor="text1"/>
        <w:sz w:val="20"/>
        <w:szCs w:val="20"/>
      </w:rPr>
      <w:t>IOC/A-33/4.5.</w:t>
    </w:r>
    <w:proofErr w:type="gramStart"/>
    <w:r w:rsidRPr="00D21F15">
      <w:rPr>
        <w:color w:val="000000" w:themeColor="text1"/>
        <w:sz w:val="20"/>
        <w:szCs w:val="20"/>
      </w:rPr>
      <w:t>3.Doc</w:t>
    </w:r>
    <w:proofErr w:type="gramEnd"/>
    <w:r w:rsidRPr="00D21F15">
      <w:rPr>
        <w:color w:val="000000" w:themeColor="text1"/>
        <w:sz w:val="20"/>
        <w:szCs w:val="20"/>
      </w:rPr>
      <w:t>(1)</w:t>
    </w:r>
  </w:p>
  <w:p w14:paraId="1215C0A0" w14:textId="51E4DE31" w:rsidR="00A635A5" w:rsidRPr="0043700A" w:rsidRDefault="00067ABD" w:rsidP="0043700A">
    <w:pPr>
      <w:pBdr>
        <w:top w:val="nil"/>
        <w:left w:val="nil"/>
        <w:bottom w:val="nil"/>
        <w:right w:val="nil"/>
        <w:between w:val="nil"/>
      </w:pBdr>
      <w:tabs>
        <w:tab w:val="center" w:pos="4153"/>
        <w:tab w:val="right" w:pos="8306"/>
      </w:tabs>
      <w:ind w:left="7513"/>
      <w:rPr>
        <w:color w:val="000000"/>
        <w:lang w:val="fr-FR"/>
      </w:rPr>
    </w:pPr>
    <w:proofErr w:type="gramStart"/>
    <w:r w:rsidRPr="0043700A">
      <w:rPr>
        <w:color w:val="000000"/>
        <w:lang w:val="fr-FR"/>
      </w:rPr>
      <w:t>page</w:t>
    </w:r>
    <w:proofErr w:type="gramEnd"/>
    <w:r w:rsidRPr="0043700A">
      <w:rPr>
        <w:color w:val="000000"/>
        <w:lang w:val="fr-FR"/>
      </w:rPr>
      <w:t> </w:t>
    </w:r>
    <w:r>
      <w:rPr>
        <w:color w:val="000000"/>
      </w:rPr>
      <w:fldChar w:fldCharType="begin"/>
    </w:r>
    <w:r w:rsidRPr="0043700A">
      <w:rPr>
        <w:color w:val="000000"/>
        <w:lang w:val="fr-FR"/>
      </w:rPr>
      <w:instrText>PAGE</w:instrText>
    </w:r>
    <w:r>
      <w:rPr>
        <w:color w:val="000000"/>
      </w:rPr>
      <w:fldChar w:fldCharType="separate"/>
    </w:r>
    <w:r w:rsidR="0043700A" w:rsidRPr="0043700A">
      <w:rPr>
        <w:noProof/>
        <w:color w:val="000000"/>
        <w:lang w:val="fr-FR"/>
      </w:rPr>
      <w:t>3</w:t>
    </w:r>
    <w:r>
      <w:rPr>
        <w:color w:val="000000"/>
      </w:rPr>
      <w:fldChar w:fldCharType="end"/>
    </w:r>
  </w:p>
  <w:p w14:paraId="678B7BAF" w14:textId="77777777" w:rsidR="00A635A5" w:rsidRPr="0043700A" w:rsidRDefault="00A635A5" w:rsidP="0043700A">
    <w:pPr>
      <w:pBdr>
        <w:top w:val="nil"/>
        <w:left w:val="nil"/>
        <w:bottom w:val="nil"/>
        <w:right w:val="nil"/>
        <w:between w:val="nil"/>
      </w:pBdr>
      <w:tabs>
        <w:tab w:val="center" w:pos="4153"/>
        <w:tab w:val="right" w:pos="8306"/>
      </w:tabs>
      <w:ind w:left="7513"/>
      <w:rPr>
        <w:color w:val="00000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1557" w14:textId="77777777" w:rsidR="0043700A" w:rsidRDefault="0043700A" w:rsidP="0043700A">
    <w:pPr>
      <w:pBdr>
        <w:top w:val="nil"/>
        <w:left w:val="nil"/>
        <w:bottom w:val="nil"/>
        <w:right w:val="nil"/>
        <w:between w:val="nil"/>
      </w:pBdr>
      <w:tabs>
        <w:tab w:val="left" w:pos="5954"/>
        <w:tab w:val="left" w:pos="7560"/>
      </w:tabs>
      <w:jc w:val="both"/>
      <w:rPr>
        <w:b/>
        <w:color w:val="000000"/>
      </w:rPr>
    </w:pPr>
    <w:r>
      <w:rPr>
        <w:color w:val="000000"/>
      </w:rPr>
      <w:t>Restricted Distribution</w:t>
    </w:r>
    <w:r>
      <w:rPr>
        <w:color w:val="000000"/>
      </w:rPr>
      <w:tab/>
    </w:r>
    <w:r>
      <w:rPr>
        <w:b/>
        <w:color w:val="000000"/>
        <w:sz w:val="36"/>
        <w:szCs w:val="36"/>
      </w:rPr>
      <w:t>IOC/A-33/4.5.</w:t>
    </w:r>
    <w:proofErr w:type="gramStart"/>
    <w:r>
      <w:rPr>
        <w:b/>
        <w:color w:val="000000"/>
        <w:sz w:val="36"/>
        <w:szCs w:val="36"/>
      </w:rPr>
      <w:t>3.Doc</w:t>
    </w:r>
    <w:proofErr w:type="gramEnd"/>
    <w:r>
      <w:rPr>
        <w:b/>
        <w:color w:val="000000"/>
        <w:sz w:val="36"/>
        <w:szCs w:val="36"/>
      </w:rPr>
      <w:t>(1)</w:t>
    </w:r>
  </w:p>
  <w:p w14:paraId="1DCB9D53" w14:textId="6A1A165E" w:rsidR="0043700A" w:rsidRDefault="0043700A" w:rsidP="0043700A">
    <w:pPr>
      <w:tabs>
        <w:tab w:val="left" w:pos="5954"/>
        <w:tab w:val="left" w:pos="7560"/>
      </w:tabs>
      <w:jc w:val="both"/>
    </w:pPr>
    <w:r>
      <w:rPr>
        <w:b/>
      </w:rPr>
      <w:tab/>
    </w:r>
    <w:r>
      <w:t>Paris, 22 April 2025</w:t>
    </w:r>
    <w:r>
      <w:rPr>
        <w:noProof/>
      </w:rPr>
      <w:drawing>
        <wp:anchor distT="0" distB="0" distL="114300" distR="114300" simplePos="0" relativeHeight="251659264" behindDoc="0" locked="0" layoutInCell="1" hidden="0" allowOverlap="1" wp14:anchorId="17281A6A" wp14:editId="788A19D0">
          <wp:simplePos x="0" y="0"/>
          <wp:positionH relativeFrom="column">
            <wp:posOffset>-19682</wp:posOffset>
          </wp:positionH>
          <wp:positionV relativeFrom="paragraph">
            <wp:posOffset>101600</wp:posOffset>
          </wp:positionV>
          <wp:extent cx="1578610" cy="1047115"/>
          <wp:effectExtent l="0" t="0" r="0" b="0"/>
          <wp:wrapSquare wrapText="bothSides" distT="0" distB="0" distL="114300" distR="114300"/>
          <wp:docPr id="1876983647"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275F303A" w14:textId="77777777" w:rsidR="0043700A" w:rsidRDefault="0043700A" w:rsidP="0043700A">
    <w:pPr>
      <w:tabs>
        <w:tab w:val="left" w:pos="5954"/>
        <w:tab w:val="left" w:pos="7560"/>
      </w:tabs>
      <w:jc w:val="both"/>
    </w:pPr>
    <w:r>
      <w:rPr>
        <w:b/>
      </w:rPr>
      <w:tab/>
    </w:r>
    <w:r>
      <w:t>Original: English</w:t>
    </w:r>
  </w:p>
  <w:p w14:paraId="09C9E7F5" w14:textId="77777777" w:rsidR="0043700A" w:rsidRDefault="0043700A" w:rsidP="0043700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5954"/>
        <w:tab w:val="left" w:pos="7020"/>
        <w:tab w:val="left" w:pos="7088"/>
      </w:tabs>
      <w:jc w:val="both"/>
      <w:rPr>
        <w:b/>
      </w:rPr>
    </w:pPr>
  </w:p>
  <w:p w14:paraId="21D44F0A" w14:textId="77777777" w:rsidR="0043700A"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rPr>
    </w:pPr>
  </w:p>
  <w:p w14:paraId="68E8EC7A" w14:textId="77777777" w:rsidR="0043700A"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rPr>
    </w:pPr>
  </w:p>
  <w:p w14:paraId="4AC4E6DA" w14:textId="77777777" w:rsidR="0043700A"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rPr>
    </w:pPr>
  </w:p>
  <w:p w14:paraId="7ED90D90" w14:textId="77777777" w:rsidR="0043700A"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rPr>
    </w:pPr>
  </w:p>
  <w:p w14:paraId="67EA3B61" w14:textId="77777777" w:rsidR="0043700A"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rPr>
    </w:pPr>
  </w:p>
  <w:p w14:paraId="1FF4F200" w14:textId="77777777" w:rsidR="0043700A" w:rsidRDefault="0043700A" w:rsidP="0043700A">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12F4A3D9" w14:textId="77777777" w:rsidR="0043700A" w:rsidRDefault="0043700A" w:rsidP="0043700A">
    <w:pPr>
      <w:tabs>
        <w:tab w:val="left" w:pos="-1440"/>
        <w:tab w:val="left" w:pos="-720"/>
        <w:tab w:val="left" w:pos="720"/>
        <w:tab w:val="left" w:pos="2160"/>
        <w:tab w:val="left" w:pos="3600"/>
        <w:tab w:val="left" w:pos="4320"/>
        <w:tab w:val="left" w:pos="5040"/>
        <w:tab w:val="left" w:pos="5523"/>
        <w:tab w:val="left" w:pos="6480"/>
      </w:tabs>
      <w:jc w:val="center"/>
    </w:pPr>
    <w:r>
      <w:t>(of UNESCO)</w:t>
    </w:r>
  </w:p>
  <w:p w14:paraId="4E3E7800" w14:textId="77777777" w:rsidR="0043700A" w:rsidRDefault="0043700A" w:rsidP="0043700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4D8E6C5E" w14:textId="77777777" w:rsidR="0043700A" w:rsidRDefault="0043700A" w:rsidP="0043700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rPr>
      <w:t>Thirty-third Session of the Assembly</w:t>
    </w:r>
  </w:p>
  <w:p w14:paraId="6BE04037" w14:textId="77777777" w:rsidR="0043700A" w:rsidRDefault="0043700A" w:rsidP="0043700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t>UNESCO, 25 June–3 July 2025</w:t>
    </w:r>
  </w:p>
  <w:p w14:paraId="150C77AB" w14:textId="77777777" w:rsidR="0043700A" w:rsidRDefault="0043700A" w:rsidP="0043700A">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1A578E00" w14:textId="77777777" w:rsidR="0043700A" w:rsidRDefault="0043700A" w:rsidP="0043700A">
    <w:pPr>
      <w:jc w:val="center"/>
    </w:pPr>
  </w:p>
  <w:p w14:paraId="2BEF564A" w14:textId="77777777" w:rsidR="0043700A" w:rsidRDefault="0043700A" w:rsidP="0043700A">
    <w:pPr>
      <w:jc w:val="center"/>
    </w:pPr>
  </w:p>
  <w:p w14:paraId="17CE28E1" w14:textId="77777777" w:rsidR="0043700A" w:rsidRDefault="0043700A" w:rsidP="0043700A">
    <w:pPr>
      <w:jc w:val="center"/>
    </w:pPr>
  </w:p>
  <w:p w14:paraId="5B030AF7" w14:textId="77777777" w:rsidR="0043700A" w:rsidRDefault="0043700A" w:rsidP="0043700A">
    <w:pPr>
      <w:jc w:val="center"/>
    </w:pPr>
  </w:p>
  <w:p w14:paraId="1EC88DA9" w14:textId="77777777" w:rsidR="0043700A" w:rsidRDefault="0043700A" w:rsidP="0043700A">
    <w:pPr>
      <w:jc w:val="center"/>
    </w:pPr>
  </w:p>
  <w:p w14:paraId="0EEF3D67" w14:textId="77777777" w:rsidR="0043700A" w:rsidRPr="0043700A" w:rsidRDefault="0043700A" w:rsidP="0043700A">
    <w:pPr>
      <w:keepNext/>
      <w:pBdr>
        <w:top w:val="nil"/>
        <w:left w:val="nil"/>
        <w:bottom w:val="nil"/>
        <w:right w:val="nil"/>
        <w:between w:val="nil"/>
      </w:pBdr>
      <w:tabs>
        <w:tab w:val="right" w:pos="9540"/>
      </w:tabs>
      <w:rPr>
        <w:bCs/>
        <w:color w:val="000000"/>
        <w:u w:val="single"/>
      </w:rPr>
    </w:pPr>
    <w:r w:rsidRPr="0043700A">
      <w:rPr>
        <w:bCs/>
        <w:color w:val="000000"/>
        <w:sz w:val="24"/>
        <w:u w:val="single"/>
      </w:rPr>
      <w:t xml:space="preserve">Item </w:t>
    </w:r>
    <w:r w:rsidRPr="0043700A">
      <w:rPr>
        <w:b/>
        <w:color w:val="000000"/>
        <w:sz w:val="24"/>
        <w:u w:val="single"/>
      </w:rPr>
      <w:t>4.5.3</w:t>
    </w:r>
    <w:r w:rsidRPr="0043700A">
      <w:rPr>
        <w:bCs/>
        <w:color w:val="000000"/>
        <w:sz w:val="24"/>
        <w:u w:val="single"/>
      </w:rPr>
      <w:t xml:space="preserve"> of the Provisional Agenda</w:t>
    </w:r>
  </w:p>
  <w:p w14:paraId="0B1343F4" w14:textId="77777777" w:rsidR="0043700A" w:rsidRDefault="0043700A" w:rsidP="0043700A"/>
  <w:p w14:paraId="7D22AF92" w14:textId="77777777" w:rsidR="0043700A" w:rsidRDefault="0043700A" w:rsidP="0043700A"/>
  <w:p w14:paraId="36B65C44" w14:textId="77777777" w:rsidR="0043700A" w:rsidRDefault="0043700A" w:rsidP="0043700A">
    <w:pPr>
      <w:pBdr>
        <w:top w:val="nil"/>
        <w:left w:val="nil"/>
        <w:bottom w:val="nil"/>
        <w:right w:val="nil"/>
        <w:between w:val="nil"/>
      </w:pBdr>
      <w:tabs>
        <w:tab w:val="center" w:pos="4153"/>
        <w:tab w:val="right" w:pos="8306"/>
      </w:tabs>
      <w:spacing w:after="480"/>
      <w:jc w:val="center"/>
      <w:rPr>
        <w:b/>
        <w:smallCaps/>
        <w:color w:val="000000"/>
        <w:sz w:val="24"/>
      </w:rPr>
    </w:pPr>
    <w:r>
      <w:rPr>
        <w:b/>
        <w:smallCaps/>
        <w:color w:val="000000"/>
        <w:sz w:val="24"/>
      </w:rPr>
      <w:t>REPORT OF THE INTERSESSIONAL WORKING GROUP ON OCEAN OBSERVATIONS IN AREAS UNDER NATIONAL JURISDICTION</w:t>
    </w:r>
    <w:r w:rsidRPr="0043700A">
      <w:rPr>
        <w:b/>
        <w:smallCaps/>
        <w:color w:val="000000"/>
        <w:sz w:val="24"/>
      </w:rPr>
      <w:t xml:space="preserve"> </w:t>
    </w:r>
    <w:r>
      <w:rPr>
        <w:b/>
        <w:smallCaps/>
        <w:color w:val="000000"/>
        <w:sz w:val="24"/>
      </w:rPr>
      <w:t>(2025)</w:t>
    </w:r>
  </w:p>
  <w:p w14:paraId="55D4103B" w14:textId="4F117D2D" w:rsidR="00A635A5" w:rsidRPr="0043700A" w:rsidRDefault="00A635A5" w:rsidP="00437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53C9"/>
    <w:multiLevelType w:val="multilevel"/>
    <w:tmpl w:val="2DE63934"/>
    <w:lvl w:ilvl="0">
      <w:start w:val="1"/>
      <w:numFmt w:val="decimal"/>
      <w:pStyle w:val="CO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EA3F61"/>
    <w:multiLevelType w:val="multilevel"/>
    <w:tmpl w:val="62B4FAF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72656F"/>
    <w:multiLevelType w:val="multilevel"/>
    <w:tmpl w:val="D6E0FB9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D97F0D"/>
    <w:multiLevelType w:val="multilevel"/>
    <w:tmpl w:val="EE68AC7A"/>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8631D8"/>
    <w:multiLevelType w:val="multilevel"/>
    <w:tmpl w:val="B1929F5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2C51C1"/>
    <w:multiLevelType w:val="multilevel"/>
    <w:tmpl w:val="5FC2FCF4"/>
    <w:lvl w:ilvl="0">
      <w:start w:val="1"/>
      <w:numFmt w:val="decimal"/>
      <w:pStyle w:val="TIRETbul1cm"/>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742149">
    <w:abstractNumId w:val="5"/>
  </w:num>
  <w:num w:numId="2" w16cid:durableId="1975403484">
    <w:abstractNumId w:val="0"/>
  </w:num>
  <w:num w:numId="3" w16cid:durableId="1518692198">
    <w:abstractNumId w:val="3"/>
  </w:num>
  <w:num w:numId="4" w16cid:durableId="651369961">
    <w:abstractNumId w:val="1"/>
  </w:num>
  <w:num w:numId="5" w16cid:durableId="604196294">
    <w:abstractNumId w:val="2"/>
  </w:num>
  <w:num w:numId="6" w16cid:durableId="1793209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A5"/>
    <w:rsid w:val="00057247"/>
    <w:rsid w:val="00067ABD"/>
    <w:rsid w:val="0019497E"/>
    <w:rsid w:val="001C1BC0"/>
    <w:rsid w:val="002D1C1C"/>
    <w:rsid w:val="0043700A"/>
    <w:rsid w:val="004530FD"/>
    <w:rsid w:val="00586EFE"/>
    <w:rsid w:val="00730DB8"/>
    <w:rsid w:val="007F78E8"/>
    <w:rsid w:val="00901408"/>
    <w:rsid w:val="00952F87"/>
    <w:rsid w:val="00A4057B"/>
    <w:rsid w:val="00A635A5"/>
    <w:rsid w:val="00B125AA"/>
    <w:rsid w:val="00C8142A"/>
    <w:rsid w:val="00CC6AFE"/>
    <w:rsid w:val="00E63D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17713"/>
  <w15:docId w15:val="{C470D5E2-A78C-4302-8BD8-7EB4B0BD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6E"/>
    <w:pPr>
      <w:snapToGrid w:val="0"/>
    </w:pPr>
    <w:rPr>
      <w:snapToGrid w:val="0"/>
      <w:szCs w:val="24"/>
      <w:lang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unhideWhenUsed/>
    <w:qFormat/>
    <w:pPr>
      <w:keepNext/>
      <w:keepLines/>
      <w:spacing w:before="480" w:after="240"/>
      <w:ind w:left="567" w:hanging="567"/>
      <w:outlineLvl w:val="1"/>
    </w:pPr>
    <w:rPr>
      <w:b/>
      <w:bCs/>
      <w:caps/>
    </w:rPr>
  </w:style>
  <w:style w:type="paragraph" w:styleId="Heading3">
    <w:name w:val="heading 3"/>
    <w:basedOn w:val="Normal"/>
    <w:next w:val="Marge"/>
    <w:link w:val="Heading3Char"/>
    <w:uiPriority w:val="9"/>
    <w:unhideWhenUsed/>
    <w:qFormat/>
    <w:rsid w:val="002A30E7"/>
    <w:pPr>
      <w:keepNext/>
      <w:keepLines/>
      <w:spacing w:after="240"/>
      <w:outlineLvl w:val="2"/>
    </w:pPr>
    <w:rPr>
      <w:rFonts w:eastAsia="Arial Unicode MS"/>
      <w:b/>
      <w:bCs/>
      <w:szCs w:val="22"/>
    </w:rPr>
  </w:style>
  <w:style w:type="paragraph" w:styleId="Heading4">
    <w:name w:val="heading 4"/>
    <w:basedOn w:val="Normal"/>
    <w:next w:val="Marge"/>
    <w:uiPriority w:val="9"/>
    <w:semiHidden/>
    <w:unhideWhenUsed/>
    <w:qFormat/>
    <w:pPr>
      <w:keepNext/>
      <w:keepLines/>
      <w:spacing w:after="240"/>
      <w:outlineLvl w:val="3"/>
    </w:pPr>
    <w:rPr>
      <w:b/>
      <w:bCs/>
    </w:rPr>
  </w:style>
  <w:style w:type="paragraph" w:styleId="Heading5">
    <w:name w:val="heading 5"/>
    <w:basedOn w:val="Normal"/>
    <w:next w:val="Marge"/>
    <w:uiPriority w:val="9"/>
    <w:semiHidden/>
    <w:unhideWhenUsed/>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semiHidden/>
    <w:unhideWhenUsed/>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905F09"/>
    <w:pPr>
      <w:numPr>
        <w:numId w:val="2"/>
      </w:numPr>
      <w:tabs>
        <w:tab w:val="clear" w:pos="567"/>
        <w:tab w:val="clear" w:pos="720"/>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tabs>
        <w:tab w:val="num" w:pos="720"/>
      </w:tabs>
      <w:spacing w:after="240"/>
      <w:ind w:left="720" w:hanging="72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905F09"/>
    <w:rPr>
      <w:rFonts w:eastAsia="Arial Unicode MS"/>
      <w:snapToGrid w:val="0"/>
      <w:lang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unhideWhenUsed/>
    <w:rsid w:val="00056F67"/>
    <w:rPr>
      <w:sz w:val="20"/>
      <w:szCs w:val="20"/>
    </w:rPr>
  </w:style>
  <w:style w:type="character" w:customStyle="1" w:styleId="CommentTextChar">
    <w:name w:val="Comment Text Char"/>
    <w:basedOn w:val="DefaultParagraphFont"/>
    <w:link w:val="CommentText"/>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8028CE"/>
    <w:pPr>
      <w:tabs>
        <w:tab w:val="clear" w:pos="567"/>
      </w:tabs>
      <w:snapToGrid/>
      <w:spacing w:after="160" w:line="259" w:lineRule="auto"/>
      <w:ind w:left="720"/>
      <w:contextualSpacing/>
    </w:pPr>
    <w:rPr>
      <w:rFonts w:asciiTheme="minorHAnsi" w:eastAsiaTheme="minorHAnsi" w:hAnsiTheme="minorHAnsi" w:cstheme="minorBidi"/>
      <w:snapToGrid/>
      <w:kern w:val="2"/>
      <w:szCs w:val="22"/>
      <w:lang w:val="en-US"/>
    </w:rPr>
  </w:style>
  <w:style w:type="character" w:customStyle="1" w:styleId="Heading3Char">
    <w:name w:val="Heading 3 Char"/>
    <w:basedOn w:val="DefaultParagraphFont"/>
    <w:link w:val="Heading3"/>
    <w:rsid w:val="002A30E7"/>
    <w:rPr>
      <w:rFonts w:ascii="Arial" w:eastAsia="Arial Unicode MS" w:hAnsi="Arial"/>
      <w:b/>
      <w:bCs/>
      <w:snapToGrid w:val="0"/>
      <w:sz w:val="22"/>
      <w:szCs w:val="22"/>
      <w:lang w:val="en-GB" w:eastAsia="en-US"/>
    </w:rPr>
  </w:style>
  <w:style w:type="paragraph" w:styleId="NormalWeb">
    <w:name w:val="Normal (Web)"/>
    <w:basedOn w:val="Normal"/>
    <w:uiPriority w:val="99"/>
    <w:semiHidden/>
    <w:unhideWhenUsed/>
    <w:rsid w:val="00904E23"/>
    <w:pPr>
      <w:tabs>
        <w:tab w:val="clear" w:pos="567"/>
      </w:tabs>
      <w:snapToGrid/>
      <w:spacing w:before="100" w:beforeAutospacing="1" w:after="100" w:afterAutospacing="1"/>
    </w:pPr>
    <w:rPr>
      <w:rFonts w:ascii="Times New Roman" w:hAnsi="Times New Roman"/>
      <w:snapToGrid/>
      <w:sz w:val="24"/>
      <w:lang w:val="en-US"/>
    </w:rPr>
  </w:style>
  <w:style w:type="character" w:styleId="UnresolvedMention">
    <w:name w:val="Unresolved Mention"/>
    <w:basedOn w:val="DefaultParagraphFont"/>
    <w:uiPriority w:val="99"/>
    <w:semiHidden/>
    <w:unhideWhenUsed/>
    <w:rsid w:val="00904E23"/>
    <w:rPr>
      <w:color w:val="605E5C"/>
      <w:shd w:val="clear" w:color="auto" w:fill="E1DFDD"/>
    </w:rPr>
  </w:style>
  <w:style w:type="paragraph" w:styleId="Revision">
    <w:name w:val="Revision"/>
    <w:hidden/>
    <w:uiPriority w:val="99"/>
    <w:semiHidden/>
    <w:rsid w:val="00F2312D"/>
    <w:rPr>
      <w:snapToGrid w:val="0"/>
      <w:szCs w:val="24"/>
      <w:lang w:eastAsia="en-US"/>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yperlink" Target="https://oceanexpert.org/document/30476" TargetMode="External"/><Relationship Id="rId18" Type="http://schemas.openxmlformats.org/officeDocument/2006/relationships/hyperlink" Target="https://oceanexpert.org/document/3259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ceanexpert.org/document/34591" TargetMode="External"/><Relationship Id="rId17" Type="http://schemas.openxmlformats.org/officeDocument/2006/relationships/hyperlink" Target="https://oceanexpert.org/document/266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eanexpert.org/document/32584" TargetMode="External"/><Relationship Id="rId20" Type="http://schemas.openxmlformats.org/officeDocument/2006/relationships/hyperlink" Target="https://www.state.gov/guidance-on-supporting-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44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30593" TargetMode="External"/><Relationship Id="rId23" Type="http://schemas.openxmlformats.org/officeDocument/2006/relationships/header" Target="header3.xml"/><Relationship Id="rId10" Type="http://schemas.openxmlformats.org/officeDocument/2006/relationships/hyperlink" Target="https://oceanexpert.org/document/34455" TargetMode="External"/><Relationship Id="rId19" Type="http://schemas.openxmlformats.org/officeDocument/2006/relationships/hyperlink" Target="https://oceanexpert.org/document/31942" TargetMode="External"/><Relationship Id="rId4" Type="http://schemas.openxmlformats.org/officeDocument/2006/relationships/settings" Target="settings.xml"/><Relationship Id="rId9" Type="http://schemas.openxmlformats.org/officeDocument/2006/relationships/hyperlink" Target="https://oceanexpert.org/document/32845" TargetMode="External"/><Relationship Id="rId14" Type="http://schemas.openxmlformats.org/officeDocument/2006/relationships/hyperlink" Target="https://oceanexpert.org/document/26607"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igitallibrary.un.org/record/702302?ln=fr&amp;v=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nQAUKhfHN1ddwGrGl7gJlXT2w==">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1470</Words>
  <Characters>8086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Joanna</dc:creator>
  <cp:lastModifiedBy>Boned, Patrice</cp:lastModifiedBy>
  <cp:revision>6</cp:revision>
  <dcterms:created xsi:type="dcterms:W3CDTF">2025-05-21T09:04:00Z</dcterms:created>
  <dcterms:modified xsi:type="dcterms:W3CDTF">2025-06-05T07:46:00Z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