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C84CA" w14:textId="77777777" w:rsidR="00B213E5" w:rsidRDefault="00B213E5">
      <w:pPr>
        <w:widowControl w:val="0"/>
        <w:pBdr>
          <w:top w:val="nil"/>
          <w:left w:val="nil"/>
          <w:bottom w:val="nil"/>
          <w:right w:val="nil"/>
          <w:between w:val="nil"/>
        </w:pBdr>
        <w:spacing w:line="276" w:lineRule="auto"/>
        <w:rPr>
          <w:color w:val="000000"/>
        </w:rPr>
      </w:pPr>
    </w:p>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B213E5" w14:paraId="310A6A9C" w14:textId="77777777">
        <w:trPr>
          <w:jc w:val="center"/>
        </w:trPr>
        <w:tc>
          <w:tcPr>
            <w:tcW w:w="7654" w:type="dxa"/>
            <w:tcMar>
              <w:top w:w="170" w:type="dxa"/>
              <w:left w:w="170" w:type="dxa"/>
              <w:bottom w:w="170" w:type="dxa"/>
              <w:right w:w="170" w:type="dxa"/>
            </w:tcMar>
          </w:tcPr>
          <w:p w14:paraId="477F2F52" w14:textId="77777777" w:rsidR="00B213E5" w:rsidRDefault="00AA58BB">
            <w:pPr>
              <w:pBdr>
                <w:top w:val="nil"/>
                <w:left w:val="nil"/>
                <w:bottom w:val="nil"/>
                <w:right w:val="nil"/>
                <w:between w:val="nil"/>
              </w:pBdr>
              <w:spacing w:after="240"/>
              <w:jc w:val="center"/>
              <w:rPr>
                <w:color w:val="000000"/>
              </w:rPr>
            </w:pPr>
            <w:r>
              <w:rPr>
                <w:color w:val="000000"/>
                <w:u w:val="single"/>
              </w:rPr>
              <w:t>Summary</w:t>
            </w:r>
          </w:p>
          <w:p w14:paraId="754732E1" w14:textId="77777777" w:rsidR="00B213E5" w:rsidRDefault="00AA58BB">
            <w:pPr>
              <w:pBdr>
                <w:top w:val="nil"/>
                <w:left w:val="nil"/>
                <w:bottom w:val="nil"/>
                <w:right w:val="nil"/>
                <w:between w:val="nil"/>
              </w:pBdr>
              <w:spacing w:after="120"/>
              <w:jc w:val="both"/>
            </w:pPr>
            <w:r>
              <w:t xml:space="preserve">The Ocean Best Practices System (OBPS), established as a GOOS-IODE Project through </w:t>
            </w:r>
            <w:r w:rsidRPr="00F57B2F">
              <w:rPr>
                <w:bCs/>
              </w:rPr>
              <w:t>Decision IOC-XXX/7.2.1 in</w:t>
            </w:r>
            <w:r>
              <w:t xml:space="preserve"> 2019, has been instrumental in supporting the development and accessibility of best practices across the ocean value chain.</w:t>
            </w:r>
          </w:p>
          <w:p w14:paraId="4777D6A0" w14:textId="1EC64FF4" w:rsidR="00B213E5" w:rsidRDefault="00AA58BB">
            <w:pPr>
              <w:pBdr>
                <w:top w:val="nil"/>
                <w:left w:val="nil"/>
                <w:bottom w:val="nil"/>
                <w:right w:val="nil"/>
                <w:between w:val="nil"/>
              </w:pBdr>
              <w:spacing w:after="120"/>
              <w:jc w:val="both"/>
            </w:pPr>
            <w:r>
              <w:t xml:space="preserve">To enhance its sustainability and maximize its impact, OBPS proposes expanding beyond GOOS and IODE, inviting all IOC programmes and </w:t>
            </w:r>
            <w:r w:rsidR="00F57B2F">
              <w:t>sub-commissions</w:t>
            </w:r>
            <w:r>
              <w:t xml:space="preserve"> to contribute to its governance and funding. This integration will provide IOC with a unified, structured system for best practices, strengthening interoperability, global visibility, and collaboration across ocean programmes. </w:t>
            </w:r>
            <w:r w:rsidR="000D082D" w:rsidRPr="000D082D">
              <w:t>To this end, the proposal provides for the revision of the OBP</w:t>
            </w:r>
            <w:r w:rsidR="00407CC5">
              <w:t>S</w:t>
            </w:r>
            <w:r w:rsidR="000D082D" w:rsidRPr="000D082D">
              <w:t xml:space="preserve">'s </w:t>
            </w:r>
            <w:r>
              <w:t>objectives</w:t>
            </w:r>
            <w:r w:rsidR="000D082D" w:rsidRPr="000D082D">
              <w:t xml:space="preserve"> and the establishment of an </w:t>
            </w:r>
            <w:r w:rsidR="000D082D">
              <w:t xml:space="preserve">IOC </w:t>
            </w:r>
            <w:r w:rsidR="000D082D" w:rsidRPr="000D082D">
              <w:t>OBP</w:t>
            </w:r>
            <w:r w:rsidR="00407CC5">
              <w:t>S</w:t>
            </w:r>
            <w:r w:rsidR="000D082D" w:rsidRPr="000D082D">
              <w:t xml:space="preserve"> Steering </w:t>
            </w:r>
            <w:r>
              <w:t>Group</w:t>
            </w:r>
            <w:r w:rsidRPr="000D082D">
              <w:t xml:space="preserve"> </w:t>
            </w:r>
            <w:r w:rsidR="000D082D">
              <w:t xml:space="preserve">with terms of reference </w:t>
            </w:r>
            <w:r w:rsidR="000D082D" w:rsidRPr="000D082D">
              <w:t>annexed to the draft decision under this item.</w:t>
            </w:r>
          </w:p>
          <w:p w14:paraId="3003D711" w14:textId="55432270" w:rsidR="004C06BF" w:rsidRDefault="004C06BF">
            <w:pPr>
              <w:pBdr>
                <w:top w:val="nil"/>
                <w:left w:val="nil"/>
                <w:bottom w:val="nil"/>
                <w:right w:val="nil"/>
                <w:between w:val="nil"/>
              </w:pBdr>
              <w:spacing w:after="120"/>
              <w:jc w:val="both"/>
            </w:pPr>
            <w:r w:rsidRPr="00205C36">
              <w:rPr>
                <w:color w:val="000000"/>
                <w:u w:val="single"/>
              </w:rPr>
              <w:t>Financial and administrative implications</w:t>
            </w:r>
            <w:r>
              <w:rPr>
                <w:color w:val="000000"/>
              </w:rPr>
              <w:t xml:space="preserve">: paragraph </w:t>
            </w:r>
            <w:r w:rsidR="00F572C2">
              <w:rPr>
                <w:color w:val="000000"/>
              </w:rPr>
              <w:t>7</w:t>
            </w:r>
            <w:r>
              <w:t>.</w:t>
            </w:r>
          </w:p>
          <w:p w14:paraId="5B719FC0" w14:textId="7BD97D59" w:rsidR="00B213E5" w:rsidRDefault="00AA58BB">
            <w:pPr>
              <w:pBdr>
                <w:top w:val="nil"/>
                <w:left w:val="nil"/>
                <w:bottom w:val="nil"/>
                <w:right w:val="nil"/>
                <w:between w:val="nil"/>
              </w:pBdr>
              <w:spacing w:after="120"/>
              <w:jc w:val="both"/>
              <w:rPr>
                <w:color w:val="000000"/>
              </w:rPr>
            </w:pPr>
            <w:r>
              <w:rPr>
                <w:color w:val="000000"/>
                <w:u w:val="single"/>
              </w:rPr>
              <w:t>The proposed decision</w:t>
            </w:r>
            <w:r>
              <w:rPr>
                <w:color w:val="000000"/>
              </w:rPr>
              <w:t xml:space="preserve"> is referenced A-33/Dec</w:t>
            </w:r>
            <w:r w:rsidRPr="00F57B2F">
              <w:rPr>
                <w:color w:val="000000"/>
              </w:rPr>
              <w:t>.</w:t>
            </w:r>
            <w:r w:rsidRPr="00F57B2F">
              <w:t>3.4.4</w:t>
            </w:r>
            <w:r>
              <w:rPr>
                <w:color w:val="000000"/>
              </w:rPr>
              <w:t xml:space="preserve"> in the Action Paper (document IOC/A-33/2 Prov.)</w:t>
            </w:r>
          </w:p>
        </w:tc>
      </w:tr>
    </w:tbl>
    <w:p w14:paraId="1ADCB2BC" w14:textId="77777777" w:rsidR="00B213E5" w:rsidRDefault="00B213E5">
      <w:pPr>
        <w:pStyle w:val="Heading3"/>
      </w:pPr>
    </w:p>
    <w:p w14:paraId="7349AA3B" w14:textId="77777777" w:rsidR="00F57B2F" w:rsidRDefault="00F57B2F">
      <w:r>
        <w:br w:type="page"/>
      </w:r>
    </w:p>
    <w:p w14:paraId="1FC1A63F" w14:textId="30C16B71" w:rsidR="00B213E5" w:rsidRDefault="00AA58BB" w:rsidP="00F57B2F">
      <w:pPr>
        <w:numPr>
          <w:ilvl w:val="0"/>
          <w:numId w:val="1"/>
        </w:numPr>
        <w:pBdr>
          <w:top w:val="nil"/>
          <w:left w:val="nil"/>
          <w:bottom w:val="nil"/>
          <w:right w:val="nil"/>
          <w:between w:val="nil"/>
        </w:pBdr>
        <w:tabs>
          <w:tab w:val="clear" w:pos="567"/>
          <w:tab w:val="left" w:pos="851"/>
        </w:tabs>
        <w:spacing w:after="240"/>
        <w:jc w:val="both"/>
        <w:rPr>
          <w:color w:val="000000"/>
        </w:rPr>
      </w:pPr>
      <w:r>
        <w:lastRenderedPageBreak/>
        <w:t>In 2019, the Ocean Best Practices System (OBPS) was approved as an IOC-UNESCO Project, supported by the Global Ocean Observing System (GOOS) and the International Oceanographic Data and Information Exchange (IODE) through Decision IOC-XXX/7.2.1. This Decision defined the objectives of OBPS as</w:t>
      </w:r>
      <w:r w:rsidR="00F57B2F">
        <w:t>:</w:t>
      </w:r>
      <w:r>
        <w:t xml:space="preserve"> (i) </w:t>
      </w:r>
      <w:r w:rsidR="00F57B2F">
        <w:t>i</w:t>
      </w:r>
      <w:r>
        <w:t>ncrease efficiency, reproducibility and interoperability of the entire ocean observing value chain by providing the community with a unified, sustained and readily accessible knowledge</w:t>
      </w:r>
      <w:r w:rsidR="00F57B2F">
        <w:t>-</w:t>
      </w:r>
      <w:r>
        <w:t xml:space="preserve">base of interdisciplinary best practices; and (ii) </w:t>
      </w:r>
      <w:r w:rsidR="00F57B2F">
        <w:t>p</w:t>
      </w:r>
      <w:r>
        <w:t>rovide coordinated and sustained global access to best practices in ocean observing to foster innovation and excellence by developing a system and engaging ocean observing communities in a joint and coordinated effort in producing, reviewing and sustaining best practice documents.</w:t>
      </w:r>
    </w:p>
    <w:p w14:paraId="63139175" w14:textId="0B94E536" w:rsidR="00B213E5" w:rsidRDefault="00AA58BB" w:rsidP="00F57B2F">
      <w:pPr>
        <w:numPr>
          <w:ilvl w:val="0"/>
          <w:numId w:val="1"/>
        </w:numPr>
        <w:pBdr>
          <w:top w:val="nil"/>
          <w:left w:val="nil"/>
          <w:bottom w:val="nil"/>
          <w:right w:val="nil"/>
          <w:between w:val="nil"/>
        </w:pBdr>
        <w:tabs>
          <w:tab w:val="clear" w:pos="567"/>
          <w:tab w:val="left" w:pos="851"/>
        </w:tabs>
        <w:spacing w:after="240"/>
        <w:jc w:val="both"/>
        <w:rPr>
          <w:color w:val="000000"/>
        </w:rPr>
      </w:pPr>
      <w:r>
        <w:t xml:space="preserve">Conscious of the request for best practices as an IOC-wide need, as referred to in the </w:t>
      </w:r>
      <w:hyperlink r:id="rId7" w:history="1">
        <w:r w:rsidR="00F57B2F" w:rsidRPr="00F57B2F">
          <w:rPr>
            <w:rStyle w:val="Hyperlink"/>
            <w:i/>
            <w:iCs/>
          </w:rPr>
          <w:t>IOC Medium-term Strategy 2022–2029</w:t>
        </w:r>
      </w:hyperlink>
      <w:r>
        <w:t xml:space="preserve">, as well as to ensure its long-term sustainability, the OBPS Steering Group proposed in 2024, at its sixth </w:t>
      </w:r>
      <w:r w:rsidR="00F57B2F">
        <w:t>annual meeting</w:t>
      </w:r>
      <w:r>
        <w:t xml:space="preserve"> (</w:t>
      </w:r>
      <w:hyperlink r:id="rId8">
        <w:r>
          <w:rPr>
            <w:color w:val="1155CC"/>
            <w:u w:val="single"/>
          </w:rPr>
          <w:t>see report</w:t>
        </w:r>
      </w:hyperlink>
      <w:r>
        <w:t>), to expand OBPS beyond IODE and GOOS. This strategic evolution will provide all IOC programmes and sub</w:t>
      </w:r>
      <w:r w:rsidR="00F57B2F">
        <w:t>-</w:t>
      </w:r>
      <w:r>
        <w:t xml:space="preserve">commissions with an integrated and structured system and repository for best practices, strengthening coordination, interoperability, and knowledge-sharing across IOC and its communities. </w:t>
      </w:r>
    </w:p>
    <w:p w14:paraId="00C015CA" w14:textId="77777777" w:rsidR="00B213E5" w:rsidRDefault="00AA58BB" w:rsidP="00F57B2F">
      <w:pPr>
        <w:numPr>
          <w:ilvl w:val="0"/>
          <w:numId w:val="1"/>
        </w:numPr>
        <w:pBdr>
          <w:top w:val="nil"/>
          <w:left w:val="nil"/>
          <w:bottom w:val="nil"/>
          <w:right w:val="nil"/>
          <w:between w:val="nil"/>
        </w:pBdr>
        <w:tabs>
          <w:tab w:val="clear" w:pos="567"/>
          <w:tab w:val="left" w:pos="851"/>
        </w:tabs>
        <w:spacing w:after="240"/>
        <w:jc w:val="both"/>
      </w:pPr>
      <w:r>
        <w:t xml:space="preserve">Today, the OBPS stands as a dynamic and growing resource, continuously improving its repository and engagement with ocean stakeholders. The repository has experienced significant growth, now containing 2,247 documents and 20 endorsed best practices, with some of these attracting between 5,000 and 6,000 visits. User engagement remains robust, with more than 80,000 registered users submitting and downloading documents. Ongoing technical upgrades, including software updates and improved metadata filters, are aimed at enhancing document discoverability. Capacity development initiatives include a self-paced Ocean Teacher Global Academy training course on </w:t>
      </w:r>
      <w:r>
        <w:rPr>
          <w:highlight w:val="white"/>
        </w:rPr>
        <w:t>how to submit, share, and search for best practices.</w:t>
      </w:r>
    </w:p>
    <w:p w14:paraId="6410A984" w14:textId="77777777" w:rsidR="00B213E5" w:rsidRDefault="00AA58BB" w:rsidP="00F57B2F">
      <w:pPr>
        <w:numPr>
          <w:ilvl w:val="0"/>
          <w:numId w:val="1"/>
        </w:numPr>
        <w:pBdr>
          <w:top w:val="nil"/>
          <w:left w:val="nil"/>
          <w:bottom w:val="nil"/>
          <w:right w:val="nil"/>
          <w:between w:val="nil"/>
        </w:pBdr>
        <w:tabs>
          <w:tab w:val="clear" w:pos="567"/>
          <w:tab w:val="left" w:pos="851"/>
        </w:tabs>
        <w:spacing w:after="240"/>
        <w:jc w:val="both"/>
        <w:rPr>
          <w:color w:val="000000"/>
        </w:rPr>
      </w:pPr>
      <w:r>
        <w:t>The future development of OBPS, through joint “ownership” by IOC programmes and sub-commissions, will expand its reach by strengthening connections across the IOC, including the Ocean Data and Information System (ODIS), and integrating with diverse data ecosystems, including the UN Ocean Decade communities. By leveraging OBPS, the IOC and the ocean community will enhance global and interdisciplinary access to key methodologies while promoting the endorsement of best practices. Furthermore, improvements in search functionality, multilingual translation of best practices, and sustained repository curation will further strengthen OBPS, benefiting both the IOC and the broader ocean science community.</w:t>
      </w:r>
    </w:p>
    <w:p w14:paraId="6E442390" w14:textId="535A5A6D" w:rsidR="00B213E5" w:rsidRDefault="00886F29" w:rsidP="00F57B2F">
      <w:pPr>
        <w:numPr>
          <w:ilvl w:val="0"/>
          <w:numId w:val="1"/>
        </w:numPr>
        <w:pBdr>
          <w:top w:val="nil"/>
          <w:left w:val="nil"/>
          <w:bottom w:val="nil"/>
          <w:right w:val="nil"/>
          <w:between w:val="nil"/>
        </w:pBdr>
        <w:tabs>
          <w:tab w:val="clear" w:pos="567"/>
          <w:tab w:val="left" w:pos="851"/>
        </w:tabs>
        <w:spacing w:after="240"/>
        <w:jc w:val="both"/>
      </w:pPr>
      <w:r>
        <w:rPr>
          <w:highlight w:val="white"/>
        </w:rPr>
        <w:t>With p</w:t>
      </w:r>
      <w:r w:rsidR="00F67F3A">
        <w:rPr>
          <w:highlight w:val="white"/>
        </w:rPr>
        <w:t xml:space="preserve">roposed new terms of reference for </w:t>
      </w:r>
      <w:r w:rsidR="00407CC5">
        <w:rPr>
          <w:highlight w:val="white"/>
        </w:rPr>
        <w:t>OBPS</w:t>
      </w:r>
      <w:r>
        <w:rPr>
          <w:highlight w:val="white"/>
        </w:rPr>
        <w:t>, the aim</w:t>
      </w:r>
      <w:r w:rsidR="00AA58BB">
        <w:rPr>
          <w:highlight w:val="white"/>
        </w:rPr>
        <w:t xml:space="preserve"> is to evolve </w:t>
      </w:r>
      <w:r w:rsidR="00AA58BB">
        <w:t>from a GOOS-IODE project-based activity to a cross</w:t>
      </w:r>
      <w:r w:rsidR="000D082D">
        <w:t>-</w:t>
      </w:r>
      <w:r>
        <w:t xml:space="preserve">cutting activity of the whole </w:t>
      </w:r>
      <w:r w:rsidR="00AA58BB">
        <w:t>IOC programme</w:t>
      </w:r>
      <w:r w:rsidR="000D082D">
        <w:t xml:space="preserve">, </w:t>
      </w:r>
      <w:r>
        <w:t xml:space="preserve">in the form of </w:t>
      </w:r>
      <w:r w:rsidR="000D082D" w:rsidRPr="000D082D">
        <w:t xml:space="preserve">a </w:t>
      </w:r>
      <w:r w:rsidR="000D082D" w:rsidRPr="00D21F15">
        <w:t>universal and accessible platform for best practices and standards</w:t>
      </w:r>
      <w:r>
        <w:t xml:space="preserve"> relevant to IOC and ocean-matters</w:t>
      </w:r>
      <w:r w:rsidR="00AA58BB">
        <w:t>, w</w:t>
      </w:r>
      <w:r w:rsidR="00F67F3A">
        <w:t xml:space="preserve">hich is sustainable over time within a growing </w:t>
      </w:r>
      <w:r w:rsidR="00AA58BB">
        <w:t xml:space="preserve">network of ocean communities. </w:t>
      </w:r>
      <w:r w:rsidR="00F67F3A" w:rsidRPr="00F67F3A">
        <w:t>By broadening its scope to cover the entire ocean value chain</w:t>
      </w:r>
      <w:r w:rsidR="00AA58BB">
        <w:t xml:space="preserve">, OBPS will engage a </w:t>
      </w:r>
      <w:r w:rsidR="00F67F3A">
        <w:t>wider</w:t>
      </w:r>
      <w:r w:rsidR="00AA58BB">
        <w:t xml:space="preserve"> </w:t>
      </w:r>
      <w:r w:rsidR="00F67F3A">
        <w:t xml:space="preserve">range </w:t>
      </w:r>
      <w:r w:rsidR="00AA58BB">
        <w:t xml:space="preserve">of stakeholders, </w:t>
      </w:r>
      <w:r w:rsidR="00F67F3A">
        <w:t xml:space="preserve">thereby </w:t>
      </w:r>
      <w:r w:rsidR="00AA58BB">
        <w:t xml:space="preserve">amplifying its impact, </w:t>
      </w:r>
      <w:r w:rsidR="00F67F3A">
        <w:t>strengthening its</w:t>
      </w:r>
      <w:r w:rsidR="00AA58BB">
        <w:t xml:space="preserve"> stability and </w:t>
      </w:r>
      <w:r w:rsidR="00F67F3A">
        <w:t>consolidating</w:t>
      </w:r>
      <w:r w:rsidR="00AA58BB">
        <w:t xml:space="preserve"> its role as an invaluable resource for IOC and the wider ocean community.</w:t>
      </w:r>
      <w:r w:rsidR="000D082D">
        <w:t xml:space="preserve"> </w:t>
      </w:r>
    </w:p>
    <w:p w14:paraId="2E68EC30" w14:textId="170B8C3D" w:rsidR="00F572C2" w:rsidRDefault="00F572C2" w:rsidP="00F57B2F">
      <w:pPr>
        <w:numPr>
          <w:ilvl w:val="0"/>
          <w:numId w:val="1"/>
        </w:numPr>
        <w:pBdr>
          <w:top w:val="nil"/>
          <w:left w:val="nil"/>
          <w:bottom w:val="nil"/>
          <w:right w:val="nil"/>
          <w:between w:val="nil"/>
        </w:pBdr>
        <w:tabs>
          <w:tab w:val="clear" w:pos="567"/>
          <w:tab w:val="left" w:pos="851"/>
        </w:tabs>
        <w:spacing w:after="240"/>
        <w:jc w:val="both"/>
      </w:pPr>
      <w:r w:rsidRPr="00F572C2">
        <w:t xml:space="preserve">In this proposal, </w:t>
      </w:r>
      <w:r w:rsidR="00407CC5">
        <w:t>OBPS</w:t>
      </w:r>
      <w:r w:rsidRPr="00F572C2">
        <w:t xml:space="preserve"> will be steered by an IOC Steering Group whose terms of reference are proposed in the annex to the proposed decision A-33/Dec.3.4.4.</w:t>
      </w:r>
    </w:p>
    <w:p w14:paraId="1206415A" w14:textId="38B63104" w:rsidR="004C06BF" w:rsidRPr="004C06BF" w:rsidRDefault="004C06BF" w:rsidP="004C06BF">
      <w:pPr>
        <w:pBdr>
          <w:top w:val="nil"/>
          <w:left w:val="nil"/>
          <w:bottom w:val="nil"/>
          <w:right w:val="nil"/>
          <w:between w:val="nil"/>
        </w:pBdr>
        <w:tabs>
          <w:tab w:val="clear" w:pos="567"/>
          <w:tab w:val="left" w:pos="851"/>
        </w:tabs>
        <w:spacing w:after="240"/>
        <w:jc w:val="both"/>
        <w:rPr>
          <w:b/>
          <w:bCs/>
        </w:rPr>
      </w:pPr>
      <w:r w:rsidRPr="004C06BF">
        <w:rPr>
          <w:b/>
          <w:bCs/>
        </w:rPr>
        <w:t>Financial and administrative implications</w:t>
      </w:r>
    </w:p>
    <w:p w14:paraId="6E12B209" w14:textId="3FBD5799" w:rsidR="004C06BF" w:rsidRDefault="005D78AE" w:rsidP="00F57B2F">
      <w:pPr>
        <w:numPr>
          <w:ilvl w:val="0"/>
          <w:numId w:val="1"/>
        </w:numPr>
        <w:pBdr>
          <w:top w:val="nil"/>
          <w:left w:val="nil"/>
          <w:bottom w:val="nil"/>
          <w:right w:val="nil"/>
          <w:between w:val="nil"/>
        </w:pBdr>
        <w:tabs>
          <w:tab w:val="clear" w:pos="567"/>
          <w:tab w:val="left" w:pos="851"/>
        </w:tabs>
        <w:spacing w:after="240"/>
        <w:jc w:val="both"/>
      </w:pPr>
      <w:r w:rsidRPr="005D78AE">
        <w:t>A</w:t>
      </w:r>
      <w:r w:rsidR="004C06BF" w:rsidRPr="00D21F15">
        <w:t>ny financial or administrative implications of the activities fall within the parameters of the IOC Programme and Budget</w:t>
      </w:r>
      <w:r>
        <w:t xml:space="preserve"> (42 C/5).</w:t>
      </w:r>
    </w:p>
    <w:sectPr w:rsidR="004C06BF">
      <w:headerReference w:type="even" r:id="rId9"/>
      <w:headerReference w:type="default" r:id="rId10"/>
      <w:headerReference w:type="first" r:id="rId11"/>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D1E00" w14:textId="77777777" w:rsidR="00AA58BB" w:rsidRDefault="00AA58BB">
      <w:r>
        <w:separator/>
      </w:r>
    </w:p>
  </w:endnote>
  <w:endnote w:type="continuationSeparator" w:id="0">
    <w:p w14:paraId="7ED135C5" w14:textId="77777777" w:rsidR="00AA58BB" w:rsidRDefault="00AA5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EE0A" w14:textId="77777777" w:rsidR="00AA58BB" w:rsidRDefault="00AA58BB">
      <w:r>
        <w:separator/>
      </w:r>
    </w:p>
  </w:footnote>
  <w:footnote w:type="continuationSeparator" w:id="0">
    <w:p w14:paraId="6C52B16F" w14:textId="77777777" w:rsidR="00AA58BB" w:rsidRDefault="00AA5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9B01" w14:textId="2ED14D72" w:rsidR="00B213E5" w:rsidRDefault="00AA58BB">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t>IOC</w:t>
    </w:r>
    <w:r w:rsidR="00F57B2F">
      <w:rPr>
        <w:color w:val="000000"/>
        <w:sz w:val="20"/>
        <w:szCs w:val="20"/>
      </w:rPr>
      <w:t>/A</w:t>
    </w:r>
    <w:r>
      <w:rPr>
        <w:color w:val="000000"/>
        <w:sz w:val="20"/>
        <w:szCs w:val="20"/>
      </w:rPr>
      <w:t>-33/</w:t>
    </w:r>
    <w:r w:rsidRPr="00F57B2F">
      <w:rPr>
        <w:sz w:val="20"/>
        <w:szCs w:val="20"/>
      </w:rPr>
      <w:t>3.4.</w:t>
    </w:r>
    <w:proofErr w:type="gramStart"/>
    <w:r w:rsidRPr="00F57B2F">
      <w:rPr>
        <w:sz w:val="20"/>
        <w:szCs w:val="20"/>
      </w:rPr>
      <w:t>4</w:t>
    </w:r>
    <w:r w:rsidR="00F57B2F">
      <w:rPr>
        <w:sz w:val="20"/>
        <w:szCs w:val="20"/>
      </w:rPr>
      <w:t>.</w:t>
    </w:r>
    <w:r>
      <w:rPr>
        <w:color w:val="000000"/>
        <w:sz w:val="20"/>
        <w:szCs w:val="20"/>
      </w:rPr>
      <w:t>Doc</w:t>
    </w:r>
    <w:proofErr w:type="gramEnd"/>
    <w:r>
      <w:rPr>
        <w:color w:val="000000"/>
        <w:sz w:val="20"/>
        <w:szCs w:val="20"/>
      </w:rPr>
      <w:t>(1)</w:t>
    </w:r>
  </w:p>
  <w:p w14:paraId="2E1251AD" w14:textId="17FDF205" w:rsidR="00B213E5" w:rsidRDefault="00AA58BB">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t>page </w:t>
    </w:r>
    <w:r>
      <w:rPr>
        <w:color w:val="000000"/>
        <w:sz w:val="20"/>
        <w:szCs w:val="20"/>
      </w:rPr>
      <w:fldChar w:fldCharType="begin"/>
    </w:r>
    <w:r>
      <w:rPr>
        <w:color w:val="000000"/>
        <w:sz w:val="20"/>
        <w:szCs w:val="20"/>
      </w:rPr>
      <w:instrText>PAGE</w:instrText>
    </w:r>
    <w:r>
      <w:rPr>
        <w:color w:val="000000"/>
        <w:sz w:val="20"/>
        <w:szCs w:val="20"/>
      </w:rPr>
      <w:fldChar w:fldCharType="separate"/>
    </w:r>
    <w:r w:rsidR="00F57B2F">
      <w:rPr>
        <w:noProof/>
        <w:color w:val="000000"/>
        <w:sz w:val="20"/>
        <w:szCs w:val="20"/>
      </w:rPr>
      <w:t>2</w:t>
    </w:r>
    <w:r>
      <w:rPr>
        <w:color w:val="00000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C718" w14:textId="77777777" w:rsidR="00B213E5" w:rsidRDefault="00AA58BB">
    <w:pPr>
      <w:pBdr>
        <w:top w:val="nil"/>
        <w:left w:val="nil"/>
        <w:bottom w:val="nil"/>
        <w:right w:val="nil"/>
        <w:between w:val="nil"/>
      </w:pBdr>
      <w:tabs>
        <w:tab w:val="center" w:pos="4153"/>
        <w:tab w:val="right" w:pos="8306"/>
      </w:tabs>
      <w:jc w:val="right"/>
      <w:rPr>
        <w:color w:val="000000"/>
      </w:rPr>
    </w:pPr>
    <w:r>
      <w:rPr>
        <w:color w:val="000000"/>
        <w:sz w:val="20"/>
        <w:szCs w:val="20"/>
      </w:rPr>
      <w:t>IOC-33/</w:t>
    </w:r>
    <w:r>
      <w:rPr>
        <w:color w:val="000000"/>
        <w:sz w:val="20"/>
        <w:szCs w:val="20"/>
        <w:highlight w:val="yellow"/>
      </w:rPr>
      <w:t xml:space="preserve">agenda item </w:t>
    </w:r>
    <w:r>
      <w:rPr>
        <w:sz w:val="20"/>
        <w:szCs w:val="20"/>
        <w:highlight w:val="yellow"/>
      </w:rPr>
      <w:t>3.4.4</w:t>
    </w:r>
    <w:r>
      <w:rPr>
        <w:sz w:val="20"/>
        <w:szCs w:val="20"/>
      </w:rPr>
      <w:t xml:space="preserve">. </w:t>
    </w:r>
    <w:proofErr w:type="gramStart"/>
    <w:r>
      <w:rPr>
        <w:color w:val="000000"/>
        <w:sz w:val="20"/>
        <w:szCs w:val="20"/>
      </w:rPr>
      <w:t>Doc(</w:t>
    </w:r>
    <w:proofErr w:type="gramEnd"/>
    <w:r>
      <w:rPr>
        <w:color w:val="000000"/>
        <w:sz w:val="20"/>
        <w:szCs w:val="20"/>
      </w:rPr>
      <w:t>1)</w:t>
    </w:r>
  </w:p>
  <w:p w14:paraId="2F1BBE4F" w14:textId="77777777" w:rsidR="00B213E5" w:rsidRDefault="00AA58BB">
    <w:pPr>
      <w:pBdr>
        <w:top w:val="nil"/>
        <w:left w:val="nil"/>
        <w:bottom w:val="nil"/>
        <w:right w:val="nil"/>
        <w:between w:val="nil"/>
      </w:pBdr>
      <w:tabs>
        <w:tab w:val="center" w:pos="4153"/>
        <w:tab w:val="right" w:pos="8306"/>
      </w:tabs>
      <w:jc w:val="right"/>
      <w:rPr>
        <w:color w:val="000000"/>
      </w:rPr>
    </w:pPr>
    <w:r>
      <w:rPr>
        <w:color w:val="000000"/>
      </w:rPr>
      <w:t>page </w:t>
    </w:r>
    <w:r>
      <w:rPr>
        <w:color w:val="000000"/>
      </w:rPr>
      <w:fldChar w:fldCharType="begin"/>
    </w:r>
    <w:r>
      <w:rPr>
        <w:color w:val="000000"/>
      </w:rPr>
      <w:instrText>PAGE</w:instrText>
    </w:r>
    <w:r>
      <w:rPr>
        <w:color w:val="000000"/>
      </w:rPr>
      <w:fldChar w:fldCharType="separate"/>
    </w:r>
    <w:r>
      <w:rPr>
        <w:color w:val="000000"/>
      </w:rPr>
      <w:fldChar w:fldCharType="end"/>
    </w:r>
  </w:p>
  <w:p w14:paraId="5660A754" w14:textId="77777777" w:rsidR="00B213E5" w:rsidRDefault="00B213E5">
    <w:pPr>
      <w:pBdr>
        <w:top w:val="nil"/>
        <w:left w:val="nil"/>
        <w:bottom w:val="nil"/>
        <w:right w:val="nil"/>
        <w:between w:val="nil"/>
      </w:pBdr>
      <w:tabs>
        <w:tab w:val="center" w:pos="4153"/>
        <w:tab w:val="right" w:pos="8306"/>
      </w:tabs>
      <w:ind w:left="680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05E0" w14:textId="77777777" w:rsidR="00F57B2F" w:rsidRDefault="00F57B2F" w:rsidP="00F57B2F">
    <w:pPr>
      <w:pBdr>
        <w:top w:val="nil"/>
        <w:left w:val="nil"/>
        <w:bottom w:val="nil"/>
        <w:right w:val="nil"/>
        <w:between w:val="nil"/>
      </w:pBdr>
      <w:tabs>
        <w:tab w:val="left" w:pos="5812"/>
        <w:tab w:val="left" w:pos="7560"/>
      </w:tabs>
      <w:jc w:val="both"/>
      <w:rPr>
        <w:b/>
        <w:color w:val="000000"/>
      </w:rPr>
    </w:pPr>
    <w:r>
      <w:rPr>
        <w:color w:val="000000"/>
      </w:rPr>
      <w:t>Restricted Distribution</w:t>
    </w:r>
    <w:r>
      <w:rPr>
        <w:color w:val="000000"/>
      </w:rPr>
      <w:tab/>
    </w:r>
    <w:r>
      <w:rPr>
        <w:b/>
        <w:color w:val="000000"/>
        <w:sz w:val="36"/>
        <w:szCs w:val="36"/>
      </w:rPr>
      <w:t>IOC/A-33/3.4.</w:t>
    </w:r>
    <w:proofErr w:type="gramStart"/>
    <w:r>
      <w:rPr>
        <w:b/>
        <w:color w:val="000000"/>
        <w:sz w:val="36"/>
        <w:szCs w:val="36"/>
      </w:rPr>
      <w:t>4.Doc</w:t>
    </w:r>
    <w:proofErr w:type="gramEnd"/>
    <w:r>
      <w:rPr>
        <w:b/>
        <w:color w:val="000000"/>
        <w:sz w:val="36"/>
        <w:szCs w:val="36"/>
      </w:rPr>
      <w:t xml:space="preserve">(1) </w:t>
    </w:r>
  </w:p>
  <w:p w14:paraId="294E3253" w14:textId="77777777" w:rsidR="00F57B2F" w:rsidRDefault="00F57B2F" w:rsidP="00F57B2F">
    <w:pPr>
      <w:tabs>
        <w:tab w:val="left" w:pos="5812"/>
        <w:tab w:val="left" w:pos="7560"/>
      </w:tabs>
      <w:jc w:val="both"/>
    </w:pPr>
    <w:r>
      <w:rPr>
        <w:b/>
      </w:rPr>
      <w:tab/>
    </w:r>
    <w:r>
      <w:t>Paris, 15 April</w:t>
    </w:r>
    <w:r w:rsidRPr="00F57B2F">
      <w:t xml:space="preserve"> </w:t>
    </w:r>
    <w:r>
      <w:t>2025</w:t>
    </w:r>
    <w:r>
      <w:rPr>
        <w:noProof/>
      </w:rPr>
      <w:drawing>
        <wp:anchor distT="0" distB="0" distL="114300" distR="114300" simplePos="0" relativeHeight="251659264" behindDoc="0" locked="0" layoutInCell="1" hidden="0" allowOverlap="1" wp14:anchorId="3241BE1F" wp14:editId="1F2774B2">
          <wp:simplePos x="0" y="0"/>
          <wp:positionH relativeFrom="column">
            <wp:posOffset>-19684</wp:posOffset>
          </wp:positionH>
          <wp:positionV relativeFrom="paragraph">
            <wp:posOffset>101600</wp:posOffset>
          </wp:positionV>
          <wp:extent cx="1578610" cy="1047115"/>
          <wp:effectExtent l="0" t="0" r="0" b="0"/>
          <wp:wrapSquare wrapText="bothSides" distT="0" distB="0" distL="114300" distR="11430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p>
  <w:p w14:paraId="37ED6CB9" w14:textId="77777777" w:rsidR="00F57B2F" w:rsidRDefault="00F57B2F" w:rsidP="00F57B2F">
    <w:pPr>
      <w:tabs>
        <w:tab w:val="left" w:pos="5812"/>
        <w:tab w:val="left" w:pos="7560"/>
      </w:tabs>
      <w:jc w:val="both"/>
    </w:pPr>
    <w:r>
      <w:rPr>
        <w:b/>
      </w:rPr>
      <w:tab/>
    </w:r>
    <w:r>
      <w:t>Original: English</w:t>
    </w:r>
  </w:p>
  <w:p w14:paraId="2A70D57E" w14:textId="77777777" w:rsidR="00F57B2F" w:rsidRDefault="00F57B2F" w:rsidP="00F57B2F">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rPr>
    </w:pPr>
  </w:p>
  <w:p w14:paraId="45BB05E9" w14:textId="77777777" w:rsidR="00F57B2F" w:rsidRDefault="00F57B2F" w:rsidP="00F57B2F">
    <w:pPr>
      <w:tabs>
        <w:tab w:val="left" w:pos="-1440"/>
        <w:tab w:val="left" w:pos="-720"/>
        <w:tab w:val="left" w:pos="720"/>
        <w:tab w:val="left" w:pos="2160"/>
        <w:tab w:val="left" w:pos="3600"/>
        <w:tab w:val="left" w:pos="4320"/>
        <w:tab w:val="left" w:pos="5040"/>
        <w:tab w:val="left" w:pos="5523"/>
        <w:tab w:val="left" w:pos="6480"/>
      </w:tabs>
      <w:ind w:left="2772"/>
      <w:rPr>
        <w:b/>
      </w:rPr>
    </w:pPr>
  </w:p>
  <w:p w14:paraId="32DE8BE5" w14:textId="77777777" w:rsidR="00F57B2F" w:rsidRDefault="00F57B2F" w:rsidP="00F57B2F">
    <w:pPr>
      <w:tabs>
        <w:tab w:val="left" w:pos="-1440"/>
        <w:tab w:val="left" w:pos="-720"/>
        <w:tab w:val="left" w:pos="720"/>
        <w:tab w:val="left" w:pos="2160"/>
        <w:tab w:val="left" w:pos="3600"/>
        <w:tab w:val="left" w:pos="4320"/>
        <w:tab w:val="left" w:pos="5040"/>
        <w:tab w:val="left" w:pos="5523"/>
        <w:tab w:val="left" w:pos="6480"/>
      </w:tabs>
      <w:ind w:left="2772"/>
      <w:rPr>
        <w:b/>
      </w:rPr>
    </w:pPr>
  </w:p>
  <w:p w14:paraId="1EA99846" w14:textId="77777777" w:rsidR="00F57B2F" w:rsidRDefault="00F57B2F" w:rsidP="00F57B2F">
    <w:pPr>
      <w:tabs>
        <w:tab w:val="left" w:pos="-1440"/>
        <w:tab w:val="left" w:pos="-720"/>
        <w:tab w:val="left" w:pos="720"/>
        <w:tab w:val="left" w:pos="2160"/>
        <w:tab w:val="left" w:pos="3600"/>
        <w:tab w:val="left" w:pos="4320"/>
        <w:tab w:val="left" w:pos="5040"/>
        <w:tab w:val="left" w:pos="5523"/>
        <w:tab w:val="left" w:pos="6480"/>
      </w:tabs>
      <w:ind w:left="2772"/>
      <w:rPr>
        <w:b/>
      </w:rPr>
    </w:pPr>
  </w:p>
  <w:p w14:paraId="6B43853A" w14:textId="77777777" w:rsidR="00F57B2F" w:rsidRDefault="00F57B2F" w:rsidP="00F57B2F">
    <w:pPr>
      <w:tabs>
        <w:tab w:val="left" w:pos="-1440"/>
        <w:tab w:val="left" w:pos="-720"/>
        <w:tab w:val="left" w:pos="720"/>
        <w:tab w:val="left" w:pos="2160"/>
        <w:tab w:val="left" w:pos="3600"/>
        <w:tab w:val="left" w:pos="4320"/>
        <w:tab w:val="left" w:pos="5040"/>
        <w:tab w:val="left" w:pos="5523"/>
        <w:tab w:val="left" w:pos="6480"/>
      </w:tabs>
      <w:ind w:left="2772"/>
      <w:rPr>
        <w:b/>
      </w:rPr>
    </w:pPr>
  </w:p>
  <w:p w14:paraId="185AED12" w14:textId="77777777" w:rsidR="00F57B2F" w:rsidRDefault="00F57B2F" w:rsidP="00F57B2F">
    <w:pPr>
      <w:tabs>
        <w:tab w:val="left" w:pos="-1440"/>
        <w:tab w:val="left" w:pos="-720"/>
        <w:tab w:val="left" w:pos="720"/>
        <w:tab w:val="left" w:pos="2160"/>
        <w:tab w:val="left" w:pos="3600"/>
        <w:tab w:val="left" w:pos="4320"/>
        <w:tab w:val="left" w:pos="5040"/>
        <w:tab w:val="left" w:pos="5523"/>
        <w:tab w:val="left" w:pos="6480"/>
      </w:tabs>
      <w:ind w:left="2772"/>
      <w:rPr>
        <w:b/>
      </w:rPr>
    </w:pPr>
  </w:p>
  <w:p w14:paraId="73458DB3" w14:textId="77777777" w:rsidR="00F57B2F" w:rsidRDefault="00F57B2F" w:rsidP="00F57B2F">
    <w:pPr>
      <w:tabs>
        <w:tab w:val="left" w:pos="-1440"/>
        <w:tab w:val="left" w:pos="-720"/>
        <w:tab w:val="left" w:pos="720"/>
        <w:tab w:val="left" w:pos="2160"/>
        <w:tab w:val="left" w:pos="3600"/>
        <w:tab w:val="left" w:pos="4320"/>
        <w:tab w:val="left" w:pos="5040"/>
        <w:tab w:val="left" w:pos="5523"/>
        <w:tab w:val="left" w:pos="6480"/>
      </w:tabs>
      <w:jc w:val="center"/>
      <w:rPr>
        <w:b/>
      </w:rPr>
    </w:pPr>
    <w:r>
      <w:rPr>
        <w:b/>
      </w:rPr>
      <w:t>INTERGOVERNMENTAL OCEANOGRAPHIC COMMISSION</w:t>
    </w:r>
  </w:p>
  <w:p w14:paraId="4E59F4C7" w14:textId="77777777" w:rsidR="00F57B2F" w:rsidRDefault="00F57B2F" w:rsidP="00F57B2F">
    <w:pPr>
      <w:tabs>
        <w:tab w:val="left" w:pos="-1440"/>
        <w:tab w:val="left" w:pos="-720"/>
        <w:tab w:val="left" w:pos="720"/>
        <w:tab w:val="left" w:pos="2160"/>
        <w:tab w:val="left" w:pos="3600"/>
        <w:tab w:val="left" w:pos="4320"/>
        <w:tab w:val="left" w:pos="5040"/>
        <w:tab w:val="left" w:pos="5523"/>
        <w:tab w:val="left" w:pos="6480"/>
      </w:tabs>
      <w:jc w:val="center"/>
    </w:pPr>
    <w:r>
      <w:t>(of UNESCO)</w:t>
    </w:r>
  </w:p>
  <w:p w14:paraId="6C104DBB" w14:textId="77777777" w:rsidR="00F57B2F" w:rsidRDefault="00F57B2F" w:rsidP="00F57B2F">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rPr>
    </w:pPr>
  </w:p>
  <w:p w14:paraId="4882FE29" w14:textId="77777777" w:rsidR="00F57B2F" w:rsidRDefault="00F57B2F" w:rsidP="00F57B2F">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rPr>
    </w:pPr>
    <w:r>
      <w:rPr>
        <w:b/>
      </w:rPr>
      <w:t>Thirty-third Session of the Assembly</w:t>
    </w:r>
  </w:p>
  <w:p w14:paraId="645D5537" w14:textId="77777777" w:rsidR="00F57B2F" w:rsidRDefault="00F57B2F" w:rsidP="00F57B2F">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pPr>
    <w:r>
      <w:t>UNESCO, 25 June–3 July 2025</w:t>
    </w:r>
  </w:p>
  <w:p w14:paraId="6B9B1584" w14:textId="77777777" w:rsidR="00F57B2F" w:rsidRDefault="00F57B2F" w:rsidP="00F57B2F">
    <w:pPr>
      <w:tabs>
        <w:tab w:val="left" w:pos="-1440"/>
        <w:tab w:val="left" w:pos="-720"/>
        <w:tab w:val="left" w:pos="720"/>
        <w:tab w:val="left" w:pos="1440"/>
        <w:tab w:val="left" w:pos="2160"/>
        <w:tab w:val="left" w:pos="3600"/>
        <w:tab w:val="left" w:pos="4320"/>
        <w:tab w:val="left" w:pos="5040"/>
        <w:tab w:val="left" w:pos="5523"/>
        <w:tab w:val="left" w:pos="6480"/>
      </w:tabs>
      <w:jc w:val="center"/>
    </w:pPr>
  </w:p>
  <w:p w14:paraId="3795506E" w14:textId="77777777" w:rsidR="00F57B2F" w:rsidRDefault="00F57B2F" w:rsidP="00F57B2F">
    <w:pPr>
      <w:jc w:val="center"/>
    </w:pPr>
  </w:p>
  <w:p w14:paraId="763B5FF4" w14:textId="77777777" w:rsidR="00F57B2F" w:rsidRDefault="00F57B2F" w:rsidP="00F57B2F">
    <w:pPr>
      <w:jc w:val="center"/>
    </w:pPr>
  </w:p>
  <w:p w14:paraId="5EDD053B" w14:textId="77777777" w:rsidR="00F57B2F" w:rsidRDefault="00F57B2F" w:rsidP="00F57B2F">
    <w:pPr>
      <w:jc w:val="center"/>
    </w:pPr>
  </w:p>
  <w:p w14:paraId="601E905C" w14:textId="77777777" w:rsidR="00F57B2F" w:rsidRDefault="00F57B2F" w:rsidP="00F57B2F">
    <w:pPr>
      <w:jc w:val="center"/>
    </w:pPr>
  </w:p>
  <w:p w14:paraId="0F94F0CB" w14:textId="77777777" w:rsidR="00F57B2F" w:rsidRDefault="00F57B2F" w:rsidP="00F57B2F">
    <w:pPr>
      <w:jc w:val="center"/>
    </w:pPr>
  </w:p>
  <w:p w14:paraId="5FE64747" w14:textId="77777777" w:rsidR="00F57B2F" w:rsidRPr="00F57B2F" w:rsidRDefault="00F57B2F" w:rsidP="00F57B2F">
    <w:pPr>
      <w:keepNext/>
      <w:pBdr>
        <w:top w:val="nil"/>
        <w:left w:val="nil"/>
        <w:bottom w:val="nil"/>
        <w:right w:val="nil"/>
        <w:between w:val="nil"/>
      </w:pBdr>
      <w:tabs>
        <w:tab w:val="right" w:pos="9540"/>
      </w:tabs>
      <w:rPr>
        <w:bCs/>
        <w:color w:val="000000"/>
        <w:u w:val="single"/>
      </w:rPr>
    </w:pPr>
    <w:r w:rsidRPr="00F57B2F">
      <w:rPr>
        <w:bCs/>
        <w:color w:val="000000"/>
        <w:sz w:val="24"/>
        <w:szCs w:val="24"/>
        <w:u w:val="single"/>
      </w:rPr>
      <w:t xml:space="preserve">Item </w:t>
    </w:r>
    <w:r w:rsidRPr="00F57B2F">
      <w:rPr>
        <w:b/>
        <w:color w:val="000000"/>
        <w:sz w:val="24"/>
        <w:szCs w:val="24"/>
        <w:u w:val="single"/>
      </w:rPr>
      <w:t>3.4.</w:t>
    </w:r>
    <w:r w:rsidRPr="00F57B2F">
      <w:rPr>
        <w:b/>
        <w:sz w:val="24"/>
        <w:szCs w:val="24"/>
        <w:u w:val="single"/>
      </w:rPr>
      <w:t>4</w:t>
    </w:r>
    <w:r w:rsidRPr="00F57B2F">
      <w:rPr>
        <w:bCs/>
        <w:color w:val="000000"/>
        <w:sz w:val="24"/>
        <w:szCs w:val="24"/>
        <w:u w:val="single"/>
      </w:rPr>
      <w:t xml:space="preserve"> of the Provisional Agenda</w:t>
    </w:r>
  </w:p>
  <w:p w14:paraId="20495D17" w14:textId="77777777" w:rsidR="00F57B2F" w:rsidRDefault="00F57B2F" w:rsidP="00F57B2F"/>
  <w:p w14:paraId="3984FD38" w14:textId="77777777" w:rsidR="00F57B2F" w:rsidRDefault="00F57B2F" w:rsidP="00F57B2F"/>
  <w:p w14:paraId="3DF31A38" w14:textId="77777777" w:rsidR="00F57B2F" w:rsidRDefault="00F57B2F" w:rsidP="00F57B2F">
    <w:pPr>
      <w:pBdr>
        <w:top w:val="nil"/>
        <w:left w:val="nil"/>
        <w:bottom w:val="nil"/>
        <w:right w:val="nil"/>
        <w:between w:val="nil"/>
      </w:pBdr>
      <w:tabs>
        <w:tab w:val="center" w:pos="4153"/>
        <w:tab w:val="right" w:pos="8306"/>
      </w:tabs>
      <w:spacing w:after="480"/>
      <w:jc w:val="center"/>
      <w:rPr>
        <w:b/>
        <w:smallCaps/>
        <w:color w:val="000000"/>
        <w:sz w:val="24"/>
        <w:szCs w:val="24"/>
      </w:rPr>
    </w:pPr>
    <w:r w:rsidRPr="00F57B2F">
      <w:rPr>
        <w:b/>
        <w:smallCaps/>
        <w:color w:val="000000"/>
        <w:sz w:val="24"/>
        <w:szCs w:val="24"/>
      </w:rPr>
      <w:t>AN IOC OCEAN BEST PRACTICES SYSTEM</w:t>
    </w:r>
  </w:p>
  <w:p w14:paraId="7FA7C96B" w14:textId="52414424" w:rsidR="00B213E5" w:rsidRPr="00F57B2F" w:rsidRDefault="00B213E5" w:rsidP="00F57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42965"/>
    <w:multiLevelType w:val="multilevel"/>
    <w:tmpl w:val="9F60B10E"/>
    <w:lvl w:ilvl="0">
      <w:start w:val="1"/>
      <w:numFmt w:val="decimal"/>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42048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3E5"/>
    <w:rsid w:val="000D082D"/>
    <w:rsid w:val="00407CC5"/>
    <w:rsid w:val="004C06BF"/>
    <w:rsid w:val="005D78AE"/>
    <w:rsid w:val="007F78E8"/>
    <w:rsid w:val="00886F29"/>
    <w:rsid w:val="00A41B01"/>
    <w:rsid w:val="00AA58BB"/>
    <w:rsid w:val="00B213E5"/>
    <w:rsid w:val="00D86E92"/>
    <w:rsid w:val="00E7249D"/>
    <w:rsid w:val="00F572C2"/>
    <w:rsid w:val="00F57B2F"/>
    <w:rsid w:val="00F67F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29FA0"/>
  <w15:docId w15:val="{C470D5E2-A78C-4302-8BD8-7EB4B0BD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fr-FR"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480" w:after="240"/>
      <w:ind w:left="567" w:hanging="567"/>
      <w:outlineLvl w:val="1"/>
    </w:pPr>
    <w:rPr>
      <w:b/>
      <w:smallCaps/>
    </w:rPr>
  </w:style>
  <w:style w:type="paragraph" w:styleId="Heading3">
    <w:name w:val="heading 3"/>
    <w:basedOn w:val="Normal"/>
    <w:next w:val="Normal"/>
    <w:uiPriority w:val="9"/>
    <w:unhideWhenUsed/>
    <w:qFormat/>
    <w:pPr>
      <w:keepNext/>
      <w:keepLines/>
      <w:spacing w:after="240"/>
      <w:outlineLvl w:val="2"/>
    </w:pPr>
    <w:rPr>
      <w:b/>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F57B2F"/>
    <w:pPr>
      <w:tabs>
        <w:tab w:val="clear" w:pos="567"/>
        <w:tab w:val="center" w:pos="4536"/>
        <w:tab w:val="right" w:pos="9072"/>
      </w:tabs>
    </w:pPr>
  </w:style>
  <w:style w:type="character" w:customStyle="1" w:styleId="FooterChar">
    <w:name w:val="Footer Char"/>
    <w:basedOn w:val="DefaultParagraphFont"/>
    <w:link w:val="Footer"/>
    <w:uiPriority w:val="99"/>
    <w:rsid w:val="00F57B2F"/>
  </w:style>
  <w:style w:type="paragraph" w:styleId="Header">
    <w:name w:val="header"/>
    <w:basedOn w:val="Normal"/>
    <w:link w:val="HeaderChar"/>
    <w:uiPriority w:val="99"/>
    <w:semiHidden/>
    <w:unhideWhenUsed/>
    <w:rsid w:val="00F57B2F"/>
    <w:pPr>
      <w:tabs>
        <w:tab w:val="clear" w:pos="567"/>
        <w:tab w:val="center" w:pos="4536"/>
        <w:tab w:val="right" w:pos="9072"/>
      </w:tabs>
    </w:pPr>
  </w:style>
  <w:style w:type="character" w:customStyle="1" w:styleId="HeaderChar">
    <w:name w:val="Header Char"/>
    <w:basedOn w:val="DefaultParagraphFont"/>
    <w:link w:val="Header"/>
    <w:uiPriority w:val="99"/>
    <w:semiHidden/>
    <w:rsid w:val="00F57B2F"/>
  </w:style>
  <w:style w:type="character" w:styleId="Hyperlink">
    <w:name w:val="Hyperlink"/>
    <w:basedOn w:val="DefaultParagraphFont"/>
    <w:uiPriority w:val="99"/>
    <w:unhideWhenUsed/>
    <w:rsid w:val="00F57B2F"/>
    <w:rPr>
      <w:color w:val="0000FF" w:themeColor="hyperlink"/>
      <w:u w:val="single"/>
    </w:rPr>
  </w:style>
  <w:style w:type="character" w:styleId="UnresolvedMention">
    <w:name w:val="Unresolved Mention"/>
    <w:basedOn w:val="DefaultParagraphFont"/>
    <w:uiPriority w:val="99"/>
    <w:semiHidden/>
    <w:unhideWhenUsed/>
    <w:rsid w:val="00F57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ceanexpert.org/document/354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esdoc.unesco.org/ark:/48223/pf0000381388.locale=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746</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Boned, Patrice</dc:creator>
  <cp:lastModifiedBy>Boned, Patrice</cp:lastModifiedBy>
  <cp:revision>5</cp:revision>
  <cp:lastPrinted>2025-05-20T15:56:00Z</cp:lastPrinted>
  <dcterms:created xsi:type="dcterms:W3CDTF">2025-05-20T15:56:00Z</dcterms:created>
  <dcterms:modified xsi:type="dcterms:W3CDTF">2025-05-27T08:59:00Z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