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2"/>
        <w:tblW w:w="7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654"/>
      </w:tblGrid>
      <w:tr w:rsidR="00AD4DEF" w14:paraId="46CE136B" w14:textId="77777777">
        <w:trPr>
          <w:jc w:val="center"/>
        </w:trPr>
        <w:tc>
          <w:tcPr>
            <w:tcW w:w="7654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1BC31F" w14:textId="77777777" w:rsidR="00A635A5" w:rsidRDefault="00D4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  <w:lang w:val="ru"/>
              </w:rPr>
              <w:t>Резюме</w:t>
            </w:r>
          </w:p>
          <w:p w14:paraId="11194B3D" w14:textId="77777777" w:rsidR="00A635A5" w:rsidRPr="00D40AC8" w:rsidRDefault="00D4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В решении A-32/4.8.2 Ассамблея МОК постановила учредить специальную межсессионную Рабочую</w:t>
            </w:r>
            <w:r>
              <w:rPr>
                <w:lang w:val="ru"/>
              </w:rPr>
              <w:t xml:space="preserve"> </w:t>
            </w:r>
            <w:r>
              <w:rPr>
                <w:color w:val="000000"/>
                <w:lang w:val="ru"/>
              </w:rPr>
              <w:t>группу по наблюдениям за океаном в районах под национальной юрисдикцией с кругом ведения, представленным в приложении к тому же решению, и попросила Рабочую группу представить свой доклад на 33-й сессии Ассамблеи МОК.</w:t>
            </w:r>
          </w:p>
          <w:p w14:paraId="126827DF" w14:textId="77777777" w:rsidR="00A635A5" w:rsidRDefault="00D4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  <w:lang w:val="ru"/>
              </w:rPr>
              <w:t xml:space="preserve">Настоящий документ содержит доклад </w:t>
            </w:r>
            <w:r>
              <w:rPr>
                <w:lang w:val="ru"/>
              </w:rPr>
              <w:t>Р</w:t>
            </w:r>
            <w:r>
              <w:rPr>
                <w:color w:val="000000"/>
                <w:lang w:val="ru"/>
              </w:rPr>
              <w:t xml:space="preserve">абочей группы, </w:t>
            </w:r>
            <w:r>
              <w:rPr>
                <w:lang w:val="ru"/>
              </w:rPr>
              <w:t xml:space="preserve">включая </w:t>
            </w:r>
            <w:r>
              <w:rPr>
                <w:color w:val="000000"/>
                <w:lang w:val="ru"/>
              </w:rPr>
              <w:t xml:space="preserve">рекомендации по </w:t>
            </w:r>
            <w:r>
              <w:rPr>
                <w:lang w:val="ru"/>
              </w:rPr>
              <w:t>мероприятиям</w:t>
            </w:r>
            <w:r>
              <w:rPr>
                <w:color w:val="000000"/>
                <w:lang w:val="ru"/>
              </w:rPr>
              <w:t xml:space="preserve">. </w:t>
            </w:r>
          </w:p>
          <w:p w14:paraId="40CE5F24" w14:textId="77777777" w:rsidR="00A635A5" w:rsidRDefault="00D40AC8">
            <w:pPr>
              <w:spacing w:after="120"/>
              <w:jc w:val="both"/>
            </w:pPr>
            <w:r>
              <w:rPr>
                <w:lang w:val="ru"/>
              </w:rPr>
              <w:t xml:space="preserve">Финансовые и административные последствия: пункт 14.  </w:t>
            </w:r>
          </w:p>
          <w:p w14:paraId="4824CCB5" w14:textId="77777777" w:rsidR="00A635A5" w:rsidRDefault="00D40A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</w:rPr>
            </w:pPr>
            <w:r>
              <w:rPr>
                <w:color w:val="000000"/>
                <w:u w:val="single"/>
                <w:lang w:val="ru"/>
              </w:rPr>
              <w:t>Предлагаемое(-ые) решение(-я)</w:t>
            </w:r>
            <w:r>
              <w:rPr>
                <w:color w:val="000000"/>
                <w:lang w:val="ru"/>
              </w:rPr>
              <w:t xml:space="preserve"> представлено(-ы) в Документе о принятых и предлагаемых мерах (документ </w:t>
            </w:r>
            <w:hyperlink r:id="rId8" w:history="1">
              <w:r w:rsidR="00A635A5">
                <w:rPr>
                  <w:rStyle w:val="Hyperlink"/>
                  <w:lang w:val="ru"/>
                </w:rPr>
                <w:t>IOC/A-33/2 Prov.</w:t>
              </w:r>
            </w:hyperlink>
            <w:r>
              <w:rPr>
                <w:color w:val="000000"/>
                <w:lang w:val="ru"/>
              </w:rPr>
              <w:t>) под номером A-33/Dec.4.5.3.</w:t>
            </w:r>
          </w:p>
        </w:tc>
      </w:tr>
    </w:tbl>
    <w:p w14:paraId="6ACBDDA4" w14:textId="77777777" w:rsidR="0043700A" w:rsidRDefault="0043700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000000"/>
        </w:rPr>
      </w:pPr>
    </w:p>
    <w:p w14:paraId="2A02BA64" w14:textId="77777777" w:rsidR="0043700A" w:rsidRDefault="00D40AC8">
      <w:pPr>
        <w:snapToGrid/>
        <w:rPr>
          <w:b/>
          <w:color w:val="000000"/>
        </w:rPr>
      </w:pPr>
      <w:r>
        <w:rPr>
          <w:b/>
          <w:bCs/>
          <w:color w:val="000000"/>
          <w:lang w:val="ru"/>
        </w:rPr>
        <w:br w:type="page"/>
      </w:r>
    </w:p>
    <w:p w14:paraId="45B551B0" w14:textId="77777777" w:rsidR="00A635A5" w:rsidRDefault="00D40AC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000000"/>
        </w:rPr>
      </w:pPr>
      <w:r>
        <w:rPr>
          <w:b/>
          <w:bCs/>
          <w:color w:val="000000"/>
          <w:lang w:val="ru"/>
        </w:rPr>
        <w:lastRenderedPageBreak/>
        <w:t>Введение</w:t>
      </w:r>
    </w:p>
    <w:p w14:paraId="580BB217" w14:textId="77777777" w:rsidR="00A635A5" w:rsidRDefault="00D40AC8" w:rsidP="00A4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color w:val="000000"/>
        </w:rPr>
      </w:pPr>
      <w:r>
        <w:rPr>
          <w:lang w:val="ru"/>
        </w:rPr>
        <w:t xml:space="preserve">В соответствии с решением Ассамблеи </w:t>
      </w:r>
      <w:hyperlink r:id="rId9">
        <w:r w:rsidR="00A635A5">
          <w:rPr>
            <w:color w:val="1155CC"/>
            <w:u w:val="single"/>
            <w:lang w:val="ru"/>
          </w:rPr>
          <w:t>A-32/4.8.2</w:t>
        </w:r>
      </w:hyperlink>
      <w:r>
        <w:rPr>
          <w:lang w:val="ru"/>
        </w:rPr>
        <w:t xml:space="preserve"> (2023 г.) была создана специальная межсессионная Рабочая группа </w:t>
      </w:r>
      <w:r>
        <w:rPr>
          <w:color w:val="000000"/>
          <w:lang w:val="ru"/>
        </w:rPr>
        <w:t>по наблюдениям за океаном в районах под национальной юрисдикцией</w:t>
      </w:r>
      <w:r>
        <w:rPr>
          <w:lang w:val="ru"/>
        </w:rPr>
        <w:t xml:space="preserve"> (именуемая далее Рабочая группа) с представителями 27 государств-членов под сопредседательством д-ра Сьюзан М. Эль-Гарабави (Египет) и г-на Ариэля Эрнана Троиси (Аргентина). Рабочая группа собиралась ежемесячно начиная с ноября 2023 года.</w:t>
      </w:r>
    </w:p>
    <w:p w14:paraId="53BBFE70" w14:textId="77777777" w:rsidR="00A635A5" w:rsidRPr="00D40AC8" w:rsidRDefault="00D40AC8" w:rsidP="00A4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t>Рабочая группа представила промежуточный отчет (</w:t>
      </w:r>
      <w:hyperlink r:id="rId10">
        <w:r w:rsidR="00A635A5">
          <w:rPr>
            <w:color w:val="1155CC"/>
            <w:highlight w:val="white"/>
            <w:u w:val="single"/>
            <w:lang w:val="ru"/>
          </w:rPr>
          <w:t>IOC/EC-57/4.2.Doc(1</w:t>
        </w:r>
      </w:hyperlink>
      <w:hyperlink r:id="rId11">
        <w:r w:rsidR="00A635A5">
          <w:rPr>
            <w:color w:val="1155CC"/>
            <w:u w:val="single"/>
            <w:lang w:val="ru"/>
          </w:rPr>
          <w:t>)</w:t>
        </w:r>
      </w:hyperlink>
      <w:r>
        <w:rPr>
          <w:lang w:val="ru"/>
        </w:rPr>
        <w:t xml:space="preserve">) о своей работе на 57-й сессии Исполнительного совета МОК в июне 2024 года. Исполнительный совет МОК в своем решении </w:t>
      </w:r>
      <w:hyperlink r:id="rId12">
        <w:r w:rsidR="00A635A5">
          <w:rPr>
            <w:color w:val="1155CC"/>
            <w:u w:val="single"/>
            <w:lang w:val="ru"/>
          </w:rPr>
          <w:t>EC-57/4.2</w:t>
        </w:r>
      </w:hyperlink>
      <w:r>
        <w:rPr>
          <w:lang w:val="ru"/>
        </w:rPr>
        <w:t xml:space="preserve"> призвал Рабочую группу продолжить работу, а государства-члены – содействовать работе группы. </w:t>
      </w:r>
    </w:p>
    <w:p w14:paraId="6E1CDF9C" w14:textId="77777777" w:rsidR="00A635A5" w:rsidRPr="00D40AC8" w:rsidRDefault="00D40AC8" w:rsidP="00A4057B">
      <w:pPr>
        <w:numPr>
          <w:ilvl w:val="0"/>
          <w:numId w:val="1"/>
        </w:numPr>
        <w:tabs>
          <w:tab w:val="clear" w:pos="567"/>
          <w:tab w:val="left" w:pos="709"/>
        </w:tabs>
        <w:spacing w:after="240"/>
        <w:jc w:val="both"/>
        <w:rPr>
          <w:lang w:val="ru"/>
        </w:rPr>
      </w:pPr>
      <w:r>
        <w:rPr>
          <w:lang w:val="ru"/>
        </w:rPr>
        <w:t>В соответствии с кругом ведения Рабочая группа представляет нынешней Ассамблее результаты своей работы, включая рекомендации по мероприятиям.</w:t>
      </w:r>
    </w:p>
    <w:p w14:paraId="64BB441A" w14:textId="77777777" w:rsidR="00A635A5" w:rsidRDefault="00D40AC8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jc w:val="both"/>
      </w:pPr>
      <w:r>
        <w:rPr>
          <w:b/>
          <w:bCs/>
          <w:lang w:val="ru"/>
        </w:rPr>
        <w:t>Общая информация</w:t>
      </w:r>
    </w:p>
    <w:p w14:paraId="7F3090F4" w14:textId="77777777" w:rsidR="00A635A5" w:rsidRDefault="00D40AC8" w:rsidP="00A4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color w:val="000000"/>
        </w:rPr>
      </w:pPr>
      <w:r>
        <w:rPr>
          <w:lang w:val="ru"/>
        </w:rPr>
        <w:t>До 2023 года и обсуждение этого вопроса на 32-й сессии Ассамблеи:</w:t>
      </w:r>
    </w:p>
    <w:p w14:paraId="0535D5FB" w14:textId="77777777" w:rsidR="00A635A5" w:rsidRDefault="00D40AC8" w:rsidP="00A405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ind w:left="1276" w:hanging="567"/>
        <w:jc w:val="both"/>
        <w:rPr>
          <w:color w:val="000000"/>
        </w:rPr>
      </w:pPr>
      <w:r>
        <w:rPr>
          <w:color w:val="000000"/>
          <w:lang w:val="ru"/>
        </w:rPr>
        <w:t xml:space="preserve">Исполнительный совет МОК на 55-й сессии в 2022 году </w:t>
      </w:r>
      <w:r>
        <w:rPr>
          <w:lang w:val="ru"/>
        </w:rPr>
        <w:t xml:space="preserve">рассмотрел документ </w:t>
      </w:r>
      <w:hyperlink r:id="rId13">
        <w:r w:rsidR="00A635A5">
          <w:rPr>
            <w:color w:val="1155CC"/>
            <w:u w:val="single"/>
            <w:lang w:val="ru"/>
          </w:rPr>
          <w:t>IOC/EC-55/3.4.Doc(1)</w:t>
        </w:r>
      </w:hyperlink>
      <w:r>
        <w:rPr>
          <w:color w:val="000000"/>
          <w:lang w:val="ru"/>
        </w:rPr>
        <w:t xml:space="preserve">, в котором были освещены вопросы и решения по совершенствованию устойчивых наблюдений за океаном в районах под национальной юрисдикцией, а также роль МОК, ВМО и ОВОМП в этом отношении. В основу документа лег краткий доклад </w:t>
      </w:r>
      <w:r>
        <w:rPr>
          <w:i/>
          <w:iCs/>
          <w:color w:val="000000"/>
          <w:lang w:val="ru"/>
        </w:rPr>
        <w:t xml:space="preserve">Рабочего совещания по вопросу океанографических наблюдений в районах, подпадающих под национальную юрисдикцию </w:t>
      </w:r>
      <w:r>
        <w:rPr>
          <w:color w:val="000000"/>
          <w:lang w:val="ru"/>
        </w:rPr>
        <w:t>(</w:t>
      </w:r>
      <w:hyperlink r:id="rId14">
        <w:r w:rsidR="00A635A5">
          <w:rPr>
            <w:color w:val="1155CC"/>
            <w:u w:val="single"/>
            <w:lang w:val="ru"/>
          </w:rPr>
          <w:t>OONJ, 2021, GOOS-246</w:t>
        </w:r>
      </w:hyperlink>
      <w:r>
        <w:rPr>
          <w:color w:val="000000"/>
          <w:lang w:val="ru"/>
        </w:rPr>
        <w:t xml:space="preserve">). </w:t>
      </w:r>
    </w:p>
    <w:p w14:paraId="7D5EC30A" w14:textId="77777777" w:rsidR="00A635A5" w:rsidRPr="00D40AC8" w:rsidRDefault="00D40AC8" w:rsidP="00A4057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240"/>
        <w:ind w:left="1276" w:hanging="567"/>
        <w:jc w:val="both"/>
        <w:rPr>
          <w:color w:val="000000"/>
          <w:lang w:val="ru"/>
        </w:rPr>
      </w:pPr>
      <w:r>
        <w:rPr>
          <w:lang w:val="ru"/>
        </w:rPr>
        <w:t xml:space="preserve">В решении </w:t>
      </w:r>
      <w:hyperlink r:id="rId15">
        <w:r w:rsidR="00A635A5">
          <w:rPr>
            <w:color w:val="1155CC"/>
            <w:u w:val="single"/>
            <w:lang w:val="ru"/>
          </w:rPr>
          <w:t>IOC/EC-55/3.4</w:t>
        </w:r>
      </w:hyperlink>
      <w:r>
        <w:rPr>
          <w:lang w:val="ru"/>
        </w:rPr>
        <w:t xml:space="preserve"> Глобальной системе наблюдений за океаном было предложено представить подробную информацию по поднятым вопросам, а государствам-членам – сообщить об их опыте проведения устойчивых наблюдений за океаном в районах, подпадающих под их национальную юрисдикцию, в том числе о проблемах, выявленных ГСНО</w:t>
      </w:r>
      <w:r>
        <w:rPr>
          <w:color w:val="000000"/>
          <w:lang w:val="ru"/>
        </w:rPr>
        <w:t>.</w:t>
      </w:r>
      <w:r>
        <w:rPr>
          <w:lang w:val="ru"/>
        </w:rPr>
        <w:t xml:space="preserve"> В</w:t>
      </w:r>
      <w:r>
        <w:rPr>
          <w:color w:val="000000"/>
          <w:lang w:val="ru"/>
        </w:rPr>
        <w:t xml:space="preserve"> течение 2022-2023 годов были проведены</w:t>
      </w:r>
      <w:r>
        <w:rPr>
          <w:lang w:val="ru"/>
        </w:rPr>
        <w:t xml:space="preserve"> отдельные исследования</w:t>
      </w:r>
      <w:r>
        <w:rPr>
          <w:color w:val="000000"/>
          <w:lang w:val="ru"/>
        </w:rPr>
        <w:t xml:space="preserve">, </w:t>
      </w:r>
      <w:r>
        <w:rPr>
          <w:lang w:val="ru"/>
        </w:rPr>
        <w:t xml:space="preserve">нацеленные на получение обратной связи от </w:t>
      </w:r>
      <w:r>
        <w:rPr>
          <w:color w:val="000000"/>
          <w:lang w:val="ru"/>
        </w:rPr>
        <w:t xml:space="preserve">сетей ГСНО по наблюдениям и государств-членов. Результаты этих исследований были представлены на 32-й сессии Ассамблеи (2023 г.) </w:t>
      </w:r>
      <w:r>
        <w:rPr>
          <w:lang w:val="ru"/>
        </w:rPr>
        <w:t xml:space="preserve">в документе </w:t>
      </w:r>
      <w:hyperlink r:id="rId16">
        <w:r w:rsidR="00A635A5">
          <w:rPr>
            <w:color w:val="1155CC"/>
            <w:u w:val="single"/>
            <w:lang w:val="ru"/>
          </w:rPr>
          <w:t>IOC-32/4.8.2.Doc(1)</w:t>
        </w:r>
      </w:hyperlink>
      <w:r>
        <w:rPr>
          <w:color w:val="000000"/>
          <w:lang w:val="ru"/>
        </w:rPr>
        <w:t>.</w:t>
      </w:r>
    </w:p>
    <w:p w14:paraId="376D5410" w14:textId="77777777" w:rsidR="00A635A5" w:rsidRDefault="00D40AC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240"/>
        <w:rPr>
          <w:b/>
          <w:color w:val="000000"/>
        </w:rPr>
      </w:pPr>
      <w:r>
        <w:rPr>
          <w:b/>
          <w:bCs/>
          <w:color w:val="000000"/>
          <w:lang w:val="ru"/>
        </w:rPr>
        <w:t>Резюме дискуссий Рабочей группы</w:t>
      </w:r>
    </w:p>
    <w:p w14:paraId="783EC659" w14:textId="77777777" w:rsidR="00A635A5" w:rsidRPr="00D40AC8" w:rsidRDefault="00D40AC8" w:rsidP="00A4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Рабочая </w:t>
      </w:r>
      <w:r>
        <w:rPr>
          <w:lang w:val="ru"/>
        </w:rPr>
        <w:t>г</w:t>
      </w:r>
      <w:r>
        <w:rPr>
          <w:color w:val="000000"/>
          <w:lang w:val="ru"/>
        </w:rPr>
        <w:t xml:space="preserve">руппа </w:t>
      </w:r>
      <w:r>
        <w:rPr>
          <w:lang w:val="ru"/>
        </w:rPr>
        <w:t>р</w:t>
      </w:r>
      <w:r>
        <w:rPr>
          <w:color w:val="000000"/>
          <w:lang w:val="ru"/>
        </w:rPr>
        <w:t xml:space="preserve">ассмотрела ряд материалов, включая краткий доклад </w:t>
      </w:r>
      <w:r>
        <w:rPr>
          <w:i/>
          <w:iCs/>
          <w:color w:val="000000"/>
          <w:lang w:val="ru"/>
        </w:rPr>
        <w:t>Рабочего совещания по вопросу океанографических наблюдений в районах, подпадающих под национальную юрисдикцию</w:t>
      </w:r>
      <w:r>
        <w:rPr>
          <w:color w:val="000000"/>
          <w:lang w:val="ru"/>
        </w:rPr>
        <w:t xml:space="preserve"> (</w:t>
      </w:r>
      <w:hyperlink r:id="rId17">
        <w:r w:rsidR="00A635A5">
          <w:rPr>
            <w:color w:val="0000FF"/>
            <w:u w:val="single"/>
            <w:lang w:val="ru"/>
          </w:rPr>
          <w:t>OONJ, 2021, GOOS-246</w:t>
        </w:r>
      </w:hyperlink>
      <w:r>
        <w:rPr>
          <w:color w:val="000000"/>
          <w:lang w:val="ru"/>
        </w:rPr>
        <w:t xml:space="preserve">), а также дополнительную информацию, собранную в 2022–2023 гг. </w:t>
      </w:r>
      <w:r>
        <w:rPr>
          <w:lang w:val="ru"/>
        </w:rPr>
        <w:t>посредством</w:t>
      </w:r>
      <w:r>
        <w:rPr>
          <w:color w:val="000000"/>
          <w:lang w:val="ru"/>
        </w:rPr>
        <w:t xml:space="preserve"> исследования, проведенного вместе с сетями (</w:t>
      </w:r>
      <w:hyperlink r:id="rId18">
        <w:r w:rsidR="00A635A5">
          <w:rPr>
            <w:color w:val="0000FF"/>
            <w:u w:val="single"/>
            <w:lang w:val="ru"/>
          </w:rPr>
          <w:t>IOC/INF-1431</w:t>
        </w:r>
      </w:hyperlink>
      <w:r>
        <w:rPr>
          <w:color w:val="000000"/>
          <w:lang w:val="ru"/>
        </w:rPr>
        <w:t xml:space="preserve">) и государствами-членами в ответ на </w:t>
      </w:r>
      <w:hyperlink r:id="rId19">
        <w:r w:rsidR="00A635A5">
          <w:rPr>
            <w:color w:val="000000" w:themeColor="text1"/>
            <w:lang w:val="ru"/>
          </w:rPr>
          <w:t xml:space="preserve">Циркулярное письмо МОК </w:t>
        </w:r>
        <w:r w:rsidR="00A635A5">
          <w:rPr>
            <w:color w:val="0000FF"/>
            <w:u w:val="single"/>
            <w:lang w:val="ru"/>
          </w:rPr>
          <w:t>2938</w:t>
        </w:r>
      </w:hyperlink>
      <w:r>
        <w:rPr>
          <w:color w:val="000000"/>
          <w:lang w:val="ru"/>
        </w:rPr>
        <w:t xml:space="preserve">. Кроме того, </w:t>
      </w:r>
      <w:r>
        <w:rPr>
          <w:lang w:val="ru"/>
        </w:rPr>
        <w:t>Р</w:t>
      </w:r>
      <w:r>
        <w:rPr>
          <w:color w:val="000000"/>
          <w:lang w:val="ru"/>
        </w:rPr>
        <w:t>абочая группа пригласила представителей ряда сетей («Арго», Go-SHIP), а также OceanOPS на свои заседания для комментирования вопросов в рамках мандата Рабочей группы.</w:t>
      </w:r>
    </w:p>
    <w:p w14:paraId="1B4C2AB0" w14:textId="77777777" w:rsidR="00A635A5" w:rsidRPr="00D40AC8" w:rsidRDefault="00D40AC8" w:rsidP="00A4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color w:val="000000"/>
          <w:lang w:val="ru"/>
        </w:rPr>
        <w:t>Одним из основных требований Рабочей группы было выявление и документирование конкретных примеров проблем, возникших в ходе осуществления непрерывных наблюдений за океаном, и оценка их воздействия на ГСНО, а также на исследования, услуги и продукты, зависящие от данных ГСНО.</w:t>
      </w:r>
    </w:p>
    <w:p w14:paraId="540E5A35" w14:textId="77777777" w:rsidR="00A635A5" w:rsidRPr="00D40AC8" w:rsidRDefault="00D40AC8" w:rsidP="00A4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Чтобы сосредоточиться на своей работе, Рабочая группа не стала пытаться дать определение </w:t>
      </w:r>
      <w:r>
        <w:rPr>
          <w:lang w:val="ru"/>
        </w:rPr>
        <w:t xml:space="preserve">понятия </w:t>
      </w:r>
      <w:r>
        <w:rPr>
          <w:color w:val="000000"/>
          <w:lang w:val="ru"/>
        </w:rPr>
        <w:t xml:space="preserve">«устойчивых наблюдений за океаном», а основала свою деятельность на принципе, согласно которому долгосрочными наблюдениями </w:t>
      </w:r>
      <w:r>
        <w:rPr>
          <w:lang w:val="ru"/>
        </w:rPr>
        <w:t xml:space="preserve">ГСНО </w:t>
      </w:r>
      <w:r>
        <w:rPr>
          <w:color w:val="000000"/>
          <w:lang w:val="ru"/>
        </w:rPr>
        <w:t xml:space="preserve">являются наблюдения, </w:t>
      </w:r>
      <w:r>
        <w:rPr>
          <w:color w:val="000000"/>
          <w:lang w:val="ru"/>
        </w:rPr>
        <w:lastRenderedPageBreak/>
        <w:t>осуществляемые путем развертывания приборов в течение длительного периода времени, а также повторные обследования. Они отличаются от других типов наблюдений, таких как краткосрочные морские экспедиции.</w:t>
      </w:r>
    </w:p>
    <w:p w14:paraId="45A78CE7" w14:textId="77777777" w:rsidR="00A635A5" w:rsidRPr="00D40AC8" w:rsidRDefault="00D40AC8" w:rsidP="00E63D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Рабочая группа выбрала и сгруппировала вопросы, поднятые сетями и государствами-членами, из результатов исследований по нескольким категориям. Стало ясно, что </w:t>
      </w:r>
      <w:r>
        <w:rPr>
          <w:lang w:val="ru"/>
        </w:rPr>
        <w:t xml:space="preserve">основным </w:t>
      </w:r>
      <w:r>
        <w:rPr>
          <w:color w:val="000000"/>
          <w:lang w:val="ru"/>
        </w:rPr>
        <w:t xml:space="preserve">вопросом, поднимаемым в исследованиях, </w:t>
      </w:r>
      <w:r>
        <w:rPr>
          <w:lang w:val="ru"/>
        </w:rPr>
        <w:t>является</w:t>
      </w:r>
      <w:r>
        <w:rPr>
          <w:color w:val="000000"/>
          <w:lang w:val="ru"/>
        </w:rPr>
        <w:t xml:space="preserve"> недостаточная ясность, осведомленность или </w:t>
      </w:r>
      <w:r>
        <w:rPr>
          <w:lang w:val="ru"/>
        </w:rPr>
        <w:t xml:space="preserve">понимание </w:t>
      </w:r>
      <w:r>
        <w:rPr>
          <w:color w:val="000000"/>
          <w:lang w:val="ru"/>
        </w:rPr>
        <w:t xml:space="preserve">процесса подачи заявки на </w:t>
      </w:r>
      <w:r>
        <w:rPr>
          <w:b/>
          <w:bCs/>
          <w:lang w:val="ru"/>
        </w:rPr>
        <w:t>Морские научные исследования (МНИ)</w:t>
      </w:r>
      <w:r>
        <w:rPr>
          <w:lang w:val="ru"/>
        </w:rPr>
        <w:t>, который зачастую варьируется в зависимости от страны</w:t>
      </w:r>
      <w:r>
        <w:rPr>
          <w:color w:val="000000"/>
          <w:lang w:val="ru"/>
        </w:rPr>
        <w:t xml:space="preserve">. Это предположение нашло свое подтверждение в ходе обсуждений, развернувшихся между </w:t>
      </w:r>
      <w:r>
        <w:rPr>
          <w:lang w:val="ru"/>
        </w:rPr>
        <w:t>Рабочей</w:t>
      </w:r>
      <w:r>
        <w:rPr>
          <w:color w:val="000000"/>
          <w:lang w:val="ru"/>
        </w:rPr>
        <w:t xml:space="preserve"> группой и сетями ГСНО по наблюдениям, которые позволили выявить такие </w:t>
      </w:r>
      <w:r>
        <w:rPr>
          <w:lang w:val="ru"/>
        </w:rPr>
        <w:t xml:space="preserve">проблемы, </w:t>
      </w:r>
      <w:r>
        <w:rPr>
          <w:color w:val="000000"/>
          <w:lang w:val="ru"/>
        </w:rPr>
        <w:t>как развертывание оборудования для наблюдений</w:t>
      </w:r>
      <w:r>
        <w:rPr>
          <w:lang w:val="ru"/>
        </w:rPr>
        <w:t xml:space="preserve"> </w:t>
      </w:r>
      <w:r>
        <w:rPr>
          <w:color w:val="000000"/>
          <w:lang w:val="ru"/>
        </w:rPr>
        <w:t xml:space="preserve">и повторение действий. </w:t>
      </w:r>
      <w:r>
        <w:rPr>
          <w:lang w:val="ru"/>
        </w:rPr>
        <w:t>Рабочая группа выявила следующие ключевые моме</w:t>
      </w:r>
      <w:r>
        <w:rPr>
          <w:lang w:val="ru"/>
        </w:rPr>
        <w:t>нты в отношении процесса подачи заявки на МНИ</w:t>
      </w:r>
      <w:r>
        <w:rPr>
          <w:color w:val="000000"/>
          <w:lang w:val="ru"/>
        </w:rPr>
        <w:t>:</w:t>
      </w:r>
    </w:p>
    <w:p w14:paraId="47D5581A" w14:textId="77777777" w:rsidR="00A635A5" w:rsidRPr="00D40AC8" w:rsidRDefault="00D40AC8" w:rsidP="00E63D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418" w:hanging="709"/>
        <w:jc w:val="both"/>
        <w:rPr>
          <w:color w:val="000000"/>
          <w:lang w:val="ru"/>
        </w:rPr>
      </w:pPr>
      <w:r>
        <w:rPr>
          <w:color w:val="000000"/>
          <w:lang w:val="ru"/>
        </w:rPr>
        <w:t>административная сложность, в частности, непонятные положения договора или задержки с ответами, особенно когда задействовано более одного прибрежного государства;</w:t>
      </w:r>
    </w:p>
    <w:p w14:paraId="5EA1C3A5" w14:textId="77777777" w:rsidR="00A635A5" w:rsidRPr="00D40AC8" w:rsidRDefault="00D40AC8" w:rsidP="00E63D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418" w:hanging="709"/>
        <w:jc w:val="both"/>
        <w:rPr>
          <w:color w:val="000000"/>
          <w:lang w:val="ru"/>
        </w:rPr>
      </w:pPr>
      <w:r>
        <w:rPr>
          <w:color w:val="000000"/>
          <w:lang w:val="ru"/>
        </w:rPr>
        <w:t>дополнительные затраты или дополнительные требования к информации в процессе заявки;</w:t>
      </w:r>
    </w:p>
    <w:p w14:paraId="7EDB87D9" w14:textId="77777777" w:rsidR="00A635A5" w:rsidRPr="00D40AC8" w:rsidRDefault="00D40AC8" w:rsidP="00E63D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left="1418" w:hanging="709"/>
        <w:jc w:val="both"/>
        <w:rPr>
          <w:color w:val="000000"/>
          <w:lang w:val="ru"/>
        </w:rPr>
      </w:pPr>
      <w:r>
        <w:rPr>
          <w:color w:val="000000"/>
          <w:lang w:val="ru"/>
        </w:rPr>
        <w:t>упущенные возможности развертывания вследствие соблюдения шестимесячного требования в соответствии со статьей 248 ЮНКЛОС;</w:t>
      </w:r>
    </w:p>
    <w:p w14:paraId="46F79A26" w14:textId="77777777" w:rsidR="00A635A5" w:rsidRPr="00D40AC8" w:rsidRDefault="00D40AC8" w:rsidP="00E63D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240"/>
        <w:ind w:left="1418" w:hanging="709"/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Сложности в использовании Формы A (Приложение I к Руководству ОВОМП </w:t>
      </w:r>
      <w:r>
        <w:rPr>
          <w:lang w:val="ru"/>
        </w:rPr>
        <w:t>п</w:t>
      </w:r>
      <w:r>
        <w:rPr>
          <w:color w:val="000000"/>
          <w:lang w:val="ru"/>
        </w:rPr>
        <w:t>о МНИ 2010 года</w:t>
      </w:r>
      <w:r>
        <w:rPr>
          <w:color w:val="000000"/>
          <w:vertAlign w:val="superscript"/>
          <w:lang w:val="ru"/>
        </w:rPr>
        <w:footnoteReference w:id="1"/>
      </w:r>
      <w:r>
        <w:rPr>
          <w:color w:val="000000"/>
          <w:lang w:val="ru"/>
        </w:rPr>
        <w:t>).</w:t>
      </w:r>
    </w:p>
    <w:p w14:paraId="23E189A2" w14:textId="77777777" w:rsidR="00A635A5" w:rsidRPr="00D40AC8" w:rsidRDefault="00D40AC8" w:rsidP="00A4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В свете вышесказанного Рабочая группа попыталась осмыслить материальные последствия этих </w:t>
      </w:r>
      <w:r>
        <w:rPr>
          <w:lang w:val="ru"/>
        </w:rPr>
        <w:t xml:space="preserve">проблем </w:t>
      </w:r>
      <w:r>
        <w:rPr>
          <w:color w:val="000000"/>
          <w:lang w:val="ru"/>
        </w:rPr>
        <w:t xml:space="preserve">для ГСНО. Члены Рабочей группы разошлись во мнениях относительно того, что </w:t>
      </w:r>
      <w:r>
        <w:rPr>
          <w:lang w:val="ru"/>
        </w:rPr>
        <w:t>является</w:t>
      </w:r>
      <w:r>
        <w:rPr>
          <w:color w:val="000000"/>
          <w:lang w:val="ru"/>
        </w:rPr>
        <w:t xml:space="preserve"> материальным последствием. Качественно, эти последствия включают пропущенные развертывания, сокращенный сбор данных, снижение потока данных в ГСНО и упущенные возможности вследствие упрощения или отмены плавания. </w:t>
      </w:r>
      <w:r>
        <w:rPr>
          <w:lang w:val="ru"/>
        </w:rPr>
        <w:t>Однако</w:t>
      </w:r>
      <w:r>
        <w:rPr>
          <w:color w:val="000000"/>
          <w:lang w:val="ru"/>
        </w:rPr>
        <w:t xml:space="preserve"> после консультации с сетями не было получено никаких данных или свидетельств для </w:t>
      </w:r>
      <w:r>
        <w:rPr>
          <w:lang w:val="ru"/>
        </w:rPr>
        <w:t>количественного</w:t>
      </w:r>
      <w:r>
        <w:rPr>
          <w:color w:val="000000"/>
          <w:lang w:val="ru"/>
        </w:rPr>
        <w:t xml:space="preserve"> определения предполагаемого дефицита данных </w:t>
      </w:r>
      <w:r>
        <w:rPr>
          <w:lang w:val="ru"/>
        </w:rPr>
        <w:t xml:space="preserve">или </w:t>
      </w:r>
      <w:r>
        <w:rPr>
          <w:color w:val="000000"/>
          <w:lang w:val="ru"/>
        </w:rPr>
        <w:t xml:space="preserve">материальных последствий для услуг или продуктов ГСНО. </w:t>
      </w:r>
    </w:p>
    <w:p w14:paraId="1E69DFEC" w14:textId="77777777" w:rsidR="00A635A5" w:rsidRPr="00D40AC8" w:rsidRDefault="00D40AC8" w:rsidP="00A4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  <w:rPr>
          <w:color w:val="000000"/>
          <w:lang w:val="ru"/>
        </w:rPr>
      </w:pPr>
      <w:r>
        <w:rPr>
          <w:lang w:val="ru"/>
        </w:rPr>
        <w:t>В докладе Программы попутных судов (СООП) были представлены доказательства материальных последствий для ГСНО, вызванных существующими процессами МНИ. Д</w:t>
      </w:r>
      <w:r>
        <w:rPr>
          <w:color w:val="000000"/>
          <w:lang w:val="ru"/>
        </w:rPr>
        <w:t>анные, предоставленные SOCONET/SOOP-CO</w:t>
      </w:r>
      <w:r>
        <w:rPr>
          <w:color w:val="000000"/>
          <w:vertAlign w:val="subscript"/>
          <w:lang w:val="ru"/>
        </w:rPr>
        <w:t>2</w:t>
      </w:r>
      <w:r>
        <w:rPr>
          <w:color w:val="000000"/>
          <w:lang w:val="ru"/>
        </w:rPr>
        <w:t xml:space="preserve"> (pCO2), свидетельствуют о потоках CO</w:t>
      </w:r>
      <w:r>
        <w:rPr>
          <w:color w:val="000000"/>
          <w:vertAlign w:val="subscript"/>
          <w:lang w:val="ru"/>
        </w:rPr>
        <w:t>2</w:t>
      </w:r>
      <w:r>
        <w:rPr>
          <w:color w:val="000000"/>
          <w:lang w:val="ru"/>
        </w:rPr>
        <w:t xml:space="preserve"> между воздухом и океаном и о тенденции к закислению поверхностных вод. Эти данные имеют ключевое значение для ежегодных оценок, таких как оценки группы Global Carbon Project, и играют важную роль в докладах МГЭИК. Кроме того, эти данные важны для подтверждения данных, полученных с помощью биогеохимических датчиков на буях «Арго» (БГХ-Арго). Эти проблемы оказывают значительное негативное воздействие на ГСНО. Текущие юридические тре</w:t>
      </w:r>
      <w:r>
        <w:rPr>
          <w:color w:val="000000"/>
          <w:lang w:val="ru"/>
        </w:rPr>
        <w:t xml:space="preserve">бования к подаче заявок на МНИ являются чрезвычайно сложными, можно даже сказать невыполнимыми, для СООП, несмотря на то, что эти данные необходимы в научных целях и для докладов МГЭИК, помимо </w:t>
      </w:r>
      <w:r>
        <w:rPr>
          <w:lang w:val="ru"/>
        </w:rPr>
        <w:t>прочего</w:t>
      </w:r>
      <w:r>
        <w:rPr>
          <w:color w:val="000000"/>
          <w:lang w:val="ru"/>
        </w:rPr>
        <w:t xml:space="preserve">. </w:t>
      </w:r>
    </w:p>
    <w:p w14:paraId="5EC032EE" w14:textId="77777777" w:rsidR="00A635A5" w:rsidRDefault="00D40AC8" w:rsidP="00586E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jc w:val="both"/>
        <w:rPr>
          <w:color w:val="000000"/>
        </w:rPr>
      </w:pPr>
      <w:r>
        <w:rPr>
          <w:color w:val="000000"/>
          <w:lang w:val="ru"/>
        </w:rPr>
        <w:t>Рабочая группа признала, что многие из поднятых проблем касаются необходимости соблюдать требования Части XIII ЮНКЛОС, и поэтому она стремилась выявить передовой опыт государств-членов для его популяризации в сетях ГСНО. Вот некоторые примеры:</w:t>
      </w:r>
    </w:p>
    <w:p w14:paraId="0E6EB845" w14:textId="77777777" w:rsidR="00A635A5" w:rsidRDefault="00D40AC8" w:rsidP="00586E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hanging="726"/>
        <w:jc w:val="both"/>
      </w:pPr>
      <w:r>
        <w:rPr>
          <w:color w:val="000000"/>
          <w:lang w:val="ru"/>
        </w:rPr>
        <w:lastRenderedPageBreak/>
        <w:t>Сборник Госдепартамента США, посвященный процессам подачи заявок на МНИ в штатах</w:t>
      </w:r>
      <w:hyperlink r:id="rId20">
        <w:r w:rsidR="00A635A5">
          <w:rPr>
            <w:color w:val="0000FF"/>
            <w:u w:val="single"/>
            <w:lang w:val="ru"/>
          </w:rPr>
          <w:t>https://www.state.gov/guidance-on-supporting-documentation/</w:t>
        </w:r>
      </w:hyperlink>
      <w:r>
        <w:rPr>
          <w:lang w:val="ru"/>
        </w:rPr>
        <w:t>.</w:t>
      </w:r>
    </w:p>
    <w:p w14:paraId="489FE072" w14:textId="77777777" w:rsidR="00A635A5" w:rsidRDefault="00D40AC8" w:rsidP="00586E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hanging="726"/>
        <w:jc w:val="both"/>
        <w:rPr>
          <w:color w:val="000000"/>
        </w:rPr>
      </w:pPr>
      <w:r>
        <w:rPr>
          <w:color w:val="000000"/>
          <w:lang w:val="ru"/>
        </w:rPr>
        <w:t xml:space="preserve">Франция разработала решение, целью которого является содействие странам в получении французского оборудования с помощью собственных судов, что позволит им контролировать процесс измерения и предоставлять мировому сообществу данные, соответствующие принципам FAIR, как в случае с Марокко. </w:t>
      </w:r>
    </w:p>
    <w:p w14:paraId="387243CA" w14:textId="77777777" w:rsidR="00A635A5" w:rsidRDefault="00D40AC8" w:rsidP="00586E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hanging="726"/>
        <w:jc w:val="both"/>
        <w:rPr>
          <w:color w:val="000000"/>
        </w:rPr>
      </w:pPr>
      <w:r>
        <w:rPr>
          <w:color w:val="000000"/>
          <w:lang w:val="ru"/>
        </w:rPr>
        <w:t xml:space="preserve">Маврикий приобрел буи у НОАА; данные загружаются автоматически на национальном уровне, и страна может принять решение о предоставлении данных мировому сообществу. </w:t>
      </w:r>
    </w:p>
    <w:p w14:paraId="129F7613" w14:textId="77777777" w:rsidR="00A635A5" w:rsidRDefault="00D40AC8" w:rsidP="00586EF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240"/>
        <w:ind w:hanging="726"/>
        <w:jc w:val="both"/>
        <w:rPr>
          <w:color w:val="000000"/>
        </w:rPr>
      </w:pPr>
      <w:r>
        <w:rPr>
          <w:color w:val="000000"/>
          <w:lang w:val="ru"/>
        </w:rPr>
        <w:t>Двусторонние соглашения между некоторыми странами, координирующими работу ГСНО.</w:t>
      </w:r>
    </w:p>
    <w:p w14:paraId="0A817AA4" w14:textId="77777777" w:rsidR="00A635A5" w:rsidRDefault="00D40AC8" w:rsidP="00A405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240"/>
        <w:jc w:val="both"/>
      </w:pPr>
      <w:r>
        <w:rPr>
          <w:lang w:val="ru"/>
        </w:rPr>
        <w:t>Этот список, однако, не является исчерпывающим, а подробные сведения о передовом опыте следует передавать в ГСНО для распространения внутри сообщества по мере необходимости.</w:t>
      </w:r>
    </w:p>
    <w:p w14:paraId="244AA0D9" w14:textId="77777777" w:rsidR="00A635A5" w:rsidRDefault="00A635A5" w:rsidP="00A4057B">
      <w:p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ind w:left="720"/>
        <w:jc w:val="both"/>
      </w:pPr>
    </w:p>
    <w:p w14:paraId="5E09724E" w14:textId="77777777" w:rsidR="00A635A5" w:rsidRDefault="00D40AC8" w:rsidP="00586E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  <w:tab w:val="left" w:pos="709"/>
        </w:tabs>
        <w:spacing w:after="120"/>
        <w:jc w:val="both"/>
      </w:pPr>
      <w:r>
        <w:rPr>
          <w:color w:val="000000"/>
          <w:lang w:val="ru"/>
        </w:rPr>
        <w:t>Кроме того, учитывая мандат</w:t>
      </w:r>
      <w:r>
        <w:rPr>
          <w:lang w:val="ru"/>
        </w:rPr>
        <w:t xml:space="preserve"> </w:t>
      </w:r>
      <w:r>
        <w:rPr>
          <w:color w:val="000000"/>
          <w:lang w:val="ru"/>
        </w:rPr>
        <w:t xml:space="preserve">Рабочей группы, предполагающий определение потенциальных действий, попадающих в сферу действия мандата МОК, были рассмотрены </w:t>
      </w:r>
      <w:r>
        <w:rPr>
          <w:lang w:val="ru"/>
        </w:rPr>
        <w:t>несколько</w:t>
      </w:r>
      <w:r>
        <w:rPr>
          <w:color w:val="000000"/>
          <w:lang w:val="ru"/>
        </w:rPr>
        <w:t xml:space="preserve"> рекомендаций:    </w:t>
      </w:r>
    </w:p>
    <w:p w14:paraId="2B73137F" w14:textId="77777777" w:rsidR="00A635A5" w:rsidRDefault="00D40AC8" w:rsidP="00586E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hanging="726"/>
        <w:jc w:val="both"/>
        <w:rPr>
          <w:color w:val="000000"/>
        </w:rPr>
      </w:pPr>
      <w:r>
        <w:rPr>
          <w:color w:val="000000"/>
          <w:lang w:val="ru"/>
        </w:rPr>
        <w:t>МОК/ГСНО следует повышать осведомленность о процессах МНИ, например, посредством релевантных сообщений, включая соответствующие ссылки на информацию</w:t>
      </w:r>
      <w:r>
        <w:rPr>
          <w:lang w:val="ru"/>
        </w:rPr>
        <w:t>;</w:t>
      </w:r>
      <w:r>
        <w:rPr>
          <w:color w:val="000000"/>
          <w:lang w:val="ru"/>
        </w:rPr>
        <w:t xml:space="preserve"> </w:t>
      </w:r>
    </w:p>
    <w:p w14:paraId="78BFBDF5" w14:textId="77777777" w:rsidR="00A635A5" w:rsidRDefault="00D40AC8" w:rsidP="00586E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hanging="726"/>
        <w:jc w:val="both"/>
        <w:rPr>
          <w:color w:val="000000"/>
        </w:rPr>
      </w:pPr>
      <w:r>
        <w:rPr>
          <w:lang w:val="ru"/>
        </w:rPr>
        <w:t>потребовать от ГСНО проконсультироваться со своими сетями и соответствующими заинтересованными сторонами, чтобы определить, имеется ли необходимость (и если да, то где) пересмотреть Руководство ОВОМП по ГСНО 2010 года, и сообщить об этом 34-й Ассамблее МОК;</w:t>
      </w:r>
    </w:p>
    <w:p w14:paraId="6EE76380" w14:textId="77777777" w:rsidR="00A635A5" w:rsidRDefault="00D40AC8" w:rsidP="00586E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hanging="726"/>
        <w:jc w:val="both"/>
      </w:pPr>
      <w:r>
        <w:rPr>
          <w:color w:val="000000"/>
          <w:lang w:val="ru"/>
        </w:rPr>
        <w:t>государства-члены МОК</w:t>
      </w:r>
      <w:r>
        <w:rPr>
          <w:lang w:val="ru"/>
        </w:rPr>
        <w:t xml:space="preserve"> дол</w:t>
      </w:r>
      <w:r>
        <w:rPr>
          <w:color w:val="000000"/>
          <w:lang w:val="ru"/>
        </w:rPr>
        <w:t>жны способствовать сотрудничеству между соседними прибрежными государствами в целях содействия двустороннему и региональному процессу согласования МНИ;</w:t>
      </w:r>
    </w:p>
    <w:p w14:paraId="3DE11D50" w14:textId="77777777" w:rsidR="00A635A5" w:rsidRDefault="00D40AC8" w:rsidP="00586E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120"/>
        <w:ind w:hanging="726"/>
        <w:jc w:val="both"/>
      </w:pPr>
      <w:r>
        <w:rPr>
          <w:color w:val="000000"/>
          <w:lang w:val="ru"/>
        </w:rPr>
        <w:t>предложить региональным вспомогательным органам МОК и региональным альянсам ГСНО</w:t>
      </w:r>
      <w:r>
        <w:rPr>
          <w:lang w:val="ru"/>
        </w:rPr>
        <w:t xml:space="preserve"> </w:t>
      </w:r>
      <w:r>
        <w:rPr>
          <w:color w:val="000000"/>
          <w:lang w:val="ru"/>
        </w:rPr>
        <w:t xml:space="preserve">выступить в качестве посредника между национальными органами власти и исследовательскими сетями и </w:t>
      </w:r>
      <w:r>
        <w:rPr>
          <w:lang w:val="ru"/>
        </w:rPr>
        <w:t xml:space="preserve">способствовать </w:t>
      </w:r>
      <w:r>
        <w:rPr>
          <w:color w:val="000000"/>
          <w:lang w:val="ru"/>
        </w:rPr>
        <w:t>повышению осведомленности о процедуре согласования, обеспечив регулярное техническое консультирование и руководство, а также координацию усилий по оптимизации процедур между странами со схожими региональными характеристиками;</w:t>
      </w:r>
    </w:p>
    <w:p w14:paraId="002E4AA0" w14:textId="77777777" w:rsidR="00A635A5" w:rsidRDefault="00D40AC8" w:rsidP="00586EFE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clear" w:pos="567"/>
        </w:tabs>
        <w:spacing w:after="240"/>
        <w:ind w:hanging="726"/>
        <w:jc w:val="both"/>
      </w:pPr>
      <w:r>
        <w:rPr>
          <w:lang w:val="ru"/>
        </w:rPr>
        <w:t>признавая ценность мандата МОК для программы «Арго», Рабочая группа пришла к заключению, что МОК могла бы рассмотреть аналогичный мандат для других соответствующих сетей ГСНО, в частности, СООП.</w:t>
      </w:r>
    </w:p>
    <w:p w14:paraId="0AF19752" w14:textId="77777777" w:rsidR="00A635A5" w:rsidRDefault="00D40AC8">
      <w:pPr>
        <w:pStyle w:val="Heading3"/>
      </w:pPr>
      <w:bookmarkStart w:id="0" w:name="_heading=h.lj3sftc0gspz" w:colFirst="0" w:colLast="0"/>
      <w:bookmarkEnd w:id="0"/>
      <w:r>
        <w:rPr>
          <w:lang w:val="ru"/>
        </w:rPr>
        <w:t>Финансовые и административные последствия</w:t>
      </w:r>
      <w:r>
        <w:rPr>
          <w:b w:val="0"/>
          <w:bCs w:val="0"/>
          <w:lang w:val="ru"/>
        </w:rPr>
        <w:tab/>
      </w:r>
    </w:p>
    <w:p w14:paraId="7146EB4C" w14:textId="77777777" w:rsidR="00A635A5" w:rsidRDefault="00D40AC8" w:rsidP="00A4057B">
      <w:pPr>
        <w:numPr>
          <w:ilvl w:val="0"/>
          <w:numId w:val="1"/>
        </w:numPr>
        <w:tabs>
          <w:tab w:val="clear" w:pos="567"/>
          <w:tab w:val="left" w:pos="709"/>
        </w:tabs>
        <w:spacing w:after="240"/>
        <w:jc w:val="both"/>
      </w:pPr>
      <w:r>
        <w:rPr>
          <w:lang w:val="ru"/>
        </w:rPr>
        <w:t>Непосредственные финансовые и административные последствия деятельности находятся в рамках регулярного бюджета МОК (42 C/5) и деятельности по Функции В Среднесрочной стратегии МОК «Система наблюдений и управление данными».</w:t>
      </w:r>
    </w:p>
    <w:sectPr w:rsidR="00A635A5">
      <w:headerReference w:type="even" r:id="rId21"/>
      <w:headerReference w:type="default" r:id="rId22"/>
      <w:headerReference w:type="first" r:id="rId23"/>
      <w:pgSz w:w="11906" w:h="16838"/>
      <w:pgMar w:top="1418" w:right="1134" w:bottom="1134" w:left="1133" w:header="709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AD1C5" w14:textId="77777777" w:rsidR="00D40AC8" w:rsidRDefault="00D40AC8">
      <w:r>
        <w:separator/>
      </w:r>
    </w:p>
  </w:endnote>
  <w:endnote w:type="continuationSeparator" w:id="0">
    <w:p w14:paraId="64439BB5" w14:textId="77777777" w:rsidR="00D40AC8" w:rsidRDefault="00D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F29CD" w14:textId="77777777" w:rsidR="00067ABD" w:rsidRDefault="00D40AC8">
      <w:r>
        <w:separator/>
      </w:r>
    </w:p>
  </w:footnote>
  <w:footnote w:type="continuationSeparator" w:id="0">
    <w:p w14:paraId="1648F2EB" w14:textId="77777777" w:rsidR="00067ABD" w:rsidRDefault="00D40AC8">
      <w:r>
        <w:continuationSeparator/>
      </w:r>
    </w:p>
  </w:footnote>
  <w:footnote w:id="1">
    <w:p w14:paraId="03F879CB" w14:textId="77777777" w:rsidR="00A635A5" w:rsidRDefault="00D40AC8">
      <w:pPr>
        <w:pBdr>
          <w:top w:val="nil"/>
          <w:left w:val="nil"/>
          <w:bottom w:val="nil"/>
          <w:right w:val="nil"/>
          <w:between w:val="nil"/>
        </w:pBdr>
        <w:ind w:left="567" w:hanging="567"/>
        <w:rPr>
          <w:color w:val="000000"/>
          <w:sz w:val="20"/>
          <w:szCs w:val="20"/>
        </w:rPr>
      </w:pPr>
      <w:r>
        <w:rPr>
          <w:rStyle w:val="FootnoteReference"/>
          <w:lang w:val="ru"/>
        </w:rPr>
        <w:footnoteRef/>
      </w:r>
      <w:r>
        <w:rPr>
          <w:color w:val="000000"/>
          <w:sz w:val="20"/>
          <w:szCs w:val="20"/>
          <w:lang w:val="ru"/>
        </w:rPr>
        <w:t xml:space="preserve"> </w:t>
      </w:r>
      <w:r>
        <w:rPr>
          <w:color w:val="000000"/>
          <w:sz w:val="20"/>
          <w:szCs w:val="20"/>
          <w:lang w:val="ru"/>
        </w:rPr>
        <w:tab/>
      </w:r>
      <w:hyperlink r:id="rId1" w:history="1">
        <w:r w:rsidR="00A635A5">
          <w:rPr>
            <w:rStyle w:val="Hyperlink"/>
            <w:i/>
            <w:iCs/>
            <w:sz w:val="20"/>
            <w:szCs w:val="20"/>
            <w:lang w:val="ru"/>
          </w:rPr>
          <w:t>Морское научное исследование: Пересмотренное руководство по реализации соответствующих положений Конвенции Организации Объединенных Наций по морскому праву</w:t>
        </w:r>
      </w:hyperlink>
      <w:r>
        <w:rPr>
          <w:color w:val="000000"/>
          <w:sz w:val="20"/>
          <w:szCs w:val="20"/>
          <w:lang w:val="ru"/>
        </w:rPr>
        <w:t>, Управление по правовым вопросам Отдела ООН по вопросам океана и морскому праву, Организация Объединенных Наций, Нью-Йорк 2010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B16E" w14:textId="77777777" w:rsidR="00A635A5" w:rsidRPr="0043700A" w:rsidRDefault="00D40A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 w:themeColor="text1"/>
        <w:sz w:val="20"/>
        <w:szCs w:val="20"/>
        <w:lang w:val="ru"/>
      </w:rPr>
      <w:t>IOC/A-33/4.5.3.Doc(1)</w:t>
    </w:r>
  </w:p>
  <w:p w14:paraId="7A409216" w14:textId="77777777" w:rsidR="00A635A5" w:rsidRPr="0043700A" w:rsidRDefault="00D40AC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color w:val="000000"/>
        <w:sz w:val="20"/>
        <w:szCs w:val="20"/>
        <w:lang w:val="ru"/>
      </w:rPr>
      <w:t>страница </w:t>
    </w:r>
    <w:r>
      <w:rPr>
        <w:color w:val="000000"/>
        <w:sz w:val="20"/>
        <w:szCs w:val="20"/>
        <w:lang w:val="ru"/>
      </w:rPr>
      <w:fldChar w:fldCharType="begin"/>
    </w:r>
    <w:r>
      <w:rPr>
        <w:color w:val="000000"/>
        <w:sz w:val="20"/>
        <w:szCs w:val="20"/>
        <w:lang w:val="ru"/>
      </w:rPr>
      <w:instrText>PAGE</w:instrText>
    </w:r>
    <w:r>
      <w:rPr>
        <w:color w:val="000000"/>
        <w:sz w:val="20"/>
        <w:szCs w:val="20"/>
        <w:lang w:val="ru"/>
      </w:rPr>
      <w:fldChar w:fldCharType="separate"/>
    </w:r>
    <w:r>
      <w:rPr>
        <w:noProof/>
        <w:color w:val="000000"/>
        <w:sz w:val="20"/>
        <w:szCs w:val="20"/>
        <w:lang w:val="ru"/>
      </w:rPr>
      <w:t>2</w:t>
    </w:r>
    <w:r>
      <w:rPr>
        <w:color w:val="000000"/>
        <w:sz w:val="20"/>
        <w:szCs w:val="20"/>
        <w:lang w:val="ru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7B49" w14:textId="77777777" w:rsidR="00A635A5" w:rsidRPr="00D40AC8" w:rsidRDefault="00D40AC8" w:rsidP="0043700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  <w:sz w:val="20"/>
        <w:szCs w:val="20"/>
      </w:rPr>
    </w:pPr>
    <w:r w:rsidRPr="00D40AC8">
      <w:rPr>
        <w:color w:val="000000" w:themeColor="text1"/>
        <w:sz w:val="20"/>
        <w:szCs w:val="20"/>
        <w:lang w:val="ru"/>
      </w:rPr>
      <w:t>IOC/A-33/4.5.3.Doc(1)</w:t>
    </w:r>
  </w:p>
  <w:p w14:paraId="24209443" w14:textId="77777777" w:rsidR="00A635A5" w:rsidRPr="00D40AC8" w:rsidRDefault="00D40AC8" w:rsidP="0043700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  <w:sz w:val="20"/>
        <w:szCs w:val="20"/>
      </w:rPr>
    </w:pPr>
    <w:r w:rsidRPr="00D40AC8">
      <w:rPr>
        <w:color w:val="000000"/>
        <w:sz w:val="20"/>
        <w:szCs w:val="20"/>
        <w:lang w:val="ru"/>
      </w:rPr>
      <w:t>страница </w:t>
    </w:r>
    <w:r w:rsidRPr="00D40AC8">
      <w:rPr>
        <w:color w:val="000000"/>
        <w:sz w:val="20"/>
        <w:szCs w:val="20"/>
        <w:lang w:val="ru"/>
      </w:rPr>
      <w:fldChar w:fldCharType="begin"/>
    </w:r>
    <w:r w:rsidRPr="00D40AC8">
      <w:rPr>
        <w:color w:val="000000"/>
        <w:sz w:val="20"/>
        <w:szCs w:val="20"/>
        <w:lang w:val="ru"/>
      </w:rPr>
      <w:instrText>PAGE</w:instrText>
    </w:r>
    <w:r w:rsidRPr="00D40AC8">
      <w:rPr>
        <w:color w:val="000000"/>
        <w:sz w:val="20"/>
        <w:szCs w:val="20"/>
        <w:lang w:val="ru"/>
      </w:rPr>
      <w:fldChar w:fldCharType="separate"/>
    </w:r>
    <w:r w:rsidRPr="00D40AC8">
      <w:rPr>
        <w:noProof/>
        <w:color w:val="000000"/>
        <w:sz w:val="20"/>
        <w:szCs w:val="20"/>
        <w:lang w:val="ru"/>
      </w:rPr>
      <w:t>3</w:t>
    </w:r>
    <w:r w:rsidRPr="00D40AC8">
      <w:rPr>
        <w:color w:val="000000"/>
        <w:sz w:val="20"/>
        <w:szCs w:val="20"/>
        <w:lang w:val="ru"/>
      </w:rPr>
      <w:fldChar w:fldCharType="end"/>
    </w:r>
  </w:p>
  <w:p w14:paraId="10E481D2" w14:textId="77777777" w:rsidR="00A635A5" w:rsidRPr="00D40AC8" w:rsidRDefault="00A635A5" w:rsidP="0043700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4C6F9" w14:textId="77777777" w:rsidR="0043700A" w:rsidRDefault="00D40AC8" w:rsidP="0043700A">
    <w:pPr>
      <w:pBdr>
        <w:top w:val="nil"/>
        <w:left w:val="nil"/>
        <w:bottom w:val="nil"/>
        <w:right w:val="nil"/>
        <w:between w:val="nil"/>
      </w:pBdr>
      <w:tabs>
        <w:tab w:val="left" w:pos="5954"/>
        <w:tab w:val="left" w:pos="7560"/>
      </w:tabs>
      <w:jc w:val="both"/>
      <w:rPr>
        <w:b/>
        <w:color w:val="000000"/>
      </w:rPr>
    </w:pPr>
    <w:r>
      <w:rPr>
        <w:color w:val="000000"/>
        <w:lang w:val="ru"/>
      </w:rPr>
      <w:t>Рассылается по списку</w:t>
    </w:r>
    <w:r>
      <w:rPr>
        <w:color w:val="000000"/>
        <w:lang w:val="ru"/>
      </w:rPr>
      <w:tab/>
    </w:r>
    <w:r>
      <w:rPr>
        <w:b/>
        <w:bCs/>
        <w:color w:val="000000"/>
        <w:sz w:val="36"/>
        <w:szCs w:val="36"/>
        <w:lang w:val="ru"/>
      </w:rPr>
      <w:t>IOC/A-33/4.5.3.Doc(1)</w:t>
    </w:r>
  </w:p>
  <w:p w14:paraId="7B520CAE" w14:textId="77777777" w:rsidR="0043700A" w:rsidRPr="00D40AC8" w:rsidRDefault="00D40AC8" w:rsidP="0043700A">
    <w:pPr>
      <w:tabs>
        <w:tab w:val="left" w:pos="5954"/>
        <w:tab w:val="left" w:pos="7560"/>
      </w:tabs>
      <w:jc w:val="both"/>
      <w:rPr>
        <w:lang w:val="ru"/>
      </w:rPr>
    </w:pPr>
    <w:r>
      <w:rPr>
        <w:lang w:val="ru"/>
      </w:rPr>
      <w:tab/>
      <w:t>Париж, 22 апреля 2025 года</w:t>
    </w:r>
    <w:r>
      <w:rPr>
        <w:noProof/>
        <w:lang w:val="ru"/>
      </w:rPr>
      <w:drawing>
        <wp:anchor distT="0" distB="0" distL="114300" distR="114300" simplePos="0" relativeHeight="251658240" behindDoc="0" locked="0" layoutInCell="1" allowOverlap="1" wp14:anchorId="5F17B64C" wp14:editId="2BB96F88">
          <wp:simplePos x="0" y="0"/>
          <wp:positionH relativeFrom="column">
            <wp:posOffset>-19682</wp:posOffset>
          </wp:positionH>
          <wp:positionV relativeFrom="paragraph">
            <wp:posOffset>101600</wp:posOffset>
          </wp:positionV>
          <wp:extent cx="1578610" cy="1047115"/>
          <wp:effectExtent l="0" t="0" r="0" b="0"/>
          <wp:wrapSquare wrapText="bothSides"/>
          <wp:docPr id="1876983647" name="image1.jpg" descr="Логотип, название компании Описание генерируется автоматически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6983647" name="image1.jpg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8610" cy="1047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BD6154" w14:textId="77777777" w:rsidR="0043700A" w:rsidRPr="00D40AC8" w:rsidRDefault="00D40AC8" w:rsidP="0043700A">
    <w:pPr>
      <w:tabs>
        <w:tab w:val="left" w:pos="5954"/>
        <w:tab w:val="left" w:pos="7560"/>
      </w:tabs>
      <w:jc w:val="both"/>
      <w:rPr>
        <w:lang w:val="ru"/>
      </w:rPr>
    </w:pPr>
    <w:r>
      <w:rPr>
        <w:lang w:val="ru"/>
      </w:rPr>
      <w:tab/>
    </w:r>
    <w:r>
      <w:rPr>
        <w:lang w:val="ru"/>
      </w:rPr>
      <w:t>Язык оригинала: английский</w:t>
    </w:r>
  </w:p>
  <w:p w14:paraId="1D4B9F92" w14:textId="77777777" w:rsidR="0043700A" w:rsidRPr="00D40AC8" w:rsidRDefault="0043700A" w:rsidP="0043700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245"/>
        <w:tab w:val="left" w:pos="5523"/>
        <w:tab w:val="left" w:pos="5812"/>
        <w:tab w:val="left" w:pos="5954"/>
        <w:tab w:val="left" w:pos="7020"/>
        <w:tab w:val="left" w:pos="7088"/>
      </w:tabs>
      <w:jc w:val="both"/>
      <w:rPr>
        <w:b/>
        <w:lang w:val="ru"/>
      </w:rPr>
    </w:pPr>
  </w:p>
  <w:p w14:paraId="79356586" w14:textId="77777777" w:rsidR="0043700A" w:rsidRPr="00D40AC8" w:rsidRDefault="0043700A" w:rsidP="0043700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1084BC72" w14:textId="77777777" w:rsidR="0043700A" w:rsidRPr="00D40AC8" w:rsidRDefault="0043700A" w:rsidP="0043700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4F3E1125" w14:textId="77777777" w:rsidR="0043700A" w:rsidRPr="00D40AC8" w:rsidRDefault="0043700A" w:rsidP="0043700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1B2486F8" w14:textId="77777777" w:rsidR="0043700A" w:rsidRPr="00D40AC8" w:rsidRDefault="0043700A" w:rsidP="0043700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635A995B" w14:textId="77777777" w:rsidR="0043700A" w:rsidRPr="00D40AC8" w:rsidRDefault="0043700A" w:rsidP="0043700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ind w:left="2772"/>
      <w:rPr>
        <w:b/>
        <w:lang w:val="ru"/>
      </w:rPr>
    </w:pPr>
  </w:p>
  <w:p w14:paraId="25BA19EB" w14:textId="77777777" w:rsidR="0043700A" w:rsidRPr="00D40AC8" w:rsidRDefault="00D40AC8" w:rsidP="0043700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  <w:r>
      <w:rPr>
        <w:b/>
        <w:bCs/>
        <w:lang w:val="ru"/>
      </w:rPr>
      <w:t>МЕЖПРАВИТЕЛЬСТВЕННАЯ ОКЕАНОГРАФИЧЕСКАЯ КОМИССИЯ</w:t>
    </w:r>
  </w:p>
  <w:p w14:paraId="6F810863" w14:textId="77777777" w:rsidR="0043700A" w:rsidRPr="00D40AC8" w:rsidRDefault="00D40AC8" w:rsidP="0043700A">
    <w:pPr>
      <w:tabs>
        <w:tab w:val="left" w:pos="-1440"/>
        <w:tab w:val="left" w:pos="-720"/>
        <w:tab w:val="left" w:pos="72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  <w:r>
      <w:rPr>
        <w:lang w:val="ru"/>
      </w:rPr>
      <w:t>(ЮНЕСКО)</w:t>
    </w:r>
  </w:p>
  <w:p w14:paraId="442BAAC3" w14:textId="77777777" w:rsidR="0043700A" w:rsidRPr="00D40AC8" w:rsidRDefault="0043700A" w:rsidP="0043700A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</w:p>
  <w:p w14:paraId="5A42CAC9" w14:textId="77777777" w:rsidR="0043700A" w:rsidRPr="00D40AC8" w:rsidRDefault="00D40AC8" w:rsidP="0043700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b/>
        <w:lang w:val="ru"/>
      </w:rPr>
    </w:pPr>
    <w:r>
      <w:rPr>
        <w:b/>
        <w:bCs/>
        <w:lang w:val="ru"/>
      </w:rPr>
      <w:t>Тридцать третья сессия Ассамблеи</w:t>
    </w:r>
  </w:p>
  <w:p w14:paraId="4F6A79F4" w14:textId="77777777" w:rsidR="0043700A" w:rsidRPr="00D40AC8" w:rsidRDefault="00D40AC8" w:rsidP="0043700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  <w:r>
      <w:rPr>
        <w:lang w:val="ru"/>
      </w:rPr>
      <w:t>ЮНЕСКО, 25 июня – 3 июля 2025 г.</w:t>
    </w:r>
  </w:p>
  <w:p w14:paraId="42D565EC" w14:textId="77777777" w:rsidR="0043700A" w:rsidRPr="00D40AC8" w:rsidRDefault="0043700A" w:rsidP="0043700A">
    <w:pPr>
      <w:tabs>
        <w:tab w:val="left" w:pos="-1440"/>
        <w:tab w:val="left" w:pos="-72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523"/>
        <w:tab w:val="left" w:pos="6480"/>
      </w:tabs>
      <w:jc w:val="center"/>
      <w:rPr>
        <w:lang w:val="ru"/>
      </w:rPr>
    </w:pPr>
  </w:p>
  <w:p w14:paraId="0FB3F83D" w14:textId="77777777" w:rsidR="0043700A" w:rsidRPr="00D40AC8" w:rsidRDefault="0043700A" w:rsidP="0043700A">
    <w:pPr>
      <w:jc w:val="center"/>
      <w:rPr>
        <w:lang w:val="ru"/>
      </w:rPr>
    </w:pPr>
  </w:p>
  <w:p w14:paraId="0646E60D" w14:textId="77777777" w:rsidR="0043700A" w:rsidRPr="00D40AC8" w:rsidRDefault="0043700A" w:rsidP="0043700A">
    <w:pPr>
      <w:jc w:val="center"/>
      <w:rPr>
        <w:lang w:val="ru"/>
      </w:rPr>
    </w:pPr>
  </w:p>
  <w:p w14:paraId="68F42270" w14:textId="77777777" w:rsidR="0043700A" w:rsidRPr="00D40AC8" w:rsidRDefault="0043700A" w:rsidP="0043700A">
    <w:pPr>
      <w:jc w:val="center"/>
      <w:rPr>
        <w:lang w:val="ru"/>
      </w:rPr>
    </w:pPr>
  </w:p>
  <w:p w14:paraId="78DA18D9" w14:textId="77777777" w:rsidR="0043700A" w:rsidRPr="00D40AC8" w:rsidRDefault="0043700A" w:rsidP="0043700A">
    <w:pPr>
      <w:jc w:val="center"/>
      <w:rPr>
        <w:lang w:val="ru"/>
      </w:rPr>
    </w:pPr>
  </w:p>
  <w:p w14:paraId="61F827D4" w14:textId="77777777" w:rsidR="0043700A" w:rsidRPr="00D40AC8" w:rsidRDefault="0043700A" w:rsidP="0043700A">
    <w:pPr>
      <w:jc w:val="center"/>
      <w:rPr>
        <w:lang w:val="ru"/>
      </w:rPr>
    </w:pPr>
  </w:p>
  <w:p w14:paraId="081CD88B" w14:textId="77777777" w:rsidR="0043700A" w:rsidRPr="00D40AC8" w:rsidRDefault="00D40AC8" w:rsidP="0043700A">
    <w:pPr>
      <w:keepNext/>
      <w:pBdr>
        <w:top w:val="nil"/>
        <w:left w:val="nil"/>
        <w:bottom w:val="nil"/>
        <w:right w:val="nil"/>
        <w:between w:val="nil"/>
      </w:pBdr>
      <w:tabs>
        <w:tab w:val="right" w:pos="9540"/>
      </w:tabs>
      <w:rPr>
        <w:bCs/>
        <w:color w:val="000000"/>
        <w:u w:val="single"/>
        <w:lang w:val="ru"/>
      </w:rPr>
    </w:pPr>
    <w:r>
      <w:rPr>
        <w:color w:val="000000"/>
        <w:sz w:val="24"/>
        <w:u w:val="single"/>
        <w:lang w:val="ru"/>
      </w:rPr>
      <w:t xml:space="preserve">Пункт </w:t>
    </w:r>
    <w:r>
      <w:rPr>
        <w:b/>
        <w:bCs/>
        <w:color w:val="000000"/>
        <w:sz w:val="24"/>
        <w:u w:val="single"/>
        <w:lang w:val="ru"/>
      </w:rPr>
      <w:t>4.5.3</w:t>
    </w:r>
    <w:r>
      <w:rPr>
        <w:color w:val="000000"/>
        <w:sz w:val="24"/>
        <w:u w:val="single"/>
        <w:lang w:val="ru"/>
      </w:rPr>
      <w:t xml:space="preserve"> предварительной повестки дня</w:t>
    </w:r>
  </w:p>
  <w:p w14:paraId="55AC0EE2" w14:textId="77777777" w:rsidR="0043700A" w:rsidRPr="00D40AC8" w:rsidRDefault="0043700A" w:rsidP="0043700A">
    <w:pPr>
      <w:rPr>
        <w:lang w:val="ru"/>
      </w:rPr>
    </w:pPr>
  </w:p>
  <w:p w14:paraId="44C3CB65" w14:textId="77777777" w:rsidR="0043700A" w:rsidRPr="00D40AC8" w:rsidRDefault="0043700A" w:rsidP="0043700A">
    <w:pPr>
      <w:rPr>
        <w:lang w:val="ru"/>
      </w:rPr>
    </w:pPr>
  </w:p>
  <w:p w14:paraId="265EAC9F" w14:textId="77777777" w:rsidR="0043700A" w:rsidRPr="00D40AC8" w:rsidRDefault="00D40AC8" w:rsidP="0043700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480"/>
      <w:jc w:val="center"/>
      <w:rPr>
        <w:b/>
        <w:smallCaps/>
        <w:color w:val="000000"/>
        <w:sz w:val="24"/>
        <w:lang w:val="ru"/>
      </w:rPr>
    </w:pPr>
    <w:r>
      <w:rPr>
        <w:b/>
        <w:bCs/>
        <w:smallCaps/>
        <w:color w:val="000000"/>
        <w:sz w:val="24"/>
        <w:lang w:val="ru"/>
      </w:rPr>
      <w:t>ДОКЛАД МЕЖСЕССИОННОЙ РАБОЧЕЙ ГРУППЫ ПО ОКЕАНОГРАФИЧЕСКИМ НАБЛЮДЕНИЯМ В РАЙОНАХ, ПОДПАДАЮЩИХ ПОД НАЦИОНАЛЬНУЮ ЮРИСДИКЦИЮ (2025 г.)</w:t>
    </w:r>
  </w:p>
  <w:p w14:paraId="19111BD1" w14:textId="77777777" w:rsidR="00A635A5" w:rsidRPr="00D40AC8" w:rsidRDefault="00A635A5" w:rsidP="0043700A">
    <w:pPr>
      <w:pStyle w:val="Header"/>
      <w:rPr>
        <w:lang w:val="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53C9"/>
    <w:multiLevelType w:val="multilevel"/>
    <w:tmpl w:val="2DE63934"/>
    <w:lvl w:ilvl="0">
      <w:start w:val="1"/>
      <w:numFmt w:val="decimal"/>
      <w:pStyle w:val="CO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AEA3F61"/>
    <w:multiLevelType w:val="multilevel"/>
    <w:tmpl w:val="62B4FAFC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2656F"/>
    <w:multiLevelType w:val="multilevel"/>
    <w:tmpl w:val="D6E0FB9C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97F0D"/>
    <w:multiLevelType w:val="multilevel"/>
    <w:tmpl w:val="EE68AC7A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631D8"/>
    <w:multiLevelType w:val="multilevel"/>
    <w:tmpl w:val="B1929F5C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2C51C1"/>
    <w:multiLevelType w:val="multilevel"/>
    <w:tmpl w:val="5FC2FCF4"/>
    <w:lvl w:ilvl="0">
      <w:start w:val="1"/>
      <w:numFmt w:val="decimal"/>
      <w:pStyle w:val="TIRETbul1cm"/>
      <w:lvlText w:val="%1."/>
      <w:lvlJc w:val="left"/>
      <w:pPr>
        <w:ind w:left="0" w:firstLine="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742149">
    <w:abstractNumId w:val="5"/>
  </w:num>
  <w:num w:numId="2" w16cid:durableId="1975403484">
    <w:abstractNumId w:val="0"/>
  </w:num>
  <w:num w:numId="3" w16cid:durableId="1518692198">
    <w:abstractNumId w:val="3"/>
  </w:num>
  <w:num w:numId="4" w16cid:durableId="651369961">
    <w:abstractNumId w:val="1"/>
  </w:num>
  <w:num w:numId="5" w16cid:durableId="604196294">
    <w:abstractNumId w:val="2"/>
  </w:num>
  <w:num w:numId="6" w16cid:durableId="1793209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5A5"/>
    <w:rsid w:val="00067ABD"/>
    <w:rsid w:val="0019497E"/>
    <w:rsid w:val="001C1BC0"/>
    <w:rsid w:val="0043700A"/>
    <w:rsid w:val="004530FD"/>
    <w:rsid w:val="00586EFE"/>
    <w:rsid w:val="00730DB8"/>
    <w:rsid w:val="007F78E8"/>
    <w:rsid w:val="00901408"/>
    <w:rsid w:val="00952F87"/>
    <w:rsid w:val="00A4057B"/>
    <w:rsid w:val="00A635A5"/>
    <w:rsid w:val="00AD4DEF"/>
    <w:rsid w:val="00B125AA"/>
    <w:rsid w:val="00CC6AFE"/>
    <w:rsid w:val="00D21F15"/>
    <w:rsid w:val="00D40AC8"/>
    <w:rsid w:val="00E63DC6"/>
    <w:rsid w:val="00E7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B37A"/>
  <w15:docId w15:val="{C470D5E2-A78C-4302-8BD8-7EB4B0BD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fr-FR" w:bidi="ar-SA"/>
      </w:rPr>
    </w:rPrDefault>
    <w:pPrDefault>
      <w:pPr>
        <w:tabs>
          <w:tab w:val="left" w:pos="567"/>
        </w:tabs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26E"/>
    <w:pPr>
      <w:snapToGrid w:val="0"/>
    </w:pPr>
    <w:rPr>
      <w:snapToGrid w:val="0"/>
      <w:szCs w:val="24"/>
      <w:lang w:eastAsia="en-US"/>
    </w:rPr>
  </w:style>
  <w:style w:type="paragraph" w:styleId="Heading1">
    <w:name w:val="heading 1"/>
    <w:basedOn w:val="Normal"/>
    <w:next w:val="Marge"/>
    <w:uiPriority w:val="9"/>
    <w:qFormat/>
    <w:pPr>
      <w:keepNext/>
      <w:keepLines/>
      <w:spacing w:before="240" w:after="240"/>
      <w:jc w:val="center"/>
      <w:outlineLvl w:val="0"/>
    </w:pPr>
    <w:rPr>
      <w:b/>
      <w:bCs/>
      <w:kern w:val="28"/>
    </w:rPr>
  </w:style>
  <w:style w:type="paragraph" w:styleId="Heading2">
    <w:name w:val="heading 2"/>
    <w:basedOn w:val="Normal"/>
    <w:next w:val="Marge"/>
    <w:uiPriority w:val="9"/>
    <w:unhideWhenUsed/>
    <w:qFormat/>
    <w:pPr>
      <w:keepNext/>
      <w:keepLines/>
      <w:spacing w:before="480" w:after="240"/>
      <w:ind w:left="567" w:hanging="567"/>
      <w:outlineLvl w:val="1"/>
    </w:pPr>
    <w:rPr>
      <w:b/>
      <w:bCs/>
      <w:caps/>
    </w:rPr>
  </w:style>
  <w:style w:type="paragraph" w:styleId="Heading3">
    <w:name w:val="heading 3"/>
    <w:basedOn w:val="Normal"/>
    <w:next w:val="Marge"/>
    <w:link w:val="Heading3Char"/>
    <w:uiPriority w:val="9"/>
    <w:unhideWhenUsed/>
    <w:qFormat/>
    <w:rsid w:val="002A30E7"/>
    <w:pPr>
      <w:keepNext/>
      <w:keepLines/>
      <w:spacing w:after="240"/>
      <w:outlineLvl w:val="2"/>
    </w:pPr>
    <w:rPr>
      <w:rFonts w:eastAsia="Arial Unicode MS"/>
      <w:b/>
      <w:bCs/>
      <w:szCs w:val="22"/>
    </w:rPr>
  </w:style>
  <w:style w:type="paragraph" w:styleId="Heading4">
    <w:name w:val="heading 4"/>
    <w:basedOn w:val="Normal"/>
    <w:next w:val="Marge"/>
    <w:uiPriority w:val="9"/>
    <w:semiHidden/>
    <w:unhideWhenUsed/>
    <w:qFormat/>
    <w:pPr>
      <w:keepNext/>
      <w:keepLines/>
      <w:spacing w:after="240"/>
      <w:outlineLvl w:val="3"/>
    </w:pPr>
    <w:rPr>
      <w:b/>
      <w:bCs/>
    </w:rPr>
  </w:style>
  <w:style w:type="paragraph" w:styleId="Heading5">
    <w:name w:val="heading 5"/>
    <w:basedOn w:val="Normal"/>
    <w:next w:val="Marge"/>
    <w:uiPriority w:val="9"/>
    <w:semiHidden/>
    <w:unhideWhenUsed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b/>
      <w:bCs/>
    </w:rPr>
  </w:style>
  <w:style w:type="paragraph" w:styleId="Heading6">
    <w:name w:val="heading 6"/>
    <w:basedOn w:val="Normal"/>
    <w:next w:val="Marge"/>
    <w:uiPriority w:val="9"/>
    <w:semiHidden/>
    <w:unhideWhenUsed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b/>
      <w:iCs/>
      <w:szCs w:val="22"/>
    </w:rPr>
  </w:style>
  <w:style w:type="paragraph" w:styleId="Heading7">
    <w:name w:val="heading 7"/>
    <w:basedOn w:val="Normal"/>
    <w:next w:val="Normal"/>
    <w:qFormat/>
    <w:pPr>
      <w:keepNext/>
      <w:spacing w:line="360" w:lineRule="atLeast"/>
      <w:outlineLvl w:val="6"/>
    </w:pPr>
    <w:rPr>
      <w:u w:val="single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2E0859"/>
    <w:pPr>
      <w:spacing w:before="240" w:after="60"/>
      <w:outlineLvl w:val="8"/>
    </w:pPr>
    <w:rPr>
      <w:rFonts w:eastAsia="SimSun"/>
      <w:b/>
      <w:bCs/>
      <w:i/>
      <w:iCs/>
      <w:sz w:val="18"/>
      <w:szCs w:val="18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arge">
    <w:name w:val="Marge"/>
    <w:basedOn w:val="Par"/>
    <w:link w:val="MargeChar"/>
    <w:uiPriority w:val="99"/>
    <w:pPr>
      <w:ind w:firstLine="0"/>
    </w:pPr>
  </w:style>
  <w:style w:type="paragraph" w:customStyle="1" w:styleId="Par">
    <w:name w:val="Par"/>
    <w:basedOn w:val="Normal"/>
    <w:link w:val="ParChar"/>
    <w:pPr>
      <w:spacing w:after="240"/>
      <w:ind w:firstLine="567"/>
      <w:jc w:val="both"/>
    </w:pPr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snapToGrid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ind w:left="567" w:hanging="567"/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num" w:pos="851"/>
      </w:tabs>
      <w:adjustRightInd w:val="0"/>
      <w:spacing w:after="240"/>
      <w:ind w:left="851" w:hanging="284"/>
      <w:jc w:val="both"/>
    </w:pPr>
  </w:style>
  <w:style w:type="paragraph" w:customStyle="1" w:styleId="Serre">
    <w:name w:val="Serre"/>
    <w:basedOn w:val="Normal"/>
    <w:pPr>
      <w:tabs>
        <w:tab w:val="clear" w:pos="567"/>
      </w:tabs>
      <w:suppressAutoHyphens/>
      <w:snapToGrid/>
      <w:jc w:val="both"/>
      <w:outlineLvl w:val="2"/>
    </w:pPr>
    <w:rPr>
      <w:snapToGrid/>
      <w:szCs w:val="20"/>
      <w:lang w:eastAsia="fr-FR"/>
    </w:rPr>
  </w:style>
  <w:style w:type="paragraph" w:customStyle="1" w:styleId="COI">
    <w:name w:val="COI"/>
    <w:basedOn w:val="Marge"/>
    <w:link w:val="COIChar"/>
    <w:autoRedefine/>
    <w:rsid w:val="00905F09"/>
    <w:pPr>
      <w:numPr>
        <w:numId w:val="2"/>
      </w:numPr>
      <w:tabs>
        <w:tab w:val="clear" w:pos="567"/>
        <w:tab w:val="clear" w:pos="720"/>
        <w:tab w:val="left" w:pos="709"/>
      </w:tabs>
    </w:pPr>
    <w:rPr>
      <w:rFonts w:eastAsia="Arial Unicode MS"/>
      <w:szCs w:val="22"/>
    </w:rPr>
  </w:style>
  <w:style w:type="paragraph" w:styleId="BlockText">
    <w:name w:val="Block Text"/>
    <w:basedOn w:val="Normal"/>
    <w:pPr>
      <w:tabs>
        <w:tab w:val="clear" w:pos="567"/>
      </w:tabs>
      <w:snapToGrid/>
      <w:ind w:left="360" w:right="540"/>
      <w:jc w:val="both"/>
    </w:pPr>
    <w:rPr>
      <w:i/>
      <w:iCs/>
      <w:snapToGrid/>
      <w:lang w:val="en-US"/>
    </w:rPr>
  </w:style>
  <w:style w:type="paragraph" w:styleId="BodyText2">
    <w:name w:val="Body Text 2"/>
    <w:basedOn w:val="Normal"/>
    <w:pPr>
      <w:tabs>
        <w:tab w:val="clear" w:pos="567"/>
      </w:tabs>
      <w:snapToGrid/>
      <w:spacing w:before="100" w:beforeAutospacing="1" w:after="100" w:afterAutospacing="1" w:line="360" w:lineRule="auto"/>
    </w:pPr>
    <w:rPr>
      <w:rFonts w:eastAsia="MS Mincho"/>
      <w:snapToGrid/>
      <w:color w:val="FF0000"/>
      <w:lang w:val="en-US" w:eastAsia="ja-JP"/>
    </w:rPr>
  </w:style>
  <w:style w:type="paragraph" w:styleId="BodyTextIndent">
    <w:name w:val="Body Text Indent"/>
    <w:aliases w:val="Quotation"/>
    <w:basedOn w:val="Normal"/>
    <w:rsid w:val="008D2398"/>
    <w:pPr>
      <w:tabs>
        <w:tab w:val="clear" w:pos="567"/>
      </w:tabs>
      <w:snapToGrid/>
      <w:spacing w:before="120" w:after="100" w:afterAutospacing="1"/>
      <w:ind w:left="1134" w:right="1134"/>
      <w:jc w:val="both"/>
    </w:pPr>
    <w:rPr>
      <w:i/>
      <w:snapToGrid/>
    </w:rPr>
  </w:style>
  <w:style w:type="paragraph" w:customStyle="1" w:styleId="Docheading">
    <w:name w:val="Doc. heading"/>
    <w:basedOn w:val="Header"/>
    <w:rsid w:val="009C15B1"/>
    <w:pPr>
      <w:spacing w:after="480"/>
      <w:jc w:val="center"/>
    </w:pPr>
    <w:rPr>
      <w:b/>
      <w:bCs/>
      <w:caps/>
      <w:sz w:val="24"/>
    </w:rPr>
  </w:style>
  <w:style w:type="paragraph" w:styleId="BodyTextFirstIndent2">
    <w:name w:val="Body Text First Indent 2"/>
    <w:basedOn w:val="BodyTextIndent"/>
    <w:rsid w:val="008D2398"/>
    <w:pPr>
      <w:tabs>
        <w:tab w:val="left" w:pos="567"/>
      </w:tabs>
      <w:snapToGrid w:val="0"/>
      <w:spacing w:after="120"/>
      <w:ind w:left="283" w:firstLine="210"/>
      <w:jc w:val="left"/>
    </w:pPr>
    <w:rPr>
      <w:snapToGrid w:val="0"/>
    </w:rPr>
  </w:style>
  <w:style w:type="paragraph" w:customStyle="1" w:styleId="Listnumbered">
    <w:name w:val="List numbered"/>
    <w:basedOn w:val="ListBullet2"/>
    <w:autoRedefine/>
    <w:rsid w:val="00D013ED"/>
    <w:pPr>
      <w:jc w:val="both"/>
    </w:pPr>
  </w:style>
  <w:style w:type="paragraph" w:customStyle="1" w:styleId="Style1">
    <w:name w:val="Style1"/>
    <w:basedOn w:val="Listnumbered"/>
    <w:autoRedefine/>
    <w:rsid w:val="006B4B95"/>
  </w:style>
  <w:style w:type="character" w:customStyle="1" w:styleId="ParChar">
    <w:name w:val="Par Char"/>
    <w:link w:val="Par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paragraph" w:styleId="ListBullet2">
    <w:name w:val="List Bullet 2"/>
    <w:basedOn w:val="Normal"/>
    <w:rsid w:val="006B4B95"/>
    <w:pPr>
      <w:tabs>
        <w:tab w:val="num" w:pos="720"/>
      </w:tabs>
      <w:spacing w:after="240"/>
      <w:ind w:left="720" w:hanging="720"/>
    </w:pPr>
  </w:style>
  <w:style w:type="character" w:customStyle="1" w:styleId="MargeChar">
    <w:name w:val="Marge Char"/>
    <w:basedOn w:val="ParChar"/>
    <w:link w:val="Marge"/>
    <w:uiPriority w:val="99"/>
    <w:rsid w:val="00690FD2"/>
    <w:rPr>
      <w:rFonts w:ascii="Arial" w:hAnsi="Arial"/>
      <w:snapToGrid w:val="0"/>
      <w:sz w:val="22"/>
      <w:szCs w:val="24"/>
      <w:lang w:val="en-GB" w:eastAsia="en-US" w:bidi="ar-SA"/>
    </w:rPr>
  </w:style>
  <w:style w:type="character" w:customStyle="1" w:styleId="COIChar">
    <w:name w:val="COI Char"/>
    <w:link w:val="COI"/>
    <w:rsid w:val="00905F09"/>
    <w:rPr>
      <w:rFonts w:ascii="Arial" w:eastAsia="Arial Unicode MS" w:hAnsi="Arial"/>
      <w:snapToGrid w:val="0"/>
      <w:sz w:val="22"/>
      <w:szCs w:val="22"/>
      <w:lang w:val="en-GB" w:eastAsia="en-US"/>
    </w:rPr>
  </w:style>
  <w:style w:type="character" w:customStyle="1" w:styleId="Heading9Char">
    <w:name w:val="Heading 9 Char"/>
    <w:link w:val="Heading9"/>
    <w:semiHidden/>
    <w:locked/>
    <w:rsid w:val="002E0859"/>
    <w:rPr>
      <w:rFonts w:ascii="Arial" w:eastAsia="SimSun" w:hAnsi="Arial" w:cs="Arial"/>
      <w:b/>
      <w:bCs/>
      <w:i/>
      <w:iCs/>
      <w:snapToGrid w:val="0"/>
      <w:sz w:val="18"/>
      <w:szCs w:val="18"/>
      <w:u w:val="single"/>
      <w:lang w:val="en-GB" w:eastAsia="zh-CN" w:bidi="ar-SA"/>
    </w:rPr>
  </w:style>
  <w:style w:type="character" w:customStyle="1" w:styleId="Titre9Car1">
    <w:name w:val="Titre 9 Car1"/>
    <w:semiHidden/>
    <w:rsid w:val="002E0859"/>
    <w:rPr>
      <w:rFonts w:ascii="Cambria" w:eastAsia="Times New Roman" w:hAnsi="Cambria" w:cs="Times New Roman"/>
      <w:snapToGrid w:val="0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rsid w:val="00C2635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4032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56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F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67"/>
    <w:rPr>
      <w:rFonts w:ascii="Arial" w:hAnsi="Arial"/>
      <w:snapToGrid w:val="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F67"/>
    <w:rPr>
      <w:rFonts w:ascii="Arial" w:hAnsi="Arial"/>
      <w:b/>
      <w:bCs/>
      <w:snapToGrid w:val="0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056F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6F67"/>
    <w:rPr>
      <w:rFonts w:ascii="Segoe UI" w:hAnsi="Segoe UI" w:cs="Segoe UI"/>
      <w:snapToGrid w:val="0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8028CE"/>
    <w:pPr>
      <w:tabs>
        <w:tab w:val="clear" w:pos="567"/>
      </w:tabs>
      <w:snapToGri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kern w:val="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rsid w:val="002A30E7"/>
    <w:rPr>
      <w:rFonts w:ascii="Arial" w:eastAsia="Arial Unicode MS" w:hAnsi="Arial"/>
      <w:b/>
      <w:bCs/>
      <w:snapToGrid w:val="0"/>
      <w:sz w:val="22"/>
      <w:szCs w:val="22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904E23"/>
    <w:pPr>
      <w:tabs>
        <w:tab w:val="clear" w:pos="567"/>
      </w:tabs>
      <w:snapToGrid/>
      <w:spacing w:before="100" w:beforeAutospacing="1" w:after="100" w:afterAutospacing="1"/>
    </w:pPr>
    <w:rPr>
      <w:rFonts w:ascii="Times New Roman" w:hAnsi="Times New Roman"/>
      <w:snapToGrid/>
      <w:sz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4E2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312D"/>
    <w:rPr>
      <w:snapToGrid w:val="0"/>
      <w:szCs w:val="24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ceanexpert.org/document/36272" TargetMode="External"/><Relationship Id="rId13" Type="http://schemas.openxmlformats.org/officeDocument/2006/relationships/hyperlink" Target="https://oceanexpert.org/document/30476" TargetMode="External"/><Relationship Id="rId18" Type="http://schemas.openxmlformats.org/officeDocument/2006/relationships/hyperlink" Target="https://oceanexpert.org/document/32591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oceanexpert.org/document/34591" TargetMode="External"/><Relationship Id="rId17" Type="http://schemas.openxmlformats.org/officeDocument/2006/relationships/hyperlink" Target="https://oceanexpert.org/document/2660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oceanexpert.org/document/32584" TargetMode="External"/><Relationship Id="rId20" Type="http://schemas.openxmlformats.org/officeDocument/2006/relationships/hyperlink" Target="https://www.state.gov/guidance-on-supporting-documenta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ceanexpert.org/document/3445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oceanexpert.org/document/30593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oceanexpert.org/document/34455" TargetMode="External"/><Relationship Id="rId19" Type="http://schemas.openxmlformats.org/officeDocument/2006/relationships/hyperlink" Target="https://oceanexpert.org/document/319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ceanexpert.org/document/32845" TargetMode="External"/><Relationship Id="rId14" Type="http://schemas.openxmlformats.org/officeDocument/2006/relationships/hyperlink" Target="https://oceanexpert.org/document/26607" TargetMode="External"/><Relationship Id="rId22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igitallibrary.un.org/record/702302?ln=fr&amp;v=pdf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dnQAUKhfHN1ddwGrGl7gJlXT2w==">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1548</Words>
  <Characters>8519</Characters>
  <Application>Microsoft Office Word</Application>
  <DocSecurity>4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Post, Joanna</dc:creator>
  <cp:lastModifiedBy>Boned, Patrice</cp:lastModifiedBy>
  <cp:revision>2</cp:revision>
  <dcterms:created xsi:type="dcterms:W3CDTF">2025-05-26T08:19:00Z</dcterms:created>
  <dcterms:modified xsi:type="dcterms:W3CDTF">2025-05-26T08:19:00Z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0x0101009354335BECF21B40B6CCFAE91E076EEB</vt:lpwstr>
  </property>
</Properties>
</file>