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2"/>
        <w:tblW w:w="76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54"/>
      </w:tblGrid>
      <w:tr w:rsidR="000C58BE" w:rsidRPr="00B7594C" w14:paraId="5022EA49" w14:textId="77777777">
        <w:trPr>
          <w:jc w:val="center"/>
        </w:trPr>
        <w:tc>
          <w:tcPr>
            <w:tcW w:w="7654" w:type="dxa"/>
            <w:tcMar>
              <w:top w:w="170" w:type="dxa"/>
              <w:left w:w="170" w:type="dxa"/>
              <w:bottom w:w="170" w:type="dxa"/>
              <w:right w:w="170" w:type="dxa"/>
            </w:tcMar>
          </w:tcPr>
          <w:p w14:paraId="15A37F2D" w14:textId="77777777" w:rsidR="00A635A5" w:rsidRPr="00B7594C" w:rsidRDefault="00B7594C">
            <w:pPr>
              <w:pBdr>
                <w:top w:val="nil"/>
                <w:left w:val="nil"/>
                <w:bottom w:val="nil"/>
                <w:right w:val="nil"/>
                <w:between w:val="nil"/>
              </w:pBdr>
              <w:spacing w:after="240"/>
              <w:jc w:val="center"/>
              <w:rPr>
                <w:color w:val="000000"/>
                <w:lang w:val="fr-FR"/>
              </w:rPr>
            </w:pPr>
            <w:r>
              <w:rPr>
                <w:color w:val="000000"/>
                <w:u w:val="single"/>
                <w:lang w:val="es"/>
              </w:rPr>
              <w:t>Resumen</w:t>
            </w:r>
          </w:p>
          <w:p w14:paraId="3C52B185" w14:textId="77777777" w:rsidR="00A635A5" w:rsidRPr="00B7594C" w:rsidRDefault="00B7594C">
            <w:pPr>
              <w:pBdr>
                <w:top w:val="nil"/>
                <w:left w:val="nil"/>
                <w:bottom w:val="nil"/>
                <w:right w:val="nil"/>
                <w:between w:val="nil"/>
              </w:pBdr>
              <w:spacing w:after="120"/>
              <w:jc w:val="both"/>
              <w:rPr>
                <w:color w:val="000000"/>
                <w:lang w:val="fr-FR"/>
              </w:rPr>
            </w:pPr>
            <w:r>
              <w:rPr>
                <w:color w:val="000000"/>
                <w:lang w:val="es"/>
              </w:rPr>
              <w:t>En su Decisión A-32/4.8.2, la Asamblea de la COI decidió establecer un Grupo de Trabajo ad hoc entre reuniones sobre observaciones oceánicas en zonas sujetas a jurisdicción nacional, de conformidad con el mandato que figura en el Anexo de la misma decisión, y pidió al Grupo de Trabajo que presentara un informe a la Asamblea de la COI en su 33ª reunión.</w:t>
            </w:r>
          </w:p>
          <w:p w14:paraId="4B7122CB" w14:textId="77777777" w:rsidR="00A635A5" w:rsidRPr="00B7594C" w:rsidRDefault="00B7594C">
            <w:pPr>
              <w:pBdr>
                <w:top w:val="nil"/>
                <w:left w:val="nil"/>
                <w:bottom w:val="nil"/>
                <w:right w:val="nil"/>
                <w:between w:val="nil"/>
              </w:pBdr>
              <w:spacing w:after="120"/>
              <w:jc w:val="both"/>
              <w:rPr>
                <w:color w:val="000000"/>
                <w:lang w:val="fr-FR"/>
              </w:rPr>
            </w:pPr>
            <w:r>
              <w:rPr>
                <w:color w:val="000000"/>
                <w:lang w:val="es"/>
              </w:rPr>
              <w:t xml:space="preserve">Este documento presenta el informe del Grupo de </w:t>
            </w:r>
            <w:proofErr w:type="gramStart"/>
            <w:r>
              <w:rPr>
                <w:color w:val="000000"/>
                <w:lang w:val="es"/>
              </w:rPr>
              <w:t xml:space="preserve">Trabajo </w:t>
            </w:r>
            <w:r>
              <w:rPr>
                <w:lang w:val="es"/>
              </w:rPr>
              <w:t>,</w:t>
            </w:r>
            <w:proofErr w:type="gramEnd"/>
            <w:r>
              <w:rPr>
                <w:lang w:val="es"/>
              </w:rPr>
              <w:t xml:space="preserve"> incluidas las </w:t>
            </w:r>
            <w:r>
              <w:rPr>
                <w:color w:val="000000"/>
                <w:lang w:val="es"/>
              </w:rPr>
              <w:t xml:space="preserve">recomendaciones de </w:t>
            </w:r>
            <w:r>
              <w:rPr>
                <w:lang w:val="es"/>
              </w:rPr>
              <w:t>actuación</w:t>
            </w:r>
            <w:r>
              <w:rPr>
                <w:color w:val="000000"/>
                <w:lang w:val="es"/>
              </w:rPr>
              <w:t xml:space="preserve">. </w:t>
            </w:r>
          </w:p>
          <w:p w14:paraId="4E5099AA" w14:textId="77777777" w:rsidR="00A635A5" w:rsidRPr="00B7594C" w:rsidRDefault="00B7594C">
            <w:pPr>
              <w:spacing w:after="120"/>
              <w:jc w:val="both"/>
              <w:rPr>
                <w:lang w:val="fr-FR"/>
              </w:rPr>
            </w:pPr>
            <w:r>
              <w:rPr>
                <w:lang w:val="es"/>
              </w:rPr>
              <w:t xml:space="preserve">Implicaciones financieras y administrativas: apartado 14.  </w:t>
            </w:r>
          </w:p>
          <w:p w14:paraId="0523F962" w14:textId="77777777" w:rsidR="00A635A5" w:rsidRPr="00B7594C" w:rsidRDefault="00B7594C">
            <w:pPr>
              <w:pBdr>
                <w:top w:val="nil"/>
                <w:left w:val="nil"/>
                <w:bottom w:val="nil"/>
                <w:right w:val="nil"/>
                <w:between w:val="nil"/>
              </w:pBdr>
              <w:spacing w:after="120"/>
              <w:jc w:val="both"/>
              <w:rPr>
                <w:color w:val="000000"/>
                <w:lang w:val="fr-FR"/>
              </w:rPr>
            </w:pPr>
            <w:r>
              <w:rPr>
                <w:color w:val="000000"/>
                <w:lang w:val="es"/>
              </w:rPr>
              <w:t>La</w:t>
            </w:r>
            <w:r>
              <w:rPr>
                <w:color w:val="000000"/>
                <w:u w:val="single"/>
                <w:lang w:val="es"/>
              </w:rPr>
              <w:t>(s) decisión(es) propuesta(s)</w:t>
            </w:r>
            <w:r>
              <w:rPr>
                <w:color w:val="000000"/>
                <w:lang w:val="es"/>
              </w:rPr>
              <w:t xml:space="preserve"> lleva(n) la referencia A-33/Dec.4.5.3 en el Documento de Decisión (documento </w:t>
            </w:r>
            <w:hyperlink r:id="rId8" w:history="1">
              <w:r w:rsidR="00A635A5">
                <w:rPr>
                  <w:rStyle w:val="Hyperlink"/>
                  <w:lang w:val="es"/>
                </w:rPr>
                <w:t>IOC/A-33/2 Prov.</w:t>
              </w:r>
            </w:hyperlink>
            <w:r>
              <w:rPr>
                <w:color w:val="000000"/>
                <w:lang w:val="es"/>
              </w:rPr>
              <w:t>)</w:t>
            </w:r>
          </w:p>
        </w:tc>
      </w:tr>
    </w:tbl>
    <w:p w14:paraId="6682C982" w14:textId="77777777" w:rsidR="0043700A" w:rsidRPr="00B7594C" w:rsidRDefault="0043700A">
      <w:pPr>
        <w:keepNext/>
        <w:keepLines/>
        <w:pBdr>
          <w:top w:val="nil"/>
          <w:left w:val="nil"/>
          <w:bottom w:val="nil"/>
          <w:right w:val="nil"/>
          <w:between w:val="nil"/>
        </w:pBdr>
        <w:spacing w:after="240"/>
        <w:rPr>
          <w:b/>
          <w:color w:val="000000"/>
          <w:lang w:val="fr-FR"/>
        </w:rPr>
      </w:pPr>
    </w:p>
    <w:p w14:paraId="42797C02" w14:textId="77777777" w:rsidR="0043700A" w:rsidRPr="00B7594C" w:rsidRDefault="00B7594C">
      <w:pPr>
        <w:snapToGrid/>
        <w:rPr>
          <w:b/>
          <w:color w:val="000000"/>
          <w:lang w:val="fr-FR"/>
        </w:rPr>
      </w:pPr>
      <w:r>
        <w:rPr>
          <w:b/>
          <w:bCs/>
          <w:color w:val="000000"/>
          <w:lang w:val="es"/>
        </w:rPr>
        <w:br w:type="page"/>
      </w:r>
    </w:p>
    <w:p w14:paraId="49973543" w14:textId="77777777" w:rsidR="00A635A5" w:rsidRDefault="00B7594C">
      <w:pPr>
        <w:keepNext/>
        <w:keepLines/>
        <w:pBdr>
          <w:top w:val="nil"/>
          <w:left w:val="nil"/>
          <w:bottom w:val="nil"/>
          <w:right w:val="nil"/>
          <w:between w:val="nil"/>
        </w:pBdr>
        <w:spacing w:after="240"/>
        <w:rPr>
          <w:b/>
          <w:color w:val="000000"/>
        </w:rPr>
      </w:pPr>
      <w:r>
        <w:rPr>
          <w:b/>
          <w:bCs/>
          <w:color w:val="000000"/>
          <w:lang w:val="es"/>
        </w:rPr>
        <w:lastRenderedPageBreak/>
        <w:t>Introducción</w:t>
      </w:r>
    </w:p>
    <w:p w14:paraId="48E331B1" w14:textId="77777777" w:rsidR="00A635A5" w:rsidRPr="00B7594C" w:rsidRDefault="00B7594C" w:rsidP="00A4057B">
      <w:pPr>
        <w:numPr>
          <w:ilvl w:val="0"/>
          <w:numId w:val="1"/>
        </w:numPr>
        <w:pBdr>
          <w:top w:val="nil"/>
          <w:left w:val="nil"/>
          <w:bottom w:val="nil"/>
          <w:right w:val="nil"/>
          <w:between w:val="nil"/>
        </w:pBdr>
        <w:tabs>
          <w:tab w:val="clear" w:pos="567"/>
          <w:tab w:val="left" w:pos="709"/>
        </w:tabs>
        <w:spacing w:after="240"/>
        <w:jc w:val="both"/>
        <w:rPr>
          <w:color w:val="000000"/>
          <w:lang w:val="fr-FR"/>
        </w:rPr>
      </w:pPr>
      <w:r>
        <w:rPr>
          <w:lang w:val="es"/>
        </w:rPr>
        <w:t xml:space="preserve">En cumplimiento de la </w:t>
      </w:r>
      <w:hyperlink r:id="rId9">
        <w:r w:rsidR="00A635A5">
          <w:rPr>
            <w:color w:val="1155CC"/>
            <w:u w:val="single"/>
            <w:lang w:val="es"/>
          </w:rPr>
          <w:t>decisión A-32/4.8.2</w:t>
        </w:r>
      </w:hyperlink>
      <w:r>
        <w:rPr>
          <w:lang w:val="es"/>
        </w:rPr>
        <w:t xml:space="preserve"> (2023), se estableció un Grupo de Trabajo especial entre reuniones </w:t>
      </w:r>
      <w:r>
        <w:rPr>
          <w:color w:val="000000"/>
          <w:lang w:val="es"/>
        </w:rPr>
        <w:t>sobre observaciones oceánicas en zonas bajo jurisdicción nacional</w:t>
      </w:r>
      <w:r>
        <w:rPr>
          <w:lang w:val="es"/>
        </w:rPr>
        <w:t xml:space="preserve"> (denominado Grupo de Trabajo) con representantes de 27 Estados Miembros bajo la copresidencia de la Dra. Suzan M. El-Gharabawy (Egipto) y el Sr. Ariel Hernán Troisi (Argentina). El Grupo de Trabajo se reúne mensualmente desde noviembre de 2023.</w:t>
      </w:r>
    </w:p>
    <w:p w14:paraId="4EF631C9" w14:textId="77777777" w:rsidR="00A635A5" w:rsidRPr="00B7594C" w:rsidRDefault="00B7594C" w:rsidP="00A4057B">
      <w:pPr>
        <w:numPr>
          <w:ilvl w:val="0"/>
          <w:numId w:val="1"/>
        </w:numPr>
        <w:pBdr>
          <w:top w:val="nil"/>
          <w:left w:val="nil"/>
          <w:bottom w:val="nil"/>
          <w:right w:val="nil"/>
          <w:between w:val="nil"/>
        </w:pBdr>
        <w:tabs>
          <w:tab w:val="clear" w:pos="567"/>
          <w:tab w:val="left" w:pos="709"/>
        </w:tabs>
        <w:spacing w:after="240"/>
        <w:jc w:val="both"/>
        <w:rPr>
          <w:color w:val="000000"/>
          <w:lang w:val="fr-FR"/>
        </w:rPr>
      </w:pPr>
      <w:r>
        <w:rPr>
          <w:lang w:val="es"/>
        </w:rPr>
        <w:t>El Grupo de Trabajo presentó un informe provisional (</w:t>
      </w:r>
      <w:hyperlink r:id="rId10">
        <w:r w:rsidR="00A635A5">
          <w:rPr>
            <w:color w:val="1155CC"/>
            <w:highlight w:val="white"/>
            <w:u w:val="single"/>
            <w:lang w:val="es"/>
          </w:rPr>
          <w:t>IOC/EC-57/4.2.Doc(1</w:t>
        </w:r>
      </w:hyperlink>
      <w:hyperlink r:id="rId11">
        <w:r w:rsidR="00A635A5">
          <w:rPr>
            <w:color w:val="1155CC"/>
            <w:u w:val="single"/>
            <w:lang w:val="es"/>
          </w:rPr>
          <w:t>)</w:t>
        </w:r>
      </w:hyperlink>
      <w:r>
        <w:rPr>
          <w:lang w:val="es"/>
        </w:rPr>
        <w:t>) sobre su labor al Consejo Ejecutivo de la COI en su 57</w:t>
      </w:r>
      <w:r>
        <w:rPr>
          <w:vertAlign w:val="superscript"/>
          <w:lang w:val="es"/>
        </w:rPr>
        <w:t>ª</w:t>
      </w:r>
      <w:r>
        <w:rPr>
          <w:lang w:val="es"/>
        </w:rPr>
        <w:t xml:space="preserve"> reunión, en junio de 2024. El Consejo Ejecutivo a través de la COI </w:t>
      </w:r>
      <w:hyperlink r:id="rId12">
        <w:r w:rsidR="00A635A5">
          <w:rPr>
            <w:color w:val="1155CC"/>
            <w:u w:val="single"/>
            <w:lang w:val="es"/>
          </w:rPr>
          <w:t>Decisión EC-57/4.2</w:t>
        </w:r>
      </w:hyperlink>
      <w:r>
        <w:rPr>
          <w:lang w:val="es"/>
        </w:rPr>
        <w:t xml:space="preserve"> alentó al Grupo de Trabajo a proseguir su labor y animó a los Estados Miembros a contribuir a la misma. </w:t>
      </w:r>
    </w:p>
    <w:p w14:paraId="55E0C7BB" w14:textId="77777777" w:rsidR="00A635A5" w:rsidRPr="00B7594C" w:rsidRDefault="00B7594C" w:rsidP="00A4057B">
      <w:pPr>
        <w:numPr>
          <w:ilvl w:val="0"/>
          <w:numId w:val="1"/>
        </w:numPr>
        <w:tabs>
          <w:tab w:val="clear" w:pos="567"/>
          <w:tab w:val="left" w:pos="709"/>
        </w:tabs>
        <w:spacing w:after="240"/>
        <w:jc w:val="both"/>
        <w:rPr>
          <w:lang w:val="fr-FR"/>
        </w:rPr>
      </w:pPr>
      <w:r>
        <w:rPr>
          <w:lang w:val="es"/>
        </w:rPr>
        <w:t>De conformidad con su mandato, el Grupo de Trabajo presenta a esta Asamblea sus resultados, incluidas las recomendaciones de actuación.</w:t>
      </w:r>
    </w:p>
    <w:p w14:paraId="2B5B375D" w14:textId="77777777" w:rsidR="00A635A5" w:rsidRDefault="00B7594C">
      <w:pPr>
        <w:pBdr>
          <w:top w:val="nil"/>
          <w:left w:val="nil"/>
          <w:bottom w:val="nil"/>
          <w:right w:val="nil"/>
          <w:between w:val="nil"/>
        </w:pBdr>
        <w:tabs>
          <w:tab w:val="left" w:pos="709"/>
        </w:tabs>
        <w:spacing w:after="240"/>
        <w:jc w:val="both"/>
      </w:pPr>
      <w:r>
        <w:rPr>
          <w:b/>
          <w:bCs/>
          <w:lang w:val="es"/>
        </w:rPr>
        <w:t>Antecedentes</w:t>
      </w:r>
    </w:p>
    <w:p w14:paraId="6567A9DF" w14:textId="77777777" w:rsidR="00A635A5" w:rsidRPr="00B7594C" w:rsidRDefault="00B7594C" w:rsidP="00A4057B">
      <w:pPr>
        <w:numPr>
          <w:ilvl w:val="0"/>
          <w:numId w:val="1"/>
        </w:numPr>
        <w:pBdr>
          <w:top w:val="nil"/>
          <w:left w:val="nil"/>
          <w:bottom w:val="nil"/>
          <w:right w:val="nil"/>
          <w:between w:val="nil"/>
        </w:pBdr>
        <w:tabs>
          <w:tab w:val="clear" w:pos="567"/>
          <w:tab w:val="left" w:pos="709"/>
        </w:tabs>
        <w:spacing w:after="240"/>
        <w:jc w:val="both"/>
        <w:rPr>
          <w:color w:val="000000"/>
          <w:lang w:val="fr-FR"/>
        </w:rPr>
      </w:pPr>
      <w:r>
        <w:rPr>
          <w:lang w:val="es"/>
        </w:rPr>
        <w:t>Antes de 2023 y debate de este asunto en la 32ª reunión de la Asamblea:</w:t>
      </w:r>
    </w:p>
    <w:p w14:paraId="54ECCDF7" w14:textId="77777777" w:rsidR="00A635A5" w:rsidRPr="00B7594C" w:rsidRDefault="00B7594C" w:rsidP="00A4057B">
      <w:pPr>
        <w:numPr>
          <w:ilvl w:val="1"/>
          <w:numId w:val="3"/>
        </w:numPr>
        <w:pBdr>
          <w:top w:val="nil"/>
          <w:left w:val="nil"/>
          <w:bottom w:val="nil"/>
          <w:right w:val="nil"/>
          <w:between w:val="nil"/>
        </w:pBdr>
        <w:tabs>
          <w:tab w:val="left" w:pos="709"/>
        </w:tabs>
        <w:spacing w:after="240"/>
        <w:ind w:left="1276" w:hanging="567"/>
        <w:jc w:val="both"/>
        <w:rPr>
          <w:color w:val="000000"/>
          <w:lang w:val="fr-FR"/>
        </w:rPr>
      </w:pPr>
      <w:r>
        <w:rPr>
          <w:lang w:val="es"/>
        </w:rPr>
        <w:t>El</w:t>
      </w:r>
      <w:r>
        <w:rPr>
          <w:color w:val="000000"/>
          <w:lang w:val="es"/>
        </w:rPr>
        <w:t xml:space="preserve"> Consejo Ejecutivo de la COI, en su 55</w:t>
      </w:r>
      <w:r>
        <w:rPr>
          <w:color w:val="000000"/>
          <w:vertAlign w:val="superscript"/>
          <w:lang w:val="es"/>
        </w:rPr>
        <w:t>ª</w:t>
      </w:r>
      <w:r>
        <w:rPr>
          <w:color w:val="000000"/>
          <w:lang w:val="es"/>
        </w:rPr>
        <w:t xml:space="preserve"> reunión celebrada en 2022, había </w:t>
      </w:r>
      <w:r>
        <w:rPr>
          <w:lang w:val="es"/>
        </w:rPr>
        <w:t xml:space="preserve">examinado el documento </w:t>
      </w:r>
      <w:hyperlink r:id="rId13">
        <w:r w:rsidR="00A635A5">
          <w:rPr>
            <w:color w:val="1155CC"/>
            <w:u w:val="single"/>
            <w:lang w:val="es"/>
          </w:rPr>
          <w:t>IOC/EC-55/3.</w:t>
        </w:r>
        <w:proofErr w:type="gramStart"/>
        <w:r w:rsidR="00A635A5">
          <w:rPr>
            <w:color w:val="1155CC"/>
            <w:u w:val="single"/>
            <w:lang w:val="es"/>
          </w:rPr>
          <w:t>4.Doc</w:t>
        </w:r>
        <w:proofErr w:type="gramEnd"/>
        <w:r w:rsidR="00A635A5">
          <w:rPr>
            <w:color w:val="1155CC"/>
            <w:u w:val="single"/>
            <w:lang w:val="es"/>
          </w:rPr>
          <w:t>(1)</w:t>
        </w:r>
      </w:hyperlink>
      <w:r>
        <w:rPr>
          <w:color w:val="000000"/>
          <w:lang w:val="es"/>
        </w:rPr>
        <w:t xml:space="preserve"> en el que se destacaban los problemas y las soluciones para mejorar las observaciones oceánicas sostenidas en las zonas bajo jurisdicción nacional, y la función de la COI, la OMM y la DOALOS a este respecto. El documento se basó principalmente en el informe resumido del </w:t>
      </w:r>
      <w:r>
        <w:rPr>
          <w:i/>
          <w:iCs/>
          <w:color w:val="000000"/>
          <w:lang w:val="es"/>
        </w:rPr>
        <w:t>Taller de Expertos sobre Observaciones Oceánicas en Zonas bajo Jurisdicción</w:t>
      </w:r>
      <w:r>
        <w:rPr>
          <w:color w:val="000000"/>
          <w:lang w:val="es"/>
        </w:rPr>
        <w:t xml:space="preserve"> Nacional (</w:t>
      </w:r>
      <w:hyperlink r:id="rId14">
        <w:r w:rsidR="00A635A5">
          <w:rPr>
            <w:color w:val="1155CC"/>
            <w:u w:val="single"/>
            <w:lang w:val="es"/>
          </w:rPr>
          <w:t>OONJ, 2021, GOOS-246</w:t>
        </w:r>
      </w:hyperlink>
      <w:r>
        <w:rPr>
          <w:color w:val="000000"/>
          <w:lang w:val="es"/>
        </w:rPr>
        <w:t xml:space="preserve">). </w:t>
      </w:r>
    </w:p>
    <w:p w14:paraId="1BA66389" w14:textId="77777777" w:rsidR="00A635A5" w:rsidRPr="00B7594C" w:rsidRDefault="00A635A5" w:rsidP="00A4057B">
      <w:pPr>
        <w:numPr>
          <w:ilvl w:val="1"/>
          <w:numId w:val="3"/>
        </w:numPr>
        <w:pBdr>
          <w:top w:val="nil"/>
          <w:left w:val="nil"/>
          <w:bottom w:val="nil"/>
          <w:right w:val="nil"/>
          <w:between w:val="nil"/>
        </w:pBdr>
        <w:tabs>
          <w:tab w:val="left" w:pos="709"/>
        </w:tabs>
        <w:spacing w:after="240"/>
        <w:ind w:left="1276" w:hanging="567"/>
        <w:jc w:val="both"/>
        <w:rPr>
          <w:color w:val="000000"/>
          <w:lang w:val="fr-FR"/>
        </w:rPr>
      </w:pPr>
      <w:hyperlink r:id="rId15">
        <w:r>
          <w:rPr>
            <w:color w:val="1155CC"/>
            <w:u w:val="single"/>
            <w:lang w:val="es"/>
          </w:rPr>
          <w:t>La Decisión IOC/EC-55/3.4</w:t>
        </w:r>
      </w:hyperlink>
      <w:r w:rsidR="00B7594C">
        <w:rPr>
          <w:lang w:val="es"/>
        </w:rPr>
        <w:t xml:space="preserve"> invitó al Sistema Mundial de Observación de los Océanos (GOOS) a proporcionar información detallada sobre las cuestiones planteadas y pidió a los Estados Miembros que facilitaran información sobre sus experiencias relativas a las observaciones oceánicas sostenidas en zonas bajo su jurisdicción nacional, incluidas las cuestiones señaladas por el GOOS</w:t>
      </w:r>
      <w:r w:rsidR="00B7594C">
        <w:rPr>
          <w:color w:val="000000"/>
          <w:lang w:val="es"/>
        </w:rPr>
        <w:t>.</w:t>
      </w:r>
      <w:r w:rsidR="00B7594C">
        <w:rPr>
          <w:lang w:val="es"/>
        </w:rPr>
        <w:t xml:space="preserve"> A </w:t>
      </w:r>
      <w:r w:rsidR="00B7594C">
        <w:rPr>
          <w:color w:val="000000"/>
          <w:lang w:val="es"/>
        </w:rPr>
        <w:t>continuación, se realizaron encuestas separadas</w:t>
      </w:r>
      <w:r w:rsidR="00B7594C">
        <w:rPr>
          <w:lang w:val="es"/>
        </w:rPr>
        <w:t xml:space="preserve"> a lo largo de 2022-2023</w:t>
      </w:r>
      <w:r w:rsidR="00B7594C">
        <w:rPr>
          <w:color w:val="000000"/>
          <w:lang w:val="es"/>
        </w:rPr>
        <w:t xml:space="preserve">, </w:t>
      </w:r>
      <w:r w:rsidR="00B7594C">
        <w:rPr>
          <w:lang w:val="es"/>
        </w:rPr>
        <w:t xml:space="preserve">para recabar la opinión de las redes de observación del GOOS </w:t>
      </w:r>
      <w:r w:rsidR="00B7594C">
        <w:rPr>
          <w:color w:val="000000"/>
          <w:lang w:val="es"/>
        </w:rPr>
        <w:t>y de los Estados Miemb</w:t>
      </w:r>
      <w:r w:rsidR="00B7594C">
        <w:rPr>
          <w:color w:val="000000"/>
          <w:lang w:val="es"/>
        </w:rPr>
        <w:t>ros. Los resultados de estas encuestas se presentaron a la Asamblea en su 32</w:t>
      </w:r>
      <w:r w:rsidR="00B7594C">
        <w:rPr>
          <w:color w:val="000000"/>
          <w:vertAlign w:val="superscript"/>
          <w:lang w:val="es"/>
        </w:rPr>
        <w:t>ª</w:t>
      </w:r>
      <w:r w:rsidR="00B7594C">
        <w:rPr>
          <w:color w:val="000000"/>
          <w:lang w:val="es"/>
        </w:rPr>
        <w:t xml:space="preserve"> reunión (2023) </w:t>
      </w:r>
      <w:r w:rsidR="00B7594C">
        <w:rPr>
          <w:lang w:val="es"/>
        </w:rPr>
        <w:t xml:space="preserve">en el documento </w:t>
      </w:r>
      <w:hyperlink r:id="rId16">
        <w:r>
          <w:rPr>
            <w:color w:val="1155CC"/>
            <w:u w:val="single"/>
            <w:lang w:val="es"/>
          </w:rPr>
          <w:t>IOC-32/4.8.</w:t>
        </w:r>
        <w:proofErr w:type="gramStart"/>
        <w:r>
          <w:rPr>
            <w:color w:val="1155CC"/>
            <w:u w:val="single"/>
            <w:lang w:val="es"/>
          </w:rPr>
          <w:t>2.Doc</w:t>
        </w:r>
        <w:proofErr w:type="gramEnd"/>
        <w:r>
          <w:rPr>
            <w:color w:val="1155CC"/>
            <w:u w:val="single"/>
            <w:lang w:val="es"/>
          </w:rPr>
          <w:t>(1)</w:t>
        </w:r>
      </w:hyperlink>
      <w:r w:rsidR="00B7594C">
        <w:rPr>
          <w:color w:val="000000"/>
          <w:lang w:val="es"/>
        </w:rPr>
        <w:t>.</w:t>
      </w:r>
    </w:p>
    <w:p w14:paraId="59453A56" w14:textId="77777777" w:rsidR="00A635A5" w:rsidRDefault="00B7594C">
      <w:pPr>
        <w:keepNext/>
        <w:keepLines/>
        <w:pBdr>
          <w:top w:val="nil"/>
          <w:left w:val="nil"/>
          <w:bottom w:val="nil"/>
          <w:right w:val="nil"/>
          <w:between w:val="nil"/>
        </w:pBdr>
        <w:spacing w:after="240"/>
        <w:rPr>
          <w:b/>
          <w:color w:val="000000"/>
        </w:rPr>
      </w:pPr>
      <w:r>
        <w:rPr>
          <w:b/>
          <w:bCs/>
          <w:color w:val="000000"/>
          <w:lang w:val="es"/>
        </w:rPr>
        <w:t>Resumen de los debates del Grupo de Trabajo</w:t>
      </w:r>
    </w:p>
    <w:p w14:paraId="4FDBDE97" w14:textId="77777777" w:rsidR="00A635A5" w:rsidRPr="00B7594C" w:rsidRDefault="00B7594C" w:rsidP="00A4057B">
      <w:pPr>
        <w:numPr>
          <w:ilvl w:val="0"/>
          <w:numId w:val="1"/>
        </w:numPr>
        <w:pBdr>
          <w:top w:val="nil"/>
          <w:left w:val="nil"/>
          <w:bottom w:val="nil"/>
          <w:right w:val="nil"/>
          <w:between w:val="nil"/>
        </w:pBdr>
        <w:tabs>
          <w:tab w:val="clear" w:pos="567"/>
          <w:tab w:val="left" w:pos="709"/>
        </w:tabs>
        <w:spacing w:after="240"/>
        <w:jc w:val="both"/>
        <w:rPr>
          <w:color w:val="000000"/>
          <w:lang w:val="es"/>
        </w:rPr>
      </w:pPr>
      <w:r>
        <w:rPr>
          <w:color w:val="000000"/>
          <w:lang w:val="es"/>
        </w:rPr>
        <w:t xml:space="preserve">El Grupo de Trabajo examinó diverso material, incluido el informe resumido del </w:t>
      </w:r>
      <w:r>
        <w:rPr>
          <w:i/>
          <w:iCs/>
          <w:color w:val="000000"/>
          <w:lang w:val="es"/>
        </w:rPr>
        <w:t>Taller de Expertos sobre Observaciones Oceánicas en Zonas bajo Jurisdicción</w:t>
      </w:r>
      <w:r>
        <w:rPr>
          <w:color w:val="000000"/>
          <w:lang w:val="es"/>
        </w:rPr>
        <w:t xml:space="preserve"> </w:t>
      </w:r>
      <w:r>
        <w:rPr>
          <w:i/>
          <w:iCs/>
          <w:color w:val="000000"/>
          <w:lang w:val="es"/>
        </w:rPr>
        <w:t>Nacional</w:t>
      </w:r>
      <w:r>
        <w:rPr>
          <w:color w:val="000000"/>
          <w:lang w:val="es"/>
        </w:rPr>
        <w:t xml:space="preserve"> ( </w:t>
      </w:r>
      <w:hyperlink r:id="rId17">
        <w:r w:rsidR="00A635A5">
          <w:rPr>
            <w:color w:val="0000FF"/>
            <w:u w:val="single"/>
            <w:lang w:val="es"/>
          </w:rPr>
          <w:t>OONJ, 2021, GOOS-246</w:t>
        </w:r>
      </w:hyperlink>
      <w:r>
        <w:rPr>
          <w:color w:val="000000"/>
          <w:lang w:val="es"/>
        </w:rPr>
        <w:t xml:space="preserve">), así como información adicional recopilada en 2022-2023 </w:t>
      </w:r>
      <w:r>
        <w:rPr>
          <w:lang w:val="es"/>
        </w:rPr>
        <w:t xml:space="preserve">mediante la </w:t>
      </w:r>
      <w:r>
        <w:rPr>
          <w:color w:val="000000"/>
          <w:lang w:val="es"/>
        </w:rPr>
        <w:t>encuesta realizada con redes (</w:t>
      </w:r>
      <w:hyperlink r:id="rId18">
        <w:r w:rsidR="00A635A5">
          <w:rPr>
            <w:color w:val="0000FF"/>
            <w:u w:val="single"/>
            <w:lang w:val="es"/>
          </w:rPr>
          <w:t>IOC/INF-1431</w:t>
        </w:r>
      </w:hyperlink>
      <w:r>
        <w:rPr>
          <w:color w:val="000000"/>
          <w:lang w:val="es"/>
        </w:rPr>
        <w:t xml:space="preserve">) y los Estados Miembros en respuesta a la </w:t>
      </w:r>
      <w:hyperlink r:id="rId19">
        <w:r w:rsidR="00A635A5">
          <w:rPr>
            <w:color w:val="000000" w:themeColor="text1"/>
            <w:lang w:val="es"/>
          </w:rPr>
          <w:t xml:space="preserve">Circular de la COI </w:t>
        </w:r>
        <w:r w:rsidR="00A635A5">
          <w:rPr>
            <w:color w:val="0000FF"/>
            <w:u w:val="single"/>
            <w:lang w:val="es"/>
          </w:rPr>
          <w:t>2938</w:t>
        </w:r>
      </w:hyperlink>
      <w:r>
        <w:rPr>
          <w:color w:val="000000"/>
          <w:lang w:val="es"/>
        </w:rPr>
        <w:t>. Además, el Grupo de Trabajo también invitó a sus reuniones a representantes de varias redes (Argo, Go-SHIP), así como de OceanOPS, para que comentaran cuestiones incluidas en el mandato del Grupo de Trabajo.</w:t>
      </w:r>
    </w:p>
    <w:p w14:paraId="40F72F88" w14:textId="77777777" w:rsidR="00A635A5" w:rsidRPr="00B7594C" w:rsidRDefault="00B7594C" w:rsidP="00A4057B">
      <w:pPr>
        <w:numPr>
          <w:ilvl w:val="0"/>
          <w:numId w:val="1"/>
        </w:numPr>
        <w:pBdr>
          <w:top w:val="nil"/>
          <w:left w:val="nil"/>
          <w:bottom w:val="nil"/>
          <w:right w:val="nil"/>
          <w:between w:val="nil"/>
        </w:pBdr>
        <w:tabs>
          <w:tab w:val="clear" w:pos="567"/>
          <w:tab w:val="left" w:pos="709"/>
        </w:tabs>
        <w:spacing w:after="240"/>
        <w:jc w:val="both"/>
        <w:rPr>
          <w:color w:val="000000"/>
          <w:lang w:val="fr-FR"/>
        </w:rPr>
      </w:pPr>
      <w:r>
        <w:rPr>
          <w:color w:val="000000"/>
          <w:lang w:val="es"/>
        </w:rPr>
        <w:t>Uno de los principales requisitos del grupo de trabajo era determinar y documentar ejemplos concretos de problemas encontrados en la realización de observaciones oceánicas continuas y evaluar sus repercusiones en el GOOS, así como en la investigación, los servicios y los productos que dependen de los datos del GOOS.</w:t>
      </w:r>
    </w:p>
    <w:p w14:paraId="65E744BA" w14:textId="77777777" w:rsidR="00A635A5" w:rsidRPr="00B7594C" w:rsidRDefault="00B7594C" w:rsidP="00A4057B">
      <w:pPr>
        <w:numPr>
          <w:ilvl w:val="0"/>
          <w:numId w:val="1"/>
        </w:numPr>
        <w:pBdr>
          <w:top w:val="nil"/>
          <w:left w:val="nil"/>
          <w:bottom w:val="nil"/>
          <w:right w:val="nil"/>
          <w:between w:val="nil"/>
        </w:pBdr>
        <w:tabs>
          <w:tab w:val="clear" w:pos="567"/>
          <w:tab w:val="left" w:pos="709"/>
        </w:tabs>
        <w:spacing w:after="240"/>
        <w:jc w:val="both"/>
        <w:rPr>
          <w:color w:val="000000"/>
          <w:lang w:val="fr-FR"/>
        </w:rPr>
      </w:pPr>
      <w:r>
        <w:rPr>
          <w:color w:val="000000"/>
          <w:lang w:val="es"/>
        </w:rPr>
        <w:t xml:space="preserve">Para centrarse en su labor, el Grupo de Trabajo no trató de definir lo que </w:t>
      </w:r>
      <w:r>
        <w:rPr>
          <w:lang w:val="es"/>
        </w:rPr>
        <w:t xml:space="preserve">se </w:t>
      </w:r>
      <w:r>
        <w:rPr>
          <w:color w:val="000000"/>
          <w:lang w:val="es"/>
        </w:rPr>
        <w:t xml:space="preserve">entiende por "observaciones oceánicas sostenidas", sino que se basó en el principio de que </w:t>
      </w:r>
      <w:r>
        <w:rPr>
          <w:lang w:val="es"/>
        </w:rPr>
        <w:t xml:space="preserve">las observaciones a largo plazo del GOOS </w:t>
      </w:r>
      <w:r>
        <w:rPr>
          <w:color w:val="000000"/>
          <w:lang w:val="es"/>
        </w:rPr>
        <w:t xml:space="preserve">son las que se llevan a cabo mediante el despliegue de instrumentos durante </w:t>
      </w:r>
      <w:r>
        <w:rPr>
          <w:color w:val="000000"/>
          <w:lang w:val="es"/>
        </w:rPr>
        <w:lastRenderedPageBreak/>
        <w:t>largos periodos de tiempo, así como mediante sondeos repetidos. Esto contrasta con otros tipos de observaciones, como las expediciones marítimas de corta duración.</w:t>
      </w:r>
    </w:p>
    <w:p w14:paraId="744488FB" w14:textId="77777777" w:rsidR="00A635A5" w:rsidRPr="00B7594C" w:rsidRDefault="00B7594C" w:rsidP="00E63DC6">
      <w:pPr>
        <w:numPr>
          <w:ilvl w:val="0"/>
          <w:numId w:val="1"/>
        </w:numPr>
        <w:pBdr>
          <w:top w:val="nil"/>
          <w:left w:val="nil"/>
          <w:bottom w:val="nil"/>
          <w:right w:val="nil"/>
          <w:between w:val="nil"/>
        </w:pBdr>
        <w:tabs>
          <w:tab w:val="clear" w:pos="567"/>
          <w:tab w:val="left" w:pos="709"/>
        </w:tabs>
        <w:spacing w:after="120"/>
        <w:jc w:val="both"/>
        <w:rPr>
          <w:color w:val="000000"/>
          <w:lang w:val="fr-FR"/>
        </w:rPr>
      </w:pPr>
      <w:r>
        <w:rPr>
          <w:color w:val="000000"/>
          <w:lang w:val="es"/>
        </w:rPr>
        <w:t xml:space="preserve">El Grupo de Trabajo extrajo y agrupó en varias categorías las cuestiones planteadas por las redes y los Estados Miembros a partir de los resultados de la encuesta. Quedó claro que </w:t>
      </w:r>
      <w:r>
        <w:rPr>
          <w:lang w:val="es"/>
        </w:rPr>
        <w:t xml:space="preserve">el principal </w:t>
      </w:r>
      <w:r>
        <w:rPr>
          <w:color w:val="000000"/>
          <w:lang w:val="es"/>
        </w:rPr>
        <w:t xml:space="preserve">problema planteado en las encuestas </w:t>
      </w:r>
      <w:r>
        <w:rPr>
          <w:lang w:val="es"/>
        </w:rPr>
        <w:t>era la</w:t>
      </w:r>
      <w:r>
        <w:rPr>
          <w:color w:val="000000"/>
          <w:lang w:val="es"/>
        </w:rPr>
        <w:t xml:space="preserve"> falta de claridad, conocimiento o </w:t>
      </w:r>
      <w:r>
        <w:rPr>
          <w:lang w:val="es"/>
        </w:rPr>
        <w:t xml:space="preserve">comprensión </w:t>
      </w:r>
      <w:r>
        <w:rPr>
          <w:color w:val="000000"/>
          <w:lang w:val="es"/>
        </w:rPr>
        <w:t xml:space="preserve">del proceso de solicitud para la </w:t>
      </w:r>
      <w:r>
        <w:rPr>
          <w:b/>
          <w:bCs/>
          <w:lang w:val="es"/>
        </w:rPr>
        <w:t>Investigación Científica Marina (Marine Scientific Research, o MSR)</w:t>
      </w:r>
      <w:r>
        <w:rPr>
          <w:lang w:val="es"/>
        </w:rPr>
        <w:t>, que a menudo difiere de un país a otro</w:t>
      </w:r>
      <w:r>
        <w:rPr>
          <w:color w:val="000000"/>
          <w:lang w:val="es"/>
        </w:rPr>
        <w:t xml:space="preserve">. Esta impresión se confirmó a lo largo de las discusiones entre el </w:t>
      </w:r>
      <w:r>
        <w:rPr>
          <w:lang w:val="es"/>
        </w:rPr>
        <w:t>grupo de trabajo</w:t>
      </w:r>
      <w:r>
        <w:rPr>
          <w:color w:val="000000"/>
          <w:lang w:val="es"/>
        </w:rPr>
        <w:t xml:space="preserve"> y las redes de observación del GOOS, que identificaron</w:t>
      </w:r>
      <w:r>
        <w:rPr>
          <w:lang w:val="es"/>
        </w:rPr>
        <w:t xml:space="preserve"> retos </w:t>
      </w:r>
      <w:r>
        <w:rPr>
          <w:color w:val="000000"/>
          <w:lang w:val="es"/>
        </w:rPr>
        <w:t>como el despliegue de equipos de observación</w:t>
      </w:r>
      <w:r>
        <w:rPr>
          <w:lang w:val="es"/>
        </w:rPr>
        <w:t xml:space="preserve"> </w:t>
      </w:r>
      <w:r>
        <w:rPr>
          <w:color w:val="000000"/>
          <w:lang w:val="es"/>
        </w:rPr>
        <w:t xml:space="preserve">y la repetición de actividades. </w:t>
      </w:r>
      <w:r>
        <w:rPr>
          <w:lang w:val="es"/>
        </w:rPr>
        <w:t xml:space="preserve">Los puntos clave identificados por el Grupo de </w:t>
      </w:r>
      <w:r>
        <w:rPr>
          <w:lang w:val="es"/>
        </w:rPr>
        <w:t>Trabajo sobre el proceso de solicitud de MSR son los siguientes</w:t>
      </w:r>
      <w:r>
        <w:rPr>
          <w:color w:val="000000"/>
          <w:lang w:val="es"/>
        </w:rPr>
        <w:t>:</w:t>
      </w:r>
    </w:p>
    <w:p w14:paraId="0447F73A" w14:textId="77777777" w:rsidR="00A635A5" w:rsidRPr="00B7594C" w:rsidRDefault="00B7594C" w:rsidP="00E63DC6">
      <w:pPr>
        <w:numPr>
          <w:ilvl w:val="1"/>
          <w:numId w:val="4"/>
        </w:numPr>
        <w:pBdr>
          <w:top w:val="nil"/>
          <w:left w:val="nil"/>
          <w:bottom w:val="nil"/>
          <w:right w:val="nil"/>
          <w:between w:val="nil"/>
        </w:pBdr>
        <w:tabs>
          <w:tab w:val="clear" w:pos="567"/>
        </w:tabs>
        <w:spacing w:after="120"/>
        <w:ind w:left="1418" w:hanging="709"/>
        <w:jc w:val="both"/>
        <w:rPr>
          <w:color w:val="000000"/>
          <w:lang w:val="fr-FR"/>
        </w:rPr>
      </w:pPr>
      <w:r>
        <w:rPr>
          <w:color w:val="000000"/>
          <w:lang w:val="es"/>
        </w:rPr>
        <w:t>Complejidad administrativa, como puntos de contacto poco claros o respuestas tardías, sobre todo cuando interviene más de un Estado costero;</w:t>
      </w:r>
    </w:p>
    <w:p w14:paraId="57E4313A" w14:textId="77777777" w:rsidR="00A635A5" w:rsidRPr="00B7594C" w:rsidRDefault="00B7594C" w:rsidP="00E63DC6">
      <w:pPr>
        <w:numPr>
          <w:ilvl w:val="1"/>
          <w:numId w:val="4"/>
        </w:numPr>
        <w:pBdr>
          <w:top w:val="nil"/>
          <w:left w:val="nil"/>
          <w:bottom w:val="nil"/>
          <w:right w:val="nil"/>
          <w:between w:val="nil"/>
        </w:pBdr>
        <w:tabs>
          <w:tab w:val="clear" w:pos="567"/>
        </w:tabs>
        <w:spacing w:after="120"/>
        <w:ind w:left="1418" w:hanging="709"/>
        <w:jc w:val="both"/>
        <w:rPr>
          <w:color w:val="000000"/>
          <w:lang w:val="fr-FR"/>
        </w:rPr>
      </w:pPr>
      <w:r>
        <w:rPr>
          <w:color w:val="000000"/>
          <w:lang w:val="es"/>
        </w:rPr>
        <w:t>Costes adicionales o requisitos de información adicional durante el proceso de solicitud;</w:t>
      </w:r>
    </w:p>
    <w:p w14:paraId="68417102" w14:textId="77777777" w:rsidR="00A635A5" w:rsidRPr="00B7594C" w:rsidRDefault="00B7594C" w:rsidP="00E63DC6">
      <w:pPr>
        <w:numPr>
          <w:ilvl w:val="1"/>
          <w:numId w:val="4"/>
        </w:numPr>
        <w:pBdr>
          <w:top w:val="nil"/>
          <w:left w:val="nil"/>
          <w:bottom w:val="nil"/>
          <w:right w:val="nil"/>
          <w:between w:val="nil"/>
        </w:pBdr>
        <w:tabs>
          <w:tab w:val="clear" w:pos="567"/>
        </w:tabs>
        <w:spacing w:after="120"/>
        <w:ind w:left="1418" w:hanging="709"/>
        <w:jc w:val="both"/>
        <w:rPr>
          <w:color w:val="000000"/>
          <w:lang w:val="fr-FR"/>
        </w:rPr>
      </w:pPr>
      <w:r>
        <w:rPr>
          <w:color w:val="000000"/>
          <w:lang w:val="es"/>
        </w:rPr>
        <w:t>Oportunidades de despliegue perdidas debido al requisito de seis meses del artículo 248 de la CNUDM;</w:t>
      </w:r>
    </w:p>
    <w:p w14:paraId="31994BFE" w14:textId="77777777" w:rsidR="00A635A5" w:rsidRPr="00B7594C" w:rsidRDefault="00B7594C" w:rsidP="00E63DC6">
      <w:pPr>
        <w:numPr>
          <w:ilvl w:val="1"/>
          <w:numId w:val="4"/>
        </w:numPr>
        <w:pBdr>
          <w:top w:val="nil"/>
          <w:left w:val="nil"/>
          <w:bottom w:val="nil"/>
          <w:right w:val="nil"/>
          <w:between w:val="nil"/>
        </w:pBdr>
        <w:tabs>
          <w:tab w:val="clear" w:pos="567"/>
        </w:tabs>
        <w:spacing w:after="240"/>
        <w:ind w:left="1418" w:hanging="709"/>
        <w:jc w:val="both"/>
        <w:rPr>
          <w:color w:val="000000"/>
          <w:lang w:val="fr-FR"/>
        </w:rPr>
      </w:pPr>
      <w:r>
        <w:rPr>
          <w:color w:val="000000"/>
          <w:lang w:val="es"/>
        </w:rPr>
        <w:t>Dificultades para utilizar el Formulario A (Anexo I de la GuíaDOALOS 2010 sobre MSR</w:t>
      </w:r>
      <w:r>
        <w:rPr>
          <w:color w:val="000000"/>
          <w:vertAlign w:val="superscript"/>
          <w:lang w:val="es"/>
        </w:rPr>
        <w:footnoteReference w:id="1"/>
      </w:r>
      <w:r>
        <w:rPr>
          <w:lang w:val="es"/>
        </w:rPr>
        <w:t xml:space="preserve"> )</w:t>
      </w:r>
      <w:r>
        <w:rPr>
          <w:color w:val="000000"/>
          <w:lang w:val="es"/>
        </w:rPr>
        <w:t>.</w:t>
      </w:r>
    </w:p>
    <w:p w14:paraId="61052930" w14:textId="77777777" w:rsidR="00A635A5" w:rsidRPr="00B7594C" w:rsidRDefault="00B7594C" w:rsidP="00A4057B">
      <w:pPr>
        <w:numPr>
          <w:ilvl w:val="0"/>
          <w:numId w:val="1"/>
        </w:numPr>
        <w:pBdr>
          <w:top w:val="nil"/>
          <w:left w:val="nil"/>
          <w:bottom w:val="nil"/>
          <w:right w:val="nil"/>
          <w:between w:val="nil"/>
        </w:pBdr>
        <w:tabs>
          <w:tab w:val="clear" w:pos="567"/>
          <w:tab w:val="left" w:pos="709"/>
        </w:tabs>
        <w:spacing w:after="240"/>
        <w:jc w:val="both"/>
        <w:rPr>
          <w:color w:val="000000"/>
          <w:lang w:val="fr-FR"/>
        </w:rPr>
      </w:pPr>
      <w:r>
        <w:rPr>
          <w:color w:val="000000"/>
          <w:lang w:val="es"/>
        </w:rPr>
        <w:t xml:space="preserve">A la luz de lo anterior, el Grupo de Trabajo trató de comprender cuáles eran las repercusiones materiales de estos </w:t>
      </w:r>
      <w:r>
        <w:rPr>
          <w:lang w:val="es"/>
        </w:rPr>
        <w:t xml:space="preserve">retos </w:t>
      </w:r>
      <w:r>
        <w:rPr>
          <w:color w:val="000000"/>
          <w:lang w:val="es"/>
        </w:rPr>
        <w:t xml:space="preserve">para el GOOS. Los miembros del Grupo de Trabajo tenían opiniones divergentes sobre lo que </w:t>
      </w:r>
      <w:r>
        <w:rPr>
          <w:lang w:val="es"/>
        </w:rPr>
        <w:t>constituye</w:t>
      </w:r>
      <w:r>
        <w:rPr>
          <w:color w:val="000000"/>
          <w:lang w:val="es"/>
        </w:rPr>
        <w:t xml:space="preserve"> un impacto material. Cualitativamente, estos impactos incluyen la pérdida de despliegues, la reducción de la recogida de datos, la disminución del flujo de datos al GOOS y la pérdida de oportunidades debido a la simplificación o cancelación de un crucero. </w:t>
      </w:r>
      <w:r>
        <w:rPr>
          <w:lang w:val="es"/>
        </w:rPr>
        <w:t>Sin embargo</w:t>
      </w:r>
      <w:r>
        <w:rPr>
          <w:color w:val="000000"/>
          <w:lang w:val="es"/>
        </w:rPr>
        <w:t xml:space="preserve">, tras consultar con las redes, no se proporcionaron datos ni pruebas </w:t>
      </w:r>
      <w:proofErr w:type="gramStart"/>
      <w:r>
        <w:rPr>
          <w:color w:val="000000"/>
          <w:lang w:val="es"/>
        </w:rPr>
        <w:t>para  determinar</w:t>
      </w:r>
      <w:proofErr w:type="gramEnd"/>
      <w:r>
        <w:rPr>
          <w:color w:val="000000"/>
          <w:lang w:val="es"/>
        </w:rPr>
        <w:t xml:space="preserve"> </w:t>
      </w:r>
      <w:r>
        <w:rPr>
          <w:lang w:val="es"/>
        </w:rPr>
        <w:t xml:space="preserve">cuantitativamente </w:t>
      </w:r>
      <w:r>
        <w:rPr>
          <w:color w:val="000000"/>
          <w:lang w:val="es"/>
        </w:rPr>
        <w:t>el déficit de datos percibido</w:t>
      </w:r>
      <w:r>
        <w:rPr>
          <w:lang w:val="es"/>
        </w:rPr>
        <w:t xml:space="preserve"> o el </w:t>
      </w:r>
      <w:r>
        <w:rPr>
          <w:color w:val="000000"/>
          <w:lang w:val="es"/>
        </w:rPr>
        <w:t xml:space="preserve">impacto material en los servicios o productos del GOOS. </w:t>
      </w:r>
    </w:p>
    <w:p w14:paraId="1E09EF14" w14:textId="77777777" w:rsidR="00A635A5" w:rsidRPr="00B7594C" w:rsidRDefault="00B7594C" w:rsidP="00A4057B">
      <w:pPr>
        <w:numPr>
          <w:ilvl w:val="0"/>
          <w:numId w:val="1"/>
        </w:numPr>
        <w:pBdr>
          <w:top w:val="nil"/>
          <w:left w:val="nil"/>
          <w:bottom w:val="nil"/>
          <w:right w:val="nil"/>
          <w:between w:val="nil"/>
        </w:pBdr>
        <w:tabs>
          <w:tab w:val="clear" w:pos="567"/>
          <w:tab w:val="left" w:pos="709"/>
        </w:tabs>
        <w:spacing w:after="240"/>
        <w:jc w:val="both"/>
        <w:rPr>
          <w:color w:val="000000"/>
          <w:lang w:val="fr-FR"/>
        </w:rPr>
      </w:pPr>
      <w:r>
        <w:rPr>
          <w:lang w:val="es"/>
        </w:rPr>
        <w:t xml:space="preserve">Un informe del Programa de Buques que Colaboran Ocasionalmente (SOOP) presentó pruebas de las repercusiones materiales para el GOOS causadas por el actual proceso MSR. </w:t>
      </w:r>
      <w:r>
        <w:rPr>
          <w:color w:val="000000"/>
          <w:lang w:val="es"/>
        </w:rPr>
        <w:t>Los datos proporcionados por SOCONET/SOOP-CO</w:t>
      </w:r>
      <w:r>
        <w:rPr>
          <w:color w:val="000000"/>
          <w:vertAlign w:val="subscript"/>
          <w:lang w:val="es"/>
        </w:rPr>
        <w:t>2</w:t>
      </w:r>
      <w:r>
        <w:rPr>
          <w:color w:val="000000"/>
          <w:lang w:val="es"/>
        </w:rPr>
        <w:t xml:space="preserve"> (pCO2) proporcionan los flujos de CO</w:t>
      </w:r>
      <w:r>
        <w:rPr>
          <w:color w:val="000000"/>
          <w:vertAlign w:val="subscript"/>
          <w:lang w:val="es"/>
        </w:rPr>
        <w:t>2</w:t>
      </w:r>
      <w:r>
        <w:rPr>
          <w:color w:val="000000"/>
          <w:lang w:val="es"/>
        </w:rPr>
        <w:t xml:space="preserve"> entre el aire y el océano y las tendencias de acidificación de las aguas superficiales. Estos datos son esenciales para evaluaciones anuales como las que proporciona el Global Carbon Project y desempeñan un papel importante en los informes del IPCC. Además, estos datos son importantes para validar los obtenidos mediante sensores biogeoquímicos en los flotadores Argo (BGC Argo). Estos retos tienen un importante impacto negati</w:t>
      </w:r>
      <w:r>
        <w:rPr>
          <w:color w:val="000000"/>
          <w:lang w:val="es"/>
        </w:rPr>
        <w:t xml:space="preserve">vo en el GOOS. Los requisitos legales actuales hacen que las aplicaciones MSR sean extremadamente complejas, si no imposibles, para el SOOP, a pesar de que estos datos son necesarios para fines científicos y para los informes del IPCC, entre </w:t>
      </w:r>
      <w:r>
        <w:rPr>
          <w:lang w:val="es"/>
        </w:rPr>
        <w:t>otros</w:t>
      </w:r>
      <w:r>
        <w:rPr>
          <w:color w:val="000000"/>
          <w:lang w:val="es"/>
        </w:rPr>
        <w:t xml:space="preserve">. </w:t>
      </w:r>
    </w:p>
    <w:p w14:paraId="7E25A788" w14:textId="77777777" w:rsidR="00A635A5" w:rsidRDefault="00B7594C" w:rsidP="00586EFE">
      <w:pPr>
        <w:numPr>
          <w:ilvl w:val="0"/>
          <w:numId w:val="1"/>
        </w:numPr>
        <w:pBdr>
          <w:top w:val="nil"/>
          <w:left w:val="nil"/>
          <w:bottom w:val="nil"/>
          <w:right w:val="nil"/>
          <w:between w:val="nil"/>
        </w:pBdr>
        <w:tabs>
          <w:tab w:val="clear" w:pos="567"/>
          <w:tab w:val="left" w:pos="709"/>
        </w:tabs>
        <w:spacing w:after="120"/>
        <w:jc w:val="both"/>
        <w:rPr>
          <w:color w:val="000000"/>
        </w:rPr>
      </w:pPr>
      <w:r>
        <w:rPr>
          <w:color w:val="000000"/>
          <w:lang w:val="es"/>
        </w:rPr>
        <w:t>El Grupo de Trabajo reconoció que muchas de las cuestiones planteadas se referían a la necesidad de cumplir la Parte XIII de la UNCLOS, por lo que trató de determinar las mejores prácticas entre los Estados Miembros con el fin de promover buenas prácticas de trabajo en las redes del GOOS. Algunos ejemplos:</w:t>
      </w:r>
    </w:p>
    <w:p w14:paraId="05990160" w14:textId="77777777" w:rsidR="00A635A5" w:rsidRPr="00B7594C" w:rsidRDefault="00B7594C" w:rsidP="00586EFE">
      <w:pPr>
        <w:numPr>
          <w:ilvl w:val="1"/>
          <w:numId w:val="5"/>
        </w:numPr>
        <w:pBdr>
          <w:top w:val="nil"/>
          <w:left w:val="nil"/>
          <w:bottom w:val="nil"/>
          <w:right w:val="nil"/>
          <w:between w:val="nil"/>
        </w:pBdr>
        <w:tabs>
          <w:tab w:val="clear" w:pos="567"/>
        </w:tabs>
        <w:spacing w:after="120"/>
        <w:ind w:hanging="726"/>
        <w:jc w:val="both"/>
        <w:rPr>
          <w:lang w:val="fr-FR"/>
        </w:rPr>
      </w:pPr>
      <w:r>
        <w:rPr>
          <w:color w:val="000000"/>
          <w:lang w:val="es"/>
        </w:rPr>
        <w:t xml:space="preserve">Recopilación del Departamento de Estado de </w:t>
      </w:r>
      <w:proofErr w:type="gramStart"/>
      <w:r>
        <w:rPr>
          <w:color w:val="000000"/>
          <w:lang w:val="es"/>
        </w:rPr>
        <w:t>EE.UU.</w:t>
      </w:r>
      <w:proofErr w:type="gramEnd"/>
      <w:r>
        <w:rPr>
          <w:color w:val="000000"/>
          <w:lang w:val="es"/>
        </w:rPr>
        <w:t xml:space="preserve"> de los procesos de solicitud de MSR de los Estados </w:t>
      </w:r>
      <w:hyperlink r:id="rId20">
        <w:r w:rsidR="00A635A5">
          <w:rPr>
            <w:color w:val="0000FF"/>
            <w:u w:val="single"/>
            <w:lang w:val="es"/>
          </w:rPr>
          <w:t>https://www.state.gov/guidance-on-supporting-documentation/</w:t>
        </w:r>
      </w:hyperlink>
    </w:p>
    <w:p w14:paraId="59D661D1" w14:textId="77777777" w:rsidR="00A635A5" w:rsidRPr="00B7594C" w:rsidRDefault="00B7594C" w:rsidP="00586EFE">
      <w:pPr>
        <w:numPr>
          <w:ilvl w:val="1"/>
          <w:numId w:val="5"/>
        </w:numPr>
        <w:pBdr>
          <w:top w:val="nil"/>
          <w:left w:val="nil"/>
          <w:bottom w:val="nil"/>
          <w:right w:val="nil"/>
          <w:between w:val="nil"/>
        </w:pBdr>
        <w:tabs>
          <w:tab w:val="clear" w:pos="567"/>
        </w:tabs>
        <w:spacing w:after="120"/>
        <w:ind w:hanging="726"/>
        <w:jc w:val="both"/>
        <w:rPr>
          <w:color w:val="000000"/>
          <w:lang w:val="fr-FR"/>
        </w:rPr>
      </w:pPr>
      <w:r>
        <w:rPr>
          <w:color w:val="000000"/>
          <w:lang w:val="es"/>
        </w:rPr>
        <w:lastRenderedPageBreak/>
        <w:t xml:space="preserve">Francia ha desarrollado una solución destinada a ayudar a los países a obtener equipos franceses con sus propios buques, permitirles controlar lo que se mide y proporcionar datos FAIR a la comunidad mundial, como es el caso de Marruecos; </w:t>
      </w:r>
    </w:p>
    <w:p w14:paraId="107373A2" w14:textId="77777777" w:rsidR="00A635A5" w:rsidRPr="00B7594C" w:rsidRDefault="00B7594C" w:rsidP="00586EFE">
      <w:pPr>
        <w:numPr>
          <w:ilvl w:val="1"/>
          <w:numId w:val="5"/>
        </w:numPr>
        <w:pBdr>
          <w:top w:val="nil"/>
          <w:left w:val="nil"/>
          <w:bottom w:val="nil"/>
          <w:right w:val="nil"/>
          <w:between w:val="nil"/>
        </w:pBdr>
        <w:tabs>
          <w:tab w:val="clear" w:pos="567"/>
        </w:tabs>
        <w:spacing w:after="120"/>
        <w:ind w:hanging="726"/>
        <w:jc w:val="both"/>
        <w:rPr>
          <w:color w:val="000000"/>
          <w:lang w:val="fr-FR"/>
        </w:rPr>
      </w:pPr>
      <w:r>
        <w:rPr>
          <w:color w:val="000000"/>
          <w:lang w:val="es"/>
        </w:rPr>
        <w:t xml:space="preserve">Mauricio ha adquirido flotadores de la NOAA, los datos se cargan automáticamente a nivel nacional, y el país puede optar por entregar los datos a la comunidad mundial; </w:t>
      </w:r>
    </w:p>
    <w:p w14:paraId="3827C620" w14:textId="77777777" w:rsidR="00A635A5" w:rsidRPr="00B7594C" w:rsidRDefault="00B7594C" w:rsidP="00586EFE">
      <w:pPr>
        <w:numPr>
          <w:ilvl w:val="1"/>
          <w:numId w:val="5"/>
        </w:numPr>
        <w:pBdr>
          <w:top w:val="nil"/>
          <w:left w:val="nil"/>
          <w:bottom w:val="nil"/>
          <w:right w:val="nil"/>
          <w:between w:val="nil"/>
        </w:pBdr>
        <w:tabs>
          <w:tab w:val="clear" w:pos="567"/>
        </w:tabs>
        <w:spacing w:after="240"/>
        <w:ind w:hanging="726"/>
        <w:jc w:val="both"/>
        <w:rPr>
          <w:color w:val="000000"/>
          <w:lang w:val="fr-FR"/>
        </w:rPr>
      </w:pPr>
      <w:r>
        <w:rPr>
          <w:color w:val="000000"/>
          <w:lang w:val="es"/>
        </w:rPr>
        <w:t>Acuerdos bilaterales entre algunos países que se coordinan en el GOOS;</w:t>
      </w:r>
    </w:p>
    <w:p w14:paraId="68E87CE9" w14:textId="77777777" w:rsidR="00A635A5" w:rsidRPr="00B7594C" w:rsidRDefault="00B7594C" w:rsidP="00A4057B">
      <w:pPr>
        <w:numPr>
          <w:ilvl w:val="0"/>
          <w:numId w:val="1"/>
        </w:numPr>
        <w:pBdr>
          <w:top w:val="nil"/>
          <w:left w:val="nil"/>
          <w:bottom w:val="nil"/>
          <w:right w:val="nil"/>
          <w:between w:val="nil"/>
        </w:pBdr>
        <w:tabs>
          <w:tab w:val="clear" w:pos="567"/>
          <w:tab w:val="left" w:pos="709"/>
        </w:tabs>
        <w:spacing w:after="240"/>
        <w:jc w:val="both"/>
        <w:rPr>
          <w:lang w:val="fr-FR"/>
        </w:rPr>
      </w:pPr>
      <w:r>
        <w:rPr>
          <w:lang w:val="es"/>
        </w:rPr>
        <w:t>Aunque esta lista no es exhaustiva, los detalles de las mejores prácticas deben comunicarse al GOOS para su difusión a la comunidad, según proceda.</w:t>
      </w:r>
    </w:p>
    <w:p w14:paraId="3A0CD4D5" w14:textId="77777777" w:rsidR="00A635A5" w:rsidRPr="00B7594C" w:rsidRDefault="00A635A5" w:rsidP="00A4057B">
      <w:pPr>
        <w:pBdr>
          <w:top w:val="nil"/>
          <w:left w:val="nil"/>
          <w:bottom w:val="nil"/>
          <w:right w:val="nil"/>
          <w:between w:val="nil"/>
        </w:pBdr>
        <w:tabs>
          <w:tab w:val="clear" w:pos="567"/>
          <w:tab w:val="left" w:pos="709"/>
        </w:tabs>
        <w:ind w:left="720"/>
        <w:jc w:val="both"/>
        <w:rPr>
          <w:lang w:val="fr-FR"/>
        </w:rPr>
      </w:pPr>
    </w:p>
    <w:p w14:paraId="194DAF38" w14:textId="77777777" w:rsidR="00A635A5" w:rsidRPr="00B7594C" w:rsidRDefault="00B7594C" w:rsidP="00586EFE">
      <w:pPr>
        <w:numPr>
          <w:ilvl w:val="0"/>
          <w:numId w:val="1"/>
        </w:numPr>
        <w:pBdr>
          <w:top w:val="nil"/>
          <w:left w:val="nil"/>
          <w:bottom w:val="nil"/>
          <w:right w:val="nil"/>
          <w:between w:val="nil"/>
        </w:pBdr>
        <w:tabs>
          <w:tab w:val="clear" w:pos="567"/>
          <w:tab w:val="left" w:pos="709"/>
        </w:tabs>
        <w:spacing w:after="120"/>
        <w:jc w:val="both"/>
        <w:rPr>
          <w:lang w:val="fr-FR"/>
        </w:rPr>
      </w:pPr>
      <w:r>
        <w:rPr>
          <w:color w:val="000000"/>
          <w:lang w:val="es"/>
        </w:rPr>
        <w:t xml:space="preserve">Además, dado el </w:t>
      </w:r>
      <w:proofErr w:type="gramStart"/>
      <w:r>
        <w:rPr>
          <w:color w:val="000000"/>
          <w:lang w:val="es"/>
        </w:rPr>
        <w:t>mandato</w:t>
      </w:r>
      <w:r>
        <w:rPr>
          <w:lang w:val="es"/>
        </w:rPr>
        <w:t xml:space="preserve"> </w:t>
      </w:r>
      <w:r>
        <w:rPr>
          <w:color w:val="000000"/>
          <w:lang w:val="es"/>
        </w:rPr>
        <w:t xml:space="preserve"> del</w:t>
      </w:r>
      <w:proofErr w:type="gramEnd"/>
      <w:r>
        <w:rPr>
          <w:color w:val="000000"/>
          <w:lang w:val="es"/>
        </w:rPr>
        <w:t xml:space="preserve"> Grupo de Trabajo de identificar posibles acciones que entren dentro del mandato de la COI, se consideraron varias </w:t>
      </w:r>
      <w:r>
        <w:rPr>
          <w:lang w:val="es"/>
        </w:rPr>
        <w:t>recomendaciones</w:t>
      </w:r>
      <w:r>
        <w:rPr>
          <w:color w:val="000000"/>
          <w:lang w:val="es"/>
        </w:rPr>
        <w:t xml:space="preserve">:    </w:t>
      </w:r>
    </w:p>
    <w:p w14:paraId="5447C7E4" w14:textId="77777777" w:rsidR="00A635A5" w:rsidRPr="00B7594C" w:rsidRDefault="00B7594C" w:rsidP="00586EFE">
      <w:pPr>
        <w:numPr>
          <w:ilvl w:val="1"/>
          <w:numId w:val="6"/>
        </w:numPr>
        <w:pBdr>
          <w:top w:val="nil"/>
          <w:left w:val="nil"/>
          <w:bottom w:val="nil"/>
          <w:right w:val="nil"/>
          <w:between w:val="nil"/>
        </w:pBdr>
        <w:tabs>
          <w:tab w:val="clear" w:pos="567"/>
        </w:tabs>
        <w:spacing w:after="120"/>
        <w:ind w:hanging="726"/>
        <w:jc w:val="both"/>
        <w:rPr>
          <w:color w:val="000000"/>
          <w:lang w:val="fr-FR"/>
        </w:rPr>
      </w:pPr>
      <w:r>
        <w:rPr>
          <w:color w:val="000000"/>
          <w:lang w:val="es"/>
        </w:rPr>
        <w:t>La COI/GOOS podría dar a conocer mejor el proceso de MSR, por ejemplo, mediante comunicaciones pertinentes, incluyendo enlaces adecuados a la información</w:t>
      </w:r>
      <w:r>
        <w:rPr>
          <w:lang w:val="es"/>
        </w:rPr>
        <w:t>;</w:t>
      </w:r>
      <w:r>
        <w:rPr>
          <w:color w:val="000000"/>
          <w:lang w:val="es"/>
        </w:rPr>
        <w:t xml:space="preserve"> </w:t>
      </w:r>
    </w:p>
    <w:p w14:paraId="60CC59C8" w14:textId="77777777" w:rsidR="00A635A5" w:rsidRPr="00B7594C" w:rsidRDefault="00B7594C" w:rsidP="00586EFE">
      <w:pPr>
        <w:numPr>
          <w:ilvl w:val="1"/>
          <w:numId w:val="6"/>
        </w:numPr>
        <w:pBdr>
          <w:top w:val="nil"/>
          <w:left w:val="nil"/>
          <w:bottom w:val="nil"/>
          <w:right w:val="nil"/>
          <w:between w:val="nil"/>
        </w:pBdr>
        <w:tabs>
          <w:tab w:val="clear" w:pos="567"/>
        </w:tabs>
        <w:spacing w:after="120"/>
        <w:ind w:hanging="726"/>
        <w:jc w:val="both"/>
        <w:rPr>
          <w:color w:val="000000"/>
          <w:lang w:val="fr-FR"/>
        </w:rPr>
      </w:pPr>
      <w:r>
        <w:rPr>
          <w:lang w:val="es"/>
        </w:rPr>
        <w:t>pedir al GOOS que consulte a sus redes y a las partes interesadas pertinentes para determinar si la Guía DOALOS 2010 sobre MSR podría revisarse y, en caso afirmativo, dónde, e informar al respecto a la 34ª Asamblea de la COI;</w:t>
      </w:r>
    </w:p>
    <w:p w14:paraId="1A9D3356" w14:textId="77777777" w:rsidR="00A635A5" w:rsidRPr="00B7594C" w:rsidRDefault="00B7594C" w:rsidP="00586EFE">
      <w:pPr>
        <w:numPr>
          <w:ilvl w:val="1"/>
          <w:numId w:val="6"/>
        </w:numPr>
        <w:pBdr>
          <w:top w:val="nil"/>
          <w:left w:val="nil"/>
          <w:bottom w:val="nil"/>
          <w:right w:val="nil"/>
          <w:between w:val="nil"/>
        </w:pBdr>
        <w:tabs>
          <w:tab w:val="clear" w:pos="567"/>
        </w:tabs>
        <w:spacing w:after="120"/>
        <w:ind w:hanging="726"/>
        <w:jc w:val="both"/>
        <w:rPr>
          <w:lang w:val="fr-FR"/>
        </w:rPr>
      </w:pPr>
      <w:r>
        <w:rPr>
          <w:color w:val="000000"/>
          <w:lang w:val="es"/>
        </w:rPr>
        <w:t>Los Estados Miembros de la COI deben promover la colaboración entre los Estados ribereños vecinos para facilitar el desminado bilateral y regional de los RMS;</w:t>
      </w:r>
    </w:p>
    <w:p w14:paraId="1BC73061" w14:textId="77777777" w:rsidR="00A635A5" w:rsidRPr="00B7594C" w:rsidRDefault="00B7594C" w:rsidP="00586EFE">
      <w:pPr>
        <w:numPr>
          <w:ilvl w:val="1"/>
          <w:numId w:val="6"/>
        </w:numPr>
        <w:pBdr>
          <w:top w:val="nil"/>
          <w:left w:val="nil"/>
          <w:bottom w:val="nil"/>
          <w:right w:val="nil"/>
          <w:between w:val="nil"/>
        </w:pBdr>
        <w:tabs>
          <w:tab w:val="clear" w:pos="567"/>
        </w:tabs>
        <w:spacing w:after="120"/>
        <w:ind w:hanging="726"/>
        <w:jc w:val="both"/>
        <w:rPr>
          <w:lang w:val="fr-FR"/>
        </w:rPr>
      </w:pPr>
      <w:r>
        <w:rPr>
          <w:color w:val="000000"/>
          <w:lang w:val="es"/>
        </w:rPr>
        <w:t>Invitar a los órganos subsidiarios regionales de la COI y a las Alianzas Regionales del GOOS</w:t>
      </w:r>
      <w:r>
        <w:rPr>
          <w:lang w:val="es"/>
        </w:rPr>
        <w:t xml:space="preserve"> </w:t>
      </w:r>
      <w:r>
        <w:rPr>
          <w:color w:val="000000"/>
          <w:lang w:val="es"/>
        </w:rPr>
        <w:t xml:space="preserve">a que actúen como intermediarios entre las autoridades nacionales y las redes de investigación y </w:t>
      </w:r>
      <w:r>
        <w:rPr>
          <w:lang w:val="es"/>
        </w:rPr>
        <w:t xml:space="preserve">faciliten el </w:t>
      </w:r>
      <w:r>
        <w:rPr>
          <w:color w:val="000000"/>
          <w:lang w:val="es"/>
        </w:rPr>
        <w:t>conocimiento del proceso de autorización de la MSR ofreciendo asesoramiento técnico y orientaciones coherentes, así como coordinando los esfuerzos para racionalizar los procedimientos entre los países con características regionales similares;</w:t>
      </w:r>
    </w:p>
    <w:p w14:paraId="4397AD50" w14:textId="77777777" w:rsidR="00A635A5" w:rsidRPr="00B7594C" w:rsidRDefault="00B7594C" w:rsidP="00586EFE">
      <w:pPr>
        <w:numPr>
          <w:ilvl w:val="1"/>
          <w:numId w:val="6"/>
        </w:numPr>
        <w:pBdr>
          <w:top w:val="nil"/>
          <w:left w:val="nil"/>
          <w:bottom w:val="nil"/>
          <w:right w:val="nil"/>
          <w:between w:val="nil"/>
        </w:pBdr>
        <w:tabs>
          <w:tab w:val="clear" w:pos="567"/>
        </w:tabs>
        <w:spacing w:after="240"/>
        <w:ind w:hanging="726"/>
        <w:jc w:val="both"/>
        <w:rPr>
          <w:lang w:val="fr-FR"/>
        </w:rPr>
      </w:pPr>
      <w:r>
        <w:rPr>
          <w:lang w:val="es"/>
        </w:rPr>
        <w:t>reconociendo el valor del mandato de la COI para el programa Argo, el Grupo de Trabajo determinó que la COI podría considerar un mandato similar para otras redes pertinentes del GOOS, en particular SOOP;</w:t>
      </w:r>
    </w:p>
    <w:p w14:paraId="2CE0B91F" w14:textId="77777777" w:rsidR="00A635A5" w:rsidRDefault="00B7594C">
      <w:pPr>
        <w:pStyle w:val="Heading3"/>
      </w:pPr>
      <w:bookmarkStart w:id="0" w:name="_heading=h.lj3sftc0gspz" w:colFirst="0" w:colLast="0"/>
      <w:bookmarkEnd w:id="0"/>
      <w:r>
        <w:rPr>
          <w:lang w:val="es"/>
        </w:rPr>
        <w:t>Implicaciones financieras y administrativas</w:t>
      </w:r>
      <w:r>
        <w:rPr>
          <w:b w:val="0"/>
          <w:bCs w:val="0"/>
          <w:lang w:val="es"/>
        </w:rPr>
        <w:tab/>
      </w:r>
    </w:p>
    <w:p w14:paraId="442A92AF" w14:textId="77777777" w:rsidR="00A635A5" w:rsidRPr="00B7594C" w:rsidRDefault="00B7594C" w:rsidP="00A4057B">
      <w:pPr>
        <w:numPr>
          <w:ilvl w:val="0"/>
          <w:numId w:val="1"/>
        </w:numPr>
        <w:tabs>
          <w:tab w:val="clear" w:pos="567"/>
          <w:tab w:val="left" w:pos="709"/>
        </w:tabs>
        <w:spacing w:after="240"/>
        <w:jc w:val="both"/>
        <w:rPr>
          <w:lang w:val="fr-FR"/>
        </w:rPr>
      </w:pPr>
      <w:r>
        <w:rPr>
          <w:lang w:val="es"/>
        </w:rPr>
        <w:t>Las repercusiones financieras y administrativas inmediatas de las actividades se ajustan a los parámetros del presupuesto ordinario de la COI (42 C/5) y a las actividades de la Función B de la Estrategia a Plazo Medio de la COI: "Sistema de observación / Gestión de datos".</w:t>
      </w:r>
    </w:p>
    <w:sectPr w:rsidR="00A635A5" w:rsidRPr="00B7594C">
      <w:headerReference w:type="even" r:id="rId21"/>
      <w:headerReference w:type="default" r:id="rId22"/>
      <w:headerReference w:type="first" r:id="rId23"/>
      <w:pgSz w:w="11906" w:h="16838"/>
      <w:pgMar w:top="1418" w:right="1134" w:bottom="1134" w:left="1133" w:header="709"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1D9C4" w14:textId="77777777" w:rsidR="00B7594C" w:rsidRDefault="00B7594C">
      <w:r>
        <w:separator/>
      </w:r>
    </w:p>
  </w:endnote>
  <w:endnote w:type="continuationSeparator" w:id="0">
    <w:p w14:paraId="2959EF26" w14:textId="77777777" w:rsidR="00B7594C" w:rsidRDefault="00B75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CAC0E" w14:textId="77777777" w:rsidR="00067ABD" w:rsidRDefault="00B7594C">
      <w:r>
        <w:separator/>
      </w:r>
    </w:p>
  </w:footnote>
  <w:footnote w:type="continuationSeparator" w:id="0">
    <w:p w14:paraId="69B0975A" w14:textId="77777777" w:rsidR="00067ABD" w:rsidRDefault="00B7594C">
      <w:r>
        <w:continuationSeparator/>
      </w:r>
    </w:p>
  </w:footnote>
  <w:footnote w:id="1">
    <w:p w14:paraId="394A7755" w14:textId="77777777" w:rsidR="00A635A5" w:rsidRDefault="00B7594C">
      <w:pPr>
        <w:pBdr>
          <w:top w:val="nil"/>
          <w:left w:val="nil"/>
          <w:bottom w:val="nil"/>
          <w:right w:val="nil"/>
          <w:between w:val="nil"/>
        </w:pBdr>
        <w:ind w:left="567" w:hanging="567"/>
        <w:rPr>
          <w:color w:val="000000"/>
          <w:sz w:val="20"/>
          <w:szCs w:val="20"/>
        </w:rPr>
      </w:pPr>
      <w:r>
        <w:rPr>
          <w:rStyle w:val="FootnoteReference"/>
          <w:lang w:val="es"/>
        </w:rPr>
        <w:footnoteRef/>
      </w:r>
      <w:r>
        <w:rPr>
          <w:color w:val="000000"/>
          <w:sz w:val="20"/>
          <w:szCs w:val="20"/>
          <w:lang w:val="es"/>
        </w:rPr>
        <w:t xml:space="preserve"> </w:t>
      </w:r>
      <w:r>
        <w:rPr>
          <w:color w:val="000000"/>
          <w:sz w:val="20"/>
          <w:szCs w:val="20"/>
          <w:lang w:val="es"/>
        </w:rPr>
        <w:tab/>
      </w:r>
      <w:hyperlink r:id="rId1" w:history="1">
        <w:r w:rsidR="00A635A5">
          <w:rPr>
            <w:rStyle w:val="Hyperlink"/>
            <w:i/>
            <w:iCs/>
            <w:sz w:val="20"/>
            <w:szCs w:val="20"/>
            <w:lang w:val="es"/>
          </w:rPr>
          <w:t>Marine Scientific Research: A revised guide to the implementation of the relevant provisions of the United Nations Convention on the Law of the Sea</w:t>
        </w:r>
      </w:hyperlink>
      <w:r>
        <w:rPr>
          <w:color w:val="000000"/>
          <w:sz w:val="20"/>
          <w:szCs w:val="20"/>
          <w:lang w:val="es"/>
        </w:rPr>
        <w:t>, United Nations Division for Ocean Affairs and the Law of the Sea Office of Legal Affairs, United Nations, New York 2010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2C968" w14:textId="77777777" w:rsidR="00A635A5" w:rsidRPr="0043700A" w:rsidRDefault="00B7594C">
    <w:pPr>
      <w:pBdr>
        <w:top w:val="nil"/>
        <w:left w:val="nil"/>
        <w:bottom w:val="nil"/>
        <w:right w:val="nil"/>
        <w:between w:val="nil"/>
      </w:pBdr>
      <w:tabs>
        <w:tab w:val="center" w:pos="4153"/>
        <w:tab w:val="right" w:pos="8306"/>
      </w:tabs>
      <w:rPr>
        <w:color w:val="000000"/>
        <w:sz w:val="20"/>
        <w:szCs w:val="20"/>
      </w:rPr>
    </w:pPr>
    <w:r>
      <w:rPr>
        <w:color w:val="000000" w:themeColor="text1"/>
        <w:sz w:val="20"/>
        <w:szCs w:val="20"/>
        <w:lang w:val="es"/>
      </w:rPr>
      <w:t>IOC/A-33/4.5.</w:t>
    </w:r>
    <w:proofErr w:type="gramStart"/>
    <w:r>
      <w:rPr>
        <w:color w:val="000000" w:themeColor="text1"/>
        <w:sz w:val="20"/>
        <w:szCs w:val="20"/>
        <w:lang w:val="es"/>
      </w:rPr>
      <w:t>3.Doc</w:t>
    </w:r>
    <w:proofErr w:type="gramEnd"/>
    <w:r>
      <w:rPr>
        <w:color w:val="000000" w:themeColor="text1"/>
        <w:sz w:val="20"/>
        <w:szCs w:val="20"/>
        <w:lang w:val="es"/>
      </w:rPr>
      <w:t>(1)</w:t>
    </w:r>
  </w:p>
  <w:p w14:paraId="7D7591B0" w14:textId="77777777" w:rsidR="00A635A5" w:rsidRPr="0043700A" w:rsidRDefault="00B7594C">
    <w:pPr>
      <w:pBdr>
        <w:top w:val="nil"/>
        <w:left w:val="nil"/>
        <w:bottom w:val="nil"/>
        <w:right w:val="nil"/>
        <w:between w:val="nil"/>
      </w:pBdr>
      <w:tabs>
        <w:tab w:val="center" w:pos="4153"/>
        <w:tab w:val="right" w:pos="8306"/>
      </w:tabs>
      <w:rPr>
        <w:color w:val="000000"/>
        <w:sz w:val="20"/>
        <w:szCs w:val="20"/>
      </w:rPr>
    </w:pPr>
    <w:r>
      <w:rPr>
        <w:color w:val="000000"/>
        <w:sz w:val="20"/>
        <w:szCs w:val="20"/>
        <w:lang w:val="es"/>
      </w:rPr>
      <w:t>página </w:t>
    </w:r>
    <w:r>
      <w:rPr>
        <w:color w:val="000000"/>
        <w:sz w:val="20"/>
        <w:szCs w:val="20"/>
        <w:lang w:val="es"/>
      </w:rPr>
      <w:fldChar w:fldCharType="begin"/>
    </w:r>
    <w:r>
      <w:rPr>
        <w:color w:val="000000"/>
        <w:sz w:val="20"/>
        <w:szCs w:val="20"/>
        <w:lang w:val="es"/>
      </w:rPr>
      <w:instrText>PAGE</w:instrText>
    </w:r>
    <w:r>
      <w:rPr>
        <w:color w:val="000000"/>
        <w:sz w:val="20"/>
        <w:szCs w:val="20"/>
        <w:lang w:val="es"/>
      </w:rPr>
      <w:fldChar w:fldCharType="separate"/>
    </w:r>
    <w:r>
      <w:rPr>
        <w:noProof/>
        <w:color w:val="000000"/>
        <w:sz w:val="20"/>
        <w:szCs w:val="20"/>
        <w:lang w:val="es"/>
      </w:rPr>
      <w:t>2</w:t>
    </w:r>
    <w:r>
      <w:rPr>
        <w:color w:val="000000"/>
        <w:sz w:val="20"/>
        <w:szCs w:val="20"/>
        <w:lang w:val="e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FFE71" w14:textId="77777777" w:rsidR="00A635A5" w:rsidRPr="0043700A" w:rsidRDefault="00B7594C" w:rsidP="0043700A">
    <w:pPr>
      <w:pBdr>
        <w:top w:val="nil"/>
        <w:left w:val="nil"/>
        <w:bottom w:val="nil"/>
        <w:right w:val="nil"/>
        <w:between w:val="nil"/>
      </w:pBdr>
      <w:tabs>
        <w:tab w:val="center" w:pos="4153"/>
        <w:tab w:val="right" w:pos="8306"/>
      </w:tabs>
      <w:ind w:left="7513"/>
      <w:rPr>
        <w:color w:val="000000"/>
      </w:rPr>
    </w:pPr>
    <w:r>
      <w:rPr>
        <w:color w:val="000000" w:themeColor="text1"/>
        <w:sz w:val="20"/>
        <w:szCs w:val="20"/>
        <w:lang w:val="es"/>
      </w:rPr>
      <w:t>IOC/A-33/4.5.</w:t>
    </w:r>
    <w:proofErr w:type="gramStart"/>
    <w:r>
      <w:rPr>
        <w:color w:val="000000" w:themeColor="text1"/>
        <w:sz w:val="20"/>
        <w:szCs w:val="20"/>
        <w:lang w:val="es"/>
      </w:rPr>
      <w:t>3.Doc</w:t>
    </w:r>
    <w:proofErr w:type="gramEnd"/>
    <w:r>
      <w:rPr>
        <w:color w:val="000000" w:themeColor="text1"/>
        <w:sz w:val="20"/>
        <w:szCs w:val="20"/>
        <w:lang w:val="es"/>
      </w:rPr>
      <w:t>(1)</w:t>
    </w:r>
  </w:p>
  <w:p w14:paraId="1F51091F" w14:textId="77777777" w:rsidR="00A635A5" w:rsidRPr="0043700A" w:rsidRDefault="00B7594C" w:rsidP="0043700A">
    <w:pPr>
      <w:pBdr>
        <w:top w:val="nil"/>
        <w:left w:val="nil"/>
        <w:bottom w:val="nil"/>
        <w:right w:val="nil"/>
        <w:between w:val="nil"/>
      </w:pBdr>
      <w:tabs>
        <w:tab w:val="center" w:pos="4153"/>
        <w:tab w:val="right" w:pos="8306"/>
      </w:tabs>
      <w:ind w:left="7513"/>
      <w:rPr>
        <w:color w:val="000000"/>
      </w:rPr>
    </w:pPr>
    <w:r>
      <w:rPr>
        <w:color w:val="000000"/>
        <w:lang w:val="es"/>
      </w:rPr>
      <w:t xml:space="preserve">página </w:t>
    </w:r>
    <w:r>
      <w:rPr>
        <w:color w:val="000000"/>
        <w:lang w:val="es"/>
      </w:rPr>
      <w:fldChar w:fldCharType="begin"/>
    </w:r>
    <w:r>
      <w:rPr>
        <w:color w:val="000000"/>
        <w:lang w:val="es"/>
      </w:rPr>
      <w:instrText>PAGE</w:instrText>
    </w:r>
    <w:r>
      <w:rPr>
        <w:color w:val="000000"/>
        <w:lang w:val="es"/>
      </w:rPr>
      <w:fldChar w:fldCharType="separate"/>
    </w:r>
    <w:r>
      <w:rPr>
        <w:noProof/>
        <w:color w:val="000000"/>
        <w:lang w:val="es"/>
      </w:rPr>
      <w:t>3</w:t>
    </w:r>
    <w:r>
      <w:rPr>
        <w:color w:val="000000"/>
        <w:lang w:val="es"/>
      </w:rPr>
      <w:fldChar w:fldCharType="end"/>
    </w:r>
  </w:p>
  <w:p w14:paraId="02D7BC76" w14:textId="77777777" w:rsidR="00A635A5" w:rsidRPr="0043700A" w:rsidRDefault="00A635A5" w:rsidP="0043700A">
    <w:pPr>
      <w:pBdr>
        <w:top w:val="nil"/>
        <w:left w:val="nil"/>
        <w:bottom w:val="nil"/>
        <w:right w:val="nil"/>
        <w:between w:val="nil"/>
      </w:pBdr>
      <w:tabs>
        <w:tab w:val="center" w:pos="4153"/>
        <w:tab w:val="right" w:pos="8306"/>
      </w:tabs>
      <w:ind w:left="7513"/>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C8671" w14:textId="77777777" w:rsidR="0043700A" w:rsidRPr="00B7594C" w:rsidRDefault="00B7594C" w:rsidP="0043700A">
    <w:pPr>
      <w:pBdr>
        <w:top w:val="nil"/>
        <w:left w:val="nil"/>
        <w:bottom w:val="nil"/>
        <w:right w:val="nil"/>
        <w:between w:val="nil"/>
      </w:pBdr>
      <w:tabs>
        <w:tab w:val="left" w:pos="5954"/>
        <w:tab w:val="left" w:pos="7560"/>
      </w:tabs>
      <w:jc w:val="both"/>
      <w:rPr>
        <w:b/>
        <w:color w:val="000000"/>
        <w:lang w:val="fr-FR"/>
      </w:rPr>
    </w:pPr>
    <w:r>
      <w:rPr>
        <w:color w:val="000000"/>
        <w:lang w:val="es"/>
      </w:rPr>
      <w:t>Distribución restringida</w:t>
    </w:r>
    <w:r>
      <w:rPr>
        <w:color w:val="000000"/>
        <w:lang w:val="es"/>
      </w:rPr>
      <w:tab/>
    </w:r>
    <w:r>
      <w:rPr>
        <w:b/>
        <w:bCs/>
        <w:color w:val="000000"/>
        <w:sz w:val="36"/>
        <w:szCs w:val="36"/>
        <w:lang w:val="es"/>
      </w:rPr>
      <w:t>IOC/A-33/4.5.</w:t>
    </w:r>
    <w:proofErr w:type="gramStart"/>
    <w:r>
      <w:rPr>
        <w:b/>
        <w:bCs/>
        <w:color w:val="000000"/>
        <w:sz w:val="36"/>
        <w:szCs w:val="36"/>
        <w:lang w:val="es"/>
      </w:rPr>
      <w:t>3.Doc</w:t>
    </w:r>
    <w:proofErr w:type="gramEnd"/>
    <w:r>
      <w:rPr>
        <w:b/>
        <w:bCs/>
        <w:color w:val="000000"/>
        <w:sz w:val="36"/>
        <w:szCs w:val="36"/>
        <w:lang w:val="es"/>
      </w:rPr>
      <w:t>(1)</w:t>
    </w:r>
  </w:p>
  <w:p w14:paraId="7E9E826D" w14:textId="77777777" w:rsidR="0043700A" w:rsidRPr="00B7594C" w:rsidRDefault="00B7594C" w:rsidP="0043700A">
    <w:pPr>
      <w:tabs>
        <w:tab w:val="left" w:pos="5954"/>
        <w:tab w:val="left" w:pos="7560"/>
      </w:tabs>
      <w:jc w:val="both"/>
      <w:rPr>
        <w:lang w:val="fr-FR"/>
      </w:rPr>
    </w:pPr>
    <w:r>
      <w:rPr>
        <w:lang w:val="es"/>
      </w:rPr>
      <w:tab/>
      <w:t>París, 22 de abril de 2025</w:t>
    </w:r>
    <w:r>
      <w:rPr>
        <w:noProof/>
        <w:lang w:val="es"/>
      </w:rPr>
      <w:drawing>
        <wp:anchor distT="0" distB="0" distL="114300" distR="114300" simplePos="0" relativeHeight="251658240" behindDoc="0" locked="0" layoutInCell="1" allowOverlap="1" wp14:anchorId="7333A082" wp14:editId="1EA19E81">
          <wp:simplePos x="0" y="0"/>
          <wp:positionH relativeFrom="column">
            <wp:posOffset>-19682</wp:posOffset>
          </wp:positionH>
          <wp:positionV relativeFrom="paragraph">
            <wp:posOffset>101600</wp:posOffset>
          </wp:positionV>
          <wp:extent cx="1578610" cy="1047115"/>
          <wp:effectExtent l="0" t="0" r="0" b="0"/>
          <wp:wrapSquare wrapText="bothSides"/>
          <wp:docPr id="1876983647" name="image1.jpg" descr="Logo, company name  Description automatically generated"/>
          <wp:cNvGraphicFramePr/>
          <a:graphic xmlns:a="http://schemas.openxmlformats.org/drawingml/2006/main">
            <a:graphicData uri="http://schemas.openxmlformats.org/drawingml/2006/picture">
              <pic:pic xmlns:pic="http://schemas.openxmlformats.org/drawingml/2006/picture">
                <pic:nvPicPr>
                  <pic:cNvPr id="1876983647" name="image1.jpg" descr="Logo, company name&#10;&#10;Description automatically generated"/>
                  <pic:cNvPicPr/>
                </pic:nvPicPr>
                <pic:blipFill>
                  <a:blip r:embed="rId1"/>
                  <a:stretch>
                    <a:fillRect/>
                  </a:stretch>
                </pic:blipFill>
                <pic:spPr>
                  <a:xfrm>
                    <a:off x="0" y="0"/>
                    <a:ext cx="1578610" cy="1047115"/>
                  </a:xfrm>
                  <a:prstGeom prst="rect">
                    <a:avLst/>
                  </a:prstGeom>
                </pic:spPr>
              </pic:pic>
            </a:graphicData>
          </a:graphic>
        </wp:anchor>
      </w:drawing>
    </w:r>
  </w:p>
  <w:p w14:paraId="21FE8696" w14:textId="77777777" w:rsidR="0043700A" w:rsidRPr="00B7594C" w:rsidRDefault="00B7594C" w:rsidP="0043700A">
    <w:pPr>
      <w:tabs>
        <w:tab w:val="left" w:pos="5954"/>
        <w:tab w:val="left" w:pos="7560"/>
      </w:tabs>
      <w:jc w:val="both"/>
      <w:rPr>
        <w:lang w:val="fr-FR"/>
      </w:rPr>
    </w:pPr>
    <w:r>
      <w:rPr>
        <w:lang w:val="es"/>
      </w:rPr>
      <w:tab/>
      <w:t xml:space="preserve">Original: </w:t>
    </w:r>
    <w:proofErr w:type="gramStart"/>
    <w:r>
      <w:rPr>
        <w:lang w:val="es"/>
      </w:rPr>
      <w:t>Inglés</w:t>
    </w:r>
    <w:proofErr w:type="gramEnd"/>
  </w:p>
  <w:p w14:paraId="3C7DED0D" w14:textId="77777777" w:rsidR="0043700A" w:rsidRPr="00B7594C" w:rsidRDefault="0043700A" w:rsidP="0043700A">
    <w:pPr>
      <w:tabs>
        <w:tab w:val="left" w:pos="-1440"/>
        <w:tab w:val="left" w:pos="-720"/>
        <w:tab w:val="left" w:pos="0"/>
        <w:tab w:val="left" w:pos="720"/>
        <w:tab w:val="left" w:pos="1440"/>
        <w:tab w:val="left" w:pos="2160"/>
        <w:tab w:val="left" w:pos="2880"/>
        <w:tab w:val="left" w:pos="3600"/>
        <w:tab w:val="left" w:pos="4320"/>
        <w:tab w:val="left" w:pos="5040"/>
        <w:tab w:val="left" w:pos="5245"/>
        <w:tab w:val="left" w:pos="5523"/>
        <w:tab w:val="left" w:pos="5812"/>
        <w:tab w:val="left" w:pos="5954"/>
        <w:tab w:val="left" w:pos="7020"/>
        <w:tab w:val="left" w:pos="7088"/>
      </w:tabs>
      <w:jc w:val="both"/>
      <w:rPr>
        <w:b/>
        <w:lang w:val="fr-FR"/>
      </w:rPr>
    </w:pPr>
  </w:p>
  <w:p w14:paraId="45FBED47" w14:textId="77777777" w:rsidR="0043700A" w:rsidRPr="00B7594C" w:rsidRDefault="0043700A" w:rsidP="0043700A">
    <w:pPr>
      <w:tabs>
        <w:tab w:val="left" w:pos="-1440"/>
        <w:tab w:val="left" w:pos="-720"/>
        <w:tab w:val="left" w:pos="720"/>
        <w:tab w:val="left" w:pos="2160"/>
        <w:tab w:val="left" w:pos="3600"/>
        <w:tab w:val="left" w:pos="4320"/>
        <w:tab w:val="left" w:pos="5040"/>
        <w:tab w:val="left" w:pos="5523"/>
        <w:tab w:val="left" w:pos="6480"/>
      </w:tabs>
      <w:ind w:left="2772"/>
      <w:rPr>
        <w:b/>
        <w:lang w:val="fr-FR"/>
      </w:rPr>
    </w:pPr>
  </w:p>
  <w:p w14:paraId="6CCAA9A9" w14:textId="77777777" w:rsidR="0043700A" w:rsidRPr="00B7594C" w:rsidRDefault="0043700A" w:rsidP="0043700A">
    <w:pPr>
      <w:tabs>
        <w:tab w:val="left" w:pos="-1440"/>
        <w:tab w:val="left" w:pos="-720"/>
        <w:tab w:val="left" w:pos="720"/>
        <w:tab w:val="left" w:pos="2160"/>
        <w:tab w:val="left" w:pos="3600"/>
        <w:tab w:val="left" w:pos="4320"/>
        <w:tab w:val="left" w:pos="5040"/>
        <w:tab w:val="left" w:pos="5523"/>
        <w:tab w:val="left" w:pos="6480"/>
      </w:tabs>
      <w:ind w:left="2772"/>
      <w:rPr>
        <w:b/>
        <w:lang w:val="fr-FR"/>
      </w:rPr>
    </w:pPr>
  </w:p>
  <w:p w14:paraId="35DBB5AD" w14:textId="77777777" w:rsidR="0043700A" w:rsidRPr="00B7594C" w:rsidRDefault="0043700A" w:rsidP="0043700A">
    <w:pPr>
      <w:tabs>
        <w:tab w:val="left" w:pos="-1440"/>
        <w:tab w:val="left" w:pos="-720"/>
        <w:tab w:val="left" w:pos="720"/>
        <w:tab w:val="left" w:pos="2160"/>
        <w:tab w:val="left" w:pos="3600"/>
        <w:tab w:val="left" w:pos="4320"/>
        <w:tab w:val="left" w:pos="5040"/>
        <w:tab w:val="left" w:pos="5523"/>
        <w:tab w:val="left" w:pos="6480"/>
      </w:tabs>
      <w:ind w:left="2772"/>
      <w:rPr>
        <w:b/>
        <w:lang w:val="fr-FR"/>
      </w:rPr>
    </w:pPr>
  </w:p>
  <w:p w14:paraId="48D57C4C" w14:textId="77777777" w:rsidR="0043700A" w:rsidRPr="00B7594C" w:rsidRDefault="0043700A" w:rsidP="0043700A">
    <w:pPr>
      <w:tabs>
        <w:tab w:val="left" w:pos="-1440"/>
        <w:tab w:val="left" w:pos="-720"/>
        <w:tab w:val="left" w:pos="720"/>
        <w:tab w:val="left" w:pos="2160"/>
        <w:tab w:val="left" w:pos="3600"/>
        <w:tab w:val="left" w:pos="4320"/>
        <w:tab w:val="left" w:pos="5040"/>
        <w:tab w:val="left" w:pos="5523"/>
        <w:tab w:val="left" w:pos="6480"/>
      </w:tabs>
      <w:ind w:left="2772"/>
      <w:rPr>
        <w:b/>
        <w:lang w:val="fr-FR"/>
      </w:rPr>
    </w:pPr>
  </w:p>
  <w:p w14:paraId="410E5044" w14:textId="77777777" w:rsidR="0043700A" w:rsidRPr="00B7594C" w:rsidRDefault="0043700A" w:rsidP="0043700A">
    <w:pPr>
      <w:tabs>
        <w:tab w:val="left" w:pos="-1440"/>
        <w:tab w:val="left" w:pos="-720"/>
        <w:tab w:val="left" w:pos="720"/>
        <w:tab w:val="left" w:pos="2160"/>
        <w:tab w:val="left" w:pos="3600"/>
        <w:tab w:val="left" w:pos="4320"/>
        <w:tab w:val="left" w:pos="5040"/>
        <w:tab w:val="left" w:pos="5523"/>
        <w:tab w:val="left" w:pos="6480"/>
      </w:tabs>
      <w:ind w:left="2772"/>
      <w:rPr>
        <w:b/>
        <w:lang w:val="fr-FR"/>
      </w:rPr>
    </w:pPr>
  </w:p>
  <w:p w14:paraId="5D2A26AE" w14:textId="77777777" w:rsidR="0043700A" w:rsidRPr="00B7594C" w:rsidRDefault="00B7594C" w:rsidP="0043700A">
    <w:pPr>
      <w:tabs>
        <w:tab w:val="left" w:pos="-1440"/>
        <w:tab w:val="left" w:pos="-720"/>
        <w:tab w:val="left" w:pos="720"/>
        <w:tab w:val="left" w:pos="2160"/>
        <w:tab w:val="left" w:pos="3600"/>
        <w:tab w:val="left" w:pos="4320"/>
        <w:tab w:val="left" w:pos="5040"/>
        <w:tab w:val="left" w:pos="5523"/>
        <w:tab w:val="left" w:pos="6480"/>
      </w:tabs>
      <w:jc w:val="center"/>
      <w:rPr>
        <w:b/>
        <w:lang w:val="fr-FR"/>
      </w:rPr>
    </w:pPr>
    <w:r>
      <w:rPr>
        <w:b/>
        <w:bCs/>
        <w:lang w:val="es"/>
      </w:rPr>
      <w:t>COMISIÓN OCEANOGRÁFICA INTERGUBERNAMENTAL</w:t>
    </w:r>
  </w:p>
  <w:p w14:paraId="351AC338" w14:textId="77777777" w:rsidR="0043700A" w:rsidRPr="00B7594C" w:rsidRDefault="00B7594C" w:rsidP="0043700A">
    <w:pPr>
      <w:tabs>
        <w:tab w:val="left" w:pos="-1440"/>
        <w:tab w:val="left" w:pos="-720"/>
        <w:tab w:val="left" w:pos="720"/>
        <w:tab w:val="left" w:pos="2160"/>
        <w:tab w:val="left" w:pos="3600"/>
        <w:tab w:val="left" w:pos="4320"/>
        <w:tab w:val="left" w:pos="5040"/>
        <w:tab w:val="left" w:pos="5523"/>
        <w:tab w:val="left" w:pos="6480"/>
      </w:tabs>
      <w:jc w:val="center"/>
      <w:rPr>
        <w:lang w:val="fr-FR"/>
      </w:rPr>
    </w:pPr>
    <w:r>
      <w:rPr>
        <w:lang w:val="es"/>
      </w:rPr>
      <w:t>(de la UNESCO)</w:t>
    </w:r>
  </w:p>
  <w:p w14:paraId="5EC0054C" w14:textId="77777777" w:rsidR="0043700A" w:rsidRPr="00B7594C" w:rsidRDefault="0043700A" w:rsidP="0043700A">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b/>
        <w:lang w:val="fr-FR"/>
      </w:rPr>
    </w:pPr>
  </w:p>
  <w:p w14:paraId="0798192B" w14:textId="77777777" w:rsidR="0043700A" w:rsidRPr="00B7594C" w:rsidRDefault="00B7594C" w:rsidP="0043700A">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b/>
        <w:lang w:val="fr-FR"/>
      </w:rPr>
    </w:pPr>
    <w:r>
      <w:rPr>
        <w:b/>
        <w:bCs/>
        <w:lang w:val="es"/>
      </w:rPr>
      <w:t>33ª reunión de la Asamblea</w:t>
    </w:r>
  </w:p>
  <w:p w14:paraId="710A30F4" w14:textId="77777777" w:rsidR="0043700A" w:rsidRPr="00B7594C" w:rsidRDefault="00B7594C" w:rsidP="0043700A">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lang w:val="fr-FR"/>
      </w:rPr>
    </w:pPr>
    <w:r>
      <w:rPr>
        <w:lang w:val="es"/>
      </w:rPr>
      <w:t>UNESCO, 25 de junio-3 de julio de 2025</w:t>
    </w:r>
  </w:p>
  <w:p w14:paraId="2F04F288" w14:textId="77777777" w:rsidR="0043700A" w:rsidRPr="00B7594C" w:rsidRDefault="0043700A" w:rsidP="0043700A">
    <w:pPr>
      <w:tabs>
        <w:tab w:val="left" w:pos="-1440"/>
        <w:tab w:val="left" w:pos="-720"/>
        <w:tab w:val="left" w:pos="720"/>
        <w:tab w:val="left" w:pos="1440"/>
        <w:tab w:val="left" w:pos="2160"/>
        <w:tab w:val="left" w:pos="3600"/>
        <w:tab w:val="left" w:pos="4320"/>
        <w:tab w:val="left" w:pos="5040"/>
        <w:tab w:val="left" w:pos="5523"/>
        <w:tab w:val="left" w:pos="6480"/>
      </w:tabs>
      <w:jc w:val="center"/>
      <w:rPr>
        <w:lang w:val="fr-FR"/>
      </w:rPr>
    </w:pPr>
  </w:p>
  <w:p w14:paraId="6BD928D7" w14:textId="77777777" w:rsidR="0043700A" w:rsidRPr="00B7594C" w:rsidRDefault="0043700A" w:rsidP="0043700A">
    <w:pPr>
      <w:jc w:val="center"/>
      <w:rPr>
        <w:lang w:val="fr-FR"/>
      </w:rPr>
    </w:pPr>
  </w:p>
  <w:p w14:paraId="0500AD5B" w14:textId="77777777" w:rsidR="0043700A" w:rsidRPr="00B7594C" w:rsidRDefault="0043700A" w:rsidP="0043700A">
    <w:pPr>
      <w:jc w:val="center"/>
      <w:rPr>
        <w:lang w:val="fr-FR"/>
      </w:rPr>
    </w:pPr>
  </w:p>
  <w:p w14:paraId="0607293F" w14:textId="77777777" w:rsidR="0043700A" w:rsidRPr="00B7594C" w:rsidRDefault="0043700A" w:rsidP="0043700A">
    <w:pPr>
      <w:jc w:val="center"/>
      <w:rPr>
        <w:lang w:val="fr-FR"/>
      </w:rPr>
    </w:pPr>
  </w:p>
  <w:p w14:paraId="5BC5F74E" w14:textId="77777777" w:rsidR="0043700A" w:rsidRPr="00B7594C" w:rsidRDefault="0043700A" w:rsidP="0043700A">
    <w:pPr>
      <w:jc w:val="center"/>
      <w:rPr>
        <w:lang w:val="fr-FR"/>
      </w:rPr>
    </w:pPr>
  </w:p>
  <w:p w14:paraId="54AD45A0" w14:textId="77777777" w:rsidR="0043700A" w:rsidRPr="00B7594C" w:rsidRDefault="0043700A" w:rsidP="0043700A">
    <w:pPr>
      <w:jc w:val="center"/>
      <w:rPr>
        <w:lang w:val="fr-FR"/>
      </w:rPr>
    </w:pPr>
  </w:p>
  <w:p w14:paraId="1654E03F" w14:textId="77777777" w:rsidR="0043700A" w:rsidRPr="0043700A" w:rsidRDefault="00B7594C" w:rsidP="0043700A">
    <w:pPr>
      <w:keepNext/>
      <w:pBdr>
        <w:top w:val="nil"/>
        <w:left w:val="nil"/>
        <w:bottom w:val="nil"/>
        <w:right w:val="nil"/>
        <w:between w:val="nil"/>
      </w:pBdr>
      <w:tabs>
        <w:tab w:val="right" w:pos="9540"/>
      </w:tabs>
      <w:rPr>
        <w:bCs/>
        <w:color w:val="000000"/>
        <w:u w:val="single"/>
      </w:rPr>
    </w:pPr>
    <w:r>
      <w:rPr>
        <w:color w:val="000000"/>
        <w:sz w:val="24"/>
        <w:u w:val="single"/>
        <w:lang w:val="es"/>
      </w:rPr>
      <w:t>Punto </w:t>
    </w:r>
    <w:r>
      <w:rPr>
        <w:b/>
        <w:bCs/>
        <w:color w:val="000000"/>
        <w:sz w:val="24"/>
        <w:u w:val="single"/>
        <w:lang w:val="es"/>
      </w:rPr>
      <w:t>4.5.3</w:t>
    </w:r>
    <w:r>
      <w:rPr>
        <w:color w:val="000000"/>
        <w:sz w:val="24"/>
        <w:u w:val="single"/>
        <w:lang w:val="es"/>
      </w:rPr>
      <w:t xml:space="preserve"> del orden del día provisional</w:t>
    </w:r>
  </w:p>
  <w:p w14:paraId="512B918D" w14:textId="77777777" w:rsidR="0043700A" w:rsidRDefault="0043700A" w:rsidP="0043700A"/>
  <w:p w14:paraId="0F7B9EB3" w14:textId="77777777" w:rsidR="0043700A" w:rsidRDefault="0043700A" w:rsidP="0043700A"/>
  <w:p w14:paraId="1483EFA7" w14:textId="77777777" w:rsidR="0043700A" w:rsidRPr="00B7594C" w:rsidRDefault="00B7594C" w:rsidP="0043700A">
    <w:pPr>
      <w:pBdr>
        <w:top w:val="nil"/>
        <w:left w:val="nil"/>
        <w:bottom w:val="nil"/>
        <w:right w:val="nil"/>
        <w:between w:val="nil"/>
      </w:pBdr>
      <w:tabs>
        <w:tab w:val="center" w:pos="4153"/>
        <w:tab w:val="right" w:pos="8306"/>
      </w:tabs>
      <w:spacing w:after="480"/>
      <w:jc w:val="center"/>
      <w:rPr>
        <w:b/>
        <w:smallCaps/>
        <w:color w:val="000000"/>
        <w:sz w:val="24"/>
        <w:lang w:val="fr-FR"/>
      </w:rPr>
    </w:pPr>
    <w:r>
      <w:rPr>
        <w:b/>
        <w:bCs/>
        <w:smallCaps/>
        <w:color w:val="000000"/>
        <w:sz w:val="24"/>
        <w:lang w:val="es"/>
      </w:rPr>
      <w:t>INFORME DEL GRUPO DE TRABAJO ENTRE REUNIONES SOBRE OBSERVACIONES OCEÁNICAS EN ZONAS BAJO JURISDICCIÓN NACIONAL (2025)</w:t>
    </w:r>
  </w:p>
  <w:p w14:paraId="248D9D1B" w14:textId="77777777" w:rsidR="00A635A5" w:rsidRPr="00B7594C" w:rsidRDefault="00A635A5" w:rsidP="0043700A">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553C9"/>
    <w:multiLevelType w:val="multilevel"/>
    <w:tmpl w:val="2DE63934"/>
    <w:lvl w:ilvl="0">
      <w:start w:val="1"/>
      <w:numFmt w:val="decimal"/>
      <w:pStyle w:val="CO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AEA3F61"/>
    <w:multiLevelType w:val="multilevel"/>
    <w:tmpl w:val="62B4FAFC"/>
    <w:lvl w:ilvl="0">
      <w:start w:val="1"/>
      <w:numFmt w:val="decimal"/>
      <w:lvlText w:val="%1."/>
      <w:lvlJc w:val="left"/>
      <w:pPr>
        <w:ind w:left="0" w:firstLine="0"/>
      </w:pPr>
      <w:rPr>
        <w:b w:val="0"/>
        <w:i w:val="0"/>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C72656F"/>
    <w:multiLevelType w:val="multilevel"/>
    <w:tmpl w:val="D6E0FB9C"/>
    <w:lvl w:ilvl="0">
      <w:start w:val="1"/>
      <w:numFmt w:val="decimal"/>
      <w:lvlText w:val="%1."/>
      <w:lvlJc w:val="left"/>
      <w:pPr>
        <w:ind w:left="0" w:firstLine="0"/>
      </w:pPr>
      <w:rPr>
        <w:b w:val="0"/>
        <w:i w:val="0"/>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3D97F0D"/>
    <w:multiLevelType w:val="multilevel"/>
    <w:tmpl w:val="EE68AC7A"/>
    <w:lvl w:ilvl="0">
      <w:start w:val="1"/>
      <w:numFmt w:val="decimal"/>
      <w:lvlText w:val="%1."/>
      <w:lvlJc w:val="left"/>
      <w:pPr>
        <w:ind w:left="0" w:firstLine="0"/>
      </w:pPr>
      <w:rPr>
        <w:b w:val="0"/>
        <w:i w:val="0"/>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D8631D8"/>
    <w:multiLevelType w:val="multilevel"/>
    <w:tmpl w:val="B1929F5C"/>
    <w:lvl w:ilvl="0">
      <w:start w:val="1"/>
      <w:numFmt w:val="decimal"/>
      <w:lvlText w:val="%1."/>
      <w:lvlJc w:val="left"/>
      <w:pPr>
        <w:ind w:left="0" w:firstLine="0"/>
      </w:pPr>
      <w:rPr>
        <w:b w:val="0"/>
        <w:i w:val="0"/>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22C51C1"/>
    <w:multiLevelType w:val="multilevel"/>
    <w:tmpl w:val="5FC2FCF4"/>
    <w:lvl w:ilvl="0">
      <w:start w:val="1"/>
      <w:numFmt w:val="decimal"/>
      <w:pStyle w:val="TIRETbul1cm"/>
      <w:lvlText w:val="%1."/>
      <w:lvlJc w:val="left"/>
      <w:pPr>
        <w:ind w:left="0" w:firstLine="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53742149">
    <w:abstractNumId w:val="5"/>
  </w:num>
  <w:num w:numId="2" w16cid:durableId="1975403484">
    <w:abstractNumId w:val="0"/>
  </w:num>
  <w:num w:numId="3" w16cid:durableId="1518692198">
    <w:abstractNumId w:val="3"/>
  </w:num>
  <w:num w:numId="4" w16cid:durableId="651369961">
    <w:abstractNumId w:val="1"/>
  </w:num>
  <w:num w:numId="5" w16cid:durableId="604196294">
    <w:abstractNumId w:val="2"/>
  </w:num>
  <w:num w:numId="6" w16cid:durableId="17932090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5A5"/>
    <w:rsid w:val="00067ABD"/>
    <w:rsid w:val="000C58BE"/>
    <w:rsid w:val="0019497E"/>
    <w:rsid w:val="001C1BC0"/>
    <w:rsid w:val="0043700A"/>
    <w:rsid w:val="004530FD"/>
    <w:rsid w:val="00586EFE"/>
    <w:rsid w:val="00730DB8"/>
    <w:rsid w:val="007F78E8"/>
    <w:rsid w:val="00901408"/>
    <w:rsid w:val="00952F87"/>
    <w:rsid w:val="00A4057B"/>
    <w:rsid w:val="00A635A5"/>
    <w:rsid w:val="00B125AA"/>
    <w:rsid w:val="00B7594C"/>
    <w:rsid w:val="00CC6AFE"/>
    <w:rsid w:val="00D21F15"/>
    <w:rsid w:val="00E63DC6"/>
    <w:rsid w:val="00E724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FF3B5"/>
  <w15:docId w15:val="{C470D5E2-A78C-4302-8BD8-7EB4B0BD6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fr-FR" w:bidi="ar-SA"/>
      </w:rPr>
    </w:rPrDefault>
    <w:pPrDefault>
      <w:pPr>
        <w:tabs>
          <w:tab w:val="left" w:pos="567"/>
        </w:tab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26E"/>
    <w:pPr>
      <w:snapToGrid w:val="0"/>
    </w:pPr>
    <w:rPr>
      <w:snapToGrid w:val="0"/>
      <w:szCs w:val="24"/>
      <w:lang w:eastAsia="en-US"/>
    </w:rPr>
  </w:style>
  <w:style w:type="paragraph" w:styleId="Heading1">
    <w:name w:val="heading 1"/>
    <w:basedOn w:val="Normal"/>
    <w:next w:val="Marge"/>
    <w:uiPriority w:val="9"/>
    <w:qFormat/>
    <w:pPr>
      <w:keepNext/>
      <w:keepLines/>
      <w:spacing w:before="240" w:after="240"/>
      <w:jc w:val="center"/>
      <w:outlineLvl w:val="0"/>
    </w:pPr>
    <w:rPr>
      <w:b/>
      <w:bCs/>
      <w:kern w:val="28"/>
    </w:rPr>
  </w:style>
  <w:style w:type="paragraph" w:styleId="Heading2">
    <w:name w:val="heading 2"/>
    <w:basedOn w:val="Normal"/>
    <w:next w:val="Marge"/>
    <w:uiPriority w:val="9"/>
    <w:unhideWhenUsed/>
    <w:qFormat/>
    <w:pPr>
      <w:keepNext/>
      <w:keepLines/>
      <w:spacing w:before="480" w:after="240"/>
      <w:ind w:left="567" w:hanging="567"/>
      <w:outlineLvl w:val="1"/>
    </w:pPr>
    <w:rPr>
      <w:b/>
      <w:bCs/>
      <w:caps/>
    </w:rPr>
  </w:style>
  <w:style w:type="paragraph" w:styleId="Heading3">
    <w:name w:val="heading 3"/>
    <w:basedOn w:val="Normal"/>
    <w:next w:val="Marge"/>
    <w:link w:val="Heading3Char"/>
    <w:uiPriority w:val="9"/>
    <w:unhideWhenUsed/>
    <w:qFormat/>
    <w:rsid w:val="002A30E7"/>
    <w:pPr>
      <w:keepNext/>
      <w:keepLines/>
      <w:spacing w:after="240"/>
      <w:outlineLvl w:val="2"/>
    </w:pPr>
    <w:rPr>
      <w:rFonts w:eastAsia="Arial Unicode MS"/>
      <w:b/>
      <w:bCs/>
      <w:szCs w:val="22"/>
    </w:rPr>
  </w:style>
  <w:style w:type="paragraph" w:styleId="Heading4">
    <w:name w:val="heading 4"/>
    <w:basedOn w:val="Normal"/>
    <w:next w:val="Marge"/>
    <w:uiPriority w:val="9"/>
    <w:semiHidden/>
    <w:unhideWhenUsed/>
    <w:qFormat/>
    <w:pPr>
      <w:keepNext/>
      <w:keepLines/>
      <w:spacing w:after="240"/>
      <w:outlineLvl w:val="3"/>
    </w:pPr>
    <w:rPr>
      <w:b/>
      <w:bCs/>
    </w:rPr>
  </w:style>
  <w:style w:type="paragraph" w:styleId="Heading5">
    <w:name w:val="heading 5"/>
    <w:basedOn w:val="Normal"/>
    <w:next w:val="Marge"/>
    <w:uiPriority w:val="9"/>
    <w:semiHidden/>
    <w:unhideWhenUsed/>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uiPriority w:val="9"/>
    <w:semiHidden/>
    <w:unhideWhenUsed/>
    <w:qFormat/>
    <w:pPr>
      <w:keepNext/>
      <w:keepLines/>
      <w:tabs>
        <w:tab w:val="clear" w:pos="567"/>
        <w:tab w:val="left" w:pos="1134"/>
      </w:tabs>
      <w:spacing w:after="240"/>
      <w:ind w:left="567"/>
      <w:outlineLvl w:val="5"/>
    </w:pPr>
    <w:rPr>
      <w:b/>
      <w:iCs/>
      <w:szCs w:val="22"/>
    </w:rPr>
  </w:style>
  <w:style w:type="paragraph" w:styleId="Heading7">
    <w:name w:val="heading 7"/>
    <w:basedOn w:val="Normal"/>
    <w:next w:val="Normal"/>
    <w:qFormat/>
    <w:pPr>
      <w:keepNext/>
      <w:spacing w:line="360" w:lineRule="atLeast"/>
      <w:outlineLvl w:val="6"/>
    </w:pPr>
    <w:rPr>
      <w:u w:val="single"/>
    </w:rPr>
  </w:style>
  <w:style w:type="paragraph" w:styleId="Heading9">
    <w:name w:val="heading 9"/>
    <w:basedOn w:val="Normal"/>
    <w:next w:val="Normal"/>
    <w:link w:val="Heading9Char"/>
    <w:semiHidden/>
    <w:unhideWhenUsed/>
    <w:qFormat/>
    <w:rsid w:val="002E0859"/>
    <w:pPr>
      <w:spacing w:before="240" w:after="60"/>
      <w:outlineLvl w:val="8"/>
    </w:pPr>
    <w:rPr>
      <w:rFonts w:eastAsia="SimSun"/>
      <w:b/>
      <w:bCs/>
      <w:i/>
      <w:iCs/>
      <w:sz w:val="18"/>
      <w:szCs w:val="18"/>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paragraph" w:customStyle="1" w:styleId="Marge">
    <w:name w:val="Marge"/>
    <w:basedOn w:val="Par"/>
    <w:link w:val="MargeChar"/>
    <w:uiPriority w:val="99"/>
    <w:pPr>
      <w:ind w:firstLine="0"/>
    </w:pPr>
  </w:style>
  <w:style w:type="paragraph" w:customStyle="1" w:styleId="Par">
    <w:name w:val="Par"/>
    <w:basedOn w:val="Normal"/>
    <w:link w:val="ParChar"/>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semiHidden/>
    <w:rPr>
      <w:vertAlign w:val="superscript"/>
    </w:rPr>
  </w:style>
  <w:style w:type="paragraph" w:styleId="Header">
    <w:name w:val="header"/>
    <w:basedOn w:val="Normal"/>
    <w:pPr>
      <w:tabs>
        <w:tab w:val="center" w:pos="4153"/>
        <w:tab w:val="right" w:pos="8306"/>
      </w:tabs>
    </w:pPr>
  </w:style>
  <w:style w:type="paragraph" w:styleId="FootnoteText">
    <w:name w:val="footnote text"/>
    <w:basedOn w:val="Normal"/>
    <w:semiHidden/>
    <w:pPr>
      <w:ind w:left="567" w:hanging="567"/>
    </w:pPr>
    <w:rPr>
      <w:sz w:val="20"/>
      <w:szCs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IRETbul1cm">
    <w:name w:val="TIRET bul 1cm"/>
    <w:basedOn w:val="Normal"/>
    <w:pPr>
      <w:numPr>
        <w:numId w:val="1"/>
      </w:numPr>
      <w:tabs>
        <w:tab w:val="clear" w:pos="567"/>
        <w:tab w:val="num" w:pos="851"/>
      </w:tabs>
      <w:adjustRightInd w:val="0"/>
      <w:spacing w:after="240"/>
      <w:ind w:left="851" w:hanging="284"/>
      <w:jc w:val="both"/>
    </w:pPr>
  </w:style>
  <w:style w:type="paragraph" w:customStyle="1" w:styleId="Serre">
    <w:name w:val="Serre"/>
    <w:basedOn w:val="Normal"/>
    <w:pPr>
      <w:tabs>
        <w:tab w:val="clear" w:pos="567"/>
      </w:tabs>
      <w:suppressAutoHyphens/>
      <w:snapToGrid/>
      <w:jc w:val="both"/>
      <w:outlineLvl w:val="2"/>
    </w:pPr>
    <w:rPr>
      <w:snapToGrid/>
      <w:szCs w:val="20"/>
      <w:lang w:eastAsia="fr-FR"/>
    </w:rPr>
  </w:style>
  <w:style w:type="paragraph" w:customStyle="1" w:styleId="COI">
    <w:name w:val="COI"/>
    <w:basedOn w:val="Marge"/>
    <w:link w:val="COIChar"/>
    <w:autoRedefine/>
    <w:rsid w:val="00905F09"/>
    <w:pPr>
      <w:numPr>
        <w:numId w:val="2"/>
      </w:numPr>
      <w:tabs>
        <w:tab w:val="clear" w:pos="567"/>
        <w:tab w:val="clear" w:pos="720"/>
        <w:tab w:val="left" w:pos="709"/>
      </w:tabs>
    </w:pPr>
    <w:rPr>
      <w:rFonts w:eastAsia="Arial Unicode MS"/>
      <w:szCs w:val="22"/>
    </w:rPr>
  </w:style>
  <w:style w:type="paragraph" w:styleId="BlockText">
    <w:name w:val="Block Text"/>
    <w:basedOn w:val="Normal"/>
    <w:pPr>
      <w:tabs>
        <w:tab w:val="clear" w:pos="567"/>
      </w:tabs>
      <w:snapToGrid/>
      <w:ind w:left="360" w:right="540"/>
      <w:jc w:val="both"/>
    </w:pPr>
    <w:rPr>
      <w:i/>
      <w:iCs/>
      <w:snapToGrid/>
      <w:lang w:val="en-US"/>
    </w:rPr>
  </w:style>
  <w:style w:type="paragraph" w:styleId="BodyText2">
    <w:name w:val="Body Text 2"/>
    <w:basedOn w:val="Normal"/>
    <w:pPr>
      <w:tabs>
        <w:tab w:val="clear" w:pos="567"/>
      </w:tabs>
      <w:snapToGrid/>
      <w:spacing w:before="100" w:beforeAutospacing="1" w:after="100" w:afterAutospacing="1" w:line="360" w:lineRule="auto"/>
    </w:pPr>
    <w:rPr>
      <w:rFonts w:eastAsia="MS Mincho"/>
      <w:snapToGrid/>
      <w:color w:val="FF0000"/>
      <w:lang w:val="en-US" w:eastAsia="ja-JP"/>
    </w:rPr>
  </w:style>
  <w:style w:type="paragraph" w:styleId="BodyTextIndent">
    <w:name w:val="Body Text Indent"/>
    <w:aliases w:val="Quotation"/>
    <w:basedOn w:val="Normal"/>
    <w:rsid w:val="008D2398"/>
    <w:pPr>
      <w:tabs>
        <w:tab w:val="clear" w:pos="567"/>
      </w:tabs>
      <w:snapToGrid/>
      <w:spacing w:before="120" w:after="100" w:afterAutospacing="1"/>
      <w:ind w:left="1134" w:right="1134"/>
      <w:jc w:val="both"/>
    </w:pPr>
    <w:rPr>
      <w:i/>
      <w:snapToGrid/>
    </w:rPr>
  </w:style>
  <w:style w:type="paragraph" w:customStyle="1" w:styleId="Docheading">
    <w:name w:val="Doc. heading"/>
    <w:basedOn w:val="Header"/>
    <w:rsid w:val="009C15B1"/>
    <w:pPr>
      <w:spacing w:after="480"/>
      <w:jc w:val="center"/>
    </w:pPr>
    <w:rPr>
      <w:b/>
      <w:bCs/>
      <w:caps/>
      <w:sz w:val="24"/>
    </w:rPr>
  </w:style>
  <w:style w:type="paragraph" w:styleId="BodyTextFirstIndent2">
    <w:name w:val="Body Text First Indent 2"/>
    <w:basedOn w:val="BodyTextIndent"/>
    <w:rsid w:val="008D2398"/>
    <w:pPr>
      <w:tabs>
        <w:tab w:val="left" w:pos="567"/>
      </w:tabs>
      <w:snapToGrid w:val="0"/>
      <w:spacing w:after="120"/>
      <w:ind w:left="283" w:firstLine="210"/>
      <w:jc w:val="left"/>
    </w:pPr>
    <w:rPr>
      <w:snapToGrid w:val="0"/>
    </w:rPr>
  </w:style>
  <w:style w:type="paragraph" w:customStyle="1" w:styleId="Listnumbered">
    <w:name w:val="List numbered"/>
    <w:basedOn w:val="ListBullet2"/>
    <w:autoRedefine/>
    <w:rsid w:val="00D013ED"/>
    <w:pPr>
      <w:jc w:val="both"/>
    </w:pPr>
  </w:style>
  <w:style w:type="paragraph" w:customStyle="1" w:styleId="Style1">
    <w:name w:val="Style1"/>
    <w:basedOn w:val="Listnumbered"/>
    <w:autoRedefine/>
    <w:rsid w:val="006B4B95"/>
  </w:style>
  <w:style w:type="character" w:customStyle="1" w:styleId="ParChar">
    <w:name w:val="Par Char"/>
    <w:link w:val="Par"/>
    <w:rsid w:val="00690FD2"/>
    <w:rPr>
      <w:rFonts w:ascii="Arial" w:hAnsi="Arial"/>
      <w:snapToGrid w:val="0"/>
      <w:sz w:val="22"/>
      <w:szCs w:val="24"/>
      <w:lang w:val="en-GB" w:eastAsia="en-US" w:bidi="ar-SA"/>
    </w:rPr>
  </w:style>
  <w:style w:type="paragraph" w:styleId="ListBullet2">
    <w:name w:val="List Bullet 2"/>
    <w:basedOn w:val="Normal"/>
    <w:rsid w:val="006B4B95"/>
    <w:pPr>
      <w:tabs>
        <w:tab w:val="num" w:pos="720"/>
      </w:tabs>
      <w:spacing w:after="240"/>
      <w:ind w:left="720" w:hanging="720"/>
    </w:pPr>
  </w:style>
  <w:style w:type="character" w:customStyle="1" w:styleId="MargeChar">
    <w:name w:val="Marge Char"/>
    <w:basedOn w:val="ParChar"/>
    <w:link w:val="Marge"/>
    <w:uiPriority w:val="99"/>
    <w:rsid w:val="00690FD2"/>
    <w:rPr>
      <w:rFonts w:ascii="Arial" w:hAnsi="Arial"/>
      <w:snapToGrid w:val="0"/>
      <w:sz w:val="22"/>
      <w:szCs w:val="24"/>
      <w:lang w:val="en-GB" w:eastAsia="en-US" w:bidi="ar-SA"/>
    </w:rPr>
  </w:style>
  <w:style w:type="character" w:customStyle="1" w:styleId="COIChar">
    <w:name w:val="COI Char"/>
    <w:link w:val="COI"/>
    <w:rsid w:val="00905F09"/>
    <w:rPr>
      <w:rFonts w:ascii="Arial" w:eastAsia="Arial Unicode MS" w:hAnsi="Arial"/>
      <w:snapToGrid w:val="0"/>
      <w:sz w:val="22"/>
      <w:szCs w:val="22"/>
      <w:lang w:val="en-GB" w:eastAsia="en-US"/>
    </w:rPr>
  </w:style>
  <w:style w:type="character" w:customStyle="1" w:styleId="Heading9Char">
    <w:name w:val="Heading 9 Char"/>
    <w:link w:val="Heading9"/>
    <w:semiHidden/>
    <w:locked/>
    <w:rsid w:val="002E0859"/>
    <w:rPr>
      <w:rFonts w:ascii="Arial" w:eastAsia="SimSun" w:hAnsi="Arial" w:cs="Arial"/>
      <w:b/>
      <w:bCs/>
      <w:i/>
      <w:iCs/>
      <w:snapToGrid w:val="0"/>
      <w:sz w:val="18"/>
      <w:szCs w:val="18"/>
      <w:u w:val="single"/>
      <w:lang w:val="en-GB" w:eastAsia="zh-CN" w:bidi="ar-SA"/>
    </w:rPr>
  </w:style>
  <w:style w:type="character" w:customStyle="1" w:styleId="Titre9Car1">
    <w:name w:val="Titre 9 Car1"/>
    <w:semiHidden/>
    <w:rsid w:val="002E0859"/>
    <w:rPr>
      <w:rFonts w:ascii="Cambria" w:eastAsia="Times New Roman" w:hAnsi="Cambria" w:cs="Times New Roman"/>
      <w:snapToGrid w:val="0"/>
      <w:sz w:val="22"/>
      <w:szCs w:val="22"/>
      <w:lang w:val="en-GB" w:eastAsia="en-US"/>
    </w:rPr>
  </w:style>
  <w:style w:type="character" w:styleId="Hyperlink">
    <w:name w:val="Hyperlink"/>
    <w:basedOn w:val="DefaultParagraphFont"/>
    <w:uiPriority w:val="99"/>
    <w:rsid w:val="00C2635E"/>
    <w:rPr>
      <w:color w:val="0000FF" w:themeColor="hyperlink"/>
      <w:u w:val="single"/>
    </w:rPr>
  </w:style>
  <w:style w:type="character" w:styleId="FollowedHyperlink">
    <w:name w:val="FollowedHyperlink"/>
    <w:basedOn w:val="DefaultParagraphFont"/>
    <w:rsid w:val="00C4032B"/>
    <w:rPr>
      <w:color w:val="800080" w:themeColor="followedHyperlink"/>
      <w:u w:val="single"/>
    </w:rPr>
  </w:style>
  <w:style w:type="character" w:styleId="CommentReference">
    <w:name w:val="annotation reference"/>
    <w:basedOn w:val="DefaultParagraphFont"/>
    <w:semiHidden/>
    <w:unhideWhenUsed/>
    <w:rsid w:val="00056F67"/>
    <w:rPr>
      <w:sz w:val="16"/>
      <w:szCs w:val="16"/>
    </w:rPr>
  </w:style>
  <w:style w:type="paragraph" w:styleId="CommentText">
    <w:name w:val="annotation text"/>
    <w:basedOn w:val="Normal"/>
    <w:link w:val="CommentTextChar"/>
    <w:unhideWhenUsed/>
    <w:rsid w:val="00056F67"/>
    <w:rPr>
      <w:sz w:val="20"/>
      <w:szCs w:val="20"/>
    </w:rPr>
  </w:style>
  <w:style w:type="character" w:customStyle="1" w:styleId="CommentTextChar">
    <w:name w:val="Comment Text Char"/>
    <w:basedOn w:val="DefaultParagraphFont"/>
    <w:link w:val="CommentText"/>
    <w:rsid w:val="00056F67"/>
    <w:rPr>
      <w:rFonts w:ascii="Arial" w:hAnsi="Arial"/>
      <w:snapToGrid w:val="0"/>
      <w:lang w:val="en-GB" w:eastAsia="en-US"/>
    </w:rPr>
  </w:style>
  <w:style w:type="paragraph" w:styleId="CommentSubject">
    <w:name w:val="annotation subject"/>
    <w:basedOn w:val="CommentText"/>
    <w:next w:val="CommentText"/>
    <w:link w:val="CommentSubjectChar"/>
    <w:semiHidden/>
    <w:unhideWhenUsed/>
    <w:rsid w:val="00056F67"/>
    <w:rPr>
      <w:b/>
      <w:bCs/>
    </w:rPr>
  </w:style>
  <w:style w:type="character" w:customStyle="1" w:styleId="CommentSubjectChar">
    <w:name w:val="Comment Subject Char"/>
    <w:basedOn w:val="CommentTextChar"/>
    <w:link w:val="CommentSubject"/>
    <w:semiHidden/>
    <w:rsid w:val="00056F67"/>
    <w:rPr>
      <w:rFonts w:ascii="Arial" w:hAnsi="Arial"/>
      <w:b/>
      <w:bCs/>
      <w:snapToGrid w:val="0"/>
      <w:lang w:val="en-GB" w:eastAsia="en-US"/>
    </w:rPr>
  </w:style>
  <w:style w:type="paragraph" w:styleId="BalloonText">
    <w:name w:val="Balloon Text"/>
    <w:basedOn w:val="Normal"/>
    <w:link w:val="BalloonTextChar"/>
    <w:semiHidden/>
    <w:unhideWhenUsed/>
    <w:rsid w:val="00056F67"/>
    <w:rPr>
      <w:rFonts w:ascii="Segoe UI" w:hAnsi="Segoe UI" w:cs="Segoe UI"/>
      <w:sz w:val="18"/>
      <w:szCs w:val="18"/>
    </w:rPr>
  </w:style>
  <w:style w:type="character" w:customStyle="1" w:styleId="BalloonTextChar">
    <w:name w:val="Balloon Text Char"/>
    <w:basedOn w:val="DefaultParagraphFont"/>
    <w:link w:val="BalloonText"/>
    <w:semiHidden/>
    <w:rsid w:val="00056F67"/>
    <w:rPr>
      <w:rFonts w:ascii="Segoe UI" w:hAnsi="Segoe UI" w:cs="Segoe UI"/>
      <w:snapToGrid w:val="0"/>
      <w:sz w:val="18"/>
      <w:szCs w:val="18"/>
      <w:lang w:val="en-GB" w:eastAsia="en-US"/>
    </w:rPr>
  </w:style>
  <w:style w:type="paragraph" w:styleId="ListParagraph">
    <w:name w:val="List Paragraph"/>
    <w:basedOn w:val="Normal"/>
    <w:uiPriority w:val="34"/>
    <w:qFormat/>
    <w:rsid w:val="008028CE"/>
    <w:pPr>
      <w:tabs>
        <w:tab w:val="clear" w:pos="567"/>
      </w:tabs>
      <w:snapToGrid/>
      <w:spacing w:after="160" w:line="259" w:lineRule="auto"/>
      <w:ind w:left="720"/>
      <w:contextualSpacing/>
    </w:pPr>
    <w:rPr>
      <w:rFonts w:asciiTheme="minorHAnsi" w:eastAsiaTheme="minorHAnsi" w:hAnsiTheme="minorHAnsi" w:cstheme="minorBidi"/>
      <w:snapToGrid/>
      <w:kern w:val="2"/>
      <w:szCs w:val="22"/>
      <w:lang w:val="en-US"/>
    </w:rPr>
  </w:style>
  <w:style w:type="character" w:customStyle="1" w:styleId="Heading3Char">
    <w:name w:val="Heading 3 Char"/>
    <w:basedOn w:val="DefaultParagraphFont"/>
    <w:link w:val="Heading3"/>
    <w:rsid w:val="002A30E7"/>
    <w:rPr>
      <w:rFonts w:ascii="Arial" w:eastAsia="Arial Unicode MS" w:hAnsi="Arial"/>
      <w:b/>
      <w:bCs/>
      <w:snapToGrid w:val="0"/>
      <w:sz w:val="22"/>
      <w:szCs w:val="22"/>
      <w:lang w:val="en-GB" w:eastAsia="en-US"/>
    </w:rPr>
  </w:style>
  <w:style w:type="paragraph" w:styleId="NormalWeb">
    <w:name w:val="Normal (Web)"/>
    <w:basedOn w:val="Normal"/>
    <w:uiPriority w:val="99"/>
    <w:semiHidden/>
    <w:unhideWhenUsed/>
    <w:rsid w:val="00904E23"/>
    <w:pPr>
      <w:tabs>
        <w:tab w:val="clear" w:pos="567"/>
      </w:tabs>
      <w:snapToGrid/>
      <w:spacing w:before="100" w:beforeAutospacing="1" w:after="100" w:afterAutospacing="1"/>
    </w:pPr>
    <w:rPr>
      <w:rFonts w:ascii="Times New Roman" w:hAnsi="Times New Roman"/>
      <w:snapToGrid/>
      <w:sz w:val="24"/>
      <w:lang w:val="en-US"/>
    </w:rPr>
  </w:style>
  <w:style w:type="character" w:styleId="UnresolvedMention">
    <w:name w:val="Unresolved Mention"/>
    <w:basedOn w:val="DefaultParagraphFont"/>
    <w:uiPriority w:val="99"/>
    <w:semiHidden/>
    <w:unhideWhenUsed/>
    <w:rsid w:val="00904E23"/>
    <w:rPr>
      <w:color w:val="605E5C"/>
      <w:shd w:val="clear" w:color="auto" w:fill="E1DFDD"/>
    </w:rPr>
  </w:style>
  <w:style w:type="paragraph" w:styleId="Revision">
    <w:name w:val="Revision"/>
    <w:hidden/>
    <w:uiPriority w:val="99"/>
    <w:semiHidden/>
    <w:rsid w:val="00F2312D"/>
    <w:rPr>
      <w:snapToGrid w:val="0"/>
      <w:szCs w:val="24"/>
      <w:lang w:eastAsia="en-US"/>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0">
    <w:name w:val="a0"/>
    <w:basedOn w:val="TableNormal2"/>
    <w:tblPr>
      <w:tblStyleRowBandSize w:val="1"/>
      <w:tblStyleColBandSize w:val="1"/>
      <w:tblCellMar>
        <w:left w:w="115" w:type="dxa"/>
        <w:right w:w="115" w:type="dxa"/>
      </w:tblCellMar>
    </w:tblPr>
  </w:style>
  <w:style w:type="table" w:customStyle="1" w:styleId="a1">
    <w:name w:val="a1"/>
    <w:basedOn w:val="TableNormal2"/>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unesdoc.unesco.org/ark:/48223/pf0000124367.page=24" TargetMode="External"/><Relationship Id="rId13" Type="http://schemas.openxmlformats.org/officeDocument/2006/relationships/hyperlink" Target="https://oceanexpert.org/document/30476" TargetMode="External"/><Relationship Id="rId18" Type="http://schemas.openxmlformats.org/officeDocument/2006/relationships/hyperlink" Target="https://oceanexpert.org/document/32591"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unesdoc.unesco.org/ark:/48223/pf0000124367.page=24" TargetMode="External"/><Relationship Id="rId17" Type="http://schemas.openxmlformats.org/officeDocument/2006/relationships/hyperlink" Target="https://oceanexpert.org/document/26607"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oceanexpert.org/document/32584" TargetMode="External"/><Relationship Id="rId20" Type="http://schemas.openxmlformats.org/officeDocument/2006/relationships/hyperlink" Target="https://www.state.gov/guidance-on-supporting-document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esdoc.unesco.org/ark:/48223/pf0000124367.page=24"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oceanexpert.org/document/30593" TargetMode="External"/><Relationship Id="rId23" Type="http://schemas.openxmlformats.org/officeDocument/2006/relationships/header" Target="header3.xml"/><Relationship Id="rId10" Type="http://schemas.openxmlformats.org/officeDocument/2006/relationships/hyperlink" Target="https://unesdoc.unesco.org/ark:/48223/pf0000124367.page=24" TargetMode="External"/><Relationship Id="rId19" Type="http://schemas.openxmlformats.org/officeDocument/2006/relationships/hyperlink" Target="https://oceanexpert.org/document/31942" TargetMode="External"/><Relationship Id="rId4" Type="http://schemas.openxmlformats.org/officeDocument/2006/relationships/settings" Target="settings.xml"/><Relationship Id="rId9" Type="http://schemas.openxmlformats.org/officeDocument/2006/relationships/hyperlink" Target="https://oceanexpert.org/document/32845" TargetMode="External"/><Relationship Id="rId14" Type="http://schemas.openxmlformats.org/officeDocument/2006/relationships/hyperlink" Target="https://oceanexpert.org/document/26607"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digitallibrary.un.org/record/702302?ln=fr&amp;v=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iJdnQAUKhfHN1ddwGrGl7gJlXT2w==">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1629</Words>
  <Characters>8960</Characters>
  <Application>Microsoft Office Word</Application>
  <DocSecurity>4</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 Joanna</dc:creator>
  <cp:lastModifiedBy>Boned, Patrice</cp:lastModifiedBy>
  <cp:revision>2</cp:revision>
  <dcterms:created xsi:type="dcterms:W3CDTF">2025-05-26T08:18:00Z</dcterms:created>
  <dcterms:modified xsi:type="dcterms:W3CDTF">2025-05-26T08:18:00Z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0x0101009354335BECF21B40B6CCFAE91E076EEB</vt:lpwstr>
  </property>
</Properties>
</file>