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7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30779C" w:rsidRPr="00E60197" w14:paraId="1C767041" w14:textId="77777777">
        <w:trPr>
          <w:jc w:val="center"/>
        </w:trPr>
        <w:tc>
          <w:tcPr>
            <w:tcW w:w="765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EED5AA9" w14:textId="77777777" w:rsidR="0030779C" w:rsidRDefault="005C4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  <w:lang w:val="ru"/>
              </w:rPr>
              <w:t>Резюме</w:t>
            </w:r>
          </w:p>
          <w:p w14:paraId="52BBF437" w14:textId="03D6197F" w:rsidR="0030779C" w:rsidRPr="00E60197" w:rsidRDefault="005C4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  <w:lang w:val="ru"/>
              </w:rPr>
            </w:pPr>
            <w:r>
              <w:rPr>
                <w:lang w:val="ru"/>
              </w:rPr>
              <w:t xml:space="preserve">МОК в своем решении </w:t>
            </w:r>
            <w:hyperlink r:id="rId7">
              <w:r>
                <w:rPr>
                  <w:color w:val="1155CC"/>
                  <w:u w:val="single"/>
                  <w:lang w:val="ru"/>
                </w:rPr>
                <w:t>A-32/4.8.1</w:t>
              </w:r>
            </w:hyperlink>
            <w:r>
              <w:rPr>
                <w:lang w:val="ru"/>
              </w:rPr>
              <w:t xml:space="preserve"> (2023 г.) поручила Исполнительному секретарю провести обзор процесса реформирования управления ГСНО для удовлетворения потребностей государств-членов, включая все мероприятия и иные действия, предложенные в ответ на 9 рекомендаций из </w:t>
            </w:r>
            <w:hyperlink r:id="rId8">
              <w:r>
                <w:rPr>
                  <w:color w:val="0563C1"/>
                  <w:u w:val="single"/>
                  <w:lang w:val="ru"/>
                </w:rPr>
                <w:t xml:space="preserve">Доклада Невилла Смита </w:t>
              </w:r>
            </w:hyperlink>
            <w:r>
              <w:rPr>
                <w:lang w:val="ru"/>
              </w:rPr>
              <w:t xml:space="preserve"> (GOOS-290) в 2021 году. Исполнительный совет рассмотрел промежуточный доклад (</w:t>
            </w:r>
            <w:hyperlink r:id="rId9">
              <w:r>
                <w:rPr>
                  <w:color w:val="0563C1"/>
                  <w:u w:val="single"/>
                  <w:lang w:val="ru"/>
                </w:rPr>
                <w:t>IOC/EC-57/4.1.Doc(1)</w:t>
              </w:r>
            </w:hyperlink>
            <w:r>
              <w:rPr>
                <w:lang w:val="ru"/>
              </w:rPr>
              <w:t xml:space="preserve">) на своей 57-й сессии (EC-57) в 2024 году. В решении </w:t>
            </w:r>
            <w:hyperlink r:id="rId10">
              <w:r>
                <w:rPr>
                  <w:color w:val="1155CC"/>
                  <w:u w:val="single"/>
                  <w:lang w:val="ru"/>
                </w:rPr>
                <w:t>EC-57/4.1</w:t>
              </w:r>
            </w:hyperlink>
            <w:r>
              <w:rPr>
                <w:lang w:val="ru"/>
              </w:rPr>
              <w:t xml:space="preserve"> Исполнительный совет обратился к Исполнительному секретарю с просьбой разработать предложение по совершенствованию управления ГСНО с учетом мероприятий, рекомендованных в документе IOC/EC-57/4.1.Doc(1), и представить предложение на этой сессии Ассамблеи. </w:t>
            </w:r>
          </w:p>
          <w:p w14:paraId="0F94C544" w14:textId="77777777" w:rsidR="0030779C" w:rsidRPr="00E60197" w:rsidRDefault="005C4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lang w:val="ru"/>
              </w:rPr>
            </w:pPr>
            <w:r>
              <w:rPr>
                <w:lang w:val="ru"/>
              </w:rPr>
              <w:t>Настоящий документ содержит предложение и дальнейшие шаги по совершенствованию управления ГСНО.</w:t>
            </w:r>
          </w:p>
          <w:p w14:paraId="596068AA" w14:textId="690285DF" w:rsidR="0030779C" w:rsidRPr="00E60197" w:rsidRDefault="005C4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  <w:lang w:val="ru"/>
              </w:rPr>
            </w:pPr>
            <w:r>
              <w:rPr>
                <w:color w:val="000000"/>
                <w:u w:val="single"/>
                <w:lang w:val="ru"/>
              </w:rPr>
              <w:t>Финансовые и административные последствия</w:t>
            </w:r>
            <w:r>
              <w:rPr>
                <w:color w:val="000000"/>
                <w:lang w:val="ru"/>
              </w:rPr>
              <w:t>: пункт</w:t>
            </w:r>
            <w:r>
              <w:rPr>
                <w:lang w:val="ru"/>
              </w:rPr>
              <w:t xml:space="preserve"> 12.</w:t>
            </w:r>
            <w:r>
              <w:rPr>
                <w:color w:val="000000"/>
                <w:lang w:val="ru"/>
              </w:rPr>
              <w:t xml:space="preserve"> </w:t>
            </w:r>
          </w:p>
          <w:p w14:paraId="629C2CFA" w14:textId="5D821908" w:rsidR="0030779C" w:rsidRPr="00E60197" w:rsidRDefault="005C4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  <w:lang w:val="ru"/>
              </w:rPr>
            </w:pPr>
            <w:r>
              <w:rPr>
                <w:color w:val="000000"/>
                <w:u w:val="single"/>
                <w:lang w:val="ru"/>
              </w:rPr>
              <w:t>Предлагаемое решение</w:t>
            </w:r>
            <w:r>
              <w:rPr>
                <w:color w:val="000000"/>
                <w:lang w:val="ru"/>
              </w:rPr>
              <w:t xml:space="preserve"> представлено в Документе о принятых и предлагаемых мерах (документ </w:t>
            </w:r>
            <w:hyperlink r:id="rId11" w:history="1">
              <w:r>
                <w:rPr>
                  <w:rStyle w:val="Hyperlink"/>
                  <w:lang w:val="ru"/>
                </w:rPr>
                <w:t>IOC/A-33/2 Prov.</w:t>
              </w:r>
            </w:hyperlink>
            <w:r>
              <w:rPr>
                <w:color w:val="000000"/>
                <w:lang w:val="ru"/>
              </w:rPr>
              <w:t>) под номером A-33/Dec.4.5.1.</w:t>
            </w:r>
          </w:p>
        </w:tc>
      </w:tr>
    </w:tbl>
    <w:p w14:paraId="0DD6B8E0" w14:textId="77777777" w:rsidR="0039337C" w:rsidRPr="00E60197" w:rsidRDefault="0039337C">
      <w:pPr>
        <w:pStyle w:val="Heading3"/>
        <w:rPr>
          <w:lang w:val="ru"/>
        </w:rPr>
      </w:pPr>
    </w:p>
    <w:p w14:paraId="05B91AE7" w14:textId="77777777" w:rsidR="0039337C" w:rsidRPr="00E60197" w:rsidRDefault="0039337C">
      <w:pPr>
        <w:rPr>
          <w:b/>
          <w:lang w:val="ru"/>
        </w:rPr>
      </w:pPr>
      <w:r>
        <w:rPr>
          <w:lang w:val="ru"/>
        </w:rPr>
        <w:br w:type="page"/>
      </w:r>
    </w:p>
    <w:p w14:paraId="0A449338" w14:textId="017F24F2" w:rsidR="0030779C" w:rsidRDefault="005C43F6" w:rsidP="0039337C">
      <w:pPr>
        <w:pStyle w:val="Heading3"/>
        <w:jc w:val="both"/>
      </w:pPr>
      <w:r>
        <w:rPr>
          <w:bCs/>
          <w:lang w:val="ru"/>
        </w:rPr>
        <w:lastRenderedPageBreak/>
        <w:t>Введение</w:t>
      </w:r>
    </w:p>
    <w:p w14:paraId="03D07FF3" w14:textId="32B1680B" w:rsidR="0030779C" w:rsidRDefault="005C43F6" w:rsidP="0039337C">
      <w:pPr>
        <w:numPr>
          <w:ilvl w:val="0"/>
          <w:numId w:val="1"/>
        </w:numPr>
        <w:spacing w:after="240"/>
        <w:jc w:val="both"/>
        <w:rPr>
          <w:highlight w:val="white"/>
        </w:rPr>
      </w:pPr>
      <w:r>
        <w:rPr>
          <w:lang w:val="ru"/>
        </w:rPr>
        <w:t xml:space="preserve">Одиннадцатая стратегическая цель </w:t>
      </w:r>
      <w:hyperlink r:id="rId12">
        <w:r>
          <w:rPr>
            <w:color w:val="0563C1"/>
            <w:u w:val="single"/>
            <w:lang w:val="ru"/>
          </w:rPr>
          <w:t>Стратегии ГСНО на период до 2030 года</w:t>
        </w:r>
      </w:hyperlink>
      <w:r>
        <w:rPr>
          <w:lang w:val="ru"/>
        </w:rPr>
        <w:t xml:space="preserve"> заключается в обеспечении эффективного управления для глобального наблюдения </w:t>
      </w:r>
      <w:r>
        <w:rPr>
          <w:i/>
          <w:iCs/>
          <w:lang w:val="ru"/>
        </w:rPr>
        <w:t>in situ</w:t>
      </w:r>
      <w:r>
        <w:rPr>
          <w:lang w:val="ru"/>
        </w:rPr>
        <w:t xml:space="preserve"> и спутникового наблюдения за океаном совместно с партнерами и заинтересованными сторонами. Предложение по реформированию ГСНО, изложенное в настоящем документе, было запрошено Исполнительным советом в решении </w:t>
      </w:r>
      <w:hyperlink r:id="rId13">
        <w:r>
          <w:rPr>
            <w:color w:val="0563C1"/>
            <w:u w:val="single"/>
            <w:lang w:val="ru"/>
          </w:rPr>
          <w:t>EC-57/4.1</w:t>
        </w:r>
      </w:hyperlink>
      <w:r>
        <w:rPr>
          <w:lang w:val="ru"/>
        </w:rPr>
        <w:t xml:space="preserve"> и включает мероприятия, рекомендованные в документе </w:t>
      </w:r>
      <w:hyperlink r:id="rId14">
        <w:r>
          <w:rPr>
            <w:color w:val="0563C1"/>
            <w:u w:val="single"/>
            <w:lang w:val="ru"/>
          </w:rPr>
          <w:t>IOC/EC-57/4.1.Doc(1</w:t>
        </w:r>
      </w:hyperlink>
      <w:r>
        <w:rPr>
          <w:lang w:val="ru"/>
        </w:rPr>
        <w:t xml:space="preserve">). </w:t>
      </w:r>
    </w:p>
    <w:p w14:paraId="70C92E05" w14:textId="7F0DBE89" w:rsidR="0030779C" w:rsidRDefault="005C43F6" w:rsidP="0039337C">
      <w:pPr>
        <w:numPr>
          <w:ilvl w:val="0"/>
          <w:numId w:val="1"/>
        </w:numPr>
        <w:spacing w:after="240"/>
        <w:jc w:val="both"/>
      </w:pPr>
      <w:r>
        <w:rPr>
          <w:lang w:val="ru"/>
        </w:rPr>
        <w:t xml:space="preserve">Предложение и дальнейшая работа будут также учитывать другие соответствующие мандаты, изменения в глобальной среде, в которой функционирует ГСНО, и последние рекомендации, такие как рекомендации, предоставленные в рамках процесса «Видение Десятилетия науки об океане 2030», в частности, </w:t>
      </w:r>
      <w:r>
        <w:rPr>
          <w:color w:val="000000" w:themeColor="text1"/>
          <w:lang w:val="ru"/>
        </w:rPr>
        <w:t xml:space="preserve">по </w:t>
      </w:r>
      <w:hyperlink r:id="rId15" w:history="1">
        <w:r>
          <w:rPr>
            <w:rStyle w:val="Hyperlink"/>
            <w:i/>
            <w:iCs/>
            <w:lang w:val="ru"/>
          </w:rPr>
          <w:t>приоритетной задаче 7: Устойчивое расширение Глобальной системы наблюдений за океаном</w:t>
        </w:r>
      </w:hyperlink>
      <w:r>
        <w:rPr>
          <w:lang w:val="ru"/>
        </w:rPr>
        <w:t>.</w:t>
      </w:r>
    </w:p>
    <w:p w14:paraId="70F75E1D" w14:textId="77777777" w:rsidR="0030779C" w:rsidRDefault="005C43F6" w:rsidP="0039337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/>
        <w:jc w:val="both"/>
      </w:pPr>
      <w:r>
        <w:rPr>
          <w:b/>
          <w:bCs/>
          <w:lang w:val="ru"/>
        </w:rPr>
        <w:t xml:space="preserve">Предлагаемый подход </w:t>
      </w:r>
    </w:p>
    <w:p w14:paraId="5CE278BE" w14:textId="7F95A8A7" w:rsidR="0030779C" w:rsidRPr="00E60197" w:rsidRDefault="005C43F6" w:rsidP="003933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highlight w:val="white"/>
          <w:lang w:val="ru"/>
        </w:rPr>
      </w:pPr>
      <w:r>
        <w:rPr>
          <w:lang w:val="ru"/>
        </w:rPr>
        <w:t>Совершенствование ГСНО будет осуществляться на основе метода двойного ромба.</w:t>
      </w:r>
      <w:r>
        <w:rPr>
          <w:vertAlign w:val="superscript"/>
          <w:lang w:val="ru"/>
        </w:rPr>
        <w:footnoteReference w:id="1"/>
      </w:r>
      <w:r>
        <w:rPr>
          <w:lang w:val="ru"/>
        </w:rPr>
        <w:t xml:space="preserve"> Первый ромб (этап 1) находится в процессе реализации. Его завершение запланировано на 2025 год. Он включает кабинетные обзоры, консультации со спонсорами, государствами-членами, Руководящим комитетом ГСНО и ключевыми заинтересованными сторонами, а также специализированное очное рабочее совещание на заседании Руководящего комитета ГСНО, которое состоялось в феврале 2025 года. Ожидаемым результатом данного процесса является определение концепции и сферы действия ГСНО в будущем – «ЗАЧЕМ» и «ЧТО». </w:t>
      </w:r>
    </w:p>
    <w:p w14:paraId="773EF4C0" w14:textId="354F246B" w:rsidR="0030779C" w:rsidRDefault="005C43F6" w:rsidP="003933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highlight w:val="white"/>
        </w:rPr>
      </w:pPr>
      <w:r>
        <w:rPr>
          <w:lang w:val="ru"/>
        </w:rPr>
        <w:t>Этот результат также будет содержать предложение процесса, с помощью которого подход, используемый для разработки и достижения реформированной ГСНО, – «КАК» – будет реализован. Эта деятельность будет включать действия по второму ромбу (этап 2), работа по которому начнется в 2026 году. В рамках этой работы будут усовершенствованы коммуникационные инструменты ГСНО.</w:t>
      </w:r>
    </w:p>
    <w:p w14:paraId="454060E3" w14:textId="4FB5E8CE" w:rsidR="0030779C" w:rsidRDefault="005C43F6" w:rsidP="003933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/>
        <w:jc w:val="both"/>
      </w:pPr>
      <w:r>
        <w:rPr>
          <w:b/>
          <w:bCs/>
          <w:lang w:val="ru"/>
        </w:rPr>
        <w:t>Этап I</w:t>
      </w:r>
      <w:r>
        <w:rPr>
          <w:lang w:val="ru"/>
        </w:rPr>
        <w:t xml:space="preserve"> (1-й ромб) включает следующие шаги: </w:t>
      </w:r>
    </w:p>
    <w:p w14:paraId="51D1B71C" w14:textId="2ECE47DE" w:rsidR="0030779C" w:rsidRDefault="005C43F6" w:rsidP="00146C80">
      <w:pPr>
        <w:numPr>
          <w:ilvl w:val="1"/>
          <w:numId w:val="1"/>
        </w:numPr>
        <w:tabs>
          <w:tab w:val="clear" w:pos="567"/>
        </w:tabs>
        <w:spacing w:after="120"/>
        <w:ind w:left="1078" w:hanging="528"/>
        <w:jc w:val="both"/>
      </w:pPr>
      <w:r>
        <w:rPr>
          <w:u w:val="single"/>
          <w:lang w:val="ru"/>
        </w:rPr>
        <w:t>Обзор концепции и сферы действия</w:t>
      </w:r>
      <w:r>
        <w:rPr>
          <w:lang w:val="ru"/>
        </w:rPr>
        <w:t>: обзор жизнеспособности и ценности ключевой задачи ГСНО и определение, в чем заключается уникальное ценностное предложение ГСНО, т. е.</w:t>
      </w:r>
    </w:p>
    <w:p w14:paraId="756A946C" w14:textId="56E60FE2" w:rsidR="0030779C" w:rsidRDefault="00146C80" w:rsidP="00146C80">
      <w:pPr>
        <w:numPr>
          <w:ilvl w:val="2"/>
          <w:numId w:val="2"/>
        </w:numPr>
        <w:tabs>
          <w:tab w:val="left" w:pos="709"/>
        </w:tabs>
        <w:spacing w:after="120"/>
        <w:ind w:left="1701" w:hanging="567"/>
        <w:jc w:val="both"/>
      </w:pPr>
      <w:r>
        <w:rPr>
          <w:lang w:val="ru"/>
        </w:rPr>
        <w:t xml:space="preserve">оценка потребностей и требований государств-членов, спонсоров наблюдений за океаном, заинтересованных сторон, включая первичных и конечных пользователей (таких как экономика океана), и сообщества наблюдений за океаном;  </w:t>
      </w:r>
    </w:p>
    <w:p w14:paraId="14CCD89E" w14:textId="2FF6C67D" w:rsidR="0030779C" w:rsidRDefault="00146C80" w:rsidP="00146C80">
      <w:pPr>
        <w:numPr>
          <w:ilvl w:val="2"/>
          <w:numId w:val="2"/>
        </w:numPr>
        <w:tabs>
          <w:tab w:val="left" w:pos="709"/>
        </w:tabs>
        <w:spacing w:after="120"/>
        <w:ind w:left="1701" w:hanging="567"/>
        <w:jc w:val="both"/>
      </w:pPr>
      <w:r>
        <w:rPr>
          <w:lang w:val="ru"/>
        </w:rPr>
        <w:t>оценка способности ГСНО содействовать международному сотрудничеству в изменяющемся мире, обеспечивая, развивая, используя и поддерживая соответствующую назначению систему наблюдений за океаном с четкой сферой охвата и набором целей. Определение роли ГСНО по каждой из этих целей;</w:t>
      </w:r>
    </w:p>
    <w:p w14:paraId="119ECFBC" w14:textId="77777777" w:rsidR="0030779C" w:rsidRDefault="005C43F6" w:rsidP="00146C80">
      <w:pPr>
        <w:numPr>
          <w:ilvl w:val="2"/>
          <w:numId w:val="2"/>
        </w:numPr>
        <w:tabs>
          <w:tab w:val="left" w:pos="709"/>
        </w:tabs>
        <w:spacing w:after="240"/>
        <w:ind w:left="1701" w:hanging="567"/>
        <w:jc w:val="both"/>
      </w:pPr>
      <w:r>
        <w:rPr>
          <w:lang w:val="ru"/>
        </w:rPr>
        <w:t>обеспечение соответствия потребностям, приоритетам и результатам процессов ООН и национальным интересам с учетом положения ГСНО в рамках глобальной системы и ООН.</w:t>
      </w:r>
    </w:p>
    <w:p w14:paraId="14942AD4" w14:textId="4B5171DE" w:rsidR="0030779C" w:rsidRDefault="005C43F6" w:rsidP="00146C80">
      <w:pPr>
        <w:numPr>
          <w:ilvl w:val="1"/>
          <w:numId w:val="1"/>
        </w:numPr>
        <w:tabs>
          <w:tab w:val="left" w:pos="709"/>
        </w:tabs>
        <w:spacing w:after="120"/>
        <w:ind w:left="1092" w:hanging="532"/>
        <w:jc w:val="both"/>
      </w:pPr>
      <w:r>
        <w:rPr>
          <w:u w:val="single"/>
          <w:lang w:val="ru"/>
        </w:rPr>
        <w:t>Обзор структуры</w:t>
      </w:r>
      <w:r>
        <w:rPr>
          <w:lang w:val="ru"/>
        </w:rPr>
        <w:t>: обзор жизнеспособности текущей организационной структуры ГСНО и ее способности создавать ценность, т е.:</w:t>
      </w:r>
    </w:p>
    <w:p w14:paraId="133BBE17" w14:textId="277CADEB" w:rsidR="0030779C" w:rsidRDefault="00146C80" w:rsidP="00146C80">
      <w:pPr>
        <w:numPr>
          <w:ilvl w:val="1"/>
          <w:numId w:val="3"/>
        </w:numPr>
        <w:tabs>
          <w:tab w:val="left" w:pos="709"/>
        </w:tabs>
        <w:spacing w:after="120"/>
        <w:ind w:left="1652" w:hanging="572"/>
        <w:jc w:val="both"/>
      </w:pPr>
      <w:r>
        <w:rPr>
          <w:lang w:val="ru"/>
        </w:rPr>
        <w:t xml:space="preserve">обзор текущей структуры и всех составных внутренних компонентов ГСНО, а также круга ведения таких компонентов, где это возможно, в целях </w:t>
      </w:r>
      <w:r>
        <w:rPr>
          <w:lang w:val="ru"/>
        </w:rPr>
        <w:lastRenderedPageBreak/>
        <w:t>определения пробелов, потребностей, дублирования и избыточности с опорой на предшествующую работу в этом отношении;</w:t>
      </w:r>
    </w:p>
    <w:p w14:paraId="75F83F3C" w14:textId="3D7A2D9E" w:rsidR="0030779C" w:rsidRDefault="00146C80" w:rsidP="00146C80">
      <w:pPr>
        <w:numPr>
          <w:ilvl w:val="1"/>
          <w:numId w:val="3"/>
        </w:numPr>
        <w:tabs>
          <w:tab w:val="left" w:pos="709"/>
        </w:tabs>
        <w:spacing w:after="120"/>
        <w:ind w:left="1652" w:hanging="572"/>
        <w:jc w:val="both"/>
      </w:pPr>
      <w:r>
        <w:rPr>
          <w:lang w:val="ru"/>
        </w:rPr>
        <w:t>обозначение места ГСНО как по вертикали (вместе с государствами-членами и для них), так и по горизонтали (вдоль условных цепочек создания ценности для пользователей), в том числе с учетом текущих процессов МОК;</w:t>
      </w:r>
    </w:p>
    <w:p w14:paraId="4F9EDA8E" w14:textId="5937CB9A" w:rsidR="0030779C" w:rsidRDefault="00146C80" w:rsidP="00702F39">
      <w:pPr>
        <w:numPr>
          <w:ilvl w:val="1"/>
          <w:numId w:val="1"/>
        </w:numPr>
        <w:tabs>
          <w:tab w:val="left" w:pos="709"/>
        </w:tabs>
        <w:spacing w:after="240"/>
        <w:ind w:left="1094" w:hanging="533"/>
        <w:jc w:val="both"/>
      </w:pPr>
      <w:r>
        <w:rPr>
          <w:lang w:val="ru"/>
        </w:rPr>
        <w:t>проведение подробного обзора концепции, системы и предлагаемой структуры ГСНО. Определение и предложение необходимых изменений и подхода к реформированию ГСНО;</w:t>
      </w:r>
    </w:p>
    <w:p w14:paraId="1C3359DF" w14:textId="77777777" w:rsidR="0030779C" w:rsidRDefault="005C43F6" w:rsidP="00702F39">
      <w:pPr>
        <w:numPr>
          <w:ilvl w:val="1"/>
          <w:numId w:val="1"/>
        </w:numPr>
        <w:tabs>
          <w:tab w:val="left" w:pos="709"/>
        </w:tabs>
        <w:spacing w:after="240"/>
        <w:ind w:left="1094" w:hanging="533"/>
        <w:jc w:val="both"/>
      </w:pPr>
      <w:r>
        <w:rPr>
          <w:lang w:val="ru"/>
        </w:rPr>
        <w:t xml:space="preserve">разработка комплекса коммуникационных инструментов, которые могут быть использованы всеми членами структуры управления и поддержки. </w:t>
      </w:r>
    </w:p>
    <w:p w14:paraId="790B8325" w14:textId="455A7C64" w:rsidR="0030779C" w:rsidRPr="00E60197" w:rsidRDefault="005C43F6" w:rsidP="0039337C">
      <w:pPr>
        <w:numPr>
          <w:ilvl w:val="0"/>
          <w:numId w:val="1"/>
        </w:numPr>
        <w:tabs>
          <w:tab w:val="left" w:pos="709"/>
        </w:tabs>
        <w:spacing w:after="240"/>
        <w:jc w:val="both"/>
        <w:rPr>
          <w:lang w:val="ru"/>
        </w:rPr>
      </w:pPr>
      <w:r>
        <w:rPr>
          <w:lang w:val="ru"/>
        </w:rPr>
        <w:t>Подход к реформированию ГСНО (пункт 5.iii выше) будет представлен Руководящему комитету ГСНО в первом квартале 2026 года, а затем Исполнительному комитету в июне 2026 года. Комплекс коммуникационных инструментов (пункт 5.iv) будет доступен в третьем квартале 2025 года.</w:t>
      </w:r>
    </w:p>
    <w:p w14:paraId="49B3190D" w14:textId="46372791" w:rsidR="0030779C" w:rsidRPr="00E60197" w:rsidRDefault="005C43F6" w:rsidP="0039337C">
      <w:pPr>
        <w:numPr>
          <w:ilvl w:val="0"/>
          <w:numId w:val="1"/>
        </w:numPr>
        <w:tabs>
          <w:tab w:val="left" w:pos="709"/>
        </w:tabs>
        <w:spacing w:after="240"/>
        <w:jc w:val="both"/>
        <w:rPr>
          <w:lang w:val="ru"/>
        </w:rPr>
      </w:pPr>
      <w:r>
        <w:rPr>
          <w:b/>
          <w:bCs/>
          <w:lang w:val="ru"/>
        </w:rPr>
        <w:t>Этап II</w:t>
      </w:r>
      <w:r>
        <w:rPr>
          <w:lang w:val="ru"/>
        </w:rPr>
        <w:t xml:space="preserve"> (2-й ромб) будет заключаться в реализации подхода к реформированию ГСНО из этапа I: пересмотренная концепция, сфера действия, структура, круг ведения, компоненты, процессы и механизмы осуществления для удовлетворения потребностей государств-членов. В конечном счете это повлечет за собой пересмотр Стратегии ГСНО на период после 2030 года и плана реализации.</w:t>
      </w:r>
    </w:p>
    <w:p w14:paraId="76D4F63D" w14:textId="3210A08A" w:rsidR="0030779C" w:rsidRPr="00E60197" w:rsidRDefault="005C43F6" w:rsidP="0039337C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/>
        <w:jc w:val="both"/>
        <w:rPr>
          <w:lang w:val="ru"/>
        </w:rPr>
      </w:pPr>
      <w:r>
        <w:rPr>
          <w:lang w:val="ru"/>
        </w:rPr>
        <w:t>В зависимости от наличия соответствующих ресурсов этап 2 также будет включать: разработку «Стратегии использования и внедрения ГСНО», которая может использоваться для эффективного и регулярного вовлечения более широкой общественности (включая государства-члены, научное сообщество, корпорации, сектор голубых технологий и финансовый сектор) для помощи в определении уровня и характера инвестиций, необходимых для Глобальной системы наблюдения за океаном, а также разработку плана коммуникации для ГСНО.</w:t>
      </w:r>
    </w:p>
    <w:p w14:paraId="4BDB20E9" w14:textId="277D81D5" w:rsidR="0030779C" w:rsidRDefault="005C43F6" w:rsidP="0039337C">
      <w:pPr>
        <w:spacing w:after="240"/>
        <w:jc w:val="both"/>
        <w:rPr>
          <w:b/>
        </w:rPr>
      </w:pPr>
      <w:r>
        <w:rPr>
          <w:b/>
          <w:bCs/>
          <w:lang w:val="ru"/>
        </w:rPr>
        <w:t xml:space="preserve">Статус Этапа I </w:t>
      </w:r>
    </w:p>
    <w:p w14:paraId="308A5B1E" w14:textId="39915488" w:rsidR="0030779C" w:rsidRDefault="005C43F6" w:rsidP="0039337C">
      <w:pPr>
        <w:numPr>
          <w:ilvl w:val="0"/>
          <w:numId w:val="1"/>
        </w:numPr>
        <w:spacing w:after="240"/>
        <w:jc w:val="both"/>
      </w:pPr>
      <w:r>
        <w:rPr>
          <w:lang w:val="ru"/>
        </w:rPr>
        <w:t xml:space="preserve">Была определена серия консультаций в поддержку реализации Этапа I (пункты 5.i-iii выше) для разработки проекта подходка к реформированию ГСНО к концу 2025 года. </w:t>
      </w:r>
    </w:p>
    <w:p w14:paraId="46D66AE2" w14:textId="159FA6E5" w:rsidR="0030779C" w:rsidRDefault="005C43F6" w:rsidP="0039337C">
      <w:pPr>
        <w:numPr>
          <w:ilvl w:val="0"/>
          <w:numId w:val="1"/>
        </w:numPr>
        <w:spacing w:after="240"/>
        <w:jc w:val="both"/>
      </w:pPr>
      <w:r>
        <w:rPr>
          <w:lang w:val="ru"/>
        </w:rPr>
        <w:t>Рабочее совещание по реформированию ГСНО состоялся на 14-м заседании Руководящего комитета ГСНО (</w:t>
      </w:r>
      <w:hyperlink r:id="rId16" w:history="1">
        <w:r>
          <w:rPr>
            <w:rStyle w:val="Hyperlink"/>
            <w:lang w:val="ru"/>
          </w:rPr>
          <w:t>SC-14</w:t>
        </w:r>
      </w:hyperlink>
      <w:r>
        <w:rPr>
          <w:lang w:val="ru"/>
        </w:rPr>
        <w:t xml:space="preserve">) в феврале 2025 года. Целью заседания стала организация интерактивных открытых дискуссий о будущем управлении ГСНО (после 2030 г.) и определение ключевых областей изменений для выполнения данной задачи. Ключевые вопросы обсуждались в формате секционных групп для стимулирования диалога и разъяснения предложения концепции/уникальной ценности для будущего ГСНО, которая будет отвечать на вопросы и удовлетворит потребности общества (наука/правительство/бизнес) завтрашнего дня. Краткое резюме приведено в разделе 4 доклада </w:t>
      </w:r>
      <w:hyperlink r:id="rId17" w:history="1">
        <w:r>
          <w:rPr>
            <w:rStyle w:val="Hyperlink"/>
            <w:lang w:val="ru"/>
          </w:rPr>
          <w:t>SC-14</w:t>
        </w:r>
      </w:hyperlink>
      <w:r>
        <w:rPr>
          <w:lang w:val="ru"/>
        </w:rPr>
        <w:t>.</w:t>
      </w:r>
    </w:p>
    <w:p w14:paraId="2ACF49E7" w14:textId="35428753" w:rsidR="0030779C" w:rsidRDefault="005C43F6" w:rsidP="0039337C">
      <w:pPr>
        <w:numPr>
          <w:ilvl w:val="0"/>
          <w:numId w:val="1"/>
        </w:numPr>
        <w:tabs>
          <w:tab w:val="left" w:pos="709"/>
        </w:tabs>
        <w:spacing w:after="240"/>
        <w:jc w:val="both"/>
      </w:pPr>
      <w:r>
        <w:rPr>
          <w:lang w:val="ru"/>
        </w:rPr>
        <w:t xml:space="preserve">Серия консультаций по коммуникациям обеспечивает поддержку разработки комплекса коммуникационных инструментов ГСНО, который станет доступен в третьем квартале 2025 года. </w:t>
      </w:r>
    </w:p>
    <w:p w14:paraId="6D52E8AC" w14:textId="77777777" w:rsidR="0030779C" w:rsidRDefault="005C43F6" w:rsidP="0039337C">
      <w:pPr>
        <w:pStyle w:val="Heading3"/>
        <w:jc w:val="both"/>
      </w:pPr>
      <w:r>
        <w:rPr>
          <w:bCs/>
          <w:lang w:val="ru"/>
        </w:rPr>
        <w:t>Финансовые и административные последствия</w:t>
      </w:r>
    </w:p>
    <w:p w14:paraId="20B512CF" w14:textId="30B8E4B6" w:rsidR="0030779C" w:rsidRPr="00E60197" w:rsidRDefault="005C43F6" w:rsidP="0039337C">
      <w:pPr>
        <w:numPr>
          <w:ilvl w:val="0"/>
          <w:numId w:val="1"/>
        </w:numPr>
        <w:tabs>
          <w:tab w:val="left" w:pos="709"/>
        </w:tabs>
        <w:spacing w:after="240"/>
        <w:jc w:val="both"/>
        <w:rPr>
          <w:lang w:val="ru"/>
        </w:rPr>
      </w:pPr>
      <w:r>
        <w:rPr>
          <w:lang w:val="ru"/>
        </w:rPr>
        <w:t xml:space="preserve">Непосредственные финансовые и административные последствия этапа 1 данного предложения по ГСНО находятся в рамках регулярного бюджета МОК, в частности Результата 1 МОК текущей Программы и бюджета (42 C/5). Долгосрочные финансовые и </w:t>
      </w:r>
      <w:r>
        <w:rPr>
          <w:lang w:val="ru"/>
        </w:rPr>
        <w:lastRenderedPageBreak/>
        <w:t>административные последствия этапа 2 будут рассмотрены в рамках Программы и бюджета на 2026–2027 годы (43 C/5), а также любых дополнительных потенциальных возможностей привлечения ресурсов.</w:t>
      </w:r>
    </w:p>
    <w:p w14:paraId="5A3213F8" w14:textId="77777777" w:rsidR="0030779C" w:rsidRPr="00E60197" w:rsidRDefault="0030779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/>
        <w:jc w:val="both"/>
        <w:rPr>
          <w:i/>
          <w:color w:val="000000"/>
          <w:lang w:val="ru"/>
        </w:rPr>
      </w:pPr>
    </w:p>
    <w:sectPr w:rsidR="0030779C" w:rsidRPr="00E60197">
      <w:headerReference w:type="even" r:id="rId18"/>
      <w:headerReference w:type="default" r:id="rId19"/>
      <w:headerReference w:type="first" r:id="rId20"/>
      <w:pgSz w:w="11906" w:h="16838"/>
      <w:pgMar w:top="1418" w:right="1134" w:bottom="1134" w:left="1134" w:header="709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AFC99" w14:textId="77777777" w:rsidR="00EE2158" w:rsidRDefault="00EE2158">
      <w:r>
        <w:separator/>
      </w:r>
    </w:p>
  </w:endnote>
  <w:endnote w:type="continuationSeparator" w:id="0">
    <w:p w14:paraId="7EF9BE34" w14:textId="77777777" w:rsidR="00EE2158" w:rsidRDefault="00EE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2BE40" w14:textId="77777777" w:rsidR="00EE2158" w:rsidRDefault="00EE2158">
      <w:r>
        <w:separator/>
      </w:r>
    </w:p>
  </w:footnote>
  <w:footnote w:type="continuationSeparator" w:id="0">
    <w:p w14:paraId="59C472AB" w14:textId="77777777" w:rsidR="00EE2158" w:rsidRDefault="00EE2158">
      <w:r>
        <w:continuationSeparator/>
      </w:r>
    </w:p>
  </w:footnote>
  <w:footnote w:id="1">
    <w:p w14:paraId="55F1EEA0" w14:textId="476E3740" w:rsidR="0030779C" w:rsidRPr="00146C80" w:rsidRDefault="005C43F6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val="ru"/>
        </w:rPr>
        <w:footnoteRef/>
      </w:r>
      <w:r>
        <w:rPr>
          <w:rFonts w:eastAsia="Calibri"/>
          <w:sz w:val="20"/>
          <w:szCs w:val="20"/>
          <w:lang w:val="ru"/>
        </w:rPr>
        <w:t xml:space="preserve"> </w:t>
      </w:r>
      <w:r>
        <w:rPr>
          <w:rFonts w:eastAsia="Calibri"/>
          <w:sz w:val="20"/>
          <w:szCs w:val="20"/>
          <w:lang w:val="ru"/>
        </w:rPr>
        <w:tab/>
      </w:r>
      <w:hyperlink r:id="rId1">
        <w:r>
          <w:rPr>
            <w:rFonts w:eastAsia="Calibri"/>
            <w:color w:val="0070C0"/>
            <w:sz w:val="20"/>
            <w:szCs w:val="20"/>
            <w:u w:val="single"/>
            <w:lang w:val="ru"/>
          </w:rPr>
          <w:t>Двойной ромб – Design Council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D093" w14:textId="512A5908" w:rsidR="0030779C" w:rsidRPr="00C50CE1" w:rsidRDefault="0039337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bookmarkStart w:id="0" w:name="_Hlk136349465"/>
    <w:r>
      <w:rPr>
        <w:color w:val="000000" w:themeColor="text1"/>
        <w:sz w:val="20"/>
        <w:szCs w:val="20"/>
        <w:lang w:val="ru"/>
      </w:rPr>
      <w:t>IOC/A-33/4.5.1.Doc(1)</w:t>
    </w:r>
    <w:bookmarkEnd w:id="0"/>
  </w:p>
  <w:p w14:paraId="1FD24C74" w14:textId="77777777" w:rsidR="0030779C" w:rsidRPr="00C50CE1" w:rsidRDefault="005C43F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  <w:lang w:val="ru"/>
      </w:rPr>
      <w:t>страница </w:t>
    </w:r>
    <w:r>
      <w:rPr>
        <w:color w:val="000000"/>
        <w:sz w:val="20"/>
        <w:szCs w:val="20"/>
        <w:lang w:val="ru"/>
      </w:rPr>
      <w:fldChar w:fldCharType="begin"/>
    </w:r>
    <w:r>
      <w:rPr>
        <w:color w:val="000000"/>
        <w:sz w:val="20"/>
        <w:szCs w:val="20"/>
        <w:lang w:val="ru"/>
      </w:rPr>
      <w:instrText>PAGE</w:instrText>
    </w:r>
    <w:r>
      <w:rPr>
        <w:color w:val="000000"/>
        <w:sz w:val="20"/>
        <w:szCs w:val="20"/>
        <w:lang w:val="ru"/>
      </w:rPr>
      <w:fldChar w:fldCharType="separate"/>
    </w:r>
    <w:r>
      <w:rPr>
        <w:noProof/>
        <w:color w:val="000000"/>
        <w:sz w:val="20"/>
        <w:szCs w:val="20"/>
        <w:lang w:val="ru"/>
      </w:rPr>
      <w:t>2</w:t>
    </w:r>
    <w:r>
      <w:rPr>
        <w:color w:val="000000"/>
        <w:sz w:val="20"/>
        <w:szCs w:val="20"/>
        <w:lang w:val="r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243C" w14:textId="1501C4DD" w:rsidR="0030779C" w:rsidRPr="00C50CE1" w:rsidRDefault="0039337C" w:rsidP="0039337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7513"/>
      <w:rPr>
        <w:color w:val="000000"/>
      </w:rPr>
    </w:pPr>
    <w:r>
      <w:rPr>
        <w:color w:val="000000"/>
        <w:sz w:val="20"/>
        <w:szCs w:val="20"/>
        <w:lang w:val="ru"/>
      </w:rPr>
      <w:t>IOC/A-33/4.5.1.Doc(1)</w:t>
    </w:r>
  </w:p>
  <w:p w14:paraId="487E0E41" w14:textId="38C233FF" w:rsidR="0030779C" w:rsidRPr="00C50CE1" w:rsidRDefault="005C43F6" w:rsidP="0039337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7513"/>
      <w:rPr>
        <w:color w:val="000000"/>
      </w:rPr>
    </w:pPr>
    <w:r>
      <w:rPr>
        <w:color w:val="000000"/>
        <w:lang w:val="ru"/>
      </w:rPr>
      <w:t>страница </w:t>
    </w:r>
    <w:r>
      <w:rPr>
        <w:color w:val="000000"/>
        <w:lang w:val="ru"/>
      </w:rPr>
      <w:fldChar w:fldCharType="begin"/>
    </w:r>
    <w:r>
      <w:rPr>
        <w:color w:val="000000"/>
        <w:lang w:val="ru"/>
      </w:rPr>
      <w:instrText>PAGE</w:instrText>
    </w:r>
    <w:r>
      <w:rPr>
        <w:color w:val="000000"/>
        <w:lang w:val="ru"/>
      </w:rPr>
      <w:fldChar w:fldCharType="separate"/>
    </w:r>
    <w:r>
      <w:rPr>
        <w:noProof/>
        <w:color w:val="000000"/>
        <w:lang w:val="ru"/>
      </w:rPr>
      <w:t>3</w:t>
    </w:r>
    <w:r>
      <w:rPr>
        <w:color w:val="000000"/>
        <w:lang w:val="ru"/>
      </w:rPr>
      <w:fldChar w:fldCharType="end"/>
    </w:r>
  </w:p>
  <w:p w14:paraId="26F5A224" w14:textId="77777777" w:rsidR="0030779C" w:rsidRPr="00C50CE1" w:rsidRDefault="0030779C" w:rsidP="0039337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7513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9563" w14:textId="77777777" w:rsidR="0039337C" w:rsidRDefault="0039337C" w:rsidP="0039337C">
    <w:pPr>
      <w:pBdr>
        <w:top w:val="nil"/>
        <w:left w:val="nil"/>
        <w:bottom w:val="nil"/>
        <w:right w:val="nil"/>
        <w:between w:val="nil"/>
      </w:pBdr>
      <w:tabs>
        <w:tab w:val="left" w:pos="5954"/>
      </w:tabs>
      <w:jc w:val="both"/>
      <w:rPr>
        <w:b/>
        <w:color w:val="000000"/>
      </w:rPr>
    </w:pPr>
    <w:r>
      <w:rPr>
        <w:color w:val="000000"/>
        <w:lang w:val="ru"/>
      </w:rPr>
      <w:t>Рассылается по списку</w:t>
    </w:r>
    <w:r>
      <w:rPr>
        <w:color w:val="000000"/>
        <w:lang w:val="ru"/>
      </w:rPr>
      <w:tab/>
    </w:r>
    <w:r>
      <w:rPr>
        <w:b/>
        <w:bCs/>
        <w:color w:val="000000"/>
        <w:sz w:val="36"/>
        <w:szCs w:val="36"/>
        <w:lang w:val="ru"/>
      </w:rPr>
      <w:t xml:space="preserve">IOC/A-33/4.5.1.Doc(1) </w:t>
    </w:r>
  </w:p>
  <w:p w14:paraId="1C59E9FB" w14:textId="77777777" w:rsidR="0039337C" w:rsidRPr="00E60197" w:rsidRDefault="0039337C" w:rsidP="0039337C">
    <w:pPr>
      <w:tabs>
        <w:tab w:val="left" w:pos="5954"/>
      </w:tabs>
      <w:jc w:val="both"/>
      <w:rPr>
        <w:lang w:val="ru"/>
      </w:rPr>
    </w:pPr>
    <w:r>
      <w:rPr>
        <w:lang w:val="ru"/>
      </w:rPr>
      <w:tab/>
      <w:t>Париж, 17 мая 2025 года</w:t>
    </w:r>
    <w:r>
      <w:rPr>
        <w:noProof/>
        <w:lang w:val="ru"/>
      </w:rPr>
      <w:drawing>
        <wp:anchor distT="0" distB="0" distL="114300" distR="114300" simplePos="0" relativeHeight="251659264" behindDoc="0" locked="0" layoutInCell="1" hidden="0" allowOverlap="1" wp14:anchorId="3E003F2D" wp14:editId="2A848321">
          <wp:simplePos x="0" y="0"/>
          <wp:positionH relativeFrom="column">
            <wp:posOffset>-19684</wp:posOffset>
          </wp:positionH>
          <wp:positionV relativeFrom="paragraph">
            <wp:posOffset>101600</wp:posOffset>
          </wp:positionV>
          <wp:extent cx="1578610" cy="1047115"/>
          <wp:effectExtent l="0" t="0" r="0" b="0"/>
          <wp:wrapSquare wrapText="bothSides" distT="0" distB="0" distL="114300" distR="114300"/>
          <wp:docPr id="1" name="image1.jpg" descr="Логотип, название компании Описание генерируется автоматически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72150E" w14:textId="77777777" w:rsidR="0039337C" w:rsidRPr="00E60197" w:rsidRDefault="0039337C" w:rsidP="0039337C">
    <w:pPr>
      <w:tabs>
        <w:tab w:val="left" w:pos="5954"/>
      </w:tabs>
      <w:jc w:val="both"/>
      <w:rPr>
        <w:lang w:val="ru"/>
      </w:rPr>
    </w:pPr>
    <w:r>
      <w:rPr>
        <w:lang w:val="ru"/>
      </w:rPr>
      <w:tab/>
      <w:t>Язык оригинала: английский</w:t>
    </w:r>
  </w:p>
  <w:p w14:paraId="739E8FE0" w14:textId="77777777" w:rsidR="0039337C" w:rsidRPr="00E60197" w:rsidRDefault="0039337C" w:rsidP="0039337C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45"/>
        <w:tab w:val="left" w:pos="5523"/>
        <w:tab w:val="left" w:pos="5812"/>
        <w:tab w:val="left" w:pos="7020"/>
        <w:tab w:val="left" w:pos="7088"/>
      </w:tabs>
      <w:jc w:val="both"/>
      <w:rPr>
        <w:b/>
        <w:lang w:val="ru"/>
      </w:rPr>
    </w:pPr>
  </w:p>
  <w:p w14:paraId="250283C1" w14:textId="77777777" w:rsidR="0039337C" w:rsidRPr="00E60197" w:rsidRDefault="0039337C" w:rsidP="0039337C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  <w:lang w:val="ru"/>
      </w:rPr>
    </w:pPr>
  </w:p>
  <w:p w14:paraId="6C8554DC" w14:textId="77777777" w:rsidR="0039337C" w:rsidRPr="00E60197" w:rsidRDefault="0039337C" w:rsidP="0039337C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  <w:lang w:val="ru"/>
      </w:rPr>
    </w:pPr>
  </w:p>
  <w:p w14:paraId="52155C47" w14:textId="77777777" w:rsidR="0039337C" w:rsidRPr="00E60197" w:rsidRDefault="0039337C" w:rsidP="0039337C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  <w:lang w:val="ru"/>
      </w:rPr>
    </w:pPr>
  </w:p>
  <w:p w14:paraId="1882006A" w14:textId="77777777" w:rsidR="0039337C" w:rsidRPr="00E60197" w:rsidRDefault="0039337C" w:rsidP="0039337C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  <w:lang w:val="ru"/>
      </w:rPr>
    </w:pPr>
  </w:p>
  <w:p w14:paraId="4E569635" w14:textId="77777777" w:rsidR="0039337C" w:rsidRPr="00E60197" w:rsidRDefault="0039337C" w:rsidP="0039337C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  <w:lang w:val="ru"/>
      </w:rPr>
    </w:pPr>
  </w:p>
  <w:p w14:paraId="6ACD55D4" w14:textId="77777777" w:rsidR="0039337C" w:rsidRPr="00E60197" w:rsidRDefault="0039337C" w:rsidP="0039337C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b/>
        <w:lang w:val="ru"/>
      </w:rPr>
    </w:pPr>
    <w:r>
      <w:rPr>
        <w:b/>
        <w:bCs/>
        <w:lang w:val="ru"/>
      </w:rPr>
      <w:t>МЕЖПРАВИТЕЛЬСТВЕННАЯ ОКЕАНОГРАФИЧЕСКАЯ КОМИССИЯ</w:t>
    </w:r>
  </w:p>
  <w:p w14:paraId="62629967" w14:textId="77777777" w:rsidR="0039337C" w:rsidRPr="00E60197" w:rsidRDefault="0039337C" w:rsidP="0039337C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lang w:val="ru"/>
      </w:rPr>
    </w:pPr>
    <w:r>
      <w:rPr>
        <w:lang w:val="ru"/>
      </w:rPr>
      <w:t>(ЮНЕСКО)</w:t>
    </w:r>
  </w:p>
  <w:p w14:paraId="7BA3FA21" w14:textId="77777777" w:rsidR="0039337C" w:rsidRPr="00E60197" w:rsidRDefault="0039337C" w:rsidP="0039337C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b/>
        <w:lang w:val="ru"/>
      </w:rPr>
    </w:pPr>
  </w:p>
  <w:p w14:paraId="5CBFAB8A" w14:textId="77777777" w:rsidR="0039337C" w:rsidRPr="00E60197" w:rsidRDefault="0039337C" w:rsidP="0039337C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b/>
        <w:lang w:val="ru"/>
      </w:rPr>
    </w:pPr>
    <w:r>
      <w:rPr>
        <w:b/>
        <w:bCs/>
        <w:lang w:val="ru"/>
      </w:rPr>
      <w:t>Тридцать третья сессия Ассамблеи</w:t>
    </w:r>
  </w:p>
  <w:p w14:paraId="4024A82C" w14:textId="77777777" w:rsidR="0039337C" w:rsidRPr="00E60197" w:rsidRDefault="0039337C" w:rsidP="0039337C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lang w:val="ru"/>
      </w:rPr>
    </w:pPr>
    <w:r>
      <w:rPr>
        <w:lang w:val="ru"/>
      </w:rPr>
      <w:t>ЮНЕСКО, 25 июня – 3 июля 2025 г.</w:t>
    </w:r>
  </w:p>
  <w:p w14:paraId="59546E0F" w14:textId="77777777" w:rsidR="0039337C" w:rsidRPr="00E60197" w:rsidRDefault="0039337C" w:rsidP="0039337C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lang w:val="ru"/>
      </w:rPr>
    </w:pPr>
  </w:p>
  <w:p w14:paraId="170F19A2" w14:textId="77777777" w:rsidR="0039337C" w:rsidRPr="00E60197" w:rsidRDefault="0039337C" w:rsidP="0039337C">
    <w:pPr>
      <w:jc w:val="center"/>
      <w:rPr>
        <w:lang w:val="ru"/>
      </w:rPr>
    </w:pPr>
  </w:p>
  <w:p w14:paraId="395709B5" w14:textId="77777777" w:rsidR="0039337C" w:rsidRPr="00E60197" w:rsidRDefault="0039337C" w:rsidP="0039337C">
    <w:pPr>
      <w:jc w:val="center"/>
      <w:rPr>
        <w:lang w:val="ru"/>
      </w:rPr>
    </w:pPr>
  </w:p>
  <w:p w14:paraId="5B1C44E3" w14:textId="77777777" w:rsidR="0039337C" w:rsidRPr="00E60197" w:rsidRDefault="0039337C" w:rsidP="0039337C">
    <w:pPr>
      <w:jc w:val="center"/>
      <w:rPr>
        <w:lang w:val="ru"/>
      </w:rPr>
    </w:pPr>
  </w:p>
  <w:p w14:paraId="668B9406" w14:textId="77777777" w:rsidR="0039337C" w:rsidRPr="00E60197" w:rsidRDefault="0039337C" w:rsidP="0039337C">
    <w:pPr>
      <w:jc w:val="center"/>
      <w:rPr>
        <w:lang w:val="ru"/>
      </w:rPr>
    </w:pPr>
  </w:p>
  <w:p w14:paraId="13BAA909" w14:textId="77777777" w:rsidR="0039337C" w:rsidRPr="00E60197" w:rsidRDefault="0039337C" w:rsidP="0039337C">
    <w:pPr>
      <w:jc w:val="center"/>
      <w:rPr>
        <w:lang w:val="ru"/>
      </w:rPr>
    </w:pPr>
  </w:p>
  <w:p w14:paraId="7AF38599" w14:textId="77777777" w:rsidR="0039337C" w:rsidRPr="00E60197" w:rsidRDefault="0039337C" w:rsidP="0039337C">
    <w:pPr>
      <w:keepNext/>
      <w:pBdr>
        <w:top w:val="nil"/>
        <w:left w:val="nil"/>
        <w:bottom w:val="nil"/>
        <w:right w:val="nil"/>
        <w:between w:val="nil"/>
      </w:pBdr>
      <w:tabs>
        <w:tab w:val="right" w:pos="9540"/>
      </w:tabs>
      <w:rPr>
        <w:bCs/>
        <w:color w:val="000000"/>
        <w:u w:val="single"/>
        <w:lang w:val="ru"/>
      </w:rPr>
    </w:pPr>
    <w:r>
      <w:rPr>
        <w:color w:val="000000"/>
        <w:sz w:val="24"/>
        <w:szCs w:val="24"/>
        <w:u w:val="single"/>
        <w:lang w:val="ru"/>
      </w:rPr>
      <w:t xml:space="preserve">Пункт </w:t>
    </w:r>
    <w:r>
      <w:rPr>
        <w:b/>
        <w:bCs/>
        <w:color w:val="000000"/>
        <w:sz w:val="24"/>
        <w:szCs w:val="24"/>
        <w:u w:val="single"/>
        <w:lang w:val="ru"/>
      </w:rPr>
      <w:t>4.5.1</w:t>
    </w:r>
    <w:r>
      <w:rPr>
        <w:color w:val="000000"/>
        <w:sz w:val="24"/>
        <w:szCs w:val="24"/>
        <w:u w:val="single"/>
        <w:lang w:val="ru"/>
      </w:rPr>
      <w:t xml:space="preserve"> предварительной повестки дня</w:t>
    </w:r>
  </w:p>
  <w:p w14:paraId="6B593BC9" w14:textId="77777777" w:rsidR="0039337C" w:rsidRPr="00E60197" w:rsidRDefault="0039337C" w:rsidP="0039337C">
    <w:pPr>
      <w:rPr>
        <w:lang w:val="ru"/>
      </w:rPr>
    </w:pPr>
  </w:p>
  <w:p w14:paraId="59577BF0" w14:textId="77777777" w:rsidR="0039337C" w:rsidRPr="00E60197" w:rsidRDefault="0039337C" w:rsidP="0039337C">
    <w:pPr>
      <w:pStyle w:val="Heading3"/>
      <w:jc w:val="center"/>
      <w:rPr>
        <w:lang w:val="ru"/>
      </w:rPr>
    </w:pPr>
    <w:bookmarkStart w:id="1" w:name="_tl60f6kd0pg6" w:colFirst="0" w:colLast="0"/>
    <w:bookmarkEnd w:id="1"/>
  </w:p>
  <w:p w14:paraId="0C3A9203" w14:textId="210156BB" w:rsidR="0039337C" w:rsidRPr="00E60197" w:rsidRDefault="0039337C" w:rsidP="0039337C">
    <w:pPr>
      <w:pStyle w:val="Heading3"/>
      <w:jc w:val="center"/>
      <w:rPr>
        <w:lang w:val="ru"/>
      </w:rPr>
    </w:pPr>
    <w:r>
      <w:rPr>
        <w:bCs/>
        <w:color w:val="000000"/>
        <w:sz w:val="20"/>
        <w:szCs w:val="20"/>
        <w:lang w:val="ru"/>
      </w:rPr>
      <w:t>ПРЕДЛОЖЕНИЕ ПО РЕФОРМИРОВАНИЮ ГЛОБАЛЬНОЙ СИСТЕМЫ НАБЛЮДЕНИЙ ЗА ОКЕАНОМ (ГСНО)</w:t>
    </w:r>
  </w:p>
  <w:p w14:paraId="6FCBEB76" w14:textId="20B82866" w:rsidR="0030779C" w:rsidRPr="00E60197" w:rsidRDefault="0030779C" w:rsidP="0039337C">
    <w:pPr>
      <w:pStyle w:val="Header"/>
      <w:rPr>
        <w:lang w:val="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2474"/>
    <w:multiLevelType w:val="hybridMultilevel"/>
    <w:tmpl w:val="5C98C19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D7D2F"/>
    <w:multiLevelType w:val="multilevel"/>
    <w:tmpl w:val="79263162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203F8"/>
    <w:multiLevelType w:val="multilevel"/>
    <w:tmpl w:val="B0589448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57977677">
    <w:abstractNumId w:val="1"/>
  </w:num>
  <w:num w:numId="2" w16cid:durableId="1751736264">
    <w:abstractNumId w:val="2"/>
  </w:num>
  <w:num w:numId="3" w16cid:durableId="150924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79C"/>
    <w:rsid w:val="0007265F"/>
    <w:rsid w:val="00146C80"/>
    <w:rsid w:val="00262988"/>
    <w:rsid w:val="002E7D5E"/>
    <w:rsid w:val="0030779C"/>
    <w:rsid w:val="0039337C"/>
    <w:rsid w:val="00445595"/>
    <w:rsid w:val="0054638A"/>
    <w:rsid w:val="005C43F6"/>
    <w:rsid w:val="005F4F7E"/>
    <w:rsid w:val="00702F39"/>
    <w:rsid w:val="007F78E8"/>
    <w:rsid w:val="00B73734"/>
    <w:rsid w:val="00BE137D"/>
    <w:rsid w:val="00C50CE1"/>
    <w:rsid w:val="00E60197"/>
    <w:rsid w:val="00E7249D"/>
    <w:rsid w:val="00EE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647871"/>
  <w15:docId w15:val="{8F3E0F3B-28EE-4E10-9323-DFC9F938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tabs>
          <w:tab w:val="left" w:pos="567"/>
        </w:tabs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4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80" w:after="240"/>
      <w:ind w:left="567" w:hanging="567"/>
      <w:outlineLvl w:val="1"/>
    </w:pPr>
    <w:rPr>
      <w:b/>
      <w:smallCap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tabs>
        <w:tab w:val="left" w:pos="1134"/>
      </w:tabs>
      <w:spacing w:after="240"/>
      <w:ind w:left="1134" w:hanging="567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tabs>
        <w:tab w:val="left" w:pos="1134"/>
      </w:tabs>
      <w:spacing w:after="240"/>
      <w:ind w:left="567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F4F7E"/>
    <w:pPr>
      <w:tabs>
        <w:tab w:val="clear" w:pos="567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F7E"/>
  </w:style>
  <w:style w:type="paragraph" w:styleId="Header">
    <w:name w:val="header"/>
    <w:basedOn w:val="Normal"/>
    <w:link w:val="HeaderChar"/>
    <w:uiPriority w:val="99"/>
    <w:semiHidden/>
    <w:unhideWhenUsed/>
    <w:rsid w:val="0039337C"/>
    <w:pPr>
      <w:tabs>
        <w:tab w:val="clear" w:pos="567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337C"/>
  </w:style>
  <w:style w:type="character" w:styleId="Hyperlink">
    <w:name w:val="Hyperlink"/>
    <w:basedOn w:val="DefaultParagraphFont"/>
    <w:uiPriority w:val="99"/>
    <w:unhideWhenUsed/>
    <w:rsid w:val="00146C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C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7D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socean.org/document/32931" TargetMode="External"/><Relationship Id="rId13" Type="http://schemas.openxmlformats.org/officeDocument/2006/relationships/hyperlink" Target="https://oceanexpert.org/document/34751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oceanexpert.org/document/32845" TargetMode="External"/><Relationship Id="rId12" Type="http://schemas.openxmlformats.org/officeDocument/2006/relationships/hyperlink" Target="https://goosocean.org/document/24590" TargetMode="External"/><Relationship Id="rId17" Type="http://schemas.openxmlformats.org/officeDocument/2006/relationships/hyperlink" Target="https://goosocean.org/document/361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osocean.org/news/goos-14th-steering-committee-meeting-report-now-available/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ceanexpert.org/document/3627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nesdoc.unesco.org/ark:/48223/pf0000390124.locale=en" TargetMode="External"/><Relationship Id="rId10" Type="http://schemas.openxmlformats.org/officeDocument/2006/relationships/hyperlink" Target="https://oceanexpert.org/document/34591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oceanexpert.org/document/34454" TargetMode="External"/><Relationship Id="rId14" Type="http://schemas.openxmlformats.org/officeDocument/2006/relationships/hyperlink" Target="https://oceanexpert.org/document/34454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esigncouncil.org.uk/our-resources/the-double-diamond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1203</Words>
  <Characters>6618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UNESCO</Company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Post, Joanna</dc:creator>
  <cp:lastModifiedBy>Boned, Patrice</cp:lastModifiedBy>
  <cp:revision>2</cp:revision>
  <dcterms:created xsi:type="dcterms:W3CDTF">2025-05-26T08:12:00Z</dcterms:created>
  <dcterms:modified xsi:type="dcterms:W3CDTF">2025-05-26T08:12:00Z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</Properties>
</file>