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491E5E" w:rsidRPr="00274D29" w14:paraId="04AEA37D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6F25CED" w14:textId="77777777" w:rsidR="00491E5E" w:rsidRDefault="004C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Резюме</w:t>
            </w:r>
          </w:p>
          <w:p w14:paraId="7F5992C5" w14:textId="585D1C20" w:rsidR="00491E5E" w:rsidRPr="00274D29" w:rsidRDefault="004C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lang w:val="ru"/>
              </w:rPr>
              <w:t xml:space="preserve">В документе кратко изложена концепция Архитектуры данных МОК, предложенная для оптимизации связей между существующими элементами МОК, которая повысит эффективность передачи океанографических данных для многочисленных услуг и сфер применения. Предложение концепции архитектуры данных МОК (IOC/INF-1550) содержит подробное описание этой архитектуры и информацию о том, как уникальная совокупность активов МОК будет объединяться и интегрироваться для создания чего-то более мощного, чем просто сумма его отдельных компонентов. Ассамблее предлагается утвердить концепцию архитектуры данных МОК и круг ведения Рабочей группы по вопросу разработки архитектуры данных МОК, прилагаемые к предлагаемому решению по этому пункту повестки дня. </w:t>
            </w:r>
          </w:p>
          <w:p w14:paraId="2A609278" w14:textId="7080EB49" w:rsidR="00491E5E" w:rsidRPr="00274D29" w:rsidRDefault="0036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color w:val="000000"/>
                <w:lang w:val="ru"/>
              </w:rPr>
              <w:t>: пункт 12</w:t>
            </w:r>
            <w:r>
              <w:rPr>
                <w:lang w:val="ru"/>
              </w:rPr>
              <w:t>.</w:t>
            </w:r>
          </w:p>
          <w:p w14:paraId="55DFC5A8" w14:textId="070CE540" w:rsidR="00491E5E" w:rsidRPr="00274D29" w:rsidRDefault="004C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Предлагаемое решение</w:t>
            </w:r>
            <w:r>
              <w:rPr>
                <w:color w:val="000000"/>
                <w:lang w:val="ru"/>
              </w:rPr>
              <w:t xml:space="preserve"> представлено в Документе о принятых и предлагаемых мерах (документ IOC/A-33/2 Prov.) под номером A-33/Dec.</w:t>
            </w:r>
            <w:r>
              <w:rPr>
                <w:lang w:val="ru"/>
              </w:rPr>
              <w:t>3.4.3</w:t>
            </w:r>
            <w:r>
              <w:rPr>
                <w:color w:val="000000"/>
                <w:lang w:val="ru"/>
              </w:rPr>
              <w:t>.</w:t>
            </w:r>
          </w:p>
        </w:tc>
      </w:tr>
    </w:tbl>
    <w:p w14:paraId="3AC2A3A4" w14:textId="77777777" w:rsidR="00491E5E" w:rsidRPr="00274D29" w:rsidRDefault="00491E5E">
      <w:pPr>
        <w:pStyle w:val="Heading3"/>
        <w:rPr>
          <w:lang w:val="ru"/>
        </w:rPr>
        <w:sectPr w:rsidR="00491E5E" w:rsidRPr="00274D29">
          <w:headerReference w:type="even" r:id="rId7"/>
          <w:headerReference w:type="default" r:id="rId8"/>
          <w:headerReference w:type="first" r:id="rId9"/>
          <w:pgSz w:w="11906" w:h="16838"/>
          <w:pgMar w:top="1418" w:right="1134" w:bottom="1134" w:left="1134" w:header="709" w:footer="680" w:gutter="0"/>
          <w:pgNumType w:start="1"/>
          <w:cols w:space="720"/>
          <w:titlePg/>
        </w:sectPr>
      </w:pPr>
    </w:p>
    <w:p w14:paraId="580C8B04" w14:textId="28F01172" w:rsidR="00491E5E" w:rsidRDefault="00113F28">
      <w:pPr>
        <w:pStyle w:val="Heading3"/>
      </w:pPr>
      <w:r>
        <w:rPr>
          <w:bCs/>
          <w:lang w:val="ru"/>
        </w:rPr>
        <w:lastRenderedPageBreak/>
        <w:t>Общая информация и введение</w:t>
      </w:r>
    </w:p>
    <w:p w14:paraId="645A1A85" w14:textId="43C19696" w:rsidR="00113F28" w:rsidRPr="00274D29" w:rsidRDefault="00113F28" w:rsidP="002B0DC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color w:val="000000"/>
          <w:lang w:val="ru"/>
        </w:rPr>
      </w:pPr>
      <w:r>
        <w:rPr>
          <w:lang w:val="ru"/>
        </w:rPr>
        <w:t xml:space="preserve">Согласно </w:t>
      </w:r>
      <w:hyperlink r:id="rId10" w:history="1">
        <w:r>
          <w:rPr>
            <w:rStyle w:val="Hyperlink"/>
            <w:i/>
            <w:iCs/>
            <w:lang w:val="ru"/>
          </w:rPr>
          <w:t>Стратегии Глобальной системы наблюдений за океаном до 2030 года</w:t>
        </w:r>
      </w:hyperlink>
      <w:r>
        <w:rPr>
          <w:lang w:val="ru"/>
        </w:rPr>
        <w:t xml:space="preserve"> (решение IOC-XXX/7.1.1) данные являются Стратегической целью 7, направленной на «</w:t>
      </w:r>
      <w:r>
        <w:rPr>
          <w:i/>
          <w:iCs/>
          <w:lang w:val="ru"/>
        </w:rPr>
        <w:t>обеспечение соответствия информации и данных наблюдений за океаном принципам</w:t>
      </w:r>
      <w:r>
        <w:rPr>
          <w:lang w:val="ru"/>
        </w:rPr>
        <w:t xml:space="preserve"> </w:t>
      </w:r>
      <w:r>
        <w:rPr>
          <w:i/>
          <w:iCs/>
          <w:lang w:val="ru"/>
        </w:rPr>
        <w:t>FAIR с надлежащим качеством и задержкой»</w:t>
      </w:r>
      <w:r>
        <w:rPr>
          <w:lang w:val="ru"/>
        </w:rPr>
        <w:t xml:space="preserve">, с ключевыми результатами в отношении открытого доступа к данным и продуктов, основанных на основных переменных показателях состояния океана (ОППО). Ассамблея МОК на своей 31-й сессии (2021 г.) в Приложении II к Решению A-31/3.4.2 учредила Проект системы океанографических данных и информации МОК (ОДИС), а Исполнительный совет МОК на своей 57-й сессии (2024 г.) поручил ГСНО представить Ассамблее МОК предложение по развитию ГСНО (EC-57/4.1), включая </w:t>
      </w:r>
      <w:r>
        <w:rPr>
          <w:i/>
          <w:iCs/>
          <w:lang w:val="ru"/>
        </w:rPr>
        <w:t>«создание функционирующей цифровой экосистемы для удовлетворения нужд конечных пользователей</w:t>
      </w:r>
      <w:r>
        <w:rPr>
          <w:lang w:val="ru"/>
        </w:rPr>
        <w:t>» в качестве одного из пяти ключевых элементов этой работы.</w:t>
      </w:r>
    </w:p>
    <w:p w14:paraId="743DFA62" w14:textId="5A7D55CB" w:rsidR="00491E5E" w:rsidRPr="00274D29" w:rsidRDefault="004C4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 xml:space="preserve">Различные программы МОК собирают, осуществляют управление, анализируют и передают океанографические данные, услуги, информацию и знания, связанные с океаном. МОК приняла и утвердила принципы FAIR для данных и </w:t>
      </w:r>
      <w:hyperlink r:id="rId11" w:history="1">
        <w:r>
          <w:rPr>
            <w:rStyle w:val="Hyperlink"/>
            <w:i/>
            <w:iCs/>
            <w:lang w:val="ru"/>
          </w:rPr>
          <w:t>Политику и условия использования данных МОК (2023 г.)</w:t>
        </w:r>
      </w:hyperlink>
      <w:r>
        <w:rPr>
          <w:lang w:val="ru"/>
        </w:rPr>
        <w:t>, но до сих пор не обзавелась коллективной внутренней концепцией для основы данных. Общество, правительство, торговля, наука и другие сферы испытывают растущую потребность в океанографических данных для обоснованного принятия решений. В то же время цифровая информационная революция означает, что они ожидают получить простой и бесперебойный доступ к этим данным. Предложение концепции архитектуры данных МОК (IOC/INF-1550) содержит подробное описание схемы архитектуры и информацию о том, как уникальная совокупность активов МОК, которые МОК предлагает объединить, позволит создать гораздо более мощную цифровую экосистему, чем просто сумма ее отдельных компонентов.</w:t>
      </w:r>
    </w:p>
    <w:p w14:paraId="08BB6AF4" w14:textId="1551289C" w:rsidR="00491E5E" w:rsidRPr="00274D29" w:rsidRDefault="004C4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 xml:space="preserve">В последние годы ГСНО и МООД в диалоге с ВМО координируют свои разработки в отношении широкого утверждения открытых архитектур и федеративного системного подхода (ОДИС, WIS2.0, ERDDAP™), при этом несколько ключевых систем данных МОК уже готовы к надежному взаимодействию. </w:t>
      </w:r>
    </w:p>
    <w:p w14:paraId="1902D51B" w14:textId="5596A201" w:rsidR="00491E5E" w:rsidRPr="00274D29" w:rsidRDefault="004C4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 xml:space="preserve">Первое рабочее совещание МООД/ГСНО по данным состоялось в Бюро МОК по проектам для МООД в период с 30 сентября по 2 октября 2024 года. Основной упор был сделан на активизацию сотрудничества между системой Международного обмена океанографическими данными и информацией (МООД) и Глобальной системой наблюдений за океаном (ГСНО). Цель заключалась в улучшении координации и обсуждении интегрированной и масштабируемой архитектуры данных МОК, которая будет способствовать распространению данных, управлению ими и их доступности в рамках океанических систем, а также усилит поддержку МОК в отношении ключевых мандатов ООН. На заседании присутствовали эксперты от различных элементов ГСНО и МООД, Секции наук об океане МОК и Секции по повышению устойчивости к цунами, а также эксперты от соответствующих элементов структуры Десятилетия науки об океане. Доклад о заседании доступен в виде Докладов о рабочем совещании МОК, </w:t>
      </w:r>
      <w:hyperlink r:id="rId12" w:history="1">
        <w:r>
          <w:rPr>
            <w:rStyle w:val="Hyperlink"/>
            <w:lang w:val="ru"/>
          </w:rPr>
          <w:t>311</w:t>
        </w:r>
      </w:hyperlink>
      <w:r>
        <w:rPr>
          <w:lang w:val="ru"/>
        </w:rPr>
        <w:t>.</w:t>
      </w:r>
    </w:p>
    <w:p w14:paraId="1CB624B5" w14:textId="6B565C77" w:rsidR="00491E5E" w:rsidRPr="00274D29" w:rsidRDefault="004C47FA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>Ключевые цели рабочего совещания: (i) определение ролей и синергии: разъяснение мандатов, ответственности и связей между ГСНО и МООД для всех основных переменных показателей состояния океана (ОППО); (ii) разработка совместной концепции архитектуры данных МОК: создание совместно развиваемой и интегрированной архитектуры данных МОК, соответствующих принципам FAIR и CARE, для поддержки цифровой экосистемы океана; (iii) техническая основа: разработка технической архитектуры для единого пространства данных МОК, которая должна быть представлена на Ассамблее МОК в 2025 году; (iv) координация: определение координации между ГСНО, МООД и прочими программами МОК для развития и совершенствования архитектуры данных МОК; (v) планы на будущее: изложение последующих шагов (в краткосрочной и долгосрочной перспективе) для удовлетворения будущих потребностей пользователей.</w:t>
      </w:r>
    </w:p>
    <w:p w14:paraId="12AAFA90" w14:textId="0AECE8B8" w:rsidR="00491E5E" w:rsidRPr="00274D29" w:rsidRDefault="004C47FA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lastRenderedPageBreak/>
        <w:t xml:space="preserve">Рабочее совещание явилось переломным моментом для координации между элементами МОК по проблемам с данными, для разработки концепции данных по всей цепочке приращения стоимости деятельности МОК и для уникальной роли, которую МОК может сыграть в цифровой экосистеме. Ключевые результаты: (i) соглашение по проекту базовой схемы архитектуры данных МОК, соединяющей ключевые компоненты МОК в целостную экосистему, обеспечивающую совместную концепцию архитектуры данных МОК; (ii) разработка предложения для архитектуры данных МОК, которое должно быть представлено на 33-й сессии Ассамблеи МОК в 2025 году; (iii) учреждение Рабочей группы по вопросу архитектуры данных МОК для составления предложения по архитектуре/пространству данных МОК между элементами МОК с кругом ведения в соответствии с Докладами о рабочем совещании МОК, </w:t>
      </w:r>
      <w:hyperlink r:id="rId13" w:history="1">
        <w:r>
          <w:rPr>
            <w:rStyle w:val="Hyperlink"/>
            <w:lang w:val="ru"/>
          </w:rPr>
          <w:t>311</w:t>
        </w:r>
      </w:hyperlink>
      <w:r>
        <w:rPr>
          <w:lang w:val="ru"/>
        </w:rPr>
        <w:t>.</w:t>
      </w:r>
    </w:p>
    <w:p w14:paraId="445B32BD" w14:textId="3DA8828E" w:rsidR="00491E5E" w:rsidRPr="00274D29" w:rsidRDefault="004C47FA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 xml:space="preserve">Для архитектуры данных МОК будет использована архитектурная модель матрицы данных, очень похожая на модель, рекомендованную в </w:t>
      </w:r>
      <w:hyperlink r:id="rId14" w:history="1">
        <w:r>
          <w:rPr>
            <w:rStyle w:val="Hyperlink"/>
            <w:i/>
            <w:iCs/>
            <w:lang w:val="ru"/>
          </w:rPr>
          <w:t>Плане проведения Десятилетия ООН, посвященного науке об океане в интересах устойчивого развития</w:t>
        </w:r>
      </w:hyperlink>
      <w:r>
        <w:rPr>
          <w:lang w:val="ru"/>
        </w:rPr>
        <w:t xml:space="preserve">. Каждый слой матрицы и обмен данными, который их связывает, должны иметь устоявшиеся практики управления данными для обеспечения качества и целостности. Многие элементы предлагаемой архитектуры данных МОК уже существуют. На рабочем совещании были изложен подход к оптимизации связей между существующими элементами МОК, который повысит эффективность передачи океанографических данных для информационных услуг и услуг, связанных с океанографическими данными. </w:t>
      </w:r>
    </w:p>
    <w:p w14:paraId="79B660FC" w14:textId="5970E35E" w:rsidR="00491E5E" w:rsidRPr="00274D29" w:rsidRDefault="004C47FA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 xml:space="preserve">Использование относительно простого способа и существующих активов и передовых технологий позволит создать интегрированную систему данных МОК, которая может упростить работу МОК в будущем и поддержать доступность данных в самом прямом смысле. Она значительно повысит эффективность производства информационных продуктов на основе данных, включая такие продукты, как основные переменные показатели состояния океана (ОППО)/основные климатические переменные (ОКП), показатели ЦУР и глобальная диагностика и отчеты по обмену данными, и станет мощной платформой для будущего, позволяющей создавать сложные и комплексные продукты, цифровых двойников и приложения ИИ, которые еще не полностью изучены. В целом, это закрепит ведущую роль МОК в установлении глобальных стандартов системы информации об океане и в качестве центра океанографических данных. Расширенное использование океанографических данных будет поддерживать финансирование основных элементов инфраструктуры МОК. </w:t>
      </w:r>
    </w:p>
    <w:p w14:paraId="64B3AC10" w14:textId="71CBB600" w:rsidR="00491E5E" w:rsidRPr="00274D29" w:rsidRDefault="004C4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>МОК играет уникальную роль в сообществе, связанном с океаном, как глобальный координатор, в частности, в отношении науки об океане, наблюдений и данных, а также располагает механизмами для консультаций с сообществами, связанными с океаном, данными, и с прочими сообществами для обеспечения надлежащей реализации. И наконец, МОК располагает людьми, опытом и потенциалом для создания общественно полезной системы.</w:t>
      </w:r>
    </w:p>
    <w:p w14:paraId="5BDCE037" w14:textId="28565466" w:rsidR="00491E5E" w:rsidRDefault="00113A81" w:rsidP="002B0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jc w:val="both"/>
        <w:rPr>
          <w:color w:val="000000"/>
        </w:rPr>
      </w:pPr>
      <w:r>
        <w:rPr>
          <w:lang w:val="ru"/>
        </w:rPr>
        <w:t>По результатам рабочего совещания была учреждена временная Рабочая группа по вопросу разработки архитектуры данных МОК, которая разработала предложение концепции архитектуры данных МОК, изложенное в информационном документе МОК 1550. Следующие шаги по разработке архитектуры данных МОК:</w:t>
      </w:r>
    </w:p>
    <w:p w14:paraId="4392883B" w14:textId="12F08CAC" w:rsidR="00491E5E" w:rsidRDefault="004C47FA" w:rsidP="002B0DC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120" w:hanging="560"/>
        <w:contextualSpacing w:val="0"/>
        <w:jc w:val="both"/>
      </w:pPr>
      <w:r>
        <w:rPr>
          <w:lang w:val="ru"/>
        </w:rPr>
        <w:t>Консультации с рядом заинтересованных сторон по предложению концепции и интеграция обратной связи в пересмотренный документ.</w:t>
      </w:r>
    </w:p>
    <w:p w14:paraId="678108A3" w14:textId="7FACBF1A" w:rsidR="00491E5E" w:rsidRDefault="004C47FA" w:rsidP="002B0DC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120" w:hanging="560"/>
        <w:contextualSpacing w:val="0"/>
        <w:jc w:val="both"/>
      </w:pPr>
      <w:r>
        <w:rPr>
          <w:lang w:val="ru"/>
        </w:rPr>
        <w:t>Разработка подробного плана реализации для Этапа 1 архитектуры данных МОК, который должен быть представлен на 59-й сессии Исполнительного совета в 2026 году.</w:t>
      </w:r>
    </w:p>
    <w:p w14:paraId="5C3540CF" w14:textId="06A238CF" w:rsidR="00491E5E" w:rsidRDefault="004C47FA" w:rsidP="002B0DC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120" w:hanging="560"/>
        <w:contextualSpacing w:val="0"/>
        <w:jc w:val="both"/>
      </w:pPr>
      <w:r>
        <w:rPr>
          <w:lang w:val="ru"/>
        </w:rPr>
        <w:lastRenderedPageBreak/>
        <w:t>Разработка ограниченного ряда минимально жизнеспособных демонстрационных продуктов</w:t>
      </w:r>
      <w:r>
        <w:rPr>
          <w:vertAlign w:val="superscript"/>
          <w:lang w:val="ru"/>
        </w:rPr>
        <w:footnoteReference w:id="1"/>
      </w:r>
      <w:r>
        <w:rPr>
          <w:lang w:val="ru"/>
        </w:rPr>
        <w:t>, которые могут быть реализованы в течение года и которые продемонстрируют ценность интегрированной архитектуры данных МОК Исполнительному совету МОК в июне 2026 года.</w:t>
      </w:r>
    </w:p>
    <w:p w14:paraId="02043F1D" w14:textId="5466E4A6" w:rsidR="00491E5E" w:rsidRDefault="004C47FA" w:rsidP="002B0DC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/>
        <w:ind w:left="1120" w:hanging="560"/>
        <w:jc w:val="both"/>
      </w:pPr>
      <w:r>
        <w:rPr>
          <w:lang w:val="ru"/>
        </w:rPr>
        <w:t>Коммуникация и получение обратной связи от заинтересованных сторон (включая государства-члены) по плану реализации для архитектуры данных МОК до 59-й сессии Исполнительного совета МОК.</w:t>
      </w:r>
    </w:p>
    <w:p w14:paraId="77F5DCF3" w14:textId="77777777" w:rsidR="00491E5E" w:rsidRDefault="004C4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</w:pPr>
      <w:r>
        <w:rPr>
          <w:lang w:val="ru"/>
        </w:rPr>
        <w:t xml:space="preserve">Ассамблее предлагается утвердить концепцию архитектуры данных МОК и круг ведения Рабочей группы по вопросу разработки архитектуры данных МОК, так чтобы она смогла продолжить свою работу как изложено выше. </w:t>
      </w:r>
    </w:p>
    <w:p w14:paraId="2E2A56EF" w14:textId="77777777" w:rsidR="00491E5E" w:rsidRDefault="004C47FA">
      <w:pPr>
        <w:pStyle w:val="Heading3"/>
      </w:pPr>
      <w:r>
        <w:rPr>
          <w:bCs/>
          <w:lang w:val="ru"/>
        </w:rPr>
        <w:t>Финансовые и административные последствия</w:t>
      </w:r>
    </w:p>
    <w:p w14:paraId="2955D496" w14:textId="5ED64E9A" w:rsidR="00491E5E" w:rsidRPr="00274D29" w:rsidRDefault="004C4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 xml:space="preserve">Непосредственные </w:t>
      </w:r>
      <w:r>
        <w:rPr>
          <w:color w:val="000000"/>
          <w:lang w:val="ru"/>
        </w:rPr>
        <w:t xml:space="preserve">финансовые и административные последствия отсутствуют. Следующие </w:t>
      </w:r>
      <w:r>
        <w:rPr>
          <w:lang w:val="ru"/>
        </w:rPr>
        <w:t>этапы будут разработаны в существующих рамках регулярного бюджета МОК (42 C/5), включая разработку минимально жизнеспособных демонстрационных продуктов, в первую очередь поддерживаемых ГСНО и МООД. Подробный план реализации для Этапа 1 архитектуры данных МОК, который будет подготовлен к 59-й сессии Исполнительного совета в июне 2026 года, будет включать последствия для ресурсов для будущих разработок.</w:t>
      </w:r>
    </w:p>
    <w:p w14:paraId="0AD9A095" w14:textId="77777777" w:rsidR="00491E5E" w:rsidRPr="00274D29" w:rsidRDefault="00491E5E" w:rsidP="002B0DCC">
      <w:pPr>
        <w:keepNext/>
        <w:keepLines/>
        <w:spacing w:after="240"/>
        <w:outlineLvl w:val="2"/>
        <w:rPr>
          <w:color w:val="000000"/>
          <w:highlight w:val="yellow"/>
          <w:lang w:val="ru"/>
        </w:rPr>
      </w:pPr>
    </w:p>
    <w:sectPr w:rsidR="00491E5E" w:rsidRPr="00274D29" w:rsidSect="00274D29">
      <w:headerReference w:type="even" r:id="rId15"/>
      <w:headerReference w:type="default" r:id="rId16"/>
      <w:headerReference w:type="first" r:id="rId17"/>
      <w:pgSz w:w="11906" w:h="16838"/>
      <w:pgMar w:top="1418" w:right="1134" w:bottom="1134" w:left="1134" w:header="709" w:footer="68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DBBD" w14:textId="77777777" w:rsidR="004C47FA" w:rsidRDefault="004C47FA">
      <w:r>
        <w:separator/>
      </w:r>
    </w:p>
  </w:endnote>
  <w:endnote w:type="continuationSeparator" w:id="0">
    <w:p w14:paraId="2CF49A2B" w14:textId="77777777" w:rsidR="004C47FA" w:rsidRDefault="004C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2776" w14:textId="77777777" w:rsidR="004C47FA" w:rsidRDefault="004C47FA">
      <w:r>
        <w:separator/>
      </w:r>
    </w:p>
  </w:footnote>
  <w:footnote w:type="continuationSeparator" w:id="0">
    <w:p w14:paraId="3B5FB1F6" w14:textId="77777777" w:rsidR="004C47FA" w:rsidRDefault="004C47FA">
      <w:r>
        <w:continuationSeparator/>
      </w:r>
    </w:p>
  </w:footnote>
  <w:footnote w:id="1">
    <w:p w14:paraId="37F0768E" w14:textId="507D48D1" w:rsidR="00491E5E" w:rsidRPr="00274D29" w:rsidRDefault="004C47FA">
      <w:pPr>
        <w:rPr>
          <w:sz w:val="20"/>
          <w:szCs w:val="20"/>
          <w:lang w:val="ru"/>
        </w:rPr>
      </w:pPr>
      <w:r>
        <w:rPr>
          <w:vertAlign w:val="superscript"/>
          <w:lang w:val="ru"/>
        </w:rPr>
        <w:footnoteRef/>
      </w:r>
      <w:r>
        <w:rPr>
          <w:sz w:val="20"/>
          <w:szCs w:val="20"/>
          <w:lang w:val="ru"/>
        </w:rPr>
        <w:t xml:space="preserve"> Минимально жизнеспособный продукт (МЖП) – это версия продукта с достаточным количеством функций, чтобы его могли использовать первые клиенты, которые затем смогут предоставить обратную связь для дальнейшей доработки. В этом случае МЖП будут демонстрировать преимущества для сообщества, связанного с океаном, и для элементов МОК от объединения элементов данных и целей предоставления услуг в рамках предложенной архитектуры данных МОК.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23BD" w14:textId="77777777" w:rsidR="00491E5E" w:rsidRDefault="004C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lang w:val="ru"/>
      </w:rPr>
      <w:t>ICG/CARIBE-EWS II/WD </w:t>
    </w:r>
    <w:r>
      <w:rPr>
        <w:color w:val="000000"/>
        <w:highlight w:val="cyan"/>
        <w:lang w:val="ru"/>
      </w:rPr>
      <w:t>__</w:t>
    </w:r>
  </w:p>
  <w:p w14:paraId="010BC9BA" w14:textId="6C8BFCF9" w:rsidR="00491E5E" w:rsidRDefault="004C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lang w:val="ru"/>
      </w:rPr>
      <w:t>Страница 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>PAGE</w:instrText>
    </w:r>
    <w:r>
      <w:rPr>
        <w:color w:val="000000"/>
        <w:lang w:val="ru"/>
      </w:rPr>
      <w:fldChar w:fldCharType="separate"/>
    </w:r>
    <w:r>
      <w:rPr>
        <w:noProof/>
        <w:color w:val="000000"/>
        <w:lang w:val="ru"/>
      </w:rPr>
      <w:t>2</w:t>
    </w:r>
    <w:r>
      <w:rPr>
        <w:color w:val="00000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61FC" w14:textId="77777777" w:rsidR="00491E5E" w:rsidRDefault="004C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lang w:val="ru"/>
      </w:rPr>
      <w:t xml:space="preserve">IOC-XXIV/2 Annex </w:t>
    </w:r>
    <w:r>
      <w:rPr>
        <w:color w:val="000000"/>
        <w:highlight w:val="yellow"/>
        <w:lang w:val="ru"/>
      </w:rPr>
      <w:t>__</w:t>
    </w:r>
  </w:p>
  <w:p w14:paraId="3918F2D0" w14:textId="77777777" w:rsidR="00491E5E" w:rsidRDefault="004C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lang w:val="ru"/>
      </w:rPr>
      <w:t xml:space="preserve">Страница 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>PAGE</w:instrText>
    </w:r>
    <w:r>
      <w:rPr>
        <w:color w:val="000000"/>
        <w:lang w:val="ru"/>
      </w:rPr>
      <w:fldChar w:fldCharType="separate"/>
    </w:r>
    <w:r>
      <w:rPr>
        <w:color w:val="000000"/>
        <w:lang w:val="ru"/>
      </w:rPr>
      <w:fldChar w:fldCharType="end"/>
    </w:r>
  </w:p>
  <w:p w14:paraId="0D27EF8E" w14:textId="77777777" w:rsidR="00491E5E" w:rsidRDefault="00491E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6387" w14:textId="3A3A6045" w:rsidR="00491E5E" w:rsidRDefault="004C47FA" w:rsidP="003013B1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jc w:val="both"/>
      <w:rPr>
        <w:b/>
        <w:color w:val="000000"/>
      </w:rPr>
    </w:pPr>
    <w:r>
      <w:rPr>
        <w:color w:val="000000"/>
        <w:lang w:val="ru"/>
      </w:rPr>
      <w:t>Рассылается по списку</w:t>
    </w:r>
    <w:r>
      <w:rPr>
        <w:color w:val="000000"/>
        <w:lang w:val="ru"/>
      </w:rPr>
      <w:tab/>
    </w:r>
    <w:r>
      <w:rPr>
        <w:b/>
        <w:bCs/>
        <w:color w:val="000000"/>
        <w:sz w:val="36"/>
        <w:szCs w:val="36"/>
        <w:lang w:val="ru"/>
      </w:rPr>
      <w:t>IOC/A-33/3.4.3.Doc(1)</w:t>
    </w:r>
  </w:p>
  <w:p w14:paraId="777B0104" w14:textId="2F41CF3D" w:rsidR="00491E5E" w:rsidRPr="00274D29" w:rsidRDefault="004C47FA" w:rsidP="003013B1">
    <w:pPr>
      <w:tabs>
        <w:tab w:val="left" w:pos="5812"/>
      </w:tabs>
      <w:jc w:val="both"/>
      <w:rPr>
        <w:lang w:val="ru"/>
      </w:rPr>
    </w:pPr>
    <w:r>
      <w:rPr>
        <w:lang w:val="ru"/>
      </w:rPr>
      <w:tab/>
    </w:r>
    <w:r>
      <w:rPr>
        <w:lang w:val="ru"/>
      </w:rPr>
      <w:t>Париж, 15 апреля 2025 года</w:t>
    </w:r>
    <w:r>
      <w:rPr>
        <w:noProof/>
        <w:lang w:val="ru"/>
      </w:rPr>
      <w:drawing>
        <wp:anchor distT="0" distB="0" distL="114300" distR="114300" simplePos="0" relativeHeight="251658240" behindDoc="0" locked="0" layoutInCell="1" hidden="0" allowOverlap="1" wp14:anchorId="30AD68B4" wp14:editId="07969C22">
          <wp:simplePos x="0" y="0"/>
          <wp:positionH relativeFrom="column">
            <wp:posOffset>-19684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 distT="0" distB="0" distL="114300" distR="114300"/>
          <wp:docPr id="1" name="image1.jpg" descr="Логотип, название компании Описание генерируется автоматическ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E2E187" w14:textId="77777777" w:rsidR="00491E5E" w:rsidRPr="00274D29" w:rsidRDefault="004C47FA" w:rsidP="003013B1">
    <w:pPr>
      <w:tabs>
        <w:tab w:val="left" w:pos="5812"/>
      </w:tabs>
      <w:jc w:val="both"/>
      <w:rPr>
        <w:lang w:val="ru"/>
      </w:rPr>
    </w:pPr>
    <w:r>
      <w:rPr>
        <w:lang w:val="ru"/>
      </w:rPr>
      <w:tab/>
    </w:r>
    <w:r>
      <w:rPr>
        <w:lang w:val="ru"/>
      </w:rPr>
      <w:t>Язык оригинала: английский</w:t>
    </w:r>
  </w:p>
  <w:p w14:paraId="4EF2C13F" w14:textId="77777777" w:rsidR="00491E5E" w:rsidRPr="00274D29" w:rsidRDefault="00491E5E" w:rsidP="003013B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b/>
        <w:lang w:val="ru"/>
      </w:rPr>
    </w:pPr>
  </w:p>
  <w:p w14:paraId="51EC797C" w14:textId="77777777" w:rsidR="00491E5E" w:rsidRPr="00274D29" w:rsidRDefault="00491E5E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77FD5D97" w14:textId="77777777" w:rsidR="00491E5E" w:rsidRPr="00274D29" w:rsidRDefault="00491E5E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4DFC5800" w14:textId="77777777" w:rsidR="00491E5E" w:rsidRPr="00274D29" w:rsidRDefault="00491E5E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64C8D270" w14:textId="77777777" w:rsidR="00491E5E" w:rsidRPr="00274D29" w:rsidRDefault="00491E5E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073DF5BF" w14:textId="77777777" w:rsidR="00491E5E" w:rsidRPr="00274D29" w:rsidRDefault="00491E5E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6F0958CE" w14:textId="77777777" w:rsidR="00491E5E" w:rsidRPr="00274D29" w:rsidRDefault="004C4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МЕЖПРАВИТЕЛЬСТВЕННАЯ ОКЕАНОГРАФИЧЕСКАЯ КОМИССИЯ</w:t>
    </w:r>
  </w:p>
  <w:p w14:paraId="54A0CE6C" w14:textId="77777777" w:rsidR="00491E5E" w:rsidRPr="00274D29" w:rsidRDefault="004C4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(ЮНЕСКО)</w:t>
    </w:r>
  </w:p>
  <w:p w14:paraId="381BDB2E" w14:textId="77777777" w:rsidR="00491E5E" w:rsidRPr="00274D29" w:rsidRDefault="00491E5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</w:p>
  <w:p w14:paraId="1FB4344D" w14:textId="77777777" w:rsidR="00491E5E" w:rsidRPr="00274D29" w:rsidRDefault="004C4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Тридцать третья сессия Ассамблеи</w:t>
    </w:r>
  </w:p>
  <w:p w14:paraId="5F47377A" w14:textId="77777777" w:rsidR="00491E5E" w:rsidRPr="00274D29" w:rsidRDefault="004C4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ЮНЕСКО, 25 июня – 3 июля 2025 г.</w:t>
    </w:r>
  </w:p>
  <w:p w14:paraId="4A28246D" w14:textId="77777777" w:rsidR="00491E5E" w:rsidRPr="00274D29" w:rsidRDefault="00491E5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</w:p>
  <w:p w14:paraId="010A5307" w14:textId="77777777" w:rsidR="00491E5E" w:rsidRPr="00274D29" w:rsidRDefault="00491E5E">
    <w:pPr>
      <w:jc w:val="center"/>
      <w:rPr>
        <w:lang w:val="ru"/>
      </w:rPr>
    </w:pPr>
  </w:p>
  <w:p w14:paraId="041FD677" w14:textId="77777777" w:rsidR="00491E5E" w:rsidRPr="00274D29" w:rsidRDefault="00491E5E">
    <w:pPr>
      <w:jc w:val="center"/>
      <w:rPr>
        <w:lang w:val="ru"/>
      </w:rPr>
    </w:pPr>
  </w:p>
  <w:p w14:paraId="54733912" w14:textId="77777777" w:rsidR="00491E5E" w:rsidRPr="00274D29" w:rsidRDefault="00491E5E">
    <w:pPr>
      <w:jc w:val="center"/>
      <w:rPr>
        <w:lang w:val="ru"/>
      </w:rPr>
    </w:pPr>
  </w:p>
  <w:p w14:paraId="63614275" w14:textId="77777777" w:rsidR="00491E5E" w:rsidRPr="00274D29" w:rsidRDefault="00491E5E">
    <w:pPr>
      <w:jc w:val="center"/>
      <w:rPr>
        <w:lang w:val="ru"/>
      </w:rPr>
    </w:pPr>
  </w:p>
  <w:p w14:paraId="253F7811" w14:textId="77777777" w:rsidR="00491E5E" w:rsidRPr="00274D29" w:rsidRDefault="00491E5E">
    <w:pPr>
      <w:jc w:val="center"/>
      <w:rPr>
        <w:lang w:val="ru"/>
      </w:rPr>
    </w:pPr>
  </w:p>
  <w:p w14:paraId="0EEDFDCB" w14:textId="77777777" w:rsidR="00491E5E" w:rsidRPr="00274D29" w:rsidRDefault="004C47FA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bCs/>
        <w:color w:val="000000"/>
        <w:u w:val="single"/>
        <w:lang w:val="ru"/>
      </w:rPr>
    </w:pPr>
    <w:r>
      <w:rPr>
        <w:color w:val="000000"/>
        <w:sz w:val="24"/>
        <w:szCs w:val="24"/>
        <w:u w:val="single"/>
        <w:lang w:val="ru"/>
      </w:rPr>
      <w:t xml:space="preserve">Пункт </w:t>
    </w:r>
    <w:r>
      <w:rPr>
        <w:b/>
        <w:bCs/>
        <w:color w:val="000000"/>
        <w:sz w:val="24"/>
        <w:szCs w:val="24"/>
        <w:u w:val="single"/>
        <w:lang w:val="ru"/>
      </w:rPr>
      <w:t>3.4.</w:t>
    </w:r>
    <w:r>
      <w:rPr>
        <w:b/>
        <w:bCs/>
        <w:sz w:val="24"/>
        <w:szCs w:val="24"/>
        <w:u w:val="single"/>
        <w:lang w:val="ru"/>
      </w:rPr>
      <w:t>3</w:t>
    </w:r>
    <w:r>
      <w:rPr>
        <w:color w:val="000000"/>
        <w:sz w:val="24"/>
        <w:szCs w:val="24"/>
        <w:u w:val="single"/>
        <w:lang w:val="ru"/>
      </w:rPr>
      <w:t xml:space="preserve"> предварительной повестки дня</w:t>
    </w:r>
  </w:p>
  <w:p w14:paraId="5B2E1183" w14:textId="77777777" w:rsidR="00491E5E" w:rsidRPr="00274D29" w:rsidRDefault="00491E5E">
    <w:pPr>
      <w:rPr>
        <w:lang w:val="ru"/>
      </w:rPr>
    </w:pPr>
  </w:p>
  <w:p w14:paraId="1162B458" w14:textId="77777777" w:rsidR="00491E5E" w:rsidRPr="00274D29" w:rsidRDefault="00491E5E">
    <w:pPr>
      <w:rPr>
        <w:lang w:val="ru"/>
      </w:rPr>
    </w:pPr>
  </w:p>
  <w:p w14:paraId="12AD6113" w14:textId="35026AC5" w:rsidR="00491E5E" w:rsidRPr="00274D29" w:rsidRDefault="003013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480"/>
      <w:jc w:val="center"/>
      <w:rPr>
        <w:b/>
        <w:bCs/>
        <w:smallCaps/>
        <w:color w:val="000000"/>
        <w:sz w:val="24"/>
        <w:szCs w:val="24"/>
        <w:lang w:val="ru"/>
      </w:rPr>
    </w:pPr>
    <w:r>
      <w:rPr>
        <w:b/>
        <w:bCs/>
        <w:lang w:val="ru"/>
      </w:rPr>
      <w:t>РЕЗЮМЕ ПРЕДЛОЖЕНИЯ КОНЦЕПЦИИ АРХИТЕКТУРЫ ДАННЫХ МОК</w:t>
    </w:r>
  </w:p>
  <w:p w14:paraId="2071C5DC" w14:textId="77777777" w:rsidR="00491E5E" w:rsidRPr="00274D29" w:rsidRDefault="00491E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lang w:val="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D62C" w14:textId="1EDE980E" w:rsidR="00491E5E" w:rsidRPr="003013B1" w:rsidRDefault="003013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IOC/A-33/3.4.3.Doc(1)</w:t>
    </w:r>
  </w:p>
  <w:p w14:paraId="49AA38F7" w14:textId="2C6DEC71" w:rsidR="00491E5E" w:rsidRPr="003013B1" w:rsidRDefault="004C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noProof/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5734" w14:textId="1FC183E9" w:rsidR="00491E5E" w:rsidRPr="003013B1" w:rsidRDefault="004C47FA" w:rsidP="002B0D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  <w:r>
      <w:rPr>
        <w:color w:val="000000"/>
        <w:sz w:val="20"/>
        <w:szCs w:val="20"/>
        <w:lang w:val="ru"/>
      </w:rPr>
      <w:t>IOC/A-33/3.4.3.Doc(1)</w:t>
    </w:r>
  </w:p>
  <w:p w14:paraId="1D243B76" w14:textId="4A9A2A85" w:rsidR="00491E5E" w:rsidRPr="003013B1" w:rsidRDefault="004C47FA" w:rsidP="002B0D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  <w:r>
      <w:rPr>
        <w:color w:val="000000"/>
        <w:lang w:val="ru"/>
      </w:rPr>
      <w:t>страница 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>PAGE</w:instrText>
    </w:r>
    <w:r>
      <w:rPr>
        <w:color w:val="000000"/>
        <w:lang w:val="ru"/>
      </w:rPr>
      <w:fldChar w:fldCharType="separate"/>
    </w:r>
    <w:r>
      <w:rPr>
        <w:noProof/>
        <w:color w:val="000000"/>
        <w:lang w:val="ru"/>
      </w:rPr>
      <w:t>3</w:t>
    </w:r>
    <w:r>
      <w:rPr>
        <w:color w:val="000000"/>
        <w:lang w:val="ru"/>
      </w:rPr>
      <w:fldChar w:fldCharType="end"/>
    </w:r>
  </w:p>
  <w:p w14:paraId="1209E1FB" w14:textId="77777777" w:rsidR="00491E5E" w:rsidRPr="003013B1" w:rsidRDefault="00491E5E" w:rsidP="002B0D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C9C8" w14:textId="77777777" w:rsidR="00274D29" w:rsidRPr="003013B1" w:rsidRDefault="00274D29" w:rsidP="00274D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IOC/A-33/3.4.3.Doc(1)</w:t>
    </w:r>
  </w:p>
  <w:p w14:paraId="48CFB6B2" w14:textId="4114BB2C" w:rsidR="00491E5E" w:rsidRPr="00274D29" w:rsidRDefault="00274D29" w:rsidP="00274D29">
    <w:pPr>
      <w:pStyle w:val="Header"/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B15"/>
    <w:multiLevelType w:val="hybridMultilevel"/>
    <w:tmpl w:val="A248524C"/>
    <w:lvl w:ilvl="0" w:tplc="00DC5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89E"/>
    <w:multiLevelType w:val="multilevel"/>
    <w:tmpl w:val="182CB09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77BA7"/>
    <w:multiLevelType w:val="hybridMultilevel"/>
    <w:tmpl w:val="F4120260"/>
    <w:lvl w:ilvl="0" w:tplc="87A09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73D77"/>
    <w:multiLevelType w:val="hybridMultilevel"/>
    <w:tmpl w:val="73C49278"/>
    <w:lvl w:ilvl="0" w:tplc="D212B11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45757">
    <w:abstractNumId w:val="1"/>
  </w:num>
  <w:num w:numId="2" w16cid:durableId="408232394">
    <w:abstractNumId w:val="3"/>
  </w:num>
  <w:num w:numId="3" w16cid:durableId="1670716040">
    <w:abstractNumId w:val="0"/>
  </w:num>
  <w:num w:numId="4" w16cid:durableId="41821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5E"/>
    <w:rsid w:val="00113A81"/>
    <w:rsid w:val="00113F28"/>
    <w:rsid w:val="00205C36"/>
    <w:rsid w:val="00274D29"/>
    <w:rsid w:val="002B0DCC"/>
    <w:rsid w:val="003013B1"/>
    <w:rsid w:val="003669F3"/>
    <w:rsid w:val="00491E5E"/>
    <w:rsid w:val="004C47FA"/>
    <w:rsid w:val="004C5143"/>
    <w:rsid w:val="00572AAF"/>
    <w:rsid w:val="007F78E8"/>
    <w:rsid w:val="009673DC"/>
    <w:rsid w:val="00D20509"/>
    <w:rsid w:val="00E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7DF4B"/>
  <w15:docId w15:val="{C470D5E2-A78C-4302-8BD8-7EB4B0B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smallCap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1134" w:hanging="567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56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013B1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B1"/>
  </w:style>
  <w:style w:type="paragraph" w:styleId="Revision">
    <w:name w:val="Revision"/>
    <w:hidden/>
    <w:uiPriority w:val="99"/>
    <w:semiHidden/>
    <w:rsid w:val="003013B1"/>
    <w:pPr>
      <w:tabs>
        <w:tab w:val="clear" w:pos="567"/>
      </w:tabs>
    </w:pPr>
  </w:style>
  <w:style w:type="paragraph" w:styleId="ListParagraph">
    <w:name w:val="List Paragraph"/>
    <w:basedOn w:val="Normal"/>
    <w:uiPriority w:val="34"/>
    <w:qFormat/>
    <w:rsid w:val="00113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74D29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oceanexpert.org/document/354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ceanexpert.org/document/35428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de.org/resources/ioc-data-policy-and-terms-of-use-2023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goosocean.org/what-we-do/2030-strateg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unesdoc.unesco.org/ark:/48223/pf0000377082.locale=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1505</Words>
  <Characters>8279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2</cp:revision>
  <cp:lastPrinted>2025-05-20T15:00:00Z</cp:lastPrinted>
  <dcterms:created xsi:type="dcterms:W3CDTF">2025-05-26T08:07:00Z</dcterms:created>
  <dcterms:modified xsi:type="dcterms:W3CDTF">2025-05-26T08:07:00Z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