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4464" w14:textId="7B227DFE" w:rsidR="0014571A" w:rsidRDefault="0014571A">
      <w:pPr>
        <w:pStyle w:val="Heading3"/>
        <w:widowControl w:val="0"/>
        <w:spacing w:line="276" w:lineRule="auto"/>
        <w:jc w:val="center"/>
      </w:pPr>
    </w:p>
    <w:tbl>
      <w:tblPr>
        <w:tblStyle w:val="1"/>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14571A" w14:paraId="0B9F2E5F" w14:textId="77777777">
        <w:trPr>
          <w:jc w:val="center"/>
        </w:trPr>
        <w:tc>
          <w:tcPr>
            <w:tcW w:w="7654" w:type="dxa"/>
            <w:tcMar>
              <w:top w:w="170" w:type="dxa"/>
              <w:left w:w="170" w:type="dxa"/>
              <w:bottom w:w="170" w:type="dxa"/>
              <w:right w:w="170" w:type="dxa"/>
            </w:tcMar>
          </w:tcPr>
          <w:p w14:paraId="5941D024" w14:textId="77777777" w:rsidR="0014571A" w:rsidRDefault="00DA2532">
            <w:pPr>
              <w:pBdr>
                <w:top w:val="nil"/>
                <w:left w:val="nil"/>
                <w:bottom w:val="nil"/>
                <w:right w:val="nil"/>
                <w:between w:val="nil"/>
              </w:pBdr>
              <w:spacing w:after="240"/>
              <w:jc w:val="center"/>
              <w:rPr>
                <w:color w:val="000000"/>
              </w:rPr>
            </w:pPr>
            <w:r>
              <w:rPr>
                <w:color w:val="000000"/>
                <w:u w:val="single"/>
              </w:rPr>
              <w:t>Summary</w:t>
            </w:r>
          </w:p>
          <w:p w14:paraId="4CDAC8B3" w14:textId="6EFF364B" w:rsidR="0014571A" w:rsidRDefault="00DA2532">
            <w:pPr>
              <w:pBdr>
                <w:top w:val="nil"/>
                <w:left w:val="nil"/>
                <w:bottom w:val="nil"/>
                <w:right w:val="nil"/>
                <w:between w:val="nil"/>
              </w:pBdr>
              <w:spacing w:after="120"/>
              <w:jc w:val="both"/>
              <w:rPr>
                <w:color w:val="000000"/>
              </w:rPr>
            </w:pPr>
            <w:r>
              <w:t xml:space="preserve">The GOOS mandate </w:t>
            </w:r>
            <w:proofErr w:type="gramStart"/>
            <w:r w:rsidR="009F0F2D">
              <w:t>dates back to</w:t>
            </w:r>
            <w:proofErr w:type="gramEnd"/>
            <w:r w:rsidR="00DB694B">
              <w:t xml:space="preserve"> </w:t>
            </w:r>
            <w:r>
              <w:t>2012</w:t>
            </w:r>
            <w:r w:rsidR="00DB694B">
              <w:t xml:space="preserve">, with </w:t>
            </w:r>
            <w:hyperlink r:id="rId8">
              <w:r w:rsidR="0014571A">
                <w:rPr>
                  <w:color w:val="1155CC"/>
                  <w:u w:val="single"/>
                </w:rPr>
                <w:t>Resolution XXVI-8</w:t>
              </w:r>
            </w:hyperlink>
            <w:r w:rsidR="009F0F2D">
              <w:t>,</w:t>
            </w:r>
            <w:r>
              <w:t xml:space="preserve"> which also </w:t>
            </w:r>
            <w:r w:rsidR="00DB694B">
              <w:t>defines</w:t>
            </w:r>
            <w:r>
              <w:t xml:space="preserve"> the terms of reference for its Steering Committee. The resolution mandates the GOOS</w:t>
            </w:r>
            <w:r w:rsidR="00DB694B">
              <w:t>-</w:t>
            </w:r>
            <w:r>
              <w:t xml:space="preserve">SC to </w:t>
            </w:r>
            <w:r w:rsidR="00DB694B">
              <w:t>develop</w:t>
            </w:r>
            <w:r>
              <w:t xml:space="preserve"> a biennial </w:t>
            </w:r>
            <w:r w:rsidR="00DB694B">
              <w:t>w</w:t>
            </w:r>
            <w:r>
              <w:t xml:space="preserve">orkplan for consideration </w:t>
            </w:r>
            <w:r w:rsidR="00DB694B">
              <w:t>of</w:t>
            </w:r>
            <w:r>
              <w:t xml:space="preserve"> the IOC Governing Bodies and adoption by the Assembly.</w:t>
            </w:r>
          </w:p>
          <w:p w14:paraId="005249C8" w14:textId="6C81F6E1" w:rsidR="0014571A" w:rsidRDefault="00DA2532">
            <w:pPr>
              <w:pBdr>
                <w:top w:val="nil"/>
                <w:left w:val="nil"/>
                <w:bottom w:val="nil"/>
                <w:right w:val="nil"/>
                <w:between w:val="nil"/>
              </w:pBdr>
              <w:spacing w:after="120"/>
              <w:jc w:val="both"/>
              <w:rPr>
                <w:color w:val="000000"/>
              </w:rPr>
            </w:pPr>
            <w:r w:rsidRPr="00DB694B">
              <w:t>This document</w:t>
            </w:r>
            <w:r>
              <w:t xml:space="preserve"> provides an outline of the GOOS</w:t>
            </w:r>
            <w:r w:rsidR="00DB694B">
              <w:t>-</w:t>
            </w:r>
            <w:r>
              <w:t xml:space="preserve">SC workplan </w:t>
            </w:r>
            <w:r w:rsidR="00DB694B">
              <w:t xml:space="preserve">for </w:t>
            </w:r>
            <w:r>
              <w:t>2025</w:t>
            </w:r>
            <w:r w:rsidR="00DB694B">
              <w:t>–</w:t>
            </w:r>
            <w:r>
              <w:t xml:space="preserve">2027 and </w:t>
            </w:r>
            <w:r w:rsidR="00DB694B">
              <w:t xml:space="preserve">the </w:t>
            </w:r>
            <w:r>
              <w:t xml:space="preserve">resource </w:t>
            </w:r>
            <w:r w:rsidR="00DB694B">
              <w:t xml:space="preserve">required; </w:t>
            </w:r>
            <w:r>
              <w:t xml:space="preserve">as determined </w:t>
            </w:r>
            <w:r w:rsidR="00DB694B">
              <w:t xml:space="preserve">by GOOS-SC </w:t>
            </w:r>
            <w:r>
              <w:t xml:space="preserve">at </w:t>
            </w:r>
            <w:r w:rsidR="00DB694B">
              <w:t>its</w:t>
            </w:r>
            <w:r>
              <w:t xml:space="preserve"> </w:t>
            </w:r>
            <w:r w:rsidR="00DB694B">
              <w:t>14th</w:t>
            </w:r>
            <w:r>
              <w:t xml:space="preserve"> session (SC-14). </w:t>
            </w:r>
          </w:p>
          <w:p w14:paraId="6FE52D75" w14:textId="58FCEC92" w:rsidR="0014571A" w:rsidRDefault="00DA2532">
            <w:pPr>
              <w:pBdr>
                <w:top w:val="nil"/>
                <w:left w:val="nil"/>
                <w:bottom w:val="nil"/>
                <w:right w:val="nil"/>
                <w:between w:val="nil"/>
              </w:pBdr>
              <w:spacing w:after="120"/>
              <w:jc w:val="both"/>
              <w:rPr>
                <w:color w:val="000000"/>
              </w:rPr>
            </w:pPr>
            <w:r>
              <w:rPr>
                <w:color w:val="000000"/>
                <w:u w:val="single"/>
              </w:rPr>
              <w:t>Financial and administrative implications</w:t>
            </w:r>
            <w:r w:rsidR="00942637" w:rsidRPr="00942637">
              <w:rPr>
                <w:color w:val="000000"/>
              </w:rPr>
              <w:t>:</w:t>
            </w:r>
            <w:r>
              <w:rPr>
                <w:color w:val="000000"/>
              </w:rPr>
              <w:t xml:space="preserve"> paragraphs </w:t>
            </w:r>
            <w:r w:rsidRPr="0020080F">
              <w:t>2</w:t>
            </w:r>
            <w:r w:rsidR="0020080F" w:rsidRPr="0020080F">
              <w:t>4</w:t>
            </w:r>
            <w:r w:rsidRPr="0020080F">
              <w:t>-2</w:t>
            </w:r>
            <w:r w:rsidR="0020080F">
              <w:t>5</w:t>
            </w:r>
            <w:r>
              <w:t>.</w:t>
            </w:r>
          </w:p>
          <w:p w14:paraId="1CF20464" w14:textId="61C9D6F1" w:rsidR="0014571A" w:rsidRDefault="00DA2532">
            <w:pPr>
              <w:pBdr>
                <w:top w:val="nil"/>
                <w:left w:val="nil"/>
                <w:bottom w:val="nil"/>
                <w:right w:val="nil"/>
                <w:between w:val="nil"/>
              </w:pBdr>
              <w:spacing w:after="120"/>
              <w:jc w:val="both"/>
              <w:rPr>
                <w:color w:val="000000"/>
              </w:rPr>
            </w:pPr>
            <w:r>
              <w:rPr>
                <w:color w:val="000000"/>
                <w:u w:val="single"/>
              </w:rPr>
              <w:t>The proposed decision</w:t>
            </w:r>
            <w:r>
              <w:rPr>
                <w:color w:val="000000"/>
              </w:rPr>
              <w:t xml:space="preserve"> is referenced A-33/Dec.4.5.2 in the Action Paper (document </w:t>
            </w:r>
            <w:hyperlink r:id="rId9" w:history="1">
              <w:r w:rsidRPr="00942637">
                <w:rPr>
                  <w:rStyle w:val="Hyperlink"/>
                </w:rPr>
                <w:t>IOC/A-33/2 Prov.</w:t>
              </w:r>
            </w:hyperlink>
            <w:r>
              <w:rPr>
                <w:color w:val="000000"/>
              </w:rPr>
              <w:t>)</w:t>
            </w:r>
          </w:p>
        </w:tc>
      </w:tr>
    </w:tbl>
    <w:p w14:paraId="6CF8C5B2" w14:textId="77777777" w:rsidR="00DB694B" w:rsidRDefault="00DB694B">
      <w:pPr>
        <w:pStyle w:val="Heading3"/>
      </w:pPr>
    </w:p>
    <w:p w14:paraId="0C6DE73B" w14:textId="77777777" w:rsidR="00DB694B" w:rsidRDefault="00DB694B">
      <w:pPr>
        <w:rPr>
          <w:b/>
        </w:rPr>
      </w:pPr>
      <w:r>
        <w:br w:type="page"/>
      </w:r>
    </w:p>
    <w:p w14:paraId="6CB11232" w14:textId="1EC526CA" w:rsidR="0014571A" w:rsidRDefault="00DA2532">
      <w:pPr>
        <w:pStyle w:val="Heading3"/>
      </w:pPr>
      <w:r>
        <w:lastRenderedPageBreak/>
        <w:t>Introduction</w:t>
      </w:r>
    </w:p>
    <w:p w14:paraId="60140B5D" w14:textId="48F32DAC" w:rsidR="0014571A" w:rsidRDefault="00DA2532" w:rsidP="00942637">
      <w:pPr>
        <w:numPr>
          <w:ilvl w:val="0"/>
          <w:numId w:val="2"/>
        </w:numPr>
        <w:tabs>
          <w:tab w:val="clear" w:pos="567"/>
          <w:tab w:val="left" w:pos="709"/>
          <w:tab w:val="left" w:pos="1134"/>
        </w:tabs>
        <w:spacing w:after="240"/>
        <w:jc w:val="both"/>
      </w:pPr>
      <w:r>
        <w:t>In 2024, the Executive Secretary reconstituted the 10 executive members of the GOOS Steering Committee (SC)</w:t>
      </w:r>
      <w:r w:rsidR="00DB694B">
        <w:t>,</w:t>
      </w:r>
      <w:r>
        <w:t xml:space="preserve"> who joined the five serving regional representatives that were elected in 2023 at the 32nd </w:t>
      </w:r>
      <w:r w:rsidR="00DB694B">
        <w:t>session</w:t>
      </w:r>
      <w:r>
        <w:t xml:space="preserve"> of the Assembly. The Steering Committee elected its two co-chairs in August 2024: David Legler (NOAA, USA) and Balakrishnan Nair (INCOIS, India).</w:t>
      </w:r>
    </w:p>
    <w:p w14:paraId="7C04CAB8" w14:textId="41E92ACE" w:rsidR="0014571A" w:rsidRDefault="00DA2532" w:rsidP="00942637">
      <w:pPr>
        <w:numPr>
          <w:ilvl w:val="0"/>
          <w:numId w:val="2"/>
        </w:numPr>
        <w:tabs>
          <w:tab w:val="clear" w:pos="567"/>
          <w:tab w:val="left" w:pos="709"/>
          <w:tab w:val="left" w:pos="1134"/>
        </w:tabs>
        <w:spacing w:after="240"/>
        <w:jc w:val="both"/>
      </w:pPr>
      <w:r>
        <w:t xml:space="preserve">The GOOS Steering Committee held its </w:t>
      </w:r>
      <w:r w:rsidR="00DB694B">
        <w:t>14th</w:t>
      </w:r>
      <w:r>
        <w:t xml:space="preserve"> session, </w:t>
      </w:r>
      <w:hyperlink r:id="rId10">
        <w:r w:rsidR="0014571A">
          <w:rPr>
            <w:color w:val="1155CC"/>
            <w:u w:val="single"/>
          </w:rPr>
          <w:t>GOOS SC-14</w:t>
        </w:r>
      </w:hyperlink>
      <w:r>
        <w:t>, on 19</w:t>
      </w:r>
      <w:r w:rsidR="00B37CB5">
        <w:t>–</w:t>
      </w:r>
      <w:r>
        <w:t xml:space="preserve">21 February 2025 at UNESCO, Paris. The SC-14 </w:t>
      </w:r>
      <w:r w:rsidR="00B37CB5">
        <w:t>r</w:t>
      </w:r>
      <w:r>
        <w:t xml:space="preserve">eport is </w:t>
      </w:r>
      <w:r w:rsidR="00BF5FA1">
        <w:t>available</w:t>
      </w:r>
      <w:r w:rsidR="00B37CB5">
        <w:t xml:space="preserve"> as </w:t>
      </w:r>
      <w:hyperlink r:id="rId11" w:history="1">
        <w:r w:rsidR="00B37CB5" w:rsidRPr="00B37CB5">
          <w:rPr>
            <w:rStyle w:val="Hyperlink"/>
          </w:rPr>
          <w:t>GOOS-305</w:t>
        </w:r>
      </w:hyperlink>
      <w:r w:rsidR="00BF5FA1">
        <w:t xml:space="preserve"> for the consideration of the Assembly to which it reports</w:t>
      </w:r>
      <w:r>
        <w:t xml:space="preserve">. </w:t>
      </w:r>
    </w:p>
    <w:p w14:paraId="5EE1F02D" w14:textId="055C463B" w:rsidR="0014571A" w:rsidRDefault="00DA2532" w:rsidP="00942637">
      <w:pPr>
        <w:numPr>
          <w:ilvl w:val="0"/>
          <w:numId w:val="2"/>
        </w:numPr>
        <w:tabs>
          <w:tab w:val="clear" w:pos="567"/>
          <w:tab w:val="left" w:pos="709"/>
          <w:tab w:val="left" w:pos="1134"/>
        </w:tabs>
        <w:spacing w:after="240"/>
        <w:jc w:val="both"/>
      </w:pPr>
      <w:r>
        <w:t xml:space="preserve">The </w:t>
      </w:r>
      <w:r w:rsidR="008A235A">
        <w:t>GOOS-</w:t>
      </w:r>
      <w:r>
        <w:t xml:space="preserve">SC co-chairs identified that the SC, </w:t>
      </w:r>
      <w:r w:rsidR="008A235A">
        <w:t xml:space="preserve">in accordance with </w:t>
      </w:r>
      <w:r>
        <w:t xml:space="preserve">its mandate and </w:t>
      </w:r>
      <w:r w:rsidR="008A235A">
        <w:t xml:space="preserve">taking </w:t>
      </w:r>
      <w:r>
        <w:t>in</w:t>
      </w:r>
      <w:r w:rsidR="008A235A">
        <w:t>to</w:t>
      </w:r>
      <w:r>
        <w:t xml:space="preserve"> consideration the </w:t>
      </w:r>
      <w:hyperlink r:id="rId12">
        <w:r w:rsidR="0014571A" w:rsidRPr="008A235A">
          <w:rPr>
            <w:i/>
            <w:iCs/>
            <w:color w:val="0563C1"/>
            <w:u w:val="single"/>
          </w:rPr>
          <w:t xml:space="preserve">GOOS </w:t>
        </w:r>
        <w:r w:rsidR="008A235A" w:rsidRPr="008A235A">
          <w:rPr>
            <w:i/>
            <w:iCs/>
            <w:color w:val="0563C1"/>
            <w:u w:val="single"/>
          </w:rPr>
          <w:t xml:space="preserve">2030 </w:t>
        </w:r>
        <w:r w:rsidR="0014571A" w:rsidRPr="008A235A">
          <w:rPr>
            <w:i/>
            <w:iCs/>
            <w:color w:val="0563C1"/>
            <w:u w:val="single"/>
          </w:rPr>
          <w:t>Strategy</w:t>
        </w:r>
      </w:hyperlink>
      <w:r>
        <w:t xml:space="preserve"> (2019) and the </w:t>
      </w:r>
      <w:hyperlink r:id="rId13">
        <w:r w:rsidR="0014571A" w:rsidRPr="008A235A">
          <w:rPr>
            <w:i/>
            <w:iCs/>
            <w:color w:val="1155CC"/>
            <w:u w:val="single"/>
          </w:rPr>
          <w:t>Framework for Ocean Observ</w:t>
        </w:r>
        <w:r w:rsidR="008A235A" w:rsidRPr="008A235A">
          <w:rPr>
            <w:i/>
            <w:iCs/>
            <w:color w:val="1155CC"/>
            <w:u w:val="single"/>
          </w:rPr>
          <w:t>ing</w:t>
        </w:r>
      </w:hyperlink>
      <w:r>
        <w:t xml:space="preserve"> (2012), will focus </w:t>
      </w:r>
      <w:r w:rsidR="008A235A">
        <w:t>during</w:t>
      </w:r>
      <w:r>
        <w:t xml:space="preserve"> the next biennium on clear decision</w:t>
      </w:r>
      <w:r w:rsidR="00C5122A">
        <w:t>-</w:t>
      </w:r>
      <w:r>
        <w:t xml:space="preserve">making and </w:t>
      </w:r>
      <w:r w:rsidR="00C5122A">
        <w:t xml:space="preserve">the </w:t>
      </w:r>
      <w:r>
        <w:t xml:space="preserve">identification of strategic actions </w:t>
      </w:r>
      <w:r w:rsidR="00C5122A">
        <w:t>for</w:t>
      </w:r>
      <w:r>
        <w:t xml:space="preserve"> a multipurpose and sustained observation system, including transparent </w:t>
      </w:r>
      <w:r w:rsidR="00C5122A">
        <w:t xml:space="preserve">improvements and changes at the </w:t>
      </w:r>
      <w:r>
        <w:t xml:space="preserve">organizational and process </w:t>
      </w:r>
      <w:r w:rsidR="00C5122A">
        <w:t>levels</w:t>
      </w:r>
      <w:r>
        <w:t xml:space="preserve">, </w:t>
      </w:r>
      <w:r w:rsidR="00C5122A">
        <w:t xml:space="preserve">in order </w:t>
      </w:r>
      <w:r>
        <w:t xml:space="preserve">to support Member States and the multi-user community of GOOS. </w:t>
      </w:r>
    </w:p>
    <w:p w14:paraId="1CC7C797" w14:textId="511DDE7F" w:rsidR="0014571A" w:rsidRDefault="00DA2532" w:rsidP="00942637">
      <w:pPr>
        <w:numPr>
          <w:ilvl w:val="0"/>
          <w:numId w:val="2"/>
        </w:numPr>
        <w:tabs>
          <w:tab w:val="clear" w:pos="567"/>
          <w:tab w:val="left" w:pos="709"/>
          <w:tab w:val="left" w:pos="1134"/>
        </w:tabs>
        <w:spacing w:after="240"/>
        <w:jc w:val="both"/>
      </w:pPr>
      <w:r>
        <w:t>The GOOS</w:t>
      </w:r>
      <w:r w:rsidR="00C5122A">
        <w:t>-</w:t>
      </w:r>
      <w:r>
        <w:t>SC recognise</w:t>
      </w:r>
      <w:r w:rsidR="00C5122A">
        <w:t>s</w:t>
      </w:r>
      <w:r>
        <w:t xml:space="preserve"> the need to ensure that GOOS work </w:t>
      </w:r>
      <w:r w:rsidR="00C5122A">
        <w:t>meets</w:t>
      </w:r>
      <w:r>
        <w:t xml:space="preserve"> the</w:t>
      </w:r>
      <w:r w:rsidR="00C5122A">
        <w:t xml:space="preserve"> r</w:t>
      </w:r>
      <w:r>
        <w:t>elevant mandates of its sponsors</w:t>
      </w:r>
      <w:r w:rsidR="00C5122A">
        <w:t>,</w:t>
      </w:r>
      <w:r>
        <w:t xml:space="preserve"> including the </w:t>
      </w:r>
      <w:r w:rsidR="00C5122A">
        <w:t>‘</w:t>
      </w:r>
      <w:r>
        <w:t>IOC Medium Term Strategy</w:t>
      </w:r>
      <w:r w:rsidR="00C5122A">
        <w:t>’</w:t>
      </w:r>
      <w:r>
        <w:t xml:space="preserve">, </w:t>
      </w:r>
      <w:r w:rsidR="00C5122A">
        <w:t>the ‘</w:t>
      </w:r>
      <w:r>
        <w:t>WMO Rolling Review of Requirements</w:t>
      </w:r>
      <w:r w:rsidR="00C5122A">
        <w:t>’</w:t>
      </w:r>
      <w:r>
        <w:t xml:space="preserve">, </w:t>
      </w:r>
      <w:r w:rsidR="00C5122A">
        <w:t xml:space="preserve">the </w:t>
      </w:r>
      <w:r>
        <w:t xml:space="preserve">Joint </w:t>
      </w:r>
      <w:r w:rsidR="00C5122A">
        <w:t xml:space="preserve">WMO-IOC </w:t>
      </w:r>
      <w:r>
        <w:t>Collaborative Board</w:t>
      </w:r>
      <w:r w:rsidR="00C5122A">
        <w:t>,</w:t>
      </w:r>
      <w:r>
        <w:t xml:space="preserve"> as well as </w:t>
      </w:r>
      <w:r w:rsidR="00C5122A">
        <w:t>future</w:t>
      </w:r>
      <w:r>
        <w:t xml:space="preserve"> plans that </w:t>
      </w:r>
      <w:r w:rsidR="00C5122A">
        <w:t>build</w:t>
      </w:r>
      <w:r>
        <w:t xml:space="preserve"> on GOOS, including the </w:t>
      </w:r>
      <w:r w:rsidR="00C5122A">
        <w:t xml:space="preserve">Implementation Plan for the </w:t>
      </w:r>
      <w:r>
        <w:t>IOC-wide Strategy on Sustainable Ocean Planning and Management</w:t>
      </w:r>
      <w:r w:rsidR="00C5122A">
        <w:t xml:space="preserve"> (see </w:t>
      </w:r>
      <w:r w:rsidR="00E43541">
        <w:t xml:space="preserve">agenda </w:t>
      </w:r>
      <w:r w:rsidR="00C5122A">
        <w:t xml:space="preserve">item </w:t>
      </w:r>
      <w:r>
        <w:t>4.1).</w:t>
      </w:r>
    </w:p>
    <w:p w14:paraId="3740AC25" w14:textId="366235B2" w:rsidR="0014571A" w:rsidRDefault="00DA2532" w:rsidP="00942637">
      <w:pPr>
        <w:numPr>
          <w:ilvl w:val="0"/>
          <w:numId w:val="2"/>
        </w:numPr>
        <w:tabs>
          <w:tab w:val="clear" w:pos="567"/>
          <w:tab w:val="left" w:pos="709"/>
          <w:tab w:val="left" w:pos="1134"/>
        </w:tabs>
        <w:spacing w:after="240"/>
        <w:jc w:val="both"/>
      </w:pPr>
      <w:r>
        <w:t xml:space="preserve">The GOOS-SC </w:t>
      </w:r>
      <w:r w:rsidR="0061553B">
        <w:t xml:space="preserve">has </w:t>
      </w:r>
      <w:r>
        <w:t>identified six sections in the workplan for 2025–2027: (i) GOOS coordination and management; (ii) observation system integration, design, development and delivery; (iii) maintain and strengthen data integration and delivery; (iv) system implementation: (a) at national and regional levels and (b) for societal applications; (v) outreach: (a) projects and partners and (b) communications; and (vi) GOOS Reform</w:t>
      </w:r>
      <w:r w:rsidR="0061553B">
        <w:t xml:space="preserve"> (see </w:t>
      </w:r>
      <w:r w:rsidR="00E43541">
        <w:t xml:space="preserve">agenda </w:t>
      </w:r>
      <w:r w:rsidR="0061553B">
        <w:t>item 4.5.1)</w:t>
      </w:r>
      <w:r>
        <w:t xml:space="preserve">. The key actions are indicated below for each section. Resources </w:t>
      </w:r>
      <w:r w:rsidR="0061553B">
        <w:t>allocated to</w:t>
      </w:r>
      <w:r>
        <w:t xml:space="preserve"> GOOS are fragile</w:t>
      </w:r>
      <w:r w:rsidR="0061553B">
        <w:t>,</w:t>
      </w:r>
      <w:r>
        <w:t xml:space="preserve"> both for the system and its coordination. This document indicates current </w:t>
      </w:r>
      <w:r w:rsidR="0061553B">
        <w:t xml:space="preserve">minimum </w:t>
      </w:r>
      <w:r>
        <w:t xml:space="preserve">additional resource needs for the coordination of the GOOS workplan deliverables by the IOC secretariat. </w:t>
      </w:r>
      <w:r w:rsidR="0061553B">
        <w:t>The r</w:t>
      </w:r>
      <w:r>
        <w:t>esource need</w:t>
      </w:r>
      <w:r w:rsidR="0061553B">
        <w:t>ed</w:t>
      </w:r>
      <w:r>
        <w:t xml:space="preserve"> for </w:t>
      </w:r>
      <w:r w:rsidR="0061553B">
        <w:t xml:space="preserve">the implementation of the </w:t>
      </w:r>
      <w:r>
        <w:t xml:space="preserve">global system are not </w:t>
      </w:r>
      <w:r w:rsidR="0061553B">
        <w:t xml:space="preserve">currently </w:t>
      </w:r>
      <w:r>
        <w:t xml:space="preserve">covered. </w:t>
      </w:r>
    </w:p>
    <w:p w14:paraId="4718DB70" w14:textId="2ABB3BBC" w:rsidR="0014571A" w:rsidRDefault="00DA2532">
      <w:pPr>
        <w:pBdr>
          <w:top w:val="nil"/>
          <w:left w:val="nil"/>
          <w:bottom w:val="nil"/>
          <w:right w:val="nil"/>
          <w:between w:val="nil"/>
        </w:pBdr>
        <w:tabs>
          <w:tab w:val="left" w:pos="709"/>
        </w:tabs>
        <w:spacing w:after="240"/>
        <w:jc w:val="both"/>
        <w:rPr>
          <w:b/>
        </w:rPr>
      </w:pPr>
      <w:r>
        <w:rPr>
          <w:b/>
        </w:rPr>
        <w:t>Workplan 2025</w:t>
      </w:r>
      <w:r w:rsidR="00BF5FA1">
        <w:rPr>
          <w:b/>
        </w:rPr>
        <w:t>–</w:t>
      </w:r>
      <w:r>
        <w:rPr>
          <w:b/>
        </w:rPr>
        <w:t>2027</w:t>
      </w:r>
    </w:p>
    <w:p w14:paraId="1FA722EB" w14:textId="5849F605" w:rsidR="0014571A" w:rsidRPr="003663A2" w:rsidRDefault="00DA2532" w:rsidP="0061553B">
      <w:pPr>
        <w:pStyle w:val="ListParagraph"/>
        <w:numPr>
          <w:ilvl w:val="0"/>
          <w:numId w:val="3"/>
        </w:numPr>
        <w:pBdr>
          <w:top w:val="nil"/>
          <w:left w:val="nil"/>
          <w:bottom w:val="nil"/>
          <w:right w:val="nil"/>
          <w:between w:val="nil"/>
        </w:pBdr>
        <w:tabs>
          <w:tab w:val="left" w:pos="709"/>
        </w:tabs>
        <w:spacing w:after="200"/>
        <w:ind w:left="709"/>
        <w:jc w:val="both"/>
        <w:rPr>
          <w:b/>
          <w:u w:val="single"/>
        </w:rPr>
      </w:pPr>
      <w:r w:rsidRPr="003663A2">
        <w:rPr>
          <w:b/>
          <w:u w:val="single"/>
        </w:rPr>
        <w:t>GOOS coordination and management</w:t>
      </w:r>
    </w:p>
    <w:p w14:paraId="69F352EE" w14:textId="006B43EA" w:rsidR="0014571A" w:rsidRDefault="00DA2532" w:rsidP="00942637">
      <w:pPr>
        <w:numPr>
          <w:ilvl w:val="0"/>
          <w:numId w:val="2"/>
        </w:numPr>
        <w:tabs>
          <w:tab w:val="clear" w:pos="567"/>
          <w:tab w:val="left" w:pos="709"/>
          <w:tab w:val="left" w:pos="1134"/>
        </w:tabs>
        <w:spacing w:after="240"/>
        <w:jc w:val="both"/>
      </w:pPr>
      <w:r w:rsidRPr="003663A2">
        <w:rPr>
          <w:u w:val="single"/>
        </w:rPr>
        <w:t>Overview</w:t>
      </w:r>
      <w:r>
        <w:t>: The GOOS Management Team (GMT) lead</w:t>
      </w:r>
      <w:r w:rsidR="0061553B">
        <w:t>s</w:t>
      </w:r>
      <w:r>
        <w:t xml:space="preserve"> GOOS and its components, advance</w:t>
      </w:r>
      <w:r w:rsidR="0061553B">
        <w:t>s</w:t>
      </w:r>
      <w:r>
        <w:t xml:space="preserve"> and </w:t>
      </w:r>
      <w:r w:rsidR="00AC0AE4">
        <w:t>implements</w:t>
      </w:r>
      <w:r>
        <w:t xml:space="preserve"> the </w:t>
      </w:r>
      <w:r w:rsidR="00AC0AE4">
        <w:t>objectives</w:t>
      </w:r>
      <w:r>
        <w:t xml:space="preserve"> of the GOOS Strategy, and </w:t>
      </w:r>
      <w:r w:rsidR="00AC0AE4">
        <w:t>build</w:t>
      </w:r>
      <w:r>
        <w:t xml:space="preserve"> the partnerships </w:t>
      </w:r>
      <w:r w:rsidR="00AC0AE4">
        <w:t xml:space="preserve">necessary </w:t>
      </w:r>
      <w:r>
        <w:t xml:space="preserve">to </w:t>
      </w:r>
      <w:r w:rsidR="00AC0AE4">
        <w:t>develop</w:t>
      </w:r>
      <w:r>
        <w:t xml:space="preserve"> an integrated, responsive and sustained observing system. The GMT consists of the core team at the IOC secretariat, 4 established posts (</w:t>
      </w:r>
      <w:r w:rsidR="00AC0AE4">
        <w:t>in the current Programme and Budget—</w:t>
      </w:r>
      <w:r>
        <w:t>42</w:t>
      </w:r>
      <w:r w:rsidR="00AC0AE4">
        <w:t> </w:t>
      </w:r>
      <w:r>
        <w:t>C/5) and 9 affiliate posts (R</w:t>
      </w:r>
      <w:r w:rsidR="00AC0AE4">
        <w:t xml:space="preserve">egular </w:t>
      </w:r>
      <w:r>
        <w:t>P</w:t>
      </w:r>
      <w:r w:rsidR="00AC0AE4">
        <w:t>rogramme</w:t>
      </w:r>
      <w:r>
        <w:t>/extrabudgetary/external project</w:t>
      </w:r>
      <w:r w:rsidR="00AC0AE4">
        <w:t xml:space="preserve"> </w:t>
      </w:r>
      <w:r>
        <w:t>fund</w:t>
      </w:r>
      <w:r w:rsidR="00AC0AE4">
        <w:t>s)</w:t>
      </w:r>
      <w:r>
        <w:t xml:space="preserve">, as well as </w:t>
      </w:r>
      <w:r w:rsidR="00AC0AE4">
        <w:t>other</w:t>
      </w:r>
      <w:r>
        <w:t xml:space="preserve"> members </w:t>
      </w:r>
      <w:r w:rsidR="00AC0AE4">
        <w:t xml:space="preserve">in-kind </w:t>
      </w:r>
      <w:r>
        <w:t>(including representatives from the International Ocean Carbon Coordination Project, NOAA, OceanOPS and WMO).</w:t>
      </w:r>
    </w:p>
    <w:p w14:paraId="36C17231" w14:textId="4802228C" w:rsidR="0014571A" w:rsidRDefault="00DA2532" w:rsidP="00942637">
      <w:pPr>
        <w:numPr>
          <w:ilvl w:val="0"/>
          <w:numId w:val="2"/>
        </w:numPr>
        <w:tabs>
          <w:tab w:val="clear" w:pos="567"/>
          <w:tab w:val="left" w:pos="709"/>
          <w:tab w:val="left" w:pos="1134"/>
        </w:tabs>
        <w:spacing w:after="240"/>
        <w:jc w:val="both"/>
      </w:pPr>
      <w:r w:rsidRPr="003663A2">
        <w:rPr>
          <w:u w:val="single"/>
        </w:rPr>
        <w:t>Actions</w:t>
      </w:r>
      <w:r>
        <w:t>: management, integration, coordination, reporting and outreach of GOOS; collaboration and engagement with all GOOS components (Steering Committee, expert panels, Observations Coordination Group (OCG), OceanOPS, regional alliances, national focal points, Expert team on Operational and Ocean Forecasting Systems), sponsors (IOC, WMO, ISC and UNEP), Global Climate Observing System, partners, stakeholders, GOOS Projects, Ocean Decade Programmes, and communities of practice; ensuring coherence with IOC and other relevant mandates and supporting Member States and wider U</w:t>
      </w:r>
      <w:r w:rsidR="000152FD">
        <w:t>nited Nation System as a whole</w:t>
      </w:r>
      <w:r>
        <w:t xml:space="preserve"> </w:t>
      </w:r>
    </w:p>
    <w:p w14:paraId="364693B3" w14:textId="09266A17" w:rsidR="0014571A" w:rsidRDefault="00DA2532" w:rsidP="00D45482">
      <w:pPr>
        <w:numPr>
          <w:ilvl w:val="0"/>
          <w:numId w:val="2"/>
        </w:numPr>
        <w:tabs>
          <w:tab w:val="clear" w:pos="567"/>
          <w:tab w:val="left" w:pos="709"/>
          <w:tab w:val="left" w:pos="1134"/>
        </w:tabs>
        <w:spacing w:after="240"/>
        <w:jc w:val="both"/>
      </w:pPr>
      <w:r w:rsidRPr="003663A2">
        <w:rPr>
          <w:u w:val="single"/>
        </w:rPr>
        <w:t>Additional resource needs</w:t>
      </w:r>
      <w:r>
        <w:t xml:space="preserve">: G4 </w:t>
      </w:r>
      <w:r w:rsidR="000152FD">
        <w:t xml:space="preserve">(General Service category) </w:t>
      </w:r>
      <w:r w:rsidR="000152FD" w:rsidRPr="000152FD">
        <w:t xml:space="preserve">Full-Time Equivalent </w:t>
      </w:r>
      <w:r w:rsidR="000152FD">
        <w:t>(</w:t>
      </w:r>
      <w:r>
        <w:t>FTE</w:t>
      </w:r>
      <w:r w:rsidR="000152FD">
        <w:t>)</w:t>
      </w:r>
      <w:r>
        <w:t xml:space="preserve"> administrative assistant</w:t>
      </w:r>
      <w:r w:rsidR="000152FD">
        <w:t>;</w:t>
      </w:r>
      <w:r>
        <w:t xml:space="preserve"> P3 </w:t>
      </w:r>
      <w:r w:rsidR="000152FD">
        <w:t xml:space="preserve">(Professional category) </w:t>
      </w:r>
      <w:r>
        <w:t xml:space="preserve">FTE </w:t>
      </w:r>
      <w:proofErr w:type="spellStart"/>
      <w:r>
        <w:t>BioEco</w:t>
      </w:r>
      <w:proofErr w:type="spellEnd"/>
      <w:r>
        <w:t xml:space="preserve"> Panel scientific officer (currently </w:t>
      </w:r>
      <w:r>
        <w:lastRenderedPageBreak/>
        <w:t xml:space="preserve">covered by </w:t>
      </w:r>
      <w:r w:rsidR="000152FD">
        <w:t>RP (Regular Programme)</w:t>
      </w:r>
      <w:r>
        <w:t xml:space="preserve"> and extrabudgetary resources</w:t>
      </w:r>
      <w:r w:rsidR="000152FD">
        <w:t>;</w:t>
      </w:r>
      <w:r>
        <w:t xml:space="preserve"> P2 Communications officer (currently covered by RP); P2 FTE to support the </w:t>
      </w:r>
      <w:r w:rsidR="000152FD" w:rsidRPr="000152FD">
        <w:rPr>
          <w:bCs/>
          <w:lang w:val="en-US"/>
        </w:rPr>
        <w:t xml:space="preserve">Observations Coordination Group (OCG) </w:t>
      </w:r>
      <w:r>
        <w:t xml:space="preserve">and data management (previously filled through secondments until 2024); and P3 FTE Biogeochemistry (BGC) Panel scientific officer (currently no resources available). </w:t>
      </w:r>
    </w:p>
    <w:p w14:paraId="4C9D01F5" w14:textId="478C1297" w:rsidR="0014571A" w:rsidRPr="003663A2" w:rsidRDefault="00DA2532" w:rsidP="000152FD">
      <w:pPr>
        <w:pStyle w:val="ListParagraph"/>
        <w:numPr>
          <w:ilvl w:val="0"/>
          <w:numId w:val="3"/>
        </w:numPr>
        <w:pBdr>
          <w:top w:val="nil"/>
          <w:left w:val="nil"/>
          <w:bottom w:val="nil"/>
          <w:right w:val="nil"/>
          <w:between w:val="nil"/>
        </w:pBdr>
        <w:tabs>
          <w:tab w:val="left" w:pos="709"/>
        </w:tabs>
        <w:spacing w:after="200"/>
        <w:ind w:hanging="1080"/>
        <w:jc w:val="both"/>
        <w:rPr>
          <w:b/>
          <w:u w:val="single"/>
        </w:rPr>
      </w:pPr>
      <w:r w:rsidRPr="003663A2">
        <w:rPr>
          <w:b/>
          <w:u w:val="single"/>
        </w:rPr>
        <w:t xml:space="preserve">Observation system integration, design, development and delivery </w:t>
      </w:r>
    </w:p>
    <w:p w14:paraId="3E60FC3B" w14:textId="108F9865" w:rsidR="0014571A" w:rsidRDefault="00DA2532" w:rsidP="00942637">
      <w:pPr>
        <w:numPr>
          <w:ilvl w:val="0"/>
          <w:numId w:val="2"/>
        </w:numPr>
        <w:tabs>
          <w:tab w:val="clear" w:pos="567"/>
          <w:tab w:val="left" w:pos="709"/>
          <w:tab w:val="left" w:pos="1134"/>
        </w:tabs>
        <w:spacing w:after="240"/>
        <w:jc w:val="both"/>
      </w:pPr>
      <w:r w:rsidRPr="003663A2">
        <w:rPr>
          <w:u w:val="single"/>
        </w:rPr>
        <w:t>Overview</w:t>
      </w:r>
      <w:r>
        <w:t xml:space="preserve">: </w:t>
      </w:r>
      <w:r w:rsidR="000152FD">
        <w:t>r</w:t>
      </w:r>
      <w:r>
        <w:t xml:space="preserve">esponding to GOOS 2030 </w:t>
      </w:r>
      <w:r w:rsidR="000152FD">
        <w:t xml:space="preserve">Strategy </w:t>
      </w:r>
      <w:r>
        <w:t xml:space="preserve">goal 2, these activities aim to focus delivery of GOOS to enable an integrated, fit-for-purpose observing system built on the systems approach outlined in the </w:t>
      </w:r>
      <w:r w:rsidRPr="002F295F">
        <w:rPr>
          <w:i/>
          <w:iCs/>
        </w:rPr>
        <w:t>Framework for Ocean Observing</w:t>
      </w:r>
      <w:r>
        <w:t>. The actions are responsive to Member States needs, IOC Medium</w:t>
      </w:r>
      <w:r w:rsidR="002F295F">
        <w:t>-</w:t>
      </w:r>
      <w:r>
        <w:t>Term Strategy and relevant UN mandates.</w:t>
      </w:r>
    </w:p>
    <w:p w14:paraId="29B93050" w14:textId="77777777" w:rsidR="0014571A" w:rsidRDefault="00DA2532" w:rsidP="002F295F">
      <w:pPr>
        <w:numPr>
          <w:ilvl w:val="0"/>
          <w:numId w:val="2"/>
        </w:numPr>
        <w:tabs>
          <w:tab w:val="clear" w:pos="567"/>
          <w:tab w:val="left" w:pos="709"/>
          <w:tab w:val="left" w:pos="1134"/>
        </w:tabs>
        <w:spacing w:after="120"/>
        <w:jc w:val="both"/>
      </w:pPr>
      <w:r w:rsidRPr="003663A2">
        <w:rPr>
          <w:u w:val="single"/>
        </w:rPr>
        <w:t>Actions</w:t>
      </w:r>
      <w:r>
        <w:t>:</w:t>
      </w:r>
    </w:p>
    <w:p w14:paraId="407F2E7A" w14:textId="4353C564" w:rsidR="0014571A" w:rsidRDefault="002F295F" w:rsidP="002F295F">
      <w:pPr>
        <w:numPr>
          <w:ilvl w:val="1"/>
          <w:numId w:val="4"/>
        </w:numPr>
        <w:tabs>
          <w:tab w:val="clear" w:pos="567"/>
        </w:tabs>
        <w:spacing w:after="120"/>
        <w:ind w:left="1386" w:hanging="677"/>
        <w:jc w:val="both"/>
      </w:pPr>
      <w:r>
        <w:t>update the EOV Specification Sheets</w:t>
      </w:r>
      <w:r w:rsidR="00DA2532">
        <w:t xml:space="preserve"> Specification </w:t>
      </w:r>
      <w:proofErr w:type="gramStart"/>
      <w:r w:rsidR="00DA2532">
        <w:t>Sheets;</w:t>
      </w:r>
      <w:proofErr w:type="gramEnd"/>
      <w:r w:rsidR="00DA2532">
        <w:t xml:space="preserve"> </w:t>
      </w:r>
    </w:p>
    <w:p w14:paraId="6A26C7BF" w14:textId="05EBB8A9" w:rsidR="0014571A" w:rsidRDefault="002F295F" w:rsidP="002F295F">
      <w:pPr>
        <w:numPr>
          <w:ilvl w:val="1"/>
          <w:numId w:val="4"/>
        </w:numPr>
        <w:tabs>
          <w:tab w:val="clear" w:pos="567"/>
        </w:tabs>
        <w:spacing w:after="120"/>
        <w:ind w:left="1386" w:hanging="677"/>
        <w:jc w:val="both"/>
      </w:pPr>
      <w:r>
        <w:t xml:space="preserve">produce </w:t>
      </w:r>
      <w:r w:rsidR="00DA2532">
        <w:t xml:space="preserve">GOOS Biodiversity Plan and </w:t>
      </w:r>
      <w:proofErr w:type="gramStart"/>
      <w:r>
        <w:t>implement;</w:t>
      </w:r>
      <w:proofErr w:type="gramEnd"/>
      <w:r w:rsidR="00DA2532">
        <w:t xml:space="preserve"> </w:t>
      </w:r>
    </w:p>
    <w:p w14:paraId="6CC9EAE3" w14:textId="5CBD367D" w:rsidR="0014571A" w:rsidRDefault="002F295F" w:rsidP="002F295F">
      <w:pPr>
        <w:numPr>
          <w:ilvl w:val="1"/>
          <w:numId w:val="4"/>
        </w:numPr>
        <w:tabs>
          <w:tab w:val="clear" w:pos="567"/>
        </w:tabs>
        <w:spacing w:after="120"/>
        <w:ind w:left="1386" w:hanging="677"/>
        <w:jc w:val="both"/>
      </w:pPr>
      <w:r>
        <w:t xml:space="preserve">produce </w:t>
      </w:r>
      <w:r w:rsidR="00DA2532">
        <w:t xml:space="preserve">GOOS Carbon </w:t>
      </w:r>
      <w:r w:rsidRPr="002F295F">
        <w:t xml:space="preserve">and Greenhouse Gas (GHG) Plan </w:t>
      </w:r>
      <w:r w:rsidR="00DA2532">
        <w:t xml:space="preserve">and </w:t>
      </w:r>
      <w:proofErr w:type="gramStart"/>
      <w:r w:rsidR="00DA2532">
        <w:t>implement;</w:t>
      </w:r>
      <w:proofErr w:type="gramEnd"/>
      <w:r w:rsidR="00DA2532">
        <w:t xml:space="preserve"> </w:t>
      </w:r>
    </w:p>
    <w:p w14:paraId="1944F403" w14:textId="1B481295" w:rsidR="0014571A" w:rsidRDefault="002F295F" w:rsidP="002F295F">
      <w:pPr>
        <w:numPr>
          <w:ilvl w:val="1"/>
          <w:numId w:val="4"/>
        </w:numPr>
        <w:tabs>
          <w:tab w:val="clear" w:pos="567"/>
        </w:tabs>
        <w:spacing w:after="120"/>
        <w:ind w:left="1386" w:hanging="677"/>
        <w:jc w:val="both"/>
      </w:pPr>
      <w:r>
        <w:t xml:space="preserve">develop </w:t>
      </w:r>
      <w:r w:rsidR="00DA2532">
        <w:t xml:space="preserve">a proposal for an international framework of ocean indicators, with implementation of pilot indicators in collaboration with relevant partners and tools for reporting and narrative </w:t>
      </w:r>
      <w:proofErr w:type="gramStart"/>
      <w:r w:rsidR="00DA2532">
        <w:t>building;</w:t>
      </w:r>
      <w:proofErr w:type="gramEnd"/>
      <w:r w:rsidR="00DA2532">
        <w:t xml:space="preserve"> </w:t>
      </w:r>
    </w:p>
    <w:p w14:paraId="0551E026" w14:textId="7523762B" w:rsidR="0014571A" w:rsidRDefault="002F295F" w:rsidP="002F295F">
      <w:pPr>
        <w:numPr>
          <w:ilvl w:val="1"/>
          <w:numId w:val="4"/>
        </w:numPr>
        <w:tabs>
          <w:tab w:val="clear" w:pos="567"/>
        </w:tabs>
        <w:spacing w:after="120"/>
        <w:ind w:left="1386" w:hanging="677"/>
        <w:jc w:val="both"/>
      </w:pPr>
      <w:r>
        <w:t xml:space="preserve">hold </w:t>
      </w:r>
      <w:r w:rsidR="00DA2532">
        <w:t xml:space="preserve">joint expert panel meeting in 2026 to ensure cross collaboration on all </w:t>
      </w:r>
      <w:proofErr w:type="gramStart"/>
      <w:r w:rsidR="00DA2532">
        <w:t>actions;</w:t>
      </w:r>
      <w:proofErr w:type="gramEnd"/>
    </w:p>
    <w:p w14:paraId="3110C91A" w14:textId="17028FE7" w:rsidR="0014571A" w:rsidRDefault="002F295F" w:rsidP="002F295F">
      <w:pPr>
        <w:numPr>
          <w:ilvl w:val="1"/>
          <w:numId w:val="4"/>
        </w:numPr>
        <w:tabs>
          <w:tab w:val="clear" w:pos="567"/>
        </w:tabs>
        <w:spacing w:after="120"/>
        <w:ind w:left="1386" w:hanging="677"/>
        <w:jc w:val="both"/>
      </w:pPr>
      <w:r>
        <w:t xml:space="preserve">lead </w:t>
      </w:r>
      <w:r w:rsidR="00DA2532">
        <w:t xml:space="preserve">the coordination with WMO of the </w:t>
      </w:r>
      <w:r>
        <w:t xml:space="preserve">Ocean </w:t>
      </w:r>
      <w:r w:rsidR="00DA2532">
        <w:t xml:space="preserve">Earth System Application Area component of the Rolling Review of Requirements (RRR) and Global Basic </w:t>
      </w:r>
      <w:r>
        <w:t xml:space="preserve">Observing </w:t>
      </w:r>
      <w:r w:rsidR="00DA2532">
        <w:t xml:space="preserve">Network (GBON), including reviewing and finalising WMO </w:t>
      </w:r>
      <w:r w:rsidR="00DA2532" w:rsidRPr="002F295F">
        <w:rPr>
          <w:i/>
          <w:iCs/>
        </w:rPr>
        <w:t xml:space="preserve">Statements of Guidance </w:t>
      </w:r>
      <w:r w:rsidRPr="002F295F">
        <w:rPr>
          <w:i/>
          <w:iCs/>
        </w:rPr>
        <w:t>(</w:t>
      </w:r>
      <w:proofErr w:type="spellStart"/>
      <w:r w:rsidRPr="002F295F">
        <w:rPr>
          <w:i/>
          <w:iCs/>
        </w:rPr>
        <w:t>SoG</w:t>
      </w:r>
      <w:proofErr w:type="spellEnd"/>
      <w:r w:rsidRPr="002F295F">
        <w:rPr>
          <w:i/>
          <w:iCs/>
        </w:rPr>
        <w:t xml:space="preserve">) </w:t>
      </w:r>
      <w:r w:rsidR="00DA2532" w:rsidRPr="002F295F">
        <w:rPr>
          <w:i/>
          <w:iCs/>
        </w:rPr>
        <w:t>for Ocean, Atmosphere and Cryosphere</w:t>
      </w:r>
      <w:r w:rsidR="00DA2532">
        <w:t xml:space="preserve"> (2025), initiating the Biogeochemical Cycles Application Area for the Ocean component of the RRR </w:t>
      </w:r>
      <w:proofErr w:type="gramStart"/>
      <w:r w:rsidR="00DA2532">
        <w:t>process;</w:t>
      </w:r>
      <w:proofErr w:type="gramEnd"/>
      <w:r w:rsidR="00DA2532">
        <w:t xml:space="preserve"> </w:t>
      </w:r>
    </w:p>
    <w:p w14:paraId="6BFFC63B" w14:textId="185BBF48" w:rsidR="0014571A" w:rsidRDefault="00DA2532" w:rsidP="002F295F">
      <w:pPr>
        <w:numPr>
          <w:ilvl w:val="1"/>
          <w:numId w:val="4"/>
        </w:numPr>
        <w:tabs>
          <w:tab w:val="clear" w:pos="567"/>
        </w:tabs>
        <w:spacing w:after="240"/>
        <w:ind w:left="1386" w:hanging="677"/>
        <w:jc w:val="both"/>
      </w:pPr>
      <w:r>
        <w:t xml:space="preserve">Support the </w:t>
      </w:r>
      <w:r w:rsidR="00B21B68">
        <w:t xml:space="preserve">Joint </w:t>
      </w:r>
      <w:r w:rsidR="002F295F">
        <w:t xml:space="preserve">WMO-IOC </w:t>
      </w:r>
      <w:r>
        <w:t>C</w:t>
      </w:r>
      <w:r w:rsidR="002F295F">
        <w:t>o</w:t>
      </w:r>
      <w:r w:rsidR="00B21B68">
        <w:t>llaborative</w:t>
      </w:r>
      <w:r w:rsidR="002F295F">
        <w:t xml:space="preserve"> </w:t>
      </w:r>
      <w:r>
        <w:t>B</w:t>
      </w:r>
      <w:r w:rsidR="00B21B68">
        <w:t>oard (JCB)</w:t>
      </w:r>
      <w:r>
        <w:t xml:space="preserve"> Global Basic Observing Network (GBON) sub-group. In parallel evolve discussions for a GOOS basic observing network (for EOVs). In this work, consider water under national jurisdiction and open ocean, EOV status and implementation, and an approach for requirements-setting that leverages existing components and processes.</w:t>
      </w:r>
    </w:p>
    <w:p w14:paraId="4E64B2D4" w14:textId="4FBDE724" w:rsidR="0014571A" w:rsidRDefault="00DA2532" w:rsidP="00942637">
      <w:pPr>
        <w:numPr>
          <w:ilvl w:val="0"/>
          <w:numId w:val="2"/>
        </w:numPr>
        <w:tabs>
          <w:tab w:val="clear" w:pos="567"/>
          <w:tab w:val="left" w:pos="709"/>
          <w:tab w:val="left" w:pos="1134"/>
        </w:tabs>
        <w:spacing w:after="240"/>
        <w:jc w:val="both"/>
      </w:pPr>
      <w:r w:rsidRPr="003663A2">
        <w:rPr>
          <w:u w:val="single"/>
        </w:rPr>
        <w:t>Additional resource needs</w:t>
      </w:r>
      <w:r>
        <w:t xml:space="preserve">: P3 FTE </w:t>
      </w:r>
      <w:proofErr w:type="spellStart"/>
      <w:r>
        <w:t>BioEco</w:t>
      </w:r>
      <w:proofErr w:type="spellEnd"/>
      <w:r>
        <w:t xml:space="preserve"> scientific officer and P3 FTE BGC scientific officer (as highlighted in paragraph 8 above), </w:t>
      </w:r>
      <w:r w:rsidR="00B21B68">
        <w:t>three-</w:t>
      </w:r>
      <w:r>
        <w:t xml:space="preserve">day cross-expert panel meeting for 40 people </w:t>
      </w:r>
      <w:r w:rsidR="00B21B68">
        <w:t xml:space="preserve">at a cost of </w:t>
      </w:r>
      <w:r w:rsidR="00B21B68" w:rsidRPr="00B21B68">
        <w:t xml:space="preserve">approximately </w:t>
      </w:r>
      <w:r>
        <w:t>USD 200</w:t>
      </w:r>
      <w:r w:rsidR="00B21B68">
        <w:t>,000</w:t>
      </w:r>
      <w:r>
        <w:t xml:space="preserve">, </w:t>
      </w:r>
      <w:r w:rsidR="00B21B68">
        <w:t>one</w:t>
      </w:r>
      <w:r>
        <w:t xml:space="preserve"> P2 FTE to produce the carbon plan, 20% in-kind contribution to support the RRR and GBON work.</w:t>
      </w:r>
    </w:p>
    <w:p w14:paraId="082D505A" w14:textId="77777777" w:rsidR="0014571A" w:rsidRPr="003663A2" w:rsidRDefault="00DA2532" w:rsidP="00B21B68">
      <w:pPr>
        <w:numPr>
          <w:ilvl w:val="0"/>
          <w:numId w:val="3"/>
        </w:numPr>
        <w:pBdr>
          <w:top w:val="nil"/>
          <w:left w:val="nil"/>
          <w:bottom w:val="nil"/>
          <w:right w:val="nil"/>
          <w:between w:val="nil"/>
        </w:pBdr>
        <w:tabs>
          <w:tab w:val="clear" w:pos="567"/>
          <w:tab w:val="left" w:pos="709"/>
        </w:tabs>
        <w:spacing w:after="200"/>
        <w:ind w:left="709" w:hanging="709"/>
        <w:jc w:val="both"/>
        <w:rPr>
          <w:b/>
          <w:u w:val="single"/>
        </w:rPr>
      </w:pPr>
      <w:r w:rsidRPr="003663A2">
        <w:rPr>
          <w:b/>
          <w:u w:val="single"/>
        </w:rPr>
        <w:t>Maintain and strengthen data integration and delivery</w:t>
      </w:r>
    </w:p>
    <w:p w14:paraId="4D703E4C" w14:textId="797F13D9" w:rsidR="0014571A" w:rsidRDefault="00DA2532" w:rsidP="00942637">
      <w:pPr>
        <w:numPr>
          <w:ilvl w:val="0"/>
          <w:numId w:val="2"/>
        </w:numPr>
        <w:tabs>
          <w:tab w:val="clear" w:pos="567"/>
          <w:tab w:val="left" w:pos="709"/>
          <w:tab w:val="left" w:pos="1134"/>
        </w:tabs>
        <w:spacing w:after="240"/>
        <w:jc w:val="both"/>
      </w:pPr>
      <w:r w:rsidRPr="003663A2">
        <w:rPr>
          <w:u w:val="single"/>
        </w:rPr>
        <w:t>Overview</w:t>
      </w:r>
      <w:r>
        <w:t xml:space="preserve">: This new focus area across all </w:t>
      </w:r>
      <w:r w:rsidR="00B21B68">
        <w:t>three</w:t>
      </w:r>
      <w:r>
        <w:t xml:space="preserve"> goals of the </w:t>
      </w:r>
      <w:r w:rsidR="00B21B68">
        <w:t xml:space="preserve">GOOS </w:t>
      </w:r>
      <w:r>
        <w:t>2030 Strategy aims to deliver coordinated GOOS data to the global system that is FAIR (findable, accessible, interoperable and reusable) and reaches its users with appropriate latency and quality, ensuring alignment within GOOS, IOC, WMO around the broad adoption of open architectures and with a federated systems approach (including ODIS, WIS2.0, ERDDAP™).</w:t>
      </w:r>
    </w:p>
    <w:p w14:paraId="6612CCE3" w14:textId="77777777" w:rsidR="0014571A" w:rsidRDefault="00DA2532" w:rsidP="00B21B68">
      <w:pPr>
        <w:numPr>
          <w:ilvl w:val="0"/>
          <w:numId w:val="2"/>
        </w:numPr>
        <w:pBdr>
          <w:top w:val="nil"/>
          <w:left w:val="nil"/>
          <w:bottom w:val="nil"/>
          <w:right w:val="nil"/>
          <w:between w:val="nil"/>
        </w:pBdr>
        <w:tabs>
          <w:tab w:val="clear" w:pos="567"/>
          <w:tab w:val="left" w:pos="709"/>
        </w:tabs>
        <w:spacing w:after="120"/>
        <w:jc w:val="both"/>
      </w:pPr>
      <w:r w:rsidRPr="003663A2">
        <w:rPr>
          <w:u w:val="single"/>
        </w:rPr>
        <w:t>Actions</w:t>
      </w:r>
      <w:r>
        <w:t xml:space="preserve">: </w:t>
      </w:r>
    </w:p>
    <w:p w14:paraId="7A4B1427" w14:textId="7504D5D9" w:rsidR="0014571A" w:rsidRDefault="00B21B68" w:rsidP="00B21B68">
      <w:pPr>
        <w:numPr>
          <w:ilvl w:val="1"/>
          <w:numId w:val="5"/>
        </w:numPr>
        <w:pBdr>
          <w:top w:val="nil"/>
          <w:left w:val="nil"/>
          <w:bottom w:val="nil"/>
          <w:right w:val="nil"/>
          <w:between w:val="nil"/>
        </w:pBdr>
        <w:tabs>
          <w:tab w:val="clear" w:pos="567"/>
        </w:tabs>
        <w:spacing w:after="120"/>
        <w:ind w:left="1418" w:hanging="709"/>
        <w:jc w:val="both"/>
      </w:pPr>
      <w:r>
        <w:t>c</w:t>
      </w:r>
      <w:r w:rsidR="00DA2532">
        <w:t xml:space="preserve">ontinue the implementation of </w:t>
      </w:r>
      <w:r>
        <w:t>Observations Coordination Group (</w:t>
      </w:r>
      <w:r w:rsidR="00DA2532">
        <w:t>OCG</w:t>
      </w:r>
      <w:r>
        <w:t>)</w:t>
      </w:r>
      <w:r w:rsidR="00DA2532">
        <w:t xml:space="preserve"> cross-network data implementation </w:t>
      </w:r>
      <w:proofErr w:type="gramStart"/>
      <w:r w:rsidR="00DA2532">
        <w:t>strategy;</w:t>
      </w:r>
      <w:proofErr w:type="gramEnd"/>
      <w:r w:rsidR="00DA2532">
        <w:t xml:space="preserve"> </w:t>
      </w:r>
    </w:p>
    <w:p w14:paraId="2D510764" w14:textId="163CDD3B" w:rsidR="0014571A" w:rsidRDefault="00B21B68" w:rsidP="00B21B68">
      <w:pPr>
        <w:numPr>
          <w:ilvl w:val="1"/>
          <w:numId w:val="5"/>
        </w:numPr>
        <w:pBdr>
          <w:top w:val="nil"/>
          <w:left w:val="nil"/>
          <w:bottom w:val="nil"/>
          <w:right w:val="nil"/>
          <w:between w:val="nil"/>
        </w:pBdr>
        <w:tabs>
          <w:tab w:val="clear" w:pos="567"/>
        </w:tabs>
        <w:spacing w:after="120"/>
        <w:ind w:left="1418" w:hanging="709"/>
        <w:jc w:val="both"/>
      </w:pPr>
      <w:r>
        <w:t>c</w:t>
      </w:r>
      <w:r w:rsidR="00DA2532">
        <w:t xml:space="preserve">o-develop the IOC data architecture plan (agenda item 3.4.3), support production of demonstration products that ensure the visibility of the benefits of a more integrated ocean observation and related data management and sharing </w:t>
      </w:r>
      <w:proofErr w:type="gramStart"/>
      <w:r w:rsidR="00DA2532">
        <w:t>system;</w:t>
      </w:r>
      <w:proofErr w:type="gramEnd"/>
      <w:r w:rsidR="00DA2532">
        <w:t xml:space="preserve"> </w:t>
      </w:r>
    </w:p>
    <w:p w14:paraId="18955E79" w14:textId="77777777" w:rsidR="0014571A" w:rsidRDefault="00DA2532" w:rsidP="00B21B68">
      <w:pPr>
        <w:numPr>
          <w:ilvl w:val="1"/>
          <w:numId w:val="5"/>
        </w:numPr>
        <w:pBdr>
          <w:top w:val="nil"/>
          <w:left w:val="nil"/>
          <w:bottom w:val="nil"/>
          <w:right w:val="nil"/>
          <w:between w:val="nil"/>
        </w:pBdr>
        <w:tabs>
          <w:tab w:val="clear" w:pos="567"/>
        </w:tabs>
        <w:spacing w:after="240"/>
        <w:ind w:left="1418" w:hanging="709"/>
        <w:jc w:val="both"/>
      </w:pPr>
      <w:r>
        <w:t>Implement the IOC data architecture plan in collaboration across the IOC and other relevant partners.</w:t>
      </w:r>
    </w:p>
    <w:p w14:paraId="355604F3" w14:textId="5CB55062"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sidRPr="00B21B68">
        <w:rPr>
          <w:u w:val="single"/>
        </w:rPr>
        <w:lastRenderedPageBreak/>
        <w:t>Additional resource needs</w:t>
      </w:r>
      <w:r>
        <w:t xml:space="preserve">: </w:t>
      </w:r>
      <w:r w:rsidR="00B21B68">
        <w:t>One</w:t>
      </w:r>
      <w:r>
        <w:t xml:space="preserve"> P3 FTE (6 months) to develop the IOC data architecture plan</w:t>
      </w:r>
      <w:r w:rsidR="00B21B68">
        <w:t>;</w:t>
      </w:r>
      <w:r>
        <w:t xml:space="preserve"> resource needs for implement</w:t>
      </w:r>
      <w:r w:rsidR="00B21B68">
        <w:t xml:space="preserve">ing </w:t>
      </w:r>
      <w:r>
        <w:t xml:space="preserve">the data architecture plan </w:t>
      </w:r>
      <w:r w:rsidR="003663A2">
        <w:t>will</w:t>
      </w:r>
      <w:r>
        <w:t xml:space="preserve"> be determined in 2025.</w:t>
      </w:r>
    </w:p>
    <w:p w14:paraId="4008B292" w14:textId="66646BE2" w:rsidR="0014571A" w:rsidRPr="003663A2" w:rsidRDefault="00DA2532" w:rsidP="003663A2">
      <w:pPr>
        <w:numPr>
          <w:ilvl w:val="0"/>
          <w:numId w:val="3"/>
        </w:numPr>
        <w:pBdr>
          <w:top w:val="nil"/>
          <w:left w:val="nil"/>
          <w:bottom w:val="nil"/>
          <w:right w:val="nil"/>
          <w:between w:val="nil"/>
        </w:pBdr>
        <w:tabs>
          <w:tab w:val="clear" w:pos="567"/>
        </w:tabs>
        <w:spacing w:after="200"/>
        <w:ind w:left="709" w:hanging="709"/>
        <w:rPr>
          <w:b/>
          <w:u w:val="single"/>
        </w:rPr>
      </w:pPr>
      <w:r w:rsidRPr="003663A2">
        <w:rPr>
          <w:b/>
          <w:u w:val="single"/>
        </w:rPr>
        <w:t xml:space="preserve">System implementation: </w:t>
      </w:r>
      <w:r w:rsidR="003663A2" w:rsidRPr="003663A2">
        <w:rPr>
          <w:b/>
          <w:u w:val="single"/>
        </w:rPr>
        <w:t>(</w:t>
      </w:r>
      <w:r w:rsidRPr="003663A2">
        <w:rPr>
          <w:b/>
          <w:u w:val="single"/>
        </w:rPr>
        <w:t xml:space="preserve">i) at national and regional level and </w:t>
      </w:r>
      <w:r w:rsidR="003663A2" w:rsidRPr="003663A2">
        <w:rPr>
          <w:b/>
          <w:u w:val="single"/>
        </w:rPr>
        <w:t>(</w:t>
      </w:r>
      <w:r w:rsidRPr="003663A2">
        <w:rPr>
          <w:b/>
          <w:u w:val="single"/>
        </w:rPr>
        <w:t xml:space="preserve">ii) and societal applications </w:t>
      </w:r>
    </w:p>
    <w:p w14:paraId="28B77224" w14:textId="5A7EDD05" w:rsidR="0014571A" w:rsidRPr="00C17854" w:rsidRDefault="00DA2532" w:rsidP="00942637">
      <w:pPr>
        <w:numPr>
          <w:ilvl w:val="0"/>
          <w:numId w:val="2"/>
        </w:numPr>
        <w:pBdr>
          <w:top w:val="nil"/>
          <w:left w:val="nil"/>
          <w:bottom w:val="nil"/>
          <w:right w:val="nil"/>
          <w:between w:val="nil"/>
        </w:pBdr>
        <w:tabs>
          <w:tab w:val="clear" w:pos="567"/>
          <w:tab w:val="left" w:pos="709"/>
        </w:tabs>
        <w:spacing w:after="240"/>
        <w:jc w:val="both"/>
      </w:pPr>
      <w:r w:rsidRPr="00C17854">
        <w:rPr>
          <w:u w:val="single"/>
        </w:rPr>
        <w:t>Overview</w:t>
      </w:r>
      <w:r w:rsidRPr="00C17854">
        <w:t>: These activities respond to goal</w:t>
      </w:r>
      <w:r w:rsidR="00C17854">
        <w:t> </w:t>
      </w:r>
      <w:r w:rsidRPr="00C17854">
        <w:t>1 of the GOOS</w:t>
      </w:r>
      <w:r w:rsidR="003663A2" w:rsidRPr="00C17854">
        <w:t xml:space="preserve"> 2030</w:t>
      </w:r>
      <w:r w:rsidRPr="00C17854">
        <w:t xml:space="preserve"> Strategy to deliver and deepen engagement and partnership from observations to end</w:t>
      </w:r>
      <w:r w:rsidR="003663A2" w:rsidRPr="00C17854">
        <w:t>-</w:t>
      </w:r>
      <w:r w:rsidRPr="00C17854">
        <w:t xml:space="preserve">users to </w:t>
      </w:r>
      <w:r w:rsidR="00C17854">
        <w:t>promote</w:t>
      </w:r>
      <w:r w:rsidRPr="00C17854">
        <w:t xml:space="preserve"> the use and impact of ocean observations and demonstrate their benefits. Actions will facilitate transparency </w:t>
      </w:r>
      <w:r w:rsidR="00C17854">
        <w:t>of</w:t>
      </w:r>
      <w:r w:rsidRPr="00C17854">
        <w:t xml:space="preserve"> contributions to</w:t>
      </w:r>
      <w:r w:rsidR="00C17854">
        <w:t xml:space="preserve"> and from </w:t>
      </w:r>
      <w:r w:rsidRPr="00C17854">
        <w:t xml:space="preserve">GOOS with National Focal Points (NFPs) and GOOS Regional Alliances (GRAs), strengthening their </w:t>
      </w:r>
      <w:r w:rsidR="00C17854">
        <w:t>links</w:t>
      </w:r>
      <w:r w:rsidRPr="00C17854">
        <w:t xml:space="preserve"> </w:t>
      </w:r>
      <w:r w:rsidR="00C17854">
        <w:t>with</w:t>
      </w:r>
      <w:r w:rsidRPr="00C17854">
        <w:t xml:space="preserve"> other GOOS components</w:t>
      </w:r>
      <w:r w:rsidR="00C17854">
        <w:t xml:space="preserve"> through a</w:t>
      </w:r>
      <w:r w:rsidRPr="00C17854">
        <w:t xml:space="preserve"> clearer framework </w:t>
      </w:r>
      <w:r w:rsidR="00C17854">
        <w:t>for</w:t>
      </w:r>
      <w:r w:rsidRPr="00C17854">
        <w:t xml:space="preserve"> defin</w:t>
      </w:r>
      <w:r w:rsidR="00C17854">
        <w:t>ing</w:t>
      </w:r>
      <w:r w:rsidRPr="00C17854">
        <w:t xml:space="preserve"> interactions and </w:t>
      </w:r>
      <w:r w:rsidR="00C17854">
        <w:t>providing</w:t>
      </w:r>
      <w:r w:rsidRPr="00C17854">
        <w:t xml:space="preserve"> relevant information</w:t>
      </w:r>
      <w:r w:rsidR="00C17854" w:rsidRPr="00C17854">
        <w:t xml:space="preserve"> </w:t>
      </w:r>
      <w:r w:rsidR="00C17854">
        <w:t xml:space="preserve">for </w:t>
      </w:r>
      <w:r w:rsidR="00C17854" w:rsidRPr="00C17854">
        <w:t>application</w:t>
      </w:r>
      <w:r w:rsidR="00C17854">
        <w:t>s</w:t>
      </w:r>
      <w:r w:rsidRPr="00C17854">
        <w:t xml:space="preserve">. Finally, GOOS actions will </w:t>
      </w:r>
      <w:r w:rsidR="00C17854">
        <w:t xml:space="preserve">focus on </w:t>
      </w:r>
      <w:r w:rsidRPr="00C17854">
        <w:t>the application of multipurpose obser</w:t>
      </w:r>
      <w:r w:rsidR="004F49B5">
        <w:t>vation</w:t>
      </w:r>
      <w:r w:rsidRPr="00C17854">
        <w:t xml:space="preserve"> strategy </w:t>
      </w:r>
      <w:r w:rsidR="004F49B5">
        <w:t xml:space="preserve">that meets the </w:t>
      </w:r>
      <w:r w:rsidR="004F49B5" w:rsidRPr="00C17854">
        <w:t xml:space="preserve">needs </w:t>
      </w:r>
      <w:r w:rsidR="004F49B5">
        <w:t xml:space="preserve">of society </w:t>
      </w:r>
      <w:r w:rsidRPr="00C17854">
        <w:t xml:space="preserve">and </w:t>
      </w:r>
      <w:r w:rsidR="004F49B5">
        <w:t xml:space="preserve">a </w:t>
      </w:r>
      <w:r w:rsidRPr="00C17854">
        <w:t>sustainable ocean economy (e.g. through the Expert Team on Operational Ocean Forecast Systems (ETOOFS), U</w:t>
      </w:r>
      <w:r w:rsidR="004F49B5">
        <w:t xml:space="preserve">nited </w:t>
      </w:r>
      <w:r w:rsidRPr="00C17854">
        <w:t>N</w:t>
      </w:r>
      <w:r w:rsidR="004F49B5">
        <w:t>ations</w:t>
      </w:r>
      <w:r w:rsidRPr="00C17854">
        <w:t xml:space="preserve"> Ocean Decade activities, </w:t>
      </w:r>
      <w:r w:rsidR="004F49B5">
        <w:t xml:space="preserve">the UN Secretary General </w:t>
      </w:r>
      <w:r w:rsidR="004F49B5" w:rsidRPr="004F49B5">
        <w:t>Early Warnings for All (EW4All</w:t>
      </w:r>
      <w:r w:rsidR="004F49B5">
        <w:t>) initiative,</w:t>
      </w:r>
      <w:r w:rsidRPr="00C17854">
        <w:t xml:space="preserve"> etc.) </w:t>
      </w:r>
    </w:p>
    <w:p w14:paraId="20A2A686" w14:textId="77777777" w:rsidR="0014571A" w:rsidRDefault="00DA2532" w:rsidP="004F49B5">
      <w:pPr>
        <w:numPr>
          <w:ilvl w:val="0"/>
          <w:numId w:val="2"/>
        </w:numPr>
        <w:pBdr>
          <w:top w:val="nil"/>
          <w:left w:val="nil"/>
          <w:bottom w:val="nil"/>
          <w:right w:val="nil"/>
          <w:between w:val="nil"/>
        </w:pBdr>
        <w:tabs>
          <w:tab w:val="clear" w:pos="567"/>
          <w:tab w:val="left" w:pos="709"/>
        </w:tabs>
        <w:spacing w:after="120"/>
        <w:jc w:val="both"/>
      </w:pPr>
      <w:r w:rsidRPr="003663A2">
        <w:rPr>
          <w:u w:val="single"/>
        </w:rPr>
        <w:t>Actions</w:t>
      </w:r>
      <w:r>
        <w:t>:</w:t>
      </w:r>
    </w:p>
    <w:p w14:paraId="1ADB152F" w14:textId="58550BD6" w:rsidR="0014571A" w:rsidRDefault="004F49B5" w:rsidP="004F49B5">
      <w:pPr>
        <w:numPr>
          <w:ilvl w:val="1"/>
          <w:numId w:val="6"/>
        </w:numPr>
        <w:pBdr>
          <w:top w:val="nil"/>
          <w:left w:val="nil"/>
          <w:bottom w:val="nil"/>
          <w:right w:val="nil"/>
          <w:between w:val="nil"/>
        </w:pBdr>
        <w:tabs>
          <w:tab w:val="clear" w:pos="567"/>
        </w:tabs>
        <w:spacing w:after="120"/>
        <w:ind w:left="1276" w:hanging="567"/>
        <w:jc w:val="both"/>
      </w:pPr>
      <w:r>
        <w:t>p</w:t>
      </w:r>
      <w:r w:rsidR="00DA2532">
        <w:t xml:space="preserve">roduce NFP implementation guidelines and reporting </w:t>
      </w:r>
      <w:proofErr w:type="gramStart"/>
      <w:r w:rsidR="00DA2532">
        <w:t>template;</w:t>
      </w:r>
      <w:proofErr w:type="gramEnd"/>
    </w:p>
    <w:p w14:paraId="61C86FE2" w14:textId="5A7FACF2" w:rsidR="0014571A" w:rsidRDefault="004F49B5" w:rsidP="004F49B5">
      <w:pPr>
        <w:numPr>
          <w:ilvl w:val="1"/>
          <w:numId w:val="6"/>
        </w:numPr>
        <w:tabs>
          <w:tab w:val="clear" w:pos="567"/>
        </w:tabs>
        <w:spacing w:after="120"/>
        <w:ind w:left="1276" w:hanging="567"/>
      </w:pPr>
      <w:r>
        <w:rPr>
          <w:color w:val="333333"/>
        </w:rPr>
        <w:t xml:space="preserve">facilitate </w:t>
      </w:r>
      <w:r w:rsidR="00DA2532">
        <w:rPr>
          <w:color w:val="333333"/>
        </w:rPr>
        <w:t>and support GRA engagement with GOOS</w:t>
      </w:r>
      <w:r>
        <w:rPr>
          <w:color w:val="333333"/>
        </w:rPr>
        <w:t>,</w:t>
      </w:r>
      <w:r w:rsidR="00DA2532">
        <w:rPr>
          <w:color w:val="333333"/>
        </w:rPr>
        <w:t xml:space="preserve"> including around focussed application areas for coordination and supported data flow, </w:t>
      </w:r>
      <w:r>
        <w:rPr>
          <w:color w:val="333333"/>
        </w:rPr>
        <w:t>as well as</w:t>
      </w:r>
      <w:r w:rsidR="00DA2532">
        <w:rPr>
          <w:color w:val="333333"/>
        </w:rPr>
        <w:t xml:space="preserve"> </w:t>
      </w:r>
      <w:r>
        <w:rPr>
          <w:color w:val="333333"/>
        </w:rPr>
        <w:t xml:space="preserve">the development of a </w:t>
      </w:r>
      <w:r w:rsidR="00DA2532">
        <w:rPr>
          <w:color w:val="333333"/>
        </w:rPr>
        <w:t xml:space="preserve">reporting </w:t>
      </w:r>
      <w:proofErr w:type="gramStart"/>
      <w:r w:rsidR="00DA2532">
        <w:rPr>
          <w:color w:val="333333"/>
        </w:rPr>
        <w:t>template;</w:t>
      </w:r>
      <w:proofErr w:type="gramEnd"/>
    </w:p>
    <w:p w14:paraId="617919B3" w14:textId="216351AF" w:rsidR="0014571A" w:rsidRDefault="004F49B5" w:rsidP="004F49B5">
      <w:pPr>
        <w:numPr>
          <w:ilvl w:val="1"/>
          <w:numId w:val="6"/>
        </w:numPr>
        <w:tabs>
          <w:tab w:val="clear" w:pos="567"/>
        </w:tabs>
        <w:spacing w:after="120"/>
        <w:ind w:left="1276" w:hanging="567"/>
        <w:rPr>
          <w:color w:val="333333"/>
        </w:rPr>
      </w:pPr>
      <w:r>
        <w:rPr>
          <w:color w:val="333333"/>
        </w:rPr>
        <w:t xml:space="preserve">produce </w:t>
      </w:r>
      <w:r w:rsidR="00DA2532">
        <w:rPr>
          <w:color w:val="333333"/>
        </w:rPr>
        <w:t xml:space="preserve">revised </w:t>
      </w:r>
      <w:r>
        <w:rPr>
          <w:color w:val="333333"/>
        </w:rPr>
        <w:t>terms of reference</w:t>
      </w:r>
      <w:r w:rsidR="00DA2532">
        <w:rPr>
          <w:color w:val="333333"/>
        </w:rPr>
        <w:t xml:space="preserve"> for ETOOFS and its membership, and a workplan, ensuring the role of ETOOFS in GOOS and other communities is clearly </w:t>
      </w:r>
      <w:proofErr w:type="gramStart"/>
      <w:r w:rsidR="00DA2532">
        <w:rPr>
          <w:color w:val="333333"/>
        </w:rPr>
        <w:t>identified;</w:t>
      </w:r>
      <w:proofErr w:type="gramEnd"/>
    </w:p>
    <w:p w14:paraId="7DDBD7BE" w14:textId="66294177" w:rsidR="0014571A" w:rsidRDefault="004F49B5" w:rsidP="004F49B5">
      <w:pPr>
        <w:numPr>
          <w:ilvl w:val="1"/>
          <w:numId w:val="6"/>
        </w:numPr>
        <w:tabs>
          <w:tab w:val="clear" w:pos="567"/>
        </w:tabs>
        <w:spacing w:after="120"/>
        <w:ind w:left="1276" w:hanging="567"/>
        <w:rPr>
          <w:color w:val="333333"/>
        </w:rPr>
      </w:pPr>
      <w:r>
        <w:rPr>
          <w:color w:val="333333"/>
        </w:rPr>
        <w:t xml:space="preserve">develop </w:t>
      </w:r>
      <w:r w:rsidR="00DA2532">
        <w:rPr>
          <w:color w:val="333333"/>
        </w:rPr>
        <w:t xml:space="preserve">a proposal for how to raise the profile of EW4ALL including entry/collaboration points for </w:t>
      </w:r>
      <w:proofErr w:type="gramStart"/>
      <w:r w:rsidR="00DA2532">
        <w:rPr>
          <w:color w:val="333333"/>
        </w:rPr>
        <w:t>GOOS;</w:t>
      </w:r>
      <w:proofErr w:type="gramEnd"/>
    </w:p>
    <w:p w14:paraId="75F08D8E" w14:textId="72E187ED" w:rsidR="0014571A" w:rsidRDefault="004F49B5" w:rsidP="004F49B5">
      <w:pPr>
        <w:numPr>
          <w:ilvl w:val="1"/>
          <w:numId w:val="6"/>
        </w:numPr>
        <w:tabs>
          <w:tab w:val="clear" w:pos="567"/>
        </w:tabs>
        <w:spacing w:after="240"/>
        <w:ind w:left="1276" w:hanging="567"/>
        <w:rPr>
          <w:color w:val="333333"/>
        </w:rPr>
      </w:pPr>
      <w:r>
        <w:rPr>
          <w:color w:val="333333"/>
        </w:rPr>
        <w:t xml:space="preserve">future </w:t>
      </w:r>
      <w:r w:rsidR="00DA2532">
        <w:rPr>
          <w:color w:val="333333"/>
        </w:rPr>
        <w:t>GOOS conference (150-200 people), coordinated by the GOOS</w:t>
      </w:r>
      <w:r>
        <w:rPr>
          <w:color w:val="333333"/>
        </w:rPr>
        <w:t>-</w:t>
      </w:r>
      <w:r w:rsidR="00DA2532">
        <w:rPr>
          <w:color w:val="333333"/>
        </w:rPr>
        <w:t>SC, including with GRA</w:t>
      </w:r>
      <w:r>
        <w:rPr>
          <w:color w:val="333333"/>
        </w:rPr>
        <w:t>s</w:t>
      </w:r>
      <w:r w:rsidR="00DA2532">
        <w:rPr>
          <w:color w:val="333333"/>
        </w:rPr>
        <w:t>, NFP</w:t>
      </w:r>
      <w:r>
        <w:rPr>
          <w:color w:val="333333"/>
        </w:rPr>
        <w:t>s</w:t>
      </w:r>
      <w:r w:rsidR="00DA2532">
        <w:rPr>
          <w:color w:val="333333"/>
        </w:rPr>
        <w:t xml:space="preserve">, panels and other IOC focal points (such as </w:t>
      </w:r>
      <w:r>
        <w:rPr>
          <w:color w:val="333333"/>
        </w:rPr>
        <w:t xml:space="preserve">those of the </w:t>
      </w:r>
      <w:r w:rsidR="00DA2532">
        <w:rPr>
          <w:color w:val="333333"/>
        </w:rPr>
        <w:t xml:space="preserve">IODE committee) and relevant stakeholders. </w:t>
      </w:r>
    </w:p>
    <w:p w14:paraId="28737267" w14:textId="322F7DBA"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sidRPr="004F49B5">
        <w:rPr>
          <w:u w:val="single"/>
        </w:rPr>
        <w:t>Additional resource needs</w:t>
      </w:r>
      <w:r>
        <w:t xml:space="preserve">: </w:t>
      </w:r>
      <w:r>
        <w:rPr>
          <w:color w:val="333333"/>
        </w:rPr>
        <w:t>Approximately USD</w:t>
      </w:r>
      <w:r w:rsidR="00562517">
        <w:rPr>
          <w:color w:val="333333"/>
        </w:rPr>
        <w:t> </w:t>
      </w:r>
      <w:r>
        <w:rPr>
          <w:color w:val="333333"/>
        </w:rPr>
        <w:t>500</w:t>
      </w:r>
      <w:r w:rsidR="004F49B5">
        <w:rPr>
          <w:color w:val="333333"/>
        </w:rPr>
        <w:t>,000</w:t>
      </w:r>
      <w:r>
        <w:rPr>
          <w:color w:val="333333"/>
        </w:rPr>
        <w:t xml:space="preserve"> </w:t>
      </w:r>
      <w:r w:rsidR="00562517">
        <w:rPr>
          <w:color w:val="333333"/>
        </w:rPr>
        <w:t xml:space="preserve">is </w:t>
      </w:r>
      <w:r>
        <w:rPr>
          <w:color w:val="333333"/>
        </w:rPr>
        <w:t xml:space="preserve">needed </w:t>
      </w:r>
      <w:r>
        <w:t xml:space="preserve">for </w:t>
      </w:r>
      <w:r w:rsidR="00562517">
        <w:t xml:space="preserve">the </w:t>
      </w:r>
      <w:r>
        <w:rPr>
          <w:color w:val="333333"/>
        </w:rPr>
        <w:t>GOOS conference (150-200) people, provisionally scheduled for 2027</w:t>
      </w:r>
      <w:r w:rsidR="00562517">
        <w:rPr>
          <w:color w:val="333333"/>
        </w:rPr>
        <w:t xml:space="preserve">; a host </w:t>
      </w:r>
      <w:r>
        <w:rPr>
          <w:color w:val="333333"/>
        </w:rPr>
        <w:t xml:space="preserve">country </w:t>
      </w:r>
      <w:r w:rsidR="00562517">
        <w:rPr>
          <w:color w:val="333333"/>
        </w:rPr>
        <w:t xml:space="preserve">is being </w:t>
      </w:r>
      <w:r>
        <w:rPr>
          <w:color w:val="333333"/>
        </w:rPr>
        <w:t>sought.</w:t>
      </w:r>
      <w:r>
        <w:t xml:space="preserve"> </w:t>
      </w:r>
    </w:p>
    <w:p w14:paraId="6FF8AFF5" w14:textId="48AEB2B0" w:rsidR="0014571A" w:rsidRPr="00562517" w:rsidRDefault="00DA2532" w:rsidP="00562517">
      <w:pPr>
        <w:numPr>
          <w:ilvl w:val="0"/>
          <w:numId w:val="3"/>
        </w:numPr>
        <w:pBdr>
          <w:top w:val="nil"/>
          <w:left w:val="nil"/>
          <w:bottom w:val="nil"/>
          <w:right w:val="nil"/>
          <w:between w:val="nil"/>
        </w:pBdr>
        <w:tabs>
          <w:tab w:val="clear" w:pos="567"/>
        </w:tabs>
        <w:spacing w:after="200"/>
        <w:ind w:left="714" w:hanging="714"/>
        <w:jc w:val="both"/>
        <w:rPr>
          <w:b/>
          <w:u w:val="single"/>
        </w:rPr>
      </w:pPr>
      <w:r w:rsidRPr="00562517">
        <w:rPr>
          <w:b/>
          <w:u w:val="single"/>
        </w:rPr>
        <w:t xml:space="preserve">Outreach: </w:t>
      </w:r>
      <w:r w:rsidR="00562517">
        <w:rPr>
          <w:b/>
          <w:u w:val="single"/>
        </w:rPr>
        <w:t>(</w:t>
      </w:r>
      <w:r w:rsidRPr="00562517">
        <w:rPr>
          <w:b/>
          <w:u w:val="single"/>
        </w:rPr>
        <w:t xml:space="preserve">i) projects and partners and </w:t>
      </w:r>
      <w:r w:rsidR="00562517">
        <w:rPr>
          <w:b/>
          <w:u w:val="single"/>
        </w:rPr>
        <w:t>(</w:t>
      </w:r>
      <w:r w:rsidRPr="00562517">
        <w:rPr>
          <w:b/>
          <w:u w:val="single"/>
        </w:rPr>
        <w:t xml:space="preserve">ii) communications </w:t>
      </w:r>
    </w:p>
    <w:p w14:paraId="32834257" w14:textId="76377897"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sidRPr="00562517">
        <w:rPr>
          <w:u w:val="single"/>
        </w:rPr>
        <w:t>Overview</w:t>
      </w:r>
      <w:r>
        <w:t xml:space="preserve">: Outreach is a core need at the heart of GOOS and referenced in goals 1 and 3 of the </w:t>
      </w:r>
      <w:r w:rsidR="00562517">
        <w:t xml:space="preserve">GOOS </w:t>
      </w:r>
      <w:r>
        <w:t xml:space="preserve">2030 </w:t>
      </w:r>
      <w:r w:rsidR="00562517">
        <w:t>Strategy</w:t>
      </w:r>
      <w:r>
        <w:t xml:space="preserve">, </w:t>
      </w:r>
      <w:proofErr w:type="gramStart"/>
      <w:r>
        <w:t>so as to</w:t>
      </w:r>
      <w:proofErr w:type="gramEnd"/>
      <w:r>
        <w:t xml:space="preserve"> deliver strengthened and prioritised partnerships, build advocacy and visibility, develop capacity to ensure implementation and a broad range of engagement, support innovation to build championed and effective communities of practice and expand GOOS capacity.</w:t>
      </w:r>
    </w:p>
    <w:p w14:paraId="7094D2A7" w14:textId="77777777" w:rsidR="0014571A" w:rsidRDefault="00DA2532" w:rsidP="00562517">
      <w:pPr>
        <w:numPr>
          <w:ilvl w:val="0"/>
          <w:numId w:val="2"/>
        </w:numPr>
        <w:tabs>
          <w:tab w:val="left" w:pos="709"/>
        </w:tabs>
        <w:spacing w:after="120"/>
        <w:jc w:val="both"/>
      </w:pPr>
      <w:r w:rsidRPr="00562517">
        <w:rPr>
          <w:u w:val="single"/>
        </w:rPr>
        <w:t>Actions</w:t>
      </w:r>
      <w:r>
        <w:t xml:space="preserve">: </w:t>
      </w:r>
    </w:p>
    <w:p w14:paraId="186242B6" w14:textId="639DB93F" w:rsidR="0014571A" w:rsidRDefault="00562517" w:rsidP="00562517">
      <w:pPr>
        <w:numPr>
          <w:ilvl w:val="1"/>
          <w:numId w:val="7"/>
        </w:numPr>
        <w:tabs>
          <w:tab w:val="clear" w:pos="567"/>
        </w:tabs>
        <w:spacing w:after="120"/>
        <w:ind w:left="1260" w:hanging="693"/>
        <w:jc w:val="both"/>
      </w:pPr>
      <w:r>
        <w:t xml:space="preserve">revise </w:t>
      </w:r>
      <w:r w:rsidR="00DA2532">
        <w:t xml:space="preserve">the GOOS approach to projects to </w:t>
      </w:r>
      <w:r>
        <w:t>move</w:t>
      </w:r>
      <w:r w:rsidR="00DA2532">
        <w:t xml:space="preserve"> towards a clearly defined GOOS endorsement process and innovation role and legacy for </w:t>
      </w:r>
      <w:proofErr w:type="gramStart"/>
      <w:r w:rsidR="00DA2532">
        <w:t>GOOS;</w:t>
      </w:r>
      <w:proofErr w:type="gramEnd"/>
      <w:r w:rsidR="00DA2532">
        <w:t xml:space="preserve"> </w:t>
      </w:r>
    </w:p>
    <w:p w14:paraId="0CA60548" w14:textId="2FCC7DDD" w:rsidR="0014571A" w:rsidRDefault="00562517" w:rsidP="00562517">
      <w:pPr>
        <w:numPr>
          <w:ilvl w:val="1"/>
          <w:numId w:val="7"/>
        </w:numPr>
        <w:tabs>
          <w:tab w:val="clear" w:pos="567"/>
        </w:tabs>
        <w:spacing w:after="120"/>
        <w:ind w:left="1260" w:hanging="693"/>
        <w:jc w:val="both"/>
      </w:pPr>
      <w:r>
        <w:t xml:space="preserve">support </w:t>
      </w:r>
      <w:r w:rsidR="00DA2532">
        <w:t>an intersessional GOOS</w:t>
      </w:r>
      <w:r>
        <w:t>-</w:t>
      </w:r>
      <w:r w:rsidR="00DA2532">
        <w:t xml:space="preserve">SC meeting to focus on GOOS Ocean Decade Programmes, achievements, integration, and GOOS legacy </w:t>
      </w:r>
      <w:proofErr w:type="gramStart"/>
      <w:r w:rsidR="00DA2532">
        <w:t>planning</w:t>
      </w:r>
      <w:r>
        <w:t>;</w:t>
      </w:r>
      <w:proofErr w:type="gramEnd"/>
      <w:r w:rsidR="00DA2532">
        <w:t xml:space="preserve"> </w:t>
      </w:r>
    </w:p>
    <w:p w14:paraId="5825415E" w14:textId="47A6EA26" w:rsidR="0014571A" w:rsidRDefault="00562517" w:rsidP="00562517">
      <w:pPr>
        <w:numPr>
          <w:ilvl w:val="1"/>
          <w:numId w:val="7"/>
        </w:numPr>
        <w:tabs>
          <w:tab w:val="clear" w:pos="567"/>
        </w:tabs>
        <w:spacing w:after="120"/>
        <w:ind w:left="1260" w:hanging="693"/>
        <w:jc w:val="both"/>
      </w:pPr>
      <w:r>
        <w:rPr>
          <w:color w:val="333333"/>
        </w:rPr>
        <w:t xml:space="preserve">build </w:t>
      </w:r>
      <w:r w:rsidR="00DA2532">
        <w:rPr>
          <w:color w:val="333333"/>
        </w:rPr>
        <w:t xml:space="preserve">a roadmap to identify coordination options with satellite community, including Committee on Earth Observation </w:t>
      </w:r>
      <w:proofErr w:type="gramStart"/>
      <w:r w:rsidR="00DA2532">
        <w:rPr>
          <w:color w:val="333333"/>
        </w:rPr>
        <w:t>Satellites;</w:t>
      </w:r>
      <w:proofErr w:type="gramEnd"/>
      <w:r w:rsidR="00DA2532">
        <w:rPr>
          <w:color w:val="333333"/>
        </w:rPr>
        <w:t xml:space="preserve"> </w:t>
      </w:r>
    </w:p>
    <w:p w14:paraId="2849A56A" w14:textId="478FA700" w:rsidR="0014571A" w:rsidRDefault="00562517" w:rsidP="005C2CD8">
      <w:pPr>
        <w:numPr>
          <w:ilvl w:val="1"/>
          <w:numId w:val="7"/>
        </w:numPr>
        <w:tabs>
          <w:tab w:val="clear" w:pos="567"/>
        </w:tabs>
        <w:spacing w:after="120"/>
        <w:ind w:left="1260" w:hanging="693"/>
        <w:jc w:val="both"/>
      </w:pPr>
      <w:r w:rsidRPr="00562517">
        <w:rPr>
          <w:color w:val="333333"/>
        </w:rPr>
        <w:t xml:space="preserve">develop </w:t>
      </w:r>
      <w:r w:rsidR="00DA2532" w:rsidRPr="00562517">
        <w:rPr>
          <w:color w:val="333333"/>
        </w:rPr>
        <w:t xml:space="preserve">a GOOS strategy for engagement with the private sector; continue building opportunities for private sector engagement with GOOS, including in partnership with </w:t>
      </w:r>
      <w:r w:rsidRPr="00562517">
        <w:rPr>
          <w:color w:val="333333"/>
          <w:lang w:val="en-US"/>
        </w:rPr>
        <w:t xml:space="preserve">the </w:t>
      </w:r>
      <w:r w:rsidRPr="00562517">
        <w:rPr>
          <w:bCs/>
          <w:color w:val="333333"/>
          <w:lang w:val="en-US"/>
        </w:rPr>
        <w:t xml:space="preserve">Marine Technology Society (MTS), </w:t>
      </w:r>
      <w:r w:rsidR="00DA2532" w:rsidRPr="00562517">
        <w:rPr>
          <w:color w:val="333333"/>
        </w:rPr>
        <w:t xml:space="preserve">NOAA and the private sector in the Ocean Enterprise </w:t>
      </w:r>
      <w:proofErr w:type="gramStart"/>
      <w:r w:rsidR="00DA2532" w:rsidRPr="00562517">
        <w:rPr>
          <w:color w:val="333333"/>
        </w:rPr>
        <w:t>Initiative;</w:t>
      </w:r>
      <w:proofErr w:type="gramEnd"/>
      <w:r w:rsidR="00DA2532" w:rsidRPr="00562517">
        <w:rPr>
          <w:color w:val="333333"/>
        </w:rPr>
        <w:t xml:space="preserve"> </w:t>
      </w:r>
    </w:p>
    <w:p w14:paraId="2C5BAD6C" w14:textId="36BAECBD" w:rsidR="0014571A" w:rsidRDefault="00562517" w:rsidP="00562517">
      <w:pPr>
        <w:numPr>
          <w:ilvl w:val="1"/>
          <w:numId w:val="7"/>
        </w:numPr>
        <w:tabs>
          <w:tab w:val="clear" w:pos="567"/>
        </w:tabs>
        <w:spacing w:after="120"/>
        <w:ind w:left="1260" w:hanging="693"/>
        <w:jc w:val="both"/>
      </w:pPr>
      <w:r>
        <w:rPr>
          <w:color w:val="333333"/>
        </w:rPr>
        <w:lastRenderedPageBreak/>
        <w:t xml:space="preserve">support </w:t>
      </w:r>
      <w:r w:rsidR="00DA2532">
        <w:rPr>
          <w:color w:val="333333"/>
        </w:rPr>
        <w:t>the evolution of Ocean Best Practices System towards being an IOC Ocean Best Practices (OBPS) System (agenda item 3.4.4</w:t>
      </w:r>
      <w:proofErr w:type="gramStart"/>
      <w:r w:rsidR="00DA2532">
        <w:rPr>
          <w:color w:val="333333"/>
        </w:rPr>
        <w:t>);</w:t>
      </w:r>
      <w:proofErr w:type="gramEnd"/>
    </w:p>
    <w:p w14:paraId="5418E0E0" w14:textId="2DA379FF" w:rsidR="0014571A" w:rsidRDefault="00562517" w:rsidP="00562517">
      <w:pPr>
        <w:numPr>
          <w:ilvl w:val="1"/>
          <w:numId w:val="7"/>
        </w:numPr>
        <w:tabs>
          <w:tab w:val="clear" w:pos="567"/>
        </w:tabs>
        <w:spacing w:after="240"/>
        <w:ind w:left="1260" w:hanging="693"/>
        <w:jc w:val="both"/>
      </w:pPr>
      <w:r>
        <w:rPr>
          <w:color w:val="333333"/>
        </w:rPr>
        <w:t xml:space="preserve">produce </w:t>
      </w:r>
      <w:r w:rsidR="00DA2532" w:rsidRPr="00562517">
        <w:rPr>
          <w:i/>
          <w:iCs/>
          <w:color w:val="333333"/>
        </w:rPr>
        <w:t>GOOS Report Card 2025</w:t>
      </w:r>
      <w:r w:rsidR="00944FA0">
        <w:rPr>
          <w:color w:val="333333"/>
        </w:rPr>
        <w:t>—</w:t>
      </w:r>
      <w:r w:rsidRPr="00562517">
        <w:rPr>
          <w:color w:val="333333"/>
        </w:rPr>
        <w:t xml:space="preserve">an annual high-level report </w:t>
      </w:r>
      <w:r w:rsidR="00944FA0">
        <w:rPr>
          <w:color w:val="333333"/>
        </w:rPr>
        <w:t xml:space="preserve">on </w:t>
      </w:r>
      <w:r w:rsidRPr="00562517">
        <w:rPr>
          <w:color w:val="333333"/>
        </w:rPr>
        <w:t>the state, capacity, and value of the global ocean observing system</w:t>
      </w:r>
      <w:r w:rsidR="00DA2532">
        <w:rPr>
          <w:color w:val="333333"/>
        </w:rPr>
        <w:t xml:space="preserve"> </w:t>
      </w:r>
      <w:r w:rsidR="00944FA0">
        <w:rPr>
          <w:color w:val="333333"/>
        </w:rPr>
        <w:t xml:space="preserve">developed in collaboration with OceanOPS </w:t>
      </w:r>
      <w:r w:rsidR="00DA2532">
        <w:rPr>
          <w:color w:val="333333"/>
        </w:rPr>
        <w:t xml:space="preserve">(and 2026, 2027). </w:t>
      </w:r>
    </w:p>
    <w:p w14:paraId="5977C6A4" w14:textId="77777777"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sidRPr="00944FA0">
        <w:rPr>
          <w:u w:val="single"/>
        </w:rPr>
        <w:t>Additional resource needs</w:t>
      </w:r>
      <w:r>
        <w:t>: Support for engagement with the private sector would be helped by 20% FTE in-kind support, OBPS P2 FTE (across IOC).</w:t>
      </w:r>
    </w:p>
    <w:p w14:paraId="630C768A" w14:textId="77777777" w:rsidR="0014571A" w:rsidRPr="00944FA0" w:rsidRDefault="00DA2532" w:rsidP="00944FA0">
      <w:pPr>
        <w:numPr>
          <w:ilvl w:val="0"/>
          <w:numId w:val="3"/>
        </w:numPr>
        <w:pBdr>
          <w:top w:val="nil"/>
          <w:left w:val="nil"/>
          <w:bottom w:val="nil"/>
          <w:right w:val="nil"/>
          <w:between w:val="nil"/>
        </w:pBdr>
        <w:tabs>
          <w:tab w:val="clear" w:pos="567"/>
        </w:tabs>
        <w:spacing w:after="200"/>
        <w:ind w:left="709" w:hanging="709"/>
        <w:jc w:val="both"/>
        <w:rPr>
          <w:b/>
          <w:u w:val="single"/>
        </w:rPr>
      </w:pPr>
      <w:r w:rsidRPr="00944FA0">
        <w:rPr>
          <w:b/>
          <w:u w:val="single"/>
        </w:rPr>
        <w:t>GOOS Reform (GOOS 2030 Strategy, Goal 3)</w:t>
      </w:r>
    </w:p>
    <w:p w14:paraId="702C7AB9" w14:textId="4DA6833D"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sidRPr="00944FA0">
        <w:rPr>
          <w:u w:val="single"/>
        </w:rPr>
        <w:t>Overview</w:t>
      </w:r>
      <w:r>
        <w:t>: Following mandates from Member States (see agenda item 4.5.1), GOOS reform is a vital part of the workplan over the next biennium, as highlighted in the GOOS Strategy goal</w:t>
      </w:r>
      <w:r w:rsidR="00944FA0">
        <w:t> </w:t>
      </w:r>
      <w:r>
        <w:t>3</w:t>
      </w:r>
      <w:r w:rsidR="00944FA0">
        <w:t>:</w:t>
      </w:r>
      <w:r>
        <w:t xml:space="preserve"> deliver a GOOS fit</w:t>
      </w:r>
      <w:r w:rsidR="00944FA0">
        <w:t xml:space="preserve"> </w:t>
      </w:r>
      <w:r>
        <w:t>for the future. The GOOS</w:t>
      </w:r>
      <w:r w:rsidR="00944FA0">
        <w:t>-</w:t>
      </w:r>
      <w:r>
        <w:t>SC recognises the need for a critical global infrastructure for ocean observing.</w:t>
      </w:r>
      <w:r>
        <w:rPr>
          <w:i/>
        </w:rPr>
        <w:t xml:space="preserve"> </w:t>
      </w:r>
      <w:r>
        <w:t xml:space="preserve"> </w:t>
      </w:r>
    </w:p>
    <w:p w14:paraId="756D0F4D" w14:textId="07C12270" w:rsidR="0014571A" w:rsidRDefault="00DA2532" w:rsidP="00944FA0">
      <w:pPr>
        <w:numPr>
          <w:ilvl w:val="0"/>
          <w:numId w:val="2"/>
        </w:numPr>
        <w:pBdr>
          <w:top w:val="nil"/>
          <w:left w:val="nil"/>
          <w:bottom w:val="nil"/>
          <w:right w:val="nil"/>
          <w:between w:val="nil"/>
        </w:pBdr>
        <w:tabs>
          <w:tab w:val="clear" w:pos="567"/>
          <w:tab w:val="left" w:pos="709"/>
        </w:tabs>
        <w:spacing w:after="120"/>
        <w:jc w:val="both"/>
      </w:pPr>
      <w:r w:rsidRPr="00944FA0">
        <w:rPr>
          <w:u w:val="single"/>
        </w:rPr>
        <w:t>Actions</w:t>
      </w:r>
      <w:r>
        <w:t>: Undertake GOOS reform as a double diamond approach</w:t>
      </w:r>
      <w:r w:rsidR="00944FA0">
        <w:t>:</w:t>
      </w:r>
      <w:r>
        <w:t xml:space="preserve"> </w:t>
      </w:r>
    </w:p>
    <w:p w14:paraId="73F1062A" w14:textId="17B57254" w:rsidR="0014571A" w:rsidRDefault="00DA2532" w:rsidP="00944FA0">
      <w:pPr>
        <w:numPr>
          <w:ilvl w:val="1"/>
          <w:numId w:val="8"/>
        </w:numPr>
        <w:tabs>
          <w:tab w:val="clear" w:pos="567"/>
        </w:tabs>
        <w:spacing w:after="120"/>
        <w:ind w:left="1276" w:hanging="567"/>
        <w:jc w:val="both"/>
      </w:pPr>
      <w:r>
        <w:t xml:space="preserve">The first diamond is being undertaken in 2025 and includes, with the support of a consultancy, a </w:t>
      </w:r>
      <w:r w:rsidR="00944FA0">
        <w:t>‘</w:t>
      </w:r>
      <w:r>
        <w:t>GOOS Mission</w:t>
      </w:r>
      <w:r w:rsidR="00944FA0">
        <w:t>’</w:t>
      </w:r>
      <w:r>
        <w:t xml:space="preserve"> and scoping review report, a </w:t>
      </w:r>
      <w:r w:rsidR="00944FA0">
        <w:t>‘</w:t>
      </w:r>
      <w:r>
        <w:t>GOOS Structure</w:t>
      </w:r>
      <w:r w:rsidR="00944FA0">
        <w:t>’</w:t>
      </w:r>
      <w:r>
        <w:t xml:space="preserve"> review report and generation of an initial proposal for GOOS reform alongside development of a </w:t>
      </w:r>
      <w:r w:rsidR="00944FA0">
        <w:t>‘</w:t>
      </w:r>
      <w:r>
        <w:t>GOOS Communication Toolkit</w:t>
      </w:r>
      <w:r w:rsidR="00944FA0">
        <w:t>’</w:t>
      </w:r>
      <w:r>
        <w:t xml:space="preserve"> (2025). </w:t>
      </w:r>
    </w:p>
    <w:p w14:paraId="00866994" w14:textId="4E829C10" w:rsidR="0014571A" w:rsidRDefault="00DA2532" w:rsidP="00944FA0">
      <w:pPr>
        <w:numPr>
          <w:ilvl w:val="1"/>
          <w:numId w:val="8"/>
        </w:numPr>
        <w:tabs>
          <w:tab w:val="clear" w:pos="567"/>
        </w:tabs>
        <w:spacing w:after="240"/>
        <w:ind w:left="1276" w:hanging="567"/>
        <w:jc w:val="both"/>
      </w:pPr>
      <w:r>
        <w:t xml:space="preserve">On the basis of the outcomes from the first diamond, the second diamond from 2026 onwards will consider delivery of a revised structure and governance of GOOS (mission, scope, structure, revision of </w:t>
      </w:r>
      <w:r w:rsidR="00944FA0">
        <w:t>terms of reference</w:t>
      </w:r>
      <w:r>
        <w:t xml:space="preserve">, delivery mechanisms), a user and uptake strategy, production of a GOOS basic observing network plan, GOOS Communication Plan and a revision of the GOOS 2030 </w:t>
      </w:r>
      <w:r w:rsidR="00944FA0">
        <w:t>Strategy</w:t>
      </w:r>
      <w:r>
        <w:t>, alongside coordination on the IOC data architecture.</w:t>
      </w:r>
    </w:p>
    <w:p w14:paraId="3F8D1108" w14:textId="4A2B4E11"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sidRPr="00944FA0">
        <w:rPr>
          <w:u w:val="single"/>
        </w:rPr>
        <w:t>Resources</w:t>
      </w:r>
      <w:r>
        <w:t>: The first diamond is covered by the current regular budget, the second diamond resource needs are to be determined</w:t>
      </w:r>
      <w:r w:rsidR="00944FA0">
        <w:t xml:space="preserve"> (</w:t>
      </w:r>
      <w:proofErr w:type="spellStart"/>
      <w:r w:rsidR="00944FA0">
        <w:t>cf</w:t>
      </w:r>
      <w:proofErr w:type="spellEnd"/>
      <w:r w:rsidR="00944FA0">
        <w:t xml:space="preserve"> document </w:t>
      </w:r>
      <w:bookmarkStart w:id="0" w:name="_Hlk136349465"/>
      <w:r w:rsidR="00944FA0">
        <w:rPr>
          <w:color w:val="000000" w:themeColor="text1"/>
          <w:sz w:val="20"/>
          <w:szCs w:val="20"/>
        </w:rPr>
        <w:fldChar w:fldCharType="begin"/>
      </w:r>
      <w:r w:rsidR="00944FA0">
        <w:rPr>
          <w:color w:val="000000" w:themeColor="text1"/>
          <w:sz w:val="20"/>
          <w:szCs w:val="20"/>
        </w:rPr>
        <w:instrText>HYPERLINK "https://oceanexpert.org/document/36643"</w:instrText>
      </w:r>
      <w:r w:rsidR="00944FA0">
        <w:rPr>
          <w:color w:val="000000" w:themeColor="text1"/>
          <w:sz w:val="20"/>
          <w:szCs w:val="20"/>
        </w:rPr>
      </w:r>
      <w:r w:rsidR="00944FA0">
        <w:rPr>
          <w:color w:val="000000" w:themeColor="text1"/>
          <w:sz w:val="20"/>
          <w:szCs w:val="20"/>
        </w:rPr>
        <w:fldChar w:fldCharType="separate"/>
      </w:r>
      <w:r w:rsidR="00944FA0" w:rsidRPr="00944FA0">
        <w:rPr>
          <w:rStyle w:val="Hyperlink"/>
          <w:sz w:val="20"/>
          <w:szCs w:val="20"/>
        </w:rPr>
        <w:t>IOC/A-33/4.5.1.Doc(1)</w:t>
      </w:r>
      <w:bookmarkEnd w:id="0"/>
      <w:r w:rsidR="00944FA0">
        <w:rPr>
          <w:color w:val="000000" w:themeColor="text1"/>
          <w:sz w:val="20"/>
          <w:szCs w:val="20"/>
        </w:rPr>
        <w:fldChar w:fldCharType="end"/>
      </w:r>
      <w:r w:rsidR="00944FA0">
        <w:rPr>
          <w:color w:val="000000" w:themeColor="text1"/>
          <w:sz w:val="20"/>
          <w:szCs w:val="20"/>
        </w:rPr>
        <w:t>)</w:t>
      </w:r>
      <w:r>
        <w:t xml:space="preserve">. </w:t>
      </w:r>
    </w:p>
    <w:p w14:paraId="21D33793" w14:textId="77777777" w:rsidR="0014571A" w:rsidRDefault="00DA2532">
      <w:pPr>
        <w:pStyle w:val="Heading3"/>
      </w:pPr>
      <w:r>
        <w:t>Financial and administrative implications</w:t>
      </w:r>
    </w:p>
    <w:p w14:paraId="3F07D546" w14:textId="26209C85" w:rsidR="0014571A" w:rsidRDefault="00DA2532" w:rsidP="00942637">
      <w:pPr>
        <w:numPr>
          <w:ilvl w:val="0"/>
          <w:numId w:val="2"/>
        </w:numPr>
        <w:pBdr>
          <w:top w:val="nil"/>
          <w:left w:val="nil"/>
          <w:bottom w:val="nil"/>
          <w:right w:val="nil"/>
          <w:between w:val="nil"/>
        </w:pBdr>
        <w:tabs>
          <w:tab w:val="clear" w:pos="567"/>
          <w:tab w:val="left" w:pos="709"/>
        </w:tabs>
        <w:spacing w:after="240"/>
        <w:jc w:val="both"/>
        <w:rPr>
          <w:color w:val="000000"/>
        </w:rPr>
      </w:pPr>
      <w:r>
        <w:t>The following Member States or organi</w:t>
      </w:r>
      <w:r w:rsidR="00944FA0">
        <w:t>z</w:t>
      </w:r>
      <w:r>
        <w:t>ations have made specific financial or in-kind contributions to support GOOS coordination during the 2024</w:t>
      </w:r>
      <w:r w:rsidR="00944FA0">
        <w:t>–</w:t>
      </w:r>
      <w:r>
        <w:t xml:space="preserve">2025 period: China, Denmark, European Commission, France, Monaco, Norway, USA, and </w:t>
      </w:r>
      <w:r w:rsidR="0020080F">
        <w:t xml:space="preserve">the </w:t>
      </w:r>
      <w:r w:rsidR="0020080F" w:rsidRPr="0020080F">
        <w:t>World Meteorological Organization</w:t>
      </w:r>
      <w:r>
        <w:t>.</w:t>
      </w:r>
    </w:p>
    <w:p w14:paraId="2A8DB439" w14:textId="4D80196D" w:rsidR="0014571A" w:rsidRDefault="00DA2532" w:rsidP="00942637">
      <w:pPr>
        <w:numPr>
          <w:ilvl w:val="0"/>
          <w:numId w:val="2"/>
        </w:numPr>
        <w:pBdr>
          <w:top w:val="nil"/>
          <w:left w:val="nil"/>
          <w:bottom w:val="nil"/>
          <w:right w:val="nil"/>
          <w:between w:val="nil"/>
        </w:pBdr>
        <w:tabs>
          <w:tab w:val="clear" w:pos="567"/>
          <w:tab w:val="left" w:pos="709"/>
        </w:tabs>
        <w:spacing w:after="240"/>
        <w:jc w:val="both"/>
        <w:rPr>
          <w:color w:val="000000"/>
        </w:rPr>
      </w:pPr>
      <w:r>
        <w:t xml:space="preserve">The </w:t>
      </w:r>
      <w:r w:rsidR="0020080F">
        <w:t xml:space="preserve">immediate </w:t>
      </w:r>
      <w:r>
        <w:t xml:space="preserve">financial and administrative implications are </w:t>
      </w:r>
      <w:proofErr w:type="gramStart"/>
      <w:r w:rsidR="0020080F">
        <w:t>taken into account</w:t>
      </w:r>
      <w:proofErr w:type="gramEnd"/>
      <w:r>
        <w:t xml:space="preserve"> in the parameters of the </w:t>
      </w:r>
      <w:r w:rsidR="0020080F">
        <w:t xml:space="preserve">IOC’s </w:t>
      </w:r>
      <w:r>
        <w:t xml:space="preserve">regular budget, specifically IOC Output 1 of </w:t>
      </w:r>
      <w:r w:rsidR="0020080F">
        <w:t xml:space="preserve">Programme and Budget </w:t>
      </w:r>
      <w:r>
        <w:t>42</w:t>
      </w:r>
      <w:r w:rsidR="0020080F">
        <w:t> </w:t>
      </w:r>
      <w:r>
        <w:t>C/5</w:t>
      </w:r>
      <w:r w:rsidR="0020080F">
        <w:t>,</w:t>
      </w:r>
      <w:r>
        <w:t xml:space="preserve"> and </w:t>
      </w:r>
      <w:r w:rsidR="0020080F">
        <w:t xml:space="preserve">next </w:t>
      </w:r>
      <w:r>
        <w:t>43</w:t>
      </w:r>
      <w:r w:rsidR="0020080F">
        <w:t> </w:t>
      </w:r>
      <w:r>
        <w:t>C/5 budget</w:t>
      </w:r>
      <w:r>
        <w:rPr>
          <w:color w:val="000000"/>
        </w:rPr>
        <w:t xml:space="preserve">. </w:t>
      </w:r>
      <w:r>
        <w:t xml:space="preserve">Despite the increase in funding to GOOS </w:t>
      </w:r>
      <w:r w:rsidR="0020080F">
        <w:t xml:space="preserve">allocated in the </w:t>
      </w:r>
      <w:r>
        <w:t>42</w:t>
      </w:r>
      <w:r w:rsidR="0020080F">
        <w:t> </w:t>
      </w:r>
      <w:r>
        <w:t xml:space="preserve">C/5, there </w:t>
      </w:r>
      <w:r w:rsidR="0020080F">
        <w:t>remains</w:t>
      </w:r>
      <w:r>
        <w:t xml:space="preserve"> a shortfall in resources, as indicated in the workplan above</w:t>
      </w:r>
      <w:r w:rsidR="00E43541">
        <w:t xml:space="preserve"> (paragraph 5)</w:t>
      </w:r>
      <w:r>
        <w:rPr>
          <w:color w:val="000000"/>
        </w:rPr>
        <w:t xml:space="preserve">. </w:t>
      </w:r>
    </w:p>
    <w:sectPr w:rsidR="0014571A">
      <w:headerReference w:type="even" r:id="rId14"/>
      <w:headerReference w:type="default" r:id="rId15"/>
      <w:headerReference w:type="first" r:id="rId16"/>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BED4" w14:textId="77777777" w:rsidR="0085447D" w:rsidRDefault="0085447D">
      <w:r>
        <w:separator/>
      </w:r>
    </w:p>
  </w:endnote>
  <w:endnote w:type="continuationSeparator" w:id="0">
    <w:p w14:paraId="67B0DAEC" w14:textId="77777777" w:rsidR="0085447D" w:rsidRDefault="0085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D063" w14:textId="77777777" w:rsidR="0085447D" w:rsidRDefault="0085447D">
      <w:r>
        <w:separator/>
      </w:r>
    </w:p>
  </w:footnote>
  <w:footnote w:type="continuationSeparator" w:id="0">
    <w:p w14:paraId="6342AF71" w14:textId="77777777" w:rsidR="0085447D" w:rsidRDefault="0085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7DD6" w14:textId="3BFEFF35" w:rsidR="0014571A" w:rsidRPr="004A4FF3" w:rsidRDefault="00942637">
    <w:pPr>
      <w:pBdr>
        <w:top w:val="nil"/>
        <w:left w:val="nil"/>
        <w:bottom w:val="nil"/>
        <w:right w:val="nil"/>
        <w:between w:val="nil"/>
      </w:pBdr>
      <w:tabs>
        <w:tab w:val="center" w:pos="4153"/>
        <w:tab w:val="right" w:pos="8306"/>
      </w:tabs>
      <w:rPr>
        <w:color w:val="000000"/>
        <w:sz w:val="20"/>
        <w:szCs w:val="20"/>
        <w:lang w:val="fr-FR"/>
      </w:rPr>
    </w:pPr>
    <w:r w:rsidRPr="00942637">
      <w:rPr>
        <w:color w:val="000000"/>
        <w:sz w:val="20"/>
        <w:szCs w:val="20"/>
        <w:lang w:val="fr-FR"/>
      </w:rPr>
      <w:t>IOC/A-33/4.5.</w:t>
    </w:r>
    <w:proofErr w:type="gramStart"/>
    <w:r w:rsidRPr="00942637">
      <w:rPr>
        <w:color w:val="000000"/>
        <w:sz w:val="20"/>
        <w:szCs w:val="20"/>
        <w:lang w:val="fr-FR"/>
      </w:rPr>
      <w:t>2.Doc</w:t>
    </w:r>
    <w:proofErr w:type="gramEnd"/>
    <w:r w:rsidRPr="00942637">
      <w:rPr>
        <w:color w:val="000000"/>
        <w:sz w:val="20"/>
        <w:szCs w:val="20"/>
        <w:lang w:val="fr-FR"/>
      </w:rPr>
      <w:t>(1)</w:t>
    </w:r>
  </w:p>
  <w:p w14:paraId="63E0516F" w14:textId="4DA88CFC" w:rsidR="0014571A" w:rsidRPr="004A4FF3" w:rsidRDefault="00DA2532">
    <w:pPr>
      <w:pBdr>
        <w:top w:val="nil"/>
        <w:left w:val="nil"/>
        <w:bottom w:val="nil"/>
        <w:right w:val="nil"/>
        <w:between w:val="nil"/>
      </w:pBdr>
      <w:tabs>
        <w:tab w:val="center" w:pos="4153"/>
        <w:tab w:val="right" w:pos="8306"/>
      </w:tabs>
      <w:rPr>
        <w:color w:val="000000"/>
        <w:sz w:val="20"/>
        <w:szCs w:val="20"/>
        <w:lang w:val="fr-FR"/>
      </w:rPr>
    </w:pPr>
    <w:proofErr w:type="gramStart"/>
    <w:r w:rsidRPr="004A4FF3">
      <w:rPr>
        <w:color w:val="000000"/>
        <w:sz w:val="20"/>
        <w:szCs w:val="20"/>
        <w:lang w:val="fr-FR"/>
      </w:rPr>
      <w:t>page</w:t>
    </w:r>
    <w:proofErr w:type="gramEnd"/>
    <w:r w:rsidRPr="004A4FF3">
      <w:rPr>
        <w:color w:val="000000"/>
        <w:sz w:val="20"/>
        <w:szCs w:val="20"/>
        <w:lang w:val="fr-FR"/>
      </w:rPr>
      <w:t> </w:t>
    </w:r>
    <w:r>
      <w:rPr>
        <w:color w:val="000000"/>
        <w:sz w:val="20"/>
        <w:szCs w:val="20"/>
      </w:rPr>
      <w:fldChar w:fldCharType="begin"/>
    </w:r>
    <w:r w:rsidRPr="004A4FF3">
      <w:rPr>
        <w:color w:val="000000"/>
        <w:sz w:val="20"/>
        <w:szCs w:val="20"/>
        <w:lang w:val="fr-FR"/>
      </w:rPr>
      <w:instrText>PAGE</w:instrText>
    </w:r>
    <w:r>
      <w:rPr>
        <w:color w:val="000000"/>
        <w:sz w:val="20"/>
        <w:szCs w:val="20"/>
      </w:rPr>
      <w:fldChar w:fldCharType="separate"/>
    </w:r>
    <w:r w:rsidR="004A4FF3" w:rsidRPr="004A4FF3">
      <w:rPr>
        <w:noProof/>
        <w:color w:val="000000"/>
        <w:sz w:val="20"/>
        <w:szCs w:val="20"/>
        <w:lang w:val="fr-FR"/>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9774" w14:textId="27DD0D83" w:rsidR="0014571A" w:rsidRPr="004A4FF3" w:rsidRDefault="00942637" w:rsidP="00942637">
    <w:pPr>
      <w:pBdr>
        <w:top w:val="nil"/>
        <w:left w:val="nil"/>
        <w:bottom w:val="nil"/>
        <w:right w:val="nil"/>
        <w:between w:val="nil"/>
      </w:pBdr>
      <w:tabs>
        <w:tab w:val="center" w:pos="4153"/>
        <w:tab w:val="right" w:pos="8306"/>
      </w:tabs>
      <w:ind w:left="7513"/>
      <w:rPr>
        <w:color w:val="000000"/>
        <w:lang w:val="fr-FR"/>
      </w:rPr>
    </w:pPr>
    <w:bookmarkStart w:id="1" w:name="_Hlk135735159"/>
    <w:r w:rsidRPr="00801FB8">
      <w:rPr>
        <w:color w:val="000000" w:themeColor="text1"/>
        <w:sz w:val="20"/>
        <w:szCs w:val="20"/>
      </w:rPr>
      <w:t>IOC/A-33/4.5.</w:t>
    </w:r>
    <w:proofErr w:type="gramStart"/>
    <w:r w:rsidRPr="00801FB8">
      <w:rPr>
        <w:color w:val="000000" w:themeColor="text1"/>
        <w:sz w:val="20"/>
        <w:szCs w:val="20"/>
      </w:rPr>
      <w:t>2.Doc</w:t>
    </w:r>
    <w:proofErr w:type="gramEnd"/>
    <w:r w:rsidRPr="00801FB8">
      <w:rPr>
        <w:color w:val="000000" w:themeColor="text1"/>
        <w:sz w:val="20"/>
        <w:szCs w:val="20"/>
      </w:rPr>
      <w:t>(1)</w:t>
    </w:r>
    <w:bookmarkEnd w:id="1"/>
  </w:p>
  <w:p w14:paraId="33ED21FF" w14:textId="56359033" w:rsidR="0014571A" w:rsidRPr="004A4FF3" w:rsidRDefault="00DA2532" w:rsidP="00942637">
    <w:pPr>
      <w:pBdr>
        <w:top w:val="nil"/>
        <w:left w:val="nil"/>
        <w:bottom w:val="nil"/>
        <w:right w:val="nil"/>
        <w:between w:val="nil"/>
      </w:pBdr>
      <w:tabs>
        <w:tab w:val="center" w:pos="4153"/>
        <w:tab w:val="right" w:pos="8306"/>
      </w:tabs>
      <w:ind w:left="7513"/>
      <w:rPr>
        <w:color w:val="000000"/>
        <w:lang w:val="fr-FR"/>
      </w:rPr>
    </w:pPr>
    <w:proofErr w:type="gramStart"/>
    <w:r w:rsidRPr="004A4FF3">
      <w:rPr>
        <w:color w:val="000000"/>
        <w:lang w:val="fr-FR"/>
      </w:rPr>
      <w:t>page</w:t>
    </w:r>
    <w:proofErr w:type="gramEnd"/>
    <w:r w:rsidRPr="004A4FF3">
      <w:rPr>
        <w:color w:val="000000"/>
        <w:lang w:val="fr-FR"/>
      </w:rPr>
      <w:t> </w:t>
    </w:r>
    <w:r>
      <w:rPr>
        <w:color w:val="000000"/>
      </w:rPr>
      <w:fldChar w:fldCharType="begin"/>
    </w:r>
    <w:r w:rsidRPr="004A4FF3">
      <w:rPr>
        <w:color w:val="000000"/>
        <w:lang w:val="fr-FR"/>
      </w:rPr>
      <w:instrText>PAGE</w:instrText>
    </w:r>
    <w:r>
      <w:rPr>
        <w:color w:val="000000"/>
      </w:rPr>
      <w:fldChar w:fldCharType="separate"/>
    </w:r>
    <w:r w:rsidR="004A4FF3" w:rsidRPr="004A4FF3">
      <w:rPr>
        <w:noProof/>
        <w:color w:val="000000"/>
        <w:lang w:val="fr-FR"/>
      </w:rPr>
      <w:t>3</w:t>
    </w:r>
    <w:r>
      <w:rPr>
        <w:color w:val="000000"/>
      </w:rPr>
      <w:fldChar w:fldCharType="end"/>
    </w:r>
  </w:p>
  <w:p w14:paraId="2B3DF9D9" w14:textId="77777777" w:rsidR="0014571A" w:rsidRPr="004A4FF3" w:rsidRDefault="0014571A" w:rsidP="00942637">
    <w:pPr>
      <w:pBdr>
        <w:top w:val="nil"/>
        <w:left w:val="nil"/>
        <w:bottom w:val="nil"/>
        <w:right w:val="nil"/>
        <w:between w:val="nil"/>
      </w:pBdr>
      <w:tabs>
        <w:tab w:val="center" w:pos="4153"/>
        <w:tab w:val="right" w:pos="8306"/>
      </w:tabs>
      <w:ind w:left="7513"/>
      <w:rPr>
        <w:color w:val="00000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805B" w14:textId="77777777" w:rsidR="00DB694B" w:rsidRDefault="00DB694B" w:rsidP="00DB694B">
    <w:pPr>
      <w:pBdr>
        <w:top w:val="nil"/>
        <w:left w:val="nil"/>
        <w:bottom w:val="nil"/>
        <w:right w:val="nil"/>
        <w:between w:val="nil"/>
      </w:pBdr>
      <w:tabs>
        <w:tab w:val="left" w:pos="5954"/>
        <w:tab w:val="left" w:pos="7560"/>
      </w:tabs>
      <w:jc w:val="both"/>
      <w:rPr>
        <w:b/>
        <w:color w:val="000000"/>
      </w:rPr>
    </w:pPr>
    <w:r>
      <w:rPr>
        <w:color w:val="000000"/>
      </w:rPr>
      <w:t>Restricted Distribution</w:t>
    </w:r>
    <w:r>
      <w:rPr>
        <w:color w:val="000000"/>
      </w:rPr>
      <w:tab/>
    </w:r>
    <w:r w:rsidRPr="00942637">
      <w:rPr>
        <w:b/>
        <w:color w:val="000000"/>
        <w:sz w:val="36"/>
        <w:szCs w:val="36"/>
      </w:rPr>
      <w:t>IOC/A-33/4.5.</w:t>
    </w:r>
    <w:proofErr w:type="gramStart"/>
    <w:r w:rsidRPr="00942637">
      <w:rPr>
        <w:b/>
        <w:color w:val="000000"/>
        <w:sz w:val="36"/>
        <w:szCs w:val="36"/>
      </w:rPr>
      <w:t>2.Doc</w:t>
    </w:r>
    <w:proofErr w:type="gramEnd"/>
    <w:r w:rsidRPr="00942637">
      <w:rPr>
        <w:b/>
        <w:color w:val="000000"/>
        <w:sz w:val="36"/>
        <w:szCs w:val="36"/>
      </w:rPr>
      <w:t>(1)</w:t>
    </w:r>
  </w:p>
  <w:p w14:paraId="183CDBA2" w14:textId="03078EED" w:rsidR="00DB694B" w:rsidRDefault="00DB694B" w:rsidP="00DB694B">
    <w:pPr>
      <w:tabs>
        <w:tab w:val="left" w:pos="5954"/>
        <w:tab w:val="left" w:pos="7560"/>
      </w:tabs>
      <w:jc w:val="both"/>
    </w:pPr>
    <w:r>
      <w:rPr>
        <w:noProof/>
      </w:rPr>
      <w:drawing>
        <wp:anchor distT="0" distB="0" distL="114300" distR="114300" simplePos="0" relativeHeight="251659264" behindDoc="0" locked="0" layoutInCell="1" hidden="0" allowOverlap="1" wp14:anchorId="4898A588" wp14:editId="2313291A">
          <wp:simplePos x="0" y="0"/>
          <wp:positionH relativeFrom="column">
            <wp:posOffset>-120650</wp:posOffset>
          </wp:positionH>
          <wp:positionV relativeFrom="paragraph">
            <wp:posOffset>101600</wp:posOffset>
          </wp:positionV>
          <wp:extent cx="1578610" cy="1047115"/>
          <wp:effectExtent l="0" t="0" r="0" b="0"/>
          <wp:wrapSquare wrapText="bothSides" distT="0" distB="0" distL="114300" distR="114300"/>
          <wp:docPr id="3"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b/>
      </w:rPr>
      <w:tab/>
    </w:r>
    <w:r>
      <w:t>Paris, 14 May 2025</w:t>
    </w:r>
  </w:p>
  <w:p w14:paraId="71C28EA5" w14:textId="77777777" w:rsidR="00DB694B" w:rsidRDefault="00DB694B" w:rsidP="00DB694B">
    <w:pPr>
      <w:tabs>
        <w:tab w:val="left" w:pos="5954"/>
        <w:tab w:val="left" w:pos="7560"/>
      </w:tabs>
      <w:jc w:val="both"/>
    </w:pPr>
    <w:r>
      <w:rPr>
        <w:b/>
      </w:rPr>
      <w:tab/>
    </w:r>
    <w:r>
      <w:t>Original: English</w:t>
    </w:r>
  </w:p>
  <w:p w14:paraId="4FE74401" w14:textId="77777777" w:rsidR="00DB694B" w:rsidRDefault="00DB694B" w:rsidP="00DB694B">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7628C223"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rPr>
    </w:pPr>
  </w:p>
  <w:p w14:paraId="14ACA883"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rPr>
    </w:pPr>
  </w:p>
  <w:p w14:paraId="3EC95D5E"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rPr>
    </w:pPr>
  </w:p>
  <w:p w14:paraId="4E0FA654"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rPr>
    </w:pPr>
  </w:p>
  <w:p w14:paraId="496CD3C9"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rPr>
    </w:pPr>
  </w:p>
  <w:p w14:paraId="6F0595BE"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444E7E0E" w14:textId="77777777" w:rsidR="00DB694B" w:rsidRDefault="00DB694B" w:rsidP="00DB694B">
    <w:pPr>
      <w:tabs>
        <w:tab w:val="left" w:pos="-1440"/>
        <w:tab w:val="left" w:pos="-720"/>
        <w:tab w:val="left" w:pos="720"/>
        <w:tab w:val="left" w:pos="2160"/>
        <w:tab w:val="left" w:pos="3600"/>
        <w:tab w:val="left" w:pos="4320"/>
        <w:tab w:val="left" w:pos="5040"/>
        <w:tab w:val="left" w:pos="5523"/>
        <w:tab w:val="left" w:pos="6480"/>
      </w:tabs>
      <w:jc w:val="center"/>
    </w:pPr>
    <w:r>
      <w:t>(of UNESCO)</w:t>
    </w:r>
  </w:p>
  <w:p w14:paraId="1246A572" w14:textId="77777777" w:rsidR="00DB694B" w:rsidRDefault="00DB694B" w:rsidP="00DB694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3B45CF65" w14:textId="77777777" w:rsidR="00DB694B" w:rsidRDefault="00DB694B" w:rsidP="00DB694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rPr>
      <w:t>Thirty-third Session of the Assembly</w:t>
    </w:r>
  </w:p>
  <w:p w14:paraId="00322C63" w14:textId="77777777" w:rsidR="00DB694B" w:rsidRDefault="00DB694B" w:rsidP="00DB694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t>UNESCO, 25 June–3 July 2025</w:t>
    </w:r>
  </w:p>
  <w:p w14:paraId="1FDD8B83" w14:textId="77777777" w:rsidR="00DB694B" w:rsidRDefault="00DB694B" w:rsidP="00DB694B">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113DE740" w14:textId="77777777" w:rsidR="00DB694B" w:rsidRDefault="00DB694B" w:rsidP="00DB694B">
    <w:pPr>
      <w:jc w:val="center"/>
    </w:pPr>
  </w:p>
  <w:p w14:paraId="0EDD4F21" w14:textId="77777777" w:rsidR="00DB694B" w:rsidRDefault="00DB694B" w:rsidP="00DB694B">
    <w:pPr>
      <w:jc w:val="center"/>
    </w:pPr>
  </w:p>
  <w:p w14:paraId="5B316666" w14:textId="77777777" w:rsidR="00DB694B" w:rsidRDefault="00DB694B" w:rsidP="00DB694B">
    <w:pPr>
      <w:jc w:val="center"/>
    </w:pPr>
  </w:p>
  <w:p w14:paraId="113246DA" w14:textId="77777777" w:rsidR="00DB694B" w:rsidRDefault="00DB694B" w:rsidP="00DB694B">
    <w:pPr>
      <w:jc w:val="center"/>
    </w:pPr>
  </w:p>
  <w:p w14:paraId="50D4CCF8" w14:textId="77777777" w:rsidR="00DB694B" w:rsidRDefault="00DB694B" w:rsidP="00DB694B">
    <w:pPr>
      <w:jc w:val="center"/>
    </w:pPr>
  </w:p>
  <w:p w14:paraId="0EC833A4" w14:textId="77777777" w:rsidR="00DB694B" w:rsidRPr="00942637" w:rsidRDefault="00DB694B" w:rsidP="00DB694B">
    <w:pPr>
      <w:keepNext/>
      <w:pBdr>
        <w:top w:val="nil"/>
        <w:left w:val="nil"/>
        <w:bottom w:val="nil"/>
        <w:right w:val="nil"/>
        <w:between w:val="nil"/>
      </w:pBdr>
      <w:tabs>
        <w:tab w:val="right" w:pos="9540"/>
      </w:tabs>
      <w:rPr>
        <w:bCs/>
        <w:color w:val="000000"/>
        <w:u w:val="single"/>
      </w:rPr>
    </w:pPr>
    <w:r w:rsidRPr="00942637">
      <w:rPr>
        <w:bCs/>
        <w:color w:val="000000"/>
        <w:sz w:val="24"/>
        <w:szCs w:val="24"/>
        <w:u w:val="single"/>
      </w:rPr>
      <w:t xml:space="preserve">Item </w:t>
    </w:r>
    <w:r w:rsidRPr="00942637">
      <w:rPr>
        <w:b/>
        <w:color w:val="000000"/>
        <w:sz w:val="24"/>
        <w:szCs w:val="24"/>
        <w:u w:val="single"/>
      </w:rPr>
      <w:t>4.5.2</w:t>
    </w:r>
    <w:r w:rsidRPr="00942637">
      <w:rPr>
        <w:bCs/>
        <w:color w:val="000000"/>
        <w:sz w:val="24"/>
        <w:szCs w:val="24"/>
        <w:u w:val="single"/>
      </w:rPr>
      <w:t xml:space="preserve"> of the Provisional Agenda</w:t>
    </w:r>
  </w:p>
  <w:p w14:paraId="3171E37C" w14:textId="77777777" w:rsidR="00DB694B" w:rsidRDefault="00DB694B" w:rsidP="00DB694B"/>
  <w:p w14:paraId="7930DBC4" w14:textId="77777777" w:rsidR="00DB694B" w:rsidRDefault="00DB694B" w:rsidP="00DB694B"/>
  <w:p w14:paraId="626BF898" w14:textId="77777777" w:rsidR="00DB694B" w:rsidRDefault="00DB694B" w:rsidP="00DB694B"/>
  <w:p w14:paraId="632CCBF0" w14:textId="77777777" w:rsidR="00DB694B" w:rsidRDefault="00DB694B" w:rsidP="00DB694B">
    <w:pPr>
      <w:pBdr>
        <w:top w:val="nil"/>
        <w:left w:val="nil"/>
        <w:bottom w:val="nil"/>
        <w:right w:val="nil"/>
        <w:between w:val="nil"/>
      </w:pBdr>
      <w:tabs>
        <w:tab w:val="center" w:pos="4153"/>
        <w:tab w:val="right" w:pos="8306"/>
      </w:tabs>
      <w:jc w:val="center"/>
      <w:rPr>
        <w:color w:val="000000"/>
      </w:rPr>
    </w:pPr>
    <w:r w:rsidRPr="00942637">
      <w:rPr>
        <w:b/>
        <w:smallCaps/>
        <w:color w:val="000000"/>
        <w:sz w:val="24"/>
        <w:szCs w:val="24"/>
      </w:rPr>
      <w:t xml:space="preserve">GLOBAL OCEAN OBSERVING SYSTEM STEERING COMMITTEE </w:t>
    </w:r>
    <w:r>
      <w:rPr>
        <w:b/>
        <w:smallCaps/>
        <w:color w:val="000000"/>
        <w:sz w:val="24"/>
        <w:szCs w:val="24"/>
      </w:rPr>
      <w:br/>
    </w:r>
    <w:r w:rsidRPr="00942637">
      <w:rPr>
        <w:b/>
        <w:smallCaps/>
        <w:color w:val="000000"/>
        <w:sz w:val="24"/>
        <w:szCs w:val="24"/>
      </w:rPr>
      <w:t>WORKPLAN</w:t>
    </w:r>
  </w:p>
  <w:p w14:paraId="2D75D450" w14:textId="1A64079B" w:rsidR="0014571A" w:rsidRPr="00DB694B" w:rsidRDefault="0014571A" w:rsidP="00DB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CCB"/>
    <w:multiLevelType w:val="multilevel"/>
    <w:tmpl w:val="1056FF6A"/>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7C4A90"/>
    <w:multiLevelType w:val="multilevel"/>
    <w:tmpl w:val="4E407EC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0C5A03"/>
    <w:multiLevelType w:val="multilevel"/>
    <w:tmpl w:val="DC54FC86"/>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C741F"/>
    <w:multiLevelType w:val="multilevel"/>
    <w:tmpl w:val="03C270B4"/>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0F2429"/>
    <w:multiLevelType w:val="multilevel"/>
    <w:tmpl w:val="EC00696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C32BF3"/>
    <w:multiLevelType w:val="multilevel"/>
    <w:tmpl w:val="65167F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45B6D1D"/>
    <w:multiLevelType w:val="multilevel"/>
    <w:tmpl w:val="02D4C2A8"/>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A31F9D"/>
    <w:multiLevelType w:val="hybridMultilevel"/>
    <w:tmpl w:val="A08245FA"/>
    <w:lvl w:ilvl="0" w:tplc="8A58DE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93124903">
    <w:abstractNumId w:val="5"/>
  </w:num>
  <w:num w:numId="2" w16cid:durableId="1355300252">
    <w:abstractNumId w:val="0"/>
  </w:num>
  <w:num w:numId="3" w16cid:durableId="1575890201">
    <w:abstractNumId w:val="7"/>
  </w:num>
  <w:num w:numId="4" w16cid:durableId="1745957543">
    <w:abstractNumId w:val="4"/>
  </w:num>
  <w:num w:numId="5" w16cid:durableId="1684237455">
    <w:abstractNumId w:val="2"/>
  </w:num>
  <w:num w:numId="6" w16cid:durableId="579020915">
    <w:abstractNumId w:val="3"/>
  </w:num>
  <w:num w:numId="7" w16cid:durableId="995452093">
    <w:abstractNumId w:val="6"/>
  </w:num>
  <w:num w:numId="8" w16cid:durableId="105704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1A"/>
    <w:rsid w:val="000152FD"/>
    <w:rsid w:val="0014272A"/>
    <w:rsid w:val="0014571A"/>
    <w:rsid w:val="0020080F"/>
    <w:rsid w:val="002F295F"/>
    <w:rsid w:val="00303F08"/>
    <w:rsid w:val="003663A2"/>
    <w:rsid w:val="00411E17"/>
    <w:rsid w:val="004A4FF3"/>
    <w:rsid w:val="004C235C"/>
    <w:rsid w:val="004F49B5"/>
    <w:rsid w:val="00562517"/>
    <w:rsid w:val="0061553B"/>
    <w:rsid w:val="007B5219"/>
    <w:rsid w:val="007F78E8"/>
    <w:rsid w:val="0085447D"/>
    <w:rsid w:val="008A235A"/>
    <w:rsid w:val="00942637"/>
    <w:rsid w:val="00944FA0"/>
    <w:rsid w:val="009F0F2D"/>
    <w:rsid w:val="00AC0AE4"/>
    <w:rsid w:val="00B21B68"/>
    <w:rsid w:val="00B37CB5"/>
    <w:rsid w:val="00BF5FA1"/>
    <w:rsid w:val="00C17854"/>
    <w:rsid w:val="00C5122A"/>
    <w:rsid w:val="00DA2532"/>
    <w:rsid w:val="00DB694B"/>
    <w:rsid w:val="00DD2477"/>
    <w:rsid w:val="00E4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C71620"/>
  <w15:docId w15:val="{1DDB54BB-12E7-4BE0-A216-C1EB83FE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240"/>
      <w:jc w:val="center"/>
      <w:outlineLvl w:val="0"/>
    </w:pPr>
    <w:rPr>
      <w:b/>
    </w:rPr>
  </w:style>
  <w:style w:type="paragraph" w:styleId="Heading2">
    <w:name w:val="heading 2"/>
    <w:basedOn w:val="Normal"/>
    <w:next w:val="Normal"/>
    <w:link w:val="Heading2Char"/>
    <w:uiPriority w:val="9"/>
    <w:unhideWhenUsed/>
    <w:qFormat/>
    <w:pPr>
      <w:keepNext/>
      <w:keepLines/>
      <w:spacing w:before="480" w:after="240"/>
      <w:ind w:left="567" w:hanging="567"/>
      <w:outlineLvl w:val="1"/>
    </w:pPr>
    <w:rPr>
      <w:b/>
      <w:smallCaps/>
    </w:rPr>
  </w:style>
  <w:style w:type="paragraph" w:styleId="Heading3">
    <w:name w:val="heading 3"/>
    <w:basedOn w:val="Normal"/>
    <w:next w:val="Normal"/>
    <w:link w:val="Heading3Char"/>
    <w:uiPriority w:val="9"/>
    <w:unhideWhenUsed/>
    <w:qFormat/>
    <w:pPr>
      <w:keepNext/>
      <w:keepLines/>
      <w:spacing w:after="240"/>
      <w:outlineLvl w:val="2"/>
    </w:pPr>
    <w:rPr>
      <w:b/>
    </w:rPr>
  </w:style>
  <w:style w:type="paragraph" w:styleId="Heading4">
    <w:name w:val="heading 4"/>
    <w:basedOn w:val="Normal"/>
    <w:next w:val="Normal"/>
    <w:link w:val="Heading4Char"/>
    <w:uiPriority w:val="9"/>
    <w:semiHidden/>
    <w:unhideWhenUsed/>
    <w:qFormat/>
    <w:pPr>
      <w:keepNext/>
      <w:keepLines/>
      <w:spacing w:after="240"/>
      <w:outlineLvl w:val="3"/>
    </w:pPr>
    <w:rPr>
      <w:b/>
    </w:rPr>
  </w:style>
  <w:style w:type="paragraph" w:styleId="Heading5">
    <w:name w:val="heading 5"/>
    <w:basedOn w:val="Normal"/>
    <w:next w:val="Normal"/>
    <w:link w:val="Heading5Char"/>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link w:val="Heading6Char"/>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paragraph" w:styleId="Revision">
    <w:name w:val="Revision"/>
    <w:hidden/>
    <w:uiPriority w:val="99"/>
    <w:semiHidden/>
    <w:rsid w:val="00946928"/>
    <w:pPr>
      <w:tabs>
        <w:tab w:val="clear" w:pos="567"/>
      </w:tabs>
    </w:pPr>
  </w:style>
  <w:style w:type="paragraph" w:styleId="BalloonText">
    <w:name w:val="Balloon Text"/>
    <w:basedOn w:val="Normal"/>
    <w:link w:val="BalloonTextChar"/>
    <w:uiPriority w:val="99"/>
    <w:semiHidden/>
    <w:unhideWhenUsed/>
    <w:rsid w:val="00D26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0CD"/>
    <w:rPr>
      <w:rFonts w:ascii="Segoe UI" w:hAnsi="Segoe UI" w:cs="Segoe UI"/>
      <w:sz w:val="18"/>
      <w:szCs w:val="18"/>
    </w:rPr>
  </w:style>
  <w:style w:type="character" w:styleId="CommentReference">
    <w:name w:val="annotation reference"/>
    <w:basedOn w:val="DefaultParagraphFont"/>
    <w:uiPriority w:val="99"/>
    <w:semiHidden/>
    <w:unhideWhenUsed/>
    <w:rsid w:val="00D260CD"/>
    <w:rPr>
      <w:sz w:val="16"/>
      <w:szCs w:val="16"/>
    </w:rPr>
  </w:style>
  <w:style w:type="paragraph" w:styleId="CommentText">
    <w:name w:val="annotation text"/>
    <w:basedOn w:val="Normal"/>
    <w:link w:val="CommentTextChar"/>
    <w:uiPriority w:val="99"/>
    <w:semiHidden/>
    <w:unhideWhenUsed/>
    <w:rsid w:val="00D260CD"/>
    <w:rPr>
      <w:sz w:val="20"/>
      <w:szCs w:val="20"/>
    </w:rPr>
  </w:style>
  <w:style w:type="character" w:customStyle="1" w:styleId="CommentTextChar">
    <w:name w:val="Comment Text Char"/>
    <w:basedOn w:val="DefaultParagraphFont"/>
    <w:link w:val="CommentText"/>
    <w:uiPriority w:val="99"/>
    <w:semiHidden/>
    <w:rsid w:val="00D260CD"/>
    <w:rPr>
      <w:sz w:val="20"/>
      <w:szCs w:val="20"/>
    </w:rPr>
  </w:style>
  <w:style w:type="paragraph" w:styleId="CommentSubject">
    <w:name w:val="annotation subject"/>
    <w:basedOn w:val="CommentText"/>
    <w:next w:val="CommentText"/>
    <w:link w:val="CommentSubjectChar"/>
    <w:uiPriority w:val="99"/>
    <w:semiHidden/>
    <w:unhideWhenUsed/>
    <w:rsid w:val="00D260CD"/>
    <w:rPr>
      <w:b/>
      <w:bCs/>
    </w:rPr>
  </w:style>
  <w:style w:type="character" w:customStyle="1" w:styleId="CommentSubjectChar">
    <w:name w:val="Comment Subject Char"/>
    <w:basedOn w:val="CommentTextChar"/>
    <w:link w:val="CommentSubject"/>
    <w:uiPriority w:val="99"/>
    <w:semiHidden/>
    <w:rsid w:val="00D260CD"/>
    <w:rPr>
      <w:b/>
      <w:bCs/>
      <w:sz w:val="20"/>
      <w:szCs w:val="20"/>
    </w:rPr>
  </w:style>
  <w:style w:type="paragraph" w:styleId="Footer">
    <w:name w:val="footer"/>
    <w:basedOn w:val="Normal"/>
    <w:link w:val="FooterChar"/>
    <w:uiPriority w:val="99"/>
    <w:unhideWhenUsed/>
    <w:rsid w:val="00936BD2"/>
    <w:pPr>
      <w:tabs>
        <w:tab w:val="clear" w:pos="567"/>
        <w:tab w:val="center" w:pos="4680"/>
        <w:tab w:val="right" w:pos="9360"/>
      </w:tabs>
    </w:pPr>
  </w:style>
  <w:style w:type="character" w:customStyle="1" w:styleId="FooterChar">
    <w:name w:val="Footer Char"/>
    <w:basedOn w:val="DefaultParagraphFont"/>
    <w:link w:val="Footer"/>
    <w:uiPriority w:val="99"/>
    <w:rsid w:val="00936BD2"/>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3D4842"/>
    <w:rPr>
      <w:b/>
    </w:rPr>
  </w:style>
  <w:style w:type="character" w:customStyle="1" w:styleId="Heading2Char">
    <w:name w:val="Heading 2 Char"/>
    <w:basedOn w:val="DefaultParagraphFont"/>
    <w:link w:val="Heading2"/>
    <w:uiPriority w:val="9"/>
    <w:rsid w:val="003D4842"/>
    <w:rPr>
      <w:b/>
      <w:smallCaps/>
    </w:rPr>
  </w:style>
  <w:style w:type="character" w:customStyle="1" w:styleId="Heading3Char">
    <w:name w:val="Heading 3 Char"/>
    <w:basedOn w:val="DefaultParagraphFont"/>
    <w:link w:val="Heading3"/>
    <w:uiPriority w:val="9"/>
    <w:rsid w:val="003D4842"/>
    <w:rPr>
      <w:b/>
    </w:rPr>
  </w:style>
  <w:style w:type="character" w:customStyle="1" w:styleId="Heading4Char">
    <w:name w:val="Heading 4 Char"/>
    <w:basedOn w:val="DefaultParagraphFont"/>
    <w:link w:val="Heading4"/>
    <w:uiPriority w:val="9"/>
    <w:rsid w:val="003D4842"/>
    <w:rPr>
      <w:b/>
    </w:rPr>
  </w:style>
  <w:style w:type="character" w:customStyle="1" w:styleId="Heading5Char">
    <w:name w:val="Heading 5 Char"/>
    <w:basedOn w:val="DefaultParagraphFont"/>
    <w:link w:val="Heading5"/>
    <w:uiPriority w:val="9"/>
    <w:semiHidden/>
    <w:rsid w:val="003D4842"/>
    <w:rPr>
      <w:b/>
    </w:rPr>
  </w:style>
  <w:style w:type="character" w:customStyle="1" w:styleId="Heading6Char">
    <w:name w:val="Heading 6 Char"/>
    <w:basedOn w:val="DefaultParagraphFont"/>
    <w:link w:val="Heading6"/>
    <w:uiPriority w:val="9"/>
    <w:semiHidden/>
    <w:rsid w:val="003D4842"/>
    <w:rPr>
      <w:b/>
    </w:rPr>
  </w:style>
  <w:style w:type="character" w:customStyle="1" w:styleId="TitleChar">
    <w:name w:val="Title Char"/>
    <w:basedOn w:val="DefaultParagraphFont"/>
    <w:link w:val="Title"/>
    <w:uiPriority w:val="10"/>
    <w:rsid w:val="003D4842"/>
    <w:rPr>
      <w:b/>
      <w:sz w:val="72"/>
      <w:szCs w:val="72"/>
    </w:rPr>
  </w:style>
  <w:style w:type="character" w:customStyle="1" w:styleId="SubtitleChar">
    <w:name w:val="Subtitle Char"/>
    <w:basedOn w:val="DefaultParagraphFont"/>
    <w:link w:val="Subtitle"/>
    <w:uiPriority w:val="11"/>
    <w:rsid w:val="003D4842"/>
    <w:rPr>
      <w:rFonts w:ascii="Georgia" w:eastAsia="Georgia" w:hAnsi="Georgia" w:cs="Georgia"/>
      <w:i/>
      <w:color w:val="666666"/>
      <w:sz w:val="48"/>
      <w:szCs w:val="48"/>
    </w:rPr>
  </w:style>
  <w:style w:type="paragraph" w:styleId="ListParagraph">
    <w:name w:val="List Paragraph"/>
    <w:basedOn w:val="Normal"/>
    <w:uiPriority w:val="34"/>
    <w:qFormat/>
    <w:rsid w:val="003D4842"/>
    <w:pPr>
      <w:tabs>
        <w:tab w:val="clear" w:pos="567"/>
      </w:tabs>
      <w:spacing w:line="276" w:lineRule="auto"/>
      <w:ind w:left="720"/>
      <w:contextualSpacing/>
    </w:pPr>
    <w:rPr>
      <w:lang w:val="en"/>
    </w:rPr>
  </w:style>
  <w:style w:type="character" w:styleId="Hyperlink">
    <w:name w:val="Hyperlink"/>
    <w:uiPriority w:val="99"/>
    <w:unhideWhenUsed/>
    <w:rsid w:val="003D4842"/>
    <w:rPr>
      <w:color w:val="0563C1"/>
      <w:u w:val="single"/>
    </w:rPr>
  </w:style>
  <w:style w:type="paragraph" w:styleId="NoSpacing">
    <w:name w:val="No Spacing"/>
    <w:uiPriority w:val="1"/>
    <w:qFormat/>
    <w:rsid w:val="003D4842"/>
  </w:style>
  <w:style w:type="paragraph" w:styleId="FootnoteText">
    <w:name w:val="footnote text"/>
    <w:basedOn w:val="Normal"/>
    <w:link w:val="FootnoteTextChar"/>
    <w:uiPriority w:val="99"/>
    <w:semiHidden/>
    <w:unhideWhenUsed/>
    <w:rsid w:val="00EB72A3"/>
    <w:rPr>
      <w:sz w:val="20"/>
      <w:szCs w:val="20"/>
    </w:rPr>
  </w:style>
  <w:style w:type="character" w:customStyle="1" w:styleId="FootnoteTextChar">
    <w:name w:val="Footnote Text Char"/>
    <w:basedOn w:val="DefaultParagraphFont"/>
    <w:link w:val="FootnoteText"/>
    <w:uiPriority w:val="99"/>
    <w:semiHidden/>
    <w:rsid w:val="00EB72A3"/>
    <w:rPr>
      <w:sz w:val="20"/>
      <w:szCs w:val="20"/>
    </w:rPr>
  </w:style>
  <w:style w:type="character" w:styleId="FootnoteReference">
    <w:name w:val="footnote reference"/>
    <w:basedOn w:val="DefaultParagraphFont"/>
    <w:uiPriority w:val="99"/>
    <w:semiHidden/>
    <w:unhideWhenUsed/>
    <w:rsid w:val="00EB72A3"/>
    <w:rPr>
      <w:vertAlign w:val="superscript"/>
    </w:r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42637"/>
    <w:rPr>
      <w:color w:val="605E5C"/>
      <w:shd w:val="clear" w:color="auto" w:fill="E1DFDD"/>
    </w:rPr>
  </w:style>
  <w:style w:type="paragraph" w:styleId="Header">
    <w:name w:val="header"/>
    <w:basedOn w:val="Normal"/>
    <w:link w:val="HeaderChar"/>
    <w:uiPriority w:val="99"/>
    <w:semiHidden/>
    <w:unhideWhenUsed/>
    <w:rsid w:val="00DB694B"/>
    <w:pPr>
      <w:tabs>
        <w:tab w:val="clear" w:pos="567"/>
        <w:tab w:val="center" w:pos="4536"/>
        <w:tab w:val="right" w:pos="9072"/>
      </w:tabs>
    </w:pPr>
  </w:style>
  <w:style w:type="character" w:customStyle="1" w:styleId="HeaderChar">
    <w:name w:val="Header Char"/>
    <w:basedOn w:val="DefaultParagraphFont"/>
    <w:link w:val="Header"/>
    <w:uiPriority w:val="99"/>
    <w:semiHidden/>
    <w:rsid w:val="00DB694B"/>
  </w:style>
  <w:style w:type="paragraph" w:styleId="NormalWeb">
    <w:name w:val="Normal (Web)"/>
    <w:basedOn w:val="Normal"/>
    <w:uiPriority w:val="99"/>
    <w:semiHidden/>
    <w:unhideWhenUsed/>
    <w:rsid w:val="000152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6470">
      <w:bodyDiv w:val="1"/>
      <w:marLeft w:val="0"/>
      <w:marRight w:val="0"/>
      <w:marTop w:val="0"/>
      <w:marBottom w:val="0"/>
      <w:divBdr>
        <w:top w:val="none" w:sz="0" w:space="0" w:color="auto"/>
        <w:left w:val="none" w:sz="0" w:space="0" w:color="auto"/>
        <w:bottom w:val="none" w:sz="0" w:space="0" w:color="auto"/>
        <w:right w:val="none" w:sz="0" w:space="0" w:color="auto"/>
      </w:divBdr>
    </w:div>
    <w:div w:id="703167719">
      <w:bodyDiv w:val="1"/>
      <w:marLeft w:val="0"/>
      <w:marRight w:val="0"/>
      <w:marTop w:val="0"/>
      <w:marBottom w:val="0"/>
      <w:divBdr>
        <w:top w:val="none" w:sz="0" w:space="0" w:color="auto"/>
        <w:left w:val="none" w:sz="0" w:space="0" w:color="auto"/>
        <w:bottom w:val="none" w:sz="0" w:space="0" w:color="auto"/>
        <w:right w:val="none" w:sz="0" w:space="0" w:color="auto"/>
      </w:divBdr>
    </w:div>
    <w:div w:id="732896184">
      <w:bodyDiv w:val="1"/>
      <w:marLeft w:val="0"/>
      <w:marRight w:val="0"/>
      <w:marTop w:val="0"/>
      <w:marBottom w:val="0"/>
      <w:divBdr>
        <w:top w:val="none" w:sz="0" w:space="0" w:color="auto"/>
        <w:left w:val="none" w:sz="0" w:space="0" w:color="auto"/>
        <w:bottom w:val="none" w:sz="0" w:space="0" w:color="auto"/>
        <w:right w:val="none" w:sz="0" w:space="0" w:color="auto"/>
      </w:divBdr>
    </w:div>
    <w:div w:id="128288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ceanexpert.net/document/8600" TargetMode="External"/><Relationship Id="rId13" Type="http://schemas.openxmlformats.org/officeDocument/2006/relationships/hyperlink" Target="https://unesdoc.unesco.org/ark:/48223/pf00002112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socean.org/document/245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socean.org/document/361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ceanexpert.org/event/4598" TargetMode="External"/><Relationship Id="rId4" Type="http://schemas.openxmlformats.org/officeDocument/2006/relationships/settings" Target="settings.xml"/><Relationship Id="rId9" Type="http://schemas.openxmlformats.org/officeDocument/2006/relationships/hyperlink" Target="https://oceanexpert.org/document/36272"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f3pVVnBu7jWhqwEMTQqunL2MA==">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2089</Words>
  <Characters>11494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Legler</dc:creator>
  <cp:keywords/>
  <dc:description/>
  <cp:lastModifiedBy>Boned, Patrice</cp:lastModifiedBy>
  <cp:revision>2</cp:revision>
  <dcterms:created xsi:type="dcterms:W3CDTF">2025-05-22T08:05:00Z</dcterms:created>
  <dcterms:modified xsi:type="dcterms:W3CDTF">2025-05-22T08:05:00Z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