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30779C" w14:paraId="1C767041" w14:textId="77777777">
        <w:trPr>
          <w:jc w:val="center"/>
        </w:trPr>
        <w:tc>
          <w:tcPr>
            <w:tcW w:w="7654" w:type="dxa"/>
            <w:tcMar>
              <w:top w:w="170" w:type="dxa"/>
              <w:left w:w="170" w:type="dxa"/>
              <w:bottom w:w="170" w:type="dxa"/>
              <w:right w:w="170" w:type="dxa"/>
            </w:tcMar>
          </w:tcPr>
          <w:p w14:paraId="5EED5AA9" w14:textId="77777777" w:rsidR="0030779C" w:rsidRDefault="005C43F6">
            <w:pPr>
              <w:pBdr>
                <w:top w:val="nil"/>
                <w:left w:val="nil"/>
                <w:bottom w:val="nil"/>
                <w:right w:val="nil"/>
                <w:between w:val="nil"/>
              </w:pBdr>
              <w:spacing w:after="240"/>
              <w:jc w:val="center"/>
              <w:rPr>
                <w:color w:val="000000"/>
              </w:rPr>
            </w:pPr>
            <w:r>
              <w:rPr>
                <w:color w:val="000000"/>
                <w:u w:val="single"/>
              </w:rPr>
              <w:t>Summary</w:t>
            </w:r>
          </w:p>
          <w:p w14:paraId="52BBF437" w14:textId="03D6197F" w:rsidR="0030779C" w:rsidRDefault="005C43F6">
            <w:pPr>
              <w:pBdr>
                <w:top w:val="nil"/>
                <w:left w:val="nil"/>
                <w:bottom w:val="nil"/>
                <w:right w:val="nil"/>
                <w:between w:val="nil"/>
              </w:pBdr>
              <w:spacing w:after="120"/>
              <w:jc w:val="both"/>
              <w:rPr>
                <w:color w:val="000000"/>
              </w:rPr>
            </w:pPr>
            <w:r>
              <w:t xml:space="preserve">IOC </w:t>
            </w:r>
            <w:hyperlink r:id="rId7">
              <w:r w:rsidR="0030779C">
                <w:rPr>
                  <w:color w:val="1155CC"/>
                  <w:u w:val="single"/>
                </w:rPr>
                <w:t>Decision A-32/4.8.1</w:t>
              </w:r>
            </w:hyperlink>
            <w:r>
              <w:t xml:space="preserve"> (2023) requested the Executive Secretary to review progress with reform of GOOS governance to meet the needs of Member States, including any proposed actions or otherwise in response to the </w:t>
            </w:r>
            <w:r w:rsidR="00B73734">
              <w:t>9</w:t>
            </w:r>
            <w:r>
              <w:t xml:space="preserve"> recommendations of the 2021 </w:t>
            </w:r>
            <w:hyperlink r:id="rId8">
              <w:r w:rsidR="0030779C">
                <w:rPr>
                  <w:color w:val="0563C1"/>
                  <w:u w:val="single"/>
                </w:rPr>
                <w:t>Neville Smith Report</w:t>
              </w:r>
            </w:hyperlink>
            <w:r>
              <w:t xml:space="preserve"> (GOOS-290). The </w:t>
            </w:r>
            <w:r w:rsidR="00B73734">
              <w:t xml:space="preserve">interim </w:t>
            </w:r>
            <w:r>
              <w:t>report</w:t>
            </w:r>
            <w:r w:rsidR="00B73734">
              <w:t xml:space="preserve"> (</w:t>
            </w:r>
            <w:hyperlink r:id="rId9">
              <w:r w:rsidR="0030779C">
                <w:rPr>
                  <w:color w:val="0563C1"/>
                  <w:u w:val="single"/>
                </w:rPr>
                <w:t>IOC/EC-57/4</w:t>
              </w:r>
              <w:r w:rsidR="0030779C">
                <w:rPr>
                  <w:color w:val="0563C1"/>
                  <w:u w:val="single"/>
                </w:rPr>
                <w:t>.</w:t>
              </w:r>
              <w:r w:rsidR="0030779C">
                <w:rPr>
                  <w:color w:val="0563C1"/>
                  <w:u w:val="single"/>
                </w:rPr>
                <w:t>1</w:t>
              </w:r>
              <w:r w:rsidR="0030779C">
                <w:rPr>
                  <w:color w:val="0563C1"/>
                  <w:u w:val="single"/>
                </w:rPr>
                <w:t>.Doc(1)</w:t>
              </w:r>
            </w:hyperlink>
            <w:r w:rsidR="00B73734">
              <w:t>)</w:t>
            </w:r>
            <w:r>
              <w:t xml:space="preserve"> was considered by the Executive Council at its 57th session (EC-57)</w:t>
            </w:r>
            <w:r w:rsidR="00B73734">
              <w:t xml:space="preserve"> in 2024</w:t>
            </w:r>
            <w:r>
              <w:t>. Th</w:t>
            </w:r>
            <w:r w:rsidR="00B73734">
              <w:t>rough</w:t>
            </w:r>
            <w:r>
              <w:t xml:space="preserve"> </w:t>
            </w:r>
            <w:hyperlink r:id="rId10">
              <w:r w:rsidR="00B73734">
                <w:rPr>
                  <w:color w:val="1155CC"/>
                  <w:u w:val="single"/>
                </w:rPr>
                <w:t>Decision E</w:t>
              </w:r>
              <w:r w:rsidR="00B73734">
                <w:rPr>
                  <w:color w:val="1155CC"/>
                  <w:u w:val="single"/>
                </w:rPr>
                <w:t>C</w:t>
              </w:r>
              <w:r w:rsidR="00B73734">
                <w:rPr>
                  <w:color w:val="1155CC"/>
                  <w:u w:val="single"/>
                </w:rPr>
                <w:t>-57/4.1</w:t>
              </w:r>
            </w:hyperlink>
            <w:r w:rsidR="00B73734">
              <w:t xml:space="preserve">, the </w:t>
            </w:r>
            <w:r>
              <w:t xml:space="preserve">Executive Council consequently invited its Executive Secretary to develop a proposal to evolve GOOS governance </w:t>
            </w:r>
            <w:r>
              <w:t xml:space="preserve">that considers the proposed </w:t>
            </w:r>
            <w:r w:rsidR="00B73734">
              <w:t>actions</w:t>
            </w:r>
            <w:r>
              <w:t xml:space="preserve"> provided in </w:t>
            </w:r>
            <w:r w:rsidR="00B73734">
              <w:t xml:space="preserve">document </w:t>
            </w:r>
            <w:r>
              <w:t>IOC/EC-57/4.1.Doc(1) and present the proposal to th</w:t>
            </w:r>
            <w:r w:rsidR="00B73734">
              <w:t xml:space="preserve">is </w:t>
            </w:r>
            <w:r>
              <w:t xml:space="preserve">Assembly </w:t>
            </w:r>
            <w:r w:rsidR="00B73734">
              <w:t>session</w:t>
            </w:r>
            <w:r>
              <w:t xml:space="preserve">. </w:t>
            </w:r>
          </w:p>
          <w:p w14:paraId="0F94C544" w14:textId="77777777" w:rsidR="0030779C" w:rsidRDefault="005C43F6">
            <w:pPr>
              <w:pBdr>
                <w:top w:val="nil"/>
                <w:left w:val="nil"/>
                <w:bottom w:val="nil"/>
                <w:right w:val="nil"/>
                <w:between w:val="nil"/>
              </w:pBdr>
              <w:spacing w:after="120"/>
              <w:jc w:val="both"/>
            </w:pPr>
            <w:r w:rsidRPr="00B73734">
              <w:t>This document</w:t>
            </w:r>
            <w:r>
              <w:t xml:space="preserve"> provides the proposal and next steps to evolve GOOS governance.</w:t>
            </w:r>
          </w:p>
          <w:p w14:paraId="596068AA" w14:textId="690285DF" w:rsidR="0030779C" w:rsidRDefault="005C43F6">
            <w:pPr>
              <w:pBdr>
                <w:top w:val="nil"/>
                <w:left w:val="nil"/>
                <w:bottom w:val="nil"/>
                <w:right w:val="nil"/>
                <w:between w:val="nil"/>
              </w:pBdr>
              <w:spacing w:after="120"/>
              <w:jc w:val="both"/>
              <w:rPr>
                <w:color w:val="000000"/>
              </w:rPr>
            </w:pPr>
            <w:r>
              <w:rPr>
                <w:color w:val="000000"/>
                <w:u w:val="single"/>
              </w:rPr>
              <w:t>Financial and administrative implications</w:t>
            </w:r>
            <w:r w:rsidR="00B73734" w:rsidRPr="00B73734">
              <w:rPr>
                <w:color w:val="000000"/>
              </w:rPr>
              <w:t>:</w:t>
            </w:r>
            <w:r w:rsidR="00B73734">
              <w:rPr>
                <w:color w:val="000000"/>
              </w:rPr>
              <w:t xml:space="preserve"> </w:t>
            </w:r>
            <w:r>
              <w:rPr>
                <w:color w:val="000000"/>
              </w:rPr>
              <w:t>paragraph</w:t>
            </w:r>
            <w:r>
              <w:t xml:space="preserve"> 12.</w:t>
            </w:r>
            <w:r>
              <w:rPr>
                <w:color w:val="000000"/>
              </w:rPr>
              <w:t xml:space="preserve"> </w:t>
            </w:r>
          </w:p>
          <w:p w14:paraId="629C2CFA" w14:textId="5D821908" w:rsidR="0030779C" w:rsidRDefault="005C43F6">
            <w:pPr>
              <w:pBdr>
                <w:top w:val="nil"/>
                <w:left w:val="nil"/>
                <w:bottom w:val="nil"/>
                <w:right w:val="nil"/>
                <w:between w:val="nil"/>
              </w:pBdr>
              <w:spacing w:after="120"/>
              <w:jc w:val="both"/>
              <w:rPr>
                <w:color w:val="000000"/>
              </w:rPr>
            </w:pPr>
            <w:r>
              <w:rPr>
                <w:color w:val="000000"/>
                <w:u w:val="single"/>
              </w:rPr>
              <w:t>The proposed decision</w:t>
            </w:r>
            <w:r>
              <w:rPr>
                <w:color w:val="000000"/>
              </w:rPr>
              <w:t xml:space="preserve"> is referenced A-33/Dec.</w:t>
            </w:r>
            <w:r w:rsidR="00B73734">
              <w:rPr>
                <w:color w:val="000000"/>
              </w:rPr>
              <w:t>4.5.1</w:t>
            </w:r>
            <w:r>
              <w:rPr>
                <w:color w:val="000000"/>
              </w:rPr>
              <w:t xml:space="preserve"> in the Action Paper (document </w:t>
            </w:r>
            <w:hyperlink r:id="rId11" w:history="1">
              <w:r w:rsidRPr="005C43F6">
                <w:rPr>
                  <w:rStyle w:val="Hyperlink"/>
                </w:rPr>
                <w:t>IOC/A-33/2 Prov.</w:t>
              </w:r>
            </w:hyperlink>
            <w:r>
              <w:rPr>
                <w:color w:val="000000"/>
              </w:rPr>
              <w:t>)</w:t>
            </w:r>
          </w:p>
        </w:tc>
      </w:tr>
    </w:tbl>
    <w:p w14:paraId="0DD6B8E0" w14:textId="77777777" w:rsidR="0039337C" w:rsidRDefault="0039337C">
      <w:pPr>
        <w:pStyle w:val="Heading3"/>
      </w:pPr>
    </w:p>
    <w:p w14:paraId="05B91AE7" w14:textId="77777777" w:rsidR="0039337C" w:rsidRDefault="0039337C">
      <w:pPr>
        <w:rPr>
          <w:b/>
        </w:rPr>
      </w:pPr>
      <w:r>
        <w:br w:type="page"/>
      </w:r>
    </w:p>
    <w:p w14:paraId="0A449338" w14:textId="017F24F2" w:rsidR="0030779C" w:rsidRDefault="005C43F6" w:rsidP="0039337C">
      <w:pPr>
        <w:pStyle w:val="Heading3"/>
        <w:jc w:val="both"/>
      </w:pPr>
      <w:r>
        <w:lastRenderedPageBreak/>
        <w:t>Introduction</w:t>
      </w:r>
    </w:p>
    <w:p w14:paraId="03D07FF3" w14:textId="32B1680B" w:rsidR="0030779C" w:rsidRDefault="005C43F6" w:rsidP="0039337C">
      <w:pPr>
        <w:numPr>
          <w:ilvl w:val="0"/>
          <w:numId w:val="1"/>
        </w:numPr>
        <w:spacing w:after="240"/>
        <w:jc w:val="both"/>
        <w:rPr>
          <w:highlight w:val="white"/>
        </w:rPr>
      </w:pPr>
      <w:r>
        <w:t xml:space="preserve">The eleventh strategic objective of the </w:t>
      </w:r>
      <w:hyperlink r:id="rId12">
        <w:r w:rsidR="0030779C">
          <w:rPr>
            <w:color w:val="0563C1"/>
            <w:u w:val="single"/>
          </w:rPr>
          <w:t xml:space="preserve">GOOS </w:t>
        </w:r>
        <w:r w:rsidR="00B73734">
          <w:rPr>
            <w:color w:val="0563C1"/>
            <w:u w:val="single"/>
          </w:rPr>
          <w:t xml:space="preserve">2030 </w:t>
        </w:r>
        <w:r w:rsidR="0030779C">
          <w:rPr>
            <w:color w:val="0563C1"/>
            <w:u w:val="single"/>
          </w:rPr>
          <w:t>S</w:t>
        </w:r>
        <w:r w:rsidR="0030779C">
          <w:rPr>
            <w:color w:val="0563C1"/>
            <w:u w:val="single"/>
          </w:rPr>
          <w:t>t</w:t>
        </w:r>
        <w:r w:rsidR="0030779C">
          <w:rPr>
            <w:color w:val="0563C1"/>
            <w:u w:val="single"/>
          </w:rPr>
          <w:t>rategy</w:t>
        </w:r>
      </w:hyperlink>
      <w:r>
        <w:t xml:space="preserve"> is to champion effective governance for global </w:t>
      </w:r>
      <w:r>
        <w:rPr>
          <w:i/>
        </w:rPr>
        <w:t>in situ</w:t>
      </w:r>
      <w:r>
        <w:t xml:space="preserve"> and satellite ocean observing, together with partners and stakeholders. The proposal for GOOS governance reform outlined in this document was requested by the Executive Council </w:t>
      </w:r>
      <w:hyperlink r:id="rId13">
        <w:r w:rsidR="0030779C">
          <w:rPr>
            <w:color w:val="0563C1"/>
            <w:u w:val="single"/>
          </w:rPr>
          <w:t>Decision EC-57/4.1</w:t>
        </w:r>
      </w:hyperlink>
      <w:r>
        <w:t xml:space="preserve"> and responds to the proposed </w:t>
      </w:r>
      <w:r w:rsidR="00B73734">
        <w:t>actions</w:t>
      </w:r>
      <w:r>
        <w:t xml:space="preserve"> provided in </w:t>
      </w:r>
      <w:r w:rsidR="00B73734">
        <w:t xml:space="preserve">document </w:t>
      </w:r>
      <w:hyperlink r:id="rId14">
        <w:r w:rsidR="0030779C">
          <w:rPr>
            <w:color w:val="0563C1"/>
            <w:u w:val="single"/>
          </w:rPr>
          <w:t>IOC/EC-57/4.1.D</w:t>
        </w:r>
        <w:r w:rsidR="0030779C">
          <w:rPr>
            <w:color w:val="0563C1"/>
            <w:u w:val="single"/>
          </w:rPr>
          <w:t>o</w:t>
        </w:r>
        <w:r w:rsidR="0030779C">
          <w:rPr>
            <w:color w:val="0563C1"/>
            <w:u w:val="single"/>
          </w:rPr>
          <w:t>c(1</w:t>
        </w:r>
      </w:hyperlink>
      <w:r>
        <w:t xml:space="preserve">). </w:t>
      </w:r>
    </w:p>
    <w:p w14:paraId="70C92E05" w14:textId="7F0DBE89" w:rsidR="0030779C" w:rsidRDefault="005C43F6" w:rsidP="0039337C">
      <w:pPr>
        <w:numPr>
          <w:ilvl w:val="0"/>
          <w:numId w:val="1"/>
        </w:numPr>
        <w:spacing w:after="240"/>
        <w:jc w:val="both"/>
      </w:pPr>
      <w:r>
        <w:t xml:space="preserve">The proposal and the work moving forward will also take into account other relevant mandates, changes in the global environment in which GOOS operates, and recent recommendations, such as those provided by the Ocean Decade Vision 2030 process, </w:t>
      </w:r>
      <w:r w:rsidR="00B73734">
        <w:t xml:space="preserve">in particular </w:t>
      </w:r>
      <w:r w:rsidR="00146C80">
        <w:rPr>
          <w:color w:val="000000" w:themeColor="text1"/>
        </w:rPr>
        <w:t xml:space="preserve">on </w:t>
      </w:r>
      <w:hyperlink r:id="rId15" w:history="1">
        <w:r w:rsidR="00146C80" w:rsidRPr="005C43F6">
          <w:rPr>
            <w:rStyle w:val="Hyperlink"/>
            <w:i/>
            <w:iCs/>
          </w:rPr>
          <w:t>Challenge 7: Sustainably expand the Global Ocean Observing System</w:t>
        </w:r>
      </w:hyperlink>
      <w:r>
        <w:t>.</w:t>
      </w:r>
    </w:p>
    <w:p w14:paraId="70F75E1D" w14:textId="77777777" w:rsidR="0030779C" w:rsidRDefault="005C43F6" w:rsidP="0039337C">
      <w:pPr>
        <w:pBdr>
          <w:top w:val="nil"/>
          <w:left w:val="nil"/>
          <w:bottom w:val="nil"/>
          <w:right w:val="nil"/>
          <w:between w:val="nil"/>
        </w:pBdr>
        <w:tabs>
          <w:tab w:val="left" w:pos="709"/>
        </w:tabs>
        <w:spacing w:after="240"/>
        <w:jc w:val="both"/>
      </w:pPr>
      <w:r>
        <w:rPr>
          <w:b/>
        </w:rPr>
        <w:t xml:space="preserve">Proposed approach </w:t>
      </w:r>
    </w:p>
    <w:p w14:paraId="5CE278BE" w14:textId="7F95A8A7" w:rsidR="0030779C" w:rsidRDefault="005C43F6" w:rsidP="0039337C">
      <w:pPr>
        <w:numPr>
          <w:ilvl w:val="0"/>
          <w:numId w:val="1"/>
        </w:numPr>
        <w:pBdr>
          <w:top w:val="nil"/>
          <w:left w:val="nil"/>
          <w:bottom w:val="nil"/>
          <w:right w:val="nil"/>
          <w:between w:val="nil"/>
        </w:pBdr>
        <w:spacing w:after="240"/>
        <w:jc w:val="both"/>
        <w:rPr>
          <w:highlight w:val="white"/>
        </w:rPr>
      </w:pPr>
      <w:r>
        <w:t>The evolution of GOOS will follow a double diamond approach.</w:t>
      </w:r>
      <w:r>
        <w:rPr>
          <w:vertAlign w:val="superscript"/>
        </w:rPr>
        <w:footnoteReference w:id="1"/>
      </w:r>
      <w:r>
        <w:t xml:space="preserve"> The first diamond (phase 1) is underway and is planned to be completed in 2025. It includes</w:t>
      </w:r>
      <w:r>
        <w:t xml:space="preserve"> desk-based reviews; consultations with sponsors, Member States, GOOS S</w:t>
      </w:r>
      <w:r w:rsidR="00146C80">
        <w:t xml:space="preserve">teering </w:t>
      </w:r>
      <w:r>
        <w:t>C</w:t>
      </w:r>
      <w:r w:rsidR="00146C80">
        <w:t>ommittee</w:t>
      </w:r>
      <w:r>
        <w:t xml:space="preserve"> and key stakeholders; and a dedicated in-person workshop at the GOOS Steering Committee meeting</w:t>
      </w:r>
      <w:r w:rsidR="00146C80">
        <w:t xml:space="preserve"> that took place in </w:t>
      </w:r>
      <w:r>
        <w:t xml:space="preserve">February 2025. </w:t>
      </w:r>
      <w:r>
        <w:t>The anticipated deliverable from this process will be to define the mission and scope of GOOS moving forward</w:t>
      </w:r>
      <w:r w:rsidR="00146C80">
        <w:t>—</w:t>
      </w:r>
      <w:r>
        <w:t xml:space="preserve">the WHY and the WHAT. </w:t>
      </w:r>
    </w:p>
    <w:p w14:paraId="773EF4C0" w14:textId="354F246B" w:rsidR="0030779C" w:rsidRDefault="005C43F6" w:rsidP="0039337C">
      <w:pPr>
        <w:numPr>
          <w:ilvl w:val="0"/>
          <w:numId w:val="1"/>
        </w:numPr>
        <w:pBdr>
          <w:top w:val="nil"/>
          <w:left w:val="nil"/>
          <w:bottom w:val="nil"/>
          <w:right w:val="nil"/>
          <w:between w:val="nil"/>
        </w:pBdr>
        <w:spacing w:after="240"/>
        <w:jc w:val="both"/>
        <w:rPr>
          <w:highlight w:val="white"/>
        </w:rPr>
      </w:pPr>
      <w:r>
        <w:t>This deliverable will also propose a process by which the HOW</w:t>
      </w:r>
      <w:r w:rsidR="00146C80">
        <w:t>—</w:t>
      </w:r>
      <w:r>
        <w:t>the approach taken to develop and deliver a reformed GOOS</w:t>
      </w:r>
      <w:r w:rsidR="00146C80">
        <w:t>—</w:t>
      </w:r>
      <w:r>
        <w:t xml:space="preserve">can be undertaken. </w:t>
      </w:r>
      <w:r>
        <w:t>This latter activity will comprise the work of the second diamond (phase 2), for which work will take place from 2026 onwards. GOOS communications tools will also be evolved as part of this work.</w:t>
      </w:r>
    </w:p>
    <w:p w14:paraId="454060E3" w14:textId="4FB5E8CE" w:rsidR="0030779C" w:rsidRDefault="005C43F6" w:rsidP="0039337C">
      <w:pPr>
        <w:numPr>
          <w:ilvl w:val="0"/>
          <w:numId w:val="1"/>
        </w:numPr>
        <w:pBdr>
          <w:top w:val="nil"/>
          <w:left w:val="nil"/>
          <w:bottom w:val="nil"/>
          <w:right w:val="nil"/>
          <w:between w:val="nil"/>
        </w:pBdr>
        <w:tabs>
          <w:tab w:val="left" w:pos="709"/>
        </w:tabs>
        <w:spacing w:after="240"/>
        <w:jc w:val="both"/>
      </w:pPr>
      <w:r w:rsidRPr="00146C80">
        <w:rPr>
          <w:b/>
          <w:bCs/>
        </w:rPr>
        <w:t>Phase I</w:t>
      </w:r>
      <w:r>
        <w:t xml:space="preserve"> (1</w:t>
      </w:r>
      <w:r w:rsidRPr="005C43F6">
        <w:rPr>
          <w:vertAlign w:val="superscript"/>
        </w:rPr>
        <w:t>st</w:t>
      </w:r>
      <w:r>
        <w:t xml:space="preserve"> diamond) </w:t>
      </w:r>
      <w:r>
        <w:t xml:space="preserve">includes the following steps </w:t>
      </w:r>
      <w:r>
        <w:t xml:space="preserve">: </w:t>
      </w:r>
    </w:p>
    <w:p w14:paraId="51D1B71C" w14:textId="2ECE47DE" w:rsidR="0030779C" w:rsidRDefault="005C43F6" w:rsidP="00146C80">
      <w:pPr>
        <w:numPr>
          <w:ilvl w:val="1"/>
          <w:numId w:val="1"/>
        </w:numPr>
        <w:tabs>
          <w:tab w:val="clear" w:pos="567"/>
        </w:tabs>
        <w:spacing w:after="120"/>
        <w:ind w:left="1078" w:hanging="528"/>
        <w:jc w:val="both"/>
      </w:pPr>
      <w:r w:rsidRPr="00146C80">
        <w:rPr>
          <w:u w:val="single"/>
        </w:rPr>
        <w:t>Mission and scoping review</w:t>
      </w:r>
      <w:r>
        <w:t xml:space="preserve">: </w:t>
      </w:r>
      <w:r w:rsidR="00146C80">
        <w:t>r</w:t>
      </w:r>
      <w:r>
        <w:t>eview the viability and value of the central mission of GOOS and identify what is the unique value proposition of GOOS</w:t>
      </w:r>
      <w:r w:rsidR="00146C80">
        <w:t>, i.e.,</w:t>
      </w:r>
    </w:p>
    <w:p w14:paraId="756A946C" w14:textId="56E60FE2" w:rsidR="0030779C" w:rsidRDefault="00146C80" w:rsidP="00146C80">
      <w:pPr>
        <w:numPr>
          <w:ilvl w:val="2"/>
          <w:numId w:val="2"/>
        </w:numPr>
        <w:tabs>
          <w:tab w:val="left" w:pos="709"/>
        </w:tabs>
        <w:spacing w:after="120"/>
        <w:ind w:left="1701" w:hanging="567"/>
        <w:jc w:val="both"/>
      </w:pPr>
      <w:r>
        <w:t>a</w:t>
      </w:r>
      <w:r w:rsidR="005C43F6">
        <w:t xml:space="preserve">ssess the needs and requirements of Member States, ocean observing sponsors, stakeholders including primary and end users (such as ocean economy), and the ocean observing community;  </w:t>
      </w:r>
    </w:p>
    <w:p w14:paraId="14CCD89E" w14:textId="2FF6C67D" w:rsidR="0030779C" w:rsidRDefault="00146C80" w:rsidP="00146C80">
      <w:pPr>
        <w:numPr>
          <w:ilvl w:val="2"/>
          <w:numId w:val="2"/>
        </w:numPr>
        <w:tabs>
          <w:tab w:val="left" w:pos="709"/>
        </w:tabs>
        <w:spacing w:after="120"/>
        <w:ind w:left="1701" w:hanging="567"/>
        <w:jc w:val="both"/>
      </w:pPr>
      <w:r>
        <w:t>a</w:t>
      </w:r>
      <w:r w:rsidR="005C43F6">
        <w:t>ssess the ability of GOOS to facilitate worldwide cooperation in a changing world, enabling, developing, operating, and sustaining a fit-for-purpose ocean observing system that has a clear scope and set of aims. Identify the role of GOOS in each of these aims;</w:t>
      </w:r>
    </w:p>
    <w:p w14:paraId="119ECFBC" w14:textId="77777777" w:rsidR="0030779C" w:rsidRDefault="005C43F6" w:rsidP="00146C80">
      <w:pPr>
        <w:numPr>
          <w:ilvl w:val="2"/>
          <w:numId w:val="2"/>
        </w:numPr>
        <w:tabs>
          <w:tab w:val="left" w:pos="709"/>
        </w:tabs>
        <w:spacing w:after="240"/>
        <w:ind w:left="1701" w:hanging="567"/>
        <w:jc w:val="both"/>
      </w:pPr>
      <w:r>
        <w:t>With a view to GOOS’ position within the global system and the UN, ensure alignment with the needs, priorities and deliverables for UN processes and national interests.</w:t>
      </w:r>
    </w:p>
    <w:p w14:paraId="14942AD4" w14:textId="4B5171DE" w:rsidR="0030779C" w:rsidRDefault="005C43F6" w:rsidP="00146C80">
      <w:pPr>
        <w:numPr>
          <w:ilvl w:val="1"/>
          <w:numId w:val="1"/>
        </w:numPr>
        <w:tabs>
          <w:tab w:val="left" w:pos="709"/>
        </w:tabs>
        <w:spacing w:after="120"/>
        <w:ind w:left="1092" w:hanging="532"/>
        <w:jc w:val="both"/>
      </w:pPr>
      <w:r w:rsidRPr="00146C80">
        <w:rPr>
          <w:u w:val="single"/>
        </w:rPr>
        <w:t>Structure review</w:t>
      </w:r>
      <w:r>
        <w:t xml:space="preserve">: </w:t>
      </w:r>
      <w:r w:rsidR="00146C80">
        <w:t>r</w:t>
      </w:r>
      <w:r>
        <w:t>eview the viability and ability to create value of the current organizational structure of GOOS</w:t>
      </w:r>
      <w:r w:rsidR="00146C80">
        <w:t>, i.e.,</w:t>
      </w:r>
    </w:p>
    <w:p w14:paraId="133BBE17" w14:textId="277CADEB" w:rsidR="0030779C" w:rsidRDefault="00146C80" w:rsidP="00146C80">
      <w:pPr>
        <w:numPr>
          <w:ilvl w:val="1"/>
          <w:numId w:val="3"/>
        </w:numPr>
        <w:tabs>
          <w:tab w:val="left" w:pos="709"/>
        </w:tabs>
        <w:spacing w:after="120"/>
        <w:ind w:left="1652" w:hanging="572"/>
        <w:jc w:val="both"/>
      </w:pPr>
      <w:r>
        <w:t>r</w:t>
      </w:r>
      <w:r w:rsidR="005C43F6">
        <w:t xml:space="preserve">eview of the </w:t>
      </w:r>
      <w:r>
        <w:t xml:space="preserve">current structure </w:t>
      </w:r>
      <w:r w:rsidR="005C43F6">
        <w:t xml:space="preserve">and all the constituent internal components of GOOS, and the </w:t>
      </w:r>
      <w:r>
        <w:t>terms of reference</w:t>
      </w:r>
      <w:r w:rsidR="005C43F6">
        <w:t xml:space="preserve"> of such components, where available, to identify gaps, needs, overlaps and redundancies, building on previous work in this regard;</w:t>
      </w:r>
    </w:p>
    <w:p w14:paraId="75F83F3C" w14:textId="3D7A2D9E" w:rsidR="0030779C" w:rsidRDefault="00146C80" w:rsidP="00146C80">
      <w:pPr>
        <w:numPr>
          <w:ilvl w:val="1"/>
          <w:numId w:val="3"/>
        </w:numPr>
        <w:tabs>
          <w:tab w:val="left" w:pos="709"/>
        </w:tabs>
        <w:spacing w:after="120"/>
        <w:ind w:left="1652" w:hanging="572"/>
        <w:jc w:val="both"/>
      </w:pPr>
      <w:r>
        <w:t>m</w:t>
      </w:r>
      <w:r w:rsidR="005C43F6">
        <w:t>ap out where GOOS sits both vertically (with and to Member States) and horizontally (along notional value chains to users) including with ongoing IOC processes.</w:t>
      </w:r>
    </w:p>
    <w:p w14:paraId="4F9EDA8E" w14:textId="5937CB9A" w:rsidR="0030779C" w:rsidRDefault="00146C80" w:rsidP="00702F39">
      <w:pPr>
        <w:numPr>
          <w:ilvl w:val="1"/>
          <w:numId w:val="1"/>
        </w:numPr>
        <w:tabs>
          <w:tab w:val="left" w:pos="709"/>
        </w:tabs>
        <w:spacing w:after="240"/>
        <w:ind w:left="1094" w:hanging="533"/>
        <w:jc w:val="both"/>
      </w:pPr>
      <w:r>
        <w:lastRenderedPageBreak/>
        <w:t>p</w:t>
      </w:r>
      <w:r w:rsidR="005C43F6">
        <w:t xml:space="preserve">rovide a </w:t>
      </w:r>
      <w:r w:rsidR="005C43F6" w:rsidRPr="00702F39">
        <w:t>detailed</w:t>
      </w:r>
      <w:r w:rsidR="005C43F6">
        <w:t xml:space="preserve"> review of the mission, system and proposed structure of GOOS. Identify and propose needed changes, and an approach to deliver a reformed GOOS.</w:t>
      </w:r>
    </w:p>
    <w:p w14:paraId="1C3359DF" w14:textId="77777777" w:rsidR="0030779C" w:rsidRDefault="005C43F6" w:rsidP="00702F39">
      <w:pPr>
        <w:numPr>
          <w:ilvl w:val="1"/>
          <w:numId w:val="1"/>
        </w:numPr>
        <w:tabs>
          <w:tab w:val="left" w:pos="709"/>
        </w:tabs>
        <w:spacing w:after="240"/>
        <w:ind w:left="1094" w:hanging="533"/>
        <w:jc w:val="both"/>
      </w:pPr>
      <w:r>
        <w:t xml:space="preserve">Develop a </w:t>
      </w:r>
      <w:r w:rsidRPr="00702F39">
        <w:t>communications</w:t>
      </w:r>
      <w:r>
        <w:t xml:space="preserve"> toolkit that can be used by all members of the governance and support structure. </w:t>
      </w:r>
    </w:p>
    <w:p w14:paraId="790B8325" w14:textId="455A7C64" w:rsidR="0030779C" w:rsidRDefault="005C43F6" w:rsidP="0039337C">
      <w:pPr>
        <w:numPr>
          <w:ilvl w:val="0"/>
          <w:numId w:val="1"/>
        </w:numPr>
        <w:tabs>
          <w:tab w:val="left" w:pos="709"/>
        </w:tabs>
        <w:spacing w:after="240"/>
        <w:jc w:val="both"/>
      </w:pPr>
      <w:r>
        <w:t>The approach to deliver a reformed GOOS</w:t>
      </w:r>
      <w:r>
        <w:t xml:space="preserve"> </w:t>
      </w:r>
      <w:r w:rsidR="00702F39">
        <w:t xml:space="preserve">(paragraph 5.iii above) </w:t>
      </w:r>
      <w:r>
        <w:t>will be presented to the GOOS S</w:t>
      </w:r>
      <w:r w:rsidR="00262988">
        <w:t xml:space="preserve">teering </w:t>
      </w:r>
      <w:r>
        <w:t>C</w:t>
      </w:r>
      <w:r w:rsidR="00262988">
        <w:t>ommittee</w:t>
      </w:r>
      <w:r>
        <w:t xml:space="preserve"> in</w:t>
      </w:r>
      <w:r w:rsidR="00262988">
        <w:t xml:space="preserve"> the first quarter of</w:t>
      </w:r>
      <w:r>
        <w:t xml:space="preserve"> 2026 and subsequently to the Executive Committee in June 2026. The Communications toolkit </w:t>
      </w:r>
      <w:r w:rsidR="00702F39">
        <w:t xml:space="preserve">(5.iv) </w:t>
      </w:r>
      <w:r>
        <w:t xml:space="preserve">will be available in the </w:t>
      </w:r>
      <w:r w:rsidR="00262988">
        <w:t xml:space="preserve">third quarter of </w:t>
      </w:r>
      <w:r>
        <w:t>2025.</w:t>
      </w:r>
    </w:p>
    <w:p w14:paraId="49B3190D" w14:textId="46372791" w:rsidR="0030779C" w:rsidRDefault="005C43F6" w:rsidP="0039337C">
      <w:pPr>
        <w:numPr>
          <w:ilvl w:val="0"/>
          <w:numId w:val="1"/>
        </w:numPr>
        <w:tabs>
          <w:tab w:val="left" w:pos="709"/>
        </w:tabs>
        <w:spacing w:after="240"/>
        <w:jc w:val="both"/>
      </w:pPr>
      <w:r w:rsidRPr="00262988">
        <w:rPr>
          <w:b/>
          <w:bCs/>
        </w:rPr>
        <w:t>Phase II</w:t>
      </w:r>
      <w:r w:rsidR="00262988">
        <w:t xml:space="preserve"> </w:t>
      </w:r>
      <w:r>
        <w:t>(2</w:t>
      </w:r>
      <w:r w:rsidRPr="005C43F6">
        <w:rPr>
          <w:vertAlign w:val="superscript"/>
        </w:rPr>
        <w:t>nd</w:t>
      </w:r>
      <w:r>
        <w:t xml:space="preserve"> diamond) </w:t>
      </w:r>
      <w:r>
        <w:t xml:space="preserve">will implement the approach from phase I to deliver a reformed GOOS: revised mission, scope, structure, </w:t>
      </w:r>
      <w:r w:rsidR="00262988">
        <w:t>terms of reference</w:t>
      </w:r>
      <w:r>
        <w:t xml:space="preserve">, components, processes and delivery mechanisms to meet the needs of Member States. This will ultimately lead to a revised </w:t>
      </w:r>
      <w:r w:rsidR="00262988">
        <w:t>‘</w:t>
      </w:r>
      <w:r>
        <w:t xml:space="preserve">GOOS 2030+ </w:t>
      </w:r>
      <w:r w:rsidR="00262988">
        <w:t xml:space="preserve">Strategy’ </w:t>
      </w:r>
      <w:r>
        <w:t>and implementation plan.</w:t>
      </w:r>
    </w:p>
    <w:p w14:paraId="76D4F63D" w14:textId="3210A08A" w:rsidR="0030779C" w:rsidRDefault="005C43F6" w:rsidP="0039337C">
      <w:pPr>
        <w:keepLines/>
        <w:numPr>
          <w:ilvl w:val="0"/>
          <w:numId w:val="1"/>
        </w:numPr>
        <w:pBdr>
          <w:top w:val="nil"/>
          <w:left w:val="nil"/>
          <w:bottom w:val="nil"/>
          <w:right w:val="nil"/>
          <w:between w:val="nil"/>
        </w:pBdr>
        <w:tabs>
          <w:tab w:val="left" w:pos="709"/>
        </w:tabs>
        <w:spacing w:after="240"/>
        <w:jc w:val="both"/>
      </w:pPr>
      <w:r>
        <w:t xml:space="preserve">Dependent on the availability of adequate resources, phase 2 will also include: production of a </w:t>
      </w:r>
      <w:r w:rsidR="00262988">
        <w:t>‘</w:t>
      </w:r>
      <w:r>
        <w:t>GOOS User and Uptake Strategy</w:t>
      </w:r>
      <w:r w:rsidR="00262988">
        <w:t>’</w:t>
      </w:r>
      <w:r>
        <w:t xml:space="preserve"> that can be used to effectively and routinely engage the broader community (including Member States, scientific community, corporate, blue tech and </w:t>
      </w:r>
      <w:r>
        <w:t xml:space="preserve">financial sectors) to help identify the level and nature of investments needed for a global ocean observing system; and development of </w:t>
      </w:r>
      <w:r>
        <w:t xml:space="preserve">a </w:t>
      </w:r>
      <w:r>
        <w:t>communication</w:t>
      </w:r>
      <w:r>
        <w:t xml:space="preserve"> plan</w:t>
      </w:r>
      <w:r w:rsidR="00262988">
        <w:t xml:space="preserve"> for GOOS</w:t>
      </w:r>
      <w:r>
        <w:t>.</w:t>
      </w:r>
    </w:p>
    <w:p w14:paraId="4BDB20E9" w14:textId="277D81D5" w:rsidR="0030779C" w:rsidRDefault="005C43F6" w:rsidP="0039337C">
      <w:pPr>
        <w:spacing w:after="240"/>
        <w:jc w:val="both"/>
        <w:rPr>
          <w:b/>
        </w:rPr>
      </w:pPr>
      <w:r>
        <w:rPr>
          <w:b/>
        </w:rPr>
        <w:t>Status of</w:t>
      </w:r>
      <w:r>
        <w:rPr>
          <w:b/>
        </w:rPr>
        <w:t xml:space="preserve"> Phase I </w:t>
      </w:r>
    </w:p>
    <w:p w14:paraId="308A5B1E" w14:textId="39915488" w:rsidR="0030779C" w:rsidRDefault="005C43F6" w:rsidP="0039337C">
      <w:pPr>
        <w:numPr>
          <w:ilvl w:val="0"/>
          <w:numId w:val="1"/>
        </w:numPr>
        <w:spacing w:after="240"/>
        <w:jc w:val="both"/>
      </w:pPr>
      <w:r>
        <w:t>A consultancy has been identified to support implementation of Phase I (paragraph 5</w:t>
      </w:r>
      <w:r w:rsidR="002E7D5E">
        <w:t>.i</w:t>
      </w:r>
      <w:r>
        <w:t>-</w:t>
      </w:r>
      <w:r w:rsidR="002E7D5E">
        <w:t>iii</w:t>
      </w:r>
      <w:r>
        <w:t xml:space="preserve"> above) to draft an approach to deliver a reformed GOOS by end 2025. </w:t>
      </w:r>
    </w:p>
    <w:p w14:paraId="46D66AE2" w14:textId="159FA6E5" w:rsidR="0030779C" w:rsidRDefault="005C43F6" w:rsidP="0039337C">
      <w:pPr>
        <w:numPr>
          <w:ilvl w:val="0"/>
          <w:numId w:val="1"/>
        </w:numPr>
        <w:spacing w:after="240"/>
        <w:jc w:val="both"/>
      </w:pPr>
      <w:r>
        <w:t xml:space="preserve">A workshop </w:t>
      </w:r>
      <w:r w:rsidR="002E7D5E">
        <w:t xml:space="preserve">on GOOS reform </w:t>
      </w:r>
      <w:r>
        <w:t xml:space="preserve">took place </w:t>
      </w:r>
      <w:r w:rsidR="002E7D5E">
        <w:t>during</w:t>
      </w:r>
      <w:r>
        <w:t xml:space="preserve"> the 14th meeting of the GOOS steering Committee (</w:t>
      </w:r>
      <w:hyperlink r:id="rId16" w:history="1">
        <w:r w:rsidRPr="002E7D5E">
          <w:rPr>
            <w:rStyle w:val="Hyperlink"/>
          </w:rPr>
          <w:t>SC-</w:t>
        </w:r>
        <w:r w:rsidRPr="002E7D5E">
          <w:rPr>
            <w:rStyle w:val="Hyperlink"/>
          </w:rPr>
          <w:t>1</w:t>
        </w:r>
        <w:r w:rsidRPr="002E7D5E">
          <w:rPr>
            <w:rStyle w:val="Hyperlink"/>
          </w:rPr>
          <w:t>4</w:t>
        </w:r>
      </w:hyperlink>
      <w:r>
        <w:t xml:space="preserve">) in February 2025. The aim of this </w:t>
      </w:r>
      <w:r w:rsidR="002E7D5E">
        <w:t>meeting</w:t>
      </w:r>
      <w:r>
        <w:t xml:space="preserve"> was to have interactive open discussions about the future direction of GOOS (2030 and beyond) and identify key areas of change to accomplish this goal. Key questions were discussed in breakout group style to stimulate conversation and elucidate the concept/unique value proposition for the future GOOS that will answer the questions and needs of society (science/government/business) of tomorrow. A short summary is provided in </w:t>
      </w:r>
      <w:r w:rsidR="00445595">
        <w:t>section 4 of the</w:t>
      </w:r>
      <w:r>
        <w:t xml:space="preserve"> </w:t>
      </w:r>
      <w:hyperlink r:id="rId17" w:history="1">
        <w:r w:rsidRPr="00445595">
          <w:rPr>
            <w:rStyle w:val="Hyperlink"/>
          </w:rPr>
          <w:t>SC-14 report</w:t>
        </w:r>
      </w:hyperlink>
      <w:r w:rsidR="00445595">
        <w:t>.</w:t>
      </w:r>
    </w:p>
    <w:p w14:paraId="2ACF49E7" w14:textId="35428753" w:rsidR="0030779C" w:rsidRDefault="005C43F6" w:rsidP="0039337C">
      <w:pPr>
        <w:numPr>
          <w:ilvl w:val="0"/>
          <w:numId w:val="1"/>
        </w:numPr>
        <w:tabs>
          <w:tab w:val="left" w:pos="709"/>
        </w:tabs>
        <w:spacing w:after="240"/>
        <w:jc w:val="both"/>
      </w:pPr>
      <w:r>
        <w:t xml:space="preserve">A communications consultancy is supporting the development of a GOOS communications toolkit, which will be available </w:t>
      </w:r>
      <w:r>
        <w:t>in the third quarter of 2025</w:t>
      </w:r>
      <w:r>
        <w:t xml:space="preserve">. </w:t>
      </w:r>
    </w:p>
    <w:p w14:paraId="6D52E8AC" w14:textId="77777777" w:rsidR="0030779C" w:rsidRDefault="005C43F6" w:rsidP="0039337C">
      <w:pPr>
        <w:pStyle w:val="Heading3"/>
        <w:jc w:val="both"/>
      </w:pPr>
      <w:r>
        <w:t>Financial and administrative implications</w:t>
      </w:r>
    </w:p>
    <w:p w14:paraId="20B512CF" w14:textId="30B8E4B6" w:rsidR="0030779C" w:rsidRDefault="005C43F6" w:rsidP="0039337C">
      <w:pPr>
        <w:numPr>
          <w:ilvl w:val="0"/>
          <w:numId w:val="1"/>
        </w:numPr>
        <w:tabs>
          <w:tab w:val="left" w:pos="709"/>
        </w:tabs>
        <w:spacing w:after="240"/>
        <w:jc w:val="both"/>
      </w:pPr>
      <w:r>
        <w:t>The financial and administrative immediate implications of GOOS, phase 1 of this proposal are considered within the parameters of the regular budget of IOC, specifically IOC Output 1 of the current Programme and Budget (</w:t>
      </w:r>
      <w:r>
        <w:t>42 </w:t>
      </w:r>
      <w:r>
        <w:t>C/5)</w:t>
      </w:r>
      <w:r>
        <w:t>. The longer term financial and administrative implication of phase 2 will be considered under the Programme and Budget for 2026–2027 (</w:t>
      </w:r>
      <w:r>
        <w:t>43 </w:t>
      </w:r>
      <w:r>
        <w:t>C/5)</w:t>
      </w:r>
      <w:r>
        <w:t xml:space="preserve"> </w:t>
      </w:r>
      <w:r w:rsidR="00C50CE1">
        <w:t>as well as</w:t>
      </w:r>
      <w:r>
        <w:t xml:space="preserve"> any additional</w:t>
      </w:r>
      <w:r w:rsidR="00C50CE1">
        <w:t xml:space="preserve"> potential</w:t>
      </w:r>
      <w:r>
        <w:t xml:space="preserve"> </w:t>
      </w:r>
      <w:r w:rsidR="00C50CE1">
        <w:t>resourcing</w:t>
      </w:r>
      <w:r>
        <w:t xml:space="preserve"> opportunities.</w:t>
      </w:r>
    </w:p>
    <w:p w14:paraId="5A3213F8" w14:textId="77777777" w:rsidR="0030779C" w:rsidRDefault="0030779C">
      <w:pPr>
        <w:pBdr>
          <w:top w:val="nil"/>
          <w:left w:val="nil"/>
          <w:bottom w:val="nil"/>
          <w:right w:val="nil"/>
          <w:between w:val="nil"/>
        </w:pBdr>
        <w:tabs>
          <w:tab w:val="left" w:pos="709"/>
        </w:tabs>
        <w:spacing w:after="240"/>
        <w:jc w:val="both"/>
        <w:rPr>
          <w:i/>
          <w:color w:val="000000"/>
        </w:rPr>
      </w:pPr>
    </w:p>
    <w:sectPr w:rsidR="0030779C">
      <w:headerReference w:type="even" r:id="rId18"/>
      <w:headerReference w:type="default" r:id="rId19"/>
      <w:headerReference w:type="first" r:id="rId20"/>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FC99" w14:textId="77777777" w:rsidR="00EE2158" w:rsidRDefault="00EE2158">
      <w:r>
        <w:separator/>
      </w:r>
    </w:p>
  </w:endnote>
  <w:endnote w:type="continuationSeparator" w:id="0">
    <w:p w14:paraId="7EF9BE34" w14:textId="77777777" w:rsidR="00EE2158" w:rsidRDefault="00EE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BE40" w14:textId="77777777" w:rsidR="00EE2158" w:rsidRDefault="00EE2158">
      <w:r>
        <w:separator/>
      </w:r>
    </w:p>
  </w:footnote>
  <w:footnote w:type="continuationSeparator" w:id="0">
    <w:p w14:paraId="59C472AB" w14:textId="77777777" w:rsidR="00EE2158" w:rsidRDefault="00EE2158">
      <w:r>
        <w:continuationSeparator/>
      </w:r>
    </w:p>
  </w:footnote>
  <w:footnote w:id="1">
    <w:p w14:paraId="55F1EEA0" w14:textId="476E3740" w:rsidR="0030779C" w:rsidRPr="00146C80" w:rsidRDefault="005C43F6">
      <w:pPr>
        <w:rPr>
          <w:rFonts w:eastAsia="Calibri"/>
          <w:sz w:val="20"/>
          <w:szCs w:val="20"/>
        </w:rPr>
      </w:pPr>
      <w:r w:rsidRPr="00146C80">
        <w:rPr>
          <w:sz w:val="20"/>
          <w:szCs w:val="20"/>
          <w:vertAlign w:val="superscript"/>
        </w:rPr>
        <w:footnoteRef/>
      </w:r>
      <w:r w:rsidRPr="00146C80">
        <w:rPr>
          <w:rFonts w:eastAsia="Calibri"/>
          <w:sz w:val="20"/>
          <w:szCs w:val="20"/>
        </w:rPr>
        <w:t xml:space="preserve"> </w:t>
      </w:r>
      <w:r w:rsidR="00146C80">
        <w:rPr>
          <w:rFonts w:eastAsia="Calibri"/>
          <w:sz w:val="20"/>
          <w:szCs w:val="20"/>
        </w:rPr>
        <w:tab/>
      </w:r>
      <w:hyperlink r:id="rId1">
        <w:r w:rsidR="0030779C" w:rsidRPr="00146C80">
          <w:rPr>
            <w:rFonts w:eastAsia="Calibri"/>
            <w:color w:val="0070C0"/>
            <w:sz w:val="20"/>
            <w:szCs w:val="20"/>
            <w:u w:val="single"/>
          </w:rPr>
          <w:t xml:space="preserve">The Double Diamond </w:t>
        </w:r>
        <w:r>
          <w:rPr>
            <w:rFonts w:eastAsia="Calibri"/>
            <w:color w:val="0070C0"/>
            <w:sz w:val="20"/>
            <w:szCs w:val="20"/>
            <w:u w:val="single"/>
          </w:rPr>
          <w:t>–</w:t>
        </w:r>
        <w:r w:rsidR="0030779C" w:rsidRPr="00146C80">
          <w:rPr>
            <w:rFonts w:eastAsia="Calibri"/>
            <w:color w:val="0070C0"/>
            <w:sz w:val="20"/>
            <w:szCs w:val="20"/>
            <w:u w:val="single"/>
          </w:rPr>
          <w:t xml:space="preserve"> Desi</w:t>
        </w:r>
        <w:r w:rsidR="0030779C" w:rsidRPr="00146C80">
          <w:rPr>
            <w:rFonts w:eastAsia="Calibri"/>
            <w:color w:val="0070C0"/>
            <w:sz w:val="20"/>
            <w:szCs w:val="20"/>
            <w:u w:val="single"/>
          </w:rPr>
          <w:t>g</w:t>
        </w:r>
        <w:r w:rsidR="0030779C" w:rsidRPr="00146C80">
          <w:rPr>
            <w:rFonts w:eastAsia="Calibri"/>
            <w:color w:val="0070C0"/>
            <w:sz w:val="20"/>
            <w:szCs w:val="20"/>
            <w:u w:val="single"/>
          </w:rPr>
          <w:t>n Council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D093" w14:textId="512A5908" w:rsidR="0030779C" w:rsidRPr="00C50CE1" w:rsidRDefault="0039337C">
    <w:pPr>
      <w:pBdr>
        <w:top w:val="nil"/>
        <w:left w:val="nil"/>
        <w:bottom w:val="nil"/>
        <w:right w:val="nil"/>
        <w:between w:val="nil"/>
      </w:pBdr>
      <w:tabs>
        <w:tab w:val="center" w:pos="4153"/>
        <w:tab w:val="right" w:pos="8306"/>
      </w:tabs>
      <w:rPr>
        <w:color w:val="000000"/>
        <w:sz w:val="20"/>
        <w:szCs w:val="20"/>
        <w:lang w:val="fr-FR"/>
      </w:rPr>
    </w:pPr>
    <w:bookmarkStart w:id="0" w:name="_Hlk136349465"/>
    <w:r w:rsidRPr="00D21F15">
      <w:rPr>
        <w:color w:val="000000" w:themeColor="text1"/>
        <w:sz w:val="20"/>
        <w:szCs w:val="20"/>
      </w:rPr>
      <w:t>IOC/A-33/4.5.1.Doc(1)</w:t>
    </w:r>
    <w:bookmarkEnd w:id="0"/>
  </w:p>
  <w:p w14:paraId="1FD24C74" w14:textId="77777777" w:rsidR="0030779C" w:rsidRPr="00C50CE1" w:rsidRDefault="005C43F6">
    <w:pPr>
      <w:pBdr>
        <w:top w:val="nil"/>
        <w:left w:val="nil"/>
        <w:bottom w:val="nil"/>
        <w:right w:val="nil"/>
        <w:between w:val="nil"/>
      </w:pBdr>
      <w:tabs>
        <w:tab w:val="center" w:pos="4153"/>
        <w:tab w:val="right" w:pos="8306"/>
      </w:tabs>
      <w:rPr>
        <w:color w:val="000000"/>
        <w:sz w:val="20"/>
        <w:szCs w:val="20"/>
        <w:lang w:val="fr-FR"/>
      </w:rPr>
    </w:pPr>
    <w:r w:rsidRPr="00C50CE1">
      <w:rPr>
        <w:color w:val="000000"/>
        <w:sz w:val="20"/>
        <w:szCs w:val="20"/>
        <w:lang w:val="fr-FR"/>
      </w:rPr>
      <w:t>page </w:t>
    </w:r>
    <w:r>
      <w:rPr>
        <w:color w:val="000000"/>
        <w:sz w:val="20"/>
        <w:szCs w:val="20"/>
      </w:rPr>
      <w:fldChar w:fldCharType="begin"/>
    </w:r>
    <w:r w:rsidRPr="00C50CE1">
      <w:rPr>
        <w:color w:val="000000"/>
        <w:sz w:val="20"/>
        <w:szCs w:val="20"/>
        <w:lang w:val="fr-FR"/>
      </w:rPr>
      <w:instrText>PAGE</w:instrText>
    </w:r>
    <w:r>
      <w:rPr>
        <w:color w:val="000000"/>
        <w:sz w:val="20"/>
        <w:szCs w:val="20"/>
      </w:rPr>
      <w:fldChar w:fldCharType="separate"/>
    </w:r>
    <w:r w:rsidR="00C50CE1" w:rsidRPr="00C50CE1">
      <w:rPr>
        <w:noProof/>
        <w:color w:val="000000"/>
        <w:sz w:val="20"/>
        <w:szCs w:val="20"/>
        <w:lang w:val="fr-FR"/>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243C" w14:textId="1501C4DD" w:rsidR="0030779C" w:rsidRPr="00C50CE1" w:rsidRDefault="0039337C" w:rsidP="0039337C">
    <w:pPr>
      <w:pBdr>
        <w:top w:val="nil"/>
        <w:left w:val="nil"/>
        <w:bottom w:val="nil"/>
        <w:right w:val="nil"/>
        <w:between w:val="nil"/>
      </w:pBdr>
      <w:tabs>
        <w:tab w:val="center" w:pos="4153"/>
        <w:tab w:val="right" w:pos="8306"/>
      </w:tabs>
      <w:ind w:left="7513"/>
      <w:rPr>
        <w:color w:val="000000"/>
        <w:lang w:val="fr-FR"/>
      </w:rPr>
    </w:pPr>
    <w:r w:rsidRPr="0039337C">
      <w:rPr>
        <w:color w:val="000000"/>
        <w:sz w:val="20"/>
        <w:szCs w:val="20"/>
        <w:lang w:val="fr-FR"/>
      </w:rPr>
      <w:t>IOC/A-33/4.5.1.Doc(1)</w:t>
    </w:r>
  </w:p>
  <w:p w14:paraId="487E0E41" w14:textId="38C233FF" w:rsidR="0030779C" w:rsidRPr="00C50CE1" w:rsidRDefault="005C43F6" w:rsidP="0039337C">
    <w:pPr>
      <w:pBdr>
        <w:top w:val="nil"/>
        <w:left w:val="nil"/>
        <w:bottom w:val="nil"/>
        <w:right w:val="nil"/>
        <w:between w:val="nil"/>
      </w:pBdr>
      <w:tabs>
        <w:tab w:val="center" w:pos="4153"/>
        <w:tab w:val="right" w:pos="8306"/>
      </w:tabs>
      <w:ind w:left="7513"/>
      <w:rPr>
        <w:color w:val="000000"/>
        <w:lang w:val="fr-FR"/>
      </w:rPr>
    </w:pPr>
    <w:r w:rsidRPr="00C50CE1">
      <w:rPr>
        <w:color w:val="000000"/>
        <w:lang w:val="fr-FR"/>
      </w:rPr>
      <w:t>page </w:t>
    </w:r>
    <w:r>
      <w:rPr>
        <w:color w:val="000000"/>
      </w:rPr>
      <w:fldChar w:fldCharType="begin"/>
    </w:r>
    <w:r w:rsidRPr="00C50CE1">
      <w:rPr>
        <w:color w:val="000000"/>
        <w:lang w:val="fr-FR"/>
      </w:rPr>
      <w:instrText>PAGE</w:instrText>
    </w:r>
    <w:r>
      <w:rPr>
        <w:color w:val="000000"/>
      </w:rPr>
      <w:fldChar w:fldCharType="separate"/>
    </w:r>
    <w:r w:rsidR="0039337C">
      <w:rPr>
        <w:noProof/>
        <w:color w:val="000000"/>
        <w:lang w:val="fr-FR"/>
      </w:rPr>
      <w:t>3</w:t>
    </w:r>
    <w:r>
      <w:rPr>
        <w:color w:val="000000"/>
      </w:rPr>
      <w:fldChar w:fldCharType="end"/>
    </w:r>
  </w:p>
  <w:p w14:paraId="26F5A224" w14:textId="77777777" w:rsidR="0030779C" w:rsidRPr="00C50CE1" w:rsidRDefault="0030779C" w:rsidP="0039337C">
    <w:pPr>
      <w:pBdr>
        <w:top w:val="nil"/>
        <w:left w:val="nil"/>
        <w:bottom w:val="nil"/>
        <w:right w:val="nil"/>
        <w:between w:val="nil"/>
      </w:pBdr>
      <w:tabs>
        <w:tab w:val="center" w:pos="4153"/>
        <w:tab w:val="right" w:pos="8306"/>
      </w:tabs>
      <w:ind w:left="7513"/>
      <w:rPr>
        <w:color w:val="00000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9563" w14:textId="77777777" w:rsidR="0039337C" w:rsidRDefault="0039337C" w:rsidP="0039337C">
    <w:pPr>
      <w:pBdr>
        <w:top w:val="nil"/>
        <w:left w:val="nil"/>
        <w:bottom w:val="nil"/>
        <w:right w:val="nil"/>
        <w:between w:val="nil"/>
      </w:pBdr>
      <w:tabs>
        <w:tab w:val="left" w:pos="5954"/>
      </w:tabs>
      <w:jc w:val="both"/>
      <w:rPr>
        <w:b/>
        <w:color w:val="000000"/>
      </w:rPr>
    </w:pPr>
    <w:r>
      <w:rPr>
        <w:color w:val="000000"/>
      </w:rPr>
      <w:t>Restricted Distribution</w:t>
    </w:r>
    <w:r>
      <w:rPr>
        <w:color w:val="000000"/>
      </w:rPr>
      <w:tab/>
    </w:r>
    <w:r>
      <w:rPr>
        <w:b/>
        <w:color w:val="000000"/>
        <w:sz w:val="36"/>
        <w:szCs w:val="36"/>
      </w:rPr>
      <w:t xml:space="preserve">IOC/A-33/4.5.1.Doc(1) </w:t>
    </w:r>
  </w:p>
  <w:p w14:paraId="1C59E9FB" w14:textId="77777777" w:rsidR="0039337C" w:rsidRDefault="0039337C" w:rsidP="0039337C">
    <w:pPr>
      <w:tabs>
        <w:tab w:val="left" w:pos="5954"/>
      </w:tabs>
      <w:jc w:val="both"/>
    </w:pPr>
    <w:r>
      <w:rPr>
        <w:b/>
      </w:rPr>
      <w:tab/>
    </w:r>
    <w:r>
      <w:t>Paris, 17 May 2025</w:t>
    </w:r>
    <w:r>
      <w:rPr>
        <w:noProof/>
      </w:rPr>
      <w:drawing>
        <wp:anchor distT="0" distB="0" distL="114300" distR="114300" simplePos="0" relativeHeight="251659264" behindDoc="0" locked="0" layoutInCell="1" hidden="0" allowOverlap="1" wp14:anchorId="3E003F2D" wp14:editId="2A848321">
          <wp:simplePos x="0" y="0"/>
          <wp:positionH relativeFrom="column">
            <wp:posOffset>-19684</wp:posOffset>
          </wp:positionH>
          <wp:positionV relativeFrom="paragraph">
            <wp:posOffset>101600</wp:posOffset>
          </wp:positionV>
          <wp:extent cx="1578610" cy="1047115"/>
          <wp:effectExtent l="0" t="0" r="0" b="0"/>
          <wp:wrapSquare wrapText="bothSides" distT="0" distB="0" distL="114300" distR="11430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4072150E" w14:textId="77777777" w:rsidR="0039337C" w:rsidRDefault="0039337C" w:rsidP="0039337C">
    <w:pPr>
      <w:tabs>
        <w:tab w:val="left" w:pos="5954"/>
      </w:tabs>
      <w:jc w:val="both"/>
    </w:pPr>
    <w:r>
      <w:rPr>
        <w:b/>
      </w:rPr>
      <w:tab/>
    </w:r>
    <w:r>
      <w:t>Original: English</w:t>
    </w:r>
  </w:p>
  <w:p w14:paraId="739E8FE0" w14:textId="77777777" w:rsidR="0039337C" w:rsidRDefault="0039337C" w:rsidP="0039337C">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250283C1" w14:textId="77777777" w:rsidR="0039337C"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rPr>
    </w:pPr>
  </w:p>
  <w:p w14:paraId="6C8554DC" w14:textId="77777777" w:rsidR="0039337C"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rPr>
    </w:pPr>
  </w:p>
  <w:p w14:paraId="52155C47" w14:textId="77777777" w:rsidR="0039337C"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rPr>
    </w:pPr>
  </w:p>
  <w:p w14:paraId="1882006A" w14:textId="77777777" w:rsidR="0039337C"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rPr>
    </w:pPr>
  </w:p>
  <w:p w14:paraId="4E569635" w14:textId="77777777" w:rsidR="0039337C" w:rsidRDefault="0039337C" w:rsidP="0039337C">
    <w:pPr>
      <w:tabs>
        <w:tab w:val="left" w:pos="-1440"/>
        <w:tab w:val="left" w:pos="-720"/>
        <w:tab w:val="left" w:pos="720"/>
        <w:tab w:val="left" w:pos="2160"/>
        <w:tab w:val="left" w:pos="3600"/>
        <w:tab w:val="left" w:pos="4320"/>
        <w:tab w:val="left" w:pos="5040"/>
        <w:tab w:val="left" w:pos="5523"/>
        <w:tab w:val="left" w:pos="6480"/>
      </w:tabs>
      <w:ind w:left="2772"/>
      <w:rPr>
        <w:b/>
      </w:rPr>
    </w:pPr>
  </w:p>
  <w:p w14:paraId="6ACD55D4" w14:textId="77777777" w:rsidR="0039337C" w:rsidRDefault="0039337C" w:rsidP="0039337C">
    <w:pPr>
      <w:tabs>
        <w:tab w:val="left" w:pos="-1440"/>
        <w:tab w:val="left" w:pos="-720"/>
        <w:tab w:val="left" w:pos="720"/>
        <w:tab w:val="left" w:pos="2160"/>
        <w:tab w:val="left" w:pos="3600"/>
        <w:tab w:val="left" w:pos="4320"/>
        <w:tab w:val="left" w:pos="5040"/>
        <w:tab w:val="left" w:pos="5523"/>
        <w:tab w:val="left" w:pos="6480"/>
      </w:tabs>
      <w:jc w:val="center"/>
      <w:rPr>
        <w:b/>
      </w:rPr>
    </w:pPr>
    <w:r>
      <w:rPr>
        <w:b/>
      </w:rPr>
      <w:t>INTERGOVERNMENTAL OCEANOGRAPHIC COMMISSION</w:t>
    </w:r>
  </w:p>
  <w:p w14:paraId="62629967" w14:textId="77777777" w:rsidR="0039337C" w:rsidRDefault="0039337C" w:rsidP="0039337C">
    <w:pPr>
      <w:tabs>
        <w:tab w:val="left" w:pos="-1440"/>
        <w:tab w:val="left" w:pos="-720"/>
        <w:tab w:val="left" w:pos="720"/>
        <w:tab w:val="left" w:pos="2160"/>
        <w:tab w:val="left" w:pos="3600"/>
        <w:tab w:val="left" w:pos="4320"/>
        <w:tab w:val="left" w:pos="5040"/>
        <w:tab w:val="left" w:pos="5523"/>
        <w:tab w:val="left" w:pos="6480"/>
      </w:tabs>
      <w:jc w:val="center"/>
    </w:pPr>
    <w:r>
      <w:t>(of UNESCO)</w:t>
    </w:r>
  </w:p>
  <w:p w14:paraId="7BA3FA21" w14:textId="77777777" w:rsidR="0039337C" w:rsidRDefault="0039337C" w:rsidP="0039337C">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5CBFAB8A" w14:textId="77777777" w:rsidR="0039337C" w:rsidRDefault="0039337C" w:rsidP="0039337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rPr>
      <w:t>Thirty-third Session of the Assembly</w:t>
    </w:r>
  </w:p>
  <w:p w14:paraId="4024A82C" w14:textId="77777777" w:rsidR="0039337C" w:rsidRDefault="0039337C" w:rsidP="0039337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t>UNESCO, 25 June–3 July 2025</w:t>
    </w:r>
  </w:p>
  <w:p w14:paraId="59546E0F" w14:textId="77777777" w:rsidR="0039337C" w:rsidRDefault="0039337C" w:rsidP="0039337C">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170F19A2" w14:textId="77777777" w:rsidR="0039337C" w:rsidRDefault="0039337C" w:rsidP="0039337C">
    <w:pPr>
      <w:jc w:val="center"/>
    </w:pPr>
  </w:p>
  <w:p w14:paraId="395709B5" w14:textId="77777777" w:rsidR="0039337C" w:rsidRDefault="0039337C" w:rsidP="0039337C">
    <w:pPr>
      <w:jc w:val="center"/>
    </w:pPr>
  </w:p>
  <w:p w14:paraId="5B1C44E3" w14:textId="77777777" w:rsidR="0039337C" w:rsidRDefault="0039337C" w:rsidP="0039337C">
    <w:pPr>
      <w:jc w:val="center"/>
    </w:pPr>
  </w:p>
  <w:p w14:paraId="668B9406" w14:textId="77777777" w:rsidR="0039337C" w:rsidRDefault="0039337C" w:rsidP="0039337C">
    <w:pPr>
      <w:jc w:val="center"/>
    </w:pPr>
  </w:p>
  <w:p w14:paraId="13BAA909" w14:textId="77777777" w:rsidR="0039337C" w:rsidRDefault="0039337C" w:rsidP="0039337C">
    <w:pPr>
      <w:jc w:val="center"/>
    </w:pPr>
  </w:p>
  <w:p w14:paraId="7AF38599" w14:textId="77777777" w:rsidR="0039337C" w:rsidRPr="0039337C" w:rsidRDefault="0039337C" w:rsidP="0039337C">
    <w:pPr>
      <w:keepNext/>
      <w:pBdr>
        <w:top w:val="nil"/>
        <w:left w:val="nil"/>
        <w:bottom w:val="nil"/>
        <w:right w:val="nil"/>
        <w:between w:val="nil"/>
      </w:pBdr>
      <w:tabs>
        <w:tab w:val="right" w:pos="9540"/>
      </w:tabs>
      <w:rPr>
        <w:bCs/>
        <w:color w:val="000000"/>
        <w:u w:val="single"/>
      </w:rPr>
    </w:pPr>
    <w:r w:rsidRPr="0039337C">
      <w:rPr>
        <w:bCs/>
        <w:color w:val="000000"/>
        <w:sz w:val="24"/>
        <w:szCs w:val="24"/>
        <w:u w:val="single"/>
      </w:rPr>
      <w:t xml:space="preserve">Item </w:t>
    </w:r>
    <w:r w:rsidRPr="0039337C">
      <w:rPr>
        <w:b/>
        <w:color w:val="000000"/>
        <w:sz w:val="24"/>
        <w:szCs w:val="24"/>
        <w:u w:val="single"/>
      </w:rPr>
      <w:t>4.5.1</w:t>
    </w:r>
    <w:r w:rsidRPr="0039337C">
      <w:rPr>
        <w:bCs/>
        <w:color w:val="000000"/>
        <w:sz w:val="24"/>
        <w:szCs w:val="24"/>
        <w:u w:val="single"/>
      </w:rPr>
      <w:t xml:space="preserve"> of the Provisional Agenda</w:t>
    </w:r>
  </w:p>
  <w:p w14:paraId="6B593BC9" w14:textId="77777777" w:rsidR="0039337C" w:rsidRDefault="0039337C" w:rsidP="0039337C"/>
  <w:p w14:paraId="59577BF0" w14:textId="77777777" w:rsidR="0039337C" w:rsidRDefault="0039337C" w:rsidP="0039337C">
    <w:pPr>
      <w:pStyle w:val="Heading3"/>
      <w:jc w:val="center"/>
    </w:pPr>
    <w:bookmarkStart w:id="1" w:name="_tl60f6kd0pg6" w:colFirst="0" w:colLast="0"/>
    <w:bookmarkEnd w:id="1"/>
  </w:p>
  <w:p w14:paraId="0C3A9203" w14:textId="210156BB" w:rsidR="0039337C" w:rsidRDefault="0039337C" w:rsidP="0039337C">
    <w:pPr>
      <w:pStyle w:val="Heading3"/>
      <w:jc w:val="center"/>
    </w:pPr>
    <w:r w:rsidRPr="00D21F15">
      <w:rPr>
        <w:color w:val="000000"/>
        <w:sz w:val="20"/>
        <w:szCs w:val="20"/>
      </w:rPr>
      <w:t>PROPOSAL</w:t>
    </w:r>
    <w:r>
      <w:rPr>
        <w:color w:val="000000"/>
        <w:sz w:val="20"/>
        <w:szCs w:val="20"/>
      </w:rPr>
      <w:t xml:space="preserve"> FOR</w:t>
    </w:r>
    <w:r w:rsidRPr="00D21F15">
      <w:rPr>
        <w:color w:val="000000"/>
        <w:sz w:val="20"/>
        <w:szCs w:val="20"/>
      </w:rPr>
      <w:t xml:space="preserve"> </w:t>
    </w:r>
    <w:r>
      <w:rPr>
        <w:color w:val="000000"/>
        <w:sz w:val="20"/>
        <w:szCs w:val="20"/>
      </w:rPr>
      <w:t xml:space="preserve">A </w:t>
    </w:r>
    <w:r w:rsidRPr="00D21F15">
      <w:rPr>
        <w:color w:val="000000"/>
        <w:sz w:val="20"/>
        <w:szCs w:val="20"/>
      </w:rPr>
      <w:t>GLOBAL OCEAN OBSERVING SYSTEM (GOOS) REFORM</w:t>
    </w:r>
  </w:p>
  <w:p w14:paraId="6FCBEB76" w14:textId="20B82866" w:rsidR="0030779C" w:rsidRPr="0039337C" w:rsidRDefault="0030779C" w:rsidP="00393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2474"/>
    <w:multiLevelType w:val="hybridMultilevel"/>
    <w:tmpl w:val="5C98C19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86D7D2F"/>
    <w:multiLevelType w:val="multilevel"/>
    <w:tmpl w:val="79263162"/>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7203F8"/>
    <w:multiLevelType w:val="multilevel"/>
    <w:tmpl w:val="B0589448"/>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7977677">
    <w:abstractNumId w:val="1"/>
  </w:num>
  <w:num w:numId="2" w16cid:durableId="1751736264">
    <w:abstractNumId w:val="2"/>
  </w:num>
  <w:num w:numId="3" w16cid:durableId="150924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9C"/>
    <w:rsid w:val="0007265F"/>
    <w:rsid w:val="00146C80"/>
    <w:rsid w:val="00262988"/>
    <w:rsid w:val="002E7D5E"/>
    <w:rsid w:val="0030779C"/>
    <w:rsid w:val="0039337C"/>
    <w:rsid w:val="00445595"/>
    <w:rsid w:val="005C43F6"/>
    <w:rsid w:val="005F4F7E"/>
    <w:rsid w:val="00702F39"/>
    <w:rsid w:val="007F78E8"/>
    <w:rsid w:val="00B73734"/>
    <w:rsid w:val="00BE137D"/>
    <w:rsid w:val="00C50CE1"/>
    <w:rsid w:val="00EE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47871"/>
  <w15:docId w15:val="{8F3E0F3B-28EE-4E10-9323-DFC9F938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5F4F7E"/>
    <w:pPr>
      <w:tabs>
        <w:tab w:val="clear" w:pos="567"/>
        <w:tab w:val="center" w:pos="4680"/>
        <w:tab w:val="right" w:pos="9360"/>
      </w:tabs>
    </w:pPr>
  </w:style>
  <w:style w:type="character" w:customStyle="1" w:styleId="FooterChar">
    <w:name w:val="Footer Char"/>
    <w:basedOn w:val="DefaultParagraphFont"/>
    <w:link w:val="Footer"/>
    <w:uiPriority w:val="99"/>
    <w:rsid w:val="005F4F7E"/>
  </w:style>
  <w:style w:type="paragraph" w:styleId="Header">
    <w:name w:val="header"/>
    <w:basedOn w:val="Normal"/>
    <w:link w:val="HeaderChar"/>
    <w:uiPriority w:val="99"/>
    <w:semiHidden/>
    <w:unhideWhenUsed/>
    <w:rsid w:val="0039337C"/>
    <w:pPr>
      <w:tabs>
        <w:tab w:val="clear" w:pos="567"/>
        <w:tab w:val="center" w:pos="4536"/>
        <w:tab w:val="right" w:pos="9072"/>
      </w:tabs>
    </w:pPr>
  </w:style>
  <w:style w:type="character" w:customStyle="1" w:styleId="HeaderChar">
    <w:name w:val="Header Char"/>
    <w:basedOn w:val="DefaultParagraphFont"/>
    <w:link w:val="Header"/>
    <w:uiPriority w:val="99"/>
    <w:semiHidden/>
    <w:rsid w:val="0039337C"/>
  </w:style>
  <w:style w:type="character" w:styleId="Hyperlink">
    <w:name w:val="Hyperlink"/>
    <w:basedOn w:val="DefaultParagraphFont"/>
    <w:uiPriority w:val="99"/>
    <w:unhideWhenUsed/>
    <w:rsid w:val="00146C80"/>
    <w:rPr>
      <w:color w:val="0000FF" w:themeColor="hyperlink"/>
      <w:u w:val="single"/>
    </w:rPr>
  </w:style>
  <w:style w:type="character" w:styleId="UnresolvedMention">
    <w:name w:val="Unresolved Mention"/>
    <w:basedOn w:val="DefaultParagraphFont"/>
    <w:uiPriority w:val="99"/>
    <w:semiHidden/>
    <w:unhideWhenUsed/>
    <w:rsid w:val="00146C80"/>
    <w:rPr>
      <w:color w:val="605E5C"/>
      <w:shd w:val="clear" w:color="auto" w:fill="E1DFDD"/>
    </w:rPr>
  </w:style>
  <w:style w:type="character" w:styleId="FollowedHyperlink">
    <w:name w:val="FollowedHyperlink"/>
    <w:basedOn w:val="DefaultParagraphFont"/>
    <w:uiPriority w:val="99"/>
    <w:semiHidden/>
    <w:unhideWhenUsed/>
    <w:rsid w:val="002E7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oosocean.org/document/32931" TargetMode="External"/><Relationship Id="rId13" Type="http://schemas.openxmlformats.org/officeDocument/2006/relationships/hyperlink" Target="https://oceanexpert.org/document/3475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ceanexpert.org/document/32845" TargetMode="External"/><Relationship Id="rId12" Type="http://schemas.openxmlformats.org/officeDocument/2006/relationships/hyperlink" Target="https://goosocean.org/document/24590" TargetMode="External"/><Relationship Id="rId17" Type="http://schemas.openxmlformats.org/officeDocument/2006/relationships/hyperlink" Target="https://goosocean.org/document/36131" TargetMode="External"/><Relationship Id="rId2" Type="http://schemas.openxmlformats.org/officeDocument/2006/relationships/styles" Target="styles.xml"/><Relationship Id="rId16" Type="http://schemas.openxmlformats.org/officeDocument/2006/relationships/hyperlink" Target="https://goosocean.org/news/goos-14th-steering-committee-meeting-report-now-availabl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36272" TargetMode="External"/><Relationship Id="rId5" Type="http://schemas.openxmlformats.org/officeDocument/2006/relationships/footnotes" Target="footnotes.xml"/><Relationship Id="rId15" Type="http://schemas.openxmlformats.org/officeDocument/2006/relationships/hyperlink" Target="https://unesdoc.unesco.org/ark:/48223/pf0000390124.locale=en" TargetMode="External"/><Relationship Id="rId10" Type="http://schemas.openxmlformats.org/officeDocument/2006/relationships/hyperlink" Target="https://oceanexpert.org/document/3459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ceanexpert.org/document/34454" TargetMode="External"/><Relationship Id="rId14" Type="http://schemas.openxmlformats.org/officeDocument/2006/relationships/hyperlink" Target="https://oceanexpert.org/document/3445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esigncouncil.org.uk/our-resources/the-double-diamo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3</Pages>
  <Words>1114</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Joanna</dc:creator>
  <cp:lastModifiedBy>Boned, Patrice</cp:lastModifiedBy>
  <cp:revision>3</cp:revision>
  <dcterms:created xsi:type="dcterms:W3CDTF">2025-05-20T17:06:00Z</dcterms:created>
  <dcterms:modified xsi:type="dcterms:W3CDTF">2025-05-20T17:38:00Z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