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9F96" w14:textId="77777777" w:rsidR="00A07A6A" w:rsidRPr="00A07A6A" w:rsidRDefault="00A07A6A" w:rsidP="00A07A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lang w:val="ru-RU"/>
        </w:rPr>
      </w:pPr>
      <w:r w:rsidRPr="00A07A6A">
        <w:rPr>
          <w:rFonts w:asciiTheme="minorBidi" w:hAnsiTheme="minorBidi" w:cstheme="minorBidi"/>
          <w:b/>
          <w:bCs/>
          <w:lang w:val="ru-RU"/>
        </w:rPr>
        <w:t>Межправительственная океанографическая комиссия</w:t>
      </w:r>
    </w:p>
    <w:p w14:paraId="6A6E26B0" w14:textId="77777777" w:rsidR="00A07A6A" w:rsidRPr="00A07A6A" w:rsidRDefault="00A07A6A" w:rsidP="00A07A6A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Cs/>
          <w:lang w:val="ru-RU"/>
        </w:rPr>
      </w:pPr>
      <w:r w:rsidRPr="00A07A6A">
        <w:rPr>
          <w:rFonts w:asciiTheme="minorBidi" w:hAnsiTheme="minorBidi" w:cstheme="minorBidi"/>
          <w:lang w:val="ru-RU"/>
        </w:rPr>
        <w:t>(ЮНЕСКО)</w:t>
      </w:r>
    </w:p>
    <w:p w14:paraId="1ECF2F0B" w14:textId="77777777" w:rsidR="00A07A6A" w:rsidRPr="00A07A6A" w:rsidRDefault="00A07A6A" w:rsidP="00A07A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szCs w:val="22"/>
          <w:lang w:val="ru-RU"/>
        </w:rPr>
      </w:pPr>
    </w:p>
    <w:p w14:paraId="0D4C6B34" w14:textId="77777777" w:rsidR="00A07A6A" w:rsidRPr="00A07A6A" w:rsidRDefault="00A07A6A" w:rsidP="00A07A6A">
      <w:pPr>
        <w:tabs>
          <w:tab w:val="left" w:pos="-1440"/>
          <w:tab w:val="left" w:pos="-720"/>
          <w:tab w:val="left" w:pos="720"/>
          <w:tab w:val="left" w:pos="1420"/>
          <w:tab w:val="left" w:pos="2160"/>
          <w:tab w:val="left" w:pos="3600"/>
          <w:tab w:val="left" w:pos="4320"/>
          <w:tab w:val="center" w:pos="4677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b/>
          <w:bCs/>
          <w:sz w:val="22"/>
          <w:szCs w:val="22"/>
          <w:lang w:val="ru-RU"/>
        </w:rPr>
        <w:t>Тридцать третья сессия Ассамблеи</w:t>
      </w:r>
    </w:p>
    <w:p w14:paraId="47B951D4" w14:textId="7DD5C070" w:rsidR="00A07A6A" w:rsidRPr="00A07A6A" w:rsidRDefault="00A07A6A" w:rsidP="00A07A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ЮНЕСКО, Париж, 25 июня </w:t>
      </w:r>
      <w:r w:rsidR="00263091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 3 июля 2025 г.</w:t>
      </w:r>
    </w:p>
    <w:p w14:paraId="2B8504BD" w14:textId="77777777" w:rsidR="00A07A6A" w:rsidRPr="00A07A6A" w:rsidRDefault="00A07A6A" w:rsidP="00A07A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Cs/>
          <w:szCs w:val="22"/>
          <w:lang w:val="ru-RU"/>
        </w:rPr>
      </w:pPr>
    </w:p>
    <w:p w14:paraId="29138E85" w14:textId="77777777" w:rsidR="00A07A6A" w:rsidRPr="003664EE" w:rsidRDefault="00A07A6A" w:rsidP="00A07A6A">
      <w:pPr>
        <w:jc w:val="center"/>
        <w:rPr>
          <w:rFonts w:cs="Arial"/>
          <w:szCs w:val="22"/>
          <w:lang w:val="ru-RU"/>
        </w:rPr>
      </w:pPr>
    </w:p>
    <w:p w14:paraId="6E4F3F35" w14:textId="77777777" w:rsidR="00A07A6A" w:rsidRPr="00A07A6A" w:rsidRDefault="00A07A6A" w:rsidP="00A07A6A">
      <w:pPr>
        <w:keepNext/>
        <w:widowControl w:val="0"/>
        <w:tabs>
          <w:tab w:val="right" w:pos="9540"/>
        </w:tabs>
        <w:adjustRightInd w:val="0"/>
        <w:jc w:val="both"/>
        <w:textAlignment w:val="baseline"/>
        <w:outlineLvl w:val="6"/>
        <w:rPr>
          <w:rFonts w:asciiTheme="minorBidi" w:eastAsia="Times New Roman" w:hAnsiTheme="minorBidi" w:cstheme="minorBidi"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Пункт </w:t>
      </w:r>
      <w:r w:rsidRPr="00A07A6A">
        <w:rPr>
          <w:rFonts w:asciiTheme="minorBidi" w:hAnsiTheme="minorBidi" w:cstheme="minorBidi"/>
          <w:b/>
          <w:bCs/>
          <w:sz w:val="22"/>
          <w:szCs w:val="22"/>
          <w:u w:val="single"/>
          <w:lang w:val="ru-RU"/>
        </w:rPr>
        <w:t>3.2</w:t>
      </w:r>
      <w:r w:rsidRPr="00A07A6A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 предварительной повестки дня</w:t>
      </w:r>
    </w:p>
    <w:p w14:paraId="7138CB9D" w14:textId="77777777" w:rsidR="00A07A6A" w:rsidRPr="00A07A6A" w:rsidRDefault="00A07A6A" w:rsidP="00A07A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rPr>
          <w:rFonts w:asciiTheme="minorBidi" w:hAnsiTheme="minorBidi" w:cstheme="minorBidi"/>
          <w:b/>
          <w:bCs/>
          <w:caps/>
          <w:lang w:val="ru-RU"/>
        </w:rPr>
      </w:pPr>
    </w:p>
    <w:p w14:paraId="2AE82D83" w14:textId="77777777" w:rsidR="00A07A6A" w:rsidRPr="00A07A6A" w:rsidRDefault="00A07A6A" w:rsidP="00A07A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rPr>
          <w:rFonts w:asciiTheme="minorBidi" w:hAnsiTheme="minorBidi" w:cstheme="minorBidi"/>
          <w:b/>
          <w:bCs/>
          <w:caps/>
          <w:lang w:val="ru-RU"/>
        </w:rPr>
      </w:pPr>
    </w:p>
    <w:p w14:paraId="2826CE96" w14:textId="49FFDBA8" w:rsidR="00A07A6A" w:rsidRPr="00A07A6A" w:rsidRDefault="00A07A6A" w:rsidP="00A07A6A">
      <w:pPr>
        <w:pStyle w:val="b"/>
        <w:ind w:left="567" w:firstLine="0"/>
        <w:jc w:val="center"/>
        <w:rPr>
          <w:rFonts w:asciiTheme="minorBidi" w:hAnsiTheme="minorBidi" w:cstheme="minorBidi"/>
          <w:bCs/>
          <w:sz w:val="28"/>
          <w:szCs w:val="28"/>
          <w:lang w:val="ru-RU"/>
        </w:rPr>
      </w:pPr>
      <w:r w:rsidRPr="00A07A6A">
        <w:rPr>
          <w:rFonts w:asciiTheme="minorBidi" w:hAnsiTheme="minorBidi" w:cstheme="minorBidi"/>
          <w:b/>
          <w:bCs/>
          <w:sz w:val="28"/>
          <w:szCs w:val="28"/>
          <w:lang w:val="ru-RU"/>
        </w:rPr>
        <w:t>Доклад Исполнительного секретаря о работе, проделанной</w:t>
      </w:r>
      <w:r>
        <w:rPr>
          <w:rFonts w:asciiTheme="minorBidi" w:hAnsiTheme="minorBidi" w:cstheme="minorBidi"/>
          <w:b/>
          <w:bCs/>
          <w:sz w:val="28"/>
          <w:szCs w:val="28"/>
          <w:lang w:val="ru-RU"/>
        </w:rPr>
        <w:br/>
      </w:r>
      <w:r w:rsidRPr="00A07A6A">
        <w:rPr>
          <w:rFonts w:asciiTheme="minorBidi" w:hAnsiTheme="minorBidi" w:cstheme="minorBidi"/>
          <w:b/>
          <w:bCs/>
          <w:sz w:val="28"/>
          <w:szCs w:val="28"/>
          <w:lang w:val="ru-RU"/>
        </w:rPr>
        <w:t>после 32-й сессии Ассамблеи (июль 2023 г. – май 2025 г.)</w:t>
      </w:r>
      <w:r w:rsidRPr="00A07A6A">
        <w:rPr>
          <w:rFonts w:asciiTheme="minorBidi" w:hAnsiTheme="minorBidi" w:cstheme="minorBidi"/>
          <w:sz w:val="28"/>
          <w:szCs w:val="28"/>
          <w:lang w:val="ru-RU"/>
        </w:rPr>
        <w:t xml:space="preserve">  </w:t>
      </w:r>
    </w:p>
    <w:p w14:paraId="73D01BB8" w14:textId="77777777" w:rsidR="00A07A6A" w:rsidRPr="003664EE" w:rsidRDefault="00A07A6A" w:rsidP="00A07A6A">
      <w:pPr>
        <w:pStyle w:val="Header"/>
        <w:jc w:val="center"/>
        <w:rPr>
          <w:lang w:val="ru-RU"/>
        </w:rPr>
      </w:pPr>
    </w:p>
    <w:p w14:paraId="60724C16" w14:textId="77777777" w:rsidR="00A07A6A" w:rsidRPr="00A07A6A" w:rsidRDefault="00A07A6A">
      <w:pPr>
        <w:tabs>
          <w:tab w:val="clear" w:pos="567"/>
        </w:tabs>
        <w:snapToGrid/>
        <w:rPr>
          <w:rFonts w:asciiTheme="minorBidi" w:hAnsiTheme="minorBidi" w:cstheme="minorBidi"/>
          <w:b/>
          <w:bCs/>
          <w:sz w:val="22"/>
          <w:szCs w:val="22"/>
          <w:lang w:val="ru-RU"/>
        </w:rPr>
      </w:pPr>
    </w:p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</w:tblGrid>
      <w:tr w:rsidR="00A07A6A" w:rsidRPr="00A07A6A" w14:paraId="008B8A0F" w14:textId="77777777" w:rsidTr="001074DB">
        <w:trPr>
          <w:trHeight w:val="5617"/>
          <w:jc w:val="center"/>
        </w:trPr>
        <w:tc>
          <w:tcPr>
            <w:tcW w:w="8359" w:type="dxa"/>
          </w:tcPr>
          <w:p w14:paraId="6F450C49" w14:textId="77777777" w:rsidR="00A07A6A" w:rsidRPr="00263091" w:rsidRDefault="00A07A6A" w:rsidP="0089259D">
            <w:pPr>
              <w:tabs>
                <w:tab w:val="clear" w:pos="567"/>
              </w:tabs>
              <w:snapToGrid/>
              <w:spacing w:before="240" w:after="24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val="ru-RU"/>
              </w:rPr>
            </w:pPr>
            <w:r w:rsidRPr="00263091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Резюме</w:t>
            </w:r>
          </w:p>
          <w:p w14:paraId="4A3CD629" w14:textId="77777777" w:rsidR="00A07A6A" w:rsidRPr="00A07A6A" w:rsidRDefault="00A07A6A" w:rsidP="0089259D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Доклад начинается со вступления Исполнительного секретаря МОК. </w:t>
            </w:r>
          </w:p>
          <w:p w14:paraId="1AF0B9AA" w14:textId="77777777" w:rsidR="00A07A6A" w:rsidRPr="00A07A6A" w:rsidRDefault="00A07A6A" w:rsidP="0089259D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Далее в нем представлены ключевые аспекты выполнения программы в отчетном периоде и оценка прогресса в соответствии с матрицей результатов МОК на 2024-2025 гг. по состоянию на конец 2024 г., включая выдержки из документов, подготовленных для 221-й сессии Исполнительного совета ЮНЕСКО (апрель 2025 г.). Оценка прогресса/достижений в соответствии с матрицей результатов на 2022-2023 гг. приводится в документе </w:t>
            </w:r>
            <w:hyperlink r:id="rId8" w:history="1">
              <w:r w:rsidRPr="00A07A6A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ru-RU"/>
                </w:rPr>
                <w:t>IOC/EC-57/3.1.Doc(1)</w:t>
              </w:r>
            </w:hyperlink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. </w:t>
            </w:r>
          </w:p>
          <w:p w14:paraId="200F6F46" w14:textId="77777777" w:rsidR="00A07A6A" w:rsidRPr="00A07A6A" w:rsidRDefault="00A07A6A" w:rsidP="0089259D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В добавлении к настоящему документу представлена подробная обновленная информация о проделанной в период с июня 2023 г. по май 2025 г. работе в разбивке по функциям МОК (только на английском языке). </w:t>
            </w:r>
          </w:p>
          <w:p w14:paraId="0B2C92F8" w14:textId="5EAA7CED" w:rsidR="00A07A6A" w:rsidRPr="00A07A6A" w:rsidRDefault="00A07A6A" w:rsidP="0089259D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 дополнение к устному докладу Исполнительного секретаря на пленарном заседании Ассамблеи представляются также следующие документы: «Доклад об исполнении бюджета на 2024-2025 гг. (42 С/5) по состоянию на 31 декабря 2024</w:t>
            </w:r>
            <w:r w:rsidR="00D371A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г.» (документ IOC/A-33/3.2.Doc(2)) и «Доклад о финансовом положении специального счета МОК по состоянию на конец 2024 г. и прогноз на 2025 г.» (документ IOC/A-33/3.2.Doc(3)). </w:t>
            </w:r>
          </w:p>
          <w:p w14:paraId="480EF2F5" w14:textId="77777777" w:rsidR="00A07A6A" w:rsidRPr="00A07A6A" w:rsidRDefault="00A07A6A" w:rsidP="0089259D">
            <w:pPr>
              <w:tabs>
                <w:tab w:val="clear" w:pos="567"/>
              </w:tabs>
              <w:snapToGrid/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A07A6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 Исполнительному совету предлагается принять к сведению настоящий доклад и рассмотреть проект решения, приведенный в предварительном документе о принятых и предлагаемых мерах (IOC/A-33/AP) как реш. IOC/A-33/3.2.</w:t>
            </w:r>
          </w:p>
        </w:tc>
      </w:tr>
    </w:tbl>
    <w:p w14:paraId="043C07E4" w14:textId="77777777" w:rsidR="00A07A6A" w:rsidRDefault="00A07A6A" w:rsidP="00A07A6A">
      <w:pPr>
        <w:tabs>
          <w:tab w:val="clear" w:pos="567"/>
        </w:tabs>
        <w:snapToGrid/>
        <w:rPr>
          <w:rFonts w:asciiTheme="minorBidi" w:hAnsiTheme="minorBidi" w:cstheme="minorBidi"/>
          <w:b/>
          <w:bCs/>
          <w:sz w:val="22"/>
          <w:szCs w:val="22"/>
        </w:rPr>
      </w:pPr>
    </w:p>
    <w:p w14:paraId="28C04A42" w14:textId="77777777" w:rsidR="00A07A6A" w:rsidRDefault="00A07A6A">
      <w:pPr>
        <w:tabs>
          <w:tab w:val="clear" w:pos="567"/>
        </w:tabs>
        <w:snapToGrid/>
        <w:rPr>
          <w:rFonts w:asciiTheme="minorBidi" w:hAnsiTheme="minorBidi" w:cstheme="minorBidi"/>
          <w:b/>
          <w:bCs/>
          <w:sz w:val="22"/>
          <w:szCs w:val="22"/>
        </w:rPr>
      </w:pPr>
    </w:p>
    <w:p w14:paraId="1E543DEA" w14:textId="1BDDD851" w:rsidR="00FA68D9" w:rsidRPr="00A07A6A" w:rsidRDefault="00FA68D9">
      <w:pPr>
        <w:tabs>
          <w:tab w:val="clear" w:pos="567"/>
        </w:tabs>
        <w:snapToGrid/>
        <w:rPr>
          <w:rFonts w:asciiTheme="minorBidi" w:hAnsiTheme="minorBidi" w:cstheme="minorBidi"/>
          <w:b/>
          <w:bCs/>
          <w:sz w:val="22"/>
          <w:szCs w:val="22"/>
        </w:rPr>
      </w:pPr>
      <w:r w:rsidRPr="00A07A6A">
        <w:rPr>
          <w:rFonts w:asciiTheme="minorBidi" w:hAnsiTheme="minorBidi" w:cstheme="minorBidi"/>
          <w:b/>
          <w:bCs/>
          <w:sz w:val="22"/>
          <w:szCs w:val="22"/>
        </w:rPr>
        <w:br w:type="page"/>
      </w:r>
    </w:p>
    <w:p w14:paraId="7E71C7D7" w14:textId="72BF6BB3" w:rsidR="00025A88" w:rsidRPr="00A07A6A" w:rsidRDefault="00E67743" w:rsidP="0089259D">
      <w:pPr>
        <w:keepNext/>
        <w:keepLines/>
        <w:widowControl w:val="0"/>
        <w:adjustRightInd w:val="0"/>
        <w:spacing w:after="240"/>
        <w:ind w:left="567" w:hanging="567"/>
        <w:jc w:val="both"/>
        <w:textAlignment w:val="baseline"/>
        <w:outlineLvl w:val="1"/>
        <w:rPr>
          <w:rFonts w:asciiTheme="minorBidi" w:eastAsia="Times New Roman" w:hAnsiTheme="minorBidi" w:cstheme="minorBidi"/>
          <w:b/>
          <w:bCs/>
          <w:caps/>
          <w:sz w:val="22"/>
          <w:szCs w:val="22"/>
        </w:rPr>
      </w:pPr>
      <w:r w:rsidRPr="00A07A6A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Вступительное слово Исполнительного секретаря МОК</w:t>
      </w:r>
    </w:p>
    <w:p w14:paraId="0ADB9651" w14:textId="45A69638" w:rsidR="000D387D" w:rsidRPr="00A07A6A" w:rsidRDefault="000D387D" w:rsidP="0089259D">
      <w:pPr>
        <w:pStyle w:val="ListParagraph"/>
        <w:numPr>
          <w:ilvl w:val="0"/>
          <w:numId w:val="35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Определенная в Уставе цель МОК состоит из двух компонентов. Во-первых, это </w:t>
      </w:r>
      <w:r w:rsidR="00A07A6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A07A6A">
        <w:rPr>
          <w:rFonts w:asciiTheme="minorBidi" w:hAnsiTheme="minorBidi" w:cstheme="minorBidi"/>
          <w:sz w:val="22"/>
          <w:szCs w:val="22"/>
          <w:lang w:val="ru-RU"/>
        </w:rPr>
        <w:t>содействие международному сотрудничеству и координация программ, касающихся исследований, служб и укрепления потенциала в интересах расширения знаний о природе и ресурсах океана и прибрежных районов</w:t>
      </w:r>
      <w:r w:rsidR="00A07A6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A07A6A">
        <w:rPr>
          <w:rFonts w:asciiTheme="minorBidi" w:hAnsiTheme="minorBidi" w:cstheme="minorBidi"/>
          <w:sz w:val="22"/>
          <w:szCs w:val="22"/>
          <w:lang w:val="ru-RU"/>
        </w:rPr>
        <w:t>. Во-вторых,</w:t>
      </w:r>
      <w:r w:rsidR="00A07A6A">
        <w:rPr>
          <w:rFonts w:asciiTheme="minorBidi" w:hAnsiTheme="minorBidi" w:cstheme="minorBidi"/>
          <w:sz w:val="22"/>
          <w:szCs w:val="22"/>
          <w:lang w:val="ru-RU"/>
        </w:rPr>
        <w:t xml:space="preserve"> –</w:t>
      </w: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A07A6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A07A6A">
        <w:rPr>
          <w:rFonts w:asciiTheme="minorBidi" w:hAnsiTheme="minorBidi" w:cstheme="minorBidi"/>
          <w:sz w:val="22"/>
          <w:szCs w:val="22"/>
          <w:lang w:val="ru-RU"/>
        </w:rPr>
        <w:t>использование этих знаний для совершенствования управления, обеспечения устойчивого развития, охраны морской среды и облегчения процессов принятия решений ее государствами-членами</w:t>
      </w:r>
      <w:r w:rsidR="00A07A6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hyperlink r:id="rId9" w:history="1">
        <w:r w:rsidRPr="00A07A6A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Устав МОК</w:t>
        </w:r>
      </w:hyperlink>
      <w:r w:rsidRPr="00A07A6A">
        <w:rPr>
          <w:rFonts w:asciiTheme="minorBidi" w:hAnsiTheme="minorBidi" w:cstheme="minorBidi"/>
          <w:sz w:val="22"/>
          <w:szCs w:val="22"/>
          <w:lang w:val="ru-RU"/>
        </w:rPr>
        <w:t>, пункт 1 ст. 2).</w:t>
      </w:r>
    </w:p>
    <w:p w14:paraId="1C179F15" w14:textId="775DC554" w:rsidR="009205B6" w:rsidRPr="00A07A6A" w:rsidRDefault="000D387D" w:rsidP="0089259D">
      <w:pPr>
        <w:pStyle w:val="ListParagraph"/>
        <w:numPr>
          <w:ilvl w:val="0"/>
          <w:numId w:val="35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Расширение знаний стоит на первом месте, и этот процесс должен быть непрерывным: в изменяющемся Мировом океане наши вчерашние знания завтра могут радикально измениться. Из этого следует, что использование полученных знаний также должно представлять собой непрерывный, оперативный и более динамичный, чем ранее, процесс. </w:t>
      </w:r>
    </w:p>
    <w:p w14:paraId="018ADE6C" w14:textId="12B4F6D6" w:rsidR="009205B6" w:rsidRPr="00A07A6A" w:rsidRDefault="009205B6" w:rsidP="0089259D">
      <w:pPr>
        <w:pStyle w:val="ListParagraph"/>
        <w:numPr>
          <w:ilvl w:val="0"/>
          <w:numId w:val="35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Первым этапом процесса расширения знаний являются постоянные наблюдения за океаном, которые позволяют получать данные об океане, необходимые для исследований, анализа и моделирования. Эти задачи отражены в установленных руководящими органами МОК на текущий бюджетный период приоритетах, в течение прошлого года мы уделяли им в нашей работе серьезное внимание. </w:t>
      </w:r>
    </w:p>
    <w:p w14:paraId="2AEDA419" w14:textId="43D203C2" w:rsidR="0068477F" w:rsidRPr="00A07A6A" w:rsidRDefault="005443C0" w:rsidP="0089259D">
      <w:pPr>
        <w:pStyle w:val="ListParagraph"/>
        <w:numPr>
          <w:ilvl w:val="0"/>
          <w:numId w:val="35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lang w:val="ru-RU"/>
        </w:rPr>
        <w:t xml:space="preserve">Поскольку доля МОК в обычном бюджете ЮНЕСКО на 2024-2025 гг. (документ 42 С/5) по просьбе государств-членов была увеличена до 3%, две трети (68%) дополнительных ресурсов, не связанных с персоналом, были выделены на стабилизацию всех функций МОК, а одна треть (32%) была использована в качестве дополнительных целевых инвестиций в Глобальную систему наблюдений за океаном (ГСНО), Международную систему обмена океанографическими данными и информацией (МООД) и развитие потенциала с помощью региональных вспомогательных органов. </w:t>
      </w:r>
    </w:p>
    <w:p w14:paraId="38CF0F37" w14:textId="1BCB4E8B" w:rsidR="00733682" w:rsidRDefault="0082581A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07A6A">
        <w:rPr>
          <w:rFonts w:asciiTheme="minorBidi" w:hAnsiTheme="minorBidi" w:cstheme="minorBidi"/>
          <w:sz w:val="22"/>
          <w:szCs w:val="22"/>
          <w:lang w:val="ru-RU"/>
        </w:rPr>
        <w:t>На графике ниже показано сравнение между бюджетами, не связанными с персоналом (бюджетами на мероприятия), этих ключевых приоритетных областей в 2022-2023 гг. (документ 41 C/5) и 2024-2025 гг. (документ 42 C/5). Увеличение бюджета позволило также незначительно укрепить кадровый состав ГСНО, МООД, МОКАФРИКА, ИОСИНДИО и органов МОК в Тихом океане.</w:t>
      </w:r>
    </w:p>
    <w:p w14:paraId="67B70E26" w14:textId="4B2D9F42" w:rsidR="0089259D" w:rsidRDefault="0089259D" w:rsidP="0089259D">
      <w:pPr>
        <w:pStyle w:val="ListParagraph"/>
        <w:spacing w:after="240"/>
        <w:ind w:left="0"/>
        <w:contextualSpacing w:val="0"/>
        <w:jc w:val="center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noProof/>
          <w:sz w:val="22"/>
          <w:szCs w:val="22"/>
          <w:lang w:val="ru-RU"/>
        </w:rPr>
        <w:drawing>
          <wp:inline distT="0" distB="0" distL="0" distR="0" wp14:anchorId="01AEB141" wp14:editId="73136C46">
            <wp:extent cx="4980940" cy="3072765"/>
            <wp:effectExtent l="0" t="0" r="0" b="0"/>
            <wp:docPr id="2129893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EB415" w14:textId="2D0C3319" w:rsidR="00C00FF3" w:rsidRPr="0089259D" w:rsidRDefault="00A41B9A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Вторая часть нашего мандата </w:t>
      </w:r>
      <w:r w:rsidR="00D371AD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использование полученного опыта и знаний </w:t>
      </w:r>
      <w:r w:rsidR="00D371AD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приобретает все большее значение в связи с укреплением управления в сфере океана на глобальном уровне и повышением актуальности региональной политики и механизмов управления. Повышение эффективности деятельности МОК в области наблюдений за океаном и данных об океане способствует появлению продуктов и услуг, использующихся для поддержки, например, морского мониторинга в рамках Куньминско-Монреальской глобальной рамочной программы в области биоразнообразия, Договора о БПНЮ и рамочных программ, связанных с загрязнением, а также для укрепления роли МОК в качестве глобального информационного партнера в области устойчивого планирования в сфере океана. В то же время мы продолжаем важный процесс реформирования ГСНО в целях ее адаптации к работе в условиях быстро изменяющейся ситуации в Мировом океане получения необходимых для общин и экономики на суше результатов. Мы также работаем над созданием комплексной архитектуры данных МОК (пункт 3.4.3 повестки дня на этой сессии), которая сможет лучше удовлетворять потребности лиц, ответственных за принятие решений и управление в сфере океана. </w:t>
      </w:r>
    </w:p>
    <w:p w14:paraId="522D4F98" w14:textId="3C352F8E" w:rsidR="0068477F" w:rsidRPr="0089259D" w:rsidRDefault="00C00FF3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Эта двойная цель </w:t>
      </w:r>
      <w:r w:rsidR="00351CFD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расширение и использование знаний </w:t>
      </w:r>
      <w:r w:rsidR="000D414F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отражена также в </w:t>
      </w:r>
      <w:hyperlink r:id="rId11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среднесрочной стратегии МОК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 согласуется с принципами Десятилетия Организации Объединенных Наций, посвященного науке об океане в интересах устойчивого развития (2021-2030 гг.), задачи которого заключаются в производстве научных знаний, необходимых для принятия решений, необходимых для устойчивого развития Мирового океана. Программы и проекты, осуществляемые под руководством МОК в рамках Десятилетия океана, охватывают широкий круг вопросов: от наблюдений и научных исследований до устойчивого планирования в сфере океана. Они создают испытательную среду для применения преобразующих методик производства своевременных, актуальных и совместно спроектированных знаний, которые могут непосредственно использоваться для принятия решений. Разнообразные сообщества заинтересованных сторон, формирующиеся в рамках различных процессов Десятилетия океана, в период после Десятилетия превратятся в важные сети партнеров  МОК, которые будут поддерживать ее усилия по повышению эффективности производства знаний, а также их применения. Таким образом, Десятилетие океана создает рамочную основу для новаторской работы по программам МОК с новыми партнерами и с учетом новых проблем, закладывая тем самым фундамент для обновления МОК, которое станет главным результатом нашей работы по завершении Десятилетия. Консультативная работа, которую Исполнительный совет просил провести в рамках процесса </w:t>
      </w:r>
      <w:r w:rsidR="000D414F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МОК и будущее Мирового океана</w:t>
      </w:r>
      <w:r w:rsidR="000D414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(пункт 5.3 повестки дня на этой сессии), обеспечит возможность использования знаний и опыта, накопленных в ходе Десятилетия океана, для удовлетворения меняющихся потребностей и реагирования на ожидания государств-членов.</w:t>
      </w:r>
    </w:p>
    <w:p w14:paraId="1E9B8CF8" w14:textId="5878F1C4" w:rsidR="003C2BCD" w:rsidRPr="0089259D" w:rsidRDefault="00E93CAB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Поскольку одна из ключевых целей нашей работы заключается в обеспечении более качественного, быстрого и динамичного взаимодействия между процессами получения знаний об океане, принятием решений и управления, нам также необходимо рассмотреть вопрос о возможностях повышения эффективности, оперативности и динамичности наших методов работы. В этой связи мы приветствуем высказанную в прошлом году просьбу Исполнительного совета о проведении внешней оценки процессов руководства и управления в МОК (пункт</w:t>
      </w:r>
      <w:r w:rsidR="000D414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5.2 повестки дня этой сессии) с целью </w:t>
      </w:r>
      <w:r w:rsidR="000D414F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</w:t>
      </w:r>
      <w:r w:rsidR="000D414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37636CA4" w14:textId="79FCC231" w:rsidR="00B35143" w:rsidRPr="0089259D" w:rsidRDefault="003C2BCD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Эта оценка и связанные с ней обсуждения позволили выявить две обширные возможности для оптимизации наших процессов и способов использования ресурсов: </w:t>
      </w:r>
    </w:p>
    <w:p w14:paraId="2FFC1F80" w14:textId="69A937AD" w:rsidR="00B35143" w:rsidRPr="0089259D" w:rsidRDefault="00F24E48" w:rsidP="00CD407E">
      <w:pPr>
        <w:pStyle w:val="ListParagraph"/>
        <w:numPr>
          <w:ilvl w:val="0"/>
          <w:numId w:val="3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в</w:t>
      </w:r>
      <w:r w:rsidR="00B35143" w:rsidRPr="0089259D">
        <w:rPr>
          <w:rFonts w:asciiTheme="minorBidi" w:hAnsiTheme="minorBidi" w:cstheme="minorBidi"/>
          <w:sz w:val="22"/>
          <w:szCs w:val="22"/>
          <w:lang w:val="ru-RU"/>
        </w:rPr>
        <w:t xml:space="preserve">о-первых, речь идет о соблюдении положений </w:t>
      </w:r>
      <w:r w:rsidR="006977C6" w:rsidRPr="0089259D">
        <w:rPr>
          <w:rFonts w:asciiTheme="minorBidi" w:hAnsiTheme="minorBidi" w:cstheme="minorBidi"/>
          <w:sz w:val="22"/>
          <w:szCs w:val="22"/>
          <w:lang w:val="ru-RU"/>
        </w:rPr>
        <w:t xml:space="preserve">Устава МОК </w:t>
      </w:r>
      <w:r w:rsidR="00B35143" w:rsidRPr="0089259D">
        <w:rPr>
          <w:rFonts w:asciiTheme="minorBidi" w:hAnsiTheme="minorBidi" w:cstheme="minorBidi"/>
          <w:sz w:val="22"/>
          <w:szCs w:val="22"/>
          <w:lang w:val="ru-RU"/>
        </w:rPr>
        <w:t>о полномочиях по принятию решений и порядка подотчетности</w:t>
      </w:r>
      <w:r w:rsidR="00473E57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1F1F54EB" w14:textId="7A4AAE0C" w:rsidR="00B35143" w:rsidRPr="0089259D" w:rsidRDefault="00B35143" w:rsidP="00CD407E">
      <w:pPr>
        <w:pStyle w:val="ListParagraph"/>
        <w:numPr>
          <w:ilvl w:val="0"/>
          <w:numId w:val="3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>во-вторых, необходимо привести программу работы МОК, ее цели и показатели в соответствие со среднесрочной стратегией МОК.</w:t>
      </w:r>
    </w:p>
    <w:p w14:paraId="0319F390" w14:textId="0068292B" w:rsidR="00B35143" w:rsidRPr="0089259D" w:rsidRDefault="005745C6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Использование этих возможностей, проистекающих из двух важнейших документов, регулирующих деятельность МОК, позволит Комиссии укрепить свою стратегическую направленность и одновременно повышать свою эффективность и лучше реагировать на просьбы государств-членов и требования многосторонних процессов. Поэтому обсуждения и решения Ассамблеи по этим вопросам будут иметь крайне важное значение. </w:t>
      </w:r>
    </w:p>
    <w:p w14:paraId="2E6C35D7" w14:textId="1DC56660" w:rsidR="00F54E57" w:rsidRPr="0089259D" w:rsidRDefault="00E67743" w:rsidP="0089259D">
      <w:pPr>
        <w:snapToGrid/>
        <w:spacing w:after="240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b/>
          <w:bCs/>
          <w:sz w:val="22"/>
          <w:szCs w:val="22"/>
          <w:lang w:val="ru-RU"/>
        </w:rPr>
        <w:t>Основные результаты осуществления программы (июнь 2023 г. – май 2025 г.)</w:t>
      </w:r>
    </w:p>
    <w:p w14:paraId="3EB49A4B" w14:textId="3EFD0192" w:rsidR="00FC2A2B" w:rsidRPr="0089259D" w:rsidRDefault="0062187D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Десятилетие Организации Объединенных Наций, посвященное науке об океане в интересах устойчивого развития (2021-2030 гг.)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, координатором которого с 2021 г. является МОК, утвердилось в ранге крупнейшей координируемой на глобальном уровне инициативы в области науки об океане за всю ее историю. Десятилетие океана объединило более 20 000 человек, работающих в многопрофильных международных группах над осуществлением 59 одобренных глобальных программ Десятилетия и более 500 региональных и национальных проектов Десятилетия. Эти мероприятия Десятилетия осуществляются под руководством научно-исследовательских институтов, НПО, частного сектора и государственных партнеров в 76 странах. Партнерские организации разместили у себя 13 региональных и тематических децентрализованных координационных структур, включая недавно созданный Центр сотрудничества в рамках Десятилетия по устойчивой экономике океана, размещенный в городском совете Барселоны. В 40 странах были созданы национальные комитеты Десятилетия. На посвященную Десятилетию океана конференцию 2024 г., организованную Испанией в апреле 2024 г. в Барселоне, приехали лично более 2600 участников, обсудившие потребности в научных знаниях и информации, которые будут определять будущие приоритеты Десятилетия океана, а также возможности в сфере развития партнерских связей и привлечения средств и способы обеспечения всестороннего участия недопредставленных групп. Эти результаты были достигнуты благодаря беспрецедентной мобилизации усилий Секретариата МОК и его партнеров на протяжении последних трех лет. Рекомендации Конференции, посвященной Десятилетию океана, заложили основу для участия МОК в подготовке Конференции Организации Объединенных Наций по океану 2025 г. Эта Конференция, которая проводится на полпути к завершению Десятилетия океана, станет определяющим этапом в повестке дня глобального управления в сфере океана и предоставит МОК уникальные возможности для более активного развития науки об океане, ориентированной на решения. </w:t>
      </w:r>
    </w:p>
    <w:p w14:paraId="78B2DB7F" w14:textId="1C0461D3" w:rsidR="00FC2A2B" w:rsidRPr="0089259D" w:rsidRDefault="00754815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рамках основного мандата МОК и при поддержке государств-членов после 32-й сессии Ассамблеи МОК в 2023 г. были достигнуты следующие ключевые результаты. </w:t>
      </w:r>
    </w:p>
    <w:p w14:paraId="470C5F0B" w14:textId="233A4D49" w:rsidR="00B72CB5" w:rsidRPr="0089259D" w:rsidRDefault="003570B3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Второй доклад МОК о состоянии Мирового океана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был опубликован в июне </w:t>
      </w:r>
      <w:hyperlink r:id="rId12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2024 г.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В ДСМО представлены результаты связанных с океаном научных исследований, а также аналитические выводы в отношении нынешнего и прогнозируемого в будущем состояния Мирового океана, в том числе его физических, химических и экологических параметров, социально-экономических и управленческих аспектов, с упором на достижение семи ожидаемых по итогам Десятилетия результатов. В марте 2025 г. было объявлено о наборе членов консультативного совета по подготовке ДСМО, публикация которого намечена на 2026 г., а в мае 2025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г. состоялось первое заседание консультативного совета, посвященное предварительному планированию работы по этому докладу.</w:t>
      </w:r>
    </w:p>
    <w:p w14:paraId="6D48C812" w14:textId="0FE16C6B" w:rsidR="00FC2A2B" w:rsidRPr="0089259D" w:rsidRDefault="00FC2A2B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В ходе Конференции Организации Объединенных Наций по климату (КС-28)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в декабре 2023 г. МОК отстаивала важнейшую роль науки об океане как основы для принятия мер, связанных с океаном и климатом. Вопросы океана занимали важное место в рамках первого в истории </w:t>
      </w:r>
      <w:hyperlink r:id="rId13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мероприятия по подведению глобальных итогов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выполнения Парижского соглашения, в ходе которого впервые была признана необходимость учета связанных с 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океаном аспектов при принятии мер в связи с изменением климата и активизации действий в интересах океана на основе наиболее передовых океанографических знаний. </w:t>
      </w:r>
    </w:p>
    <w:p w14:paraId="331C032C" w14:textId="25B117A1" w:rsidR="009A1B60" w:rsidRPr="0089259D" w:rsidRDefault="00B639E3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представленную МОК подборку данных по </w:t>
      </w: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показателю ЦУР 14.3.1 «средняя кислотность (pH) морской воды, измеряемая в согласованной группе репрезентативных станций отбора проб»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, были включены данные по большему числу стран и станций (178 станций в 2021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г., и 765 станций в 44 странах в 2025 г</w:t>
      </w:r>
      <w:r w:rsidR="00A6693A">
        <w:rPr>
          <w:rFonts w:asciiTheme="minorBidi" w:hAnsiTheme="minorBidi" w:cstheme="minorBidi"/>
          <w:sz w:val="22"/>
          <w:szCs w:val="22"/>
          <w:lang w:val="ru-RU"/>
        </w:rPr>
        <w:t>.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). </w:t>
      </w:r>
    </w:p>
    <w:p w14:paraId="54B28D9E" w14:textId="5450F8CF" w:rsidR="009A1B60" w:rsidRPr="0089259D" w:rsidRDefault="009A1B60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Координируемая МОК глобальная сеть экспертов по вопросам </w:t>
      </w: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закисления океана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включает на сегодняшний день 1500 участников из 116 стран (в том числе из 26 стран Африки и 23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МОСРГ) и продолжает расширяться. </w:t>
      </w:r>
    </w:p>
    <w:p w14:paraId="60EFD00C" w14:textId="497ACD0B" w:rsidR="009A1B60" w:rsidRPr="0089259D" w:rsidRDefault="009A1B60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Деоксигенация океана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продолжает угрожать его здоровью, поэтому для сокращения площади зон с низким содержанием кислорода предлагаются подходы, ориентированные на повторное насыщение кислородом. Рабочая группа ГСОК созвала в сентябре 2024 г. совещание экспертов для обсуждения возможностей использования методов повторного насыщения кислородом для прекращения дальнейшей деоксигенации. Результаты семинара будут опубликованы в журнале Eos (</w:t>
      </w:r>
      <w:r w:rsidR="009360E8" w:rsidRPr="0089259D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Научный вестник Земли и Космоса</w:t>
      </w:r>
      <w:r w:rsidR="009360E8" w:rsidRPr="0089259D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).</w:t>
      </w:r>
    </w:p>
    <w:p w14:paraId="6B0D3A8B" w14:textId="5D69DA55" w:rsidR="009A1B60" w:rsidRPr="0089259D" w:rsidRDefault="009A1B60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соответствии с требованиями государств-членов продолжает расти портфель мероприятий МОК, направленных на сохранение, восстановление и устойчивое управление прибрежными экосистемами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голубого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углерода в интересах климата, биоразнообразия и экономики. МОК оказывает содействие в координации выдвинутой Австралией Инициативы по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голубому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углероду (ИГУ, с 2020 г.), Международного партнерства по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голубому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углероду (МПГУ, с 2020 г.),  и созданной по инициативе Франции Группы высокого уровня для решения задач по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голубому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углероду (ГВУГУ, с 2022 г.). МОК была одним из инициаторов создания в конце 2021 г. глобальной программы Десятилетия океана по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голубому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углероду (ГП-ГУ) и с тех пор является одним из членов ее руководящего комитета. Информация об этих мероприятиях была представлена государствам-членам в ходе специального параллельного мероприятия в рамках 57-й сессии Исполнительного совета МОК в июне 2024 г.</w:t>
      </w:r>
    </w:p>
    <w:p w14:paraId="43718402" w14:textId="071900A2" w:rsidR="00F97256" w:rsidRPr="0089259D" w:rsidRDefault="00BE5450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textDirection w:val="btLr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Учитывая важное значение осуществляемых МОК, Организацией Объединенных Наций и другими международными учреждениями совместных программ в плане более активного задействования имеющегося потенциала и содействия укреплению деятельности МОК в интересах общества, а также принимая во внимание тот факт, что подобные программы должны подкрепляться своевременными и отвечающими поставленным задачам соглашениями, МОК провела переговоры о подписании пересмотренного меморандума о взаимопонимании в поддержку Глобальной системы наблюдений за климатом (ГСНК) со Всемирной метеорологической организацией (ВМО), Программой Организации Объединенных Наций по окружающей среде (ЮНЕП) и Международным советом по науке (МСН), сроком на четыре года. Кроме того, в апреле 2024 г. был подписан меморандум о взаимопонимании между МОК ЮНЕСКО и ФАО, в котором была официально закреплена их роль соучредителей Межправительственной группы по вредоносному цветению водорослей (МГВЦВ МОК-ФАО). В контексте обновленного плана научных исследований и осуществления Всемирной программы исследований климата между МОК ЮНЕСКО, ВМО и МСН ведутся переговоры об обновлении соглашения о совместной финансовой поддержке от 1993 г., с тем чтобы оно отражало поставленные в этом плане задачи и могло адаптироваться к новым условиям. Будучи одним из соучредителей Всемирной программы исследования климата, МОК проведет в мае 2025 г. в Штаб-квартире ЮНЕСКО заседание совместного научного комитета.</w:t>
      </w:r>
    </w:p>
    <w:p w14:paraId="33966975" w14:textId="215A2F40" w:rsidR="002F0BE9" w:rsidRPr="0089259D" w:rsidRDefault="002F0BE9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u w:val="single"/>
          <w:lang w:val="ru-RU"/>
        </w:rPr>
        <w:t>Глобальная система наблюдений за океаном (ГСНО)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координирует работу более 8700 океанографических станций, развернутых в рамках 13 глобальных сетей наблюдения за океаном. Работу указанных станций обеспечивают 84 государства-члена (в том числе девять стран Африки и девять МОСРГ). Ежедневно в системы оперативного прогнозирования поступает более 120 000 океанических наблюдений, которые отслеживаются через Океан-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>ОПС (Оперативный центр ГСНО МОК-ВМО). Число программ координируемых и отслеживаемых устойчивых биологических и экологических наблюдений выросло до 638 в 71 государстве-члене, в том числе в семи странах Африки и 14 МОСРГ.</w:t>
      </w:r>
    </w:p>
    <w:p w14:paraId="2C588F70" w14:textId="5DF9403D" w:rsidR="002F0BE9" w:rsidRPr="0089259D" w:rsidRDefault="002F0BE9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ГСНО продолжает развивать работу по координации, интеграции данных и повышению осведомленности общественности в поддержку глобальных наблюдений за океаном в сочетании с расширением участия заинтересованных сторон, а также с повышением устойчивости и оперативного реагирования глобальной системы. Среди последних достижений следует отметить расширение использования научным сообществом базовой концепции основных океанических переменных (ООВ) благодаря новому документу (представлен) и пересмотру спецификаций ООВ под руководством пользователей, разработку базового паспорта метаданных с уникальным идентификатором для использования и отслеживания данных, первый семинар по данным МООД/ГСНО, на котором был сделан значительный шаг вперед в объединении элементов данных МОК в целях создания современной архитектуры данных МОК (пункт</w:t>
      </w:r>
      <w:r w:rsidR="00991487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3.4.3 повестки дня на этой сессии), укрепление взаимодействия и поддержки 14 региональных альянсов и 77 национальных координаторов ГСНО, в том числе путем проведения второго ежегодного форума национальных координаторов и их опроса. Отдел МОК по ГСНО координировал работу ВМО и МОК с целью подготовки первых руководящих положений для океанических приложений в рамках процесса скользящего обзора потребностей. Это значительный шаг вперед в формулировании потребностей в наблюдениях для оперативных систем океанического прогнозирования в целом ряде прикладных областей.</w:t>
      </w:r>
    </w:p>
    <w:p w14:paraId="5C837EAC" w14:textId="4C237E43" w:rsidR="002F0BE9" w:rsidRPr="0089259D" w:rsidRDefault="002F0BE9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Для обеспечения того, чтобы управление ГСНО соответствовало поставленным целям, готовится предложение о реформе ГСНО (пункт 4.5.1 повестки дня на этой сессии) в соответствии с кругом ведения, изложенным в решении EC-57/4.1 и документе </w:t>
      </w:r>
      <w:hyperlink r:id="rId14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IOC/EC-57/4.1.Doc(1)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3B9F7529" w14:textId="1DCD1802" w:rsidR="002F0BE9" w:rsidRPr="0089259D" w:rsidRDefault="003B1A51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sdt>
        <w:sdtPr>
          <w:rPr>
            <w:rFonts w:asciiTheme="minorBidi" w:hAnsiTheme="minorBidi" w:cstheme="minorBidi"/>
            <w:sz w:val="22"/>
            <w:szCs w:val="22"/>
          </w:rPr>
          <w:tag w:val="goog_rdk_1"/>
          <w:id w:val="1873411116"/>
        </w:sdtPr>
        <w:sdtEndPr/>
        <w:sdtContent/>
      </w:sdt>
      <w:r w:rsidR="000606E3" w:rsidRPr="0089259D">
        <w:rPr>
          <w:rFonts w:asciiTheme="minorBidi" w:hAnsiTheme="minorBidi" w:cstheme="minorBidi"/>
          <w:sz w:val="22"/>
          <w:szCs w:val="22"/>
          <w:lang w:val="ru-RU"/>
        </w:rPr>
        <w:t>Совместный совет по сотрудничеству между ВМО и МОК провел в сентябре 2024 г. очное заседание, на котором определил приоритетные области для своей работы, используя анализ, основанный на множестве критериев. В качестве приоритетных были названы следующие области: определение параметров Глобальной сети базовых наблюдений (ГСБН) для океанов, совершенствование управления данными и функциональной совместимости, укрепление устойчивости прибрежных и морских районов и укрепление потенциала путем совместного обучения и сотрудничества.</w:t>
      </w:r>
    </w:p>
    <w:p w14:paraId="6F5E7637" w14:textId="5DE4D514" w:rsidR="002F0BE9" w:rsidRPr="0089259D" w:rsidRDefault="002F0BE9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Специальная межсессионная рабочая группа по океанографическим наблюдениям в районах, подпадающих под национальную юрисдикцию, работала в соответствии с кругом ведения, изложенным в решении A-32/4.8.2, и подготовила доклад о проделанной работе и рекомендации для Ассамблеи МОК на ее 33-й сессии (пункт 4.5.3 повестки дня на этой сессии).</w:t>
      </w:r>
    </w:p>
    <w:p w14:paraId="6D22F139" w14:textId="67109703" w:rsidR="00A01A8F" w:rsidRPr="0089259D" w:rsidRDefault="00A01A8F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Центр ВМО/МОК заключил партнерское соглашение с кругосветной регатой </w:t>
      </w:r>
      <w:r w:rsidR="0099148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Vendée Globe</w:t>
      </w:r>
      <w:r w:rsidR="0099148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 оснастил 25 из 40 участвовавших в ней яхт современными приборами для сбора важнейших метеорологических и океанографических данных. Благодаря этой уникальной инициативе регата превратилась в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плавучую научную станцию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, что позволило получить ценные данные, особенно из малоизученных регионов, таких как Южный океан. Сотрудничество регаты Vendée Globe и МОК продолжится и в 2028 г., когда все шкиперы будут обязаны установить у себя на борту научные приборы.</w:t>
      </w:r>
    </w:p>
    <w:p w14:paraId="243F52C6" w14:textId="727A71A8" w:rsidR="00A652CF" w:rsidRPr="0089259D" w:rsidRDefault="00A652CF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Система океанических данных и информации (ОДИС) представляет собой объединенную группу независимых систем данных, включая системы данных континентального и национального масштаба, а также системы данных небольших организаций. ОДИС позволяет частным лицам и организациям делиться своими метаданными со всем миром и обеспечивает лучшую обнаруживаемость, доступность, взаимодействие и повторное использование океанических данных. В настоящее время ОДИС объединяет 55 каталогов или узлов хранения и обработки данных 45 партнерских 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>организаций, формируя устойчивую, совместимую и инклюзивную цифровую экосистему для всех занимающихся вопросами океана заинтересованных сторон, которая будет продолжать расти в будущем.</w:t>
      </w:r>
    </w:p>
    <w:p w14:paraId="2C572C08" w14:textId="7523E935" w:rsidR="00A652CF" w:rsidRPr="0089259D" w:rsidRDefault="00A652CF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Совместные усилия Глобальной системы наблюдений за океаном (ГСНО) и Системы информации о морском биологическом разнообразии (ОБИС), функционирующей в рамках МООД, позволили получить информацию, собранную в рамках 638 многолетних программ мониторинга биоразнообразия, которая затем была интегрирована в онлайновую платформу метаданных (портал «БиоЭко»). Указанный портал будет, в свою очередь, подключен к ОДИС и, таким образом, сможет использоваться в качестве инфраструктуры для мониторинга компонента ГСНО, касающегося морского биологического разнообразия. ОБИС продолжает играть ключевую роль в этом отношении, предоставляя комплексный, стандартизированный и отвечающий требованиям качества доступ к актуальным биологическим и экосистемным наблюдениям, необходимым для использования в экосистемных моделях, системах раннего предупреждения, а также в системах показателей и оценок. В настоящее время ОБИС содержит 136 миллионов наблюдений за видами и продолжает расти, ежемесячно получая свыше миллиона записей от более чем 1000 учреждений из 99 стран.</w:t>
      </w:r>
    </w:p>
    <w:p w14:paraId="2740E7EE" w14:textId="14820892" w:rsidR="00A652CF" w:rsidRPr="0089259D" w:rsidRDefault="00A652CF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Проект «Экспедиции по сбору экологической ДНК на морских объектах всемирного наследия», финансируемый правительством Фландрии (Королевство Бельгия) и осуществляемый совместно МОК (через ОБИС) и Центром всемирного наследия, был завершен в декабре 2024 г. и продемонстрировал преобразующий потенциал экологической ДНК (эДНК) для мониторинга и сохранения биоразнообразия океана, предложив экономически эффективную и доступную методику работы, особенно в развивающихся странах, где сложно проводить традиционные исследования. Эта инициатива, в рамках которой отбор проб эДНК сочетался с ее штрихкодированием, позволила привлечь местные сообщества, в том числе учащихся, к занятиям гражданской наукой, что способствовало развитию образования и участию общественности в сохранении Мирового океана. В течение трех лет были проведены кампании по отбору проб на 21 морском объекте Всемирного наследия ЮНЕСКО в 19 странах. В них приняли участие более 250 человек, собравших 400 образцов эДНК, что позволило идентифицировать около 4400 морских видов, включая 28 морских млекопитающих, 86 акул и скатов, трех черепах и 120 находящихся под угрозой исчезновения видов, занесенных в Красную книгу МСОП. Доступ к этим данным был обеспечен благодаря созданию интерактивной карты в системе ОБИС (</w:t>
      </w:r>
      <w:hyperlink r:id="rId15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https://dashboard.ednaexpeditions.org/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), включающей прогнозы изменения климата, а также благодаря публикации ЮНЕСКО под названием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Привлечение общин к охране жизни в океане: экспедиции ЮНЕСКО по сбору экологической ДНК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hyperlink r:id="rId16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https://doi.org/10.58337/CBXU3518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). </w:t>
      </w:r>
    </w:p>
    <w:p w14:paraId="000E51B5" w14:textId="30B4FD2A" w:rsidR="00A652CF" w:rsidRPr="0089259D" w:rsidRDefault="00A652CF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рамках финансируемого Фландрией проекта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Сеть оповещения тихоокеанских островов о морских инвазивных видах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(PacMAN, 2020-2024 гг.), который также завершится в декабре 2024 г., МОК (через Систему информации о биоразнообразии океана) создала комплексную систему мониторинга, отбора проб и анализа морских инвазивных видов с использованием молекулярных технологий, уделяя основное внимание экспериментальному проекту по развитию научного потенциала в этой сфере на Фиджи. Инструмент поддержки принятия решений о раннем оповещении PacMAN позволяет анализировать обнаруженные виды, оценивать риски и отображать информацию в удобном для пользователя формате, а также синхронизируется с ОБИС для получения данных. Были обнаружены два относящихся к группе высокого риска инвазивных вида, о присутствии которых на Фиджи ранее не было известно. Проект соответствует национальным и международным целям в области биоразнообразия, поскольку вносит вклад в достижение целевого показателя 6 Конвенции о биологическом разнообразии (КБР) в рамках Куньминско-Монреальской глобальной рамочной программы по биоразнообразию и Национального стратегического плана действий Фиджи в области биоразнообразия на 2020-2025 гг.</w:t>
      </w:r>
    </w:p>
    <w:p w14:paraId="7BB9D497" w14:textId="1E9DE476" w:rsidR="00365ED5" w:rsidRPr="0089259D" w:rsidRDefault="00855CEB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>В рамках программы по цунами особое внимание по-прежнему уделялось развитию потенциала во всех океанических бассейнах. Работа велась при активной поддержке со стороны государств-членов, о чем свидетельствует продление соглашений с:</w:t>
      </w:r>
    </w:p>
    <w:p w14:paraId="3B16B815" w14:textId="1B38FDB1" w:rsidR="00365ED5" w:rsidRPr="0089259D" w:rsidRDefault="00365ED5" w:rsidP="009D2B93">
      <w:pPr>
        <w:pStyle w:val="ListParagraph"/>
        <w:numPr>
          <w:ilvl w:val="0"/>
          <w:numId w:val="37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Агентством по метеорологии, климатологии и геофизике Республики Индонезия, в котором размещен Центр информации о цунами в Индийском океане (ЦИЦИО), на 2023-2027 гг. </w:t>
      </w:r>
    </w:p>
    <w:p w14:paraId="5547FB33" w14:textId="0A8C71EE" w:rsidR="008A23E5" w:rsidRPr="0089259D" w:rsidRDefault="00365ED5" w:rsidP="009D2B93">
      <w:pPr>
        <w:pStyle w:val="ListParagraph"/>
        <w:numPr>
          <w:ilvl w:val="0"/>
          <w:numId w:val="37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Группой по управлению прибрежной зоной (ГУПЗ) Барбадоса, в которой размещен Карибский центр информации о цунами (КЦИЦ), на 2024-2029 гг. </w:t>
      </w:r>
    </w:p>
    <w:p w14:paraId="67C08D00" w14:textId="72675228" w:rsidR="008A23E5" w:rsidRPr="0089259D" w:rsidRDefault="008A23E5" w:rsidP="009D2B93">
      <w:pPr>
        <w:pStyle w:val="ListParagraph"/>
        <w:numPr>
          <w:ilvl w:val="0"/>
          <w:numId w:val="37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Бюро метеорологии Австралии, в котором размещено Бюро по предупреждению о цунами и смягчению их последствий в Индийском океане (СПЦСПИО) в Перте, Австралия, на 2023-2027 гг. </w:t>
      </w:r>
    </w:p>
    <w:p w14:paraId="3DB2BBCE" w14:textId="2ADF5324" w:rsidR="005D5B40" w:rsidRPr="0089259D" w:rsidRDefault="005D5B40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ptos" w:hAnsiTheme="minorBidi" w:cstheme="minorBidi"/>
          <w:color w:val="212121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Дальнейшая работа по обеспечению готовности к цунами. Второй Всемирный симпозиум по цунами в Банда-Ачехе (Индонезия) позволил привлечь внимание к важному значению укрепления глобальной системы оповещения о цунами и смягчения их последствий. В частности, участники симпозиума выступили с настоятельным призывом инвестировать средства, с тем чтобы обеспечить к 2030 г. готовность к цунами всех прибрежных общин, подверженных такому риску. Кроме того, в Штаб-квартире ЮНЕСКО состоялось памятное мероприятие, посвященное 20-й годовщине цунами в Индийском океане в 2004 г., на котором были отмечены достигнутые успехи и освещена работа, которую еще предстоит проделать. В настоящее время в 31 государстве-члене, 15 из которых являются МОСРГ, насчитывается 100 общин, получивших сертификат программы готовности к цунами.</w:t>
      </w:r>
    </w:p>
    <w:p w14:paraId="06144AE9" w14:textId="044074D8" w:rsidR="00855CEB" w:rsidRPr="0089259D" w:rsidRDefault="00855CEB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Доклад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Мониторинг и оповещение о цунами вулканического происхождения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был опубликован в Серии технических докладов МОК </w:t>
      </w:r>
      <w:hyperlink r:id="rId17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(№</w:t>
        </w:r>
        <w:r w:rsidR="00D16F24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 </w:t>
        </w:r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183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) в 2024 г. </w:t>
      </w:r>
    </w:p>
    <w:p w14:paraId="428A8372" w14:textId="15E3C040" w:rsidR="0099468E" w:rsidRPr="0089259D" w:rsidRDefault="0099468E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рамках совместной научной программы МОК-СКОР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ГлобалВЦВ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был разработан новый десятилетний план для международной программы исследований ВЦВ, направленной на разъяснение феномена ВЦВ в контексте глобальной устойчивости. Программа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ГлобалВЦВ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 группа ГЕСАМП совместно подготовили и опубликовали в июне 2023 г. технический документ по саргассовым водорослям, а </w:t>
      </w:r>
      <w:r w:rsidR="00E75C56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ГлобалВЦВ</w:t>
      </w:r>
      <w:r w:rsidR="00E75C56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опубликовала также технический документ по цветению убивающих рыбу морских водорослей в Серии справочников и руководств МОК </w:t>
      </w:r>
      <w:hyperlink r:id="rId18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(№</w:t>
        </w:r>
        <w:r w:rsidR="00D16F24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 </w:t>
        </w:r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93)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56E193F7" w14:textId="4FB63716" w:rsidR="0099468E" w:rsidRPr="0089259D" w:rsidRDefault="0099468E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рамках нового партнерства между МОК, фондом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Ниппон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 ЮНЕП разрабатывается подекадный план реализации проекта по ликвидации вредного воздействия загрязнения на Мировой океан к 2050 г. Концепция этого партнерства была представлена на Всемирном саммите по океану, который состоялся в марте 2025 г. в Токио.</w:t>
      </w:r>
    </w:p>
    <w:p w14:paraId="07FD1BFA" w14:textId="5451BE31" w:rsidR="00F47515" w:rsidRPr="0089259D" w:rsidRDefault="00F47515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июне 2023 г. Ассамблея утвердила </w:t>
      </w:r>
      <w:hyperlink r:id="rId19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стратегию МОК в области развития потенциала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 учредила группу экспертов по развитию потенциала для разработки плана ее осуществления. Глобальная академия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(ГАОИ) продолжает развиваться, увеличивая количество учебных программ (более 50 курсов в год). В настоящее время она охватывает около 14 000 бенефициаров по всему миру. Продолжает активно работать сеть ГАОИ, состоящая из 17 региональных и специализированных учебных центров, за последние два года к учебным инициативам присоединились еще несколько десятков партнеров. Благодаря аккредитации по норме ISO 29993:2017 в качестве поставщика образовательных услуг, МОК ежегодно выдает через ГАОИ сертификаты нескольким сотням участников учебных курсов, гарантируя при этом высокое качество и соответствие стандартам системы организации учебного процесса. ГАОИ продолжает оказывать поддержку в удовлетворении потребностей в подготовке кадров и приоритетных нужд всех программ и регионов МОК, а также Десятилетия океана, содействуя расширению возможностей подготовки кадров и обучения на 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>протяжении всей жизни в области наук об океане, океанических служб и управления в сфере океана.</w:t>
      </w:r>
    </w:p>
    <w:p w14:paraId="667C14C7" w14:textId="2F2FB9DD" w:rsidR="00D74D8F" w:rsidRPr="0089259D" w:rsidRDefault="00F47515" w:rsidP="009D2B93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>Благодаря усилиям МОК по развитию потенциала, которым придало дополнительный импульс финансирование по линии НОРАД, в 2024 г. началась работа по пяти направлениям, разработанным совместно с региональными и техническими вспомогательными органами: (i)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создание систем раннего оповещения о вредоносном цветении водорослей в Африке, (ii)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ГЛОСС-Африка (этап 1 </w:t>
      </w:r>
      <w:r w:rsidR="009D2B9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Северная Африка), (iii) оказание поддержки стратегическому планированию и развитию потенциала в области наблюдений за океаном под эгидой ГСНО-Африка, (iv) Центр данных по биоразнообразию для открытого моря и (v) стажировки в рамках программы подготовки по связанным с океаном вопросам в целях укрепления глобального кадрового потенциала в охватываемых мандатом МОК областях. В настоящее время идет набор в группы 2025 г., в феврале 2025 г. был объявлен конкурс для заинтересованных принимающих учреждений. Новое финансирование, полученное в декабре 2024 г., будет способствовать расширению создания систем раннего оповещения о вредоносном цветении водорослей в Африке, включая обновление инфраструктуры управления данными для поддержки таких систем, что позволит установить взаимосвязь между цветением и деоксигенацией и обеспечить вклад осуществляемых этими системами наблюдений в ГСНО.</w:t>
      </w:r>
    </w:p>
    <w:p w14:paraId="555855D8" w14:textId="40F9F1A3" w:rsidR="00D32A15" w:rsidRPr="0089259D" w:rsidRDefault="00D32A15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Программную деятельность МОК по развитию потенциала дополняет работа Центра по развитию потенциала в рамках Десятилетия океана, которая нацелена на разработку и осуществление приоритетных инициатив по развитию потенциала в рамках Десятилетия океана с акцентом на МОСРГ, наименее развитые страны и молодых специалистов в области океана.  </w:t>
      </w:r>
    </w:p>
    <w:p w14:paraId="1A09D06F" w14:textId="1BAB4F5B" w:rsidR="00F82600" w:rsidRPr="009E3FCA" w:rsidRDefault="00D32A15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napToGrid/>
          <w:color w:val="000000" w:themeColor="text1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Обеспечение согласованности с изменяющимися национальными и региональными приоритетами и стратегиями имеет первостепенное значение для успеха наших действий в рамках глобального приоритета «Африка». Целевая группа Десятилетия океана по Африке обеспечивает контроль и поддержку реализации </w:t>
      </w:r>
      <w:hyperlink r:id="rId20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плана действий Десятилетия океана для Африки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, в том числе путем разработки и представления новой программы Десятилетия по устойчивому управлению океаном в Африке. </w:t>
      </w:r>
      <w:r w:rsidRPr="009E3FCA">
        <w:rPr>
          <w:rFonts w:asciiTheme="minorBidi" w:hAnsiTheme="minorBidi" w:cstheme="minorBidi"/>
          <w:sz w:val="22"/>
          <w:szCs w:val="22"/>
          <w:lang w:val="ru-RU"/>
        </w:rPr>
        <w:t>Аналогичным образом, целев</w:t>
      </w:r>
      <w:r w:rsidR="009E3FCA">
        <w:rPr>
          <w:rFonts w:asciiTheme="minorBidi" w:hAnsiTheme="minorBidi" w:cstheme="minorBidi"/>
          <w:sz w:val="22"/>
          <w:szCs w:val="22"/>
          <w:lang w:val="ru-RU"/>
        </w:rPr>
        <w:t>ая</w:t>
      </w:r>
      <w:r w:rsidRPr="009E3FCA">
        <w:rPr>
          <w:rFonts w:asciiTheme="minorBidi" w:hAnsiTheme="minorBidi" w:cstheme="minorBidi"/>
          <w:sz w:val="22"/>
          <w:szCs w:val="22"/>
          <w:lang w:val="ru-RU"/>
        </w:rPr>
        <w:t xml:space="preserve"> групп</w:t>
      </w:r>
      <w:r w:rsidR="009E3FCA">
        <w:rPr>
          <w:rFonts w:asciiTheme="minorBidi" w:hAnsiTheme="minorBidi" w:cstheme="minorBidi"/>
          <w:sz w:val="22"/>
          <w:szCs w:val="22"/>
          <w:lang w:val="ru-RU"/>
        </w:rPr>
        <w:t>а</w:t>
      </w:r>
      <w:r w:rsidRPr="009E3FCA">
        <w:rPr>
          <w:rFonts w:asciiTheme="minorBidi" w:hAnsiTheme="minorBidi" w:cstheme="minorBidi"/>
          <w:sz w:val="22"/>
          <w:szCs w:val="22"/>
          <w:lang w:val="ru-RU"/>
        </w:rPr>
        <w:t xml:space="preserve"> по тропическим районам Америки и Карибского бассейна осуществляет надзор за </w:t>
      </w:r>
      <w:r w:rsidR="009E3FCA">
        <w:rPr>
          <w:rFonts w:asciiTheme="minorBidi" w:hAnsiTheme="minorBidi" w:cstheme="minorBidi"/>
          <w:sz w:val="22"/>
          <w:szCs w:val="22"/>
          <w:lang w:val="ru-RU"/>
        </w:rPr>
        <w:t>реализацией</w:t>
      </w:r>
      <w:r w:rsidRPr="009E3FCA">
        <w:rPr>
          <w:rFonts w:asciiTheme="minorBidi" w:hAnsiTheme="minorBidi" w:cstheme="minorBidi"/>
          <w:sz w:val="22"/>
          <w:szCs w:val="22"/>
          <w:lang w:val="ru-RU"/>
        </w:rPr>
        <w:t xml:space="preserve"> плана действий Десятилетия океана для Африки. </w:t>
      </w:r>
    </w:p>
    <w:p w14:paraId="4575E248" w14:textId="78ADCA9A" w:rsidR="009F2C37" w:rsidRPr="0089259D" w:rsidRDefault="009F2C37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napToGrid/>
          <w:color w:val="000000" w:themeColor="text1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регионе ВЕСТПАК прилагаются колоссальные усилия по согласованию океанографических исследований с потребностями общества, в том числе с помощью национальных и международных соглашений и стратегических рамок. Важной вехой стала организация второй региональной конференции Десятилетия океана ООН и 11-й Международной конференции по морским наукам ВЕСТПАК (22-25 апреля 2024 г.) в Таиланде с участием более 1200 партнеров из 40 стран региона и за его пределами, которые обсудили текущее состояние знаний об океане, подвели итоги первых трех лет осуществления мероприятий Десятилетия океана в регионе и определили будущие приоритеты на основе результатов </w:t>
      </w:r>
      <w:hyperlink r:id="rId21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процесса «Перспективы на период до 2030 г.»</w:t>
        </w:r>
      </w:hyperlink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(идущий в рамках Десятилетия океана процесс </w:t>
      </w:r>
      <w:r w:rsidR="008F29F9" w:rsidRPr="0089259D">
        <w:rPr>
          <w:rFonts w:asciiTheme="minorBidi" w:hAnsiTheme="minorBidi" w:cstheme="minorBidi"/>
          <w:sz w:val="22"/>
          <w:szCs w:val="22"/>
          <w:lang w:val="ru-RU"/>
        </w:rPr>
        <w:t xml:space="preserve">определения 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стратегических целей на период до 2030 г.). Были приняты региональные рамки действий по ускорению морского пространственного планирования в поддержку проекта </w:t>
      </w:r>
      <w:hyperlink r:id="rId22" w:history="1">
        <w:r w:rsidR="009E0511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«</w:t>
        </w:r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МПП Глобал 2.0</w:t>
        </w:r>
      </w:hyperlink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43FE0B4E" w14:textId="2D10CC67" w:rsidR="00D32A15" w:rsidRPr="0089259D" w:rsidRDefault="00EC68AC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Участвуя в реализации оперативной стратегии ЮНЕСКО в интересах МОСРГ, МОК руководит осуществлением одной из шести межсекторальных программ ускоренного развития (программа 2): «Укрепление потенциала МОСРГ в области устойчивых знаний об океане, пространственного планирования и управления водными ресурсами в поддержку роста «голубой» экономики этих стран». В поддержку расширения взаимодействия с МОСРГ в рамках Десятилетия океана был создан децентрализованный координационный центр для региона Тихоокеанских островов, который размещен в секретариате Тихоокеанского сообщества, а также целевая группа для региона Тропической Америки и Карибского бассейна, обеспечивающая надзор за проведением Десятилетия океана в этом регионе. </w:t>
      </w:r>
    </w:p>
    <w:p w14:paraId="49A32E47" w14:textId="065C95A4" w:rsidR="00EC68AC" w:rsidRPr="0089259D" w:rsidRDefault="00D43FD3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МОК активизировала работу в области морского пространственного планирования (МПП) и в 2022 г. приступила к реализации обновленного совместно разработанного с Европейской комиссией плана действий по МПП, а в июле 2023 г. возобновила проект «МПП Глобал» (лежащий в основе программы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МПП Глобал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и осуществляемый при финансовой поддержке ЕС) с региональным акцентом на страны Западной Африки и западной части Тихого океана. Кроме того, в рамках проекта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МПП-Глобал 2.0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ведется совместная разработка дополнительных информационных материалов, инструментов и нового онлайнового учебного курса для Глобальной академии «Океан-инструктор», с тем чтобы помочь всем государствам-членам в развитии их МПП. В июле 2024 г. вышли две публикации о привлечении коренных народов и местных общин к участию в МПП, а к июню 2025 г. будут выпущены еще четыре комплекта материалов по биоразнообразию, климату, пространственным данным и использованию энергии берегового ветра. </w:t>
      </w:r>
      <w:r w:rsidRPr="002D3D40">
        <w:rPr>
          <w:rFonts w:asciiTheme="minorBidi" w:hAnsiTheme="minorBidi" w:cstheme="minorBidi"/>
          <w:sz w:val="22"/>
          <w:szCs w:val="22"/>
          <w:lang w:val="ru-RU"/>
        </w:rPr>
        <w:t>Эт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и комплекты материалов были разработаны в ходе совместных глобальных семинаров с участием ключевых организаций и экспертов, представляющих все континенты и морские бассейны мира. В общей сложности к середине марта 2025 г. в мероприятиях проекта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МПП Глобал 2.0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приняли участие 1000 человек из 116 стран. Такое взаимодействие осуществляется путем организации глобальных и региональных форумов, учебных курсов и семинаров по МПП для представителей национальных органов власти, а также для представителей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Группы двадцати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. Был разработан и апробирован в семи странах Африки, западной части Тихого океана, Латинской Америки и Карибского бассейна новый инструмент ускоренной оценки для содействия процессам национального планирования. Эта работа будет продолжаться благодаря финансовой поддержке со стороны правительства Швеции (2024-2027 гг.), которая дополнит финансовую поддержку по линии Генерального директората Европейской комиссии по вопросам морской политики и рыболовства, которая была продлена еще на два года. Работа МОК в области МПП обеспечивает прочную основу для дальнейшей разработки проекта стратегии МОК по устойчивому планированию и управлению в сфере океана и новой программы Десятилетия по устойчивому планированию в сфере океана, которая была представлена на Барселонской конференции и будет осуществляться при поддержке ряда международных партнеров. Рабочая группа МОК по устойчивому планированию и управлению в сфере океана провела в 2025 г. три заседания в целях окончательной доработки проекта стратегии и соответствующего плана осуществления, которые должны быть представлены Ассамблее МОК на ее 33-й сессии в рамках пункта 4.1 повестки дня.</w:t>
      </w:r>
      <w:bookmarkStart w:id="0" w:name="_Hlk193363706"/>
      <w:bookmarkStart w:id="1" w:name="_Hlk193363768"/>
      <w:bookmarkStart w:id="2" w:name="_Hlk193364247"/>
      <w:bookmarkStart w:id="3" w:name="_Hlk193364217"/>
      <w:bookmarkStart w:id="4" w:name="_Hlk193364227"/>
      <w:bookmarkEnd w:id="0"/>
      <w:bookmarkEnd w:id="1"/>
      <w:bookmarkEnd w:id="2"/>
      <w:bookmarkEnd w:id="3"/>
      <w:bookmarkEnd w:id="4"/>
    </w:p>
    <w:p w14:paraId="57D0F4C4" w14:textId="476C1F63" w:rsidR="000E368B" w:rsidRPr="0089259D" w:rsidRDefault="000E368B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Повышение грамотности в связанных с океаном вопросах обеспечивалось с помощью специальных программ для широкого круга групп, включая студентов, молодых специалистов по океану, журналистов, архитекторов и градостроителей, а также финансовых экспертов. Учебные ресурсы доступны на английском, французском и испанском языках, а модули электронного обучения предоставляются через Глобальную академию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. Для упрощения организации подготовки студентов в апреле 2025 г. был открыт новый Центр повышения грамотности в связанных с океаном вопросах, расположенный на острове Сан-Серволо в Венеции. В настоящее время более 55 стран участвуют в программе региональных или национальных сетей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голубых школ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1885F0BC" w14:textId="4359748E" w:rsidR="00365177" w:rsidRPr="0089259D" w:rsidRDefault="000E368B" w:rsidP="0089259D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В июне 2024 г. в Венеции под патронажем министерства иностранных дел Италии прошла первая Всемирная конференция по распространению грамотности в связанных с океаном вопросах. В этом мероприятии приняло участие более 140 человек из 76 стран, а по его итогам была принята </w:t>
      </w:r>
      <w:hyperlink r:id="rId23" w:history="1"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Венецианская декларация </w:t>
        </w:r>
        <w:r w:rsidR="009E0511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«</w:t>
        </w:r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Повышение грамотности в связанных с океаном вопросах на практике</w:t>
        </w:r>
      </w:hyperlink>
      <w:r w:rsidR="009E0511" w:rsidRPr="002D3D40">
        <w:rPr>
          <w:rFonts w:asciiTheme="minorBidi" w:hAnsiTheme="minorBidi" w:cstheme="minorBidi"/>
          <w:color w:val="3220A0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. Во время 37-го Кубка Америки в Барселоне в партнерстве с компанией Luna Rossa PRADA Pirelli была организована интерактивная выставка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Океан и климат рядом с нами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. В рамках Десятилетия океана в Мумбаи (Индия) в сотрудничестве с Институтом Джейн Гудолл и Бюро ЮНЕСКО в Дели была организована шестая серия 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Диалогов по распространению грамотности в связанных с океаном вопросах</w:t>
      </w:r>
      <w:r w:rsidR="009E051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>, а также ряд интернет-семинаров, посвященных активизации работы по новому мероприятию Десятилетия в рамках задачи</w:t>
      </w:r>
      <w:r w:rsidR="00D75757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10. Перевод пособия </w:t>
      </w:r>
      <w:hyperlink r:id="rId24" w:history="1">
        <w:r w:rsidR="009E0511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«</w:t>
        </w:r>
        <w:r w:rsidRPr="0089259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Всеобщая грамотность в связанных с океаном вопросах</w:t>
        </w:r>
      </w:hyperlink>
      <w:r w:rsidR="009E0511" w:rsidRPr="002D3D40">
        <w:rPr>
          <w:rFonts w:asciiTheme="minorBidi" w:hAnsiTheme="minorBidi" w:cstheme="minorBidi"/>
          <w:color w:val="3333CC"/>
          <w:sz w:val="22"/>
          <w:szCs w:val="22"/>
          <w:lang w:val="ru-RU"/>
        </w:rPr>
        <w:t>»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t xml:space="preserve"> с английского на суахили теперь доступен более чем 2 000 000 носителей суахили </w:t>
      </w:r>
      <w:r w:rsidRPr="0089259D">
        <w:rPr>
          <w:rFonts w:asciiTheme="minorBidi" w:hAnsiTheme="minorBidi" w:cstheme="minorBidi"/>
          <w:sz w:val="22"/>
          <w:szCs w:val="22"/>
          <w:lang w:val="ru-RU"/>
        </w:rPr>
        <w:lastRenderedPageBreak/>
        <w:t>в субрегионе Восточной Африки, в том числе в Демократической Республике Конго, на Коморских Островах, в Кении, Танзании и Сомали.</w:t>
      </w:r>
    </w:p>
    <w:p w14:paraId="32F5E625" w14:textId="5E4435F2" w:rsidR="008F29F9" w:rsidRPr="0089259D" w:rsidRDefault="008F29F9" w:rsidP="0089259D">
      <w:pPr>
        <w:snapToGrid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89259D">
        <w:rPr>
          <w:rFonts w:asciiTheme="minorBidi" w:hAnsiTheme="minorBidi" w:cstheme="minorBidi"/>
          <w:sz w:val="22"/>
          <w:szCs w:val="22"/>
          <w:lang w:val="ru-RU"/>
        </w:rPr>
        <w:br w:type="page"/>
      </w:r>
    </w:p>
    <w:p w14:paraId="41A522BA" w14:textId="63A04EB9" w:rsidR="00EF2790" w:rsidRPr="0038142A" w:rsidRDefault="000E368B" w:rsidP="0038142A">
      <w:pPr>
        <w:keepNext/>
        <w:keepLines/>
        <w:widowControl w:val="0"/>
        <w:tabs>
          <w:tab w:val="clear" w:pos="567"/>
        </w:tabs>
        <w:adjustRightInd w:val="0"/>
        <w:jc w:val="both"/>
        <w:textAlignment w:val="baseline"/>
        <w:outlineLvl w:val="1"/>
        <w:rPr>
          <w:rFonts w:asciiTheme="minorBidi" w:eastAsia="Times New Roman" w:hAnsiTheme="minorBidi" w:cstheme="minorBidi"/>
          <w:b/>
          <w:bCs/>
          <w:caps/>
          <w:sz w:val="22"/>
          <w:szCs w:val="22"/>
          <w:lang w:val="ru-RU"/>
        </w:rPr>
      </w:pPr>
      <w:r>
        <w:rPr>
          <w:lang w:val="ru-RU"/>
        </w:rPr>
        <w:lastRenderedPageBreak/>
        <w:t xml:space="preserve"> </w:t>
      </w:r>
      <w:r w:rsidRPr="0038142A">
        <w:rPr>
          <w:rFonts w:asciiTheme="minorBidi" w:hAnsiTheme="minorBidi" w:cstheme="minorBidi"/>
          <w:b/>
          <w:bCs/>
          <w:sz w:val="22"/>
          <w:szCs w:val="22"/>
          <w:lang w:val="ru-RU"/>
        </w:rPr>
        <w:t>Доклад о ходе работы за 2024 г. (представленный Исполнительному совету ЮНЕСКО на его 221-й сессии)</w:t>
      </w:r>
    </w:p>
    <w:p w14:paraId="773214AE" w14:textId="31AC2A16" w:rsidR="00EF2790" w:rsidRPr="003664EE" w:rsidRDefault="00EF2790" w:rsidP="00EF2790">
      <w:pPr>
        <w:widowControl w:val="0"/>
        <w:adjustRightInd w:val="0"/>
        <w:jc w:val="both"/>
        <w:textAlignment w:val="baseline"/>
        <w:rPr>
          <w:rFonts w:ascii="Arial" w:eastAsia="Times New Roman" w:hAnsi="Arial" w:cs="Arial"/>
          <w:sz w:val="22"/>
          <w:lang w:val="ru-RU" w:eastAsia="en-US"/>
        </w:rPr>
      </w:pPr>
      <w:r w:rsidRPr="008F2D3D">
        <w:rPr>
          <w:rFonts w:ascii="Arial" w:eastAsia="Times New Roman" w:hAnsi="Arial" w:cs="Arial"/>
          <w:noProof/>
          <w:snapToGrid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7E5788" wp14:editId="6CF0D7F7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xmlns:eLuna="https://cms.unov.org/eLuna/2015/main">
            <w:pict>
              <v:line xmlns:o="urn:schemas-microsoft-com:office:office" xmlns:v="urn:schemas-microsoft-com:vml" id="Straight Connector 4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from="1pt,.55pt" to="487.75pt,2.05pt" w14:anchorId="1D7A1123"/>
            </w:pict>
          </mc:Fallback>
        </mc:AlternateContent>
      </w:r>
    </w:p>
    <w:p w14:paraId="04C3CCC6" w14:textId="77777777" w:rsidR="00051484" w:rsidRDefault="00EF2790" w:rsidP="00B26BA9">
      <w:pPr>
        <w:pStyle w:val="Marge"/>
        <w:spacing w:after="120"/>
        <w:jc w:val="center"/>
        <w:rPr>
          <w:rFonts w:asciiTheme="minorBidi" w:hAnsiTheme="minorBidi" w:cstheme="minorBidi"/>
          <w:sz w:val="22"/>
          <w:szCs w:val="22"/>
          <w:lang w:val="ru-RU"/>
        </w:rPr>
      </w:pPr>
      <w:r w:rsidRPr="00051484">
        <w:rPr>
          <w:rFonts w:asciiTheme="minorBidi" w:hAnsiTheme="minorBidi" w:cstheme="minorBidi"/>
          <w:i/>
          <w:iCs/>
          <w:sz w:val="22"/>
          <w:szCs w:val="22"/>
          <w:lang w:val="ru-RU"/>
        </w:rPr>
        <w:t>(Выдержки из документов 221 EX/4 и 221 EX/4.INF)</w:t>
      </w:r>
      <w:r w:rsidRPr="0005148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2D66DCA9" w14:textId="629902B5" w:rsidR="003D37D4" w:rsidRPr="009051EF" w:rsidRDefault="003D37D4" w:rsidP="00B26BA9">
      <w:pPr>
        <w:pStyle w:val="Marge"/>
        <w:spacing w:after="0"/>
        <w:jc w:val="right"/>
        <w:rPr>
          <w:rFonts w:asciiTheme="minorHAnsi" w:hAnsiTheme="minorHAnsi" w:cstheme="minorHAnsi"/>
          <w:sz w:val="22"/>
          <w:szCs w:val="22"/>
          <w:lang w:val="ru-RU"/>
        </w:rPr>
      </w:pPr>
      <w:r w:rsidRPr="003D37D4">
        <w:rPr>
          <w:rFonts w:asciiTheme="minorHAnsi" w:hAnsiTheme="minorHAnsi" w:cstheme="minorHAnsi"/>
          <w:sz w:val="22"/>
          <w:szCs w:val="22"/>
          <w:lang w:val="ru-RU"/>
        </w:rPr>
        <w:t xml:space="preserve">221 </w:t>
      </w:r>
      <w:r w:rsidRPr="003D37D4">
        <w:rPr>
          <w:rFonts w:asciiTheme="minorHAnsi" w:hAnsiTheme="minorHAnsi" w:cstheme="minorHAnsi"/>
          <w:sz w:val="22"/>
          <w:szCs w:val="22"/>
          <w:lang w:val="en-US"/>
        </w:rPr>
        <w:t>EX</w:t>
      </w:r>
      <w:r w:rsidRPr="003D37D4">
        <w:rPr>
          <w:rFonts w:asciiTheme="minorHAnsi" w:hAnsiTheme="minorHAnsi" w:cstheme="minorHAnsi"/>
          <w:sz w:val="22"/>
          <w:szCs w:val="22"/>
          <w:lang w:val="ru-RU"/>
        </w:rPr>
        <w:t xml:space="preserve">/4 – </w:t>
      </w:r>
      <w:r w:rsidRPr="003D37D4">
        <w:rPr>
          <w:rFonts w:asciiTheme="minorHAnsi" w:hAnsiTheme="minorHAnsi" w:cstheme="minorHAnsi"/>
          <w:sz w:val="22"/>
          <w:szCs w:val="22"/>
          <w:lang w:val="en-US"/>
        </w:rPr>
        <w:t>page</w:t>
      </w:r>
      <w:r w:rsidRPr="003D37D4">
        <w:rPr>
          <w:rFonts w:asciiTheme="minorHAnsi" w:hAnsiTheme="minorHAnsi" w:cstheme="minorHAnsi"/>
          <w:sz w:val="22"/>
          <w:szCs w:val="22"/>
          <w:lang w:val="ru-RU"/>
        </w:rPr>
        <w:t xml:space="preserve"> 45</w:t>
      </w:r>
    </w:p>
    <w:p w14:paraId="318B19C6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Calibri"/>
          <w:b/>
          <w:snapToGrid/>
          <w:color w:val="4472C4"/>
          <w:kern w:val="2"/>
          <w:sz w:val="44"/>
          <w:szCs w:val="44"/>
          <w:lang w:val="ru-RU"/>
          <w14:ligatures w14:val="standardContextual"/>
        </w:rPr>
      </w:pPr>
      <w:r w:rsidRPr="00707943">
        <w:rPr>
          <w:rFonts w:ascii="Calibri" w:eastAsia="DengXian" w:hAnsi="Calibri" w:cs="Calibri"/>
          <w:b/>
          <w:snapToGrid/>
          <w:color w:val="4472C4"/>
          <w:kern w:val="2"/>
          <w:sz w:val="44"/>
          <w:szCs w:val="44"/>
          <w:lang w:val="ru-RU"/>
          <w14:ligatures w14:val="standardContextual"/>
        </w:rPr>
        <w:t>Межправительственная океанографическая</w:t>
      </w:r>
      <w:r w:rsidRPr="00707943">
        <w:rPr>
          <w:rFonts w:ascii="Calibri" w:eastAsia="DengXian" w:hAnsi="Calibri" w:cs="Calibri"/>
          <w:b/>
          <w:snapToGrid/>
          <w:color w:val="4472C4"/>
          <w:kern w:val="2"/>
          <w:sz w:val="44"/>
          <w:szCs w:val="44"/>
          <w:lang w:val="ru-RU"/>
          <w14:ligatures w14:val="standardContextual"/>
        </w:rPr>
        <w:br/>
        <w:t>комиссия (МОК)</w:t>
      </w:r>
    </w:p>
    <w:p w14:paraId="40687D9F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Calibri"/>
          <w:snapToGrid/>
          <w:kern w:val="2"/>
          <w:sz w:val="22"/>
          <w:szCs w:val="22"/>
          <w:lang w:val="ru-RU"/>
          <w14:ligatures w14:val="standardContextual"/>
        </w:rPr>
      </w:pPr>
    </w:p>
    <w:p w14:paraId="03A81B8D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Calibri"/>
          <w:b/>
          <w:snapToGrid/>
          <w:color w:val="4472C4"/>
          <w:kern w:val="2"/>
          <w:sz w:val="32"/>
          <w:szCs w:val="32"/>
          <w:lang w:val="ru-RU"/>
          <w14:ligatures w14:val="standardContextual"/>
        </w:rPr>
      </w:pPr>
      <w:r w:rsidRPr="00707943">
        <w:rPr>
          <w:rFonts w:ascii="Calibri" w:eastAsia="DengXian" w:hAnsi="Calibri" w:cs="Calibri"/>
          <w:b/>
          <w:snapToGrid/>
          <w:color w:val="4472C4"/>
          <w:kern w:val="2"/>
          <w:sz w:val="32"/>
          <w:szCs w:val="32"/>
          <w:lang w:val="ru-RU"/>
          <w14:ligatures w14:val="standardContextual"/>
        </w:rPr>
        <w:t>Стратегическая оценка</w:t>
      </w:r>
    </w:p>
    <w:p w14:paraId="63359B14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Arial"/>
          <w:b/>
          <w:snapToGrid/>
          <w:kern w:val="2"/>
          <w:sz w:val="22"/>
          <w:szCs w:val="22"/>
          <w:highlight w:val="yellow"/>
          <w:lang w:val="ru-RU"/>
          <w14:ligatures w14:val="standardContextual"/>
        </w:rPr>
      </w:pPr>
    </w:p>
    <w:p w14:paraId="1A8B4A93" w14:textId="77777777" w:rsidR="00707943" w:rsidRPr="00707943" w:rsidRDefault="00707943" w:rsidP="00707943">
      <w:pPr>
        <w:numPr>
          <w:ilvl w:val="0"/>
          <w:numId w:val="42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Достижения МОК свидетельствуют о неизменной приверженности развитию наук об океане и глобальному сотрудничеству. Этот год подтвердил важную роль МОК в поддержке устойчивого управления океаном, развитии научных инноваций, а также расширению прав и возможностей общин по всему миру. К числу основных достижений относятся:</w:t>
      </w:r>
    </w:p>
    <w:p w14:paraId="035E3EC8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ind w:left="357" w:hanging="357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>Определение приоритетов Десятилетия океана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. Конференция по Десятилетию океана 2024 г., организованная Испанией в Барселоне, стала знаковым событием, объединившим более 2 600 участников из 124 стран. В Барселонском заявлении, обобщающем итоги процесса «Перспективы на период до 2030 г.», были сформулированы стратегические цели по 10 задачам Десятилетия океана. Благодаря 56 глобальным программам и 446 региональным и национальным проектам влияние Десятилетия океанов продолжает расширяться, что было подкреплено началом его среднесрочной оценки, которая позволит улучшить результаты на страновом уровне. При поддержке Специального счета США ЮНЕСКО приступила к разработке стратегии устойчивого планирования в сфере океана и проведению оценок экосистем, а также инвестировала в МОСРГ Тихого океана в целях обеспечения устойчивости к изменению климата и повышения эффективности управления океаном.</w:t>
      </w:r>
    </w:p>
    <w:p w14:paraId="519B3979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Расширение прав и возможностей через создание потенциала.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В рамках</w:t>
      </w: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Десятилетия океана была оказана поддержка более чем 250 000 человек с уделением особого внимания начинающим специалистам. Создание Фонда развития потенциала Десятилетия океана способствовало реализации инициатив в МОСРГ и Африке. Глобальная академия «Океан-инструктор» предоставила 57 мультиязычных курсов, которые охватили почти 4000 учащихся, а ресурсами по распространению знаний об океане воспользовались более 35 000 студентов в 86 странах.</w:t>
      </w:r>
    </w:p>
    <w:p w14:paraId="4AF8C759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Распространение данных о закислении океана.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В качестве курирующего учреждения по показателю 14.3.1 ЦУР МОК способствовала обмену данными о закислении океана. Количество представленных источников данных увеличилось до 638 из 42 стран. Международное партнерство по голубому углероду расширилось до 68 членов, что дополнительно стимулирует усилия по укреплению устойчивости океана. </w:t>
      </w:r>
    </w:p>
    <w:p w14:paraId="45048CDB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snapToGrid/>
          <w:kern w:val="2"/>
          <w:sz w:val="22"/>
          <w:szCs w:val="22"/>
          <w:lang w:val="ru-RU"/>
          <w14:ligatures w14:val="standardContextual"/>
        </w:rPr>
        <w:t xml:space="preserve">Признание глобальных систем данных.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Признание систем океанических данных и информации МОК, включая Информационную систему о биоразнообразии океана (ОБИС) и Глобальную систему наблюдений за океаном (ГСНО), на 16-й Конференции сторон (КС-16) в Кали стало важной вехой. ОБИС и ГСНО были включены в компонент морского мониторинга Куньминско-Монреальской глобальной рамочной программы в области биоразнообразия, что усиливает их роль в национальной отчетности. ОБИС предоставляет доступ к более чем 132 млн. записей о 194 000 морских видов из 99 стран, а ГСНО координирует работу более 8000 платформ наблюдения с участием 83 стран. </w:t>
      </w:r>
    </w:p>
    <w:p w14:paraId="5A9C7A22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lastRenderedPageBreak/>
        <w:t xml:space="preserve">Инновации через океанские регаты.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Инновационное партнерство между МОК ЮНЕСКО, Всемирной метеорологической организацией (ВМО) и регатой «Вандея Глоб» 2024 г. превратило это мероприятие в научную экспедицию. Участники регаты собрали ценные данные через портал Metocean, особенно из недостаточно изученных регионов, таких как Южный океан.</w:t>
      </w:r>
    </w:p>
    <w:p w14:paraId="40065C9E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snapToGrid/>
          <w:kern w:val="2"/>
          <w:sz w:val="22"/>
          <w:szCs w:val="22"/>
          <w:lang w:val="ru-RU"/>
          <w14:ligatures w14:val="standardContextual"/>
        </w:rPr>
        <w:t xml:space="preserve">Лидерство в области морского пространственного планирования.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Наша работа в области морского пространственного планирования (МПП) получила дальнейшее развитие благодаря совместной дорожной карте для МПП МОК ЮНЕСКО и Европейского союза, а также запуску программы Десятилетия океана по устойчивому планированию в сфере океана, в которой приняли участие более 1000 человек из 116 стран. Участие проекта МПП Глобал в таких инициативах, как Рабочая группа Г-20 по окружающей среде и климатической устойчивости, подчеркнуло нашу роль как ведущего учреждения ООН в области морского пространственного планирования. </w:t>
      </w:r>
    </w:p>
    <w:p w14:paraId="4F1BF350" w14:textId="77777777" w:rsidR="00707943" w:rsidRPr="00707943" w:rsidRDefault="00707943" w:rsidP="00707943">
      <w:pPr>
        <w:numPr>
          <w:ilvl w:val="0"/>
          <w:numId w:val="38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Повышение готовности к цунами.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В области смягчения последствий цунами МОК обеспечивала эффективную координацию деятельности в четырех океанических бассейнах с 13 поставщиками услуг, охватывающих 142 государства-члена. В этом году 99 общин в 31 стране получили статус готовности к цунами, что способствует достижению нашей цели – 100% готовности к 2030 г. 20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noBreakHyphen/>
        <w:t>я годовщина цунами в Индийском океане 2004 г. была отмечена принятием заявления Банда-Ачех, подтверждающего глобальную приверженность готовности к цунами.</w:t>
      </w:r>
    </w:p>
    <w:p w14:paraId="7E521CB3" w14:textId="77777777" w:rsidR="00707943" w:rsidRPr="00707943" w:rsidRDefault="00707943" w:rsidP="009051EF">
      <w:pPr>
        <w:numPr>
          <w:ilvl w:val="0"/>
          <w:numId w:val="42"/>
        </w:numPr>
        <w:snapToGrid/>
        <w:spacing w:before="240" w:after="240" w:line="259" w:lineRule="auto"/>
        <w:ind w:left="0" w:firstLine="0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Подводя итоги достижений 2024 г., важно также признать проблемы, с которыми мы столкнулись в процессе нашей работы. Эти трудности указывают на области, требующие дополнительного внимания и стратегических действий в будущем:</w:t>
      </w:r>
    </w:p>
    <w:p w14:paraId="2F23FAA9" w14:textId="77777777" w:rsidR="00707943" w:rsidRPr="00707943" w:rsidRDefault="00707943" w:rsidP="00707943">
      <w:pPr>
        <w:numPr>
          <w:ilvl w:val="0"/>
          <w:numId w:val="39"/>
        </w:numPr>
        <w:tabs>
          <w:tab w:val="clear" w:pos="567"/>
        </w:tabs>
        <w:snapToGrid/>
        <w:spacing w:after="160" w:line="259" w:lineRule="auto"/>
        <w:ind w:left="406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Недостаток кадров и ограниченный потенциал.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Несмотря на растущее признание роли МОК ЮНЕСКО, нехватка персонала в ключевых областях, определенных государствами-членами как приоритетные, создает серьезные проблемы. Эти пробелы в потенциале не только затрудняют выполнение программы, но и ограничивают нашу способность достичь амбициозных целей по мобилизации ресурсов, необходимых для поддержания и расширения наших инициатив. </w:t>
      </w:r>
    </w:p>
    <w:p w14:paraId="1253F426" w14:textId="29852E68" w:rsidR="00707943" w:rsidRPr="00707943" w:rsidRDefault="00707943" w:rsidP="00707943">
      <w:pPr>
        <w:numPr>
          <w:ilvl w:val="0"/>
          <w:numId w:val="39"/>
        </w:numPr>
        <w:tabs>
          <w:tab w:val="clear" w:pos="567"/>
        </w:tabs>
        <w:snapToGrid/>
        <w:spacing w:after="160" w:line="259" w:lineRule="auto"/>
        <w:ind w:left="406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Обеспечение устойчивого финансирования океанических систем.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Поддержание и развитие таких ключевых систем, как Система океанических данных и информации (ОДИС), Информационная система о биоразнообразии океана (ОБИС) и Глобальная система наблюдений за океаном</w:t>
      </w:r>
      <w:r w:rsidR="0009796F">
        <w:rPr>
          <w:rFonts w:ascii="Calibri" w:eastAsia="DengXian" w:hAnsi="Calibri" w:cs="Arial"/>
          <w:snapToGrid/>
          <w:kern w:val="2"/>
          <w:sz w:val="22"/>
          <w:szCs w:val="22"/>
          <w:lang w:val="en-US"/>
          <w14:ligatures w14:val="standardContextual"/>
        </w:rPr>
        <w:t> 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(ГСНО), имеет решающее значение для государств-членов в достижении национальных целей и выполнении глобальных обязательств. Однако эти системы, являющиеся неотъемлемой частью океанических наук, промышленности и управления, требуют стабильного и устойчивого финансирования для реализации своего потенциала в качестве важнейшей инфраструктуры для океанических наблюдений и данных.</w:t>
      </w:r>
    </w:p>
    <w:p w14:paraId="39CA059C" w14:textId="77777777" w:rsidR="00707943" w:rsidRPr="00707943" w:rsidRDefault="00707943" w:rsidP="00707943">
      <w:pPr>
        <w:numPr>
          <w:ilvl w:val="0"/>
          <w:numId w:val="39"/>
        </w:numPr>
        <w:tabs>
          <w:tab w:val="clear" w:pos="567"/>
        </w:tabs>
        <w:snapToGrid/>
        <w:spacing w:after="160" w:line="259" w:lineRule="auto"/>
        <w:ind w:left="406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Максимальное использование потенциала Десятилетия океана.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Реализация всех возможностей Десятилетия океана требует значительных инвестиций. Амбициозные цели, такие как обеспечение 100% готовности общин к цунами к 2030 г. и полное картирование дна океана в рамках программы «Морское дно – 2030», требуют увеличения ресурсов и скоординированных глобальных усилий. </w:t>
      </w:r>
    </w:p>
    <w:p w14:paraId="1646072B" w14:textId="77777777" w:rsidR="00707943" w:rsidRPr="00707943" w:rsidRDefault="00707943" w:rsidP="009051EF">
      <w:pPr>
        <w:numPr>
          <w:ilvl w:val="0"/>
          <w:numId w:val="42"/>
        </w:numPr>
        <w:snapToGrid/>
        <w:spacing w:before="240" w:after="240" w:line="259" w:lineRule="auto"/>
        <w:ind w:left="0" w:firstLine="0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Эти вызовы, несмотря на свою значимость, также создают новые возможности для инноваций, укрепления сотрудничества и расширения информационно-разъяснительной деятельности. По мере продвижения вперед мы с большим оптимизмом смотрим на перспективы, которые открываются перед МОК ЮНЕСКО в плане усиления ее влияния, развития глобальных наук об океане, накопления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lastRenderedPageBreak/>
        <w:t>знаний и повышения устойчивости. Пять ключевых направлений, в которых в 2025 г. ожидается значительный прогресс, включают:</w:t>
      </w:r>
    </w:p>
    <w:p w14:paraId="178DB9C4" w14:textId="77777777" w:rsidR="00707943" w:rsidRPr="00707943" w:rsidRDefault="00707943" w:rsidP="00707943">
      <w:pPr>
        <w:numPr>
          <w:ilvl w:val="0"/>
          <w:numId w:val="40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Укрепление многостороннего взаимодействия.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Информационные продукты и услуги МОК будут играть важнейшую роль в поддержке реализации основных глобальных рамочных программ, включая Куньминско-Монреальскую глобальную рамочную программу в области биоразнообразия, инициативы по борьбе с загрязнением морской среды и недавно принятое Соглашение о БПНЮ (Договор об открытом море). Наш опыт также будет способствовать реализации повестки дня в сфере океана и климата, укрепляя наши позиции в качестве надежного партнера в области знаний. </w:t>
      </w:r>
    </w:p>
    <w:p w14:paraId="331C5012" w14:textId="77777777" w:rsidR="00707943" w:rsidRPr="00707943" w:rsidRDefault="00707943" w:rsidP="00707943">
      <w:pPr>
        <w:numPr>
          <w:ilvl w:val="0"/>
          <w:numId w:val="40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Усиление воздействия через партнерства.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Альянс в поддержку Десятилетия океана, объединяющий 11 спонсоров и 19 институциональных членов, будет продолжать стимулировать эффективное сотрудничество. Благотворительные сети, такие как Диалог фондов Десятилетия океана, , а также партнерства с такими организациями, как Бельмонтский форум и Партнерство по устойчивой «голубой экономике» под руководством Европейской комиссии, открывают новые возможности для совместных инициатив и скоординированных действий для достижения целей устойчивого развития океана. </w:t>
      </w:r>
    </w:p>
    <w:p w14:paraId="6038A166" w14:textId="77777777" w:rsidR="00707943" w:rsidRPr="00707943" w:rsidRDefault="00707943" w:rsidP="00707943">
      <w:pPr>
        <w:numPr>
          <w:ilvl w:val="0"/>
          <w:numId w:val="40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Платформы глобального сотрудничества.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МОК продолжит укреплять свою роль в качестве партнера по знаниям в рамках глобальных инициатив, включая «Группу двадцати», «Группу семи» и Группу высокого уровня по устойчивой экономике океана. При поддержке коалиции «Действия в интересах океана 2030» и недавно запущенной программы Десятилетия океана по устойчивому океаническому планированию мы стремимся укрепить устойчивое управление океаном и внести вклад в такие инициативы, как формирующийся Альянс 100% по устойчивому управлению океаном.</w:t>
      </w:r>
    </w:p>
    <w:p w14:paraId="77949E3E" w14:textId="77777777" w:rsidR="00707943" w:rsidRPr="00707943" w:rsidRDefault="00707943" w:rsidP="00707943">
      <w:pPr>
        <w:numPr>
          <w:ilvl w:val="0"/>
          <w:numId w:val="40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Достижение результатов на Конференции ООН по океану.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Конференция ООН по океану в 2025 г. предоставляет важнейшую возможность для активизации инициатив в области наблюдений за океаном, картирования морского дна и обеспечения доступности океанических данных. Эти усилия будут способствовать принятию научно обоснованных решений и укреплению глобального сотрудничества в целях обеспечения устойчивости океана. </w:t>
      </w:r>
    </w:p>
    <w:p w14:paraId="1B87A8B6" w14:textId="77777777" w:rsidR="00707943" w:rsidRPr="00707943" w:rsidRDefault="00707943" w:rsidP="00707943">
      <w:pPr>
        <w:numPr>
          <w:ilvl w:val="0"/>
          <w:numId w:val="40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Расширение участия государств-членов и стратегических партнерств.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Процесс консультаций МОК и инициатива «Будущее океана» расширит возможности государств-членов в обеспечении стратегического руководства и повышении ответственности. Укрепляя партнерские отношения с международными организациями и структурами ООН, мы будем способствовать устойчивому развитию и экономическому сотрудничеству, ориентированному на здоровье океана и его эффективное управление.</w:t>
      </w:r>
    </w:p>
    <w:p w14:paraId="3E600F15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Calibri"/>
          <w:b/>
          <w:bCs/>
          <w:i/>
          <w:iCs/>
          <w:snapToGrid/>
          <w:color w:val="4472C4"/>
          <w:kern w:val="2"/>
          <w:sz w:val="22"/>
          <w:szCs w:val="22"/>
          <w:lang w:val="ru-RU"/>
          <w14:ligatures w14:val="standardContextual"/>
        </w:rPr>
      </w:pPr>
    </w:p>
    <w:p w14:paraId="062F5E9E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Calibri"/>
          <w:b/>
          <w:snapToGrid/>
          <w:color w:val="4472C4"/>
          <w:kern w:val="2"/>
          <w:sz w:val="32"/>
          <w:szCs w:val="32"/>
          <w:lang w:val="ru-RU"/>
          <w14:ligatures w14:val="standardContextual"/>
        </w:rPr>
      </w:pPr>
      <w:r w:rsidRPr="00707943">
        <w:rPr>
          <w:rFonts w:ascii="Calibri" w:eastAsia="DengXian" w:hAnsi="Calibri" w:cs="Calibri"/>
          <w:b/>
          <w:bCs/>
          <w:snapToGrid/>
          <w:color w:val="4472C4"/>
          <w:kern w:val="2"/>
          <w:sz w:val="32"/>
          <w:szCs w:val="32"/>
          <w:lang w:val="ru-RU"/>
          <w14:ligatures w14:val="standardContextual"/>
        </w:rPr>
        <w:t>Ключевые данные по партнерским связям</w:t>
      </w:r>
    </w:p>
    <w:p w14:paraId="624D7989" w14:textId="77777777" w:rsidR="00707943" w:rsidRPr="00707943" w:rsidRDefault="00707943" w:rsidP="00707943">
      <w:pPr>
        <w:tabs>
          <w:tab w:val="clear" w:pos="567"/>
        </w:tabs>
        <w:rPr>
          <w:rFonts w:ascii="Calibri" w:eastAsia="DengXian" w:hAnsi="Calibri" w:cs="Calibri"/>
          <w:b/>
          <w:bCs/>
          <w:snapToGrid/>
          <w:color w:val="4472C4"/>
          <w:kern w:val="2"/>
          <w:sz w:val="22"/>
          <w:szCs w:val="22"/>
          <w:lang w:val="ru-RU"/>
          <w14:ligatures w14:val="standardContextual"/>
        </w:rPr>
      </w:pPr>
    </w:p>
    <w:p w14:paraId="513C6811" w14:textId="15385B18" w:rsidR="00707943" w:rsidRPr="00707943" w:rsidRDefault="00707943" w:rsidP="009051EF">
      <w:pPr>
        <w:numPr>
          <w:ilvl w:val="0"/>
          <w:numId w:val="42"/>
        </w:numPr>
        <w:snapToGrid/>
        <w:spacing w:after="160" w:line="259" w:lineRule="auto"/>
        <w:ind w:left="0" w:firstLine="0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В 2024 г. Межправительственная океанографическая комиссия (МОК) мобилизовала 7 млн. долларов (подписание новых соглашений, см. инфографику «Обзор достигнутых результатов»). Это сотрудничество способствовало реализации ключевых инициатив в рамках Десятилетия океана, расширению просветительской деятельности и укреплению регионального потенциала в области осуществления программ. Кроме того, увеличение ресурсов в рамках обычного бюджета 42 С/5 позволило укрепить административный потенциал МОК и потенциал в области осуществления программ, особенно в Африке и странах Карибского бассейна. Основные достижения в области партнерства в 2024</w:t>
      </w:r>
      <w:r w:rsidR="009051EF">
        <w:rPr>
          <w:rFonts w:ascii="Calibri" w:eastAsia="DengXian" w:hAnsi="Calibri" w:cs="Arial"/>
          <w:snapToGrid/>
          <w:kern w:val="2"/>
          <w:sz w:val="22"/>
          <w:szCs w:val="22"/>
          <w:lang w:val="en-US"/>
          <w14:ligatures w14:val="standardContextual"/>
        </w:rPr>
        <w:t> 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г. включают:</w:t>
      </w:r>
    </w:p>
    <w:p w14:paraId="32A019E2" w14:textId="77777777" w:rsidR="00707943" w:rsidRPr="00707943" w:rsidRDefault="00707943" w:rsidP="00707943">
      <w:pPr>
        <w:numPr>
          <w:ilvl w:val="0"/>
          <w:numId w:val="41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snapToGrid/>
          <w:kern w:val="2"/>
          <w:sz w:val="22"/>
          <w:szCs w:val="22"/>
          <w:lang w:val="ru-RU"/>
          <w14:ligatures w14:val="standardContextual"/>
        </w:rPr>
        <w:lastRenderedPageBreak/>
        <w:t>Обеспечение глобальной поддержки наук об океане.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 Конференция по Десятилетию океана 2024 г., организованная Испанией при поддержке Канады, Японии, Португалии и Европейской комиссии, объединила тысячи партнеров для определения приоритетных направлений деятельности на ближайшие годы.</w:t>
      </w:r>
    </w:p>
    <w:p w14:paraId="430DCBE4" w14:textId="77777777" w:rsidR="00707943" w:rsidRPr="00707943" w:rsidRDefault="00707943" w:rsidP="00707943">
      <w:pPr>
        <w:numPr>
          <w:ilvl w:val="0"/>
          <w:numId w:val="41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>Создание устойчивого потенциала в области наук об океане в Африке и МОСРГ.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 При поддержке Норвегии и Швеции в странах Африки и Карибского бассейна были реализованы инициативы по развитию потенциала, а также разработаны программы действий для укрепления регионального лидерства в рамках Десятилетия океана. Глобальная сеть начинающих специалистов по океану расширилась до 6 региональных и 26 национальных центров, которые в настоящее время поддерживают более 4000 молодых специалистов, занимающихся науками об океане.</w:t>
      </w:r>
    </w:p>
    <w:p w14:paraId="0353CD0A" w14:textId="77777777" w:rsidR="00707943" w:rsidRPr="00707943" w:rsidRDefault="00707943" w:rsidP="00707943">
      <w:pPr>
        <w:numPr>
          <w:ilvl w:val="0"/>
          <w:numId w:val="41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 xml:space="preserve">Расширение грамотности по вопросам океана благодаря привлечению частного сектора. 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ЮНЕСКО и компания Prada расширили свою образовательную программу SEA BEYOND («Море без границ») на 56 стран, охватив более 34 000 учащихся в 184 средних школах. Эта инициатива, финансируемая за счет пожертвования компанией Prada 1% от продаж своей коллекции Re-Nylon, демонстрирует, как корпоративное партнерство может способствовать глобальному просвещению в области устойчивого развития. В 2024 г. ЮНЕСКО была удостоена премии Vanguardia за устойчивое развитие в знак признания наших усилий по защите океана и образованию в области океана.</w:t>
      </w:r>
    </w:p>
    <w:p w14:paraId="40ED98A1" w14:textId="77777777" w:rsidR="00707943" w:rsidRPr="00707943" w:rsidRDefault="00707943" w:rsidP="00707943">
      <w:pPr>
        <w:numPr>
          <w:ilvl w:val="0"/>
          <w:numId w:val="41"/>
        </w:numPr>
        <w:tabs>
          <w:tab w:val="clear" w:pos="567"/>
        </w:tabs>
        <w:snapToGrid/>
        <w:spacing w:after="160" w:line="259" w:lineRule="auto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b/>
          <w:bCs/>
          <w:snapToGrid/>
          <w:kern w:val="2"/>
          <w:sz w:val="22"/>
          <w:szCs w:val="22"/>
          <w:lang w:val="ru-RU"/>
          <w14:ligatures w14:val="standardContextual"/>
        </w:rPr>
        <w:t>Расширение участия гражданского общества в науках об океане.</w:t>
      </w: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 xml:space="preserve"> Комитет по связи НПО-ЮНЕСКО и МОК выпустили Руководство по участию НПО в Десятилетии океана ООН, в котором содержатся рекомендации для организаций гражданского общества, включая те, которые не специализируются на науках об океане, по вопросам участия в инициативах Десятилетия.</w:t>
      </w:r>
    </w:p>
    <w:p w14:paraId="3DE1E64A" w14:textId="77777777" w:rsidR="00707943" w:rsidRPr="00707943" w:rsidRDefault="00707943" w:rsidP="009051EF">
      <w:pPr>
        <w:numPr>
          <w:ilvl w:val="0"/>
          <w:numId w:val="42"/>
        </w:numPr>
        <w:snapToGrid/>
        <w:spacing w:after="160" w:line="259" w:lineRule="auto"/>
        <w:ind w:left="0" w:firstLine="0"/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</w:pPr>
      <w:r w:rsidRPr="00707943">
        <w:rPr>
          <w:rFonts w:ascii="Calibri" w:eastAsia="DengXian" w:hAnsi="Calibri" w:cs="Arial"/>
          <w:snapToGrid/>
          <w:kern w:val="2"/>
          <w:sz w:val="22"/>
          <w:szCs w:val="22"/>
          <w:lang w:val="ru-RU"/>
          <w14:ligatures w14:val="standardContextual"/>
        </w:rPr>
        <w:t>Несмотря на эти достижения, в июне 2024 г. Исполнительный совет МОК выразил озабоченность по поводу способности Секретариата сбалансировать выполнение программ с растущими потребностями в мобилизации ресурсов. Для повышения оперативной эффективности и использования ресурсов в соответствии с резолюцией EC-57/2 МОК инициировала оценку процессов руководства и управления. Наряду с более широким обзором деятельности МОК и прогрессом в осуществлении Среднесрочной стратегии результаты этой оценки будут представлены Ассамблее МОК в июне 2025 г., что обеспечит основу для программы действий по будущим улучшениям и стратегическим направлениям.</w:t>
      </w:r>
    </w:p>
    <w:p w14:paraId="1E4C7BBA" w14:textId="5759FAD7" w:rsidR="00C16E8E" w:rsidRDefault="00C16E8E" w:rsidP="00707943">
      <w:pPr>
        <w:tabs>
          <w:tab w:val="clear" w:pos="567"/>
        </w:tabs>
        <w:snapToGrid/>
        <w:rPr>
          <w:rFonts w:ascii="Calibri" w:eastAsia="DengXian" w:hAnsi="Calibri" w:cs="Arial"/>
          <w:b/>
          <w:bCs/>
          <w:i/>
          <w:iCs/>
          <w:snapToGrid/>
          <w:kern w:val="2"/>
          <w:sz w:val="22"/>
          <w:szCs w:val="22"/>
          <w:lang w:val="ru-RU"/>
          <w14:ligatures w14:val="standardContextual"/>
        </w:rPr>
      </w:pPr>
      <w:r>
        <w:rPr>
          <w:rFonts w:ascii="Calibri" w:eastAsia="DengXian" w:hAnsi="Calibri" w:cs="Arial"/>
          <w:b/>
          <w:bCs/>
          <w:i/>
          <w:iCs/>
          <w:snapToGrid/>
          <w:kern w:val="2"/>
          <w:sz w:val="22"/>
          <w:szCs w:val="22"/>
          <w:lang w:val="ru-RU"/>
          <w14:ligatures w14:val="standardContextual"/>
        </w:rPr>
        <w:br w:type="page"/>
      </w:r>
    </w:p>
    <w:p w14:paraId="31F8FCCF" w14:textId="028FB4E1" w:rsidR="00707943" w:rsidRPr="00707943" w:rsidRDefault="00C16E8E" w:rsidP="00707943">
      <w:pPr>
        <w:tabs>
          <w:tab w:val="clear" w:pos="567"/>
        </w:tabs>
        <w:snapToGrid/>
        <w:rPr>
          <w:rFonts w:ascii="Calibri" w:eastAsia="DengXian" w:hAnsi="Calibri" w:cs="Arial"/>
          <w:b/>
          <w:bCs/>
          <w:i/>
          <w:iCs/>
          <w:snapToGrid/>
          <w:kern w:val="2"/>
          <w:sz w:val="22"/>
          <w:szCs w:val="22"/>
          <w:lang w:val="ru-RU"/>
          <w14:ligatures w14:val="standardContextual"/>
        </w:rPr>
      </w:pPr>
      <w:r w:rsidRPr="00E47636">
        <w:rPr>
          <w:rFonts w:cstheme="minorHAnsi"/>
          <w:b/>
          <w:noProof/>
          <w:color w:val="4F81BD" w:themeColor="accent1"/>
          <w:sz w:val="44"/>
          <w:szCs w:val="44"/>
          <w:lang w:val="ru-RU"/>
        </w:rPr>
        <w:lastRenderedPageBreak/>
        <w:drawing>
          <wp:anchor distT="0" distB="0" distL="114300" distR="114300" simplePos="0" relativeHeight="251664386" behindDoc="0" locked="0" layoutInCell="1" allowOverlap="1" wp14:anchorId="396EF739" wp14:editId="63BACFAF">
            <wp:simplePos x="0" y="0"/>
            <wp:positionH relativeFrom="column">
              <wp:posOffset>-97399</wp:posOffset>
            </wp:positionH>
            <wp:positionV relativeFrom="paragraph">
              <wp:posOffset>-25299</wp:posOffset>
            </wp:positionV>
            <wp:extent cx="6485350" cy="9232437"/>
            <wp:effectExtent l="0" t="0" r="0" b="6985"/>
            <wp:wrapNone/>
            <wp:docPr id="64471434" name="Picture 6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1434" name="Picture 6" descr="A screenshot of a compute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267" cy="92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703B9" w14:textId="69C46DE0" w:rsidR="00B26BA9" w:rsidRPr="00707943" w:rsidRDefault="00B26BA9" w:rsidP="00B26BA9">
      <w:pPr>
        <w:pStyle w:val="Marge"/>
        <w:jc w:val="left"/>
        <w:rPr>
          <w:rFonts w:asciiTheme="minorHAnsi" w:hAnsiTheme="minorHAnsi" w:cstheme="minorHAnsi"/>
          <w:sz w:val="22"/>
          <w:szCs w:val="22"/>
          <w:lang w:val="ru-RU"/>
        </w:rPr>
      </w:pPr>
    </w:p>
    <w:p w14:paraId="6F63E184" w14:textId="497AAEC6" w:rsidR="007F7189" w:rsidRPr="00051484" w:rsidRDefault="007F7189" w:rsidP="000511D3">
      <w:pPr>
        <w:pStyle w:val="Marge"/>
        <w:jc w:val="center"/>
        <w:rPr>
          <w:rFonts w:asciiTheme="minorBidi" w:hAnsiTheme="minorBidi" w:cstheme="minorBidi"/>
          <w:sz w:val="22"/>
          <w:szCs w:val="22"/>
          <w:lang w:val="ru-RU"/>
        </w:rPr>
      </w:pPr>
    </w:p>
    <w:p w14:paraId="428A9B1C" w14:textId="77777777" w:rsidR="00051484" w:rsidRPr="007F7189" w:rsidRDefault="00051484" w:rsidP="00BE4F56">
      <w:pPr>
        <w:pStyle w:val="Marge"/>
        <w:jc w:val="center"/>
        <w:rPr>
          <w:rFonts w:asciiTheme="minorBidi" w:hAnsiTheme="minorBidi" w:cstheme="minorBidi"/>
          <w:sz w:val="22"/>
          <w:szCs w:val="22"/>
          <w:lang w:val="ru-RU"/>
        </w:rPr>
      </w:pPr>
    </w:p>
    <w:p w14:paraId="3273A432" w14:textId="292E635D" w:rsidR="00F62B21" w:rsidRPr="0026337A" w:rsidRDefault="00F62B21" w:rsidP="00BE4F56">
      <w:pPr>
        <w:pStyle w:val="Marge"/>
        <w:jc w:val="center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</w:p>
    <w:p w14:paraId="19EB0459" w14:textId="0BF48DCE" w:rsidR="008234DD" w:rsidRPr="003D37D4" w:rsidRDefault="008234DD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ru-RU"/>
        </w:rPr>
      </w:pPr>
    </w:p>
    <w:p w14:paraId="67FB8229" w14:textId="27212E6A" w:rsidR="00C57ED9" w:rsidRPr="003D37D4" w:rsidRDefault="00C57ED9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ru-RU"/>
        </w:rPr>
      </w:pPr>
    </w:p>
    <w:p w14:paraId="33CBB53A" w14:textId="3BA68F17" w:rsidR="00C57ED9" w:rsidRPr="003D37D4" w:rsidRDefault="00C57ED9">
      <w:pPr>
        <w:tabs>
          <w:tab w:val="clear" w:pos="567"/>
        </w:tabs>
        <w:snapToGrid/>
        <w:rPr>
          <w:rFonts w:ascii="Arial" w:eastAsia="Times New Roman" w:hAnsi="Arial" w:cs="Arial"/>
          <w:bCs/>
          <w:i/>
          <w:sz w:val="22"/>
          <w:szCs w:val="22"/>
          <w:lang w:val="ru-RU" w:eastAsia="en-US"/>
        </w:rPr>
      </w:pPr>
    </w:p>
    <w:p w14:paraId="3870A77C" w14:textId="28E86793" w:rsidR="002627C7" w:rsidRPr="009051EF" w:rsidRDefault="002627C7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ru-RU"/>
        </w:rPr>
      </w:pPr>
    </w:p>
    <w:p w14:paraId="1ECCF4A8" w14:textId="77777777" w:rsidR="002627C7" w:rsidRPr="009051EF" w:rsidRDefault="002627C7">
      <w:pPr>
        <w:tabs>
          <w:tab w:val="clear" w:pos="567"/>
        </w:tabs>
        <w:snapToGrid/>
        <w:rPr>
          <w:rFonts w:ascii="Arial" w:eastAsia="Times New Roman" w:hAnsi="Arial" w:cs="Arial"/>
          <w:bCs/>
          <w:i/>
          <w:sz w:val="22"/>
          <w:szCs w:val="22"/>
          <w:lang w:val="ru-RU" w:eastAsia="en-US"/>
        </w:rPr>
      </w:pPr>
      <w:r w:rsidRPr="009051EF">
        <w:rPr>
          <w:rFonts w:ascii="Arial" w:hAnsi="Arial" w:cs="Arial"/>
          <w:bCs/>
          <w:i/>
          <w:sz w:val="22"/>
          <w:szCs w:val="22"/>
          <w:lang w:val="ru-RU"/>
        </w:rPr>
        <w:br w:type="page"/>
      </w:r>
    </w:p>
    <w:p w14:paraId="406C3024" w14:textId="1F0B7203" w:rsidR="002627C7" w:rsidRPr="00C16E8E" w:rsidRDefault="002627C7" w:rsidP="002627C7">
      <w:pPr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C16E8E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Оценка прогресса в сопоставлении с матрицей результатов МОК на 2024-2025 гг. по состоянию на конец 2024 г.</w:t>
      </w:r>
    </w:p>
    <w:p w14:paraId="117FB55D" w14:textId="77777777" w:rsidR="002627C7" w:rsidRPr="003664EE" w:rsidRDefault="002627C7" w:rsidP="002627C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F2D3D">
        <w:rPr>
          <w:rFonts w:ascii="Arial" w:eastAsia="Times New Roman" w:hAnsi="Arial" w:cs="Arial"/>
          <w:noProof/>
          <w:snapToGrid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6B5D73EB" wp14:editId="7B34F4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1008525152" name="Straight Connector 1008525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xmlns:eLuna="https://cms.unov.org/eLuna/2015/main">
            <w:pict>
              <v:line xmlns:o="urn:schemas-microsoft-com:office:office" xmlns:v="urn:schemas-microsoft-com:vml" id="Straight Connector 1008525152" style="position:absolute;flip:y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from="0,-.05pt" to="486.75pt,1.45pt" w14:anchorId="4DFBB111"/>
            </w:pict>
          </mc:Fallback>
        </mc:AlternateContent>
      </w:r>
    </w:p>
    <w:p w14:paraId="041ED4A2" w14:textId="26435B19" w:rsidR="00216DA9" w:rsidRPr="008F2D3D" w:rsidRDefault="00216DA9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</w:rPr>
      </w:pPr>
      <w:r w:rsidRPr="008F2D3D">
        <w:rPr>
          <w:rFonts w:ascii="Arial" w:hAnsi="Arial" w:cs="Arial"/>
          <w:noProof/>
          <w:snapToGrid/>
        </w:rPr>
        <w:drawing>
          <wp:inline distT="0" distB="0" distL="0" distR="0" wp14:anchorId="5F7CCFE3" wp14:editId="4E6DE52C">
            <wp:extent cx="6200775" cy="7908835"/>
            <wp:effectExtent l="0" t="0" r="0" b="0"/>
            <wp:docPr id="11173096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09633" name="Picture 1" descr="A screenshot of a computer&#10;&#10;AI-generated content may be incorrect."/>
                    <pic:cNvPicPr/>
                  </pic:nvPicPr>
                  <pic:blipFill rotWithShape="1">
                    <a:blip r:embed="rId26"/>
                    <a:srcRect l="3735" t="2173" r="3040" b="5646"/>
                    <a:stretch/>
                  </pic:blipFill>
                  <pic:spPr bwMode="auto">
                    <a:xfrm>
                      <a:off x="0" y="0"/>
                      <a:ext cx="6206782" cy="791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A91F9" w14:textId="77777777" w:rsidR="00216DA9" w:rsidRPr="008F2D3D" w:rsidRDefault="00216DA9">
      <w:pPr>
        <w:tabs>
          <w:tab w:val="clear" w:pos="567"/>
        </w:tabs>
        <w:snapToGrid/>
        <w:rPr>
          <w:rFonts w:ascii="Arial" w:eastAsia="Times New Roman" w:hAnsi="Arial" w:cs="Arial"/>
          <w:bCs/>
          <w:i/>
          <w:sz w:val="22"/>
          <w:szCs w:val="22"/>
          <w:lang w:eastAsia="en-US"/>
        </w:rPr>
      </w:pPr>
      <w:r w:rsidRPr="008F2D3D">
        <w:rPr>
          <w:rFonts w:ascii="Arial" w:hAnsi="Arial" w:cs="Arial"/>
          <w:bCs/>
          <w:i/>
          <w:sz w:val="22"/>
          <w:szCs w:val="22"/>
        </w:rPr>
        <w:br w:type="page"/>
      </w:r>
    </w:p>
    <w:p w14:paraId="039C8267" w14:textId="4DD452FD" w:rsidR="00F62B21" w:rsidRPr="008F2D3D" w:rsidRDefault="00216DA9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</w:rPr>
      </w:pPr>
      <w:r w:rsidRPr="008F2D3D">
        <w:rPr>
          <w:rFonts w:ascii="Arial" w:hAnsi="Arial" w:cs="Arial"/>
          <w:noProof/>
          <w:snapToGrid/>
        </w:rPr>
        <w:lastRenderedPageBreak/>
        <w:drawing>
          <wp:inline distT="0" distB="0" distL="0" distR="0" wp14:anchorId="6580A187" wp14:editId="47AC6047">
            <wp:extent cx="5962650" cy="8756055"/>
            <wp:effectExtent l="0" t="0" r="0" b="6985"/>
            <wp:docPr id="7643710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71069" name="Picture 1" descr="A screenshot of a computer&#10;&#10;AI-generated content may be incorrect."/>
                    <pic:cNvPicPr/>
                  </pic:nvPicPr>
                  <pic:blipFill rotWithShape="1">
                    <a:blip r:embed="rId27"/>
                    <a:srcRect l="4202" r="4441" b="4653"/>
                    <a:stretch/>
                  </pic:blipFill>
                  <pic:spPr bwMode="auto">
                    <a:xfrm>
                      <a:off x="0" y="0"/>
                      <a:ext cx="5966784" cy="876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2B21" w:rsidRPr="008F2D3D" w:rsidSect="009D2B93">
      <w:headerReference w:type="even" r:id="rId28"/>
      <w:headerReference w:type="default" r:id="rId29"/>
      <w:headerReference w:type="first" r:id="rId30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5BB8" w14:textId="77777777" w:rsidR="00813DF5" w:rsidRDefault="00813DF5">
      <w:r>
        <w:separator/>
      </w:r>
    </w:p>
  </w:endnote>
  <w:endnote w:type="continuationSeparator" w:id="0">
    <w:p w14:paraId="31303040" w14:textId="77777777" w:rsidR="00813DF5" w:rsidRDefault="00813DF5">
      <w:r>
        <w:continuationSeparator/>
      </w:r>
    </w:p>
  </w:endnote>
  <w:endnote w:type="continuationNotice" w:id="1">
    <w:p w14:paraId="45F3072E" w14:textId="77777777" w:rsidR="00813DF5" w:rsidRDefault="0081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0370" w14:textId="77777777" w:rsidR="00813DF5" w:rsidRDefault="00813DF5">
      <w:r>
        <w:separator/>
      </w:r>
    </w:p>
  </w:footnote>
  <w:footnote w:type="continuationSeparator" w:id="0">
    <w:p w14:paraId="28DB4D0A" w14:textId="77777777" w:rsidR="00813DF5" w:rsidRDefault="00813DF5">
      <w:r>
        <w:continuationSeparator/>
      </w:r>
    </w:p>
  </w:footnote>
  <w:footnote w:type="continuationNotice" w:id="1">
    <w:p w14:paraId="7F6E5F4E" w14:textId="77777777" w:rsidR="00813DF5" w:rsidRDefault="0081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745D" w14:textId="7BC8837D" w:rsidR="003B6FC5" w:rsidRPr="00A07A6A" w:rsidRDefault="00352423" w:rsidP="00A07A6A">
    <w:pPr>
      <w:pStyle w:val="Header"/>
      <w:rPr>
        <w:rFonts w:ascii="Arial" w:hAnsi="Arial" w:cs="Arial"/>
        <w:bCs/>
        <w:sz w:val="22"/>
        <w:szCs w:val="22"/>
        <w:lang w:val="ru-RU"/>
      </w:rPr>
    </w:pPr>
    <w:r w:rsidRPr="00352423">
      <w:rPr>
        <w:rFonts w:ascii="Arial" w:hAnsi="Arial" w:cs="Arial"/>
        <w:bCs/>
        <w:sz w:val="22"/>
        <w:szCs w:val="22"/>
        <w:lang w:val="fr-FR"/>
      </w:rPr>
      <w:t>IOC</w:t>
    </w:r>
    <w:r w:rsidR="0040323D">
      <w:rPr>
        <w:rFonts w:ascii="Arial" w:hAnsi="Arial" w:cs="Arial"/>
        <w:bCs/>
        <w:sz w:val="22"/>
        <w:szCs w:val="22"/>
        <w:lang w:val="fr-FR"/>
      </w:rPr>
      <w:t>/A</w:t>
    </w:r>
    <w:r w:rsidRPr="00352423">
      <w:rPr>
        <w:rFonts w:ascii="Arial" w:hAnsi="Arial" w:cs="Arial"/>
        <w:bCs/>
        <w:sz w:val="22"/>
        <w:szCs w:val="22"/>
        <w:lang w:val="fr-FR"/>
      </w:rPr>
      <w:t>-</w:t>
    </w:r>
    <w:r w:rsidR="005B06F3">
      <w:rPr>
        <w:rFonts w:ascii="Arial" w:hAnsi="Arial" w:cs="Arial"/>
        <w:bCs/>
        <w:sz w:val="22"/>
        <w:szCs w:val="22"/>
        <w:lang w:val="fr-FR"/>
      </w:rPr>
      <w:t>33</w:t>
    </w:r>
    <w:r w:rsidR="00FA68D9">
      <w:rPr>
        <w:rFonts w:ascii="Arial" w:hAnsi="Arial" w:cs="Arial"/>
        <w:bCs/>
        <w:sz w:val="22"/>
        <w:szCs w:val="22"/>
        <w:lang w:val="fr-FR"/>
      </w:rPr>
      <w:t>/3</w:t>
    </w:r>
    <w:r w:rsidRPr="00352423">
      <w:rPr>
        <w:rFonts w:ascii="Arial" w:hAnsi="Arial" w:cs="Arial"/>
        <w:bCs/>
        <w:sz w:val="22"/>
        <w:szCs w:val="22"/>
        <w:lang w:val="fr-FR"/>
      </w:rPr>
      <w:t>.</w:t>
    </w:r>
    <w:r w:rsidR="005B06F3">
      <w:rPr>
        <w:rFonts w:ascii="Arial" w:hAnsi="Arial" w:cs="Arial"/>
        <w:bCs/>
        <w:sz w:val="22"/>
        <w:szCs w:val="22"/>
        <w:lang w:val="fr-FR"/>
      </w:rPr>
      <w:t>2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FA68D9">
          <w:rPr>
            <w:rFonts w:ascii="Arial" w:hAnsi="Arial" w:cs="Arial"/>
            <w:bCs/>
            <w:sz w:val="22"/>
            <w:szCs w:val="22"/>
          </w:rPr>
          <w:t>(1)</w:t>
        </w:r>
        <w:r w:rsidR="00BC135C">
          <w:rPr>
            <w:rFonts w:ascii="Arial" w:hAnsi="Arial" w:cs="Arial"/>
            <w:bCs/>
            <w:sz w:val="22"/>
            <w:szCs w:val="22"/>
          </w:rPr>
          <w:t xml:space="preserve"> – page </w:t>
        </w:r>
        <w:r w:rsidR="00BC135C" w:rsidRPr="00BC135C">
          <w:rPr>
            <w:rFonts w:ascii="Arial" w:hAnsi="Arial" w:cs="Arial"/>
            <w:bCs/>
            <w:sz w:val="22"/>
            <w:szCs w:val="22"/>
          </w:rPr>
          <w:fldChar w:fldCharType="begin"/>
        </w:r>
        <w:r w:rsidR="00BC135C" w:rsidRPr="00BC135C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BC135C" w:rsidRPr="00BC135C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D110FE">
          <w:rPr>
            <w:rFonts w:ascii="Arial" w:hAnsi="Arial" w:cs="Arial"/>
            <w:bCs/>
            <w:noProof/>
            <w:sz w:val="22"/>
            <w:szCs w:val="22"/>
          </w:rPr>
          <w:t>2</w:t>
        </w:r>
        <w:r w:rsidR="00BC135C" w:rsidRPr="00BC135C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0040" w14:textId="1652B729" w:rsidR="00FF54F5" w:rsidRPr="009D2B93" w:rsidRDefault="005B06F3" w:rsidP="009D2B93">
    <w:pPr>
      <w:pStyle w:val="Header"/>
      <w:jc w:val="right"/>
      <w:rPr>
        <w:rFonts w:ascii="Arial" w:hAnsi="Arial" w:cs="Arial"/>
        <w:bCs/>
        <w:sz w:val="22"/>
        <w:szCs w:val="22"/>
        <w:lang w:val="ru-RU"/>
      </w:rPr>
    </w:pPr>
    <w:r>
      <w:rPr>
        <w:rFonts w:ascii="Arial" w:hAnsi="Arial" w:cs="Arial"/>
        <w:bCs/>
        <w:sz w:val="22"/>
        <w:szCs w:val="22"/>
        <w:lang w:val="fr-FR"/>
      </w:rPr>
      <w:t>I</w:t>
    </w:r>
    <w:r w:rsidR="00E01FDA" w:rsidRPr="00352423">
      <w:rPr>
        <w:rFonts w:ascii="Arial" w:hAnsi="Arial" w:cs="Arial"/>
        <w:bCs/>
        <w:sz w:val="22"/>
        <w:szCs w:val="22"/>
        <w:lang w:val="fr-FR"/>
      </w:rPr>
      <w:t>OC</w:t>
    </w:r>
    <w:r w:rsidR="0040323D">
      <w:rPr>
        <w:rFonts w:ascii="Arial" w:hAnsi="Arial" w:cs="Arial"/>
        <w:bCs/>
        <w:sz w:val="22"/>
        <w:szCs w:val="22"/>
        <w:lang w:val="fr-FR"/>
      </w:rPr>
      <w:t>/A</w:t>
    </w:r>
    <w:r w:rsidR="00E01FDA" w:rsidRPr="00352423">
      <w:rPr>
        <w:rFonts w:ascii="Arial" w:hAnsi="Arial" w:cs="Arial"/>
        <w:bCs/>
        <w:sz w:val="22"/>
        <w:szCs w:val="22"/>
        <w:lang w:val="fr-FR"/>
      </w:rPr>
      <w:t>-</w:t>
    </w:r>
    <w:r>
      <w:rPr>
        <w:rFonts w:ascii="Arial" w:hAnsi="Arial" w:cs="Arial"/>
        <w:bCs/>
        <w:sz w:val="22"/>
        <w:szCs w:val="22"/>
        <w:lang w:val="fr-FR"/>
      </w:rPr>
      <w:t>33</w:t>
    </w:r>
    <w:r w:rsidR="00E01FDA" w:rsidRPr="00352423">
      <w:rPr>
        <w:rFonts w:ascii="Arial" w:hAnsi="Arial" w:cs="Arial"/>
        <w:bCs/>
        <w:sz w:val="22"/>
        <w:szCs w:val="22"/>
        <w:lang w:val="fr-FR"/>
      </w:rPr>
      <w:t>/</w:t>
    </w:r>
    <w:r w:rsidR="007C4C1D">
      <w:rPr>
        <w:rFonts w:ascii="Arial" w:hAnsi="Arial" w:cs="Arial"/>
        <w:bCs/>
        <w:sz w:val="22"/>
        <w:szCs w:val="22"/>
        <w:lang w:val="fr-FR"/>
      </w:rPr>
      <w:t>3</w:t>
    </w:r>
    <w:r w:rsidR="00E01FDA" w:rsidRPr="00352423">
      <w:rPr>
        <w:rFonts w:ascii="Arial" w:hAnsi="Arial" w:cs="Arial"/>
        <w:bCs/>
        <w:sz w:val="22"/>
        <w:szCs w:val="22"/>
        <w:lang w:val="fr-FR"/>
      </w:rPr>
      <w:t>.</w:t>
    </w:r>
    <w:r>
      <w:rPr>
        <w:rFonts w:ascii="Arial" w:hAnsi="Arial" w:cs="Arial"/>
        <w:bCs/>
        <w:sz w:val="22"/>
        <w:szCs w:val="22"/>
        <w:lang w:val="fr-FR"/>
      </w:rPr>
      <w:t>2</w:t>
    </w:r>
    <w:r w:rsidR="00E01FDA">
      <w:rPr>
        <w:rFonts w:ascii="Arial" w:hAnsi="Arial" w:cs="Arial"/>
        <w:bCs/>
        <w:sz w:val="22"/>
        <w:szCs w:val="22"/>
        <w:lang w:val="fr-FR"/>
      </w:rPr>
      <w:t>.</w:t>
    </w:r>
    <w:r w:rsidR="00E01FDA" w:rsidRPr="00352423">
      <w:rPr>
        <w:rFonts w:ascii="Arial" w:hAnsi="Arial" w:cs="Arial"/>
        <w:bCs/>
        <w:sz w:val="22"/>
        <w:szCs w:val="22"/>
        <w:lang w:val="fr-FR"/>
      </w:rPr>
      <w:t>Doc</w:t>
    </w:r>
    <w:r w:rsidR="007C4C1D">
      <w:rPr>
        <w:rFonts w:ascii="Arial" w:hAnsi="Arial" w:cs="Arial"/>
        <w:bCs/>
        <w:sz w:val="22"/>
        <w:szCs w:val="22"/>
        <w:lang w:val="fr-FR"/>
      </w:rPr>
      <w:t>(1)</w:t>
    </w:r>
    <w:r w:rsidR="00A14C22">
      <w:rPr>
        <w:rFonts w:ascii="Arial" w:hAnsi="Arial" w:cs="Arial"/>
        <w:bCs/>
        <w:sz w:val="22"/>
        <w:szCs w:val="22"/>
        <w:lang w:val="fr-FR"/>
      </w:rPr>
      <w:t xml:space="preserve"> – page </w:t>
    </w:r>
    <w:r w:rsidR="00A14C22" w:rsidRPr="00A14C22">
      <w:rPr>
        <w:rFonts w:ascii="Arial" w:hAnsi="Arial" w:cs="Arial"/>
        <w:bCs/>
        <w:sz w:val="22"/>
        <w:szCs w:val="22"/>
        <w:lang w:val="fr-FR"/>
      </w:rPr>
      <w:fldChar w:fldCharType="begin"/>
    </w:r>
    <w:r w:rsidR="00A14C22" w:rsidRPr="00A14C22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="00A14C22" w:rsidRPr="00A14C22">
      <w:rPr>
        <w:rFonts w:ascii="Arial" w:hAnsi="Arial" w:cs="Arial"/>
        <w:bCs/>
        <w:sz w:val="22"/>
        <w:szCs w:val="22"/>
        <w:lang w:val="fr-FR"/>
      </w:rPr>
      <w:fldChar w:fldCharType="separate"/>
    </w:r>
    <w:r w:rsidR="00D110FE">
      <w:rPr>
        <w:rFonts w:ascii="Arial" w:hAnsi="Arial" w:cs="Arial"/>
        <w:bCs/>
        <w:noProof/>
        <w:sz w:val="22"/>
        <w:szCs w:val="22"/>
        <w:lang w:val="fr-FR"/>
      </w:rPr>
      <w:t>3</w:t>
    </w:r>
    <w:r w:rsidR="00A14C22" w:rsidRPr="00A14C22">
      <w:rPr>
        <w:rFonts w:ascii="Arial" w:hAnsi="Arial" w:cs="Arial"/>
        <w:bCs/>
        <w:noProof/>
        <w:sz w:val="22"/>
        <w:szCs w:val="22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790F878F" w:rsidR="00F62C19" w:rsidRPr="00A07A6A" w:rsidRDefault="008B77EB" w:rsidP="008F2D3D">
    <w:pPr>
      <w:pStyle w:val="Marge"/>
      <w:tabs>
        <w:tab w:val="left" w:pos="6237"/>
        <w:tab w:val="left" w:pos="7088"/>
      </w:tabs>
      <w:spacing w:after="0"/>
      <w:rPr>
        <w:rFonts w:asciiTheme="minorBidi" w:hAnsiTheme="minorBidi" w:cstheme="minorBidi"/>
        <w:b/>
        <w:sz w:val="36"/>
        <w:szCs w:val="36"/>
        <w:lang w:val="ru-RU"/>
      </w:rPr>
    </w:pPr>
    <w:r w:rsidRPr="008319DF">
      <w:rPr>
        <w:rFonts w:asciiTheme="minorBidi" w:hAnsiTheme="minorBidi" w:cstheme="minorBidi"/>
        <w:sz w:val="22"/>
        <w:szCs w:val="22"/>
        <w:lang w:val="ru-RU"/>
      </w:rPr>
      <w:t>Расс</w:t>
    </w:r>
    <w:r w:rsidRPr="00A07A6A">
      <w:rPr>
        <w:rFonts w:asciiTheme="minorBidi" w:hAnsiTheme="minorBidi" w:cstheme="minorBidi"/>
        <w:sz w:val="22"/>
        <w:szCs w:val="22"/>
        <w:lang w:val="ru-RU"/>
      </w:rPr>
      <w:t>ылается по списку</w:t>
    </w:r>
    <w:r w:rsidRPr="00A07A6A">
      <w:rPr>
        <w:rFonts w:asciiTheme="minorBidi" w:hAnsiTheme="minorBidi" w:cstheme="minorBidi"/>
        <w:lang w:val="ru-RU"/>
      </w:rPr>
      <w:tab/>
    </w:r>
    <w:r w:rsidRPr="00A07A6A">
      <w:rPr>
        <w:rFonts w:asciiTheme="minorBidi" w:hAnsiTheme="minorBidi" w:cstheme="minorBidi"/>
        <w:b/>
        <w:bCs/>
        <w:sz w:val="36"/>
        <w:szCs w:val="36"/>
        <w:lang w:val="ru-RU"/>
      </w:rPr>
      <w:t>IOC/A-33/3.2.Doc(1)</w:t>
    </w:r>
    <w:bookmarkStart w:id="5" w:name="_Hlk54263549"/>
    <w:bookmarkEnd w:id="5"/>
  </w:p>
  <w:p w14:paraId="4FD70AD5" w14:textId="35FA646E" w:rsidR="004B7754" w:rsidRPr="00A07A6A" w:rsidRDefault="008B77EB" w:rsidP="008F2D3D">
    <w:pPr>
      <w:pStyle w:val="Marge"/>
      <w:tabs>
        <w:tab w:val="left" w:pos="6237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A07A6A">
      <w:rPr>
        <w:rFonts w:asciiTheme="minorBidi" w:hAnsiTheme="minorBidi" w:cstheme="minorBidi"/>
        <w:b/>
        <w:noProof/>
        <w:snapToGrid/>
        <w:szCs w:val="22"/>
        <w:lang w:val="ru-RU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A6A">
      <w:rPr>
        <w:rFonts w:asciiTheme="minorBidi" w:hAnsiTheme="minorBidi" w:cstheme="minorBidi"/>
        <w:lang w:val="ru-RU"/>
      </w:rPr>
      <w:tab/>
    </w:r>
    <w:r w:rsidRPr="00A07A6A">
      <w:rPr>
        <w:rFonts w:asciiTheme="minorBidi" w:hAnsiTheme="minorBidi" w:cstheme="minorBidi"/>
        <w:sz w:val="22"/>
        <w:szCs w:val="22"/>
        <w:lang w:val="ru-RU"/>
      </w:rPr>
      <w:t>Париж, 3 апреля 2025 г.</w:t>
    </w:r>
  </w:p>
  <w:p w14:paraId="07C76426" w14:textId="18A2F05C" w:rsidR="004B7754" w:rsidRPr="00A07A6A" w:rsidRDefault="004B7754" w:rsidP="008F2D3D">
    <w:pPr>
      <w:pStyle w:val="Marge"/>
      <w:tabs>
        <w:tab w:val="left" w:pos="6237"/>
      </w:tabs>
      <w:rPr>
        <w:rFonts w:asciiTheme="minorBidi" w:hAnsiTheme="minorBidi" w:cstheme="minorBidi"/>
        <w:sz w:val="22"/>
        <w:szCs w:val="22"/>
        <w:lang w:val="ru-RU"/>
      </w:rPr>
    </w:pPr>
    <w:r w:rsidRPr="00A07A6A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0759C652" w14:textId="6ACD3015" w:rsidR="004B7754" w:rsidRPr="00A07A6A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5CBA7A2E" w14:textId="7CD94594" w:rsidR="00B17054" w:rsidRPr="00A07A6A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364F293E" w14:textId="4E082054" w:rsidR="00B17054" w:rsidRPr="00A07A6A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4130243D" w14:textId="77777777" w:rsidR="00A07A6A" w:rsidRPr="00A07A6A" w:rsidRDefault="00A07A6A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1C9"/>
    <w:multiLevelType w:val="hybridMultilevel"/>
    <w:tmpl w:val="43F2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2690"/>
    <w:multiLevelType w:val="hybridMultilevel"/>
    <w:tmpl w:val="547A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3D2A"/>
    <w:multiLevelType w:val="hybridMultilevel"/>
    <w:tmpl w:val="4D94933A"/>
    <w:lvl w:ilvl="0" w:tplc="538A2D02">
      <w:start w:val="8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2D2"/>
    <w:multiLevelType w:val="hybridMultilevel"/>
    <w:tmpl w:val="E392079E"/>
    <w:lvl w:ilvl="0" w:tplc="9CD2B4F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357DC"/>
    <w:multiLevelType w:val="hybridMultilevel"/>
    <w:tmpl w:val="92A4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00789"/>
    <w:multiLevelType w:val="hybridMultilevel"/>
    <w:tmpl w:val="0704798C"/>
    <w:lvl w:ilvl="0" w:tplc="6A1871F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CDB"/>
    <w:multiLevelType w:val="hybridMultilevel"/>
    <w:tmpl w:val="5A06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F550F"/>
    <w:multiLevelType w:val="hybridMultilevel"/>
    <w:tmpl w:val="19CCFF26"/>
    <w:lvl w:ilvl="0" w:tplc="4C945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A485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D8DF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0C6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D438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4B686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898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CC47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A2CCE2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2397"/>
    <w:multiLevelType w:val="multilevel"/>
    <w:tmpl w:val="11FC44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89B6A12"/>
    <w:multiLevelType w:val="multilevel"/>
    <w:tmpl w:val="E782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E652D"/>
    <w:multiLevelType w:val="hybridMultilevel"/>
    <w:tmpl w:val="DCE6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6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36CB5A35"/>
    <w:multiLevelType w:val="hybridMultilevel"/>
    <w:tmpl w:val="A912CC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91885"/>
    <w:multiLevelType w:val="multilevel"/>
    <w:tmpl w:val="B930F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30DC1"/>
    <w:multiLevelType w:val="hybridMultilevel"/>
    <w:tmpl w:val="F9B63CB0"/>
    <w:lvl w:ilvl="0" w:tplc="BB02EE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D3026F"/>
    <w:multiLevelType w:val="hybridMultilevel"/>
    <w:tmpl w:val="0868E9D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66871BC7"/>
    <w:multiLevelType w:val="multilevel"/>
    <w:tmpl w:val="CD8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71B6A"/>
    <w:multiLevelType w:val="multilevel"/>
    <w:tmpl w:val="D8409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84E56"/>
    <w:multiLevelType w:val="hybridMultilevel"/>
    <w:tmpl w:val="2448607A"/>
    <w:lvl w:ilvl="0" w:tplc="9CD2B4FE">
      <w:start w:val="10"/>
      <w:numFmt w:val="bullet"/>
      <w:lvlText w:val="-"/>
      <w:lvlJc w:val="left"/>
      <w:pPr>
        <w:ind w:left="1434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7A5739A3"/>
    <w:multiLevelType w:val="multilevel"/>
    <w:tmpl w:val="E242B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AB83776"/>
    <w:multiLevelType w:val="hybridMultilevel"/>
    <w:tmpl w:val="8FFC3CD4"/>
    <w:lvl w:ilvl="0" w:tplc="EA06A68A">
      <w:start w:val="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91A9C"/>
    <w:multiLevelType w:val="hybridMultilevel"/>
    <w:tmpl w:val="68D2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00CAB"/>
    <w:multiLevelType w:val="hybridMultilevel"/>
    <w:tmpl w:val="2C60E9B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33310506">
    <w:abstractNumId w:val="15"/>
  </w:num>
  <w:num w:numId="2" w16cid:durableId="1085108702">
    <w:abstractNumId w:val="15"/>
  </w:num>
  <w:num w:numId="3" w16cid:durableId="260375341">
    <w:abstractNumId w:val="15"/>
  </w:num>
  <w:num w:numId="4" w16cid:durableId="1106341988">
    <w:abstractNumId w:val="15"/>
  </w:num>
  <w:num w:numId="5" w16cid:durableId="495343918">
    <w:abstractNumId w:val="15"/>
  </w:num>
  <w:num w:numId="6" w16cid:durableId="1561017720">
    <w:abstractNumId w:val="15"/>
  </w:num>
  <w:num w:numId="7" w16cid:durableId="1124153467">
    <w:abstractNumId w:val="15"/>
  </w:num>
  <w:num w:numId="8" w16cid:durableId="465390090">
    <w:abstractNumId w:val="15"/>
  </w:num>
  <w:num w:numId="9" w16cid:durableId="1457599325">
    <w:abstractNumId w:val="15"/>
  </w:num>
  <w:num w:numId="10" w16cid:durableId="421488718">
    <w:abstractNumId w:val="15"/>
  </w:num>
  <w:num w:numId="11" w16cid:durableId="2143844777">
    <w:abstractNumId w:val="27"/>
  </w:num>
  <w:num w:numId="12" w16cid:durableId="17775434">
    <w:abstractNumId w:val="15"/>
  </w:num>
  <w:num w:numId="13" w16cid:durableId="1543207608">
    <w:abstractNumId w:val="10"/>
  </w:num>
  <w:num w:numId="14" w16cid:durableId="559633906">
    <w:abstractNumId w:val="16"/>
  </w:num>
  <w:num w:numId="15" w16cid:durableId="1323388065">
    <w:abstractNumId w:val="7"/>
  </w:num>
  <w:num w:numId="16" w16cid:durableId="1060589360">
    <w:abstractNumId w:val="20"/>
  </w:num>
  <w:num w:numId="17" w16cid:durableId="53816445">
    <w:abstractNumId w:val="14"/>
  </w:num>
  <w:num w:numId="18" w16cid:durableId="1580093580">
    <w:abstractNumId w:val="6"/>
  </w:num>
  <w:num w:numId="19" w16cid:durableId="1162701083">
    <w:abstractNumId w:val="21"/>
  </w:num>
  <w:num w:numId="20" w16cid:durableId="1661425026">
    <w:abstractNumId w:val="25"/>
  </w:num>
  <w:num w:numId="21" w16cid:durableId="1196651110">
    <w:abstractNumId w:val="2"/>
  </w:num>
  <w:num w:numId="22" w16cid:durableId="882133689">
    <w:abstractNumId w:val="4"/>
  </w:num>
  <w:num w:numId="23" w16cid:durableId="1951626247">
    <w:abstractNumId w:val="0"/>
  </w:num>
  <w:num w:numId="24" w16cid:durableId="86267078">
    <w:abstractNumId w:val="30"/>
  </w:num>
  <w:num w:numId="25" w16cid:durableId="1492328046">
    <w:abstractNumId w:val="13"/>
  </w:num>
  <w:num w:numId="26" w16cid:durableId="645748128">
    <w:abstractNumId w:val="11"/>
  </w:num>
  <w:num w:numId="27" w16cid:durableId="2017922584">
    <w:abstractNumId w:val="17"/>
  </w:num>
  <w:num w:numId="28" w16cid:durableId="533731615">
    <w:abstractNumId w:val="31"/>
  </w:num>
  <w:num w:numId="29" w16cid:durableId="1320841120">
    <w:abstractNumId w:val="5"/>
  </w:num>
  <w:num w:numId="30" w16cid:durableId="125707739">
    <w:abstractNumId w:val="1"/>
  </w:num>
  <w:num w:numId="31" w16cid:durableId="1308826352">
    <w:abstractNumId w:val="8"/>
  </w:num>
  <w:num w:numId="32" w16cid:durableId="332607897">
    <w:abstractNumId w:val="12"/>
  </w:num>
  <w:num w:numId="33" w16cid:durableId="1879512795">
    <w:abstractNumId w:val="29"/>
  </w:num>
  <w:num w:numId="34" w16cid:durableId="1683243621">
    <w:abstractNumId w:val="28"/>
  </w:num>
  <w:num w:numId="35" w16cid:durableId="55711248">
    <w:abstractNumId w:val="19"/>
  </w:num>
  <w:num w:numId="36" w16cid:durableId="1644503481">
    <w:abstractNumId w:val="22"/>
  </w:num>
  <w:num w:numId="37" w16cid:durableId="162938317">
    <w:abstractNumId w:val="26"/>
  </w:num>
  <w:num w:numId="38" w16cid:durableId="217397291">
    <w:abstractNumId w:val="9"/>
  </w:num>
  <w:num w:numId="39" w16cid:durableId="1622035032">
    <w:abstractNumId w:val="23"/>
  </w:num>
  <w:num w:numId="40" w16cid:durableId="1419248878">
    <w:abstractNumId w:val="18"/>
  </w:num>
  <w:num w:numId="41" w16cid:durableId="1571889325">
    <w:abstractNumId w:val="24"/>
  </w:num>
  <w:num w:numId="42" w16cid:durableId="42357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1F05"/>
    <w:rsid w:val="000031EF"/>
    <w:rsid w:val="00004725"/>
    <w:rsid w:val="000055C3"/>
    <w:rsid w:val="00006C25"/>
    <w:rsid w:val="00010B89"/>
    <w:rsid w:val="000118CD"/>
    <w:rsid w:val="00013390"/>
    <w:rsid w:val="00017E4B"/>
    <w:rsid w:val="00025A88"/>
    <w:rsid w:val="00026782"/>
    <w:rsid w:val="00027122"/>
    <w:rsid w:val="000319A1"/>
    <w:rsid w:val="00032C8E"/>
    <w:rsid w:val="00033544"/>
    <w:rsid w:val="00034C53"/>
    <w:rsid w:val="00034C70"/>
    <w:rsid w:val="000370E1"/>
    <w:rsid w:val="000431C5"/>
    <w:rsid w:val="000445B8"/>
    <w:rsid w:val="0004582F"/>
    <w:rsid w:val="000511D3"/>
    <w:rsid w:val="00051484"/>
    <w:rsid w:val="00060399"/>
    <w:rsid w:val="000606E3"/>
    <w:rsid w:val="00060718"/>
    <w:rsid w:val="000658F2"/>
    <w:rsid w:val="00065DEB"/>
    <w:rsid w:val="0006619A"/>
    <w:rsid w:val="0006675E"/>
    <w:rsid w:val="00067605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2830"/>
    <w:rsid w:val="0009796F"/>
    <w:rsid w:val="00097CDF"/>
    <w:rsid w:val="000A472D"/>
    <w:rsid w:val="000A6D08"/>
    <w:rsid w:val="000B1B44"/>
    <w:rsid w:val="000B40F3"/>
    <w:rsid w:val="000C1BCF"/>
    <w:rsid w:val="000C3BB5"/>
    <w:rsid w:val="000D387D"/>
    <w:rsid w:val="000D414F"/>
    <w:rsid w:val="000D6EB3"/>
    <w:rsid w:val="000D719C"/>
    <w:rsid w:val="000E0533"/>
    <w:rsid w:val="000E05C8"/>
    <w:rsid w:val="000E188E"/>
    <w:rsid w:val="000E368B"/>
    <w:rsid w:val="000E55FB"/>
    <w:rsid w:val="000E7E22"/>
    <w:rsid w:val="000F4768"/>
    <w:rsid w:val="000F4909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27D2"/>
    <w:rsid w:val="00113090"/>
    <w:rsid w:val="00113997"/>
    <w:rsid w:val="00113F97"/>
    <w:rsid w:val="001164EA"/>
    <w:rsid w:val="00122F8A"/>
    <w:rsid w:val="0012374E"/>
    <w:rsid w:val="00123F7E"/>
    <w:rsid w:val="00131529"/>
    <w:rsid w:val="0013238B"/>
    <w:rsid w:val="00134711"/>
    <w:rsid w:val="0013649D"/>
    <w:rsid w:val="00137882"/>
    <w:rsid w:val="00141A44"/>
    <w:rsid w:val="00143B1A"/>
    <w:rsid w:val="0014529C"/>
    <w:rsid w:val="001456BF"/>
    <w:rsid w:val="0015046B"/>
    <w:rsid w:val="001506C7"/>
    <w:rsid w:val="001524A3"/>
    <w:rsid w:val="0015561D"/>
    <w:rsid w:val="001579AB"/>
    <w:rsid w:val="00157D42"/>
    <w:rsid w:val="00160284"/>
    <w:rsid w:val="00160C37"/>
    <w:rsid w:val="0016592F"/>
    <w:rsid w:val="001659AA"/>
    <w:rsid w:val="00165CBD"/>
    <w:rsid w:val="0017022A"/>
    <w:rsid w:val="001728F6"/>
    <w:rsid w:val="0017604F"/>
    <w:rsid w:val="001766F9"/>
    <w:rsid w:val="00180AA0"/>
    <w:rsid w:val="00182096"/>
    <w:rsid w:val="0018253D"/>
    <w:rsid w:val="00182632"/>
    <w:rsid w:val="00183FEA"/>
    <w:rsid w:val="00185B54"/>
    <w:rsid w:val="00185D28"/>
    <w:rsid w:val="001875EC"/>
    <w:rsid w:val="0019010A"/>
    <w:rsid w:val="001917AD"/>
    <w:rsid w:val="00192400"/>
    <w:rsid w:val="00192AAB"/>
    <w:rsid w:val="00196759"/>
    <w:rsid w:val="001A033E"/>
    <w:rsid w:val="001A071C"/>
    <w:rsid w:val="001A210D"/>
    <w:rsid w:val="001A2943"/>
    <w:rsid w:val="001A6261"/>
    <w:rsid w:val="001A6DDA"/>
    <w:rsid w:val="001A7261"/>
    <w:rsid w:val="001A73F8"/>
    <w:rsid w:val="001B2228"/>
    <w:rsid w:val="001B2807"/>
    <w:rsid w:val="001B4D2C"/>
    <w:rsid w:val="001B5075"/>
    <w:rsid w:val="001B64AC"/>
    <w:rsid w:val="001C18CF"/>
    <w:rsid w:val="001C20FE"/>
    <w:rsid w:val="001C29AC"/>
    <w:rsid w:val="001C4F30"/>
    <w:rsid w:val="001C53DD"/>
    <w:rsid w:val="001C6221"/>
    <w:rsid w:val="001C6842"/>
    <w:rsid w:val="001C6D83"/>
    <w:rsid w:val="001D11E8"/>
    <w:rsid w:val="001D4572"/>
    <w:rsid w:val="001D69B3"/>
    <w:rsid w:val="001E441E"/>
    <w:rsid w:val="001E5FF2"/>
    <w:rsid w:val="001F0061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16DA9"/>
    <w:rsid w:val="00225B52"/>
    <w:rsid w:val="00231994"/>
    <w:rsid w:val="00232596"/>
    <w:rsid w:val="00232FAE"/>
    <w:rsid w:val="0023308D"/>
    <w:rsid w:val="00237FCC"/>
    <w:rsid w:val="00240B92"/>
    <w:rsid w:val="00243536"/>
    <w:rsid w:val="00251980"/>
    <w:rsid w:val="00255764"/>
    <w:rsid w:val="00257045"/>
    <w:rsid w:val="002571D5"/>
    <w:rsid w:val="00257562"/>
    <w:rsid w:val="00257884"/>
    <w:rsid w:val="0026233A"/>
    <w:rsid w:val="002627C7"/>
    <w:rsid w:val="00262EC1"/>
    <w:rsid w:val="00263091"/>
    <w:rsid w:val="0026337A"/>
    <w:rsid w:val="00265371"/>
    <w:rsid w:val="00265C91"/>
    <w:rsid w:val="00265E4E"/>
    <w:rsid w:val="002660A1"/>
    <w:rsid w:val="0027043E"/>
    <w:rsid w:val="00272866"/>
    <w:rsid w:val="00273C68"/>
    <w:rsid w:val="00274D0A"/>
    <w:rsid w:val="0028078A"/>
    <w:rsid w:val="00282456"/>
    <w:rsid w:val="00282FBC"/>
    <w:rsid w:val="00283515"/>
    <w:rsid w:val="00283B06"/>
    <w:rsid w:val="00284AF8"/>
    <w:rsid w:val="002854CA"/>
    <w:rsid w:val="00286B3B"/>
    <w:rsid w:val="00292113"/>
    <w:rsid w:val="00292B27"/>
    <w:rsid w:val="002A05D9"/>
    <w:rsid w:val="002A3623"/>
    <w:rsid w:val="002A364B"/>
    <w:rsid w:val="002A3D8C"/>
    <w:rsid w:val="002B0438"/>
    <w:rsid w:val="002B0B65"/>
    <w:rsid w:val="002B2870"/>
    <w:rsid w:val="002B2FB7"/>
    <w:rsid w:val="002B3CB5"/>
    <w:rsid w:val="002B58F5"/>
    <w:rsid w:val="002C3482"/>
    <w:rsid w:val="002C6A49"/>
    <w:rsid w:val="002D2062"/>
    <w:rsid w:val="002D3D40"/>
    <w:rsid w:val="002D41F6"/>
    <w:rsid w:val="002D4B35"/>
    <w:rsid w:val="002E0A07"/>
    <w:rsid w:val="002E3B10"/>
    <w:rsid w:val="002E524A"/>
    <w:rsid w:val="002E558B"/>
    <w:rsid w:val="002E5A7D"/>
    <w:rsid w:val="002E6FCC"/>
    <w:rsid w:val="002E7C4A"/>
    <w:rsid w:val="002F0BE9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2D4A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3BCB"/>
    <w:rsid w:val="0033582A"/>
    <w:rsid w:val="0033741E"/>
    <w:rsid w:val="00337F0B"/>
    <w:rsid w:val="00341FD0"/>
    <w:rsid w:val="0034392B"/>
    <w:rsid w:val="00344E00"/>
    <w:rsid w:val="00344F11"/>
    <w:rsid w:val="003456A3"/>
    <w:rsid w:val="003511A2"/>
    <w:rsid w:val="003515AD"/>
    <w:rsid w:val="00351CFD"/>
    <w:rsid w:val="00352423"/>
    <w:rsid w:val="00352574"/>
    <w:rsid w:val="00354A10"/>
    <w:rsid w:val="00355A56"/>
    <w:rsid w:val="003563D2"/>
    <w:rsid w:val="003570B3"/>
    <w:rsid w:val="00360F32"/>
    <w:rsid w:val="00361AD3"/>
    <w:rsid w:val="00362BBA"/>
    <w:rsid w:val="00365177"/>
    <w:rsid w:val="00365ED5"/>
    <w:rsid w:val="003664EE"/>
    <w:rsid w:val="00366C04"/>
    <w:rsid w:val="003718F9"/>
    <w:rsid w:val="003774D6"/>
    <w:rsid w:val="00380185"/>
    <w:rsid w:val="003811BB"/>
    <w:rsid w:val="0038142A"/>
    <w:rsid w:val="00382463"/>
    <w:rsid w:val="00385003"/>
    <w:rsid w:val="003917C6"/>
    <w:rsid w:val="00393704"/>
    <w:rsid w:val="0039512E"/>
    <w:rsid w:val="00395A11"/>
    <w:rsid w:val="003B1A51"/>
    <w:rsid w:val="003B2CC9"/>
    <w:rsid w:val="003B3349"/>
    <w:rsid w:val="003B390E"/>
    <w:rsid w:val="003B4C5D"/>
    <w:rsid w:val="003B64CB"/>
    <w:rsid w:val="003B6DA1"/>
    <w:rsid w:val="003B6ECA"/>
    <w:rsid w:val="003B6FC5"/>
    <w:rsid w:val="003B70B4"/>
    <w:rsid w:val="003C15F6"/>
    <w:rsid w:val="003C240D"/>
    <w:rsid w:val="003C2BCD"/>
    <w:rsid w:val="003C309A"/>
    <w:rsid w:val="003C3CC6"/>
    <w:rsid w:val="003C4A99"/>
    <w:rsid w:val="003D27BD"/>
    <w:rsid w:val="003D31F1"/>
    <w:rsid w:val="003D37D4"/>
    <w:rsid w:val="003D4548"/>
    <w:rsid w:val="003D7CC3"/>
    <w:rsid w:val="003E08F0"/>
    <w:rsid w:val="003E26AB"/>
    <w:rsid w:val="003E331B"/>
    <w:rsid w:val="003E5A89"/>
    <w:rsid w:val="003E5DA0"/>
    <w:rsid w:val="003E7B79"/>
    <w:rsid w:val="003F5299"/>
    <w:rsid w:val="003F66AA"/>
    <w:rsid w:val="003F74E5"/>
    <w:rsid w:val="003F78BC"/>
    <w:rsid w:val="0040323D"/>
    <w:rsid w:val="004032DB"/>
    <w:rsid w:val="00403EB2"/>
    <w:rsid w:val="0040453C"/>
    <w:rsid w:val="004047AA"/>
    <w:rsid w:val="00404945"/>
    <w:rsid w:val="00405201"/>
    <w:rsid w:val="00407FC3"/>
    <w:rsid w:val="004119A8"/>
    <w:rsid w:val="00416FCE"/>
    <w:rsid w:val="00417106"/>
    <w:rsid w:val="00425E51"/>
    <w:rsid w:val="0042612F"/>
    <w:rsid w:val="00431123"/>
    <w:rsid w:val="004359DF"/>
    <w:rsid w:val="00437DB1"/>
    <w:rsid w:val="004414C3"/>
    <w:rsid w:val="00441F29"/>
    <w:rsid w:val="00441FE3"/>
    <w:rsid w:val="00447262"/>
    <w:rsid w:val="00450AA6"/>
    <w:rsid w:val="00452512"/>
    <w:rsid w:val="00452CFD"/>
    <w:rsid w:val="00453CE0"/>
    <w:rsid w:val="00454762"/>
    <w:rsid w:val="00455465"/>
    <w:rsid w:val="00463AB2"/>
    <w:rsid w:val="00473E57"/>
    <w:rsid w:val="004750C1"/>
    <w:rsid w:val="004768E8"/>
    <w:rsid w:val="00476A0C"/>
    <w:rsid w:val="00477409"/>
    <w:rsid w:val="0048045D"/>
    <w:rsid w:val="0048119B"/>
    <w:rsid w:val="00481C77"/>
    <w:rsid w:val="0048289E"/>
    <w:rsid w:val="00485772"/>
    <w:rsid w:val="00485AA9"/>
    <w:rsid w:val="00486080"/>
    <w:rsid w:val="0049319A"/>
    <w:rsid w:val="00494DB3"/>
    <w:rsid w:val="004952D4"/>
    <w:rsid w:val="00495A2B"/>
    <w:rsid w:val="00495A69"/>
    <w:rsid w:val="004966AD"/>
    <w:rsid w:val="004A0A6B"/>
    <w:rsid w:val="004A0F6A"/>
    <w:rsid w:val="004A202F"/>
    <w:rsid w:val="004B3408"/>
    <w:rsid w:val="004B389C"/>
    <w:rsid w:val="004B3D01"/>
    <w:rsid w:val="004B5787"/>
    <w:rsid w:val="004B7754"/>
    <w:rsid w:val="004B7E8C"/>
    <w:rsid w:val="004C14DD"/>
    <w:rsid w:val="004C255E"/>
    <w:rsid w:val="004C4469"/>
    <w:rsid w:val="004C586B"/>
    <w:rsid w:val="004C6065"/>
    <w:rsid w:val="004C6FFD"/>
    <w:rsid w:val="004C74F4"/>
    <w:rsid w:val="004C78C5"/>
    <w:rsid w:val="004D3AC6"/>
    <w:rsid w:val="004D4484"/>
    <w:rsid w:val="004D5B62"/>
    <w:rsid w:val="004D5D5D"/>
    <w:rsid w:val="004D785E"/>
    <w:rsid w:val="004E084D"/>
    <w:rsid w:val="004E2D89"/>
    <w:rsid w:val="004E3446"/>
    <w:rsid w:val="004E4A23"/>
    <w:rsid w:val="004E5E1F"/>
    <w:rsid w:val="004E6B90"/>
    <w:rsid w:val="004F0BEC"/>
    <w:rsid w:val="004F2658"/>
    <w:rsid w:val="004F4AC5"/>
    <w:rsid w:val="004F5686"/>
    <w:rsid w:val="004F67A7"/>
    <w:rsid w:val="005066B5"/>
    <w:rsid w:val="005105CB"/>
    <w:rsid w:val="005117BF"/>
    <w:rsid w:val="00514AC0"/>
    <w:rsid w:val="00515020"/>
    <w:rsid w:val="00523B29"/>
    <w:rsid w:val="00523DF2"/>
    <w:rsid w:val="00524D94"/>
    <w:rsid w:val="00530113"/>
    <w:rsid w:val="00534733"/>
    <w:rsid w:val="00536075"/>
    <w:rsid w:val="0053720B"/>
    <w:rsid w:val="00537C43"/>
    <w:rsid w:val="005443C0"/>
    <w:rsid w:val="005462A1"/>
    <w:rsid w:val="00552D23"/>
    <w:rsid w:val="00554184"/>
    <w:rsid w:val="00554688"/>
    <w:rsid w:val="00554A87"/>
    <w:rsid w:val="00554DD5"/>
    <w:rsid w:val="00555D7F"/>
    <w:rsid w:val="00556410"/>
    <w:rsid w:val="005616DE"/>
    <w:rsid w:val="00561F97"/>
    <w:rsid w:val="00562F4C"/>
    <w:rsid w:val="0056655B"/>
    <w:rsid w:val="00570881"/>
    <w:rsid w:val="00572116"/>
    <w:rsid w:val="005745C6"/>
    <w:rsid w:val="00574F2F"/>
    <w:rsid w:val="00575B63"/>
    <w:rsid w:val="00576EF7"/>
    <w:rsid w:val="005829FE"/>
    <w:rsid w:val="00583320"/>
    <w:rsid w:val="00585A87"/>
    <w:rsid w:val="0058628A"/>
    <w:rsid w:val="00587822"/>
    <w:rsid w:val="005878F6"/>
    <w:rsid w:val="00591549"/>
    <w:rsid w:val="00593EC9"/>
    <w:rsid w:val="00594902"/>
    <w:rsid w:val="00596959"/>
    <w:rsid w:val="005A1932"/>
    <w:rsid w:val="005A1B75"/>
    <w:rsid w:val="005A2B55"/>
    <w:rsid w:val="005A7E87"/>
    <w:rsid w:val="005B0510"/>
    <w:rsid w:val="005B06F3"/>
    <w:rsid w:val="005B09E3"/>
    <w:rsid w:val="005B0F21"/>
    <w:rsid w:val="005B2606"/>
    <w:rsid w:val="005B6674"/>
    <w:rsid w:val="005B670F"/>
    <w:rsid w:val="005C2768"/>
    <w:rsid w:val="005C565B"/>
    <w:rsid w:val="005C5B67"/>
    <w:rsid w:val="005C6245"/>
    <w:rsid w:val="005C76B4"/>
    <w:rsid w:val="005D0557"/>
    <w:rsid w:val="005D05AB"/>
    <w:rsid w:val="005D0CC4"/>
    <w:rsid w:val="005D36CA"/>
    <w:rsid w:val="005D51BA"/>
    <w:rsid w:val="005D5313"/>
    <w:rsid w:val="005D5B40"/>
    <w:rsid w:val="005E0A00"/>
    <w:rsid w:val="005E2BCD"/>
    <w:rsid w:val="005E325F"/>
    <w:rsid w:val="005E4C90"/>
    <w:rsid w:val="005E5050"/>
    <w:rsid w:val="005E661A"/>
    <w:rsid w:val="005F2B83"/>
    <w:rsid w:val="005F39DB"/>
    <w:rsid w:val="005F55BE"/>
    <w:rsid w:val="00600999"/>
    <w:rsid w:val="00602C02"/>
    <w:rsid w:val="0060360F"/>
    <w:rsid w:val="00604DDE"/>
    <w:rsid w:val="00606699"/>
    <w:rsid w:val="006122F2"/>
    <w:rsid w:val="00612A3E"/>
    <w:rsid w:val="00613F3F"/>
    <w:rsid w:val="006140DB"/>
    <w:rsid w:val="00615D71"/>
    <w:rsid w:val="00615F33"/>
    <w:rsid w:val="0062187D"/>
    <w:rsid w:val="00625EE0"/>
    <w:rsid w:val="00625FE6"/>
    <w:rsid w:val="00630580"/>
    <w:rsid w:val="00631C7D"/>
    <w:rsid w:val="006327B2"/>
    <w:rsid w:val="006331C8"/>
    <w:rsid w:val="00637621"/>
    <w:rsid w:val="006406D0"/>
    <w:rsid w:val="006408BF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4E88"/>
    <w:rsid w:val="0067544A"/>
    <w:rsid w:val="00676F63"/>
    <w:rsid w:val="00681D60"/>
    <w:rsid w:val="00682998"/>
    <w:rsid w:val="00683AA3"/>
    <w:rsid w:val="0068477F"/>
    <w:rsid w:val="00694BEE"/>
    <w:rsid w:val="006977C6"/>
    <w:rsid w:val="00697CE4"/>
    <w:rsid w:val="006A1ED7"/>
    <w:rsid w:val="006A2412"/>
    <w:rsid w:val="006A2C9D"/>
    <w:rsid w:val="006A3196"/>
    <w:rsid w:val="006B2C23"/>
    <w:rsid w:val="006B7AA9"/>
    <w:rsid w:val="006C2500"/>
    <w:rsid w:val="006C46A8"/>
    <w:rsid w:val="006C48C7"/>
    <w:rsid w:val="006C6875"/>
    <w:rsid w:val="006C6EB1"/>
    <w:rsid w:val="006C7AE8"/>
    <w:rsid w:val="006E0BCF"/>
    <w:rsid w:val="006E33FC"/>
    <w:rsid w:val="006E3403"/>
    <w:rsid w:val="006E3CA0"/>
    <w:rsid w:val="006E5A90"/>
    <w:rsid w:val="006F1ED4"/>
    <w:rsid w:val="006F53F4"/>
    <w:rsid w:val="006F6B09"/>
    <w:rsid w:val="0070039C"/>
    <w:rsid w:val="00702D44"/>
    <w:rsid w:val="00702EB4"/>
    <w:rsid w:val="007033D9"/>
    <w:rsid w:val="00704AD8"/>
    <w:rsid w:val="00705DFD"/>
    <w:rsid w:val="00705F29"/>
    <w:rsid w:val="007069A8"/>
    <w:rsid w:val="00707943"/>
    <w:rsid w:val="00713AE4"/>
    <w:rsid w:val="00714171"/>
    <w:rsid w:val="007156EF"/>
    <w:rsid w:val="007169AF"/>
    <w:rsid w:val="007206CD"/>
    <w:rsid w:val="00723B40"/>
    <w:rsid w:val="00727C74"/>
    <w:rsid w:val="00727EEF"/>
    <w:rsid w:val="00730172"/>
    <w:rsid w:val="00731536"/>
    <w:rsid w:val="00732AF2"/>
    <w:rsid w:val="0073314B"/>
    <w:rsid w:val="007331F8"/>
    <w:rsid w:val="00733682"/>
    <w:rsid w:val="0073415E"/>
    <w:rsid w:val="00735534"/>
    <w:rsid w:val="00735E52"/>
    <w:rsid w:val="00740EFB"/>
    <w:rsid w:val="007443CA"/>
    <w:rsid w:val="00745B9E"/>
    <w:rsid w:val="007464AB"/>
    <w:rsid w:val="00747591"/>
    <w:rsid w:val="00750F05"/>
    <w:rsid w:val="00753BD3"/>
    <w:rsid w:val="0075481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7DE"/>
    <w:rsid w:val="007869BC"/>
    <w:rsid w:val="00787155"/>
    <w:rsid w:val="00787C77"/>
    <w:rsid w:val="00787E05"/>
    <w:rsid w:val="00790644"/>
    <w:rsid w:val="0079161F"/>
    <w:rsid w:val="00794357"/>
    <w:rsid w:val="00795509"/>
    <w:rsid w:val="00795D13"/>
    <w:rsid w:val="007A264F"/>
    <w:rsid w:val="007A4866"/>
    <w:rsid w:val="007B032D"/>
    <w:rsid w:val="007B0677"/>
    <w:rsid w:val="007B267F"/>
    <w:rsid w:val="007B4E4D"/>
    <w:rsid w:val="007B5C46"/>
    <w:rsid w:val="007B70CA"/>
    <w:rsid w:val="007B79DB"/>
    <w:rsid w:val="007C1A0A"/>
    <w:rsid w:val="007C23B2"/>
    <w:rsid w:val="007C2552"/>
    <w:rsid w:val="007C4C1D"/>
    <w:rsid w:val="007C5399"/>
    <w:rsid w:val="007C58F2"/>
    <w:rsid w:val="007C60C1"/>
    <w:rsid w:val="007C6427"/>
    <w:rsid w:val="007C6D7C"/>
    <w:rsid w:val="007D0222"/>
    <w:rsid w:val="007D02E1"/>
    <w:rsid w:val="007D14B6"/>
    <w:rsid w:val="007D3990"/>
    <w:rsid w:val="007D4781"/>
    <w:rsid w:val="007D5C6F"/>
    <w:rsid w:val="007D6963"/>
    <w:rsid w:val="007D72B0"/>
    <w:rsid w:val="007E2E19"/>
    <w:rsid w:val="007E331D"/>
    <w:rsid w:val="007E3BE2"/>
    <w:rsid w:val="007E6267"/>
    <w:rsid w:val="007E6585"/>
    <w:rsid w:val="007E6930"/>
    <w:rsid w:val="007F0FB9"/>
    <w:rsid w:val="007F1A39"/>
    <w:rsid w:val="007F4F32"/>
    <w:rsid w:val="007F7189"/>
    <w:rsid w:val="007F77F4"/>
    <w:rsid w:val="007F78E8"/>
    <w:rsid w:val="00800665"/>
    <w:rsid w:val="00801A83"/>
    <w:rsid w:val="00806CD3"/>
    <w:rsid w:val="008074BE"/>
    <w:rsid w:val="00811963"/>
    <w:rsid w:val="0081272A"/>
    <w:rsid w:val="00813DF5"/>
    <w:rsid w:val="008148FD"/>
    <w:rsid w:val="008203FC"/>
    <w:rsid w:val="00821ABA"/>
    <w:rsid w:val="0082240E"/>
    <w:rsid w:val="008234DD"/>
    <w:rsid w:val="00823535"/>
    <w:rsid w:val="00825797"/>
    <w:rsid w:val="0082581A"/>
    <w:rsid w:val="008319DF"/>
    <w:rsid w:val="0083349A"/>
    <w:rsid w:val="008334C8"/>
    <w:rsid w:val="00835997"/>
    <w:rsid w:val="00835F4D"/>
    <w:rsid w:val="0084267A"/>
    <w:rsid w:val="008426CA"/>
    <w:rsid w:val="00843E81"/>
    <w:rsid w:val="00845462"/>
    <w:rsid w:val="0084556C"/>
    <w:rsid w:val="008457C1"/>
    <w:rsid w:val="00847517"/>
    <w:rsid w:val="00851937"/>
    <w:rsid w:val="008521AC"/>
    <w:rsid w:val="00855825"/>
    <w:rsid w:val="00855CEB"/>
    <w:rsid w:val="00856ABB"/>
    <w:rsid w:val="008602F3"/>
    <w:rsid w:val="008608E0"/>
    <w:rsid w:val="0086422A"/>
    <w:rsid w:val="00864ABF"/>
    <w:rsid w:val="00866274"/>
    <w:rsid w:val="00866366"/>
    <w:rsid w:val="00867B04"/>
    <w:rsid w:val="0087160D"/>
    <w:rsid w:val="00873AFD"/>
    <w:rsid w:val="00873C36"/>
    <w:rsid w:val="0087409D"/>
    <w:rsid w:val="00875F83"/>
    <w:rsid w:val="00876067"/>
    <w:rsid w:val="00883987"/>
    <w:rsid w:val="008840C0"/>
    <w:rsid w:val="008840E6"/>
    <w:rsid w:val="00884332"/>
    <w:rsid w:val="008901AA"/>
    <w:rsid w:val="00890255"/>
    <w:rsid w:val="0089179C"/>
    <w:rsid w:val="0089259D"/>
    <w:rsid w:val="00895E0F"/>
    <w:rsid w:val="00896575"/>
    <w:rsid w:val="008967F5"/>
    <w:rsid w:val="008972D8"/>
    <w:rsid w:val="008A05D0"/>
    <w:rsid w:val="008A0C1C"/>
    <w:rsid w:val="008A23E5"/>
    <w:rsid w:val="008A6D88"/>
    <w:rsid w:val="008A7D5D"/>
    <w:rsid w:val="008B19BD"/>
    <w:rsid w:val="008B4407"/>
    <w:rsid w:val="008B544A"/>
    <w:rsid w:val="008B6773"/>
    <w:rsid w:val="008B6F9B"/>
    <w:rsid w:val="008B77EB"/>
    <w:rsid w:val="008C15AF"/>
    <w:rsid w:val="008C49BE"/>
    <w:rsid w:val="008C74FA"/>
    <w:rsid w:val="008D11BE"/>
    <w:rsid w:val="008D49F0"/>
    <w:rsid w:val="008D5C30"/>
    <w:rsid w:val="008D7D82"/>
    <w:rsid w:val="008E02B7"/>
    <w:rsid w:val="008E0DC5"/>
    <w:rsid w:val="008E24F7"/>
    <w:rsid w:val="008E280C"/>
    <w:rsid w:val="008E4F1B"/>
    <w:rsid w:val="008E5F82"/>
    <w:rsid w:val="008F0135"/>
    <w:rsid w:val="008F29F9"/>
    <w:rsid w:val="008F2D3D"/>
    <w:rsid w:val="008F4611"/>
    <w:rsid w:val="008F67D5"/>
    <w:rsid w:val="00900C89"/>
    <w:rsid w:val="00900FD7"/>
    <w:rsid w:val="009028D9"/>
    <w:rsid w:val="00903B13"/>
    <w:rsid w:val="00904ACB"/>
    <w:rsid w:val="009051EF"/>
    <w:rsid w:val="00906E3C"/>
    <w:rsid w:val="00910C59"/>
    <w:rsid w:val="00911834"/>
    <w:rsid w:val="00912C72"/>
    <w:rsid w:val="00914204"/>
    <w:rsid w:val="0091479B"/>
    <w:rsid w:val="009173E5"/>
    <w:rsid w:val="00920270"/>
    <w:rsid w:val="009205B6"/>
    <w:rsid w:val="009205FF"/>
    <w:rsid w:val="00922194"/>
    <w:rsid w:val="00923FC3"/>
    <w:rsid w:val="0092487E"/>
    <w:rsid w:val="009263CA"/>
    <w:rsid w:val="00926737"/>
    <w:rsid w:val="009278CB"/>
    <w:rsid w:val="00930078"/>
    <w:rsid w:val="0093392C"/>
    <w:rsid w:val="00935F8E"/>
    <w:rsid w:val="009360E8"/>
    <w:rsid w:val="00937C26"/>
    <w:rsid w:val="00940BCB"/>
    <w:rsid w:val="00941FC7"/>
    <w:rsid w:val="00942E2B"/>
    <w:rsid w:val="0094308D"/>
    <w:rsid w:val="00943E62"/>
    <w:rsid w:val="00943FAE"/>
    <w:rsid w:val="00945D12"/>
    <w:rsid w:val="00952B4D"/>
    <w:rsid w:val="009531A0"/>
    <w:rsid w:val="009533B4"/>
    <w:rsid w:val="00953F37"/>
    <w:rsid w:val="009541DC"/>
    <w:rsid w:val="00955047"/>
    <w:rsid w:val="009551D2"/>
    <w:rsid w:val="00957CB2"/>
    <w:rsid w:val="0096155D"/>
    <w:rsid w:val="00963C14"/>
    <w:rsid w:val="0096678C"/>
    <w:rsid w:val="009675E0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11AA"/>
    <w:rsid w:val="00991487"/>
    <w:rsid w:val="0099223E"/>
    <w:rsid w:val="0099468E"/>
    <w:rsid w:val="00995DD1"/>
    <w:rsid w:val="0099674A"/>
    <w:rsid w:val="00996EE4"/>
    <w:rsid w:val="00997EEE"/>
    <w:rsid w:val="009A03DB"/>
    <w:rsid w:val="009A1B60"/>
    <w:rsid w:val="009A1DDC"/>
    <w:rsid w:val="009A6570"/>
    <w:rsid w:val="009A6B84"/>
    <w:rsid w:val="009A7F76"/>
    <w:rsid w:val="009B2FB5"/>
    <w:rsid w:val="009B33B9"/>
    <w:rsid w:val="009B4B8B"/>
    <w:rsid w:val="009B7ED9"/>
    <w:rsid w:val="009C32D0"/>
    <w:rsid w:val="009C5BA0"/>
    <w:rsid w:val="009D2B93"/>
    <w:rsid w:val="009D460D"/>
    <w:rsid w:val="009E0511"/>
    <w:rsid w:val="009E05CD"/>
    <w:rsid w:val="009E135D"/>
    <w:rsid w:val="009E3FCA"/>
    <w:rsid w:val="009E4F85"/>
    <w:rsid w:val="009E511B"/>
    <w:rsid w:val="009E51C9"/>
    <w:rsid w:val="009F1EFE"/>
    <w:rsid w:val="009F2C37"/>
    <w:rsid w:val="009F2CE4"/>
    <w:rsid w:val="009F42E1"/>
    <w:rsid w:val="009F49EA"/>
    <w:rsid w:val="009F5659"/>
    <w:rsid w:val="009F673B"/>
    <w:rsid w:val="00A01A8F"/>
    <w:rsid w:val="00A02887"/>
    <w:rsid w:val="00A02E57"/>
    <w:rsid w:val="00A03BA7"/>
    <w:rsid w:val="00A057C4"/>
    <w:rsid w:val="00A05A4D"/>
    <w:rsid w:val="00A05AB4"/>
    <w:rsid w:val="00A070D7"/>
    <w:rsid w:val="00A07A6A"/>
    <w:rsid w:val="00A07AF6"/>
    <w:rsid w:val="00A126FC"/>
    <w:rsid w:val="00A12E09"/>
    <w:rsid w:val="00A14C22"/>
    <w:rsid w:val="00A25EB2"/>
    <w:rsid w:val="00A265E3"/>
    <w:rsid w:val="00A26DA5"/>
    <w:rsid w:val="00A27FB7"/>
    <w:rsid w:val="00A30AC2"/>
    <w:rsid w:val="00A33828"/>
    <w:rsid w:val="00A403AD"/>
    <w:rsid w:val="00A40E60"/>
    <w:rsid w:val="00A41B9A"/>
    <w:rsid w:val="00A421A7"/>
    <w:rsid w:val="00A45588"/>
    <w:rsid w:val="00A4607A"/>
    <w:rsid w:val="00A529FA"/>
    <w:rsid w:val="00A52B09"/>
    <w:rsid w:val="00A52E04"/>
    <w:rsid w:val="00A54730"/>
    <w:rsid w:val="00A54BD1"/>
    <w:rsid w:val="00A55994"/>
    <w:rsid w:val="00A56096"/>
    <w:rsid w:val="00A56440"/>
    <w:rsid w:val="00A572A8"/>
    <w:rsid w:val="00A62E0B"/>
    <w:rsid w:val="00A63491"/>
    <w:rsid w:val="00A652CF"/>
    <w:rsid w:val="00A6553E"/>
    <w:rsid w:val="00A6693A"/>
    <w:rsid w:val="00A7029E"/>
    <w:rsid w:val="00A7062A"/>
    <w:rsid w:val="00A7097D"/>
    <w:rsid w:val="00A72488"/>
    <w:rsid w:val="00A7294C"/>
    <w:rsid w:val="00A74B98"/>
    <w:rsid w:val="00A75239"/>
    <w:rsid w:val="00A7623D"/>
    <w:rsid w:val="00A820F1"/>
    <w:rsid w:val="00A90788"/>
    <w:rsid w:val="00A9632B"/>
    <w:rsid w:val="00AA2D84"/>
    <w:rsid w:val="00AA3077"/>
    <w:rsid w:val="00AA36BB"/>
    <w:rsid w:val="00AA6564"/>
    <w:rsid w:val="00AA6FCA"/>
    <w:rsid w:val="00AB2387"/>
    <w:rsid w:val="00AB346C"/>
    <w:rsid w:val="00AB37B5"/>
    <w:rsid w:val="00AB5A78"/>
    <w:rsid w:val="00AC333C"/>
    <w:rsid w:val="00AC65C5"/>
    <w:rsid w:val="00AC7D27"/>
    <w:rsid w:val="00AD035C"/>
    <w:rsid w:val="00AD1EB6"/>
    <w:rsid w:val="00AD2EC9"/>
    <w:rsid w:val="00AD3E6C"/>
    <w:rsid w:val="00AD64A4"/>
    <w:rsid w:val="00AD6B3B"/>
    <w:rsid w:val="00AD78A2"/>
    <w:rsid w:val="00AE018F"/>
    <w:rsid w:val="00AE0B67"/>
    <w:rsid w:val="00AE187B"/>
    <w:rsid w:val="00AE26F5"/>
    <w:rsid w:val="00AE3537"/>
    <w:rsid w:val="00AE3F49"/>
    <w:rsid w:val="00AE7742"/>
    <w:rsid w:val="00AF6E9E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623C"/>
    <w:rsid w:val="00B17054"/>
    <w:rsid w:val="00B201CC"/>
    <w:rsid w:val="00B228B0"/>
    <w:rsid w:val="00B2296C"/>
    <w:rsid w:val="00B24A6D"/>
    <w:rsid w:val="00B26B8D"/>
    <w:rsid w:val="00B26BA9"/>
    <w:rsid w:val="00B302AD"/>
    <w:rsid w:val="00B308C0"/>
    <w:rsid w:val="00B344A6"/>
    <w:rsid w:val="00B35143"/>
    <w:rsid w:val="00B35F7A"/>
    <w:rsid w:val="00B36DD4"/>
    <w:rsid w:val="00B40033"/>
    <w:rsid w:val="00B4147C"/>
    <w:rsid w:val="00B42578"/>
    <w:rsid w:val="00B44A64"/>
    <w:rsid w:val="00B45538"/>
    <w:rsid w:val="00B4577E"/>
    <w:rsid w:val="00B45A77"/>
    <w:rsid w:val="00B461D5"/>
    <w:rsid w:val="00B47ADF"/>
    <w:rsid w:val="00B502FA"/>
    <w:rsid w:val="00B53C2C"/>
    <w:rsid w:val="00B5440A"/>
    <w:rsid w:val="00B6146B"/>
    <w:rsid w:val="00B639E3"/>
    <w:rsid w:val="00B64733"/>
    <w:rsid w:val="00B64CA2"/>
    <w:rsid w:val="00B64DE3"/>
    <w:rsid w:val="00B6717D"/>
    <w:rsid w:val="00B72CB5"/>
    <w:rsid w:val="00B75F3E"/>
    <w:rsid w:val="00B777B1"/>
    <w:rsid w:val="00B820A7"/>
    <w:rsid w:val="00B821A4"/>
    <w:rsid w:val="00B84521"/>
    <w:rsid w:val="00B848E4"/>
    <w:rsid w:val="00B87A2E"/>
    <w:rsid w:val="00B905CA"/>
    <w:rsid w:val="00B91A3E"/>
    <w:rsid w:val="00B91BFA"/>
    <w:rsid w:val="00B91EC7"/>
    <w:rsid w:val="00B961F7"/>
    <w:rsid w:val="00BA0180"/>
    <w:rsid w:val="00BA1457"/>
    <w:rsid w:val="00BA29B9"/>
    <w:rsid w:val="00BA3009"/>
    <w:rsid w:val="00BA3846"/>
    <w:rsid w:val="00BA5602"/>
    <w:rsid w:val="00BA6559"/>
    <w:rsid w:val="00BA7AF7"/>
    <w:rsid w:val="00BA7B80"/>
    <w:rsid w:val="00BB080A"/>
    <w:rsid w:val="00BB37B9"/>
    <w:rsid w:val="00BB3C67"/>
    <w:rsid w:val="00BB3D08"/>
    <w:rsid w:val="00BB66E8"/>
    <w:rsid w:val="00BB7EC3"/>
    <w:rsid w:val="00BC05DD"/>
    <w:rsid w:val="00BC07E0"/>
    <w:rsid w:val="00BC135C"/>
    <w:rsid w:val="00BC1D30"/>
    <w:rsid w:val="00BC3737"/>
    <w:rsid w:val="00BC4EF8"/>
    <w:rsid w:val="00BC5A68"/>
    <w:rsid w:val="00BC7AE6"/>
    <w:rsid w:val="00BD1F89"/>
    <w:rsid w:val="00BE1951"/>
    <w:rsid w:val="00BE2960"/>
    <w:rsid w:val="00BE2EC4"/>
    <w:rsid w:val="00BE4A26"/>
    <w:rsid w:val="00BE4F56"/>
    <w:rsid w:val="00BE5450"/>
    <w:rsid w:val="00BE76AB"/>
    <w:rsid w:val="00BF1A5F"/>
    <w:rsid w:val="00BF4C6D"/>
    <w:rsid w:val="00C00AC4"/>
    <w:rsid w:val="00C00FF3"/>
    <w:rsid w:val="00C01CF5"/>
    <w:rsid w:val="00C021AC"/>
    <w:rsid w:val="00C0443B"/>
    <w:rsid w:val="00C0560F"/>
    <w:rsid w:val="00C073F3"/>
    <w:rsid w:val="00C102F3"/>
    <w:rsid w:val="00C11112"/>
    <w:rsid w:val="00C161F8"/>
    <w:rsid w:val="00C16A4A"/>
    <w:rsid w:val="00C16E8E"/>
    <w:rsid w:val="00C200DD"/>
    <w:rsid w:val="00C23624"/>
    <w:rsid w:val="00C26F58"/>
    <w:rsid w:val="00C34EE6"/>
    <w:rsid w:val="00C373AB"/>
    <w:rsid w:val="00C37980"/>
    <w:rsid w:val="00C40B1F"/>
    <w:rsid w:val="00C4149E"/>
    <w:rsid w:val="00C45D23"/>
    <w:rsid w:val="00C46D98"/>
    <w:rsid w:val="00C47727"/>
    <w:rsid w:val="00C47D39"/>
    <w:rsid w:val="00C50747"/>
    <w:rsid w:val="00C50AE6"/>
    <w:rsid w:val="00C51DE8"/>
    <w:rsid w:val="00C55047"/>
    <w:rsid w:val="00C552B8"/>
    <w:rsid w:val="00C571DF"/>
    <w:rsid w:val="00C57455"/>
    <w:rsid w:val="00C57ED9"/>
    <w:rsid w:val="00C6051B"/>
    <w:rsid w:val="00C61B6B"/>
    <w:rsid w:val="00C62EFC"/>
    <w:rsid w:val="00C6503F"/>
    <w:rsid w:val="00C65B88"/>
    <w:rsid w:val="00C662E9"/>
    <w:rsid w:val="00C67243"/>
    <w:rsid w:val="00C67E4A"/>
    <w:rsid w:val="00C7087B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174B"/>
    <w:rsid w:val="00C96485"/>
    <w:rsid w:val="00C96BBC"/>
    <w:rsid w:val="00CA03C6"/>
    <w:rsid w:val="00CA2306"/>
    <w:rsid w:val="00CA2BE4"/>
    <w:rsid w:val="00CA3640"/>
    <w:rsid w:val="00CA5270"/>
    <w:rsid w:val="00CA5EBC"/>
    <w:rsid w:val="00CA6856"/>
    <w:rsid w:val="00CA69F1"/>
    <w:rsid w:val="00CA7799"/>
    <w:rsid w:val="00CB0125"/>
    <w:rsid w:val="00CB0FC2"/>
    <w:rsid w:val="00CB1845"/>
    <w:rsid w:val="00CB2350"/>
    <w:rsid w:val="00CB30FB"/>
    <w:rsid w:val="00CB501B"/>
    <w:rsid w:val="00CB5F9B"/>
    <w:rsid w:val="00CB6E5F"/>
    <w:rsid w:val="00CB74DA"/>
    <w:rsid w:val="00CC625F"/>
    <w:rsid w:val="00CC7C0D"/>
    <w:rsid w:val="00CD31B6"/>
    <w:rsid w:val="00CD407E"/>
    <w:rsid w:val="00CD41C5"/>
    <w:rsid w:val="00CD50AB"/>
    <w:rsid w:val="00CD7729"/>
    <w:rsid w:val="00CE11E4"/>
    <w:rsid w:val="00CE43C1"/>
    <w:rsid w:val="00CE4E66"/>
    <w:rsid w:val="00CF26CC"/>
    <w:rsid w:val="00CF2D0C"/>
    <w:rsid w:val="00D00C86"/>
    <w:rsid w:val="00D02605"/>
    <w:rsid w:val="00D039D9"/>
    <w:rsid w:val="00D078CC"/>
    <w:rsid w:val="00D110FE"/>
    <w:rsid w:val="00D1130C"/>
    <w:rsid w:val="00D12711"/>
    <w:rsid w:val="00D1662F"/>
    <w:rsid w:val="00D16F24"/>
    <w:rsid w:val="00D171E1"/>
    <w:rsid w:val="00D204B7"/>
    <w:rsid w:val="00D2050E"/>
    <w:rsid w:val="00D21EBF"/>
    <w:rsid w:val="00D32A15"/>
    <w:rsid w:val="00D352B6"/>
    <w:rsid w:val="00D36C3E"/>
    <w:rsid w:val="00D371AD"/>
    <w:rsid w:val="00D42366"/>
    <w:rsid w:val="00D43FD3"/>
    <w:rsid w:val="00D45B02"/>
    <w:rsid w:val="00D473EA"/>
    <w:rsid w:val="00D50B1A"/>
    <w:rsid w:val="00D512DE"/>
    <w:rsid w:val="00D56566"/>
    <w:rsid w:val="00D57367"/>
    <w:rsid w:val="00D61A37"/>
    <w:rsid w:val="00D62E6D"/>
    <w:rsid w:val="00D64782"/>
    <w:rsid w:val="00D647F8"/>
    <w:rsid w:val="00D67278"/>
    <w:rsid w:val="00D67B8D"/>
    <w:rsid w:val="00D74196"/>
    <w:rsid w:val="00D74D8F"/>
    <w:rsid w:val="00D7566D"/>
    <w:rsid w:val="00D75757"/>
    <w:rsid w:val="00D76B00"/>
    <w:rsid w:val="00D76E20"/>
    <w:rsid w:val="00D8125F"/>
    <w:rsid w:val="00D81B40"/>
    <w:rsid w:val="00D83AA4"/>
    <w:rsid w:val="00D86D5E"/>
    <w:rsid w:val="00D90453"/>
    <w:rsid w:val="00D910A1"/>
    <w:rsid w:val="00D91F62"/>
    <w:rsid w:val="00D922B1"/>
    <w:rsid w:val="00D923CC"/>
    <w:rsid w:val="00D96547"/>
    <w:rsid w:val="00DA1523"/>
    <w:rsid w:val="00DA5F08"/>
    <w:rsid w:val="00DA6AEF"/>
    <w:rsid w:val="00DB22A5"/>
    <w:rsid w:val="00DB5D91"/>
    <w:rsid w:val="00DB7370"/>
    <w:rsid w:val="00DC139D"/>
    <w:rsid w:val="00DC2C8A"/>
    <w:rsid w:val="00DC2FF8"/>
    <w:rsid w:val="00DC4666"/>
    <w:rsid w:val="00DC4D2A"/>
    <w:rsid w:val="00DC571F"/>
    <w:rsid w:val="00DC71F3"/>
    <w:rsid w:val="00DD3EE9"/>
    <w:rsid w:val="00DD3F5E"/>
    <w:rsid w:val="00DD55DA"/>
    <w:rsid w:val="00DD5ADB"/>
    <w:rsid w:val="00DE0399"/>
    <w:rsid w:val="00DE271E"/>
    <w:rsid w:val="00DE35A0"/>
    <w:rsid w:val="00DE4D28"/>
    <w:rsid w:val="00DE569D"/>
    <w:rsid w:val="00DE6571"/>
    <w:rsid w:val="00DE7784"/>
    <w:rsid w:val="00DE7992"/>
    <w:rsid w:val="00DF0410"/>
    <w:rsid w:val="00DF2A2A"/>
    <w:rsid w:val="00DF39D8"/>
    <w:rsid w:val="00DF419A"/>
    <w:rsid w:val="00DF48EE"/>
    <w:rsid w:val="00DF70D6"/>
    <w:rsid w:val="00DF7F7A"/>
    <w:rsid w:val="00E00185"/>
    <w:rsid w:val="00E01FDA"/>
    <w:rsid w:val="00E03C5A"/>
    <w:rsid w:val="00E04B7F"/>
    <w:rsid w:val="00E0531A"/>
    <w:rsid w:val="00E066FE"/>
    <w:rsid w:val="00E102E2"/>
    <w:rsid w:val="00E10342"/>
    <w:rsid w:val="00E117F3"/>
    <w:rsid w:val="00E13E5B"/>
    <w:rsid w:val="00E154A0"/>
    <w:rsid w:val="00E15729"/>
    <w:rsid w:val="00E179CF"/>
    <w:rsid w:val="00E202A8"/>
    <w:rsid w:val="00E229C2"/>
    <w:rsid w:val="00E232D1"/>
    <w:rsid w:val="00E2459C"/>
    <w:rsid w:val="00E24C1A"/>
    <w:rsid w:val="00E2523D"/>
    <w:rsid w:val="00E255B3"/>
    <w:rsid w:val="00E26643"/>
    <w:rsid w:val="00E267E0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3A10"/>
    <w:rsid w:val="00E564DA"/>
    <w:rsid w:val="00E574F6"/>
    <w:rsid w:val="00E608F3"/>
    <w:rsid w:val="00E60D6A"/>
    <w:rsid w:val="00E60FEA"/>
    <w:rsid w:val="00E63E82"/>
    <w:rsid w:val="00E65FAA"/>
    <w:rsid w:val="00E665DE"/>
    <w:rsid w:val="00E673A2"/>
    <w:rsid w:val="00E67743"/>
    <w:rsid w:val="00E677BB"/>
    <w:rsid w:val="00E71709"/>
    <w:rsid w:val="00E75460"/>
    <w:rsid w:val="00E7594A"/>
    <w:rsid w:val="00E75C56"/>
    <w:rsid w:val="00E777DA"/>
    <w:rsid w:val="00E7794D"/>
    <w:rsid w:val="00E77BC6"/>
    <w:rsid w:val="00E77DE7"/>
    <w:rsid w:val="00E81929"/>
    <w:rsid w:val="00E83E68"/>
    <w:rsid w:val="00E84A3B"/>
    <w:rsid w:val="00E903F8"/>
    <w:rsid w:val="00E913BA"/>
    <w:rsid w:val="00E93CAB"/>
    <w:rsid w:val="00E94F30"/>
    <w:rsid w:val="00E95B86"/>
    <w:rsid w:val="00E95F76"/>
    <w:rsid w:val="00EA4749"/>
    <w:rsid w:val="00EA56D7"/>
    <w:rsid w:val="00EA7FE0"/>
    <w:rsid w:val="00EB362B"/>
    <w:rsid w:val="00EB56CD"/>
    <w:rsid w:val="00EC22AC"/>
    <w:rsid w:val="00EC2B26"/>
    <w:rsid w:val="00EC5BB8"/>
    <w:rsid w:val="00EC5F29"/>
    <w:rsid w:val="00EC68AC"/>
    <w:rsid w:val="00ED1508"/>
    <w:rsid w:val="00ED324B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3E09"/>
    <w:rsid w:val="00F24E48"/>
    <w:rsid w:val="00F2704F"/>
    <w:rsid w:val="00F2742F"/>
    <w:rsid w:val="00F32E45"/>
    <w:rsid w:val="00F34A3F"/>
    <w:rsid w:val="00F3686B"/>
    <w:rsid w:val="00F36D40"/>
    <w:rsid w:val="00F37DA1"/>
    <w:rsid w:val="00F37E9A"/>
    <w:rsid w:val="00F40E3D"/>
    <w:rsid w:val="00F4275D"/>
    <w:rsid w:val="00F450E2"/>
    <w:rsid w:val="00F459B3"/>
    <w:rsid w:val="00F469C0"/>
    <w:rsid w:val="00F47515"/>
    <w:rsid w:val="00F51365"/>
    <w:rsid w:val="00F54707"/>
    <w:rsid w:val="00F54E57"/>
    <w:rsid w:val="00F57317"/>
    <w:rsid w:val="00F615EE"/>
    <w:rsid w:val="00F625D4"/>
    <w:rsid w:val="00F62B21"/>
    <w:rsid w:val="00F62C19"/>
    <w:rsid w:val="00F6596B"/>
    <w:rsid w:val="00F65E15"/>
    <w:rsid w:val="00F70B94"/>
    <w:rsid w:val="00F7261E"/>
    <w:rsid w:val="00F74E91"/>
    <w:rsid w:val="00F76CC9"/>
    <w:rsid w:val="00F77F91"/>
    <w:rsid w:val="00F80390"/>
    <w:rsid w:val="00F82600"/>
    <w:rsid w:val="00F8262B"/>
    <w:rsid w:val="00F83DB4"/>
    <w:rsid w:val="00F850EB"/>
    <w:rsid w:val="00F90174"/>
    <w:rsid w:val="00F9085A"/>
    <w:rsid w:val="00F91FD6"/>
    <w:rsid w:val="00F92D39"/>
    <w:rsid w:val="00F92EBD"/>
    <w:rsid w:val="00F94A51"/>
    <w:rsid w:val="00F95414"/>
    <w:rsid w:val="00F96614"/>
    <w:rsid w:val="00F97256"/>
    <w:rsid w:val="00FA1BE4"/>
    <w:rsid w:val="00FA5456"/>
    <w:rsid w:val="00FA5B2A"/>
    <w:rsid w:val="00FA68D9"/>
    <w:rsid w:val="00FA6FB3"/>
    <w:rsid w:val="00FA77CC"/>
    <w:rsid w:val="00FB10B3"/>
    <w:rsid w:val="00FB3FD8"/>
    <w:rsid w:val="00FB44DD"/>
    <w:rsid w:val="00FB4EDC"/>
    <w:rsid w:val="00FC2702"/>
    <w:rsid w:val="00FC2A2B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9C5BA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15F33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A44"/>
    <w:rPr>
      <w:snapToGrid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017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9174B"/>
  </w:style>
  <w:style w:type="paragraph" w:customStyle="1" w:styleId="xmsonormal">
    <w:name w:val="x_msonormal"/>
    <w:basedOn w:val="Normal"/>
    <w:rsid w:val="002660A1"/>
    <w:pPr>
      <w:tabs>
        <w:tab w:val="clear" w:pos="567"/>
      </w:tabs>
      <w:snapToGrid/>
    </w:pPr>
    <w:rPr>
      <w:rFonts w:ascii="Calibri" w:eastAsiaTheme="minorEastAsia" w:hAnsi="Calibri" w:cs="Calibri"/>
      <w:snapToGrid/>
      <w:sz w:val="20"/>
      <w:szCs w:val="20"/>
      <w:lang w:val="en-US"/>
    </w:rPr>
  </w:style>
  <w:style w:type="character" w:customStyle="1" w:styleId="ListParagraphChar">
    <w:name w:val="List Paragraph Char"/>
    <w:aliases w:val="List Paragraph (numbered (a)) Char,Lapis Bulleted List Char,Dot pt Char,F5 List Paragraph Char,No Spacing1 Char,List Paragraph Char Char Char Char,Indicator Text Char,Numbered Para 1 Char,Bullet 1 Char,List Paragraph12 Char"/>
    <w:link w:val="ListParagraph"/>
    <w:uiPriority w:val="34"/>
    <w:locked/>
    <w:rsid w:val="005D5B40"/>
    <w:rPr>
      <w:snapToGrid w:val="0"/>
      <w:sz w:val="24"/>
      <w:szCs w:val="24"/>
      <w:lang w:val="en-GB"/>
    </w:rPr>
  </w:style>
  <w:style w:type="paragraph" w:styleId="NormalWeb">
    <w:name w:val="Normal (Web)"/>
    <w:basedOn w:val="Normal"/>
    <w:semiHidden/>
    <w:unhideWhenUsed/>
    <w:rsid w:val="0078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4200" TargetMode="External"/><Relationship Id="rId13" Type="http://schemas.openxmlformats.org/officeDocument/2006/relationships/hyperlink" Target="https://unfccc.int/topics/global-stocktake/about-the-global-stocktake/frequently-asked-questions-about-the-global-stocktake" TargetMode="External"/><Relationship Id="rId18" Type="http://schemas.openxmlformats.org/officeDocument/2006/relationships/hyperlink" Target="https://unesdoc.unesco.org/ark:/48223/pf0000387393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oceandecade.org/ru/vision-203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nesdoc.unesco.org/ark:/48223/pf0000390054.locale=en" TargetMode="External"/><Relationship Id="rId17" Type="http://schemas.openxmlformats.org/officeDocument/2006/relationships/hyperlink" Target="https://unesdoc.unesco.org/ark:/48223/pf0000388765.locale=en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doi.org/10.58337/CBXU3518" TargetMode="External"/><Relationship Id="rId20" Type="http://schemas.openxmlformats.org/officeDocument/2006/relationships/hyperlink" Target="https://unesdoc.unesco.org/ark:/48223/pf0000381488.locale=en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13388" TargetMode="External"/><Relationship Id="rId24" Type="http://schemas.openxmlformats.org/officeDocument/2006/relationships/hyperlink" Target="https://unesdoc.unesco.org/ark:/48223/pf0000260721.locale=e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ashboard.ednaexpeditions.org/" TargetMode="External"/><Relationship Id="rId23" Type="http://schemas.openxmlformats.org/officeDocument/2006/relationships/hyperlink" Target="https://unesdoc.unesco.org/ark:/48223/pf0000390297.locale=en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unesdoc.unesco.org/ark:/48223/pf0000390082.locale=e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1730" TargetMode="External"/><Relationship Id="rId14" Type="http://schemas.openxmlformats.org/officeDocument/2006/relationships/hyperlink" Target="https://oceanexpert.org/document/34454" TargetMode="External"/><Relationship Id="rId22" Type="http://schemas.openxmlformats.org/officeDocument/2006/relationships/hyperlink" Target="https://www.mspglobal2030.org/fr/" TargetMode="External"/><Relationship Id="rId27" Type="http://schemas.openxmlformats.org/officeDocument/2006/relationships/image" Target="media/image4.png"/><Relationship Id="rId3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09C5-C779-4A3F-8C2B-695DABF13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6157</Words>
  <Characters>42494</Characters>
  <Application>Microsoft Office Word</Application>
  <DocSecurity>4</DocSecurity>
  <Lines>354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48554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Исполнительного секретаря о работе, проделанной_x000d_
после 32-й сессии Ассамблеи (июль 2023 г. – май 2025 г.)</dc:title>
  <dc:subject>IOC/A-33/3.2.Doc(1)</dc:subject>
  <dc:creator>UNESCO</dc:creator>
  <cp:keywords>1210.14E</cp:keywords>
  <dc:description/>
  <cp:lastModifiedBy>Boned, Patrice</cp:lastModifiedBy>
  <cp:revision>2</cp:revision>
  <cp:lastPrinted>2025-03-27T11:35:00Z</cp:lastPrinted>
  <dcterms:created xsi:type="dcterms:W3CDTF">2025-05-16T14:53:00Z</dcterms:created>
  <dcterms:modified xsi:type="dcterms:W3CDTF">2025-05-16T14:53:00Z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R</vt:lpwstr>
  </property>
  <property fmtid="{D5CDD505-2E9C-101B-9397-08002B2CF9AE}" pid="5" name="TranslatedWith">
    <vt:lpwstr>Mercury</vt:lpwstr>
  </property>
  <property fmtid="{D5CDD505-2E9C-101B-9397-08002B2CF9AE}" pid="6" name="GeneratedBy">
    <vt:lpwstr>n.bogdanova@unesco.org</vt:lpwstr>
  </property>
  <property fmtid="{D5CDD505-2E9C-101B-9397-08002B2CF9AE}" pid="7" name="GeneratedDate">
    <vt:lpwstr>05/14/2025 13:12:04</vt:lpwstr>
  </property>
  <property fmtid="{D5CDD505-2E9C-101B-9397-08002B2CF9AE}" pid="8" name="OriginalDocID">
    <vt:lpwstr>f07eb8e0-abc4-4b27-b087-03c0ca55f51e</vt:lpwstr>
  </property>
  <property fmtid="{D5CDD505-2E9C-101B-9397-08002B2CF9AE}" pid="9" name="JobNumber">
    <vt:lpwstr>2500306R</vt:lpwstr>
  </property>
  <property fmtid="{D5CDD505-2E9C-101B-9397-08002B2CF9AE}" pid="10" name="ForceJobNumber">
    <vt:bool>true</vt:bool>
  </property>
</Properties>
</file>