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B83068" w:rsidRPr="00884391" w14:paraId="7086E8C2" w14:textId="77777777"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1C0DA39" w14:textId="77777777" w:rsidR="00467E3F" w:rsidRPr="003A6744" w:rsidRDefault="00B83068" w:rsidP="00853565">
            <w:pPr>
              <w:pStyle w:val="Marge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  <w:lang w:val="ru"/>
              </w:rPr>
              <w:t>Резюме</w:t>
            </w:r>
          </w:p>
          <w:p w14:paraId="6E80ACDF" w14:textId="7C8FF429" w:rsidR="001E295D" w:rsidRPr="00884391" w:rsidRDefault="001E295D" w:rsidP="001E295D">
            <w:pPr>
              <w:pStyle w:val="Marge"/>
              <w:spacing w:after="120"/>
              <w:rPr>
                <w:rFonts w:cs="Arial"/>
                <w:szCs w:val="22"/>
                <w:lang w:val="ru"/>
              </w:rPr>
            </w:pPr>
            <w:r>
              <w:rPr>
                <w:rFonts w:cs="Arial"/>
                <w:szCs w:val="22"/>
                <w:lang w:val="ru"/>
              </w:rPr>
              <w:t xml:space="preserve">В соответствии с решением A-32/Dec.4.7, принятым на своей 32-й сессии, Ассамблея МОК приняла к сведению тематику и методы разработки общей стратегии МОК по устойчивому океаническому планированию и управлению на 2024-2030 гг., содержащиеся в документе </w:t>
            </w:r>
            <w:hyperlink r:id="rId8" w:history="1">
              <w:r>
                <w:rPr>
                  <w:rStyle w:val="Hyperlink"/>
                  <w:rFonts w:cs="Arial"/>
                  <w:szCs w:val="22"/>
                  <w:lang w:val="ru"/>
                </w:rPr>
                <w:t>IOC/A-32/4.7.Doc(1)</w:t>
              </w:r>
            </w:hyperlink>
            <w:r>
              <w:rPr>
                <w:rFonts w:cs="Arial"/>
                <w:szCs w:val="22"/>
                <w:lang w:val="ru"/>
              </w:rPr>
              <w:t xml:space="preserve">. Проект стратегии был представлен государствам-членам на 57-й сессии Исполнительного совета МОК в документе </w:t>
            </w:r>
            <w:hyperlink r:id="rId9" w:history="1">
              <w:r>
                <w:rPr>
                  <w:rStyle w:val="Hyperlink"/>
                  <w:rFonts w:cs="Arial"/>
                  <w:szCs w:val="22"/>
                  <w:lang w:val="ru"/>
                </w:rPr>
                <w:t>IOC/EC-57/4.3.Doc(1).Rev</w:t>
              </w:r>
            </w:hyperlink>
            <w:r>
              <w:rPr>
                <w:rFonts w:cs="Arial"/>
                <w:szCs w:val="22"/>
                <w:lang w:val="ru"/>
              </w:rPr>
              <w:t xml:space="preserve">, в основе которого лежат обобщенные материалы документа </w:t>
            </w:r>
            <w:hyperlink r:id="rId10" w:history="1">
              <w:r>
                <w:rPr>
                  <w:rStyle w:val="Hyperlink"/>
                  <w:rFonts w:cs="Arial"/>
                  <w:szCs w:val="22"/>
                  <w:lang w:val="ru"/>
                </w:rPr>
                <w:t>IOC/INF-1537</w:t>
              </w:r>
            </w:hyperlink>
            <w:r>
              <w:rPr>
                <w:rFonts w:cs="Arial"/>
                <w:szCs w:val="22"/>
                <w:lang w:val="ru"/>
              </w:rPr>
              <w:t xml:space="preserve"> и добавления к нему, а также двух консультаций в режиме онлайн, состоявшихся в мае 2024 года. </w:t>
            </w:r>
          </w:p>
          <w:p w14:paraId="5974E3FE" w14:textId="64FBFF91" w:rsidR="001E295D" w:rsidRPr="00884391" w:rsidRDefault="001E295D" w:rsidP="00294AD5">
            <w:pPr>
              <w:pStyle w:val="Marge"/>
              <w:spacing w:after="120"/>
              <w:rPr>
                <w:rFonts w:cs="Arial"/>
                <w:i/>
                <w:szCs w:val="22"/>
                <w:lang w:val="ru"/>
              </w:rPr>
            </w:pPr>
            <w:r>
              <w:rPr>
                <w:rFonts w:cs="Arial"/>
                <w:szCs w:val="22"/>
                <w:lang w:val="ru"/>
              </w:rPr>
              <w:t>Документ содержит окончательный проект Стратегии МОК по устойчивому океаническому планированию и управлению и плана ее реализации. В его основе лежат результаты, достигнутые Рабочей группой по устойчивому океаническому планированию и управлению, учрежденной решением EC-57/4.3, которая провела два совещания в режиме онлайн в феврале и апреле 2025 года и 2-дневное очное совещание в марте 2025 года. Доклад Рабочей группы изложен в документе IOC/INF-1541.</w:t>
            </w:r>
          </w:p>
          <w:p w14:paraId="745B6036" w14:textId="58C9FE42" w:rsidR="00737A18" w:rsidRPr="00884391" w:rsidRDefault="00413F17" w:rsidP="00003B31">
            <w:pPr>
              <w:pStyle w:val="Marge"/>
              <w:spacing w:after="120"/>
              <w:rPr>
                <w:rFonts w:cs="Arial"/>
                <w:szCs w:val="22"/>
                <w:lang w:val="ru"/>
              </w:rPr>
            </w:pPr>
            <w:r>
              <w:rPr>
                <w:szCs w:val="22"/>
                <w:u w:val="single"/>
                <w:lang w:val="ru"/>
              </w:rPr>
              <w:t>Предлагаемое решение</w:t>
            </w:r>
            <w:r>
              <w:rPr>
                <w:szCs w:val="22"/>
                <w:lang w:val="ru"/>
              </w:rPr>
              <w:t xml:space="preserve"> представлено в документе о принятых и предлагаемых мерах (документ IOC/A-33/2 Prov.) под номером A-33/</w:t>
            </w:r>
            <w:r>
              <w:rPr>
                <w:lang w:val="ru"/>
              </w:rPr>
              <w:t>Dec.4.1</w:t>
            </w:r>
            <w:r>
              <w:rPr>
                <w:szCs w:val="22"/>
                <w:lang w:val="ru"/>
              </w:rPr>
              <w:t>. Оно содержит Круг ведения предлагаемой Рабочей группы МОК по устойчивому океаническому планированию и управлению на период 2025–2030 гг.</w:t>
            </w:r>
          </w:p>
        </w:tc>
      </w:tr>
    </w:tbl>
    <w:p w14:paraId="029C3EF6" w14:textId="77777777" w:rsidR="00746B89" w:rsidRPr="00884391" w:rsidRDefault="00746B89" w:rsidP="005C7A36">
      <w:pPr>
        <w:pStyle w:val="Heading3"/>
        <w:rPr>
          <w:lang w:val="ru"/>
        </w:rPr>
        <w:sectPr w:rsidR="00746B89" w:rsidRPr="00884391" w:rsidSect="003F718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418" w:right="1134" w:bottom="1134" w:left="1134" w:header="709" w:footer="680" w:gutter="0"/>
          <w:pgNumType w:start="1"/>
          <w:cols w:space="708"/>
          <w:titlePg/>
          <w:docGrid w:linePitch="360"/>
        </w:sectPr>
      </w:pPr>
    </w:p>
    <w:p w14:paraId="7D9A09D1" w14:textId="25B7D98D" w:rsidR="001E295D" w:rsidRPr="003A6744" w:rsidRDefault="001E295D" w:rsidP="00DB1DF3">
      <w:pPr>
        <w:shd w:val="clear" w:color="auto" w:fill="EEECE1" w:themeFill="background2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  <w:lang w:val="ru"/>
        </w:rPr>
        <w:lastRenderedPageBreak/>
        <w:t>Часть I</w:t>
      </w:r>
      <w:r>
        <w:rPr>
          <w:rFonts w:cs="Arial"/>
          <w:b/>
          <w:bCs/>
          <w:szCs w:val="22"/>
          <w:lang w:val="ru"/>
        </w:rPr>
        <w:tab/>
        <w:t>Введение</w:t>
      </w:r>
    </w:p>
    <w:p w14:paraId="197786DF" w14:textId="77777777" w:rsidR="001E295D" w:rsidRPr="003A6744" w:rsidRDefault="001E295D" w:rsidP="001E295D">
      <w:pPr>
        <w:pStyle w:val="ListParagraph"/>
        <w:jc w:val="both"/>
        <w:rPr>
          <w:rFonts w:ascii="Arial" w:hAnsi="Arial" w:cs="Arial"/>
          <w:b/>
          <w:bCs/>
          <w:sz w:val="22"/>
          <w:szCs w:val="22"/>
        </w:rPr>
      </w:pPr>
    </w:p>
    <w:p w14:paraId="197DDABA" w14:textId="6D26CB05" w:rsidR="001E295D" w:rsidRPr="003A6744" w:rsidRDefault="001E295D" w:rsidP="001E295D">
      <w:pPr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  <w:lang w:val="ru"/>
        </w:rPr>
        <w:t>Контекст</w:t>
      </w:r>
    </w:p>
    <w:p w14:paraId="0C3CD083" w14:textId="77777777" w:rsidR="001E295D" w:rsidRPr="003A6744" w:rsidRDefault="001E295D" w:rsidP="001E295D">
      <w:pPr>
        <w:jc w:val="both"/>
        <w:rPr>
          <w:rFonts w:cs="Arial"/>
          <w:szCs w:val="22"/>
        </w:rPr>
      </w:pPr>
    </w:p>
    <w:p w14:paraId="1417FB3F" w14:textId="77777777" w:rsidR="001E295D" w:rsidRPr="00884391" w:rsidRDefault="001E295D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Океан</w:t>
      </w:r>
      <w:r>
        <w:rPr>
          <w:rFonts w:ascii="Arial" w:hAnsi="Arial" w:cs="Arial"/>
          <w:sz w:val="22"/>
          <w:szCs w:val="22"/>
          <w:lang w:val="ru"/>
        </w:rPr>
        <w:t xml:space="preserve"> сталкивается со значительным </w:t>
      </w:r>
      <w:r>
        <w:rPr>
          <w:rFonts w:ascii="Arial" w:hAnsi="Arial" w:cs="Arial"/>
          <w:b/>
          <w:bCs/>
          <w:sz w:val="22"/>
          <w:szCs w:val="22"/>
          <w:lang w:val="ru"/>
        </w:rPr>
        <w:t>давлением, которое растет с беспрецедентной быстротой.</w:t>
      </w:r>
      <w:r>
        <w:rPr>
          <w:rFonts w:ascii="Arial" w:hAnsi="Arial" w:cs="Arial"/>
          <w:sz w:val="22"/>
          <w:szCs w:val="22"/>
          <w:lang w:val="ru"/>
        </w:rPr>
        <w:t xml:space="preserve"> Фрагментация и разрушение среды обитания, нерациональное использование ресурсов и загрязнение морской среды, особенно пластиковыми отходами, достигают вызывающих тревогу уровней, а изменение климата усугубляет угрозы, поскольку потепление, закисление и дезоксигенация океана дестабилизируют морские экосистемы. Эти явления влекут за собой значительные изменения и приводят к утрате морского биоразнообразия, ставят под угрозу рыболовство, поддерживающее миллиарды людей во всем мире, и угрожают критически важным прибрежным экосистемам. </w:t>
      </w:r>
    </w:p>
    <w:p w14:paraId="7ECE63DB" w14:textId="256CE859" w:rsidR="001E295D" w:rsidRPr="00884391" w:rsidRDefault="001E295D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 xml:space="preserve">Одновременно с этим </w:t>
      </w:r>
      <w:r>
        <w:rPr>
          <w:rFonts w:ascii="Arial" w:hAnsi="Arial" w:cs="Arial"/>
          <w:b/>
          <w:bCs/>
          <w:sz w:val="22"/>
          <w:szCs w:val="22"/>
          <w:lang w:val="ru"/>
        </w:rPr>
        <w:t>экономика океана переживает значительный подъем</w:t>
      </w:r>
      <w:r>
        <w:rPr>
          <w:rFonts w:ascii="Arial" w:hAnsi="Arial" w:cs="Arial"/>
          <w:sz w:val="22"/>
          <w:szCs w:val="22"/>
          <w:lang w:val="ru"/>
        </w:rPr>
        <w:t>, опережающий рост глобальной экономики. Этот подъем обусловлен развитием ключевых секторов, например туризма и морских перевозок, наряду с новыми отраслями, такими как морские биотехнологии, аквакультура и возобновляемая энергия. Прогнозируется, что к 2030 году вклад отраслей, связанных с океаном, в мировую экономику составит более 3 триллионов долларов США в год, при этом занятость в этих секторах будет расти быстрее, чем в среднем по миру. По оценкам, во всем мире насчитывается от 370 до 500 миллионов коренных народов,</w:t>
      </w:r>
      <w:r>
        <w:rPr>
          <w:rStyle w:val="FootnoteReference"/>
          <w:rFonts w:ascii="Arial" w:hAnsi="Arial" w:cs="Arial"/>
          <w:sz w:val="22"/>
          <w:szCs w:val="22"/>
          <w:lang w:val="ru"/>
        </w:rPr>
        <w:footnoteReference w:id="1"/>
      </w:r>
      <w:r>
        <w:rPr>
          <w:rFonts w:ascii="Arial" w:hAnsi="Arial" w:cs="Arial"/>
          <w:sz w:val="22"/>
          <w:szCs w:val="22"/>
          <w:lang w:val="ru"/>
        </w:rPr>
        <w:t xml:space="preserve"> многие из которых особенно уязвимы к последствиям ухудшения состояния океана и изменения климата Для многих людей океан имеет социальное, духовное, культурное и экономическое значение, и связь с ним, а также необходимость защищать и заботиться о нем для будущих поколений ощущаются глубоко. </w:t>
      </w:r>
    </w:p>
    <w:p w14:paraId="119C0DC0" w14:textId="1CDC6CBC" w:rsidR="001E295D" w:rsidRPr="00884391" w:rsidRDefault="001E295D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Международные соглашения, регулирующие глобальную деятельность в интересах устойчивого</w:t>
      </w:r>
      <w:r>
        <w:rPr>
          <w:rFonts w:ascii="Arial" w:hAnsi="Arial" w:cs="Arial"/>
          <w:sz w:val="22"/>
          <w:szCs w:val="22"/>
          <w:lang w:val="ru"/>
        </w:rPr>
        <w:t xml:space="preserve"> развития и сохранения окружающей среды, все чаще опираются на данные и знания. В рамках Повестки дня в области устойчивого развития на период до 2030 г. ЦУР 14 устанавливает 10 задач по сохранению и устойчивому использованию океана. Куньминско-Монреальская глобальная рамочная программа в области биоразнообразия ставит 4 цели к 2050 году и 23 глобальных цели к 2030 году, включая обязательство сохранить не менее 30 %наземных и внутренних водных районов, а также морских и прибрежных районов к 2030 году. Целью Соглашения на основе Конвенции Организации Объединенных Наций (ООН)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 (Соглашение БПНЮ) является укрепление управления океаном в районах за пределами национальной юрисдикции. Достижение главной цели Парижского соглашения, заключающейся в продолжении усилий по ограничению повышения температуры до 1,5°C выше доиндустриального уровня, имеет не менее важное значение для будущего здоровья океана и океанических услуг. Все эти обязательства призывают к более активному сбору и использованию данных и знаний об океане для принятия решений на всех уровнях. </w:t>
      </w:r>
    </w:p>
    <w:p w14:paraId="5BAC1EB8" w14:textId="094054E1" w:rsidR="001E295D" w:rsidRPr="00884391" w:rsidRDefault="001E295D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 xml:space="preserve">Тройной планетарный кризис, включающий в себя изменение климата, загрязнение и утрату биоразнообразия, в сочетании с растущей экономической значимостью океана и необходимостью включения международных обязательств в национальное планирование подчеркивают важнейшую роль, которую должно играть скоординированное океаническое планирование и управление. </w:t>
      </w:r>
      <w:r>
        <w:rPr>
          <w:rFonts w:ascii="Arial" w:hAnsi="Arial" w:cs="Arial"/>
          <w:b/>
          <w:bCs/>
          <w:sz w:val="22"/>
          <w:szCs w:val="22"/>
          <w:lang w:val="ru"/>
        </w:rPr>
        <w:t>Глобальный импульс и практика формируют доказательный общесоциальный и общегосударственный подход к океаническому планированию и управлению.</w:t>
      </w:r>
      <w:r>
        <w:rPr>
          <w:rFonts w:ascii="Arial" w:hAnsi="Arial" w:cs="Arial"/>
          <w:sz w:val="22"/>
          <w:szCs w:val="22"/>
          <w:lang w:val="ru"/>
        </w:rPr>
        <w:t xml:space="preserve"> Такой подход обеспечит долгосрочное здоровье и продуктивность морской среды и климата, одновременно способствуя устойчивому экономическому росту и общественному благосостоянию, а также будет учитывать вопросы равенства, социальной справедливости и нужд маргинализированных сообществ. </w:t>
      </w:r>
    </w:p>
    <w:p w14:paraId="54E5B5D5" w14:textId="4E60AA35" w:rsidR="001E295D" w:rsidRPr="003A6744" w:rsidRDefault="001E295D" w:rsidP="001E295D">
      <w:pPr>
        <w:jc w:val="both"/>
        <w:rPr>
          <w:rFonts w:cs="Arial"/>
          <w:b/>
          <w:szCs w:val="22"/>
        </w:rPr>
      </w:pPr>
      <w:r>
        <w:rPr>
          <w:rFonts w:cs="Arial"/>
          <w:b/>
          <w:bCs/>
          <w:szCs w:val="22"/>
          <w:lang w:val="ru"/>
        </w:rPr>
        <w:lastRenderedPageBreak/>
        <w:t>Устойчивое океаническое планирование и управление</w:t>
      </w:r>
    </w:p>
    <w:p w14:paraId="0B7D9894" w14:textId="77777777" w:rsidR="001E295D" w:rsidRPr="003A6744" w:rsidRDefault="001E295D" w:rsidP="001E295D">
      <w:pPr>
        <w:jc w:val="both"/>
        <w:rPr>
          <w:rFonts w:cs="Arial"/>
          <w:szCs w:val="22"/>
        </w:rPr>
      </w:pPr>
    </w:p>
    <w:p w14:paraId="6C532454" w14:textId="23E23BE0" w:rsidR="001E295D" w:rsidRPr="00884391" w:rsidRDefault="001E295D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color w:val="000000" w:themeColor="text1"/>
          <w:sz w:val="22"/>
          <w:szCs w:val="22"/>
          <w:lang w:val="ru"/>
        </w:rPr>
        <w:t xml:space="preserve">Устойчивое океаническое планирование и управление (УОПУ) представляет собой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ru"/>
        </w:rPr>
        <w:t>всеобъемлющую, стратегическую и ориентированную на будущее структуру</w:t>
      </w:r>
      <w:r>
        <w:rPr>
          <w:rFonts w:ascii="Arial" w:hAnsi="Arial" w:cs="Arial"/>
          <w:color w:val="000000" w:themeColor="text1"/>
          <w:sz w:val="22"/>
          <w:szCs w:val="22"/>
          <w:lang w:val="ru"/>
        </w:rPr>
        <w:t xml:space="preserve">, призванную направлять процесс принятия решений в отношении устойчивого использования </w:t>
      </w:r>
      <w:r>
        <w:rPr>
          <w:rFonts w:ascii="Arial" w:hAnsi="Arial" w:cs="Arial"/>
          <w:color w:val="262626" w:themeColor="text1" w:themeTint="D9"/>
          <w:sz w:val="22"/>
          <w:szCs w:val="22"/>
          <w:lang w:val="ru"/>
        </w:rPr>
        <w:t xml:space="preserve">океана и сохранения всех океанических ресурсов страны. Путем объединения экосистемных и экономических обоснований, общественных выгод и </w:t>
      </w:r>
      <w:r>
        <w:rPr>
          <w:rFonts w:ascii="Arial" w:hAnsi="Arial" w:cs="Arial"/>
          <w:sz w:val="22"/>
          <w:szCs w:val="22"/>
          <w:lang w:val="ru"/>
        </w:rPr>
        <w:t>устойчивости</w:t>
      </w:r>
      <w:r>
        <w:rPr>
          <w:rFonts w:ascii="Arial" w:hAnsi="Arial" w:cs="Arial"/>
          <w:color w:val="262626" w:themeColor="text1" w:themeTint="D9"/>
          <w:sz w:val="22"/>
          <w:szCs w:val="22"/>
          <w:lang w:val="ru"/>
        </w:rPr>
        <w:t xml:space="preserve"> к изменению климата, УОПУ стремится к сохранению здоровья морских экосистем, а также предоставляемых ими природных услуг в долгосрочной перспективе, одновременно оптимизируя устойчивый экономический рост на всех уровнях (от местного до глобального). Кроме того, этот процесс нацелен на внедрение стратегий адаптивного управления для решения проблем, связанных с последствиями изменения климата и изменчивостью окружающей среды. </w:t>
      </w:r>
    </w:p>
    <w:p w14:paraId="08AD5C60" w14:textId="19D6438A" w:rsidR="001E295D" w:rsidRPr="00884391" w:rsidRDefault="001E295D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color w:val="262626" w:themeColor="text1" w:themeTint="D9"/>
          <w:sz w:val="22"/>
          <w:szCs w:val="22"/>
          <w:lang w:val="ru"/>
        </w:rPr>
        <w:t xml:space="preserve">Океан – это комплексная, взаимосвязанная и динамическая система, на которую одновременно влияют многочисленные факторы, включая изменяющиеся общественные приоритеты. УОПУ усиливает </w:t>
      </w:r>
      <w:r>
        <w:rPr>
          <w:rFonts w:ascii="Arial" w:hAnsi="Arial" w:cs="Arial"/>
          <w:b/>
          <w:bCs/>
          <w:color w:val="262626" w:themeColor="text1" w:themeTint="D9"/>
          <w:sz w:val="22"/>
          <w:szCs w:val="22"/>
          <w:lang w:val="ru"/>
        </w:rPr>
        <w:t xml:space="preserve">существующие </w:t>
      </w:r>
      <w:r>
        <w:rPr>
          <w:rFonts w:ascii="Arial" w:hAnsi="Arial" w:cs="Arial"/>
          <w:color w:val="262626" w:themeColor="text1" w:themeTint="D9"/>
          <w:sz w:val="22"/>
          <w:szCs w:val="22"/>
          <w:lang w:val="ru"/>
        </w:rPr>
        <w:t>структуры</w:t>
      </w:r>
      <w:r>
        <w:rPr>
          <w:rFonts w:ascii="Arial" w:hAnsi="Arial" w:cs="Arial"/>
          <w:b/>
          <w:bCs/>
          <w:color w:val="262626" w:themeColor="text1" w:themeTint="D9"/>
          <w:sz w:val="22"/>
          <w:szCs w:val="22"/>
          <w:lang w:val="ru"/>
        </w:rPr>
        <w:t xml:space="preserve"> управления океаном</w:t>
      </w:r>
      <w:r>
        <w:rPr>
          <w:rFonts w:ascii="Arial" w:hAnsi="Arial" w:cs="Arial"/>
          <w:color w:val="262626" w:themeColor="text1" w:themeTint="D9"/>
          <w:sz w:val="22"/>
          <w:szCs w:val="22"/>
          <w:lang w:val="ru"/>
        </w:rPr>
        <w:t>, которые обычно направлены на один конкретный компонент управления этой сложной системой. Например, морское пространственное планирование (МПП)</w:t>
      </w:r>
      <w:r>
        <w:rPr>
          <w:rStyle w:val="FootnoteReference"/>
          <w:rFonts w:ascii="Arial" w:hAnsi="Arial" w:cs="Arial"/>
          <w:color w:val="262626" w:themeColor="text1" w:themeTint="D9"/>
          <w:sz w:val="22"/>
          <w:szCs w:val="22"/>
          <w:lang w:val="ru"/>
        </w:rPr>
        <w:footnoteReference w:id="2"/>
      </w:r>
      <w:r>
        <w:rPr>
          <w:rFonts w:ascii="Arial" w:hAnsi="Arial" w:cs="Arial"/>
          <w:color w:val="262626" w:themeColor="text1" w:themeTint="D9"/>
          <w:sz w:val="22"/>
          <w:szCs w:val="22"/>
          <w:lang w:val="ru"/>
        </w:rPr>
        <w:t xml:space="preserve"> преимущественно сконцентрировано на организации деятельности человека во времени и пространстве и минимизации конфликтов с упором на сохранение экосистем. Целью комплексного управления прибрежными зонами (КУПЗ) обычно является решение сложных проблем, связанных с управлением в </w:t>
      </w:r>
      <w:r>
        <w:rPr>
          <w:rFonts w:ascii="Arial" w:hAnsi="Arial" w:cs="Arial"/>
          <w:sz w:val="22"/>
          <w:szCs w:val="22"/>
          <w:lang w:val="ru"/>
        </w:rPr>
        <w:t>прибрежной</w:t>
      </w:r>
      <w:r>
        <w:rPr>
          <w:rFonts w:ascii="Arial" w:hAnsi="Arial" w:cs="Arial"/>
          <w:color w:val="262626" w:themeColor="text1" w:themeTint="D9"/>
          <w:sz w:val="22"/>
          <w:szCs w:val="22"/>
          <w:lang w:val="ru"/>
        </w:rPr>
        <w:t xml:space="preserve"> зоне на комплексной основе, а структуры управления рыболовством и туризмом сосредоточены на своих соответствующих секторах. Хотя многие усилия уже увенчались успехом (и данная стратегия МОК-УОПУ будет строиться на прочном фундаменте МПП и КУПЗ), такой </w:t>
      </w:r>
      <w:r>
        <w:rPr>
          <w:rFonts w:ascii="Arial" w:hAnsi="Arial" w:cs="Arial"/>
          <w:b/>
          <w:bCs/>
          <w:color w:val="262626" w:themeColor="text1" w:themeTint="D9"/>
          <w:sz w:val="22"/>
          <w:szCs w:val="22"/>
          <w:lang w:val="ru"/>
        </w:rPr>
        <w:t>фрагментарный</w:t>
      </w:r>
      <w:r>
        <w:rPr>
          <w:rFonts w:ascii="Arial" w:hAnsi="Arial" w:cs="Arial"/>
          <w:color w:val="262626" w:themeColor="text1" w:themeTint="D9"/>
          <w:sz w:val="22"/>
          <w:szCs w:val="22"/>
          <w:lang w:val="ru"/>
        </w:rPr>
        <w:t xml:space="preserve"> подход к управлению океаном</w:t>
      </w:r>
      <w:r>
        <w:rPr>
          <w:rStyle w:val="FootnoteReference"/>
          <w:rFonts w:ascii="Arial" w:hAnsi="Arial" w:cs="Arial"/>
          <w:color w:val="262626" w:themeColor="text1" w:themeTint="D9"/>
          <w:sz w:val="22"/>
          <w:szCs w:val="22"/>
          <w:lang w:val="ru"/>
        </w:rPr>
        <w:footnoteReference w:id="3"/>
      </w:r>
      <w:r>
        <w:rPr>
          <w:rFonts w:ascii="Arial" w:hAnsi="Arial" w:cs="Arial"/>
          <w:color w:val="262626" w:themeColor="text1" w:themeTint="D9"/>
          <w:sz w:val="22"/>
          <w:szCs w:val="22"/>
          <w:lang w:val="ru"/>
        </w:rPr>
        <w:t xml:space="preserve"> до сих пор не смог обеспечить здоровье океана, необходимое для решения текущих экологических проблем. Кроме того, экономический и социальный потенциал океана, как правило, выгоден лишь немногим, при этом мало кто задумывается о его пользе для общества в целом, в том числе в развивающихся странах, где справедливое распределение выгод имеет решающее значение.</w:t>
      </w:r>
    </w:p>
    <w:p w14:paraId="6B105EED" w14:textId="2F0067AD" w:rsidR="001E295D" w:rsidRPr="00884391" w:rsidRDefault="001E295D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="Arial" w:hAnsi="Arial" w:cs="Arial"/>
          <w:color w:val="262626"/>
          <w:sz w:val="22"/>
          <w:szCs w:val="22"/>
          <w:lang w:val="ru"/>
        </w:rPr>
      </w:pPr>
      <w:r>
        <w:rPr>
          <w:rFonts w:ascii="Arial" w:hAnsi="Arial" w:cs="Arial"/>
          <w:color w:val="262626"/>
          <w:sz w:val="22"/>
          <w:szCs w:val="22"/>
          <w:lang w:val="ru"/>
        </w:rPr>
        <w:t xml:space="preserve">Ожидается, что УОПУ исправит такое положение вещей, выступая в качестве </w:t>
      </w:r>
      <w:r>
        <w:rPr>
          <w:rFonts w:ascii="Arial" w:hAnsi="Arial" w:cs="Arial"/>
          <w:b/>
          <w:bCs/>
          <w:color w:val="262626"/>
          <w:sz w:val="22"/>
          <w:szCs w:val="22"/>
          <w:lang w:val="ru"/>
        </w:rPr>
        <w:t>объединяющего «зонтика» для управления в сфере океана на всех уровнях</w:t>
      </w:r>
      <w:r>
        <w:rPr>
          <w:rFonts w:ascii="Arial" w:hAnsi="Arial" w:cs="Arial"/>
          <w:color w:val="262626"/>
          <w:sz w:val="22"/>
          <w:szCs w:val="22"/>
          <w:lang w:val="ru"/>
        </w:rPr>
        <w:t xml:space="preserve"> (от национальных вод до его использования для заключения многосторонних соглашений), тем самым объединяя существующие и будущие </w:t>
      </w:r>
      <w:r>
        <w:rPr>
          <w:rFonts w:ascii="Arial" w:hAnsi="Arial" w:cs="Arial"/>
          <w:b/>
          <w:bCs/>
          <w:color w:val="262626"/>
          <w:sz w:val="22"/>
          <w:szCs w:val="22"/>
          <w:lang w:val="ru"/>
        </w:rPr>
        <w:t>структуры управления</w:t>
      </w:r>
      <w:r>
        <w:rPr>
          <w:rFonts w:ascii="Arial" w:hAnsi="Arial" w:cs="Arial"/>
          <w:color w:val="262626"/>
          <w:sz w:val="22"/>
          <w:szCs w:val="22"/>
          <w:lang w:val="ru"/>
        </w:rPr>
        <w:t xml:space="preserve"> (такие как морские пространственные планы, планы управления морскими охраняемыми районами, комплексные планы управления прибрежными зонами и водосборами, отраслевые планы, например, в области туризма, возобновляемых источников энергии или управления рыболовством), </w:t>
      </w:r>
      <w:r>
        <w:rPr>
          <w:rFonts w:ascii="Arial" w:hAnsi="Arial" w:cs="Arial"/>
          <w:b/>
          <w:bCs/>
          <w:color w:val="262626"/>
          <w:sz w:val="22"/>
          <w:szCs w:val="22"/>
          <w:lang w:val="ru"/>
        </w:rPr>
        <w:t>процессы</w:t>
      </w:r>
      <w:r>
        <w:rPr>
          <w:rFonts w:ascii="Arial" w:hAnsi="Arial" w:cs="Arial"/>
          <w:color w:val="262626"/>
          <w:sz w:val="22"/>
          <w:szCs w:val="22"/>
          <w:lang w:val="ru"/>
        </w:rPr>
        <w:t xml:space="preserve"> (стратегическое видение, </w:t>
      </w:r>
      <w:r>
        <w:rPr>
          <w:rFonts w:ascii="Arial" w:hAnsi="Arial" w:cs="Arial"/>
          <w:sz w:val="22"/>
          <w:szCs w:val="22"/>
          <w:lang w:val="ru"/>
        </w:rPr>
        <w:t>мониторинг</w:t>
      </w:r>
      <w:r>
        <w:rPr>
          <w:rFonts w:ascii="Arial" w:hAnsi="Arial" w:cs="Arial"/>
          <w:color w:val="262626"/>
          <w:sz w:val="22"/>
          <w:szCs w:val="22"/>
          <w:lang w:val="ru"/>
        </w:rPr>
        <w:t xml:space="preserve"> и постановка целей, участие заинтересованных сторон и консультации, оценка, устойчивое финансирование), </w:t>
      </w:r>
      <w:r>
        <w:rPr>
          <w:rFonts w:ascii="Arial" w:hAnsi="Arial" w:cs="Arial"/>
          <w:b/>
          <w:bCs/>
          <w:color w:val="262626"/>
          <w:sz w:val="22"/>
          <w:szCs w:val="22"/>
          <w:lang w:val="ru"/>
        </w:rPr>
        <w:t>политики</w:t>
      </w:r>
      <w:r>
        <w:rPr>
          <w:rFonts w:ascii="Arial" w:hAnsi="Arial" w:cs="Arial"/>
          <w:color w:val="262626"/>
          <w:sz w:val="22"/>
          <w:szCs w:val="22"/>
          <w:lang w:val="ru"/>
        </w:rPr>
        <w:t xml:space="preserve"> (такие ​​как развитие национальной «голубой» экономики или политик в отношении климата), перевод </w:t>
      </w:r>
      <w:r>
        <w:rPr>
          <w:rFonts w:ascii="Arial" w:hAnsi="Arial" w:cs="Arial"/>
          <w:sz w:val="22"/>
          <w:szCs w:val="22"/>
          <w:lang w:val="ru"/>
        </w:rPr>
        <w:t xml:space="preserve">обязательств, принятых в рамках </w:t>
      </w:r>
      <w:r>
        <w:rPr>
          <w:rFonts w:ascii="Arial" w:hAnsi="Arial" w:cs="Arial"/>
          <w:b/>
          <w:bCs/>
          <w:sz w:val="22"/>
          <w:szCs w:val="22"/>
          <w:lang w:val="ru"/>
        </w:rPr>
        <w:t>международных соглашений</w:t>
      </w:r>
      <w:r>
        <w:rPr>
          <w:rFonts w:ascii="Arial" w:hAnsi="Arial" w:cs="Arial"/>
          <w:color w:val="262626"/>
          <w:sz w:val="22"/>
          <w:szCs w:val="22"/>
          <w:lang w:val="ru"/>
        </w:rPr>
        <w:t xml:space="preserve">, а также </w:t>
      </w:r>
      <w:r>
        <w:rPr>
          <w:rFonts w:ascii="Arial" w:hAnsi="Arial" w:cs="Arial"/>
          <w:b/>
          <w:bCs/>
          <w:color w:val="262626"/>
          <w:sz w:val="22"/>
          <w:szCs w:val="22"/>
          <w:lang w:val="ru"/>
        </w:rPr>
        <w:t>знания коренного и местного населения</w:t>
      </w:r>
      <w:r>
        <w:rPr>
          <w:rFonts w:ascii="Arial" w:hAnsi="Arial" w:cs="Arial"/>
          <w:color w:val="262626"/>
          <w:sz w:val="22"/>
          <w:szCs w:val="22"/>
          <w:lang w:val="ru"/>
        </w:rPr>
        <w:t xml:space="preserve"> и подходы к управлению на уровне общин, где это возможно, в комплексное и единое целое. УОПУ может включать учет океанических ресурсов для сбора согласованной и сопоставимой информации в социальной, экономической и экологической областях, для лучшего понимания распределения океанических услуг среди прибрежных сообществ с целью достижения большей справедливости и инклюзивности.</w:t>
      </w:r>
    </w:p>
    <w:p w14:paraId="71AAD61A" w14:textId="2C127D6F" w:rsidR="001E295D" w:rsidRPr="00884391" w:rsidRDefault="001E295D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b/>
          <w:bCs/>
          <w:color w:val="262626" w:themeColor="text1" w:themeTint="D9"/>
          <w:sz w:val="22"/>
          <w:szCs w:val="22"/>
          <w:lang w:val="ru"/>
        </w:rPr>
        <w:lastRenderedPageBreak/>
        <w:t xml:space="preserve">Общесоциальный и общегосударственный подход УОПУ позволяет </w:t>
      </w:r>
      <w:r>
        <w:rPr>
          <w:rFonts w:ascii="Arial" w:hAnsi="Arial" w:cs="Arial"/>
          <w:color w:val="262626" w:themeColor="text1" w:themeTint="D9"/>
          <w:sz w:val="22"/>
          <w:szCs w:val="22"/>
          <w:lang w:val="ru"/>
        </w:rPr>
        <w:t xml:space="preserve">интегрировать эти различные компоненты, </w:t>
      </w:r>
      <w:r>
        <w:rPr>
          <w:rFonts w:ascii="Arial" w:hAnsi="Arial" w:cs="Arial"/>
          <w:b/>
          <w:bCs/>
          <w:color w:val="262626" w:themeColor="text1" w:themeTint="D9"/>
          <w:sz w:val="22"/>
          <w:szCs w:val="22"/>
          <w:lang w:val="ru"/>
        </w:rPr>
        <w:t>превращая сохранение и использование океана в неотъемлемую часть управления ресурсами страны</w:t>
      </w:r>
      <w:r>
        <w:rPr>
          <w:rFonts w:ascii="Arial" w:hAnsi="Arial" w:cs="Arial"/>
          <w:color w:val="262626" w:themeColor="text1" w:themeTint="D9"/>
          <w:sz w:val="22"/>
          <w:szCs w:val="22"/>
          <w:lang w:val="ru"/>
        </w:rPr>
        <w:t xml:space="preserve">, связанную с отраслями, административными границами, юрисдикциями и взаимодействием суша-море, а также соответствующую международным соглашениям. Объединяя все аспекты </w:t>
      </w:r>
      <w:r>
        <w:rPr>
          <w:rFonts w:ascii="Arial" w:hAnsi="Arial" w:cs="Arial"/>
          <w:sz w:val="22"/>
          <w:szCs w:val="22"/>
          <w:lang w:val="ru"/>
        </w:rPr>
        <w:t>океана</w:t>
      </w:r>
      <w:r>
        <w:rPr>
          <w:rFonts w:ascii="Arial" w:hAnsi="Arial" w:cs="Arial"/>
          <w:color w:val="262626" w:themeColor="text1" w:themeTint="D9"/>
          <w:sz w:val="22"/>
          <w:szCs w:val="22"/>
          <w:lang w:val="ru"/>
        </w:rPr>
        <w:t xml:space="preserve"> и управления им, УОПУ позволяет решать проблемы и использовать возможности, тем самым расширяя потенциал стран в отношении обеспечения </w:t>
      </w:r>
      <w:r>
        <w:rPr>
          <w:rFonts w:ascii="Arial" w:hAnsi="Arial" w:cs="Arial"/>
          <w:sz w:val="22"/>
          <w:szCs w:val="22"/>
          <w:lang w:val="ru"/>
        </w:rPr>
        <w:t xml:space="preserve">защищенного океана с устойчивым воспроизводством, способствующего процветанию природы и людей. </w:t>
      </w:r>
    </w:p>
    <w:p w14:paraId="7B726888" w14:textId="0E9A96F4" w:rsidR="001E295D" w:rsidRPr="00884391" w:rsidRDefault="001E295D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 xml:space="preserve">УОПУ наиболее эффективно, когда оно </w:t>
      </w:r>
      <w:r>
        <w:rPr>
          <w:rFonts w:ascii="Arial" w:hAnsi="Arial" w:cs="Arial"/>
          <w:b/>
          <w:bCs/>
          <w:sz w:val="22"/>
          <w:szCs w:val="22"/>
          <w:lang w:val="ru"/>
        </w:rPr>
        <w:t>основано на надежных научных знаниях и знаниях коренного и местного населения</w:t>
      </w:r>
      <w:r>
        <w:rPr>
          <w:rFonts w:ascii="Arial" w:hAnsi="Arial" w:cs="Arial"/>
          <w:sz w:val="22"/>
          <w:szCs w:val="22"/>
          <w:lang w:val="ru"/>
        </w:rPr>
        <w:t xml:space="preserve"> о потребностях в сохранении и будущей динамике базовой экосистемы. Следовательно, может потребоваться трансграничное сотрудничество между странами и с Организацией Объединенных Наций как на этапе планирования, так и на этапе осуществления. Также необходимо понимать связи между национальными процессами УОПУ и вопросами управления океаном в водосборах, реках, на суше и в районах за пределами национальной юрисдикции. УОПУ нуждается в институционализации, одобрении, финансировании и обеспечении возможностей для его эффективной реализации, а также подкреплении сильной политической волей и приверженностью. Лучше всего</w:t>
      </w:r>
      <w:r>
        <w:rPr>
          <w:rFonts w:ascii="Arial" w:hAnsi="Arial" w:cs="Arial"/>
          <w:color w:val="262626" w:themeColor="text1" w:themeTint="D9"/>
          <w:sz w:val="22"/>
          <w:szCs w:val="22"/>
          <w:lang w:val="ru"/>
        </w:rPr>
        <w:t xml:space="preserve"> разрабатывать его как непрерывный и циклический процесс, который обновляется и совершенствуется посредством мониторинга эффективности, оценки и результатов новых исследований, позволяя адаптироваться к изменяющимся контекстам.</w:t>
      </w:r>
    </w:p>
    <w:p w14:paraId="5F6560F9" w14:textId="3D96233A" w:rsidR="001E295D" w:rsidRPr="003A6744" w:rsidRDefault="000F373F" w:rsidP="001E295D">
      <w:pPr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  <w:lang w:val="ru"/>
        </w:rPr>
        <w:t xml:space="preserve">Целевая аудитория </w:t>
      </w:r>
    </w:p>
    <w:p w14:paraId="4F46208D" w14:textId="77777777" w:rsidR="001E295D" w:rsidRPr="003A6744" w:rsidRDefault="001E295D" w:rsidP="001E295D">
      <w:pPr>
        <w:jc w:val="both"/>
        <w:rPr>
          <w:rFonts w:cs="Arial"/>
          <w:b/>
          <w:szCs w:val="22"/>
        </w:rPr>
      </w:pPr>
    </w:p>
    <w:p w14:paraId="505B90DF" w14:textId="04871460" w:rsidR="001E295D" w:rsidRPr="00884391" w:rsidRDefault="001E295D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 xml:space="preserve">Главной целевой аудиторией Стратегии МОК-УОПУ являются </w:t>
      </w:r>
      <w:r>
        <w:rPr>
          <w:rFonts w:ascii="Arial" w:hAnsi="Arial" w:cs="Arial"/>
          <w:b/>
          <w:bCs/>
          <w:sz w:val="22"/>
          <w:szCs w:val="22"/>
          <w:lang w:val="ru"/>
        </w:rPr>
        <w:t>лица, принимающие решения, и специалисты, ответственные за планирование и управление океаническими территориями</w:t>
      </w:r>
      <w:r>
        <w:rPr>
          <w:rFonts w:ascii="Arial" w:hAnsi="Arial" w:cs="Arial"/>
          <w:sz w:val="22"/>
          <w:szCs w:val="22"/>
          <w:lang w:val="ru"/>
        </w:rPr>
        <w:t xml:space="preserve"> и их ресурсами, в государствах-членах МОК. Устойчивое планирование и управление океаническими территориями требует всестороннего понимания физической, химической, биологической и геологической систем океана. Важно использовать междисциплинарный подход, включающий естественные и общественные науки, знания коренного и местного населения, а также знания, полученные от конечных пользователей, способствуя, таким образом, принятию решений с учетом деятельности человека, экономических факторов и потребностей общества, а также уважительно относиться к знаниям коренного и местного населения. Помимо понимания текущей ситуации, лица, принимающие решения, должны быть способны предсказывать и прогнозировать изменения как в окружающей среде, так и в промышленности и обществе. Объединение этих многочисленных уровней информации позволит им предвосхитить будущие проблемы и возможности, так чтобы решения, принимаемые сегодня, способствовали устойчивому развитию океана через 10, 20 или даже 50 лет. </w:t>
      </w:r>
    </w:p>
    <w:p w14:paraId="7AC3DB4E" w14:textId="77777777" w:rsidR="001E295D" w:rsidRPr="00884391" w:rsidRDefault="001E295D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>Большинство лиц, принимающих решения, и специалистов, ответственных за планирование и управление океаническими территориями и их ресурсами, имеют научную или техническую подготовку по одной или нескольким дисциплинам. Поэтому проведение необходимого обзора является сложной задачей. Преобразование комплексной науки, данных и знаний по дисциплинам в практические идеи</w:t>
      </w:r>
      <w:r>
        <w:rPr>
          <w:rFonts w:ascii="Arial" w:hAnsi="Arial" w:cs="Arial"/>
          <w:color w:val="212121"/>
          <w:sz w:val="22"/>
          <w:szCs w:val="22"/>
          <w:lang w:val="ru"/>
        </w:rPr>
        <w:t xml:space="preserve">, </w:t>
      </w:r>
      <w:r>
        <w:rPr>
          <w:rFonts w:ascii="Arial" w:hAnsi="Arial" w:cs="Arial"/>
          <w:sz w:val="22"/>
          <w:szCs w:val="22"/>
          <w:lang w:val="ru"/>
        </w:rPr>
        <w:t>с</w:t>
      </w:r>
      <w:r>
        <w:rPr>
          <w:rFonts w:ascii="Arial" w:hAnsi="Arial" w:cs="Arial"/>
          <w:color w:val="212121"/>
          <w:sz w:val="22"/>
          <w:szCs w:val="22"/>
          <w:lang w:val="ru"/>
        </w:rPr>
        <w:t>одействие получению данных, создание устойчивых информационных продуктов</w:t>
      </w:r>
      <w:r>
        <w:rPr>
          <w:lang w:val="ru"/>
        </w:rPr>
        <w:t xml:space="preserve"> </w:t>
      </w:r>
      <w:r>
        <w:rPr>
          <w:rFonts w:ascii="Arial" w:hAnsi="Arial" w:cs="Arial"/>
          <w:color w:val="212121"/>
          <w:sz w:val="22"/>
          <w:szCs w:val="22"/>
          <w:lang w:val="ru"/>
        </w:rPr>
        <w:t xml:space="preserve"> и укрепление потенциала способны помочь в решении этой задачи. Этого можно достичь путем использования технологий с открытым исходным кодом и платформ для сотрудничества в целях обмена знаниями и развития потенциала.</w:t>
      </w:r>
    </w:p>
    <w:p w14:paraId="7B0EEC93" w14:textId="69994B39" w:rsidR="001E295D" w:rsidRPr="00884391" w:rsidRDefault="001E295D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>Стратегия МОК-УОПУ также может быть полезна широкому кругу лиц.</w:t>
      </w:r>
      <w:r>
        <w:rPr>
          <w:rFonts w:ascii="Arial" w:hAnsi="Arial" w:cs="Arial"/>
          <w:b/>
          <w:bCs/>
          <w:sz w:val="22"/>
          <w:szCs w:val="22"/>
          <w:lang w:val="ru"/>
        </w:rPr>
        <w:t xml:space="preserve"> Научные учреждения, НПО, академические круги и иные заинтересованные стороны</w:t>
      </w:r>
      <w:r>
        <w:rPr>
          <w:rFonts w:ascii="Arial" w:hAnsi="Arial" w:cs="Arial"/>
          <w:sz w:val="22"/>
          <w:szCs w:val="22"/>
          <w:lang w:val="ru"/>
        </w:rPr>
        <w:t xml:space="preserve"> на региональном, национальном и многостороннем уровнях, работающие над устойчивым развитием океана, извлекут значительную пользу из Стратегии МОК-УОПУ, направленной на согласование знаний об океане с потребностями в планировании и управлении. Научные учреждения смогут использовать эту стратегию для определения приоритетов в </w:t>
      </w:r>
      <w:r>
        <w:rPr>
          <w:rFonts w:ascii="Arial" w:hAnsi="Arial" w:cs="Arial"/>
          <w:sz w:val="22"/>
          <w:szCs w:val="22"/>
          <w:lang w:val="ru"/>
        </w:rPr>
        <w:lastRenderedPageBreak/>
        <w:t>исследованиях, напрямую поддерживающих процессы разработки политики и принятия решений; НПО смогут применить ее идеи для продвижения научно-обоснованных стратегий, а академические круги смогут использовать ее при подготовке следующего поколения специалистов-океанографов с междисциплинарным опытом. Это всего лишь несколько примеров, поскольку широкомасштабный обмен простыми и понятными знаниями о здоровье океана способен принести пользу всем слоям общества.</w:t>
      </w:r>
    </w:p>
    <w:p w14:paraId="6DF9F82C" w14:textId="562482CC" w:rsidR="001E295D" w:rsidRPr="00884391" w:rsidRDefault="001E295D" w:rsidP="001E295D">
      <w:pPr>
        <w:jc w:val="both"/>
        <w:rPr>
          <w:rFonts w:cs="Arial"/>
          <w:b/>
          <w:szCs w:val="22"/>
          <w:lang w:val="ru"/>
        </w:rPr>
      </w:pPr>
      <w:r>
        <w:rPr>
          <w:rFonts w:cs="Arial"/>
          <w:b/>
          <w:bCs/>
          <w:szCs w:val="22"/>
          <w:lang w:val="ru"/>
        </w:rPr>
        <w:t>Роль Межправительственной океанографической комиссии (МОК)</w:t>
      </w:r>
    </w:p>
    <w:p w14:paraId="29B2B4FC" w14:textId="77777777" w:rsidR="001E295D" w:rsidRPr="00884391" w:rsidRDefault="001E295D" w:rsidP="001E295D">
      <w:pPr>
        <w:jc w:val="both"/>
        <w:rPr>
          <w:rFonts w:cs="Arial"/>
          <w:b/>
          <w:szCs w:val="22"/>
          <w:lang w:val="ru"/>
        </w:rPr>
      </w:pPr>
    </w:p>
    <w:p w14:paraId="47D5EAE8" w14:textId="34EE143B" w:rsidR="001E295D" w:rsidRPr="00884391" w:rsidRDefault="001E295D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Основополагающий мандат и наследие МОК:</w:t>
      </w:r>
      <w:r>
        <w:rPr>
          <w:rFonts w:ascii="Arial" w:hAnsi="Arial" w:cs="Arial"/>
          <w:sz w:val="22"/>
          <w:szCs w:val="22"/>
          <w:lang w:val="ru"/>
        </w:rPr>
        <w:t xml:space="preserve"> Благодаря своему двойному предназначению – способствовать международному сотрудничеству в области океанических исследований и развития потенциала, а также применению этих знаний для совершенствования управления и принятия решений – МОК занимает уникальную позицию, позволяющую ей помогать государствам в разработке УОПУ, основанного на знаниях и науке. Будучи доверенным учреждением ООН в области океанографии и развития потенциала, МОК обладает более чем 60-летним опытом в сфере координации данных, обучения и технического руководства посредством своих программ, сетей экспертов и региональных подкомиссий. Многие из ее инициатив уже воплощают ключевые принципы УОПУ, формируя прочную основу для МОК в целях укрепления ее позиции координатора международных усилий в этом направлении и, таким образом, создавая дополнительную ценность для ее государств-членов. </w:t>
      </w:r>
    </w:p>
    <w:p w14:paraId="793AA367" w14:textId="1FF39BB8" w:rsidR="001E295D" w:rsidRPr="00884391" w:rsidRDefault="001E295D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Координация океанографических данных и готовность прибрежных районов к рискам:</w:t>
      </w:r>
      <w:r>
        <w:rPr>
          <w:rFonts w:ascii="Arial" w:hAnsi="Arial" w:cs="Arial"/>
          <w:sz w:val="22"/>
          <w:szCs w:val="22"/>
          <w:lang w:val="ru"/>
        </w:rPr>
        <w:t xml:space="preserve"> МОК создает авторитетные знания о состоянии океана и возникающих проблемах, в частности, фокусируясь на многочисленных стрессовых факторах, являющихся критически важными для управления на основе экосистемного подхода. Посредством Системы раннего предупреждения о цунами и работы по обеспечению готовности сообществ МОК помогает государствам-членам улучшить региональную координацию, обучение и управление рисками, способствуя внедрению научно-обоснованной готовности в национальное океаническое планирование и управление, особенно на границе суши и моря. Благодаря своей Глобальной системе наблюдений за океаном (ГСНО), Системе океанографических данных и информации (ОДИС) и Системе информации о морском биологическом разнообразии (ОБИС) МОК играет ключевую роль в координации и сопоставлении океанографических данных и информации, обеспечивая странам доступ к актуальной, исторической и прогностической информации о состоянии океана, биоразнообразии и социально-экологических системах. Однако несмотря на огромный массив океанографических данных, слишком малая их часть используется для разработки политики и процесса принятия решений. Именно здесь у МОК есть нереализованный потенциал: устранить разрыв между наукой и деятельностью. Ожидается, что Стратегия МОК-УОПУ расширит возможности государств-членов ориентироваться в сложных реалиях устойчивого управления океаном, помогая принимать обоснованные решения.</w:t>
      </w:r>
    </w:p>
    <w:p w14:paraId="4200C2C5" w14:textId="64714ED6" w:rsidR="001E295D" w:rsidRPr="00884391" w:rsidRDefault="001E295D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 xml:space="preserve">Развитие потенциала и обучение в сфере океанического планирования и управления: </w:t>
      </w:r>
      <w:r>
        <w:rPr>
          <w:rFonts w:ascii="Arial" w:hAnsi="Arial" w:cs="Arial"/>
          <w:sz w:val="22"/>
          <w:szCs w:val="22"/>
          <w:lang w:val="ru"/>
        </w:rPr>
        <w:t xml:space="preserve">МОК оказывает странам поддержку в наращивании технического опыта, необходимого для эффективного управления океаном. Под ее руководством МПП помогло и/или оказало содействие более чем 126 государствам-членам и территориям в разработке пространственных планов благодаря таким успешным инициативам, как MSPGlobal. Облегчая доступ к обучению, развитию потенциала и обмену передовым опытом, особенно в развивающихся странах, МОК усиливает способность лиц, принимающих решения, реализовывать стратегии устойчивого и инклюзивного развития океана, включая коренные народы и местные общины в соответствующих случаях. Существующие глобальные и региональные сети практикующих специалистов предлагают эффективные пути развития потенциала в области УОПУ во всех океанических бассейнах. Программы подготовки и молодежные инициативы МОК, такие как Глобальная академия «Океан-инструктор» (ГАОИ) и сеть начинающих специалистов-океанографов (НСО), помогают обучать следующие поколения лидеров в области океана и предоставляют существующие механизмы, </w:t>
      </w:r>
      <w:r>
        <w:rPr>
          <w:rFonts w:ascii="Arial" w:hAnsi="Arial" w:cs="Arial"/>
          <w:sz w:val="22"/>
          <w:szCs w:val="22"/>
          <w:lang w:val="ru"/>
        </w:rPr>
        <w:lastRenderedPageBreak/>
        <w:t>посредством которых МОК может оказать государствам-членам поддержку в развитии потенциала в сфере УОПУ.</w:t>
      </w:r>
    </w:p>
    <w:p w14:paraId="628A26AB" w14:textId="3A692260" w:rsidR="001E295D" w:rsidRPr="00884391" w:rsidRDefault="001E295D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Адаптируемость к региональному контексту:</w:t>
      </w:r>
      <w:r>
        <w:rPr>
          <w:rFonts w:ascii="Arial" w:hAnsi="Arial" w:cs="Arial"/>
          <w:sz w:val="22"/>
          <w:szCs w:val="22"/>
          <w:lang w:val="ru"/>
        </w:rPr>
        <w:t xml:space="preserve"> Признавая, что государства-члены сталкиваются с различными социально-экономическими и экологическими проблемами и исходят из разных базовых условий, МОК имеет все возможности для поддержки усилий в области УОПУ в соответствии с региональной и национальной ситуацией. Посредством своей сети региональных подкомиссий (МОКАРИБ в Карибском бассейне, МОКАФРИКА в Африке, ВЕСТПАК в западной части Тихого океана и ИОСИНДИО в центральной части Индийского океана) МОК может делиться своим опытом на местном уровне и облегчать внутрирегиональное и межрегиональное взаимодействие, а также способствовать сотрудничеству Юг-Юг и обмену знаний между развивающимися странами, сталкивающимися с похожими проблемами в области управления океаном. Это позволяет государствам-членам МОК выявлять и удовлетворять потребности и возможности на местном и региональном уровне, соблюдая при этом международные обязательства по устойчивому управлению океаном.</w:t>
      </w:r>
    </w:p>
    <w:p w14:paraId="6761FA9C" w14:textId="2B8DCB9C" w:rsidR="001E295D" w:rsidRPr="00884391" w:rsidRDefault="001E295D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 xml:space="preserve">Глобальные партнерства: </w:t>
      </w:r>
      <w:r>
        <w:rPr>
          <w:rFonts w:ascii="Arial" w:hAnsi="Arial" w:cs="Arial"/>
          <w:sz w:val="22"/>
          <w:szCs w:val="22"/>
          <w:lang w:val="ru"/>
        </w:rPr>
        <w:t>Стратегия МОК-УОПУ призвана служить руководящей основой для укрепления существующих и создания новых партнерских отношений с ключевыми участниками на всех уровнях в целях улучшения доступа к данным, экспертным знаниям и инновациям, устранения разрыва между наукой и политикой и обеспечения равноправного доступа развивающихся стран к технологиям и возможностям развития потенциала. Партнерские связи могут охватывать учреждения, входящие или не входящие в систему ООН, правительственные и неправительственные организации, включая ведущих партнеров в области УОПУ, таких как, например, Группа высокого уровня по устойчивой экономике океана.</w:t>
      </w:r>
      <w:r>
        <w:rPr>
          <w:rStyle w:val="FootnoteReference"/>
          <w:rFonts w:ascii="Arial" w:hAnsi="Arial" w:cs="Arial"/>
          <w:sz w:val="22"/>
          <w:szCs w:val="22"/>
          <w:lang w:val="ru"/>
        </w:rPr>
        <w:footnoteReference w:id="4"/>
      </w:r>
      <w:r>
        <w:rPr>
          <w:rFonts w:ascii="Arial" w:hAnsi="Arial" w:cs="Arial"/>
          <w:sz w:val="22"/>
          <w:szCs w:val="22"/>
          <w:lang w:val="ru"/>
        </w:rPr>
        <w:t xml:space="preserve"> Как ведущее учреждение Десятилетия ООН, посвященного науке об океане в интересах устойчивого развития (2021–2030 гг.) (Десятилетие ООН, посвященное науке об океане), МОК способствует глобальному сотрудничеству в области науки и знаний об океане для повышения устойчивости океана. Специальная Программа устойчивого океанического планирования (УОП) была разработана в партнерстве с несколькими международными организациями и запущена на Барселонской конференции по Десятилетию ООН, посвященному науке об океане, в 2024 году. Реализация Стратегии МОК-УОПУ является ключевым элементом вклада МОК в Программу УОП Десятилетия ООН, посвященного науке об океане. В то же время МОК может использовать это партнерство как средство для доступа к сообществам УОПУ и их активизации в целях реализации Стратегии МОК-УОПУ. </w:t>
      </w:r>
    </w:p>
    <w:p w14:paraId="3A5ED521" w14:textId="77777777" w:rsidR="00E37EB9" w:rsidRPr="00884391" w:rsidRDefault="00E37EB9" w:rsidP="00E37EB9">
      <w:pPr>
        <w:tabs>
          <w:tab w:val="left" w:pos="910"/>
        </w:tabs>
        <w:spacing w:after="240"/>
        <w:jc w:val="both"/>
        <w:rPr>
          <w:rFonts w:cs="Arial"/>
          <w:szCs w:val="22"/>
          <w:lang w:val="ru"/>
        </w:rPr>
      </w:pPr>
    </w:p>
    <w:p w14:paraId="5C097733" w14:textId="79F094D6" w:rsidR="001E295D" w:rsidRPr="00884391" w:rsidRDefault="001E295D" w:rsidP="00E37EB9">
      <w:pPr>
        <w:shd w:val="clear" w:color="auto" w:fill="EEECE1" w:themeFill="background2"/>
        <w:jc w:val="center"/>
        <w:rPr>
          <w:rFonts w:cs="Arial"/>
          <w:b/>
          <w:bCs/>
          <w:szCs w:val="22"/>
          <w:lang w:val="ru"/>
        </w:rPr>
      </w:pPr>
      <w:r>
        <w:rPr>
          <w:rFonts w:cs="Arial"/>
          <w:b/>
          <w:bCs/>
          <w:szCs w:val="22"/>
          <w:lang w:val="ru"/>
        </w:rPr>
        <w:t>Часть II</w:t>
      </w:r>
      <w:r>
        <w:rPr>
          <w:rFonts w:cs="Arial"/>
          <w:b/>
          <w:bCs/>
          <w:szCs w:val="22"/>
          <w:lang w:val="ru"/>
        </w:rPr>
        <w:tab/>
        <w:t>Стратегия</w:t>
      </w:r>
    </w:p>
    <w:p w14:paraId="722EBE02" w14:textId="77777777" w:rsidR="001E295D" w:rsidRPr="00884391" w:rsidRDefault="001E295D" w:rsidP="001E295D">
      <w:pPr>
        <w:jc w:val="both"/>
        <w:rPr>
          <w:rFonts w:cs="Arial"/>
          <w:b/>
          <w:szCs w:val="22"/>
          <w:lang w:val="ru"/>
        </w:rPr>
      </w:pPr>
    </w:p>
    <w:p w14:paraId="063C54CE" w14:textId="7F79C8F8" w:rsidR="001E295D" w:rsidRPr="00884391" w:rsidRDefault="001E295D" w:rsidP="001E295D">
      <w:pPr>
        <w:jc w:val="both"/>
        <w:rPr>
          <w:rFonts w:cs="Arial"/>
          <w:b/>
          <w:szCs w:val="22"/>
          <w:lang w:val="ru"/>
        </w:rPr>
      </w:pPr>
      <w:r>
        <w:rPr>
          <w:rFonts w:cs="Arial"/>
          <w:b/>
          <w:bCs/>
          <w:szCs w:val="22"/>
          <w:lang w:val="ru"/>
        </w:rPr>
        <w:t xml:space="preserve">Концепция и задача </w:t>
      </w:r>
    </w:p>
    <w:p w14:paraId="538E22E6" w14:textId="77777777" w:rsidR="001E295D" w:rsidRPr="00884391" w:rsidRDefault="001E295D" w:rsidP="001E295D">
      <w:pPr>
        <w:jc w:val="both"/>
        <w:rPr>
          <w:rFonts w:cs="Arial"/>
          <w:color w:val="000000"/>
          <w:szCs w:val="22"/>
          <w:lang w:val="ru"/>
        </w:rPr>
      </w:pPr>
    </w:p>
    <w:p w14:paraId="0EDDB703" w14:textId="77777777" w:rsidR="001E295D" w:rsidRPr="003A6744" w:rsidRDefault="001E295D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val="ru"/>
        </w:rPr>
        <w:t xml:space="preserve">Концепция Стратегии МОК-УОПУ, призванной оказать помощь </w:t>
      </w:r>
      <w:r>
        <w:rPr>
          <w:rFonts w:ascii="Arial" w:hAnsi="Arial" w:cs="Arial"/>
          <w:sz w:val="22"/>
          <w:szCs w:val="22"/>
          <w:lang w:val="ru"/>
        </w:rPr>
        <w:t>государствам</w:t>
      </w:r>
      <w:r>
        <w:rPr>
          <w:rFonts w:ascii="Arial" w:hAnsi="Arial" w:cs="Arial"/>
          <w:color w:val="000000" w:themeColor="text1"/>
          <w:sz w:val="22"/>
          <w:szCs w:val="22"/>
          <w:lang w:val="ru"/>
        </w:rPr>
        <w:t>-</w:t>
      </w:r>
      <w:r>
        <w:rPr>
          <w:rFonts w:ascii="Arial" w:hAnsi="Arial" w:cs="Arial"/>
          <w:sz w:val="22"/>
          <w:szCs w:val="22"/>
          <w:lang w:val="ru"/>
        </w:rPr>
        <w:t>членам</w:t>
      </w:r>
      <w:r>
        <w:rPr>
          <w:rFonts w:ascii="Arial" w:hAnsi="Arial" w:cs="Arial"/>
          <w:color w:val="000000" w:themeColor="text1"/>
          <w:sz w:val="22"/>
          <w:szCs w:val="22"/>
          <w:lang w:val="ru"/>
        </w:rPr>
        <w:t xml:space="preserve"> в их усилиях по развитию УОПУ в быстро меняющемся контексте, заключается в следующем: </w:t>
      </w:r>
    </w:p>
    <w:p w14:paraId="4766CD3A" w14:textId="75FD63CF" w:rsidR="001E295D" w:rsidRPr="00884391" w:rsidRDefault="001E295D" w:rsidP="00CB3B8F">
      <w:pPr>
        <w:ind w:left="700" w:right="707"/>
        <w:jc w:val="both"/>
        <w:rPr>
          <w:rFonts w:cs="Arial"/>
          <w:bCs/>
          <w:i/>
          <w:color w:val="000000"/>
          <w:szCs w:val="22"/>
          <w:lang w:val="fr-FR"/>
        </w:rPr>
      </w:pPr>
      <w:r>
        <w:rPr>
          <w:rFonts w:cs="Arial"/>
          <w:i/>
          <w:iCs/>
          <w:color w:val="000000"/>
          <w:szCs w:val="22"/>
          <w:lang w:val="ru"/>
        </w:rPr>
        <w:t xml:space="preserve">«Государства-члены МОК подготовлены для внедрения устойчивого океанического планирования и управления на основе знаний». </w:t>
      </w:r>
    </w:p>
    <w:p w14:paraId="4DDC0C00" w14:textId="77777777" w:rsidR="001E295D" w:rsidRPr="00884391" w:rsidRDefault="001E295D" w:rsidP="00E37EB9">
      <w:pPr>
        <w:ind w:left="851"/>
        <w:jc w:val="both"/>
        <w:rPr>
          <w:rFonts w:cs="Arial"/>
          <w:color w:val="000000"/>
          <w:szCs w:val="22"/>
          <w:lang w:val="fr-FR"/>
        </w:rPr>
      </w:pPr>
    </w:p>
    <w:p w14:paraId="0DC5455A" w14:textId="77777777" w:rsidR="001E295D" w:rsidRPr="003A6744" w:rsidRDefault="001E295D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120"/>
        <w:ind w:left="0" w:firstLine="0"/>
        <w:contextualSpacing w:val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ru"/>
        </w:rPr>
        <w:t xml:space="preserve">Концепция </w:t>
      </w:r>
      <w:r>
        <w:rPr>
          <w:rFonts w:ascii="Arial" w:hAnsi="Arial" w:cs="Arial"/>
          <w:color w:val="000000" w:themeColor="text1"/>
          <w:sz w:val="22"/>
          <w:szCs w:val="22"/>
          <w:lang w:val="ru"/>
        </w:rPr>
        <w:t>будет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 </w:t>
      </w:r>
      <w:r>
        <w:rPr>
          <w:rFonts w:ascii="Arial" w:hAnsi="Arial" w:cs="Arial"/>
          <w:sz w:val="22"/>
          <w:szCs w:val="22"/>
          <w:lang w:val="ru"/>
        </w:rPr>
        <w:t>воплощена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 в реальность посредством следующей </w:t>
      </w: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>задачи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: </w:t>
      </w:r>
    </w:p>
    <w:p w14:paraId="47C42D0D" w14:textId="4D256690" w:rsidR="001E295D" w:rsidRPr="00884391" w:rsidRDefault="001E295D" w:rsidP="00CB3B8F">
      <w:pPr>
        <w:ind w:left="700" w:right="679"/>
        <w:jc w:val="both"/>
        <w:rPr>
          <w:rFonts w:cs="Arial"/>
          <w:bCs/>
          <w:i/>
          <w:szCs w:val="22"/>
          <w:lang w:val="fr-FR"/>
        </w:rPr>
      </w:pPr>
      <w:r>
        <w:rPr>
          <w:rFonts w:cs="Arial"/>
          <w:i/>
          <w:iCs/>
          <w:color w:val="212121"/>
          <w:szCs w:val="22"/>
          <w:lang w:val="ru"/>
        </w:rPr>
        <w:t xml:space="preserve">«Оказывать поддержку лицам, принимающим решения, в реализации </w:t>
      </w:r>
      <w:r>
        <w:rPr>
          <w:rFonts w:cs="Arial"/>
          <w:i/>
          <w:iCs/>
          <w:color w:val="000000"/>
          <w:szCs w:val="22"/>
          <w:lang w:val="ru"/>
        </w:rPr>
        <w:t>устойчивого океанического планирования и управления</w:t>
      </w:r>
      <w:r>
        <w:rPr>
          <w:rFonts w:cs="Arial"/>
          <w:i/>
          <w:iCs/>
          <w:color w:val="212121"/>
          <w:szCs w:val="22"/>
          <w:lang w:val="ru"/>
        </w:rPr>
        <w:t xml:space="preserve"> путем содействия использованию данных, продвижения информационных продуктов и укрепления потенциала к 2030 году».</w:t>
      </w:r>
    </w:p>
    <w:p w14:paraId="2A4ACAAF" w14:textId="701ED14E" w:rsidR="001E295D" w:rsidRPr="00884391" w:rsidRDefault="001E295D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="Arial" w:hAnsi="Arial" w:cs="Arial"/>
          <w:color w:val="212121"/>
          <w:sz w:val="22"/>
          <w:szCs w:val="20"/>
          <w:lang w:val="ru"/>
        </w:rPr>
      </w:pPr>
      <w:r>
        <w:rPr>
          <w:rFonts w:ascii="Arial" w:hAnsi="Arial" w:cs="Arial"/>
          <w:color w:val="000000"/>
          <w:sz w:val="22"/>
          <w:szCs w:val="20"/>
          <w:lang w:val="ru"/>
        </w:rPr>
        <w:lastRenderedPageBreak/>
        <w:t xml:space="preserve">Стратегия МОК-УОПУ станет руководящей и согласующей основной для программ и региональных подкомиссий МОК, используя их опыт в области океанических исследований, услуг, знаний, обучения </w:t>
      </w:r>
      <w:r>
        <w:rPr>
          <w:rFonts w:ascii="Arial" w:hAnsi="Arial" w:cs="Arial"/>
          <w:sz w:val="22"/>
          <w:szCs w:val="22"/>
          <w:lang w:val="ru"/>
        </w:rPr>
        <w:t>и</w:t>
      </w:r>
      <w:r>
        <w:rPr>
          <w:rFonts w:ascii="Arial" w:hAnsi="Arial" w:cs="Arial"/>
          <w:color w:val="000000"/>
          <w:sz w:val="22"/>
          <w:szCs w:val="20"/>
          <w:lang w:val="ru"/>
        </w:rPr>
        <w:t xml:space="preserve"> развития потенциала для воплощения концепции. Она претворит свою задачу в реальность путем полноценного использования цепочки приращения стоимости МОК для устранения разрыва между наукой и процессом принятия решений, а также путем объединения сильных сторон и коллективных возможностей МОК и потенциала ее партнерских связей в рамках Десятилетия ООН, посвященного науке об океане, и в последующий период. </w:t>
      </w:r>
    </w:p>
    <w:p w14:paraId="62E7C420" w14:textId="0A776AD1" w:rsidR="001E295D" w:rsidRPr="00884391" w:rsidRDefault="001E295D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 xml:space="preserve">Стратегия МОК-УОПУ подчеркивает усилия МОК по реализации ее двойного предназначения в сфере взаимосвязи климата, океана и биоразнообразия и основывается на экосистемном подходе, рассматривающем функционирование морской экосистемы как единого целого. Следовательно, ее границы не обязательно будут совпадать с существующими административными и политическими границами. Необходимо также рассмотреть введение социально-экономических аспектов и зависимости средств к существованию прибрежных сообществ в экосистемные подходы к управлению. </w:t>
      </w:r>
    </w:p>
    <w:p w14:paraId="0E989D12" w14:textId="46AF8E2F" w:rsidR="001E295D" w:rsidRPr="00884391" w:rsidRDefault="001E295D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>Выполнение задачи Стратегии МОК-УОПУ будет способствовать поддержке дальнейшему укреплению предназначения МОК, при этом наука, знания и исследования будут служить основой для построения политики и процессов принятия решений государств-членов. Стратегия МОК-УОПУ включает четыре стратегические цели, которые будут определять деятельность по достижению пяти ожидаемых результатов.</w:t>
      </w:r>
    </w:p>
    <w:p w14:paraId="14CE916C" w14:textId="0ECEAB56" w:rsidR="001E295D" w:rsidRPr="003A6744" w:rsidRDefault="001E295D" w:rsidP="001E295D">
      <w:pPr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  <w:lang w:val="ru"/>
        </w:rPr>
        <w:t>Стратегические цели</w:t>
      </w:r>
    </w:p>
    <w:p w14:paraId="53ADA24B" w14:textId="77777777" w:rsidR="001E295D" w:rsidRPr="003A6744" w:rsidRDefault="001E295D" w:rsidP="001E295D">
      <w:pPr>
        <w:jc w:val="both"/>
        <w:rPr>
          <w:rFonts w:cs="Arial"/>
          <w:b/>
          <w:szCs w:val="22"/>
        </w:rPr>
      </w:pPr>
    </w:p>
    <w:p w14:paraId="4737EAB7" w14:textId="77777777" w:rsidR="001E295D" w:rsidRPr="00884391" w:rsidRDefault="001E295D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ru"/>
        </w:rPr>
        <w:t>Реализацию Стратегии МОК-УОПУ будут определять четыре стратегические цели:</w:t>
      </w:r>
    </w:p>
    <w:p w14:paraId="3DC6EC71" w14:textId="48713640" w:rsidR="001E295D" w:rsidRPr="003A6744" w:rsidRDefault="001E295D" w:rsidP="00CB3B8F">
      <w:pPr>
        <w:pStyle w:val="ListParagraph"/>
        <w:numPr>
          <w:ilvl w:val="0"/>
          <w:numId w:val="27"/>
        </w:numPr>
        <w:spacing w:after="120"/>
        <w:ind w:left="1302" w:hanging="357"/>
        <w:contextualSpacing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 xml:space="preserve">Более активная интеграция и популяризация подходов к океаническому </w:t>
      </w:r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b/>
          <w:bCs/>
          <w:sz w:val="22"/>
          <w:szCs w:val="22"/>
          <w:lang w:val="ru"/>
        </w:rPr>
        <w:t>планированию и управлению</w:t>
      </w:r>
    </w:p>
    <w:p w14:paraId="13697FCC" w14:textId="27C82A18" w:rsidR="001E295D" w:rsidRPr="00884391" w:rsidRDefault="001E295D" w:rsidP="00CB3B8F">
      <w:pPr>
        <w:spacing w:after="240"/>
        <w:ind w:left="709"/>
        <w:jc w:val="both"/>
        <w:rPr>
          <w:rFonts w:cs="Arial"/>
          <w:szCs w:val="22"/>
          <w:lang w:val="ru"/>
        </w:rPr>
      </w:pPr>
      <w:r>
        <w:rPr>
          <w:rFonts w:cs="Arial"/>
          <w:szCs w:val="22"/>
          <w:lang w:val="ru"/>
        </w:rPr>
        <w:t>Стратегия МОК-УОПУ будет строиться на прочном фундаменте работы МОК в рамках MSPGlobal и Программы по комплексному управлению прибрежными районами (КУПР), которые уже оказали поддержку различным государствами-членами, путем использования существующих систем, обмена передовым опытом, внедрения научных открытий в области УОПУ и предоставления технических рекомендаций по экологическим и социально-экономическим аспектам. Благодаря содействию обмену знаниями и адаптации к различным национальным и региональным контекстам Стратегия МОК УПОУ поможет государствам-членам гарантировать, что их подходы к УОПУ научно обоснованы, учитывают знания коренного и местного населения и являются справедливыми и адаптируемыми к изменчивым социально-экономическим приоритетам на всех уровнях.</w:t>
      </w:r>
    </w:p>
    <w:p w14:paraId="4A321753" w14:textId="16F47F4C" w:rsidR="001E295D" w:rsidRPr="00884391" w:rsidRDefault="001E295D" w:rsidP="00CB3B8F">
      <w:pPr>
        <w:pStyle w:val="ListParagraph"/>
        <w:numPr>
          <w:ilvl w:val="0"/>
          <w:numId w:val="27"/>
        </w:numPr>
        <w:spacing w:after="120"/>
        <w:ind w:left="1302" w:hanging="357"/>
        <w:contextualSpacing w:val="0"/>
        <w:rPr>
          <w:rFonts w:ascii="Arial" w:hAnsi="Arial" w:cs="Arial"/>
          <w:b/>
          <w:sz w:val="22"/>
          <w:szCs w:val="22"/>
          <w:lang w:val="ru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 xml:space="preserve">Повышение осведомленности и облегчение использования усовершенствованных наблюдений, </w:t>
      </w:r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b/>
          <w:bCs/>
          <w:sz w:val="22"/>
          <w:szCs w:val="22"/>
          <w:lang w:val="ru"/>
        </w:rPr>
        <w:t>данных и знаний</w:t>
      </w:r>
    </w:p>
    <w:p w14:paraId="7EB5A643" w14:textId="259827EA" w:rsidR="001E295D" w:rsidRPr="00884391" w:rsidRDefault="001E295D" w:rsidP="000F2179">
      <w:pPr>
        <w:spacing w:after="240"/>
        <w:ind w:left="709"/>
        <w:jc w:val="both"/>
        <w:rPr>
          <w:rFonts w:cs="Arial"/>
          <w:szCs w:val="22"/>
          <w:lang w:val="ru"/>
        </w:rPr>
      </w:pPr>
      <w:r>
        <w:rPr>
          <w:rFonts w:cs="Arial"/>
          <w:szCs w:val="22"/>
          <w:lang w:val="ru"/>
        </w:rPr>
        <w:t xml:space="preserve">Хотя ежегодно по всему миру собираются сотни миллионов элементов данных, в том числе через сети и программы МОК, такие как ГСНО и ОБИС, а многочисленные местные и коренные общины обладают бесценными знаниями об океане, лишь небольшая часть из них преобразуется в практические идеи, полезные для лиц, принимающих решения. Превращая этот массив данных и знаний в понятную и доступную информацию, инструменты и продукты, облегчающие принятие решений, и содействуя их регулярному обновлению и использованию, УОПУ может более эффективно управляться посредством научно-обоснованных знаний о состоянии и изменении океана. </w:t>
      </w:r>
    </w:p>
    <w:p w14:paraId="4F71A685" w14:textId="77777777" w:rsidR="001E295D" w:rsidRPr="00884391" w:rsidRDefault="001E295D" w:rsidP="00CB3B8F">
      <w:pPr>
        <w:pStyle w:val="ListParagraph"/>
        <w:numPr>
          <w:ilvl w:val="0"/>
          <w:numId w:val="27"/>
        </w:numPr>
        <w:spacing w:after="120"/>
        <w:ind w:left="1302" w:hanging="252"/>
        <w:contextualSpacing w:val="0"/>
        <w:rPr>
          <w:rFonts w:ascii="Arial" w:hAnsi="Arial" w:cs="Arial"/>
          <w:b/>
          <w:sz w:val="22"/>
          <w:szCs w:val="22"/>
          <w:lang w:val="ru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lastRenderedPageBreak/>
        <w:t xml:space="preserve">Укрепление межсекторальной и трансграничной координации и сотрудничества </w:t>
      </w:r>
    </w:p>
    <w:p w14:paraId="560E17E1" w14:textId="445AF5EF" w:rsidR="001E295D" w:rsidRPr="00884391" w:rsidRDefault="001E295D" w:rsidP="00CB3B8F">
      <w:pPr>
        <w:spacing w:after="240"/>
        <w:ind w:left="709"/>
        <w:jc w:val="both"/>
        <w:rPr>
          <w:rFonts w:cs="Arial"/>
          <w:szCs w:val="22"/>
          <w:lang w:val="ru"/>
        </w:rPr>
      </w:pPr>
      <w:r>
        <w:rPr>
          <w:rFonts w:cs="Arial"/>
          <w:szCs w:val="22"/>
          <w:lang w:val="ru"/>
        </w:rPr>
        <w:t xml:space="preserve">Укрепление межсекторального и трансграничного сотрудничества имеет решающее значение для эффективного УОПУ, поскольку морские экосистемы зачастую охватывают более обширные океанические бассейны и простираются за пределы административных и политических границ и юрисдикций, в том числе на границе суши и моря или в районах за пределами национальной юрисдикции, где действуют различные механизмы управления. Многие виды экономической деятельности (такие как морские перевозки, проекты в области возобновляемой энергии или рыболовство) также осуществляются за пределами национальных границ, чтоб обуславливает большую важность сотрудничества для обеспечения баланса между здоровьем океана и социально-экономическим развитием. Поэтому УОПУ часто требует скоординированных действий между секторами и странами для решения общих задач использования общих возможностей. Такое сотрудничество предполагает взаимодействие между странами, а также с учреждениями, входящими или не входящими в структуру ООН. </w:t>
      </w:r>
    </w:p>
    <w:p w14:paraId="056AFDC5" w14:textId="77777777" w:rsidR="001E295D" w:rsidRPr="003A6744" w:rsidRDefault="001E295D" w:rsidP="00CB3B8F">
      <w:pPr>
        <w:pStyle w:val="ListParagraph"/>
        <w:numPr>
          <w:ilvl w:val="0"/>
          <w:numId w:val="27"/>
        </w:numPr>
        <w:spacing w:after="120"/>
        <w:ind w:left="1302" w:hanging="252"/>
        <w:contextualSpacing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 xml:space="preserve">Расширение возможностей развития потенциала </w:t>
      </w:r>
    </w:p>
    <w:p w14:paraId="74961F0B" w14:textId="3C50C4B3" w:rsidR="001E295D" w:rsidRPr="00884391" w:rsidRDefault="001E295D" w:rsidP="00CB3B8F">
      <w:pPr>
        <w:spacing w:after="240"/>
        <w:ind w:left="709"/>
        <w:jc w:val="both"/>
        <w:rPr>
          <w:rFonts w:cs="Arial"/>
          <w:strike/>
          <w:szCs w:val="22"/>
          <w:lang w:val="ru"/>
        </w:rPr>
      </w:pPr>
      <w:r>
        <w:rPr>
          <w:rFonts w:cs="Arial"/>
          <w:szCs w:val="22"/>
          <w:lang w:val="ru"/>
        </w:rPr>
        <w:t xml:space="preserve">Расширение возможностей развития потенциала имеет решающее значение для того, чтобы лица, принимающие решения в государствах-членах МОК, независимо от их ресурсов, опыта или социально-экономического контекста, были в достаточной степени подготовлены к разработке научно обоснованного УОПУ. Помимо прочего, лицам, принимающим решения, необходим доступ к новейшим научным данным и знаниям, передовому опыту и инновационным инструментам для решения сложных задач устойчивого управления мировым океаном. Этого можно добиться путем усиления программ обучения, платформ для обмена знаниями и образовательных инициатив. Привлечение начинающих специалистов-океанографов (НСО) позволяет подготовить следующее поколение лидеров в области океана и обеспечить преемственность в сфере УОПУ в государствах-членах в долгосрочной перспективе. </w:t>
      </w:r>
    </w:p>
    <w:p w14:paraId="76D8F5B4" w14:textId="2C5F437B" w:rsidR="001E295D" w:rsidRPr="003A6744" w:rsidRDefault="001E295D" w:rsidP="001E295D">
      <w:pPr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  <w:lang w:val="ru"/>
        </w:rPr>
        <w:t>Ожидаемые результаты</w:t>
      </w:r>
    </w:p>
    <w:p w14:paraId="7C56DFEA" w14:textId="77777777" w:rsidR="001E295D" w:rsidRPr="003A6744" w:rsidRDefault="001E295D" w:rsidP="001E295D">
      <w:pPr>
        <w:jc w:val="both"/>
        <w:rPr>
          <w:rFonts w:cs="Arial"/>
          <w:b/>
          <w:bCs/>
          <w:szCs w:val="22"/>
        </w:rPr>
      </w:pPr>
    </w:p>
    <w:p w14:paraId="2BD91902" w14:textId="77777777" w:rsidR="001E295D" w:rsidRPr="00884391" w:rsidRDefault="001E295D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ru"/>
        </w:rPr>
        <w:t>Ожидается, что за счет выполнения своей задачи Стратегия МОК-УОПУ достигнет пяти результатов:</w:t>
      </w:r>
    </w:p>
    <w:p w14:paraId="3B18A225" w14:textId="77777777" w:rsidR="001E295D" w:rsidRPr="00884391" w:rsidRDefault="001E295D" w:rsidP="00BC3F42">
      <w:pPr>
        <w:pStyle w:val="ListParagraph"/>
        <w:numPr>
          <w:ilvl w:val="0"/>
          <w:numId w:val="28"/>
        </w:numPr>
        <w:spacing w:after="120"/>
        <w:ind w:left="1344" w:hanging="434"/>
        <w:contextualSpacing w:val="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Усиление подходов к политике океанического планирования и управления, подкрепленных научно-обоснованными инструментами и данными</w:t>
      </w:r>
    </w:p>
    <w:p w14:paraId="20F1B09B" w14:textId="2D24A841" w:rsidR="001E295D" w:rsidRPr="00884391" w:rsidRDefault="001E295D" w:rsidP="00BC3F42">
      <w:pPr>
        <w:pStyle w:val="ListParagraph"/>
        <w:spacing w:after="240"/>
        <w:ind w:left="697"/>
        <w:contextualSpacing w:val="0"/>
        <w:jc w:val="both"/>
        <w:rPr>
          <w:rFonts w:cs="Arial"/>
          <w:b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>Ожидается, что Стратегия МОК-УОПУ повысит устойчивость и справедливость политик УОПУ на национальном уровне путем применения научного опыта МОК и развития потенциала, а также путем популяризации знаний и обмена передовым опытом между государствами-членами. Благодаря интеграции идей, новейших открытий и информации, полученных от программ МОК и соответствующих партнерств, а также благодаря координации усовершенствования формата и охвата океанографических данных и знаний, Стратегия МОК-УОПУ будет способствовать принятию обоснованных решений государствами-членами МОК в целях устойчивого развития океана.</w:t>
      </w:r>
    </w:p>
    <w:p w14:paraId="7310E460" w14:textId="77777777" w:rsidR="001E295D" w:rsidRPr="00884391" w:rsidRDefault="001E295D" w:rsidP="00BC3F42">
      <w:pPr>
        <w:pStyle w:val="ListParagraph"/>
        <w:numPr>
          <w:ilvl w:val="0"/>
          <w:numId w:val="28"/>
        </w:numPr>
        <w:spacing w:after="120"/>
        <w:ind w:left="1344" w:hanging="364"/>
        <w:contextualSpacing w:val="0"/>
        <w:rPr>
          <w:rFonts w:ascii="Arial" w:hAnsi="Arial" w:cs="Arial"/>
          <w:b/>
          <w:sz w:val="22"/>
          <w:szCs w:val="22"/>
          <w:lang w:val="ru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 xml:space="preserve">Совершенствование интеграции океанических наблюдений, данных и знаний в процесс принятия решений </w:t>
      </w:r>
    </w:p>
    <w:p w14:paraId="6A162E4F" w14:textId="7616D3B3" w:rsidR="001E295D" w:rsidRPr="00884391" w:rsidRDefault="001E295D" w:rsidP="00BC3F42">
      <w:pPr>
        <w:pStyle w:val="ListParagraph"/>
        <w:spacing w:after="240"/>
        <w:ind w:left="697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 xml:space="preserve">Стратегия МОК-УОПУ улучшит интеграцию океанических наблюдений, данных, соответствующих научных открытий, а также знаний коренного и местного населения в процесс принятия решений путем содействия обмену и координации между сообществами, осуществляющими мониторинг и управление данными об океане, включая коренные народы, местные общины и частный сектор. Использование </w:t>
      </w:r>
      <w:r>
        <w:rPr>
          <w:rFonts w:ascii="Arial" w:hAnsi="Arial" w:cs="Arial"/>
          <w:sz w:val="22"/>
          <w:szCs w:val="22"/>
          <w:lang w:val="ru"/>
        </w:rPr>
        <w:lastRenderedPageBreak/>
        <w:t xml:space="preserve">коллективной инфраструктуры данных, разработанной и применяемой программами МОК, такими как ОДИС и ОБИС, а также использование искусственного интеллекта (ИИ) для прогнозного моделирования и прогнозирования еще больше повысят актуальность и полезность океанических данных для процессов разработки политики и управления. Центральное место в этом начинании занимает преобразование сложных данных об океане в информацию, полезную и актуальную для лиц, принимающих решения. Это будет способствовать повышению осведомленности и использованию данных и информации в УОПУ. </w:t>
      </w:r>
    </w:p>
    <w:p w14:paraId="6FFB7B11" w14:textId="77777777" w:rsidR="001E295D" w:rsidRPr="00884391" w:rsidRDefault="001E295D" w:rsidP="001E295D">
      <w:pPr>
        <w:pStyle w:val="ListParagraph"/>
        <w:ind w:left="1080"/>
        <w:jc w:val="both"/>
        <w:rPr>
          <w:rFonts w:ascii="Arial" w:hAnsi="Arial" w:cs="Arial"/>
          <w:sz w:val="22"/>
          <w:szCs w:val="22"/>
          <w:lang w:val="ru"/>
        </w:rPr>
      </w:pPr>
    </w:p>
    <w:p w14:paraId="1DAD2A5F" w14:textId="64C47129" w:rsidR="001E295D" w:rsidRPr="00884391" w:rsidRDefault="001E295D" w:rsidP="00BC3F42">
      <w:pPr>
        <w:pStyle w:val="ListParagraph"/>
        <w:numPr>
          <w:ilvl w:val="0"/>
          <w:numId w:val="28"/>
        </w:numPr>
        <w:spacing w:after="120"/>
        <w:ind w:left="1302" w:hanging="266"/>
        <w:contextualSpacing w:val="0"/>
        <w:rPr>
          <w:rFonts w:ascii="Arial" w:hAnsi="Arial" w:cs="Arial"/>
          <w:b/>
          <w:sz w:val="22"/>
          <w:szCs w:val="22"/>
          <w:lang w:val="ru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 xml:space="preserve">Повышение согласованности и слаженности между секторами, </w:t>
      </w:r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b/>
          <w:bCs/>
          <w:sz w:val="22"/>
          <w:szCs w:val="22"/>
          <w:lang w:val="ru"/>
        </w:rPr>
        <w:t>через границы и на границе суши и моря</w:t>
      </w:r>
    </w:p>
    <w:p w14:paraId="173F4745" w14:textId="455FE3A6" w:rsidR="001E295D" w:rsidRPr="00884391" w:rsidRDefault="001E295D" w:rsidP="00BC3F42">
      <w:pPr>
        <w:pStyle w:val="ListParagraph"/>
        <w:spacing w:after="240"/>
        <w:ind w:left="697"/>
        <w:contextualSpacing w:val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 xml:space="preserve">Признавая взаимосвязанный характер проблем океана, Стратегия МОК-УОПУ будет содействовать распространению инклюзивного подхода к межсекторальному и трансграничному сотрудничеству в море, а также на границе суши и моря. Опираясь на объединенный и комплексный фундамент существующих программ МОК и глобальных инициатив, в которых МОК играет роль координатора, таких как Десятилетие ООН, посвященное науке об океане, Стратегия МОК-УОПУ будет способствовать установлению партнерских связей с различными заинтересованными сообществами, включая такие отрасли, как энергетика, туризм, морские перевозки и рыболовство. Диалогу будет способствовать выявление областей возможной синергии, компромиссов и взаимовыгодных решений в поддержку УОПУ. Основное внимание будет уделяться улучшению учета и управления кумулятивными воздействиям через границы и юрисдикции. </w:t>
      </w:r>
    </w:p>
    <w:p w14:paraId="513B0E77" w14:textId="77777777" w:rsidR="001E295D" w:rsidRPr="00884391" w:rsidRDefault="001E295D" w:rsidP="00BC3F42">
      <w:pPr>
        <w:pStyle w:val="ListParagraph"/>
        <w:numPr>
          <w:ilvl w:val="0"/>
          <w:numId w:val="28"/>
        </w:numPr>
        <w:spacing w:after="120"/>
        <w:ind w:left="1302" w:hanging="252"/>
        <w:contextualSpacing w:val="0"/>
        <w:rPr>
          <w:rFonts w:ascii="Arial" w:hAnsi="Arial" w:cs="Arial"/>
          <w:b/>
          <w:sz w:val="22"/>
          <w:szCs w:val="22"/>
          <w:lang w:val="ru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 xml:space="preserve">Повышение уровня знаний и потенциала заинтересованных сторон </w:t>
      </w:r>
    </w:p>
    <w:p w14:paraId="61A6D733" w14:textId="77777777" w:rsidR="001E295D" w:rsidRPr="00884391" w:rsidRDefault="001E295D" w:rsidP="00BC3F42">
      <w:pPr>
        <w:pStyle w:val="ListParagraph"/>
        <w:spacing w:after="240"/>
        <w:ind w:left="697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 xml:space="preserve">Стратегия МОК-УОПУ направлена ​​на активизацию усилий по развитию потенциала во всех аспектах УОПУ: от сбора соответствующих данных и знаний до их применения в процессе принятия решений. Среди приоритетов: разработка и улучшение доступа к руководствам и информационным продуктам, укрепление глобальных и региональных механизмов (таких как конвенции по региональным морям и планы действий), содействие разработке политик в области исследований океана, повышение видимости и осведомленности, а также активизация устойчивой мобилизации ресурсов. Это обеспечит лицам, принимающим решения, политикам, правообладателям и заинтересованным сторонам необходимые знания и навыки для эффективной реализации УОПУ. </w:t>
      </w:r>
    </w:p>
    <w:p w14:paraId="589AB5EA" w14:textId="77777777" w:rsidR="001E295D" w:rsidRPr="00884391" w:rsidRDefault="001E295D" w:rsidP="001E295D">
      <w:pPr>
        <w:pStyle w:val="ListParagraph"/>
        <w:ind w:left="1080"/>
        <w:jc w:val="both"/>
        <w:rPr>
          <w:rFonts w:ascii="Arial" w:hAnsi="Arial" w:cs="Arial"/>
          <w:b/>
          <w:sz w:val="22"/>
          <w:szCs w:val="22"/>
          <w:lang w:val="ru"/>
        </w:rPr>
      </w:pPr>
    </w:p>
    <w:p w14:paraId="4241AB8C" w14:textId="039F7F23" w:rsidR="001E295D" w:rsidRPr="00884391" w:rsidRDefault="001E295D" w:rsidP="00BC3F42">
      <w:pPr>
        <w:pStyle w:val="ListParagraph"/>
        <w:numPr>
          <w:ilvl w:val="0"/>
          <w:numId w:val="28"/>
        </w:numPr>
        <w:spacing w:after="120"/>
        <w:ind w:left="1302" w:hanging="357"/>
        <w:contextualSpacing w:val="0"/>
        <w:rPr>
          <w:rFonts w:ascii="Arial" w:hAnsi="Arial" w:cs="Arial"/>
          <w:b/>
          <w:sz w:val="22"/>
          <w:szCs w:val="22"/>
          <w:lang w:val="ru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 xml:space="preserve">Улучшение интеграции мер по адаптации к изменению климата, смягчению его последствий </w:t>
      </w:r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b/>
          <w:bCs/>
          <w:sz w:val="22"/>
          <w:szCs w:val="22"/>
          <w:lang w:val="ru"/>
        </w:rPr>
        <w:t xml:space="preserve">и обеспечению устойчивости прибрежных районов, а также по сохранению биоразнообразия </w:t>
      </w:r>
    </w:p>
    <w:p w14:paraId="6C5EF605" w14:textId="71C3AC10" w:rsidR="001E295D" w:rsidRPr="00884391" w:rsidRDefault="001E295D" w:rsidP="00BC3F42">
      <w:pPr>
        <w:pStyle w:val="ListParagraph"/>
        <w:spacing w:after="240"/>
        <w:ind w:left="697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 xml:space="preserve">В ответ на острую необходимость решения проблем, связанных с последствиями изменения климата и утратой морского биоразнообразия, Стратегия МОК-УОПУ направлена ​​на оказание помощи государствам-членам в их усилиях по интеграции мер по адаптации к изменению климата и смягчению его последствий, а также по обеспечению устойчивости и восстановлению экосистем в рамках УОПУ. Это предполагает координацию с инициативами МОК, связанными с климатом, биоразнообразием и опасностями в прибрежной зоне, для разработки инструментов и руководств, определяющих и включающих меры по повышению устойчивости, создают научные знания о роли экосистем океана в решении климатических проблем, таких как проблемы, связанные с прибрежной средой обитания и экосистемными услугами. Интеграция мер по сохранению биоразнообразия и предотвращению изменения климата в УОПУ будет способствовать разработке руководства по подходам, учитывающим вопросы биоразнообразия и климата, и их применению. </w:t>
      </w:r>
    </w:p>
    <w:p w14:paraId="121107B1" w14:textId="77777777" w:rsidR="001E295D" w:rsidRPr="00884391" w:rsidRDefault="001E295D" w:rsidP="001E295D">
      <w:pPr>
        <w:jc w:val="both"/>
        <w:rPr>
          <w:rFonts w:cs="Arial"/>
          <w:szCs w:val="22"/>
          <w:lang w:val="ru"/>
        </w:rPr>
      </w:pPr>
    </w:p>
    <w:p w14:paraId="49356C41" w14:textId="20541CF1" w:rsidR="001E295D" w:rsidRPr="00884391" w:rsidRDefault="001E295D" w:rsidP="00BC3F42">
      <w:pPr>
        <w:shd w:val="clear" w:color="auto" w:fill="EEECE1" w:themeFill="background2"/>
        <w:jc w:val="center"/>
        <w:rPr>
          <w:rFonts w:cs="Arial"/>
          <w:b/>
          <w:szCs w:val="22"/>
          <w:lang w:val="ru"/>
        </w:rPr>
      </w:pPr>
      <w:r>
        <w:rPr>
          <w:rFonts w:cs="Arial"/>
          <w:b/>
          <w:bCs/>
          <w:szCs w:val="22"/>
          <w:lang w:val="ru"/>
        </w:rPr>
        <w:lastRenderedPageBreak/>
        <w:t>ЧАСТЬ III</w:t>
      </w:r>
      <w:r>
        <w:rPr>
          <w:rFonts w:cs="Arial"/>
          <w:b/>
          <w:bCs/>
          <w:szCs w:val="22"/>
          <w:lang w:val="ru"/>
        </w:rPr>
        <w:tab/>
        <w:t>Реализация, оценка достигнутого прогресса и адаптация</w:t>
      </w:r>
    </w:p>
    <w:p w14:paraId="2186C72B" w14:textId="77777777" w:rsidR="001E295D" w:rsidRPr="00884391" w:rsidRDefault="001E295D" w:rsidP="00BC3F42">
      <w:pPr>
        <w:jc w:val="center"/>
        <w:rPr>
          <w:rFonts w:cs="Arial"/>
          <w:szCs w:val="22"/>
          <w:lang w:val="ru"/>
        </w:rPr>
      </w:pPr>
    </w:p>
    <w:p w14:paraId="4A937006" w14:textId="19B984E4" w:rsidR="001E295D" w:rsidRPr="00884391" w:rsidRDefault="001E295D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>Концепция, задача, стратегические цели и ожидаемые результаты Стратегии МОК-УОПУ будут достигнуты посредством двухгодичного Плана реализации. Первоначальный План реализации на 2025-2027 гг. содержит подробное описание мероприятий, результатов, сроков, ведущих партнеров/партнеров по сотрудничеству и бюджетных потребностей для первого двухлетнего периода Стратегии МОК-УОПУ (см. ниже). План будет осуществлен совместно с различными программами и региональными подкомиссиями МОК в тесном сотрудничестве с государствами-членами МОК и при поддержке Программы УОП Десятилетия ООН, а также соответствующих региональных и международных партнеров МОК. Проведение мероприятий будет финансироваться как за счет средств существующего бюджета программ МОК, так за счет привлечения новых ресурсов от доноров в контексте Программы УОП Десятилетия ООН и помимо нее.</w:t>
      </w:r>
    </w:p>
    <w:p w14:paraId="6EBA9B9C" w14:textId="6214BCAF" w:rsidR="001E295D" w:rsidRPr="00884391" w:rsidRDefault="001E295D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>Рабочая группа МОК-УОПУ будет оценивать прогресс в реализации Стратегии МОК-УОПУ дважды в год. Рабочая группа МОК-УОПУ будет собираться каждые полгода для контроля осуществления плана и его обновления при необходимости в целях решения конкретных вопросов, связанных с программой и касающихся УОПУ, а также проблем и потребностей, возникающих у государств-членов и соответствующих региональных и международных организаций. Сопредседатели Рабочей группы МОК-УОПУ будут отчитываться перед государствами-членами МОК в рамках отдельного пункта повестки дня на сессиях Ассамблеи МОК. Заседания Рабочей группы по УОПУ и рекомендации государств-членов, полученные на Ассамблее МОК, обеспечат постоянный надзор и совершенствование Стратегии МОК-УКОПУ и ее последовательных</w:t>
      </w:r>
      <w:r>
        <w:rPr>
          <w:rFonts w:ascii="Arial" w:hAnsi="Arial" w:cs="Arial"/>
          <w:strike/>
          <w:sz w:val="22"/>
          <w:szCs w:val="22"/>
          <w:lang w:val="ru"/>
        </w:rPr>
        <w:t xml:space="preserve"> </w:t>
      </w:r>
      <w:r>
        <w:rPr>
          <w:rFonts w:ascii="Arial" w:hAnsi="Arial" w:cs="Arial"/>
          <w:sz w:val="22"/>
          <w:szCs w:val="22"/>
          <w:lang w:val="ru"/>
        </w:rPr>
        <w:t xml:space="preserve">планов реализации, тем самым способствуя ее эффективности и адаптации к меняющимся вызовам и возможностям. </w:t>
      </w:r>
    </w:p>
    <w:p w14:paraId="6FC7B51C" w14:textId="77777777" w:rsidR="00B44C1E" w:rsidRPr="00884391" w:rsidRDefault="00B44C1E" w:rsidP="00B44C1E">
      <w:pPr>
        <w:jc w:val="both"/>
        <w:rPr>
          <w:rFonts w:cs="Arial"/>
          <w:b/>
          <w:szCs w:val="22"/>
          <w:lang w:val="ru"/>
        </w:rPr>
      </w:pPr>
    </w:p>
    <w:p w14:paraId="5B7BF46C" w14:textId="35C5A19F" w:rsidR="00B44C1E" w:rsidRPr="00884391" w:rsidRDefault="00B44C1E" w:rsidP="00840C53">
      <w:pPr>
        <w:shd w:val="clear" w:color="auto" w:fill="EEECE1" w:themeFill="background2"/>
        <w:jc w:val="center"/>
        <w:rPr>
          <w:rFonts w:cs="Arial"/>
          <w:b/>
          <w:szCs w:val="22"/>
          <w:lang w:val="ru"/>
        </w:rPr>
      </w:pPr>
      <w:r>
        <w:rPr>
          <w:rFonts w:cs="Arial"/>
          <w:b/>
          <w:bCs/>
          <w:szCs w:val="22"/>
          <w:lang w:val="ru"/>
        </w:rPr>
        <w:t>ЧАСТЬ IV</w:t>
      </w:r>
      <w:r>
        <w:rPr>
          <w:rFonts w:cs="Arial"/>
          <w:b/>
          <w:bCs/>
          <w:szCs w:val="22"/>
          <w:lang w:val="ru"/>
        </w:rPr>
        <w:tab/>
        <w:t>План реализации в 2025–2027 гг.</w:t>
      </w:r>
    </w:p>
    <w:p w14:paraId="3D5CB9D0" w14:textId="77777777" w:rsidR="00B44C1E" w:rsidRPr="00884391" w:rsidRDefault="00B44C1E" w:rsidP="00B44C1E">
      <w:pPr>
        <w:jc w:val="both"/>
        <w:rPr>
          <w:rFonts w:cs="Arial"/>
          <w:szCs w:val="22"/>
          <w:lang w:val="ru"/>
        </w:rPr>
      </w:pPr>
    </w:p>
    <w:p w14:paraId="2A4EC935" w14:textId="77777777" w:rsidR="00AD507C" w:rsidRPr="003A6744" w:rsidRDefault="00AD507C" w:rsidP="00AD507C">
      <w:pPr>
        <w:jc w:val="both"/>
        <w:rPr>
          <w:rFonts w:cs="Arial"/>
          <w:b/>
          <w:color w:val="000000" w:themeColor="text1"/>
          <w:szCs w:val="22"/>
        </w:rPr>
      </w:pPr>
      <w:r>
        <w:rPr>
          <w:rFonts w:cs="Arial"/>
          <w:b/>
          <w:bCs/>
          <w:color w:val="000000" w:themeColor="text1"/>
          <w:szCs w:val="22"/>
          <w:lang w:val="ru"/>
        </w:rPr>
        <w:t>Сроки и ожидаемые результаты</w:t>
      </w:r>
    </w:p>
    <w:p w14:paraId="2B89B771" w14:textId="77777777" w:rsidR="00AD507C" w:rsidRPr="003A6744" w:rsidRDefault="00AD507C" w:rsidP="00AD507C">
      <w:pPr>
        <w:jc w:val="both"/>
        <w:rPr>
          <w:rFonts w:cs="Arial"/>
          <w:b/>
          <w:szCs w:val="22"/>
        </w:rPr>
      </w:pPr>
    </w:p>
    <w:p w14:paraId="5D4F44F0" w14:textId="77777777" w:rsidR="00AD507C" w:rsidRPr="00884391" w:rsidRDefault="00AD507C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ru"/>
        </w:rPr>
        <w:t xml:space="preserve">В настоящем документе представлены предлагаемые мероприятия, результаты, сроки, партнеры и бюджетные потребности для начала реализации Стратегии МОК-УОПУ </w:t>
      </w:r>
      <w:r>
        <w:rPr>
          <w:rFonts w:ascii="Arial" w:hAnsi="Arial" w:cs="Arial"/>
          <w:b/>
          <w:bCs/>
          <w:sz w:val="22"/>
          <w:szCs w:val="22"/>
          <w:lang w:val="ru"/>
        </w:rPr>
        <w:t>с середины 2025 года до конца 2027 года</w:t>
      </w:r>
      <w:r>
        <w:rPr>
          <w:rStyle w:val="FootnoteReference"/>
          <w:rFonts w:ascii="Arial" w:hAnsi="Arial" w:cs="Arial"/>
          <w:sz w:val="22"/>
          <w:szCs w:val="22"/>
          <w:lang w:val="ru"/>
        </w:rPr>
        <w:footnoteReference w:id="5"/>
      </w:r>
      <w:r>
        <w:rPr>
          <w:rFonts w:ascii="Arial" w:hAnsi="Arial" w:cs="Arial"/>
          <w:sz w:val="22"/>
          <w:szCs w:val="22"/>
          <w:lang w:val="ru"/>
        </w:rPr>
        <w:t xml:space="preserve"> и прогресс по пяти результатам, ожидаемым к 2030 году:</w:t>
      </w:r>
    </w:p>
    <w:p w14:paraId="4125F95C" w14:textId="77777777" w:rsidR="00AD507C" w:rsidRPr="003A6744" w:rsidRDefault="00AD507C" w:rsidP="00AD507C">
      <w:pPr>
        <w:ind w:firstLine="720"/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bCs/>
          <w:szCs w:val="22"/>
          <w:u w:val="single"/>
          <w:lang w:val="ru"/>
        </w:rPr>
        <w:t xml:space="preserve">Результат 1: </w:t>
      </w:r>
    </w:p>
    <w:p w14:paraId="68DC11E4" w14:textId="77777777" w:rsidR="00AD507C" w:rsidRPr="003A6744" w:rsidRDefault="00AD507C" w:rsidP="00840C53">
      <w:pPr>
        <w:spacing w:after="120"/>
        <w:ind w:left="720"/>
        <w:jc w:val="both"/>
        <w:rPr>
          <w:rFonts w:cs="Arial"/>
          <w:szCs w:val="22"/>
        </w:rPr>
      </w:pPr>
      <w:r>
        <w:rPr>
          <w:rFonts w:cs="Arial"/>
          <w:szCs w:val="22"/>
          <w:lang w:val="ru"/>
        </w:rPr>
        <w:t>Усиление подходов к политике океанического планирования и управления, подкрепленных научно-обоснованными инструментами и данными</w:t>
      </w:r>
    </w:p>
    <w:p w14:paraId="5DA73F01" w14:textId="77777777" w:rsidR="00AD507C" w:rsidRPr="003A6744" w:rsidRDefault="00AD507C" w:rsidP="00AD507C">
      <w:pPr>
        <w:ind w:firstLine="720"/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bCs/>
          <w:szCs w:val="22"/>
          <w:u w:val="single"/>
          <w:lang w:val="ru"/>
        </w:rPr>
        <w:t>Результат 2:</w:t>
      </w:r>
    </w:p>
    <w:p w14:paraId="7428E7C5" w14:textId="77777777" w:rsidR="00AD507C" w:rsidRPr="003A6744" w:rsidRDefault="00AD507C" w:rsidP="00884391">
      <w:pPr>
        <w:spacing w:after="120"/>
        <w:ind w:left="709" w:firstLine="11"/>
        <w:jc w:val="both"/>
        <w:rPr>
          <w:rFonts w:cs="Arial"/>
          <w:szCs w:val="22"/>
        </w:rPr>
      </w:pPr>
      <w:r>
        <w:rPr>
          <w:rFonts w:cs="Arial"/>
          <w:szCs w:val="22"/>
          <w:lang w:val="ru"/>
        </w:rPr>
        <w:t xml:space="preserve">Совершенствование интеграции океанических наблюдений, данных и знаний в процесс принятия решений </w:t>
      </w:r>
    </w:p>
    <w:p w14:paraId="60506BAC" w14:textId="77777777" w:rsidR="00AD507C" w:rsidRPr="003A6744" w:rsidRDefault="00AD507C" w:rsidP="00AD507C">
      <w:pPr>
        <w:ind w:firstLine="720"/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bCs/>
          <w:szCs w:val="22"/>
          <w:u w:val="single"/>
          <w:lang w:val="ru"/>
        </w:rPr>
        <w:t>Результат 3:</w:t>
      </w:r>
    </w:p>
    <w:p w14:paraId="083F901C" w14:textId="77777777" w:rsidR="00AD507C" w:rsidRPr="003A6744" w:rsidRDefault="00AD507C" w:rsidP="00840C53">
      <w:pPr>
        <w:spacing w:after="120"/>
        <w:ind w:left="720"/>
        <w:jc w:val="both"/>
        <w:rPr>
          <w:rFonts w:cs="Arial"/>
          <w:szCs w:val="22"/>
        </w:rPr>
      </w:pPr>
      <w:r>
        <w:rPr>
          <w:rFonts w:cs="Arial"/>
          <w:szCs w:val="22"/>
          <w:lang w:val="ru"/>
        </w:rPr>
        <w:t>Повышение согласованности и слаженности между секторами, через границы и на границе суши и моря</w:t>
      </w:r>
    </w:p>
    <w:p w14:paraId="098847DC" w14:textId="77777777" w:rsidR="00AD507C" w:rsidRPr="003A6744" w:rsidRDefault="00AD507C" w:rsidP="00AD507C">
      <w:pPr>
        <w:ind w:firstLine="720"/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bCs/>
          <w:szCs w:val="22"/>
          <w:u w:val="single"/>
          <w:lang w:val="ru"/>
        </w:rPr>
        <w:t>Результат 4:</w:t>
      </w:r>
    </w:p>
    <w:p w14:paraId="4C39738D" w14:textId="77777777" w:rsidR="00AD507C" w:rsidRPr="003A6744" w:rsidRDefault="00AD507C" w:rsidP="00840C53">
      <w:pPr>
        <w:spacing w:after="120"/>
        <w:ind w:firstLine="720"/>
        <w:jc w:val="both"/>
        <w:rPr>
          <w:rFonts w:cs="Arial"/>
          <w:szCs w:val="22"/>
        </w:rPr>
      </w:pPr>
      <w:r>
        <w:rPr>
          <w:rFonts w:cs="Arial"/>
          <w:szCs w:val="22"/>
          <w:lang w:val="ru"/>
        </w:rPr>
        <w:t xml:space="preserve">Повышение уровня знаний и потенциала заинтересованных сторон </w:t>
      </w:r>
    </w:p>
    <w:p w14:paraId="5312BDA4" w14:textId="77777777" w:rsidR="00AD507C" w:rsidRPr="003A6744" w:rsidRDefault="00AD507C" w:rsidP="00AD507C">
      <w:pPr>
        <w:ind w:firstLine="720"/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bCs/>
          <w:szCs w:val="22"/>
          <w:u w:val="single"/>
          <w:lang w:val="ru"/>
        </w:rPr>
        <w:t>Результат 5:</w:t>
      </w:r>
    </w:p>
    <w:p w14:paraId="1102191E" w14:textId="77777777" w:rsidR="00AD507C" w:rsidRPr="003A6744" w:rsidRDefault="00AD507C" w:rsidP="00840C53">
      <w:pPr>
        <w:spacing w:after="120"/>
        <w:ind w:left="720"/>
        <w:jc w:val="both"/>
        <w:rPr>
          <w:rFonts w:cs="Arial"/>
          <w:szCs w:val="22"/>
        </w:rPr>
      </w:pPr>
      <w:r>
        <w:rPr>
          <w:rFonts w:cs="Arial"/>
          <w:szCs w:val="22"/>
          <w:lang w:val="ru"/>
        </w:rPr>
        <w:t xml:space="preserve">Улучшение интеграции мер по адаптации к изменению климата, смягчению его последствий и обеспечению устойчивости прибрежных районов, а также по сохранению биоразнообразия </w:t>
      </w:r>
    </w:p>
    <w:p w14:paraId="0DC109F4" w14:textId="14668665" w:rsidR="00AD507C" w:rsidRPr="003A6744" w:rsidRDefault="00AD507C" w:rsidP="00AD507C">
      <w:pPr>
        <w:ind w:left="720"/>
        <w:jc w:val="both"/>
        <w:rPr>
          <w:rFonts w:cs="Arial"/>
          <w:szCs w:val="22"/>
        </w:rPr>
      </w:pPr>
      <w:r>
        <w:rPr>
          <w:rFonts w:cs="Arial"/>
          <w:szCs w:val="22"/>
          <w:lang w:val="ru"/>
        </w:rPr>
        <w:lastRenderedPageBreak/>
        <w:t>Обзор мероприятий, результатов, сроков, партнеров и необходимых ресурсов, а также связей с пятью ожидаемыми результатами представлен в таблице 1.</w:t>
      </w:r>
    </w:p>
    <w:p w14:paraId="41A78AFD" w14:textId="77777777" w:rsidR="00AD507C" w:rsidRPr="003A6744" w:rsidRDefault="00AD507C" w:rsidP="00AD507C">
      <w:pPr>
        <w:jc w:val="both"/>
        <w:rPr>
          <w:rFonts w:cs="Arial"/>
          <w:szCs w:val="22"/>
        </w:rPr>
      </w:pPr>
    </w:p>
    <w:p w14:paraId="538BF256" w14:textId="77777777" w:rsidR="00AD507C" w:rsidRPr="003A6744" w:rsidRDefault="00AD507C" w:rsidP="00AD507C">
      <w:pPr>
        <w:jc w:val="both"/>
        <w:rPr>
          <w:rFonts w:cs="Arial"/>
          <w:b/>
          <w:szCs w:val="22"/>
        </w:rPr>
      </w:pPr>
      <w:r>
        <w:rPr>
          <w:rFonts w:cs="Arial"/>
          <w:b/>
          <w:bCs/>
          <w:szCs w:val="22"/>
          <w:lang w:val="ru"/>
        </w:rPr>
        <w:t>Мероприятия</w:t>
      </w:r>
    </w:p>
    <w:p w14:paraId="3ADCB2B2" w14:textId="77777777" w:rsidR="00AD507C" w:rsidRPr="003A6744" w:rsidRDefault="00AD507C" w:rsidP="00AD507C">
      <w:pPr>
        <w:jc w:val="both"/>
        <w:rPr>
          <w:rFonts w:cs="Arial"/>
          <w:szCs w:val="22"/>
        </w:rPr>
      </w:pPr>
    </w:p>
    <w:p w14:paraId="3FC02E41" w14:textId="001A03AE" w:rsidR="00AD507C" w:rsidRPr="00884391" w:rsidRDefault="00702B44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 xml:space="preserve">Был определен комплекс </w:t>
      </w:r>
      <w:r>
        <w:rPr>
          <w:rFonts w:ascii="Arial" w:hAnsi="Arial" w:cs="Arial"/>
          <w:b/>
          <w:bCs/>
          <w:sz w:val="22"/>
          <w:szCs w:val="22"/>
          <w:lang w:val="ru"/>
        </w:rPr>
        <w:t>мероприятий,</w:t>
      </w:r>
      <w:r>
        <w:rPr>
          <w:rFonts w:ascii="Arial" w:hAnsi="Arial" w:cs="Arial"/>
          <w:sz w:val="22"/>
          <w:szCs w:val="22"/>
          <w:lang w:val="ru"/>
        </w:rPr>
        <w:t xml:space="preserve"> призванных </w:t>
      </w:r>
      <w:r>
        <w:rPr>
          <w:rFonts w:ascii="Arial" w:hAnsi="Arial" w:cs="Arial"/>
          <w:b/>
          <w:bCs/>
          <w:sz w:val="22"/>
          <w:szCs w:val="22"/>
          <w:lang w:val="ru"/>
        </w:rPr>
        <w:t>служить практическими шагами на пути к существенному прогрессу</w:t>
      </w:r>
      <w:r>
        <w:rPr>
          <w:rFonts w:ascii="Arial" w:hAnsi="Arial" w:cs="Arial"/>
          <w:sz w:val="22"/>
          <w:szCs w:val="22"/>
          <w:lang w:val="ru"/>
        </w:rPr>
        <w:t xml:space="preserve"> в достижении пяти ожидаемых результатов. Основанные на сильных сторонах МОК результаты и мероприятия на 2025-2027 годы тесно связаны с существующими программами и проектами и будут стратегически согласованы для содействия УОПУ, гарантируя, что приложенные усилия не останутся изолированными, а станут частью комплексной совместной работы. </w:t>
      </w:r>
    </w:p>
    <w:p w14:paraId="10887671" w14:textId="77777777" w:rsidR="00AD507C" w:rsidRPr="003A6744" w:rsidRDefault="00AD507C" w:rsidP="00AD507C">
      <w:pPr>
        <w:jc w:val="both"/>
        <w:rPr>
          <w:rFonts w:cs="Arial"/>
          <w:b/>
          <w:szCs w:val="22"/>
        </w:rPr>
      </w:pPr>
      <w:r>
        <w:rPr>
          <w:rFonts w:cs="Arial"/>
          <w:b/>
          <w:bCs/>
          <w:szCs w:val="22"/>
          <w:lang w:val="ru"/>
        </w:rPr>
        <w:t>Партнерства на основе сотрудничества</w:t>
      </w:r>
    </w:p>
    <w:p w14:paraId="5E349009" w14:textId="77777777" w:rsidR="00AD507C" w:rsidRPr="003A6744" w:rsidRDefault="00AD507C" w:rsidP="00AD507C">
      <w:pPr>
        <w:jc w:val="both"/>
        <w:rPr>
          <w:rFonts w:cs="Arial"/>
          <w:szCs w:val="22"/>
        </w:rPr>
      </w:pPr>
    </w:p>
    <w:p w14:paraId="218691F2" w14:textId="77777777" w:rsidR="00AD507C" w:rsidRPr="003A6744" w:rsidRDefault="00AD507C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 xml:space="preserve">Ключевым элементом для достижения результатов Стратегии МОК-УОПУ являются </w:t>
      </w:r>
      <w:r>
        <w:rPr>
          <w:rFonts w:ascii="Arial" w:hAnsi="Arial" w:cs="Arial"/>
          <w:b/>
          <w:bCs/>
          <w:sz w:val="22"/>
          <w:szCs w:val="22"/>
          <w:lang w:val="ru"/>
        </w:rPr>
        <w:t>партнерские связи</w:t>
      </w:r>
      <w:r>
        <w:rPr>
          <w:rFonts w:ascii="Arial" w:hAnsi="Arial" w:cs="Arial"/>
          <w:sz w:val="22"/>
          <w:szCs w:val="22"/>
          <w:lang w:val="ru"/>
        </w:rPr>
        <w:t>. Обширная сеть экспертов МОК и их приверженность глобальному и региональному сотрудничеству оказывают государствам-членам ценную поддержку в развитии потенциала по различным аспектам УОПУ. План реализации Стратегии МОК-УОПУ будет создавать и способствовать созданию партнерств на основе сотрудничества с многосторонними, региональными и секторальными органами, а также с инициативами, такими как Группа высокого уровня по устойчивой экономике океана или Глобальный договор ООН, с упором на техническую поддержку и координацию усилий для достижения общих целей. Для успешной реализации Стратегии МОК-УОПУ необходимо следующее:</w:t>
      </w:r>
    </w:p>
    <w:p w14:paraId="235149D7" w14:textId="77777777" w:rsidR="00840C53" w:rsidRPr="003A6744" w:rsidRDefault="00AD507C" w:rsidP="00840C53">
      <w:pPr>
        <w:pStyle w:val="ListParagraph"/>
        <w:numPr>
          <w:ilvl w:val="0"/>
          <w:numId w:val="29"/>
        </w:numPr>
        <w:tabs>
          <w:tab w:val="left" w:pos="709"/>
        </w:tabs>
        <w:spacing w:after="120"/>
        <w:ind w:left="1276" w:hanging="338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Региональное участие посредством четырех подкомиссий МОК</w:t>
      </w:r>
    </w:p>
    <w:p w14:paraId="1F971036" w14:textId="6076FEEB" w:rsidR="00AD507C" w:rsidRPr="00884391" w:rsidRDefault="00AD507C" w:rsidP="00840C53">
      <w:pPr>
        <w:pStyle w:val="ListParagraph"/>
        <w:spacing w:after="240"/>
        <w:ind w:left="697"/>
        <w:contextualSpacing w:val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 xml:space="preserve">Подкомиссии МОК (МОКАРИБ для Карибского бассейна, МОКАФРИКА для Африки, ВЕСТПАК для западной части Тихого океана и ИОСИНДИО для центральной части Индийского океана) на протяжении десятилетий играют важную роль в содействии региональному сотрудничеству и обмену знаниями с государствами-членами МОК. Они, прежде всего, поощряют сотрудничество на региональном уровне для решения связанных с океаном проблем, являющихся общими для государств-членов в каждом регионе, в соответствии с глобальными программами и обязательствами МОК. Стратегия МОК-УОПУ будет действовать на региональном и государственном уровнях, требуя взаимодействия между регионами и иными региональными группами, связанным с океаном, для определения региональных приоритетов и практических шагов, обеспечивающих оперативное реагирование на местные потребности и контексты на уровне региона. </w:t>
      </w:r>
    </w:p>
    <w:p w14:paraId="3BF167AE" w14:textId="77777777" w:rsidR="00840C53" w:rsidRPr="00884391" w:rsidRDefault="00AD507C" w:rsidP="00840C53">
      <w:pPr>
        <w:pStyle w:val="ListParagraph"/>
        <w:numPr>
          <w:ilvl w:val="0"/>
          <w:numId w:val="29"/>
        </w:numPr>
        <w:tabs>
          <w:tab w:val="left" w:pos="709"/>
        </w:tabs>
        <w:spacing w:after="120"/>
        <w:ind w:left="1276" w:hanging="310"/>
        <w:contextualSpacing w:val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Объединение усилий программ МОК и ЮНЕСКО</w:t>
      </w:r>
    </w:p>
    <w:p w14:paraId="4FCC2F9E" w14:textId="44423B80" w:rsidR="00AD507C" w:rsidRPr="00884391" w:rsidRDefault="00AD507C" w:rsidP="001D0986">
      <w:pPr>
        <w:pStyle w:val="ListParagraph"/>
        <w:spacing w:after="240"/>
        <w:ind w:left="697"/>
        <w:contextualSpacing w:val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 xml:space="preserve">Целью Стратегии МОК-УОПУ является обеспечение всеобъемлющего руководства программами и проектами МОК, согласованности усилий в рамках УОПУ, при этом программы и инициативы МОК также будут определять стратегию МОК-УОПУ и ее реализацию. Использование существующих инициатив и экспертных рекомендаций из таких сетей сотрудничества, как ГЕСАМП, ГСНО и МООД, позволит улучшить координацию наблюдений за океаном, сбора знаний об океане и усилий по сохранению и устойчивому использованию морской среды во всем мире. Ресурсы и данные станут доступны посредством платформ МОК с открытым доступом, таких как портал «Грамотность в связанных с океаном вопросах», ОДИС и ОБИС. Стратегия МОК-УОПУ также будет способствовать сотрудничеству и развитию потенциала посредством таких инициатив, как Глобальная академия «Океан-инструктор», онлайн-каталог «Развитие потенциала в области океанографии», а также путем привлечения начинающих специалистов-океанографов через Сеть начинающих специалистов-океанографов (НСО). В основе реализации Стратегии МОК-УОПУ будет лежать важная работа MSPGlobal как программы, реализуемой МОК, с учетом устоявшейся передовой практики. Кроме того, она позволит расширить и адаптировать эти ресурсы для охвата </w:t>
      </w:r>
      <w:r>
        <w:rPr>
          <w:rFonts w:ascii="Arial" w:hAnsi="Arial" w:cs="Arial"/>
          <w:sz w:val="22"/>
          <w:szCs w:val="22"/>
          <w:lang w:val="ru"/>
        </w:rPr>
        <w:lastRenderedPageBreak/>
        <w:t>более широкого объема УОПУ. МОК также сможет использовать опыт ЮНЕСКО в других сферах (например, сохранение биоразнообразия, системы знаний коренного и местного населения, гидрология, всемирное наследие, геопарки, биосферные заповедники) для реализации стратегии МОК-УОПУ и обеспечения уникального междисциплинарного подхода к управлению океаном в рамках ООН.</w:t>
      </w:r>
    </w:p>
    <w:p w14:paraId="0C8AE99C" w14:textId="77777777" w:rsidR="00840C53" w:rsidRPr="00884391" w:rsidRDefault="00AD507C" w:rsidP="001D0986">
      <w:pPr>
        <w:pStyle w:val="ListParagraph"/>
        <w:numPr>
          <w:ilvl w:val="0"/>
          <w:numId w:val="29"/>
        </w:numPr>
        <w:tabs>
          <w:tab w:val="left" w:pos="709"/>
        </w:tabs>
        <w:spacing w:after="120"/>
        <w:ind w:left="1276" w:hanging="296"/>
        <w:contextualSpacing w:val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Мобилизация усилий в рамках Десятилетия ООН, посвященного науке об океане</w:t>
      </w:r>
    </w:p>
    <w:p w14:paraId="5C154006" w14:textId="66880DEB" w:rsidR="00AD507C" w:rsidRPr="00884391" w:rsidRDefault="00AD507C" w:rsidP="001D0986">
      <w:pPr>
        <w:pStyle w:val="ListParagraph"/>
        <w:spacing w:after="240"/>
        <w:ind w:left="697"/>
        <w:contextualSpacing w:val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>Задача МОК заключается в координации реализации Десятилетия ООН, посвященного науке об океане. Стратегия МОК-УОПУ и ее реализация будут основываться на мероприятиях в рамках Десятилетия науки об океане и одновременно подкреплять их. В частности, Программа устойчивого океанического планирования (УОП) Десятилетия науки об океане будет играть важную роль вспомогательного и стимулирующего инструмента для деятельности государств-членов в области УОПУ. Развитие инициатив программы по совместной разработке и осуществлению мероприятий позволит гарантировать, что деятельность в рамках МОК будет направлена ​​на устранение критических пробелов в науке, знаниях, потенциале и деятельности государств-членов, а также на адаптацию и уточнение приоритетов для решения возникающих проблем. Такое взаимодействие имеет решающее значение для достижения целей Стратегии МОК-УОПУ, способствуя созданию интегрированного, адаптивного и устойчивого УОПУ, укрепляющего глобальное и региональное сотрудничество и способствующего устойчивости и справедливости экономик океана в долгосрочной перспективе.</w:t>
      </w:r>
    </w:p>
    <w:p w14:paraId="547FC9FF" w14:textId="77777777" w:rsidR="00840C53" w:rsidRPr="003A6744" w:rsidRDefault="00AD507C" w:rsidP="001D0986">
      <w:pPr>
        <w:pStyle w:val="ListParagraph"/>
        <w:numPr>
          <w:ilvl w:val="0"/>
          <w:numId w:val="29"/>
        </w:numPr>
        <w:tabs>
          <w:tab w:val="left" w:pos="709"/>
        </w:tabs>
        <w:spacing w:after="120"/>
        <w:ind w:left="1276" w:hanging="268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Сотрудничество с внешними участниками</w:t>
      </w:r>
    </w:p>
    <w:p w14:paraId="3AEDDE47" w14:textId="49E39504" w:rsidR="00AD507C" w:rsidRPr="00884391" w:rsidRDefault="00AD507C" w:rsidP="00840C53">
      <w:pPr>
        <w:pStyle w:val="ListParagraph"/>
        <w:spacing w:after="240"/>
        <w:ind w:left="697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>Опираясь на существующие партнерства, МОК будет использовать реализацию Стратегии МОК-УОПУ для взаимодействия с различными организациями, входящими и не входящими в систему ООН, включая, помимо прочего, Программу ООН по окружающей среде (ЮНЕП), Всемирную метеорологическую организацию (ВМО), Международную морскую организацию (ИМО), Конвенцию о биологическом разнообразии (КБР), Программу развития Организации Объединенных Наций (ПРООН), Международный орган по морскому дну (МОМД), Организацию по вопросам продовольствия и сельского хозяйств (ФАО), Европейский союз (ЕС) и Коалицию по защите океана-2030, Глобальный договор ООН и Группу высокого уровня по устойчивой экономике океана. Сотрудничество с неправительственными организациями (НПО), такими как, Глобальное партнерство по учету ресурсов океана (GOAP)</w:t>
      </w:r>
      <w:r>
        <w:rPr>
          <w:rStyle w:val="FootnoteReference"/>
          <w:rFonts w:ascii="Arial" w:hAnsi="Arial" w:cs="Arial"/>
          <w:sz w:val="22"/>
          <w:szCs w:val="22"/>
          <w:lang w:val="ru"/>
        </w:rPr>
        <w:footnoteReference w:id="6"/>
      </w:r>
      <w:r>
        <w:rPr>
          <w:rFonts w:ascii="Arial" w:hAnsi="Arial" w:cs="Arial"/>
          <w:sz w:val="22"/>
          <w:szCs w:val="22"/>
          <w:lang w:val="ru"/>
        </w:rPr>
        <w:t xml:space="preserve">, позволит использовать экспертные знания в области пропаганды, взаимодействия с общественностью, а также знания коренного и местного населения для более инклюзивного и справедливого УОПУ. Взаимодействие с академическими учреждениями будет способствовать научному прогрессу, обоснованному принятию решений и обеспечит обучение практикующих специалистов в сфере УОПУ. Партнерство с частным сектором поможет максимально эффективно использовать ресурсы, инновации и отраслевой опыт. Сотрудничество с каналами коммуникации будет способствовать повышению осведомленности, поощрению участия общественности и разъяснению важности УОПУ. Эти партнерства будут стимулировать исследования, инновации и обмен знаниями, приводя к появлению передовых инструментов и методологий для эффективного УОПУ. </w:t>
      </w:r>
    </w:p>
    <w:p w14:paraId="6FBA33FE" w14:textId="77777777" w:rsidR="00AD507C" w:rsidRPr="003A6744" w:rsidRDefault="00AD507C" w:rsidP="00AD507C">
      <w:pPr>
        <w:jc w:val="both"/>
        <w:rPr>
          <w:rFonts w:cs="Arial"/>
          <w:b/>
          <w:szCs w:val="22"/>
        </w:rPr>
      </w:pPr>
      <w:r>
        <w:rPr>
          <w:rFonts w:cs="Arial"/>
          <w:b/>
          <w:bCs/>
          <w:szCs w:val="22"/>
          <w:lang w:val="ru"/>
        </w:rPr>
        <w:t>Бюджетные потребности</w:t>
      </w:r>
    </w:p>
    <w:p w14:paraId="55697BE7" w14:textId="77777777" w:rsidR="00AD507C" w:rsidRPr="003A6744" w:rsidRDefault="00AD507C" w:rsidP="00AD507C">
      <w:pPr>
        <w:jc w:val="both"/>
        <w:rPr>
          <w:rFonts w:cs="Arial"/>
          <w:szCs w:val="22"/>
        </w:rPr>
      </w:pPr>
    </w:p>
    <w:p w14:paraId="4AC324A9" w14:textId="1E0B89FB" w:rsidR="00AD507C" w:rsidRPr="00884391" w:rsidRDefault="00AD507C" w:rsidP="00CB3B8F">
      <w:pPr>
        <w:pStyle w:val="ListParagraph"/>
        <w:numPr>
          <w:ilvl w:val="0"/>
          <w:numId w:val="10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ru"/>
        </w:rPr>
      </w:pPr>
      <w:r>
        <w:rPr>
          <w:rFonts w:ascii="Arial" w:hAnsi="Arial" w:cs="Arial"/>
          <w:sz w:val="22"/>
          <w:szCs w:val="22"/>
          <w:lang w:val="ru"/>
        </w:rPr>
        <w:t xml:space="preserve">Начальный этап реализации и координации стратегии МОК-УОПУ будет осуществляться за счет стартового финансирования, предоставляемого в рамках регулярных программных ассигнований КУПР/МПП МОК (Функция E: Устойчивое управление и </w:t>
      </w:r>
      <w:r>
        <w:rPr>
          <w:rFonts w:ascii="Arial" w:hAnsi="Arial" w:cs="Arial"/>
          <w:sz w:val="22"/>
          <w:szCs w:val="22"/>
          <w:lang w:val="ru"/>
        </w:rPr>
        <w:lastRenderedPageBreak/>
        <w:t xml:space="preserve">руководство). Однако с течением времени </w:t>
      </w:r>
      <w:r>
        <w:rPr>
          <w:rFonts w:ascii="Arial" w:hAnsi="Arial" w:cs="Arial"/>
          <w:b/>
          <w:bCs/>
          <w:sz w:val="22"/>
          <w:szCs w:val="22"/>
          <w:lang w:val="ru"/>
        </w:rPr>
        <w:t>для достижения существенного прогресса потребуется дополнительное финансирование за счет добровольных взносов, в том числе на уровне программ МОК, для поддержки реализации целей УОПУ.</w:t>
      </w:r>
      <w:r>
        <w:rPr>
          <w:rFonts w:ascii="Arial" w:hAnsi="Arial" w:cs="Arial"/>
          <w:sz w:val="22"/>
          <w:szCs w:val="22"/>
          <w:lang w:val="ru"/>
        </w:rPr>
        <w:t xml:space="preserve"> Ключевым приоритетом мероприятий Плана реализации на 2025–2027 гг. является выявление и привлечение лиц, принимающих решения, и специалистов, ответственных за УОПУ, в государствах-членах МОК, которые являются конечными пользователями в цепочке приращения стоимости МОК (мероприятие 1 в таблице 1), а также разработка мероприятий и результатов совместно с программами и региональными подкомиссиями МОК. Ожидается, что ресурсы для Стратегии МОК-УОПУ останутся децентрализованными, при этом каждая программа будет определять свой вклад на основе выделенных бюджетов. Консультации с программами и региональными подкомиссиями МОК позволят определить результаты, соответствующие потребностям конечных пользователей, которые могут быть получены на основе существующих портфелей и стратегий программ МОК. Новые финансовые потребности будут включены в более широкую стратегию мобилизации ресурсов МОК. </w:t>
      </w:r>
    </w:p>
    <w:p w14:paraId="6FD1C7B6" w14:textId="465131B0" w:rsidR="00AD507C" w:rsidRPr="00884391" w:rsidRDefault="00AD507C" w:rsidP="00AD507C">
      <w:pPr>
        <w:jc w:val="both"/>
        <w:rPr>
          <w:rFonts w:cs="Arial"/>
          <w:b/>
          <w:iCs/>
          <w:szCs w:val="22"/>
          <w:lang w:val="ru"/>
        </w:rPr>
      </w:pPr>
      <w:r>
        <w:rPr>
          <w:rFonts w:cs="Arial"/>
          <w:b/>
          <w:bCs/>
          <w:szCs w:val="22"/>
          <w:lang w:val="ru"/>
        </w:rPr>
        <w:t>Таблица 1: Мероприятия, результаты, сроки партнеры и ресурсы для реализации Общей стратегии МОК в период с середины 2025 года до конца 2027 года</w:t>
      </w:r>
    </w:p>
    <w:p w14:paraId="5B913A47" w14:textId="77777777" w:rsidR="00486CB6" w:rsidRPr="00884391" w:rsidRDefault="00486CB6" w:rsidP="00AD507C">
      <w:pPr>
        <w:jc w:val="both"/>
        <w:rPr>
          <w:rFonts w:cs="Arial"/>
          <w:b/>
          <w:szCs w:val="22"/>
          <w:lang w:val="ru"/>
        </w:rPr>
      </w:pPr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993"/>
        <w:gridCol w:w="1701"/>
        <w:gridCol w:w="1417"/>
        <w:gridCol w:w="1276"/>
      </w:tblGrid>
      <w:tr w:rsidR="00AD507C" w:rsidRPr="003A6744" w14:paraId="3814324C" w14:textId="77777777" w:rsidTr="001D0986">
        <w:trPr>
          <w:tblHeader/>
        </w:trPr>
        <w:tc>
          <w:tcPr>
            <w:tcW w:w="2410" w:type="dxa"/>
          </w:tcPr>
          <w:p w14:paraId="4CE74CBC" w14:textId="77777777" w:rsidR="00AD507C" w:rsidRPr="003A6744" w:rsidRDefault="00AD507C" w:rsidP="00994754">
            <w:pPr>
              <w:jc w:val="both"/>
              <w:rPr>
                <w:rFonts w:cs="Arial"/>
                <w:b/>
                <w:bCs/>
                <w:iCs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ru"/>
              </w:rPr>
              <w:t>Мероприятия</w:t>
            </w:r>
          </w:p>
        </w:tc>
        <w:tc>
          <w:tcPr>
            <w:tcW w:w="2268" w:type="dxa"/>
          </w:tcPr>
          <w:p w14:paraId="6077B95D" w14:textId="77777777" w:rsidR="00AD507C" w:rsidRPr="003A6744" w:rsidRDefault="00AD507C" w:rsidP="00994754">
            <w:pPr>
              <w:jc w:val="both"/>
              <w:rPr>
                <w:rFonts w:cs="Arial"/>
                <w:b/>
                <w:bCs/>
                <w:iCs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ru"/>
              </w:rPr>
              <w:t>Результаты</w:t>
            </w:r>
          </w:p>
        </w:tc>
        <w:tc>
          <w:tcPr>
            <w:tcW w:w="993" w:type="dxa"/>
          </w:tcPr>
          <w:p w14:paraId="6C0F024B" w14:textId="77777777" w:rsidR="00AD507C" w:rsidRPr="003A6744" w:rsidRDefault="00AD507C" w:rsidP="00994754">
            <w:pPr>
              <w:jc w:val="both"/>
              <w:rPr>
                <w:rFonts w:cs="Arial"/>
                <w:b/>
                <w:bCs/>
                <w:iCs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ru"/>
              </w:rPr>
              <w:t>Сроки</w:t>
            </w:r>
          </w:p>
        </w:tc>
        <w:tc>
          <w:tcPr>
            <w:tcW w:w="1701" w:type="dxa"/>
          </w:tcPr>
          <w:p w14:paraId="16D7EB76" w14:textId="43AAC83D" w:rsidR="00AD507C" w:rsidRPr="003A6744" w:rsidRDefault="00AD507C" w:rsidP="00994754">
            <w:pPr>
              <w:jc w:val="both"/>
              <w:rPr>
                <w:rFonts w:cs="Arial"/>
                <w:b/>
                <w:bCs/>
                <w:iCs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ru"/>
              </w:rPr>
              <w:t>Партнеры</w:t>
            </w:r>
          </w:p>
        </w:tc>
        <w:tc>
          <w:tcPr>
            <w:tcW w:w="1417" w:type="dxa"/>
          </w:tcPr>
          <w:p w14:paraId="7470DD37" w14:textId="77777777" w:rsidR="00AD507C" w:rsidRPr="003A6744" w:rsidRDefault="00AD507C" w:rsidP="00994754">
            <w:pPr>
              <w:jc w:val="both"/>
              <w:rPr>
                <w:rFonts w:cs="Arial"/>
                <w:b/>
                <w:bCs/>
                <w:iCs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ru"/>
              </w:rPr>
              <w:t xml:space="preserve">Ресурсы </w:t>
            </w:r>
          </w:p>
        </w:tc>
        <w:tc>
          <w:tcPr>
            <w:tcW w:w="1276" w:type="dxa"/>
          </w:tcPr>
          <w:p w14:paraId="28E36E88" w14:textId="77777777" w:rsidR="00AD507C" w:rsidRPr="003A6744" w:rsidRDefault="00AD507C" w:rsidP="00994754">
            <w:pPr>
              <w:jc w:val="both"/>
              <w:rPr>
                <w:rFonts w:cs="Arial"/>
                <w:b/>
                <w:bCs/>
                <w:iCs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ru"/>
              </w:rPr>
              <w:t>Ожидаемый результат</w:t>
            </w:r>
          </w:p>
        </w:tc>
      </w:tr>
      <w:tr w:rsidR="00AD507C" w:rsidRPr="003A6744" w14:paraId="6F3A2571" w14:textId="77777777" w:rsidTr="00253713">
        <w:tc>
          <w:tcPr>
            <w:tcW w:w="2410" w:type="dxa"/>
          </w:tcPr>
          <w:p w14:paraId="79DA4DBF" w14:textId="4D421D9B" w:rsidR="00AD507C" w:rsidRPr="003A6744" w:rsidRDefault="00AD507C" w:rsidP="00994754">
            <w:pPr>
              <w:rPr>
                <w:rFonts w:cs="Arial"/>
                <w:b/>
                <w:bCs/>
                <w:iCs/>
                <w:szCs w:val="22"/>
                <w:u w:val="single"/>
              </w:rPr>
            </w:pPr>
            <w:r>
              <w:rPr>
                <w:rFonts w:cs="Arial"/>
                <w:b/>
                <w:bCs/>
                <w:szCs w:val="22"/>
                <w:u w:val="single"/>
                <w:lang w:val="ru"/>
              </w:rPr>
              <w:t xml:space="preserve">Мероприятие 1: </w:t>
            </w:r>
          </w:p>
          <w:p w14:paraId="46E584CF" w14:textId="77777777" w:rsidR="00AD507C" w:rsidRPr="003A6744" w:rsidRDefault="00AD507C" w:rsidP="00994754">
            <w:pPr>
              <w:rPr>
                <w:rFonts w:cs="Arial"/>
                <w:iCs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 xml:space="preserve">Определение лиц, принимающих решения, и специалистов, ответственных за УОПУ, в государствах-членах МОК, и создание соответствующих механизмов для их взаимодействия как конечных пользователей в цепочке приращения стоимости МОК. </w:t>
            </w:r>
          </w:p>
          <w:p w14:paraId="6E24CCBE" w14:textId="77777777" w:rsidR="00AD507C" w:rsidRPr="003A6744" w:rsidRDefault="00AD507C" w:rsidP="00994754">
            <w:pPr>
              <w:rPr>
                <w:rFonts w:cs="Arial"/>
                <w:b/>
                <w:bCs/>
                <w:iCs/>
                <w:szCs w:val="22"/>
                <w:u w:val="single"/>
              </w:rPr>
            </w:pPr>
          </w:p>
          <w:p w14:paraId="14CF832C" w14:textId="77777777" w:rsidR="00AD507C" w:rsidRPr="003A6744" w:rsidRDefault="00AD507C" w:rsidP="00994754">
            <w:pPr>
              <w:rPr>
                <w:rFonts w:cs="Arial"/>
                <w:b/>
                <w:bCs/>
                <w:iCs/>
                <w:szCs w:val="22"/>
                <w:u w:val="single"/>
              </w:rPr>
            </w:pPr>
          </w:p>
          <w:p w14:paraId="77E7E2E8" w14:textId="77777777" w:rsidR="00AD507C" w:rsidRPr="003A6744" w:rsidRDefault="00AD507C" w:rsidP="00994754">
            <w:pPr>
              <w:rPr>
                <w:rFonts w:cs="Arial"/>
                <w:b/>
                <w:bCs/>
                <w:color w:val="000000" w:themeColor="text1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15F8D9C4" w14:textId="01D825F1" w:rsidR="00AD507C" w:rsidRPr="003A6744" w:rsidRDefault="002801C4" w:rsidP="00994754">
            <w:pPr>
              <w:shd w:val="clear" w:color="auto" w:fill="FFFFFF" w:themeFill="background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Глобальная сеть лиц, принимающих решения, и специалистов, ответственных за УОПУ, в государствах-членах МОК, которые активно взаимодействуют с помощью соответствующих механизмов с целью точной реализации программы МОК по УОПУ</w:t>
            </w:r>
          </w:p>
        </w:tc>
        <w:tc>
          <w:tcPr>
            <w:tcW w:w="993" w:type="dxa"/>
          </w:tcPr>
          <w:p w14:paraId="06C6F4DF" w14:textId="77777777" w:rsidR="00AD507C" w:rsidRPr="003A6744" w:rsidRDefault="00AD507C" w:rsidP="00994754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Год 1+2</w:t>
            </w:r>
          </w:p>
        </w:tc>
        <w:tc>
          <w:tcPr>
            <w:tcW w:w="1701" w:type="dxa"/>
          </w:tcPr>
          <w:p w14:paraId="19ACB920" w14:textId="77777777" w:rsidR="00A54408" w:rsidRPr="003A6744" w:rsidRDefault="00A54408" w:rsidP="00994754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ru"/>
              </w:rPr>
              <w:t>Ведущий партнер:</w:t>
            </w:r>
            <w:r>
              <w:rPr>
                <w:rFonts w:cs="Arial"/>
                <w:szCs w:val="22"/>
                <w:lang w:val="ru"/>
              </w:rPr>
              <w:t xml:space="preserve"> Секция морской политики и региональной координации МОК</w:t>
            </w:r>
          </w:p>
          <w:p w14:paraId="1246B740" w14:textId="77777777" w:rsidR="00A54408" w:rsidRPr="003A6744" w:rsidRDefault="00A54408" w:rsidP="00994754">
            <w:pPr>
              <w:rPr>
                <w:rFonts w:cs="Arial"/>
                <w:szCs w:val="22"/>
              </w:rPr>
            </w:pPr>
          </w:p>
          <w:p w14:paraId="3DF0D5B0" w14:textId="2BDFC8C9" w:rsidR="00A54408" w:rsidRPr="003A6744" w:rsidRDefault="00A54408" w:rsidP="00994754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ru"/>
              </w:rPr>
              <w:t>В сотрудничестве с:</w:t>
            </w:r>
          </w:p>
          <w:p w14:paraId="5B4286B2" w14:textId="5C3441F3" w:rsidR="00AD507C" w:rsidRPr="003A6744" w:rsidRDefault="00AD507C" w:rsidP="009947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Региональными подкомиссиями МОК</w:t>
            </w:r>
          </w:p>
          <w:p w14:paraId="223638A0" w14:textId="77777777" w:rsidR="00AD507C" w:rsidRPr="003A6744" w:rsidRDefault="00AD507C" w:rsidP="009947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Всеми программами МОК</w:t>
            </w:r>
          </w:p>
          <w:p w14:paraId="1527236D" w14:textId="5BD2F858" w:rsidR="00AD507C" w:rsidRPr="003A6744" w:rsidRDefault="00AD507C" w:rsidP="009947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MSPGlobal</w:t>
            </w:r>
          </w:p>
          <w:p w14:paraId="61F94545" w14:textId="43269F5C" w:rsidR="00A54408" w:rsidRPr="003A6744" w:rsidRDefault="00AD507C" w:rsidP="009947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Программами в рамках Десятилетия науки об океане, включая Программу УОП</w:t>
            </w:r>
          </w:p>
          <w:p w14:paraId="32E3584F" w14:textId="77777777" w:rsidR="00A54408" w:rsidRPr="003A6744" w:rsidRDefault="00A54408" w:rsidP="00994754">
            <w:pPr>
              <w:rPr>
                <w:rFonts w:cs="Arial"/>
                <w:szCs w:val="22"/>
              </w:rPr>
            </w:pPr>
          </w:p>
          <w:p w14:paraId="6C7471C2" w14:textId="6D758BF5" w:rsidR="002801C4" w:rsidRPr="003A6744" w:rsidRDefault="00AD507C" w:rsidP="009947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Прочими учреждениями системы ООН и соответствую</w:t>
            </w:r>
            <w:r>
              <w:rPr>
                <w:rFonts w:cs="Arial"/>
                <w:szCs w:val="22"/>
                <w:lang w:val="ru"/>
              </w:rPr>
              <w:lastRenderedPageBreak/>
              <w:t>щими внешними партнерами</w:t>
            </w:r>
          </w:p>
        </w:tc>
        <w:tc>
          <w:tcPr>
            <w:tcW w:w="1417" w:type="dxa"/>
          </w:tcPr>
          <w:p w14:paraId="4A3D006F" w14:textId="77777777" w:rsidR="00AD507C" w:rsidRPr="003A6744" w:rsidRDefault="00AD507C" w:rsidP="00994754">
            <w:pPr>
              <w:jc w:val="both"/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szCs w:val="22"/>
                <w:lang w:val="ru"/>
              </w:rPr>
              <w:lastRenderedPageBreak/>
              <w:t>Существующие ресурсы/</w:t>
            </w:r>
          </w:p>
          <w:p w14:paraId="21467DD0" w14:textId="77777777" w:rsidR="00AD507C" w:rsidRPr="003A6744" w:rsidRDefault="00AD507C" w:rsidP="00994754">
            <w:pPr>
              <w:jc w:val="both"/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Привлечение новых ресурсов</w:t>
            </w:r>
          </w:p>
        </w:tc>
        <w:tc>
          <w:tcPr>
            <w:tcW w:w="1276" w:type="dxa"/>
          </w:tcPr>
          <w:p w14:paraId="28556616" w14:textId="77777777" w:rsidR="00AD507C" w:rsidRPr="003A6744" w:rsidRDefault="00AD507C" w:rsidP="00994754">
            <w:pPr>
              <w:jc w:val="both"/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1, 3, 5</w:t>
            </w:r>
          </w:p>
        </w:tc>
      </w:tr>
      <w:tr w:rsidR="00AD507C" w:rsidRPr="003A6744" w14:paraId="6DA5D75B" w14:textId="77777777" w:rsidTr="00253713">
        <w:tc>
          <w:tcPr>
            <w:tcW w:w="2410" w:type="dxa"/>
          </w:tcPr>
          <w:p w14:paraId="24BB5CE2" w14:textId="77777777" w:rsidR="00AD507C" w:rsidRPr="003A6744" w:rsidRDefault="00AD507C" w:rsidP="00994754">
            <w:pPr>
              <w:rPr>
                <w:rFonts w:cs="Arial"/>
                <w:b/>
                <w:bCs/>
                <w:color w:val="000000" w:themeColor="text1"/>
                <w:szCs w:val="22"/>
                <w:u w:val="single"/>
              </w:rPr>
            </w:pPr>
            <w:r>
              <w:rPr>
                <w:rFonts w:cs="Arial"/>
                <w:b/>
                <w:bCs/>
                <w:color w:val="000000" w:themeColor="text1"/>
                <w:szCs w:val="22"/>
                <w:u w:val="single"/>
                <w:lang w:val="ru"/>
              </w:rPr>
              <w:t>Мероприятие 2:</w:t>
            </w:r>
          </w:p>
          <w:p w14:paraId="42E7151B" w14:textId="77777777" w:rsidR="00AD507C" w:rsidRPr="003A6744" w:rsidRDefault="00AD507C" w:rsidP="00994754">
            <w:pPr>
              <w:rPr>
                <w:rFonts w:cs="Arial"/>
                <w:szCs w:val="22"/>
              </w:rPr>
            </w:pPr>
            <w:r>
              <w:rPr>
                <w:rFonts w:eastAsia="Segoe UI" w:cs="Arial"/>
                <w:color w:val="000000" w:themeColor="text1"/>
                <w:szCs w:val="22"/>
                <w:lang w:val="ru"/>
              </w:rPr>
              <w:t xml:space="preserve">Разработка плана коммуникаций и материалов для повышения глобальной осведомленности об УОПУ и внутригосударственных структурах, необходимых для успешной разработки УОПУ </w:t>
            </w:r>
          </w:p>
        </w:tc>
        <w:tc>
          <w:tcPr>
            <w:tcW w:w="2268" w:type="dxa"/>
          </w:tcPr>
          <w:p w14:paraId="36217FD4" w14:textId="77777777" w:rsidR="00AD507C" w:rsidRPr="003A6744" w:rsidRDefault="00AD507C" w:rsidP="00994754">
            <w:pPr>
              <w:shd w:val="clear" w:color="auto" w:fill="FFFFFF" w:themeFill="background1"/>
              <w:rPr>
                <w:rFonts w:cs="Arial"/>
                <w:szCs w:val="22"/>
              </w:rPr>
            </w:pPr>
            <w:r>
              <w:rPr>
                <w:rFonts w:cs="Arial"/>
                <w:color w:val="333333"/>
                <w:szCs w:val="22"/>
                <w:lang w:val="ru"/>
              </w:rPr>
              <w:t>- П</w:t>
            </w:r>
            <w:r>
              <w:rPr>
                <w:rFonts w:cs="Arial"/>
                <w:szCs w:val="22"/>
                <w:lang w:val="ru"/>
              </w:rPr>
              <w:t xml:space="preserve">лан коммуникаций </w:t>
            </w:r>
            <w:r>
              <w:rPr>
                <w:rFonts w:cs="Arial"/>
                <w:color w:val="333333"/>
                <w:szCs w:val="22"/>
                <w:lang w:val="ru"/>
              </w:rPr>
              <w:t>на тему причин, сути, способа и места УОПУ и роли МОК</w:t>
            </w:r>
          </w:p>
          <w:p w14:paraId="3E31CBBF" w14:textId="77777777" w:rsidR="00AD507C" w:rsidRPr="003A6744" w:rsidRDefault="00AD507C" w:rsidP="00994754">
            <w:pPr>
              <w:shd w:val="clear" w:color="auto" w:fill="FFFFFF" w:themeFill="background1"/>
              <w:rPr>
                <w:rFonts w:eastAsiaTheme="minorEastAsia" w:cs="Arial"/>
                <w:szCs w:val="22"/>
              </w:rPr>
            </w:pPr>
          </w:p>
          <w:p w14:paraId="17622F2A" w14:textId="77777777" w:rsidR="00AD507C" w:rsidRPr="003A6744" w:rsidRDefault="00AD507C" w:rsidP="00994754">
            <w:pPr>
              <w:shd w:val="clear" w:color="auto" w:fill="FFFFFF" w:themeFill="background1"/>
              <w:rPr>
                <w:rFonts w:cs="Arial"/>
                <w:szCs w:val="22"/>
              </w:rPr>
            </w:pPr>
            <w:r>
              <w:rPr>
                <w:rFonts w:eastAsiaTheme="minorEastAsia" w:cs="Arial"/>
                <w:szCs w:val="22"/>
                <w:lang w:val="ru"/>
              </w:rPr>
              <w:t>- Многоязычные коммуникационные материалы для повышения осведомленности об УОПУ и Стратегии МОК-УОПУ</w:t>
            </w:r>
          </w:p>
          <w:p w14:paraId="2CB80A64" w14:textId="77777777" w:rsidR="00AD507C" w:rsidRPr="003A6744" w:rsidRDefault="00AD507C" w:rsidP="00994754">
            <w:pPr>
              <w:shd w:val="clear" w:color="auto" w:fill="FFFFFF" w:themeFill="background1"/>
              <w:rPr>
                <w:rFonts w:eastAsiaTheme="minorEastAsia" w:cs="Arial"/>
                <w:szCs w:val="22"/>
              </w:rPr>
            </w:pPr>
          </w:p>
          <w:p w14:paraId="2B7377A5" w14:textId="77777777" w:rsidR="00AD507C" w:rsidRPr="003A6744" w:rsidRDefault="00AD507C" w:rsidP="00994754">
            <w:pPr>
              <w:rPr>
                <w:rFonts w:cs="Arial"/>
                <w:bCs/>
                <w:szCs w:val="22"/>
              </w:rPr>
            </w:pPr>
            <w:r>
              <w:rPr>
                <w:rFonts w:eastAsiaTheme="minorEastAsia" w:cs="Arial"/>
                <w:szCs w:val="22"/>
                <w:lang w:val="ru"/>
              </w:rPr>
              <w:t>- Параллельные мероприятия на международных площадках для демонстрации стратегии и концепций МОК-УОПУ</w:t>
            </w:r>
          </w:p>
        </w:tc>
        <w:tc>
          <w:tcPr>
            <w:tcW w:w="993" w:type="dxa"/>
          </w:tcPr>
          <w:p w14:paraId="07C1BC34" w14:textId="77777777" w:rsidR="00AD507C" w:rsidRPr="003A6744" w:rsidRDefault="00AD507C" w:rsidP="00994754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Год 1</w:t>
            </w:r>
          </w:p>
          <w:p w14:paraId="2E5DC067" w14:textId="77777777" w:rsidR="00AD507C" w:rsidRPr="003A6744" w:rsidRDefault="00AD507C" w:rsidP="00994754">
            <w:pPr>
              <w:jc w:val="both"/>
              <w:rPr>
                <w:rFonts w:cs="Arial"/>
                <w:szCs w:val="22"/>
              </w:rPr>
            </w:pPr>
          </w:p>
          <w:p w14:paraId="5DAAFB05" w14:textId="77777777" w:rsidR="00AD507C" w:rsidRPr="003A6744" w:rsidRDefault="00AD507C" w:rsidP="00994754">
            <w:pPr>
              <w:jc w:val="both"/>
              <w:rPr>
                <w:rFonts w:cs="Arial"/>
                <w:szCs w:val="22"/>
              </w:rPr>
            </w:pPr>
          </w:p>
          <w:p w14:paraId="036CD339" w14:textId="77777777" w:rsidR="00AD507C" w:rsidRPr="003A6744" w:rsidRDefault="00AD507C" w:rsidP="00994754">
            <w:pPr>
              <w:jc w:val="both"/>
              <w:rPr>
                <w:rFonts w:cs="Arial"/>
                <w:szCs w:val="22"/>
              </w:rPr>
            </w:pPr>
          </w:p>
          <w:p w14:paraId="00EFF479" w14:textId="77777777" w:rsidR="00AD507C" w:rsidRPr="003A6744" w:rsidRDefault="00AD507C" w:rsidP="00994754">
            <w:pPr>
              <w:jc w:val="both"/>
              <w:rPr>
                <w:rFonts w:cs="Arial"/>
                <w:szCs w:val="22"/>
              </w:rPr>
            </w:pPr>
          </w:p>
          <w:p w14:paraId="29DF06AA" w14:textId="77777777" w:rsidR="002F71CB" w:rsidRPr="003A6744" w:rsidRDefault="002F71CB" w:rsidP="00994754">
            <w:pPr>
              <w:jc w:val="both"/>
              <w:rPr>
                <w:rFonts w:cs="Arial"/>
                <w:szCs w:val="22"/>
              </w:rPr>
            </w:pPr>
          </w:p>
          <w:p w14:paraId="1082735E" w14:textId="6C0F75D5" w:rsidR="00AD507C" w:rsidRPr="003A6744" w:rsidRDefault="00AD507C" w:rsidP="00994754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Год 1</w:t>
            </w:r>
          </w:p>
          <w:p w14:paraId="77909378" w14:textId="77777777" w:rsidR="00AD507C" w:rsidRPr="003A6744" w:rsidRDefault="00AD507C" w:rsidP="00994754">
            <w:pPr>
              <w:jc w:val="both"/>
              <w:rPr>
                <w:rFonts w:cs="Arial"/>
                <w:szCs w:val="22"/>
              </w:rPr>
            </w:pPr>
          </w:p>
          <w:p w14:paraId="00766263" w14:textId="77777777" w:rsidR="00AD507C" w:rsidRPr="003A6744" w:rsidRDefault="00AD507C" w:rsidP="00994754">
            <w:pPr>
              <w:jc w:val="both"/>
              <w:rPr>
                <w:rFonts w:cs="Arial"/>
                <w:szCs w:val="22"/>
              </w:rPr>
            </w:pPr>
          </w:p>
          <w:p w14:paraId="58A92E87" w14:textId="77777777" w:rsidR="00AD507C" w:rsidRPr="003A6744" w:rsidRDefault="00AD507C" w:rsidP="00994754">
            <w:pPr>
              <w:jc w:val="both"/>
              <w:rPr>
                <w:rFonts w:cs="Arial"/>
                <w:szCs w:val="22"/>
              </w:rPr>
            </w:pPr>
          </w:p>
          <w:p w14:paraId="6D6AE495" w14:textId="77777777" w:rsidR="00AD507C" w:rsidRPr="003A6744" w:rsidRDefault="00AD507C" w:rsidP="00994754">
            <w:pPr>
              <w:jc w:val="both"/>
              <w:rPr>
                <w:rFonts w:cs="Arial"/>
                <w:szCs w:val="22"/>
              </w:rPr>
            </w:pPr>
          </w:p>
          <w:p w14:paraId="38D010E1" w14:textId="77777777" w:rsidR="00AD507C" w:rsidRPr="003A6744" w:rsidRDefault="00AD507C" w:rsidP="00994754">
            <w:pPr>
              <w:jc w:val="both"/>
              <w:rPr>
                <w:rFonts w:cs="Arial"/>
                <w:szCs w:val="22"/>
              </w:rPr>
            </w:pPr>
          </w:p>
          <w:p w14:paraId="070AFBA1" w14:textId="77777777" w:rsidR="002F71CB" w:rsidRPr="003A6744" w:rsidRDefault="002F71CB" w:rsidP="00994754">
            <w:pPr>
              <w:jc w:val="both"/>
              <w:rPr>
                <w:rFonts w:cs="Arial"/>
                <w:szCs w:val="22"/>
              </w:rPr>
            </w:pPr>
          </w:p>
          <w:p w14:paraId="21245F08" w14:textId="2DA7523F" w:rsidR="00AD507C" w:rsidRPr="003A6744" w:rsidRDefault="00AD507C" w:rsidP="00994754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Год 1+2</w:t>
            </w:r>
          </w:p>
          <w:p w14:paraId="0B5E80D7" w14:textId="77777777" w:rsidR="00AD507C" w:rsidRPr="003A6744" w:rsidRDefault="00AD507C" w:rsidP="00994754">
            <w:pPr>
              <w:jc w:val="both"/>
              <w:rPr>
                <w:rFonts w:cs="Arial"/>
                <w:bCs/>
                <w:iCs/>
                <w:szCs w:val="22"/>
              </w:rPr>
            </w:pPr>
          </w:p>
        </w:tc>
        <w:tc>
          <w:tcPr>
            <w:tcW w:w="1701" w:type="dxa"/>
          </w:tcPr>
          <w:p w14:paraId="43815DCB" w14:textId="77777777" w:rsidR="00A54408" w:rsidRPr="003A6744" w:rsidRDefault="00A54408" w:rsidP="00A54408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ru"/>
              </w:rPr>
              <w:t>Ведущий партнер:</w:t>
            </w:r>
            <w:r>
              <w:rPr>
                <w:rFonts w:cs="Arial"/>
                <w:szCs w:val="22"/>
                <w:lang w:val="ru"/>
              </w:rPr>
              <w:t xml:space="preserve"> Секция морской политики и региональной координации МОК</w:t>
            </w:r>
          </w:p>
          <w:p w14:paraId="54F81C99" w14:textId="77777777" w:rsidR="00A54408" w:rsidRPr="003A6744" w:rsidRDefault="00A54408" w:rsidP="00994754">
            <w:pPr>
              <w:rPr>
                <w:rFonts w:cs="Arial"/>
                <w:szCs w:val="22"/>
              </w:rPr>
            </w:pPr>
          </w:p>
          <w:p w14:paraId="4D6DE9FB" w14:textId="77777777" w:rsidR="00A54408" w:rsidRPr="003A6744" w:rsidRDefault="00A54408" w:rsidP="00994754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ru"/>
              </w:rPr>
              <w:t>В сотрудничестве с:</w:t>
            </w:r>
          </w:p>
          <w:p w14:paraId="0CB61834" w14:textId="77777777" w:rsidR="00AD507C" w:rsidRPr="003A6744" w:rsidRDefault="00AD507C" w:rsidP="009947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Региональными подкомиссиями МОК</w:t>
            </w:r>
          </w:p>
          <w:p w14:paraId="40CB4A73" w14:textId="77777777" w:rsidR="00AD507C" w:rsidRPr="003A6744" w:rsidRDefault="00AD507C" w:rsidP="00994754">
            <w:pPr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Программами и инициативами МОК</w:t>
            </w:r>
          </w:p>
          <w:p w14:paraId="51F3E329" w14:textId="77777777" w:rsidR="00AD507C" w:rsidRPr="003A6744" w:rsidRDefault="00AD507C" w:rsidP="00994754">
            <w:pPr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OGTA</w:t>
            </w:r>
          </w:p>
          <w:p w14:paraId="145E7D61" w14:textId="77777777" w:rsidR="00AD507C" w:rsidRPr="003A6744" w:rsidRDefault="00AD507C" w:rsidP="009947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Группой высокого уровня по устойчивой экономике океана</w:t>
            </w:r>
          </w:p>
          <w:p w14:paraId="07FCB1C8" w14:textId="77777777" w:rsidR="00AD507C" w:rsidRPr="003A6744" w:rsidRDefault="00AD507C" w:rsidP="009947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Программой УОП Десятилетия науки об океане</w:t>
            </w:r>
          </w:p>
          <w:p w14:paraId="043CFA56" w14:textId="77777777" w:rsidR="00AD507C" w:rsidRPr="003A6744" w:rsidRDefault="00AD507C" w:rsidP="00994754">
            <w:pPr>
              <w:rPr>
                <w:rFonts w:cs="Arial"/>
                <w:bCs/>
                <w:iCs/>
                <w:szCs w:val="22"/>
              </w:rPr>
            </w:pPr>
          </w:p>
        </w:tc>
        <w:tc>
          <w:tcPr>
            <w:tcW w:w="1417" w:type="dxa"/>
          </w:tcPr>
          <w:p w14:paraId="325C5CF5" w14:textId="77777777" w:rsidR="00AD507C" w:rsidRPr="003A6744" w:rsidRDefault="00AD507C" w:rsidP="00994754">
            <w:pPr>
              <w:jc w:val="both"/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Существующие ресурсы/</w:t>
            </w:r>
          </w:p>
          <w:p w14:paraId="1C66E0D2" w14:textId="77777777" w:rsidR="00AD507C" w:rsidRPr="003A6744" w:rsidRDefault="00AD507C" w:rsidP="00994754">
            <w:pPr>
              <w:jc w:val="both"/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Привлечение новых ресурсов</w:t>
            </w:r>
          </w:p>
        </w:tc>
        <w:tc>
          <w:tcPr>
            <w:tcW w:w="1276" w:type="dxa"/>
          </w:tcPr>
          <w:p w14:paraId="31CBAC82" w14:textId="77777777" w:rsidR="00AD507C" w:rsidRPr="003A6744" w:rsidRDefault="00AD507C" w:rsidP="00994754">
            <w:pPr>
              <w:jc w:val="both"/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2, 4, 5</w:t>
            </w:r>
          </w:p>
        </w:tc>
      </w:tr>
      <w:tr w:rsidR="00AD507C" w:rsidRPr="003A6744" w14:paraId="5C9EE146" w14:textId="77777777" w:rsidTr="00253713">
        <w:tc>
          <w:tcPr>
            <w:tcW w:w="2410" w:type="dxa"/>
          </w:tcPr>
          <w:p w14:paraId="0E43BFFD" w14:textId="77777777" w:rsidR="00AD507C" w:rsidRPr="003A6744" w:rsidRDefault="00AD507C" w:rsidP="00994754">
            <w:pPr>
              <w:rPr>
                <w:rFonts w:cs="Arial"/>
                <w:b/>
                <w:bCs/>
                <w:iCs/>
                <w:szCs w:val="22"/>
                <w:u w:val="single"/>
              </w:rPr>
            </w:pPr>
            <w:r>
              <w:rPr>
                <w:rFonts w:cs="Arial"/>
                <w:b/>
                <w:bCs/>
                <w:szCs w:val="22"/>
                <w:u w:val="single"/>
                <w:lang w:val="ru"/>
              </w:rPr>
              <w:t>Мероприятие 3:</w:t>
            </w:r>
          </w:p>
          <w:p w14:paraId="5828FF09" w14:textId="77777777" w:rsidR="00AD507C" w:rsidRPr="003A6744" w:rsidRDefault="00AD507C" w:rsidP="009947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 xml:space="preserve">Организация консультаций с конечными пользователями УОПУ для определения национальных потребностей в данных для разработки УОПУ, включая определение доступности и пробелов в данных МОК, а также </w:t>
            </w:r>
            <w:r>
              <w:rPr>
                <w:rFonts w:cs="Arial"/>
                <w:szCs w:val="22"/>
                <w:lang w:val="ru"/>
              </w:rPr>
              <w:lastRenderedPageBreak/>
              <w:t xml:space="preserve">разработку/продвижение многоязычных коммуникационных материалов в соответствии с вышеизложенным </w:t>
            </w:r>
          </w:p>
          <w:p w14:paraId="37CCE9F7" w14:textId="77777777" w:rsidR="00AD507C" w:rsidRPr="003A6744" w:rsidRDefault="00AD507C" w:rsidP="00994754">
            <w:pPr>
              <w:rPr>
                <w:rFonts w:cs="Arial"/>
                <w:szCs w:val="22"/>
              </w:rPr>
            </w:pPr>
          </w:p>
          <w:p w14:paraId="4B387F92" w14:textId="77777777" w:rsidR="00AD507C" w:rsidRPr="003A6744" w:rsidRDefault="00AD507C" w:rsidP="00994754">
            <w:pPr>
              <w:rPr>
                <w:rFonts w:cs="Arial"/>
                <w:strike/>
                <w:szCs w:val="22"/>
              </w:rPr>
            </w:pPr>
          </w:p>
        </w:tc>
        <w:tc>
          <w:tcPr>
            <w:tcW w:w="2268" w:type="dxa"/>
          </w:tcPr>
          <w:p w14:paraId="5182F1E2" w14:textId="77777777" w:rsidR="00AD507C" w:rsidRPr="003A6744" w:rsidRDefault="00AD507C" w:rsidP="00994754">
            <w:pPr>
              <w:rPr>
                <w:rFonts w:cs="Arial"/>
                <w:strike/>
                <w:szCs w:val="22"/>
              </w:rPr>
            </w:pPr>
            <w:r>
              <w:rPr>
                <w:rFonts w:cs="Arial"/>
                <w:szCs w:val="22"/>
                <w:lang w:val="ru"/>
              </w:rPr>
              <w:lastRenderedPageBreak/>
              <w:t xml:space="preserve">- Разработка отчета об основных данных и информации, необходимых конечным пользователям для разработки УОПУ, включая возможности и пробелы в отношении существующих данных и сетей МОК </w:t>
            </w:r>
          </w:p>
          <w:p w14:paraId="27864FE2" w14:textId="77777777" w:rsidR="00AD507C" w:rsidRPr="003A6744" w:rsidRDefault="00AD507C" w:rsidP="00994754">
            <w:pPr>
              <w:rPr>
                <w:rFonts w:cs="Arial"/>
                <w:szCs w:val="22"/>
              </w:rPr>
            </w:pPr>
          </w:p>
          <w:p w14:paraId="66B35057" w14:textId="77777777" w:rsidR="00AD507C" w:rsidRPr="003A6744" w:rsidRDefault="00AD507C" w:rsidP="009947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lastRenderedPageBreak/>
              <w:t>- Разработка и распространение многоязычных коммуникационных материалов, предназначенных для лиц, принимающих решения, с целью улучшения доступа к данным/информации, связанным с УОПУ</w:t>
            </w:r>
          </w:p>
          <w:p w14:paraId="081DFF23" w14:textId="77777777" w:rsidR="00AD507C" w:rsidRPr="003A6744" w:rsidRDefault="00AD507C" w:rsidP="00994754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01D199EA" w14:textId="77777777" w:rsidR="00AD507C" w:rsidRPr="003A6744" w:rsidRDefault="00AD507C" w:rsidP="00994754">
            <w:pPr>
              <w:jc w:val="both"/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szCs w:val="22"/>
                <w:lang w:val="ru"/>
              </w:rPr>
              <w:lastRenderedPageBreak/>
              <w:t>Год 1</w:t>
            </w:r>
          </w:p>
          <w:p w14:paraId="610A6253" w14:textId="77777777" w:rsidR="00AD507C" w:rsidRPr="003A6744" w:rsidRDefault="00AD507C" w:rsidP="00994754">
            <w:pPr>
              <w:jc w:val="both"/>
              <w:rPr>
                <w:rFonts w:cs="Arial"/>
                <w:bCs/>
                <w:iCs/>
                <w:szCs w:val="22"/>
              </w:rPr>
            </w:pPr>
          </w:p>
          <w:p w14:paraId="666AEC75" w14:textId="77777777" w:rsidR="00AD507C" w:rsidRPr="003A6744" w:rsidRDefault="00AD507C" w:rsidP="00994754">
            <w:pPr>
              <w:jc w:val="both"/>
              <w:rPr>
                <w:rFonts w:cs="Arial"/>
                <w:bCs/>
                <w:iCs/>
                <w:szCs w:val="22"/>
              </w:rPr>
            </w:pPr>
          </w:p>
          <w:p w14:paraId="2EFE4156" w14:textId="77777777" w:rsidR="00AD507C" w:rsidRPr="003A6744" w:rsidRDefault="00AD507C" w:rsidP="00994754">
            <w:pPr>
              <w:jc w:val="both"/>
              <w:rPr>
                <w:rFonts w:cs="Arial"/>
                <w:bCs/>
                <w:iCs/>
                <w:szCs w:val="22"/>
              </w:rPr>
            </w:pPr>
          </w:p>
          <w:p w14:paraId="5676938A" w14:textId="77777777" w:rsidR="002F71CB" w:rsidRPr="003A6744" w:rsidRDefault="002F71CB" w:rsidP="00994754">
            <w:pPr>
              <w:jc w:val="both"/>
              <w:rPr>
                <w:rFonts w:cs="Arial"/>
                <w:bCs/>
                <w:iCs/>
                <w:szCs w:val="22"/>
              </w:rPr>
            </w:pPr>
          </w:p>
          <w:p w14:paraId="0D7D3BF0" w14:textId="77777777" w:rsidR="002F71CB" w:rsidRPr="003A6744" w:rsidRDefault="002F71CB" w:rsidP="00994754">
            <w:pPr>
              <w:jc w:val="both"/>
              <w:rPr>
                <w:rFonts w:cs="Arial"/>
                <w:bCs/>
                <w:iCs/>
                <w:szCs w:val="22"/>
              </w:rPr>
            </w:pPr>
          </w:p>
          <w:p w14:paraId="4939BAAB" w14:textId="77777777" w:rsidR="002F71CB" w:rsidRPr="003A6744" w:rsidRDefault="002F71CB" w:rsidP="00994754">
            <w:pPr>
              <w:jc w:val="both"/>
              <w:rPr>
                <w:rFonts w:cs="Arial"/>
                <w:bCs/>
                <w:iCs/>
                <w:szCs w:val="22"/>
              </w:rPr>
            </w:pPr>
          </w:p>
          <w:p w14:paraId="0E990722" w14:textId="77777777" w:rsidR="002F71CB" w:rsidRPr="003A6744" w:rsidRDefault="002F71CB" w:rsidP="00994754">
            <w:pPr>
              <w:jc w:val="both"/>
              <w:rPr>
                <w:rFonts w:cs="Arial"/>
                <w:bCs/>
                <w:iCs/>
                <w:szCs w:val="22"/>
              </w:rPr>
            </w:pPr>
          </w:p>
          <w:p w14:paraId="3D19E012" w14:textId="77777777" w:rsidR="002F71CB" w:rsidRPr="003A6744" w:rsidRDefault="002F71CB" w:rsidP="00994754">
            <w:pPr>
              <w:jc w:val="both"/>
              <w:rPr>
                <w:rFonts w:cs="Arial"/>
                <w:bCs/>
                <w:iCs/>
                <w:szCs w:val="22"/>
              </w:rPr>
            </w:pPr>
          </w:p>
          <w:p w14:paraId="6F03FBE5" w14:textId="77777777" w:rsidR="002F71CB" w:rsidRPr="003A6744" w:rsidRDefault="002F71CB" w:rsidP="00994754">
            <w:pPr>
              <w:jc w:val="both"/>
              <w:rPr>
                <w:rFonts w:cs="Arial"/>
                <w:bCs/>
                <w:iCs/>
                <w:szCs w:val="22"/>
              </w:rPr>
            </w:pPr>
          </w:p>
          <w:p w14:paraId="5F180794" w14:textId="77777777" w:rsidR="002F71CB" w:rsidRPr="003A6744" w:rsidRDefault="002F71CB" w:rsidP="00994754">
            <w:pPr>
              <w:jc w:val="both"/>
              <w:rPr>
                <w:rFonts w:cs="Arial"/>
                <w:bCs/>
                <w:iCs/>
                <w:szCs w:val="22"/>
              </w:rPr>
            </w:pPr>
          </w:p>
          <w:p w14:paraId="6B1D4B3E" w14:textId="06E3754F" w:rsidR="00AD507C" w:rsidRPr="003A6744" w:rsidRDefault="00AD507C" w:rsidP="00994754">
            <w:pPr>
              <w:jc w:val="both"/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Год 1+2</w:t>
            </w:r>
          </w:p>
        </w:tc>
        <w:tc>
          <w:tcPr>
            <w:tcW w:w="1701" w:type="dxa"/>
          </w:tcPr>
          <w:p w14:paraId="6F96E202" w14:textId="7A925734" w:rsidR="00A54408" w:rsidRPr="003A6744" w:rsidRDefault="00A54408" w:rsidP="00994754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ru"/>
              </w:rPr>
              <w:t xml:space="preserve">Ведущий партнер: </w:t>
            </w:r>
            <w:r>
              <w:rPr>
                <w:rFonts w:cs="Arial"/>
                <w:szCs w:val="22"/>
                <w:lang w:val="ru"/>
              </w:rPr>
              <w:t>совместная разработка программ и региональных подкомиссий МОК,</w:t>
            </w:r>
          </w:p>
          <w:p w14:paraId="0A695DDE" w14:textId="77777777" w:rsidR="00AD507C" w:rsidRPr="003A6744" w:rsidRDefault="00AD507C" w:rsidP="00994754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ГСНО</w:t>
            </w:r>
          </w:p>
          <w:p w14:paraId="0742B9C9" w14:textId="77777777" w:rsidR="00AD507C" w:rsidRPr="003A6744" w:rsidRDefault="00AD507C" w:rsidP="00994754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ОБИС</w:t>
            </w:r>
          </w:p>
          <w:p w14:paraId="25DE06F9" w14:textId="77777777" w:rsidR="00AD507C" w:rsidRPr="003A6744" w:rsidRDefault="00AD507C" w:rsidP="00994754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ОДИС</w:t>
            </w:r>
          </w:p>
          <w:p w14:paraId="51BE45B7" w14:textId="37E7953A" w:rsidR="00AD507C" w:rsidRPr="003A6744" w:rsidRDefault="00AD507C" w:rsidP="00994754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MSPGlobal</w:t>
            </w:r>
          </w:p>
          <w:p w14:paraId="0B854D5C" w14:textId="413A04B2" w:rsidR="00AD507C" w:rsidRPr="003A6744" w:rsidRDefault="00AD507C" w:rsidP="00994754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Секции по цунами</w:t>
            </w:r>
          </w:p>
          <w:p w14:paraId="13F567AA" w14:textId="77777777" w:rsidR="00AD507C" w:rsidRPr="003A6744" w:rsidRDefault="00AD507C" w:rsidP="00994754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и науке</w:t>
            </w:r>
          </w:p>
          <w:p w14:paraId="55F0553C" w14:textId="77777777" w:rsidR="00A54408" w:rsidRPr="003A6744" w:rsidRDefault="00A54408" w:rsidP="00994754">
            <w:pPr>
              <w:jc w:val="both"/>
              <w:rPr>
                <w:rFonts w:cs="Arial"/>
                <w:szCs w:val="22"/>
              </w:rPr>
            </w:pPr>
          </w:p>
          <w:p w14:paraId="0002B292" w14:textId="77777777" w:rsidR="00A54408" w:rsidRPr="003A6744" w:rsidRDefault="00A54408" w:rsidP="00994754">
            <w:pPr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ru"/>
              </w:rPr>
              <w:lastRenderedPageBreak/>
              <w:t>В сотрудничестве с:</w:t>
            </w:r>
          </w:p>
          <w:p w14:paraId="0289415E" w14:textId="77777777" w:rsidR="00AD507C" w:rsidRPr="003A6744" w:rsidRDefault="00AD507C" w:rsidP="00994754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ГЕСАМП и другими сетями</w:t>
            </w:r>
          </w:p>
          <w:p w14:paraId="669D5AB6" w14:textId="77777777" w:rsidR="00AD507C" w:rsidRPr="003A6744" w:rsidRDefault="00AD507C" w:rsidP="00994754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OGTA</w:t>
            </w:r>
          </w:p>
          <w:p w14:paraId="3DADDC32" w14:textId="77777777" w:rsidR="00AD507C" w:rsidRPr="003A6744" w:rsidRDefault="00AD507C" w:rsidP="009947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Программой УОП Десятилетия науки об океане</w:t>
            </w:r>
          </w:p>
          <w:p w14:paraId="51E54700" w14:textId="77777777" w:rsidR="00AD507C" w:rsidRPr="003A6744" w:rsidRDefault="00AD507C" w:rsidP="00994754">
            <w:pPr>
              <w:jc w:val="both"/>
              <w:rPr>
                <w:rFonts w:cs="Arial"/>
                <w:bCs/>
                <w:iCs/>
                <w:szCs w:val="22"/>
              </w:rPr>
            </w:pPr>
          </w:p>
        </w:tc>
        <w:tc>
          <w:tcPr>
            <w:tcW w:w="1417" w:type="dxa"/>
          </w:tcPr>
          <w:p w14:paraId="63E1A6DC" w14:textId="77777777" w:rsidR="00AD507C" w:rsidRPr="003A6744" w:rsidRDefault="00AD507C" w:rsidP="00994754">
            <w:pPr>
              <w:jc w:val="both"/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szCs w:val="22"/>
                <w:lang w:val="ru"/>
              </w:rPr>
              <w:lastRenderedPageBreak/>
              <w:t>Существующие ресурсы/</w:t>
            </w:r>
          </w:p>
          <w:p w14:paraId="62CB3A49" w14:textId="77777777" w:rsidR="00AD507C" w:rsidRPr="003A6744" w:rsidRDefault="00AD507C" w:rsidP="00994754">
            <w:pPr>
              <w:jc w:val="both"/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Привлечение новых ресурсов</w:t>
            </w:r>
          </w:p>
        </w:tc>
        <w:tc>
          <w:tcPr>
            <w:tcW w:w="1276" w:type="dxa"/>
          </w:tcPr>
          <w:p w14:paraId="2987DFBB" w14:textId="77777777" w:rsidR="00AD507C" w:rsidRPr="003A6744" w:rsidRDefault="00AD507C" w:rsidP="00994754">
            <w:pPr>
              <w:jc w:val="both"/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2, 4</w:t>
            </w:r>
          </w:p>
        </w:tc>
      </w:tr>
      <w:tr w:rsidR="00AD507C" w:rsidRPr="003A6744" w14:paraId="341C48AA" w14:textId="77777777" w:rsidTr="00253713">
        <w:tc>
          <w:tcPr>
            <w:tcW w:w="2410" w:type="dxa"/>
          </w:tcPr>
          <w:p w14:paraId="26E27EFE" w14:textId="77777777" w:rsidR="00AD507C" w:rsidRPr="003A6744" w:rsidRDefault="00AD507C" w:rsidP="00994754">
            <w:pPr>
              <w:jc w:val="both"/>
              <w:rPr>
                <w:rFonts w:cs="Arial"/>
                <w:b/>
                <w:bCs/>
                <w:iCs/>
                <w:szCs w:val="22"/>
                <w:u w:val="single"/>
              </w:rPr>
            </w:pPr>
            <w:r>
              <w:rPr>
                <w:rFonts w:cs="Arial"/>
                <w:b/>
                <w:bCs/>
                <w:szCs w:val="22"/>
                <w:u w:val="single"/>
                <w:lang w:val="ru"/>
              </w:rPr>
              <w:t xml:space="preserve">Мероприятие 4: </w:t>
            </w:r>
          </w:p>
          <w:p w14:paraId="5A2EA5D9" w14:textId="77777777" w:rsidR="00AD507C" w:rsidRPr="003A6744" w:rsidRDefault="00AD507C" w:rsidP="00994754">
            <w:pPr>
              <w:rPr>
                <w:rFonts w:cs="Arial"/>
                <w:szCs w:val="22"/>
              </w:rPr>
            </w:pPr>
            <w:r>
              <w:rPr>
                <w:rFonts w:eastAsia="Calibri" w:cs="Arial"/>
                <w:szCs w:val="22"/>
                <w:lang w:val="ru"/>
              </w:rPr>
              <w:t>Обзор существующих инициатив по УОПУ и внутригосударственных правовых рамок политики для УОПУ с целью выявления передовой практики и разработки технических рекомендаций, потенциала, рамок обучения и ресурсов там, где существуют пробелы, особенно для наименее развитых государств-членов</w:t>
            </w:r>
          </w:p>
        </w:tc>
        <w:tc>
          <w:tcPr>
            <w:tcW w:w="2268" w:type="dxa"/>
          </w:tcPr>
          <w:p w14:paraId="4A9D4BED" w14:textId="77777777" w:rsidR="00AD507C" w:rsidRPr="003A6744" w:rsidRDefault="00AD507C" w:rsidP="009947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- Разработка и распространение технического руководства по передовой практике и роли МОК в УОПУ с упором на данные, науку и инструменты.</w:t>
            </w:r>
          </w:p>
          <w:p w14:paraId="0F7691A0" w14:textId="77777777" w:rsidR="00AD507C" w:rsidRPr="003A6744" w:rsidRDefault="00AD507C" w:rsidP="00994754">
            <w:pPr>
              <w:rPr>
                <w:rFonts w:cs="Arial"/>
                <w:szCs w:val="22"/>
              </w:rPr>
            </w:pPr>
          </w:p>
          <w:p w14:paraId="52BD6863" w14:textId="77777777" w:rsidR="00AD507C" w:rsidRPr="003A6744" w:rsidRDefault="00AD507C" w:rsidP="009947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- Разработка и реализация плана развития потенциала для УОПУ</w:t>
            </w:r>
          </w:p>
          <w:p w14:paraId="475A7FD2" w14:textId="77777777" w:rsidR="00AD507C" w:rsidRPr="003A6744" w:rsidRDefault="00AD507C" w:rsidP="00994754">
            <w:pPr>
              <w:rPr>
                <w:rFonts w:cs="Arial"/>
                <w:bCs/>
                <w:iCs/>
                <w:szCs w:val="22"/>
              </w:rPr>
            </w:pPr>
          </w:p>
        </w:tc>
        <w:tc>
          <w:tcPr>
            <w:tcW w:w="993" w:type="dxa"/>
          </w:tcPr>
          <w:p w14:paraId="75E67DAB" w14:textId="77777777" w:rsidR="00AD507C" w:rsidRPr="003A6744" w:rsidRDefault="00AD507C" w:rsidP="00994754">
            <w:pPr>
              <w:jc w:val="both"/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Год 1+2</w:t>
            </w:r>
          </w:p>
        </w:tc>
        <w:tc>
          <w:tcPr>
            <w:tcW w:w="1701" w:type="dxa"/>
          </w:tcPr>
          <w:p w14:paraId="266FF5EB" w14:textId="5B285DC6" w:rsidR="00A54408" w:rsidRPr="003A6744" w:rsidRDefault="00A54408" w:rsidP="00A54408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ru"/>
              </w:rPr>
              <w:t>Ведущий партнер:</w:t>
            </w:r>
            <w:r>
              <w:rPr>
                <w:rFonts w:cs="Arial"/>
                <w:szCs w:val="22"/>
                <w:lang w:val="ru"/>
              </w:rPr>
              <w:t xml:space="preserve"> совместная разработка Секции морской политики и региональной координации МОК,</w:t>
            </w:r>
          </w:p>
          <w:p w14:paraId="5ADA1DB4" w14:textId="77777777" w:rsidR="00AD507C" w:rsidRPr="003A6744" w:rsidRDefault="00AD507C" w:rsidP="009947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 xml:space="preserve">региональных подкомиссий МОК, </w:t>
            </w:r>
          </w:p>
          <w:p w14:paraId="7CB26BE3" w14:textId="77777777" w:rsidR="00AD507C" w:rsidRPr="003A6744" w:rsidRDefault="00AD507C" w:rsidP="009947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MSPGlobal</w:t>
            </w:r>
          </w:p>
          <w:p w14:paraId="63E1DA13" w14:textId="77777777" w:rsidR="00A54408" w:rsidRPr="003A6744" w:rsidRDefault="00A54408" w:rsidP="00994754">
            <w:pPr>
              <w:rPr>
                <w:rFonts w:cs="Arial"/>
                <w:szCs w:val="22"/>
              </w:rPr>
            </w:pPr>
          </w:p>
          <w:p w14:paraId="6A77F96B" w14:textId="77777777" w:rsidR="00A54408" w:rsidRPr="003A6744" w:rsidRDefault="00A54408" w:rsidP="00994754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ru"/>
              </w:rPr>
              <w:t>В сотрудничестве с:</w:t>
            </w:r>
          </w:p>
          <w:p w14:paraId="17A87B01" w14:textId="77777777" w:rsidR="00AD507C" w:rsidRPr="003A6744" w:rsidRDefault="00AD507C" w:rsidP="009947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ГСНО</w:t>
            </w:r>
          </w:p>
          <w:p w14:paraId="358395E1" w14:textId="77777777" w:rsidR="00AD507C" w:rsidRPr="003A6744" w:rsidRDefault="00AD507C" w:rsidP="009947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OGTA</w:t>
            </w:r>
          </w:p>
          <w:p w14:paraId="14199B47" w14:textId="77777777" w:rsidR="00AD507C" w:rsidRPr="003A6744" w:rsidRDefault="00AD507C" w:rsidP="009947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Программой УОП Десятилетия науки об океане</w:t>
            </w:r>
          </w:p>
          <w:p w14:paraId="3566B1A9" w14:textId="77777777" w:rsidR="00AD507C" w:rsidRPr="003A6744" w:rsidRDefault="00AD507C" w:rsidP="009947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Группой высокого уровня по устойчивой экономике океана</w:t>
            </w:r>
          </w:p>
          <w:p w14:paraId="3FBA6315" w14:textId="77777777" w:rsidR="00AD507C" w:rsidRPr="003A6744" w:rsidRDefault="00AD507C" w:rsidP="00994754">
            <w:pPr>
              <w:rPr>
                <w:rFonts w:cs="Arial"/>
                <w:bCs/>
                <w:iCs/>
                <w:szCs w:val="22"/>
              </w:rPr>
            </w:pPr>
          </w:p>
        </w:tc>
        <w:tc>
          <w:tcPr>
            <w:tcW w:w="1417" w:type="dxa"/>
          </w:tcPr>
          <w:p w14:paraId="6C77E96E" w14:textId="77777777" w:rsidR="00AD507C" w:rsidRPr="003A6744" w:rsidRDefault="00AD507C" w:rsidP="00994754">
            <w:pPr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Существующие ресурсы/</w:t>
            </w:r>
          </w:p>
          <w:p w14:paraId="4F4301C5" w14:textId="77777777" w:rsidR="00AD507C" w:rsidRPr="003A6744" w:rsidRDefault="00AD507C" w:rsidP="00994754">
            <w:pPr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Привлечение новых ресурсов</w:t>
            </w:r>
          </w:p>
        </w:tc>
        <w:tc>
          <w:tcPr>
            <w:tcW w:w="1276" w:type="dxa"/>
          </w:tcPr>
          <w:p w14:paraId="58A7B01E" w14:textId="77777777" w:rsidR="00AD507C" w:rsidRPr="003A6744" w:rsidRDefault="00AD507C" w:rsidP="00994754">
            <w:pPr>
              <w:jc w:val="both"/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1, 2, 3</w:t>
            </w:r>
          </w:p>
        </w:tc>
      </w:tr>
      <w:tr w:rsidR="00AD507C" w:rsidRPr="003A6744" w14:paraId="0409B820" w14:textId="77777777" w:rsidTr="00253713">
        <w:tc>
          <w:tcPr>
            <w:tcW w:w="2410" w:type="dxa"/>
          </w:tcPr>
          <w:p w14:paraId="3C1C6C76" w14:textId="77777777" w:rsidR="00AD507C" w:rsidRPr="003A6744" w:rsidRDefault="00AD507C" w:rsidP="00994754">
            <w:pPr>
              <w:jc w:val="both"/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b/>
                <w:bCs/>
                <w:szCs w:val="22"/>
                <w:u w:val="single"/>
                <w:lang w:val="ru"/>
              </w:rPr>
              <w:t>Мероприятие 5:</w:t>
            </w:r>
            <w:r>
              <w:rPr>
                <w:rFonts w:cs="Arial"/>
                <w:szCs w:val="22"/>
                <w:lang w:val="ru"/>
              </w:rPr>
              <w:t xml:space="preserve"> </w:t>
            </w:r>
          </w:p>
          <w:p w14:paraId="2979C861" w14:textId="77777777" w:rsidR="00AD507C" w:rsidRPr="003A6744" w:rsidRDefault="00AD507C" w:rsidP="001D098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 xml:space="preserve">Запуск концепции и сбор финансов для пилотного проекта УОПУ с </w:t>
            </w:r>
            <w:r>
              <w:rPr>
                <w:rFonts w:cs="Arial"/>
                <w:szCs w:val="22"/>
                <w:lang w:val="ru"/>
              </w:rPr>
              <w:lastRenderedPageBreak/>
              <w:t xml:space="preserve">полномасштабным использованием опыта, данных и инструментов МОК и ее партнеров, от сбора знаний до принятия решений </w:t>
            </w:r>
          </w:p>
        </w:tc>
        <w:tc>
          <w:tcPr>
            <w:tcW w:w="2268" w:type="dxa"/>
          </w:tcPr>
          <w:p w14:paraId="4008FF17" w14:textId="55B7610C" w:rsidR="00AD507C" w:rsidRPr="003A6744" w:rsidRDefault="00AD507C" w:rsidP="009947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lastRenderedPageBreak/>
              <w:t>- Концепция и КВ для пилотного проекта УОПУ с 1-3 государствами-</w:t>
            </w:r>
            <w:r>
              <w:rPr>
                <w:rFonts w:cs="Arial"/>
                <w:szCs w:val="22"/>
                <w:lang w:val="ru"/>
              </w:rPr>
              <w:lastRenderedPageBreak/>
              <w:t xml:space="preserve">членами из разных регионов МОК </w:t>
            </w:r>
          </w:p>
          <w:p w14:paraId="342EE4A1" w14:textId="77777777" w:rsidR="00AD507C" w:rsidRPr="003A6744" w:rsidRDefault="00AD507C" w:rsidP="00994754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0605D513" w14:textId="77777777" w:rsidR="00AD507C" w:rsidRPr="003A6744" w:rsidRDefault="00AD507C" w:rsidP="00994754">
            <w:pPr>
              <w:jc w:val="both"/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szCs w:val="22"/>
                <w:lang w:val="ru"/>
              </w:rPr>
              <w:lastRenderedPageBreak/>
              <w:t>Год 2</w:t>
            </w:r>
          </w:p>
        </w:tc>
        <w:tc>
          <w:tcPr>
            <w:tcW w:w="1701" w:type="dxa"/>
          </w:tcPr>
          <w:p w14:paraId="28CBF28D" w14:textId="0F4C83DB" w:rsidR="00A54408" w:rsidRPr="003A6744" w:rsidRDefault="00A54408" w:rsidP="00A54408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ru"/>
              </w:rPr>
              <w:t xml:space="preserve">Ведущий партнер: </w:t>
            </w:r>
            <w:r>
              <w:rPr>
                <w:rFonts w:cs="Arial"/>
                <w:szCs w:val="22"/>
                <w:lang w:val="ru"/>
              </w:rPr>
              <w:t xml:space="preserve">совместная разработка программ и </w:t>
            </w:r>
            <w:r>
              <w:rPr>
                <w:rFonts w:cs="Arial"/>
                <w:szCs w:val="22"/>
                <w:lang w:val="ru"/>
              </w:rPr>
              <w:lastRenderedPageBreak/>
              <w:t>региональных подкомиссий МОК</w:t>
            </w:r>
          </w:p>
          <w:p w14:paraId="3324CAFD" w14:textId="77777777" w:rsidR="00A54408" w:rsidRPr="003A6744" w:rsidRDefault="00A54408" w:rsidP="00994754">
            <w:pPr>
              <w:rPr>
                <w:rFonts w:cs="Arial"/>
                <w:szCs w:val="22"/>
              </w:rPr>
            </w:pPr>
          </w:p>
          <w:p w14:paraId="258C157E" w14:textId="77777777" w:rsidR="00A54408" w:rsidRPr="003A6744" w:rsidRDefault="00A54408" w:rsidP="00994754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ru"/>
              </w:rPr>
              <w:t>В сотрудничестве с:</w:t>
            </w:r>
          </w:p>
          <w:p w14:paraId="0A21447D" w14:textId="77777777" w:rsidR="00AD507C" w:rsidRPr="003A6744" w:rsidRDefault="00AD507C" w:rsidP="009947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Программой УОП Десятилетия науки об океане</w:t>
            </w:r>
          </w:p>
          <w:p w14:paraId="60F7FC59" w14:textId="77777777" w:rsidR="00AD507C" w:rsidRPr="003A6744" w:rsidRDefault="00AD507C" w:rsidP="009947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 xml:space="preserve">Государственными или благотворительными донорами </w:t>
            </w:r>
          </w:p>
          <w:p w14:paraId="2498D161" w14:textId="77777777" w:rsidR="00AD507C" w:rsidRPr="003A6744" w:rsidRDefault="00AD507C" w:rsidP="00994754">
            <w:pPr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Прочими учреждениями системы ООН</w:t>
            </w:r>
          </w:p>
        </w:tc>
        <w:tc>
          <w:tcPr>
            <w:tcW w:w="1417" w:type="dxa"/>
          </w:tcPr>
          <w:p w14:paraId="15A5310F" w14:textId="77777777" w:rsidR="00AD507C" w:rsidRPr="003A6744" w:rsidRDefault="00AD507C" w:rsidP="00994754">
            <w:pPr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szCs w:val="22"/>
                <w:lang w:val="ru"/>
              </w:rPr>
              <w:lastRenderedPageBreak/>
              <w:t>Существующие ресурсы/</w:t>
            </w:r>
          </w:p>
          <w:p w14:paraId="7D57D67A" w14:textId="77777777" w:rsidR="00AD507C" w:rsidRPr="003A6744" w:rsidRDefault="00AD507C" w:rsidP="00994754">
            <w:pPr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 xml:space="preserve">Привлечение новых </w:t>
            </w:r>
            <w:r>
              <w:rPr>
                <w:rFonts w:cs="Arial"/>
                <w:szCs w:val="22"/>
                <w:lang w:val="ru"/>
              </w:rPr>
              <w:lastRenderedPageBreak/>
              <w:t>ресурсов для реализации пилотного проекта</w:t>
            </w:r>
          </w:p>
        </w:tc>
        <w:tc>
          <w:tcPr>
            <w:tcW w:w="1276" w:type="dxa"/>
          </w:tcPr>
          <w:p w14:paraId="2DCBF1D8" w14:textId="77777777" w:rsidR="00AD507C" w:rsidRPr="003A6744" w:rsidRDefault="00AD507C" w:rsidP="00994754">
            <w:pPr>
              <w:jc w:val="both"/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szCs w:val="22"/>
                <w:lang w:val="ru"/>
              </w:rPr>
              <w:lastRenderedPageBreak/>
              <w:t>2</w:t>
            </w:r>
          </w:p>
        </w:tc>
      </w:tr>
    </w:tbl>
    <w:p w14:paraId="03E95023" w14:textId="77777777" w:rsidR="00AD507C" w:rsidRPr="003A6744" w:rsidRDefault="00AD507C" w:rsidP="00AD507C">
      <w:pPr>
        <w:jc w:val="both"/>
        <w:rPr>
          <w:bCs/>
          <w:iCs/>
          <w:sz w:val="21"/>
          <w:szCs w:val="21"/>
        </w:rPr>
      </w:pPr>
    </w:p>
    <w:p w14:paraId="28B3FE25" w14:textId="77777777" w:rsidR="00AD507C" w:rsidRPr="003A6744" w:rsidRDefault="00AD507C" w:rsidP="00AD507C">
      <w:pPr>
        <w:jc w:val="both"/>
      </w:pPr>
    </w:p>
    <w:p w14:paraId="1C29AA75" w14:textId="77777777" w:rsidR="00AD507C" w:rsidRPr="003A6744" w:rsidRDefault="00AD507C" w:rsidP="00AD507C"/>
    <w:p w14:paraId="590D2E44" w14:textId="0CF6DBD1" w:rsidR="00C3684D" w:rsidRPr="003A6744" w:rsidRDefault="00C3684D" w:rsidP="00B526D0">
      <w:pPr>
        <w:tabs>
          <w:tab w:val="clear" w:pos="567"/>
        </w:tabs>
        <w:snapToGrid/>
        <w:rPr>
          <w:rFonts w:eastAsia="Arial Unicode MS"/>
          <w:szCs w:val="22"/>
        </w:rPr>
      </w:pPr>
    </w:p>
    <w:sectPr w:rsidR="00C3684D" w:rsidRPr="003A6744" w:rsidSect="003F7186">
      <w:headerReference w:type="even" r:id="rId17"/>
      <w:headerReference w:type="default" r:id="rId18"/>
      <w:headerReference w:type="first" r:id="rId19"/>
      <w:type w:val="oddPage"/>
      <w:pgSz w:w="11906" w:h="16838" w:code="9"/>
      <w:pgMar w:top="1418" w:right="1134" w:bottom="1134" w:left="1134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DE58" w14:textId="77777777" w:rsidR="00376E56" w:rsidRDefault="00376E56">
      <w:r>
        <w:separator/>
      </w:r>
    </w:p>
  </w:endnote>
  <w:endnote w:type="continuationSeparator" w:id="0">
    <w:p w14:paraId="48AFAA04" w14:textId="77777777" w:rsidR="00376E56" w:rsidRDefault="0037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7C6E" w14:textId="77777777" w:rsidR="00902B6B" w:rsidRDefault="00902B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E84F" w14:textId="77777777" w:rsidR="00902B6B" w:rsidRDefault="00902B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7AC8" w14:textId="77777777" w:rsidR="00902B6B" w:rsidRDefault="00902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22FC4" w14:textId="77777777" w:rsidR="00376E56" w:rsidRDefault="00376E56">
      <w:r>
        <w:separator/>
      </w:r>
    </w:p>
  </w:footnote>
  <w:footnote w:type="continuationSeparator" w:id="0">
    <w:p w14:paraId="6A77B339" w14:textId="77777777" w:rsidR="00376E56" w:rsidRDefault="00376E56">
      <w:r>
        <w:continuationSeparator/>
      </w:r>
    </w:p>
  </w:footnote>
  <w:footnote w:id="1">
    <w:p w14:paraId="7F5554E0" w14:textId="415D245E" w:rsidR="001E295D" w:rsidRPr="00F2689D" w:rsidRDefault="001E295D" w:rsidP="001E295D">
      <w:pPr>
        <w:pStyle w:val="FootnoteText"/>
      </w:pPr>
      <w:r>
        <w:rPr>
          <w:rStyle w:val="FootnoteReference"/>
          <w:lang w:val="ru"/>
        </w:rPr>
        <w:footnoteRef/>
      </w:r>
      <w:r>
        <w:rPr>
          <w:lang w:val="ru"/>
        </w:rPr>
        <w:t xml:space="preserve"> ЮНЕСКО: </w:t>
      </w:r>
      <w:hyperlink r:id="rId1" w:history="1">
        <w:r>
          <w:rPr>
            <w:rStyle w:val="Hyperlink"/>
            <w:lang w:val="ru"/>
          </w:rPr>
          <w:t>https://www.unesco.org/en/indigenous-peoples</w:t>
        </w:r>
      </w:hyperlink>
      <w:r>
        <w:rPr>
          <w:lang w:val="ru"/>
        </w:rPr>
        <w:t xml:space="preserve"> </w:t>
      </w:r>
    </w:p>
  </w:footnote>
  <w:footnote w:id="2">
    <w:p w14:paraId="07A61714" w14:textId="72AAAB29" w:rsidR="001E295D" w:rsidRPr="00445CB9" w:rsidRDefault="001E295D" w:rsidP="005023C1">
      <w:pPr>
        <w:pStyle w:val="FootnoteText"/>
        <w:tabs>
          <w:tab w:val="clear" w:pos="567"/>
        </w:tabs>
        <w:ind w:left="284" w:hanging="284"/>
      </w:pPr>
      <w:r>
        <w:rPr>
          <w:rStyle w:val="FootnoteReference"/>
          <w:lang w:val="ru"/>
        </w:rPr>
        <w:footnoteRef/>
      </w:r>
      <w:r>
        <w:rPr>
          <w:lang w:val="ru"/>
        </w:rPr>
        <w:t xml:space="preserve"> </w:t>
      </w:r>
      <w:r>
        <w:rPr>
          <w:lang w:val="ru"/>
        </w:rPr>
        <w:tab/>
      </w:r>
      <w:r>
        <w:rPr>
          <w:lang w:val="ru"/>
        </w:rPr>
        <w:t xml:space="preserve">МОК относится к МПП как к общественному процессу анализа и распределения во времени и пространстве деятельности человека на морских территориях, направленной на достижение экологических, экономических и социальных целей, которые обычно определяются в ходе политического процесса: </w:t>
      </w:r>
      <w:hyperlink r:id="rId2" w:history="1">
        <w:r>
          <w:rPr>
            <w:rStyle w:val="Hyperlink"/>
            <w:lang w:val="ru"/>
          </w:rPr>
          <w:t>https://www.mspglobal2030.org/</w:t>
        </w:r>
      </w:hyperlink>
      <w:r>
        <w:rPr>
          <w:lang w:val="ru"/>
        </w:rPr>
        <w:t xml:space="preserve"> </w:t>
      </w:r>
    </w:p>
  </w:footnote>
  <w:footnote w:id="3">
    <w:p w14:paraId="09D01DEE" w14:textId="18753CE8" w:rsidR="001E295D" w:rsidRPr="0039774C" w:rsidRDefault="001E295D" w:rsidP="005023C1">
      <w:pPr>
        <w:pStyle w:val="FootnoteText"/>
        <w:tabs>
          <w:tab w:val="clear" w:pos="567"/>
        </w:tabs>
        <w:ind w:left="284" w:hanging="284"/>
      </w:pPr>
      <w:r>
        <w:rPr>
          <w:rStyle w:val="FootnoteReference"/>
          <w:lang w:val="ru"/>
        </w:rPr>
        <w:footnoteRef/>
      </w:r>
      <w:r>
        <w:rPr>
          <w:lang w:val="ru"/>
        </w:rPr>
        <w:t xml:space="preserve"> </w:t>
      </w:r>
      <w:r>
        <w:rPr>
          <w:lang w:val="ru"/>
        </w:rPr>
        <w:tab/>
      </w:r>
      <w:r>
        <w:rPr>
          <w:lang w:val="ru"/>
        </w:rPr>
        <w:t xml:space="preserve">Фрагментированное управление Мировым океаном: </w:t>
      </w:r>
      <w:hyperlink r:id="rId3" w:history="1">
        <w:r>
          <w:rPr>
            <w:rStyle w:val="Hyperlink"/>
            <w:lang w:val="ru"/>
          </w:rPr>
          <w:t>https://www.researchgate.net/publication/333342057_Fragmented_Governance_of_Our_One_Global_Ocean</w:t>
        </w:r>
      </w:hyperlink>
      <w:r>
        <w:rPr>
          <w:lang w:val="ru"/>
        </w:rPr>
        <w:t xml:space="preserve"> </w:t>
      </w:r>
    </w:p>
  </w:footnote>
  <w:footnote w:id="4">
    <w:p w14:paraId="1018E7C4" w14:textId="70ABF83C" w:rsidR="001E295D" w:rsidRDefault="001E295D" w:rsidP="001E295D">
      <w:pPr>
        <w:pStyle w:val="FootnoteText"/>
      </w:pPr>
      <w:r>
        <w:rPr>
          <w:rStyle w:val="FootnoteReference"/>
          <w:lang w:val="ru"/>
        </w:rPr>
        <w:footnoteRef/>
      </w:r>
      <w:r>
        <w:rPr>
          <w:lang w:val="ru"/>
        </w:rPr>
        <w:t xml:space="preserve">    </w:t>
      </w:r>
      <w:r>
        <w:rPr>
          <w:lang w:val="ru"/>
        </w:rPr>
        <w:t>https://oceanpanel.org/</w:t>
      </w:r>
    </w:p>
  </w:footnote>
  <w:footnote w:id="5">
    <w:p w14:paraId="267FF570" w14:textId="77ECB3EF" w:rsidR="00AD507C" w:rsidRPr="00537B8E" w:rsidRDefault="00AD507C" w:rsidP="00AD507C">
      <w:pPr>
        <w:pStyle w:val="FootnoteText"/>
      </w:pPr>
      <w:r>
        <w:rPr>
          <w:rStyle w:val="FootnoteReference"/>
          <w:lang w:val="ru"/>
        </w:rPr>
        <w:footnoteRef/>
      </w:r>
      <w:r>
        <w:rPr>
          <w:lang w:val="ru"/>
        </w:rPr>
        <w:t xml:space="preserve">     </w:t>
      </w:r>
      <w:r>
        <w:rPr>
          <w:lang w:val="ru"/>
        </w:rPr>
        <w:t>Период в 2,5 года был выбран в целях обеспечения согласованности с двухлетними бюджетными циклами МОК.</w:t>
      </w:r>
    </w:p>
  </w:footnote>
  <w:footnote w:id="6">
    <w:p w14:paraId="15F79C1D" w14:textId="6EBFBB91" w:rsidR="00AD507C" w:rsidRPr="00A46603" w:rsidRDefault="00AD507C" w:rsidP="00AD507C">
      <w:pPr>
        <w:pStyle w:val="FootnoteText"/>
      </w:pPr>
      <w:r>
        <w:rPr>
          <w:rStyle w:val="FootnoteReference"/>
          <w:lang w:val="ru"/>
        </w:rPr>
        <w:footnoteRef/>
      </w:r>
      <w:r>
        <w:rPr>
          <w:lang w:val="ru"/>
        </w:rPr>
        <w:t xml:space="preserve">     </w:t>
      </w:r>
      <w:r>
        <w:rPr>
          <w:lang w:val="ru"/>
        </w:rPr>
        <w:t xml:space="preserve">Глобальное партнерство по учету ресурсов океана (GOAP): </w:t>
      </w:r>
      <w:hyperlink r:id="rId4" w:history="1">
        <w:r>
          <w:rPr>
            <w:rStyle w:val="Hyperlink"/>
            <w:lang w:val="ru"/>
          </w:rPr>
          <w:t>https://www.oceanaccounts.org/</w:t>
        </w:r>
      </w:hyperlink>
      <w:r>
        <w:rPr>
          <w:lang w:val="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7710" w14:textId="77777777" w:rsidR="00020AA1" w:rsidRPr="00C962F0" w:rsidRDefault="00020AA1">
    <w:pPr>
      <w:pStyle w:val="Header"/>
      <w:rPr>
        <w:szCs w:val="22"/>
      </w:rPr>
    </w:pPr>
    <w:r>
      <w:rPr>
        <w:szCs w:val="22"/>
        <w:lang w:val="ru"/>
      </w:rPr>
      <w:t>ICG/CARIBE-EWS II/WD </w:t>
    </w:r>
    <w:r>
      <w:rPr>
        <w:szCs w:val="22"/>
        <w:highlight w:val="cyan"/>
        <w:lang w:val="ru"/>
      </w:rPr>
      <w:t>__</w:t>
    </w:r>
  </w:p>
  <w:p w14:paraId="3F126825" w14:textId="77777777" w:rsidR="00020AA1" w:rsidRPr="00C962F0" w:rsidRDefault="00020AA1">
    <w:pPr>
      <w:pStyle w:val="Header"/>
      <w:rPr>
        <w:szCs w:val="22"/>
      </w:rPr>
    </w:pPr>
    <w:r>
      <w:rPr>
        <w:szCs w:val="22"/>
        <w:lang w:val="ru"/>
      </w:rPr>
      <w:t>Страница </w:t>
    </w:r>
    <w:r>
      <w:rPr>
        <w:rStyle w:val="PageNumber"/>
        <w:szCs w:val="22"/>
        <w:lang w:val="ru"/>
      </w:rPr>
      <w:fldChar w:fldCharType="begin"/>
    </w:r>
    <w:r>
      <w:rPr>
        <w:rStyle w:val="PageNumber"/>
        <w:szCs w:val="22"/>
        <w:lang w:val="ru"/>
      </w:rPr>
      <w:instrText xml:space="preserve"> PAGE </w:instrText>
    </w:r>
    <w:r>
      <w:rPr>
        <w:rStyle w:val="PageNumber"/>
        <w:szCs w:val="22"/>
        <w:lang w:val="ru"/>
      </w:rPr>
      <w:fldChar w:fldCharType="separate"/>
    </w:r>
    <w:r>
      <w:rPr>
        <w:rStyle w:val="PageNumber"/>
        <w:noProof/>
        <w:szCs w:val="22"/>
        <w:lang w:val="ru"/>
      </w:rPr>
      <w:t>2</w:t>
    </w:r>
    <w:r>
      <w:rPr>
        <w:rStyle w:val="PageNumber"/>
        <w:szCs w:val="22"/>
        <w:lang w:val="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CFA00" w14:textId="77777777" w:rsidR="00020AA1" w:rsidRPr="00746B89" w:rsidRDefault="00020AA1" w:rsidP="00DF2FB9">
    <w:pPr>
      <w:pStyle w:val="Header"/>
      <w:tabs>
        <w:tab w:val="clear" w:pos="8306"/>
      </w:tabs>
      <w:rPr>
        <w:szCs w:val="22"/>
      </w:rPr>
    </w:pPr>
    <w:r>
      <w:rPr>
        <w:szCs w:val="22"/>
        <w:lang w:val="ru"/>
      </w:rPr>
      <w:t xml:space="preserve">IOC-XXIV/2 Annex </w:t>
    </w:r>
    <w:r>
      <w:rPr>
        <w:szCs w:val="22"/>
        <w:highlight w:val="yellow"/>
        <w:lang w:val="ru"/>
      </w:rPr>
      <w:t>__</w:t>
    </w:r>
  </w:p>
  <w:p w14:paraId="3E5FB6C7" w14:textId="77777777" w:rsidR="00020AA1" w:rsidRPr="00746B89" w:rsidRDefault="00020AA1" w:rsidP="00DF2FB9">
    <w:pPr>
      <w:pStyle w:val="Header"/>
      <w:tabs>
        <w:tab w:val="clear" w:pos="8306"/>
      </w:tabs>
      <w:rPr>
        <w:szCs w:val="22"/>
      </w:rPr>
    </w:pPr>
    <w:r>
      <w:rPr>
        <w:szCs w:val="22"/>
        <w:lang w:val="ru"/>
      </w:rPr>
      <w:t xml:space="preserve">Страница </w:t>
    </w:r>
    <w:r>
      <w:rPr>
        <w:rStyle w:val="PageNumber"/>
        <w:szCs w:val="22"/>
        <w:lang w:val="ru"/>
      </w:rPr>
      <w:fldChar w:fldCharType="begin"/>
    </w:r>
    <w:r>
      <w:rPr>
        <w:rStyle w:val="PageNumber"/>
        <w:szCs w:val="22"/>
        <w:lang w:val="ru"/>
      </w:rPr>
      <w:instrText xml:space="preserve"> PAGE </w:instrText>
    </w:r>
    <w:r>
      <w:rPr>
        <w:rStyle w:val="PageNumber"/>
        <w:szCs w:val="22"/>
        <w:lang w:val="ru"/>
      </w:rPr>
      <w:fldChar w:fldCharType="separate"/>
    </w:r>
    <w:r>
      <w:rPr>
        <w:rStyle w:val="PageNumber"/>
        <w:noProof/>
        <w:szCs w:val="22"/>
        <w:lang w:val="ru"/>
      </w:rPr>
      <w:t>3</w:t>
    </w:r>
    <w:r>
      <w:rPr>
        <w:rStyle w:val="PageNumber"/>
        <w:szCs w:val="22"/>
        <w:lang w:val="ru"/>
      </w:rPr>
      <w:fldChar w:fldCharType="end"/>
    </w:r>
  </w:p>
  <w:p w14:paraId="78F3D5E5" w14:textId="77777777" w:rsidR="00020AA1" w:rsidRPr="00DF2FB9" w:rsidRDefault="00020AA1" w:rsidP="00DF2FB9">
    <w:pPr>
      <w:pStyle w:val="Header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4C7A" w14:textId="43D66952" w:rsidR="00B8392A" w:rsidRPr="0002470A" w:rsidRDefault="00B8392A" w:rsidP="00B8392A">
    <w:pPr>
      <w:pStyle w:val="Marge"/>
      <w:tabs>
        <w:tab w:val="left" w:pos="6521"/>
        <w:tab w:val="left" w:pos="7560"/>
      </w:tabs>
      <w:spacing w:after="0"/>
      <w:rPr>
        <w:rFonts w:cs="Arial"/>
        <w:b/>
        <w:bCs/>
        <w:sz w:val="28"/>
        <w:szCs w:val="28"/>
      </w:rPr>
    </w:pPr>
    <w:r>
      <w:rPr>
        <w:rFonts w:cs="Arial"/>
        <w:szCs w:val="22"/>
        <w:lang w:val="ru"/>
      </w:rPr>
      <w:t>Рассылается по списку</w:t>
    </w:r>
    <w:r>
      <w:rPr>
        <w:rFonts w:cs="Arial"/>
        <w:szCs w:val="22"/>
        <w:lang w:val="ru"/>
      </w:rPr>
      <w:tab/>
    </w:r>
    <w:r>
      <w:rPr>
        <w:rFonts w:cs="Arial"/>
        <w:b/>
        <w:bCs/>
        <w:sz w:val="28"/>
        <w:szCs w:val="28"/>
        <w:lang w:val="ru"/>
      </w:rPr>
      <w:t>I</w:t>
    </w:r>
    <w:r>
      <w:rPr>
        <w:rStyle w:val="normaltextrun"/>
        <w:rFonts w:cs="Arial"/>
        <w:b/>
        <w:bCs/>
        <w:color w:val="000000"/>
        <w:sz w:val="28"/>
        <w:szCs w:val="28"/>
        <w:lang w:val="ru"/>
      </w:rPr>
      <w:t>OC/A-33/4.1.Doc(1)</w:t>
    </w:r>
  </w:p>
  <w:p w14:paraId="60B0CDF8" w14:textId="27845C6D" w:rsidR="00B8392A" w:rsidRPr="007C710A" w:rsidRDefault="00B8392A" w:rsidP="00B8392A">
    <w:pPr>
      <w:tabs>
        <w:tab w:val="clear" w:pos="567"/>
        <w:tab w:val="left" w:pos="6521"/>
        <w:tab w:val="left" w:pos="7560"/>
      </w:tabs>
      <w:jc w:val="both"/>
      <w:rPr>
        <w:rFonts w:cs="Arial"/>
        <w:szCs w:val="22"/>
      </w:rPr>
    </w:pPr>
    <w:r>
      <w:rPr>
        <w:noProof/>
        <w:lang w:val="ru"/>
      </w:rPr>
      <w:drawing>
        <wp:anchor distT="0" distB="0" distL="114300" distR="114300" simplePos="0" relativeHeight="251659264" behindDoc="0" locked="0" layoutInCell="1" allowOverlap="1" wp14:anchorId="1967284D" wp14:editId="2581CAFF">
          <wp:simplePos x="0" y="0"/>
          <wp:positionH relativeFrom="column">
            <wp:posOffset>-19685</wp:posOffset>
          </wp:positionH>
          <wp:positionV relativeFrom="paragraph">
            <wp:posOffset>101600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Cs w:val="22"/>
        <w:lang w:val="ru"/>
      </w:rPr>
      <w:tab/>
      <w:t>Париж, 22 апреля 2025 года</w:t>
    </w:r>
  </w:p>
  <w:p w14:paraId="79DA8147" w14:textId="77777777" w:rsidR="00B8392A" w:rsidRPr="007C710A" w:rsidRDefault="00B8392A" w:rsidP="00B8392A">
    <w:pPr>
      <w:tabs>
        <w:tab w:val="clear" w:pos="567"/>
        <w:tab w:val="left" w:pos="6521"/>
        <w:tab w:val="left" w:pos="7560"/>
      </w:tabs>
      <w:jc w:val="both"/>
      <w:rPr>
        <w:rFonts w:cs="Arial"/>
        <w:szCs w:val="22"/>
      </w:rPr>
    </w:pPr>
    <w:r>
      <w:rPr>
        <w:rFonts w:cs="Arial"/>
        <w:szCs w:val="22"/>
        <w:lang w:val="ru"/>
      </w:rPr>
      <w:tab/>
      <w:t>Язык оригинала: английский</w:t>
    </w:r>
  </w:p>
  <w:p w14:paraId="4E9E66FF" w14:textId="77777777" w:rsidR="00B8392A" w:rsidRPr="005E544C" w:rsidRDefault="00B8392A" w:rsidP="00B8392A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45"/>
        <w:tab w:val="left" w:pos="5523"/>
        <w:tab w:val="left" w:pos="5812"/>
        <w:tab w:val="left" w:pos="7020"/>
        <w:tab w:val="left" w:pos="7088"/>
      </w:tabs>
      <w:jc w:val="both"/>
      <w:rPr>
        <w:rFonts w:cs="Arial"/>
        <w:b/>
        <w:szCs w:val="22"/>
      </w:rPr>
    </w:pPr>
  </w:p>
  <w:p w14:paraId="2DE21530" w14:textId="77777777" w:rsidR="00B8392A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</w:rPr>
    </w:pPr>
  </w:p>
  <w:p w14:paraId="55539007" w14:textId="77777777" w:rsidR="00B8392A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</w:rPr>
    </w:pPr>
  </w:p>
  <w:p w14:paraId="01C9423A" w14:textId="77777777" w:rsidR="00B8392A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</w:rPr>
    </w:pPr>
  </w:p>
  <w:p w14:paraId="20FE4AD8" w14:textId="77777777" w:rsidR="00B8392A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</w:rPr>
    </w:pPr>
  </w:p>
  <w:p w14:paraId="5689F48C" w14:textId="77777777" w:rsidR="00B8392A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</w:rPr>
    </w:pPr>
  </w:p>
  <w:p w14:paraId="0577728F" w14:textId="77777777" w:rsidR="00B8392A" w:rsidRPr="00423BDE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szCs w:val="22"/>
      </w:rPr>
    </w:pPr>
    <w:r>
      <w:rPr>
        <w:rFonts w:cs="Arial"/>
        <w:b/>
        <w:bCs/>
        <w:szCs w:val="22"/>
        <w:lang w:val="ru"/>
      </w:rPr>
      <w:t>МЕЖПРАВИТЕЛЬСТВЕННАЯ ОКЕАНОГРАФИЧЕСКАЯ КОМИССИЯ</w:t>
    </w:r>
  </w:p>
  <w:p w14:paraId="5272874E" w14:textId="77777777" w:rsidR="00B8392A" w:rsidRPr="00423BDE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</w:rPr>
    </w:pPr>
    <w:r>
      <w:rPr>
        <w:rFonts w:cs="Arial"/>
        <w:szCs w:val="22"/>
        <w:lang w:val="ru"/>
      </w:rPr>
      <w:t>(ЮНЕСКО)</w:t>
    </w:r>
  </w:p>
  <w:p w14:paraId="0EBD8D63" w14:textId="77777777" w:rsidR="00B8392A" w:rsidRPr="00423BDE" w:rsidRDefault="00B8392A" w:rsidP="00B8392A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szCs w:val="22"/>
      </w:rPr>
    </w:pPr>
  </w:p>
  <w:p w14:paraId="18E5BE79" w14:textId="77777777" w:rsidR="00B8392A" w:rsidRPr="009F24D8" w:rsidRDefault="00B8392A" w:rsidP="00B8392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</w:rPr>
    </w:pPr>
    <w:r>
      <w:rPr>
        <w:rFonts w:cs="Arial"/>
        <w:b/>
        <w:bCs/>
        <w:lang w:val="ru"/>
      </w:rPr>
      <w:t>Тридцать третья сессия Ассамблеи</w:t>
    </w:r>
  </w:p>
  <w:p w14:paraId="40C8E194" w14:textId="77777777" w:rsidR="00B8392A" w:rsidRPr="009F24D8" w:rsidRDefault="00B8392A" w:rsidP="00B8392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szCs w:val="22"/>
      </w:rPr>
    </w:pPr>
    <w:r>
      <w:rPr>
        <w:rFonts w:cs="Arial"/>
        <w:lang w:val="ru"/>
      </w:rPr>
      <w:t>ЮНЕСКО, 25 июня – 3 июля 2025 г.</w:t>
    </w:r>
  </w:p>
  <w:p w14:paraId="7582B863" w14:textId="77777777" w:rsidR="00B8392A" w:rsidRPr="00423BDE" w:rsidRDefault="00B8392A" w:rsidP="00B8392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</w:rPr>
    </w:pPr>
  </w:p>
  <w:p w14:paraId="32E8B510" w14:textId="77777777" w:rsidR="00B8392A" w:rsidRPr="00423BDE" w:rsidRDefault="00B8392A" w:rsidP="00B8392A">
    <w:pPr>
      <w:jc w:val="center"/>
      <w:rPr>
        <w:rFonts w:cs="Arial"/>
        <w:szCs w:val="22"/>
      </w:rPr>
    </w:pPr>
  </w:p>
  <w:p w14:paraId="2476ED79" w14:textId="77777777" w:rsidR="00B8392A" w:rsidRDefault="00B8392A" w:rsidP="00B8392A">
    <w:pPr>
      <w:jc w:val="center"/>
      <w:rPr>
        <w:rFonts w:cs="Arial"/>
        <w:szCs w:val="22"/>
      </w:rPr>
    </w:pPr>
  </w:p>
  <w:p w14:paraId="0180F974" w14:textId="77777777" w:rsidR="00B8392A" w:rsidRDefault="00B8392A" w:rsidP="00B8392A">
    <w:pPr>
      <w:jc w:val="center"/>
      <w:rPr>
        <w:rFonts w:cs="Arial"/>
        <w:szCs w:val="22"/>
      </w:rPr>
    </w:pPr>
  </w:p>
  <w:p w14:paraId="4BEE76FC" w14:textId="77777777" w:rsidR="00B8392A" w:rsidRDefault="00B8392A" w:rsidP="00B8392A">
    <w:pPr>
      <w:jc w:val="center"/>
      <w:rPr>
        <w:rFonts w:cs="Arial"/>
        <w:szCs w:val="22"/>
      </w:rPr>
    </w:pPr>
  </w:p>
  <w:p w14:paraId="165782F5" w14:textId="77777777" w:rsidR="00B8392A" w:rsidRPr="005E544C" w:rsidRDefault="00B8392A" w:rsidP="00B8392A">
    <w:pPr>
      <w:jc w:val="center"/>
      <w:rPr>
        <w:rFonts w:cs="Arial"/>
        <w:szCs w:val="22"/>
      </w:rPr>
    </w:pPr>
  </w:p>
  <w:p w14:paraId="3647B50A" w14:textId="13934C14" w:rsidR="00B8392A" w:rsidRPr="000F373F" w:rsidRDefault="00B8392A" w:rsidP="00B8392A">
    <w:pPr>
      <w:pStyle w:val="Heading7"/>
      <w:tabs>
        <w:tab w:val="clear" w:pos="567"/>
        <w:tab w:val="right" w:pos="9540"/>
      </w:tabs>
      <w:rPr>
        <w:rFonts w:asciiTheme="minorBidi" w:hAnsiTheme="minorBidi" w:cstheme="minorBidi"/>
        <w:szCs w:val="22"/>
      </w:rPr>
    </w:pPr>
    <w:r>
      <w:rPr>
        <w:rFonts w:asciiTheme="minorBidi" w:hAnsiTheme="minorBidi" w:cstheme="minorBidi"/>
        <w:sz w:val="24"/>
        <w:lang w:val="ru"/>
      </w:rPr>
      <w:t xml:space="preserve">Пункт </w:t>
    </w:r>
    <w:r>
      <w:rPr>
        <w:rFonts w:asciiTheme="minorBidi" w:hAnsiTheme="minorBidi" w:cstheme="minorBidi"/>
        <w:b/>
        <w:bCs/>
        <w:sz w:val="24"/>
        <w:lang w:val="ru"/>
      </w:rPr>
      <w:t>4.1</w:t>
    </w:r>
    <w:r>
      <w:rPr>
        <w:rFonts w:asciiTheme="minorBidi" w:hAnsiTheme="minorBidi" w:cstheme="minorBidi"/>
        <w:sz w:val="24"/>
        <w:lang w:val="ru"/>
      </w:rPr>
      <w:t xml:space="preserve"> предварительной повестки дня</w:t>
    </w:r>
  </w:p>
  <w:p w14:paraId="77F917C5" w14:textId="77777777" w:rsidR="00B8392A" w:rsidRPr="005E544C" w:rsidRDefault="00B8392A" w:rsidP="00B8392A">
    <w:pPr>
      <w:rPr>
        <w:rFonts w:cs="Arial"/>
        <w:szCs w:val="22"/>
      </w:rPr>
    </w:pPr>
  </w:p>
  <w:p w14:paraId="2A11EA49" w14:textId="77777777" w:rsidR="00B8392A" w:rsidRPr="005E544C" w:rsidRDefault="00B8392A" w:rsidP="00B8392A">
    <w:pPr>
      <w:rPr>
        <w:rFonts w:cs="Arial"/>
        <w:szCs w:val="22"/>
      </w:rPr>
    </w:pPr>
  </w:p>
  <w:p w14:paraId="6746EA64" w14:textId="15C44162" w:rsidR="00B44C1E" w:rsidRPr="000F373F" w:rsidRDefault="00902B6B" w:rsidP="00B44C1E">
    <w:pPr>
      <w:jc w:val="center"/>
      <w:rPr>
        <w:b/>
        <w:sz w:val="24"/>
      </w:rPr>
    </w:pPr>
    <w:r>
      <w:rPr>
        <w:b/>
        <w:bCs/>
        <w:sz w:val="24"/>
        <w:lang w:val="ru"/>
      </w:rPr>
      <w:t>ПЕРЕСМОТРЕННАЯ ОБЩАЯ СТРАТЕГИИЯ МОК ПО УСТОЙЧИВОМУ ОКЕАНИЧЕСКОМУ ПЛАНИРОВАНИЮ И УПРАВЛЕНИЮ (2025-2030 гг.) И ПЛАН РЕАЛИЗАЦИИ (2025-2027 гг.)</w:t>
    </w:r>
  </w:p>
  <w:p w14:paraId="269AE881" w14:textId="77777777" w:rsidR="00020AA1" w:rsidRPr="00B8392A" w:rsidRDefault="00020AA1" w:rsidP="00B8392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58A5" w14:textId="60EDFD1B" w:rsidR="00020AA1" w:rsidRPr="00B8392A" w:rsidRDefault="00B7073F" w:rsidP="00B526D0">
    <w:pPr>
      <w:pStyle w:val="Header"/>
      <w:rPr>
        <w:rFonts w:cs="Arial"/>
        <w:sz w:val="20"/>
        <w:szCs w:val="20"/>
      </w:rPr>
    </w:pPr>
    <w:r>
      <w:rPr>
        <w:rFonts w:cs="Arial"/>
        <w:sz w:val="20"/>
        <w:szCs w:val="20"/>
        <w:lang w:val="ru"/>
      </w:rPr>
      <w:t>I</w:t>
    </w:r>
    <w:r>
      <w:rPr>
        <w:rStyle w:val="normaltextrun"/>
        <w:rFonts w:cs="Arial"/>
        <w:color w:val="000000"/>
        <w:sz w:val="20"/>
        <w:szCs w:val="20"/>
        <w:lang w:val="ru"/>
      </w:rPr>
      <w:t xml:space="preserve">OC/A-33/4.1.Doc(1) – </w:t>
    </w:r>
    <w:r>
      <w:rPr>
        <w:rFonts w:cs="Arial"/>
        <w:sz w:val="20"/>
        <w:szCs w:val="20"/>
        <w:lang w:val="ru"/>
      </w:rPr>
      <w:t>страница e </w:t>
    </w:r>
    <w:r>
      <w:rPr>
        <w:rStyle w:val="PageNumber"/>
        <w:rFonts w:cs="Arial"/>
        <w:sz w:val="20"/>
        <w:szCs w:val="20"/>
        <w:lang w:val="ru"/>
      </w:rPr>
      <w:fldChar w:fldCharType="begin"/>
    </w:r>
    <w:r>
      <w:rPr>
        <w:rStyle w:val="PageNumber"/>
        <w:rFonts w:cs="Arial"/>
        <w:sz w:val="20"/>
        <w:szCs w:val="20"/>
        <w:lang w:val="ru"/>
      </w:rPr>
      <w:instrText xml:space="preserve"> PAGE </w:instrText>
    </w:r>
    <w:r>
      <w:rPr>
        <w:rStyle w:val="PageNumber"/>
        <w:rFonts w:cs="Arial"/>
        <w:sz w:val="20"/>
        <w:szCs w:val="20"/>
        <w:lang w:val="ru"/>
      </w:rPr>
      <w:fldChar w:fldCharType="separate"/>
    </w:r>
    <w:r>
      <w:rPr>
        <w:rStyle w:val="PageNumber"/>
        <w:rFonts w:cs="Arial"/>
        <w:noProof/>
        <w:sz w:val="20"/>
        <w:szCs w:val="20"/>
        <w:lang w:val="ru"/>
      </w:rPr>
      <w:t>2</w:t>
    </w:r>
    <w:r>
      <w:rPr>
        <w:rStyle w:val="PageNumber"/>
        <w:rFonts w:cs="Arial"/>
        <w:sz w:val="20"/>
        <w:szCs w:val="20"/>
        <w:lang w:val="ru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B61E" w14:textId="285447F3" w:rsidR="00020AA1" w:rsidRPr="003A6744" w:rsidRDefault="00B7073F" w:rsidP="00B526D0">
    <w:pPr>
      <w:pStyle w:val="Header"/>
      <w:tabs>
        <w:tab w:val="clear" w:pos="8306"/>
      </w:tabs>
      <w:jc w:val="right"/>
      <w:rPr>
        <w:rFonts w:cs="Arial"/>
        <w:szCs w:val="22"/>
      </w:rPr>
    </w:pPr>
    <w:r>
      <w:rPr>
        <w:rFonts w:cs="Arial"/>
        <w:sz w:val="20"/>
        <w:szCs w:val="20"/>
        <w:lang w:val="ru"/>
      </w:rPr>
      <w:t>I</w:t>
    </w:r>
    <w:r>
      <w:rPr>
        <w:rStyle w:val="normaltextrun"/>
        <w:rFonts w:cs="Arial"/>
        <w:color w:val="000000"/>
        <w:sz w:val="20"/>
        <w:szCs w:val="20"/>
        <w:lang w:val="ru"/>
      </w:rPr>
      <w:t xml:space="preserve">OC/A-33/4.1.Doc(1) – </w:t>
    </w:r>
    <w:r>
      <w:rPr>
        <w:rFonts w:cs="Arial"/>
        <w:szCs w:val="22"/>
        <w:lang w:val="ru"/>
      </w:rPr>
      <w:t>страница e </w:t>
    </w:r>
    <w:r>
      <w:rPr>
        <w:rStyle w:val="PageNumber"/>
        <w:rFonts w:cs="Arial"/>
        <w:szCs w:val="22"/>
        <w:lang w:val="ru"/>
      </w:rPr>
      <w:fldChar w:fldCharType="begin"/>
    </w:r>
    <w:r>
      <w:rPr>
        <w:rStyle w:val="PageNumber"/>
        <w:rFonts w:cs="Arial"/>
        <w:szCs w:val="22"/>
        <w:lang w:val="ru"/>
      </w:rPr>
      <w:instrText xml:space="preserve"> PAGE </w:instrText>
    </w:r>
    <w:r>
      <w:rPr>
        <w:rStyle w:val="PageNumber"/>
        <w:rFonts w:cs="Arial"/>
        <w:szCs w:val="22"/>
        <w:lang w:val="ru"/>
      </w:rPr>
      <w:fldChar w:fldCharType="separate"/>
    </w:r>
    <w:r>
      <w:rPr>
        <w:rStyle w:val="PageNumber"/>
        <w:rFonts w:cs="Arial"/>
        <w:noProof/>
        <w:szCs w:val="22"/>
        <w:lang w:val="ru"/>
      </w:rPr>
      <w:t>3</w:t>
    </w:r>
    <w:r>
      <w:rPr>
        <w:rStyle w:val="PageNumber"/>
        <w:rFonts w:cs="Arial"/>
        <w:szCs w:val="22"/>
        <w:lang w:val="ru"/>
      </w:rPr>
      <w:fldChar w:fldCharType="end"/>
    </w:r>
  </w:p>
  <w:p w14:paraId="31326F2C" w14:textId="77777777" w:rsidR="00020AA1" w:rsidRPr="003A6744" w:rsidRDefault="00020AA1" w:rsidP="00B8392A">
    <w:pPr>
      <w:pStyle w:val="Header"/>
      <w:ind w:left="6804"/>
      <w:rPr>
        <w:rFonts w:cs="Arial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894F" w14:textId="22FE4660" w:rsidR="00020AA1" w:rsidRPr="00B7073F" w:rsidRDefault="00B7073F" w:rsidP="00294AD5">
    <w:pPr>
      <w:pStyle w:val="Header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  <w:lang w:val="ru"/>
      </w:rPr>
      <w:t>I</w:t>
    </w:r>
    <w:r>
      <w:rPr>
        <w:rStyle w:val="normaltextrun"/>
        <w:rFonts w:cs="Arial"/>
        <w:color w:val="000000"/>
        <w:sz w:val="20"/>
        <w:szCs w:val="20"/>
        <w:lang w:val="ru"/>
      </w:rPr>
      <w:t>OC/A-33/4.1.Doc(1)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(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B295537"/>
    <w:multiLevelType w:val="hybridMultilevel"/>
    <w:tmpl w:val="EA348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26587"/>
    <w:multiLevelType w:val="multilevel"/>
    <w:tmpl w:val="631EDF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B05F32"/>
    <w:multiLevelType w:val="multilevel"/>
    <w:tmpl w:val="A78646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B2E38"/>
    <w:multiLevelType w:val="multilevel"/>
    <w:tmpl w:val="CECC15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B1C9C"/>
    <w:multiLevelType w:val="hybridMultilevel"/>
    <w:tmpl w:val="23A85EFA"/>
    <w:lvl w:ilvl="0" w:tplc="CFBCE88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7" w15:restartNumberingAfterBreak="0">
    <w:nsid w:val="18F06865"/>
    <w:multiLevelType w:val="hybridMultilevel"/>
    <w:tmpl w:val="DD06EB84"/>
    <w:lvl w:ilvl="0" w:tplc="AB80D3EA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9548A9"/>
    <w:multiLevelType w:val="hybridMultilevel"/>
    <w:tmpl w:val="7CA41BAC"/>
    <w:lvl w:ilvl="0" w:tplc="F514A878">
      <w:start w:val="1"/>
      <w:numFmt w:val="lowerRoman"/>
      <w:lvlText w:val="(%1)"/>
      <w:lvlJc w:val="righ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97914"/>
    <w:multiLevelType w:val="hybridMultilevel"/>
    <w:tmpl w:val="46660A7E"/>
    <w:lvl w:ilvl="0" w:tplc="D212B118">
      <w:start w:val="1"/>
      <w:numFmt w:val="lowerRoman"/>
      <w:lvlText w:val="(%1)"/>
      <w:lvlJc w:val="righ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466761"/>
    <w:multiLevelType w:val="multilevel"/>
    <w:tmpl w:val="90F6B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482056"/>
    <w:multiLevelType w:val="multilevel"/>
    <w:tmpl w:val="69D69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3" w15:restartNumberingAfterBreak="0">
    <w:nsid w:val="35181C2B"/>
    <w:multiLevelType w:val="multilevel"/>
    <w:tmpl w:val="A760C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4B4B52"/>
    <w:multiLevelType w:val="multilevel"/>
    <w:tmpl w:val="91E215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137E9F"/>
    <w:multiLevelType w:val="hybridMultilevel"/>
    <w:tmpl w:val="E4702ECE"/>
    <w:lvl w:ilvl="0" w:tplc="F438B458">
      <w:start w:val="1"/>
      <w:numFmt w:val="lowerRoman"/>
      <w:lvlText w:val="(%1)"/>
      <w:lvlJc w:val="right"/>
      <w:pPr>
        <w:ind w:left="720" w:hanging="360"/>
      </w:pPr>
      <w:rPr>
        <w:rFonts w:hint="default"/>
        <w:b w:val="0"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7524E"/>
    <w:multiLevelType w:val="multilevel"/>
    <w:tmpl w:val="991A17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204C64"/>
    <w:multiLevelType w:val="hybridMultilevel"/>
    <w:tmpl w:val="BE2E72B4"/>
    <w:lvl w:ilvl="0" w:tplc="BCA6AA70">
      <w:start w:val="1"/>
      <w:numFmt w:val="decimal"/>
      <w:pStyle w:val="COI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860759"/>
    <w:multiLevelType w:val="hybridMultilevel"/>
    <w:tmpl w:val="8EBE777A"/>
    <w:lvl w:ilvl="0" w:tplc="0064609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D913E1"/>
    <w:multiLevelType w:val="multilevel"/>
    <w:tmpl w:val="975C15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5940FD"/>
    <w:multiLevelType w:val="multilevel"/>
    <w:tmpl w:val="E61A36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DB4E9F"/>
    <w:multiLevelType w:val="multilevel"/>
    <w:tmpl w:val="FA90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54449A"/>
    <w:multiLevelType w:val="multilevel"/>
    <w:tmpl w:val="06D6A9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7E7511"/>
    <w:multiLevelType w:val="multilevel"/>
    <w:tmpl w:val="D6E00F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0000DA"/>
    <w:multiLevelType w:val="hybridMultilevel"/>
    <w:tmpl w:val="B2C24F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583000"/>
    <w:multiLevelType w:val="multilevel"/>
    <w:tmpl w:val="691A6C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E46D4E"/>
    <w:multiLevelType w:val="multilevel"/>
    <w:tmpl w:val="0CEC36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523353">
    <w:abstractNumId w:val="12"/>
  </w:num>
  <w:num w:numId="2" w16cid:durableId="1126850961">
    <w:abstractNumId w:val="17"/>
  </w:num>
  <w:num w:numId="3" w16cid:durableId="676813241">
    <w:abstractNumId w:val="0"/>
  </w:num>
  <w:num w:numId="4" w16cid:durableId="652441993">
    <w:abstractNumId w:val="4"/>
  </w:num>
  <w:num w:numId="5" w16cid:durableId="1859392821">
    <w:abstractNumId w:val="6"/>
  </w:num>
  <w:num w:numId="6" w16cid:durableId="210460474">
    <w:abstractNumId w:val="17"/>
  </w:num>
  <w:num w:numId="7" w16cid:durableId="1551647552">
    <w:abstractNumId w:val="17"/>
  </w:num>
  <w:num w:numId="8" w16cid:durableId="1160467851">
    <w:abstractNumId w:val="18"/>
  </w:num>
  <w:num w:numId="9" w16cid:durableId="1974671459">
    <w:abstractNumId w:val="24"/>
  </w:num>
  <w:num w:numId="10" w16cid:durableId="1568802022">
    <w:abstractNumId w:val="7"/>
  </w:num>
  <w:num w:numId="11" w16cid:durableId="171185580">
    <w:abstractNumId w:val="1"/>
  </w:num>
  <w:num w:numId="12" w16cid:durableId="2054697762">
    <w:abstractNumId w:val="11"/>
  </w:num>
  <w:num w:numId="13" w16cid:durableId="667562564">
    <w:abstractNumId w:val="26"/>
  </w:num>
  <w:num w:numId="14" w16cid:durableId="87579129">
    <w:abstractNumId w:val="22"/>
  </w:num>
  <w:num w:numId="15" w16cid:durableId="301161518">
    <w:abstractNumId w:val="5"/>
  </w:num>
  <w:num w:numId="16" w16cid:durableId="737678392">
    <w:abstractNumId w:val="3"/>
  </w:num>
  <w:num w:numId="17" w16cid:durableId="971399597">
    <w:abstractNumId w:val="14"/>
  </w:num>
  <w:num w:numId="18" w16cid:durableId="224873416">
    <w:abstractNumId w:val="10"/>
  </w:num>
  <w:num w:numId="19" w16cid:durableId="526872534">
    <w:abstractNumId w:val="21"/>
  </w:num>
  <w:num w:numId="20" w16cid:durableId="1980571087">
    <w:abstractNumId w:val="23"/>
  </w:num>
  <w:num w:numId="21" w16cid:durableId="1893076948">
    <w:abstractNumId w:val="13"/>
  </w:num>
  <w:num w:numId="22" w16cid:durableId="130681615">
    <w:abstractNumId w:val="2"/>
  </w:num>
  <w:num w:numId="23" w16cid:durableId="1596939821">
    <w:abstractNumId w:val="16"/>
  </w:num>
  <w:num w:numId="24" w16cid:durableId="1346128012">
    <w:abstractNumId w:val="25"/>
  </w:num>
  <w:num w:numId="25" w16cid:durableId="1509633816">
    <w:abstractNumId w:val="19"/>
  </w:num>
  <w:num w:numId="26" w16cid:durableId="503864085">
    <w:abstractNumId w:val="20"/>
  </w:num>
  <w:num w:numId="27" w16cid:durableId="494997579">
    <w:abstractNumId w:val="15"/>
  </w:num>
  <w:num w:numId="28" w16cid:durableId="1043402882">
    <w:abstractNumId w:val="8"/>
  </w:num>
  <w:num w:numId="29" w16cid:durableId="129698754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F4"/>
    <w:rsid w:val="00003B31"/>
    <w:rsid w:val="00010BBB"/>
    <w:rsid w:val="00020AA1"/>
    <w:rsid w:val="0002470A"/>
    <w:rsid w:val="00056F67"/>
    <w:rsid w:val="00085D6A"/>
    <w:rsid w:val="000D6CCD"/>
    <w:rsid w:val="000F0254"/>
    <w:rsid w:val="000F2179"/>
    <w:rsid w:val="000F373F"/>
    <w:rsid w:val="000F6147"/>
    <w:rsid w:val="001129FE"/>
    <w:rsid w:val="00113C2E"/>
    <w:rsid w:val="00116D1A"/>
    <w:rsid w:val="00123719"/>
    <w:rsid w:val="001241D7"/>
    <w:rsid w:val="00137E97"/>
    <w:rsid w:val="00140F06"/>
    <w:rsid w:val="001448C4"/>
    <w:rsid w:val="00155393"/>
    <w:rsid w:val="001572C7"/>
    <w:rsid w:val="00167158"/>
    <w:rsid w:val="00173D4F"/>
    <w:rsid w:val="00190662"/>
    <w:rsid w:val="00196052"/>
    <w:rsid w:val="001B0699"/>
    <w:rsid w:val="001B3B24"/>
    <w:rsid w:val="001C6455"/>
    <w:rsid w:val="001D0986"/>
    <w:rsid w:val="001E295D"/>
    <w:rsid w:val="001E7450"/>
    <w:rsid w:val="00204E9E"/>
    <w:rsid w:val="0021210D"/>
    <w:rsid w:val="00253713"/>
    <w:rsid w:val="00262D22"/>
    <w:rsid w:val="00275B54"/>
    <w:rsid w:val="002801C4"/>
    <w:rsid w:val="00281474"/>
    <w:rsid w:val="00287BE6"/>
    <w:rsid w:val="00294AD5"/>
    <w:rsid w:val="002C7DE3"/>
    <w:rsid w:val="002E0859"/>
    <w:rsid w:val="002E12D4"/>
    <w:rsid w:val="002F71CB"/>
    <w:rsid w:val="003105C5"/>
    <w:rsid w:val="0034156B"/>
    <w:rsid w:val="003561BE"/>
    <w:rsid w:val="00376E56"/>
    <w:rsid w:val="003805F5"/>
    <w:rsid w:val="003A1EF6"/>
    <w:rsid w:val="003A6744"/>
    <w:rsid w:val="003A7860"/>
    <w:rsid w:val="003D3711"/>
    <w:rsid w:val="003F55CF"/>
    <w:rsid w:val="003F7186"/>
    <w:rsid w:val="004031FB"/>
    <w:rsid w:val="004119C7"/>
    <w:rsid w:val="00411F42"/>
    <w:rsid w:val="00413F17"/>
    <w:rsid w:val="00424DE6"/>
    <w:rsid w:val="004471BE"/>
    <w:rsid w:val="00450D22"/>
    <w:rsid w:val="004529B8"/>
    <w:rsid w:val="00467E3F"/>
    <w:rsid w:val="00486CB6"/>
    <w:rsid w:val="004A135F"/>
    <w:rsid w:val="004C1625"/>
    <w:rsid w:val="004D41F2"/>
    <w:rsid w:val="004F2522"/>
    <w:rsid w:val="004F7D6C"/>
    <w:rsid w:val="005023C1"/>
    <w:rsid w:val="00543177"/>
    <w:rsid w:val="0057443C"/>
    <w:rsid w:val="00576270"/>
    <w:rsid w:val="00593526"/>
    <w:rsid w:val="005A02AC"/>
    <w:rsid w:val="005B6765"/>
    <w:rsid w:val="005C7A36"/>
    <w:rsid w:val="005C7D76"/>
    <w:rsid w:val="005E544C"/>
    <w:rsid w:val="005E6483"/>
    <w:rsid w:val="006110DA"/>
    <w:rsid w:val="00633EA5"/>
    <w:rsid w:val="00635E2E"/>
    <w:rsid w:val="00677A2E"/>
    <w:rsid w:val="006842FA"/>
    <w:rsid w:val="0068682C"/>
    <w:rsid w:val="006874D2"/>
    <w:rsid w:val="00687EA3"/>
    <w:rsid w:val="00690A0C"/>
    <w:rsid w:val="00690FD2"/>
    <w:rsid w:val="00693199"/>
    <w:rsid w:val="006B4B95"/>
    <w:rsid w:val="006C18D9"/>
    <w:rsid w:val="006C1911"/>
    <w:rsid w:val="006C56FC"/>
    <w:rsid w:val="006C6449"/>
    <w:rsid w:val="006F0205"/>
    <w:rsid w:val="00702B44"/>
    <w:rsid w:val="00737A18"/>
    <w:rsid w:val="00746B89"/>
    <w:rsid w:val="0079212B"/>
    <w:rsid w:val="007A0A99"/>
    <w:rsid w:val="008048D2"/>
    <w:rsid w:val="0081004E"/>
    <w:rsid w:val="00821819"/>
    <w:rsid w:val="00840C53"/>
    <w:rsid w:val="00853565"/>
    <w:rsid w:val="00884391"/>
    <w:rsid w:val="008A6E5C"/>
    <w:rsid w:val="008B1AE4"/>
    <w:rsid w:val="008B384B"/>
    <w:rsid w:val="008B74E2"/>
    <w:rsid w:val="008C5128"/>
    <w:rsid w:val="008D2398"/>
    <w:rsid w:val="008D53F5"/>
    <w:rsid w:val="008F6942"/>
    <w:rsid w:val="009026D3"/>
    <w:rsid w:val="00902B6B"/>
    <w:rsid w:val="009146A5"/>
    <w:rsid w:val="00961557"/>
    <w:rsid w:val="00972A92"/>
    <w:rsid w:val="00993CA4"/>
    <w:rsid w:val="009B63AB"/>
    <w:rsid w:val="009C0A89"/>
    <w:rsid w:val="009C15B1"/>
    <w:rsid w:val="009D3D27"/>
    <w:rsid w:val="009D6A23"/>
    <w:rsid w:val="009E6A03"/>
    <w:rsid w:val="009F3A67"/>
    <w:rsid w:val="009F7769"/>
    <w:rsid w:val="00A11697"/>
    <w:rsid w:val="00A11B9B"/>
    <w:rsid w:val="00A25BC8"/>
    <w:rsid w:val="00A54408"/>
    <w:rsid w:val="00AB6A2B"/>
    <w:rsid w:val="00AD3D55"/>
    <w:rsid w:val="00AD507C"/>
    <w:rsid w:val="00B10DA4"/>
    <w:rsid w:val="00B11431"/>
    <w:rsid w:val="00B246B5"/>
    <w:rsid w:val="00B44C1E"/>
    <w:rsid w:val="00B526D0"/>
    <w:rsid w:val="00B7073F"/>
    <w:rsid w:val="00B722DE"/>
    <w:rsid w:val="00B81B50"/>
    <w:rsid w:val="00B83068"/>
    <w:rsid w:val="00B8392A"/>
    <w:rsid w:val="00BA6706"/>
    <w:rsid w:val="00BC3F42"/>
    <w:rsid w:val="00BD6603"/>
    <w:rsid w:val="00BF069C"/>
    <w:rsid w:val="00BF3835"/>
    <w:rsid w:val="00C1002D"/>
    <w:rsid w:val="00C21429"/>
    <w:rsid w:val="00C2635E"/>
    <w:rsid w:val="00C3684D"/>
    <w:rsid w:val="00C4032B"/>
    <w:rsid w:val="00C6486C"/>
    <w:rsid w:val="00C648D3"/>
    <w:rsid w:val="00C710BD"/>
    <w:rsid w:val="00C75B02"/>
    <w:rsid w:val="00C82E39"/>
    <w:rsid w:val="00C94A07"/>
    <w:rsid w:val="00C962F0"/>
    <w:rsid w:val="00CB3B8F"/>
    <w:rsid w:val="00CF51CB"/>
    <w:rsid w:val="00D013ED"/>
    <w:rsid w:val="00D36BDC"/>
    <w:rsid w:val="00D5049E"/>
    <w:rsid w:val="00D54068"/>
    <w:rsid w:val="00D55FEC"/>
    <w:rsid w:val="00D71D9C"/>
    <w:rsid w:val="00D85BC1"/>
    <w:rsid w:val="00DB1DF3"/>
    <w:rsid w:val="00DD5B1C"/>
    <w:rsid w:val="00DF2FB9"/>
    <w:rsid w:val="00E16272"/>
    <w:rsid w:val="00E37EB9"/>
    <w:rsid w:val="00E567F0"/>
    <w:rsid w:val="00E63DEF"/>
    <w:rsid w:val="00E64936"/>
    <w:rsid w:val="00EE0542"/>
    <w:rsid w:val="00F31A98"/>
    <w:rsid w:val="00F351D0"/>
    <w:rsid w:val="00F463F2"/>
    <w:rsid w:val="00F64E56"/>
    <w:rsid w:val="00F70BF4"/>
    <w:rsid w:val="00F8186D"/>
    <w:rsid w:val="00F9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6E12B"/>
  <w15:docId w15:val="{7A38C243-9933-4643-9AA7-7ECFAAD0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DE6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GB" w:eastAsia="en-US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b/>
      <w:bCs/>
      <w:caps/>
    </w:rPr>
  </w:style>
  <w:style w:type="paragraph" w:styleId="Heading3">
    <w:name w:val="heading 3"/>
    <w:basedOn w:val="Normal"/>
    <w:next w:val="Marge"/>
    <w:autoRedefine/>
    <w:qFormat/>
    <w:rsid w:val="005C7A36"/>
    <w:pPr>
      <w:keepNext/>
      <w:keepLines/>
      <w:spacing w:after="240"/>
      <w:outlineLvl w:val="2"/>
    </w:pPr>
    <w:rPr>
      <w:rFonts w:eastAsia="Arial Unicode MS"/>
      <w:b/>
      <w:bCs/>
      <w:szCs w:val="22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qFormat/>
    <w:pPr>
      <w:keepNext/>
      <w:spacing w:line="360" w:lineRule="atLeast"/>
      <w:outlineLvl w:val="6"/>
    </w:pPr>
    <w:rPr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0859"/>
    <w:pPr>
      <w:spacing w:before="240" w:after="60"/>
      <w:outlineLvl w:val="8"/>
    </w:pPr>
    <w:rPr>
      <w:rFonts w:eastAsia="SimSun" w:cs="Arial"/>
      <w:b/>
      <w:bCs/>
      <w:i/>
      <w:iCs/>
      <w:sz w:val="18"/>
      <w:szCs w:val="18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har"/>
    <w:uiPriority w:val="99"/>
    <w:pPr>
      <w:ind w:firstLine="0"/>
    </w:pPr>
  </w:style>
  <w:style w:type="paragraph" w:customStyle="1" w:styleId="Par">
    <w:name w:val="Par"/>
    <w:basedOn w:val="Normal"/>
    <w:link w:val="ParChar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uiPriority w:val="99"/>
    <w:semiHidden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snapToGrid/>
      <w:szCs w:val="20"/>
      <w:lang w:eastAsia="fr-FR"/>
    </w:rPr>
  </w:style>
  <w:style w:type="paragraph" w:customStyle="1" w:styleId="COI">
    <w:name w:val="COI"/>
    <w:basedOn w:val="Marge"/>
    <w:link w:val="COIChar"/>
    <w:autoRedefine/>
    <w:rsid w:val="006B4B95"/>
    <w:pPr>
      <w:numPr>
        <w:numId w:val="2"/>
      </w:numPr>
      <w:tabs>
        <w:tab w:val="left" w:pos="709"/>
      </w:tabs>
    </w:pPr>
    <w:rPr>
      <w:rFonts w:eastAsia="Arial Unicode MS"/>
      <w:szCs w:val="22"/>
    </w:rPr>
  </w:style>
  <w:style w:type="paragraph" w:styleId="BlockText">
    <w:name w:val="Block Text"/>
    <w:basedOn w:val="Normal"/>
    <w:pPr>
      <w:tabs>
        <w:tab w:val="clear" w:pos="567"/>
      </w:tabs>
      <w:snapToGrid/>
      <w:ind w:left="360" w:right="540"/>
      <w:jc w:val="both"/>
    </w:pPr>
    <w:rPr>
      <w:i/>
      <w:iCs/>
      <w:snapToGrid/>
      <w:lang w:val="en-US"/>
    </w:rPr>
  </w:style>
  <w:style w:type="paragraph" w:styleId="BodyText2">
    <w:name w:val="Body Text 2"/>
    <w:basedOn w:val="Normal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eastAsia="MS Mincho" w:cs="Arial"/>
      <w:snapToGrid/>
      <w:color w:val="FF0000"/>
      <w:lang w:val="en-US" w:eastAsia="ja-JP"/>
    </w:rPr>
  </w:style>
  <w:style w:type="paragraph" w:styleId="BodyTextIndent">
    <w:name w:val="Body Text Indent"/>
    <w:aliases w:val="Quotation"/>
    <w:basedOn w:val="Normal"/>
    <w:rsid w:val="008D2398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i/>
      <w:snapToGrid/>
    </w:rPr>
  </w:style>
  <w:style w:type="paragraph" w:customStyle="1" w:styleId="Docheading">
    <w:name w:val="Doc. heading"/>
    <w:basedOn w:val="Header"/>
    <w:rsid w:val="009C15B1"/>
    <w:pPr>
      <w:spacing w:after="480"/>
      <w:jc w:val="center"/>
    </w:pPr>
    <w:rPr>
      <w:rFonts w:cs="Arial"/>
      <w:b/>
      <w:bCs/>
      <w:caps/>
      <w:sz w:val="24"/>
    </w:rPr>
  </w:style>
  <w:style w:type="paragraph" w:styleId="BodyTextFirstIndent2">
    <w:name w:val="Body Text First Indent 2"/>
    <w:basedOn w:val="BodyTextIndent"/>
    <w:rsid w:val="008D2398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paragraph" w:customStyle="1" w:styleId="Listnumbered">
    <w:name w:val="List numbered"/>
    <w:basedOn w:val="ListBullet2"/>
    <w:autoRedefine/>
    <w:rsid w:val="00D013ED"/>
    <w:pPr>
      <w:numPr>
        <w:numId w:val="3"/>
      </w:numPr>
      <w:jc w:val="both"/>
    </w:pPr>
  </w:style>
  <w:style w:type="paragraph" w:customStyle="1" w:styleId="Style1">
    <w:name w:val="Style1"/>
    <w:basedOn w:val="Listnumbered"/>
    <w:autoRedefine/>
    <w:rsid w:val="006B4B95"/>
  </w:style>
  <w:style w:type="character" w:customStyle="1" w:styleId="ParChar">
    <w:name w:val="Par Char"/>
    <w:link w:val="Par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paragraph" w:styleId="ListBullet2">
    <w:name w:val="List Bullet 2"/>
    <w:basedOn w:val="Normal"/>
    <w:rsid w:val="006B4B95"/>
    <w:pPr>
      <w:numPr>
        <w:numId w:val="4"/>
      </w:numPr>
      <w:spacing w:after="240"/>
    </w:pPr>
  </w:style>
  <w:style w:type="character" w:customStyle="1" w:styleId="MargeChar">
    <w:name w:val="Marge Char"/>
    <w:basedOn w:val="ParChar"/>
    <w:link w:val="Marge"/>
    <w:uiPriority w:val="99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character" w:customStyle="1" w:styleId="COIChar">
    <w:name w:val="COI Char"/>
    <w:link w:val="COI"/>
    <w:rsid w:val="00690FD2"/>
    <w:rPr>
      <w:rFonts w:ascii="Arial" w:eastAsia="Arial Unicode MS" w:hAnsi="Arial"/>
      <w:snapToGrid w:val="0"/>
      <w:sz w:val="22"/>
      <w:szCs w:val="22"/>
      <w:lang w:val="en-GB" w:eastAsia="en-US"/>
    </w:rPr>
  </w:style>
  <w:style w:type="character" w:customStyle="1" w:styleId="Heading9Char">
    <w:name w:val="Heading 9 Char"/>
    <w:link w:val="Heading9"/>
    <w:semiHidden/>
    <w:locked/>
    <w:rsid w:val="002E0859"/>
    <w:rPr>
      <w:rFonts w:ascii="Arial" w:eastAsia="SimSun" w:hAnsi="Arial" w:cs="Arial"/>
      <w:b/>
      <w:bCs/>
      <w:i/>
      <w:iCs/>
      <w:snapToGrid w:val="0"/>
      <w:sz w:val="18"/>
      <w:szCs w:val="18"/>
      <w:u w:val="single"/>
      <w:lang w:val="en-GB" w:eastAsia="zh-CN" w:bidi="ar-SA"/>
    </w:rPr>
  </w:style>
  <w:style w:type="character" w:customStyle="1" w:styleId="Titre9Car1">
    <w:name w:val="Titre 9 Car1"/>
    <w:semiHidden/>
    <w:rsid w:val="002E0859"/>
    <w:rPr>
      <w:rFonts w:ascii="Cambria" w:eastAsia="Times New Roman" w:hAnsi="Cambria" w:cs="Times New Roman"/>
      <w:snapToGrid w:val="0"/>
      <w:sz w:val="22"/>
      <w:szCs w:val="22"/>
      <w:lang w:val="en-GB" w:eastAsia="en-US"/>
    </w:rPr>
  </w:style>
  <w:style w:type="character" w:styleId="Hyperlink">
    <w:name w:val="Hyperlink"/>
    <w:basedOn w:val="DefaultParagraphFont"/>
    <w:rsid w:val="00C263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4032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56F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6F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6F67"/>
    <w:rPr>
      <w:rFonts w:ascii="Arial" w:hAnsi="Arial"/>
      <w:snapToGrid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F67"/>
    <w:rPr>
      <w:rFonts w:ascii="Arial" w:hAnsi="Arial"/>
      <w:b/>
      <w:bCs/>
      <w:snapToGrid w:val="0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056F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56F67"/>
    <w:rPr>
      <w:rFonts w:ascii="Segoe UI" w:hAnsi="Segoe UI" w:cs="Segoe UI"/>
      <w:snapToGrid w:val="0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1E295D"/>
    <w:pPr>
      <w:tabs>
        <w:tab w:val="clear" w:pos="567"/>
      </w:tabs>
      <w:snapToGrid/>
      <w:ind w:left="720"/>
      <w:contextualSpacing/>
    </w:pPr>
    <w:rPr>
      <w:rFonts w:ascii="Times New Roman" w:hAnsi="Times New Roman"/>
      <w:snapToGrid/>
      <w:sz w:val="24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295D"/>
    <w:rPr>
      <w:rFonts w:ascii="Arial" w:hAnsi="Arial"/>
      <w:snapToGrid w:val="0"/>
      <w:lang w:val="en-GB" w:eastAsia="en-US"/>
    </w:rPr>
  </w:style>
  <w:style w:type="table" w:styleId="TableGrid">
    <w:name w:val="Table Grid"/>
    <w:basedOn w:val="TableNormal"/>
    <w:uiPriority w:val="39"/>
    <w:rsid w:val="00AD507C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70BF4"/>
    <w:pPr>
      <w:tabs>
        <w:tab w:val="clear" w:pos="567"/>
      </w:tabs>
      <w:snapToGrid/>
      <w:spacing w:before="100" w:beforeAutospacing="1" w:after="100" w:afterAutospacing="1"/>
    </w:pPr>
    <w:rPr>
      <w:rFonts w:ascii="Times New Roman" w:hAnsi="Times New Roman"/>
      <w:snapToGrid/>
      <w:sz w:val="24"/>
      <w:lang w:eastAsia="en-GB"/>
    </w:rPr>
  </w:style>
  <w:style w:type="character" w:customStyle="1" w:styleId="normaltextrun">
    <w:name w:val="normaltextrun"/>
    <w:basedOn w:val="DefaultParagraphFont"/>
    <w:rsid w:val="00F70BF4"/>
  </w:style>
  <w:style w:type="character" w:customStyle="1" w:styleId="eop">
    <w:name w:val="eop"/>
    <w:basedOn w:val="DefaultParagraphFont"/>
    <w:rsid w:val="00F70BF4"/>
  </w:style>
  <w:style w:type="character" w:customStyle="1" w:styleId="scxw255806065">
    <w:name w:val="scxw255806065"/>
    <w:basedOn w:val="DefaultParagraphFont"/>
    <w:rsid w:val="00F70BF4"/>
  </w:style>
  <w:style w:type="paragraph" w:styleId="Revision">
    <w:name w:val="Revision"/>
    <w:hidden/>
    <w:uiPriority w:val="99"/>
    <w:semiHidden/>
    <w:rsid w:val="00F70BF4"/>
    <w:rPr>
      <w:rFonts w:ascii="Arial" w:hAnsi="Arial"/>
      <w:snapToGrid w:val="0"/>
      <w:sz w:val="22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1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9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1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64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86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68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13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12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30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cument/32672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oceanexpert.org/document/34472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s://oceanexpert.org/document/34332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esearchgate.net/publication/333342057_Fragmented_Governance_of_Our_One_Global_Ocean" TargetMode="External"/><Relationship Id="rId2" Type="http://schemas.openxmlformats.org/officeDocument/2006/relationships/hyperlink" Target="https://www.mspglobal2030.org/" TargetMode="External"/><Relationship Id="rId1" Type="http://schemas.openxmlformats.org/officeDocument/2006/relationships/hyperlink" Target="https://www.unesco.org/en/indigenous-peoples" TargetMode="External"/><Relationship Id="rId4" Type="http://schemas.openxmlformats.org/officeDocument/2006/relationships/hyperlink" Target="https://www.oceanaccounts.org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CCA95-B6A7-468B-A2BE-900958A916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5480</Words>
  <Characters>39122</Characters>
  <Application>Microsoft Office Word</Application>
  <DocSecurity>4</DocSecurity>
  <Lines>326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Road to the UN Year</vt:lpstr>
      <vt:lpstr>The Road to the UN Year</vt:lpstr>
    </vt:vector>
  </TitlesOfParts>
  <Company>UNESCO</Company>
  <LinksUpToDate>false</LinksUpToDate>
  <CharactersWithSpaces>44513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the UN Year</dc:title>
  <dc:creator>Microsoft Office User</dc:creator>
  <cp:lastModifiedBy>Boned, Patrice</cp:lastModifiedBy>
  <cp:revision>2</cp:revision>
  <cp:lastPrinted>2025-05-07T14:13:00Z</cp:lastPrinted>
  <dcterms:created xsi:type="dcterms:W3CDTF">2025-05-13T15:24:00Z</dcterms:created>
  <dcterms:modified xsi:type="dcterms:W3CDTF">2025-05-13T15:24:00Z</dcterms:modified>
</cp:coreProperties>
</file>