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A771" w14:textId="77777777" w:rsidR="00A6612C" w:rsidRPr="00A6612C" w:rsidRDefault="00A6612C" w:rsidP="00A661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eastAsia="SimSun" w:cs="Arial"/>
          <w:b/>
          <w:sz w:val="24"/>
          <w:lang w:eastAsia="zh-CN"/>
        </w:rPr>
      </w:pPr>
      <w:r w:rsidRPr="00A6612C">
        <w:rPr>
          <w:rFonts w:eastAsia="SimSun" w:cs="Arial"/>
          <w:b/>
          <w:bCs/>
          <w:sz w:val="24"/>
          <w:lang w:eastAsia="zh-CN"/>
        </w:rPr>
        <w:t>Межправительственная океанографическая комиссия</w:t>
      </w:r>
    </w:p>
    <w:p w14:paraId="625F60B5" w14:textId="77777777" w:rsidR="00A6612C" w:rsidRPr="00A6612C" w:rsidRDefault="00A6612C" w:rsidP="00A6612C">
      <w:pPr>
        <w:tabs>
          <w:tab w:val="left" w:pos="-1440"/>
          <w:tab w:val="left" w:pos="-72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spacing w:after="240"/>
        <w:jc w:val="center"/>
        <w:rPr>
          <w:rFonts w:eastAsia="SimSun" w:cs="Arial"/>
          <w:bCs/>
          <w:szCs w:val="22"/>
          <w:lang w:eastAsia="zh-CN"/>
        </w:rPr>
      </w:pPr>
      <w:r w:rsidRPr="00A6612C">
        <w:rPr>
          <w:rFonts w:eastAsia="SimSun" w:cs="Arial"/>
          <w:szCs w:val="22"/>
          <w:lang w:eastAsia="zh-CN"/>
        </w:rPr>
        <w:t>(ЮНЕСКО)</w:t>
      </w:r>
    </w:p>
    <w:p w14:paraId="000DE49D" w14:textId="77777777" w:rsidR="00A6612C" w:rsidRPr="00A6612C" w:rsidRDefault="00A6612C" w:rsidP="00A6612C">
      <w:pPr>
        <w:tabs>
          <w:tab w:val="left" w:pos="-1440"/>
          <w:tab w:val="left" w:pos="-720"/>
          <w:tab w:val="left" w:pos="720"/>
          <w:tab w:val="left" w:pos="1420"/>
          <w:tab w:val="left" w:pos="2160"/>
          <w:tab w:val="left" w:pos="3600"/>
          <w:tab w:val="left" w:pos="4320"/>
          <w:tab w:val="center" w:pos="4677"/>
          <w:tab w:val="left" w:pos="5040"/>
          <w:tab w:val="left" w:pos="5523"/>
          <w:tab w:val="left" w:pos="6480"/>
        </w:tabs>
        <w:jc w:val="center"/>
        <w:rPr>
          <w:rFonts w:eastAsia="SimSun" w:cs="Arial"/>
          <w:b/>
          <w:szCs w:val="22"/>
          <w:lang w:eastAsia="zh-CN"/>
        </w:rPr>
      </w:pPr>
      <w:r w:rsidRPr="00A6612C">
        <w:rPr>
          <w:rFonts w:eastAsia="SimSun" w:cs="Arial"/>
          <w:b/>
          <w:bCs/>
          <w:szCs w:val="22"/>
          <w:lang w:eastAsia="zh-CN"/>
        </w:rPr>
        <w:t>Тридцать третья сессия Ассамблеи</w:t>
      </w:r>
    </w:p>
    <w:p w14:paraId="3007FAE2" w14:textId="77777777" w:rsidR="00A6612C" w:rsidRPr="00A6612C" w:rsidRDefault="00A6612C" w:rsidP="00A6612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spacing w:after="480"/>
        <w:jc w:val="center"/>
        <w:rPr>
          <w:rFonts w:eastAsia="SimSun" w:cs="Arial"/>
          <w:b/>
          <w:szCs w:val="22"/>
          <w:lang w:eastAsia="zh-CN"/>
        </w:rPr>
      </w:pPr>
      <w:r w:rsidRPr="00A6612C">
        <w:rPr>
          <w:rFonts w:eastAsia="SimSun" w:cs="Arial"/>
          <w:szCs w:val="22"/>
          <w:lang w:eastAsia="zh-CN"/>
        </w:rPr>
        <w:t>ЮНЕСКО, Париж, 25 июня – 3 июля 2025 г.</w:t>
      </w:r>
    </w:p>
    <w:p w14:paraId="159257BB" w14:textId="77777777" w:rsidR="00A6612C" w:rsidRPr="00AA2CD5" w:rsidRDefault="00A6612C" w:rsidP="00A6612C">
      <w:pPr>
        <w:pStyle w:val="Heading7"/>
        <w:tabs>
          <w:tab w:val="left" w:pos="5920"/>
        </w:tabs>
        <w:spacing w:line="240" w:lineRule="auto"/>
        <w:rPr>
          <w:rFonts w:cs="Arial"/>
          <w:sz w:val="24"/>
        </w:rPr>
      </w:pPr>
      <w:r>
        <w:rPr>
          <w:sz w:val="24"/>
        </w:rPr>
        <w:t xml:space="preserve">Пункт </w:t>
      </w:r>
      <w:r>
        <w:rPr>
          <w:b/>
          <w:sz w:val="24"/>
        </w:rPr>
        <w:t>3.5</w:t>
      </w:r>
      <w:r>
        <w:rPr>
          <w:sz w:val="24"/>
        </w:rPr>
        <w:t xml:space="preserve"> предварительной повестки дня</w:t>
      </w:r>
    </w:p>
    <w:p w14:paraId="2A3C6246" w14:textId="77777777" w:rsidR="00A6612C" w:rsidRPr="005E544C" w:rsidRDefault="00A6612C" w:rsidP="00A6612C">
      <w:pPr>
        <w:rPr>
          <w:rFonts w:cs="Arial"/>
          <w:szCs w:val="22"/>
        </w:rPr>
      </w:pPr>
    </w:p>
    <w:p w14:paraId="6992D9E4" w14:textId="77777777" w:rsidR="00A6612C" w:rsidRPr="005E544C" w:rsidRDefault="00A6612C" w:rsidP="00A6612C">
      <w:pPr>
        <w:rPr>
          <w:rFonts w:cs="Arial"/>
          <w:szCs w:val="22"/>
        </w:rPr>
      </w:pPr>
    </w:p>
    <w:p w14:paraId="41BDDE17" w14:textId="63315136" w:rsidR="00A6612C" w:rsidRPr="00A6612C" w:rsidRDefault="00A6612C" w:rsidP="00A6612C">
      <w:pPr>
        <w:pStyle w:val="Docheading"/>
        <w:spacing w:after="360"/>
        <w:rPr>
          <w:color w:val="000000"/>
          <w:sz w:val="28"/>
          <w:szCs w:val="28"/>
        </w:rPr>
      </w:pPr>
      <w:r w:rsidRPr="00A6612C">
        <w:rPr>
          <w:caps w:val="0"/>
          <w:color w:val="000000"/>
          <w:sz w:val="28"/>
          <w:szCs w:val="28"/>
        </w:rPr>
        <w:t>Доклад о деятельности МОК в 2024-2025 гг., подлежащий</w:t>
      </w:r>
      <w:r w:rsidR="00A27BD9" w:rsidRPr="00A27BD9">
        <w:rPr>
          <w:caps w:val="0"/>
          <w:color w:val="000000"/>
          <w:sz w:val="28"/>
          <w:szCs w:val="28"/>
        </w:rPr>
        <w:br/>
      </w:r>
      <w:r w:rsidRPr="00A6612C">
        <w:rPr>
          <w:caps w:val="0"/>
          <w:color w:val="000000"/>
          <w:sz w:val="28"/>
          <w:szCs w:val="28"/>
        </w:rPr>
        <w:t>представлению на 43-й сессии Генеральной конференции ЮНЕСКО</w:t>
      </w:r>
    </w:p>
    <w:p w14:paraId="2BFDDF2A" w14:textId="77777777" w:rsidR="00A6612C" w:rsidRPr="00515584" w:rsidRDefault="00A6612C" w:rsidP="00A6612C">
      <w:pPr>
        <w:pStyle w:val="Header"/>
        <w:rPr>
          <w:rFonts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B83068" w:rsidRPr="00244B7D" w14:paraId="6E70F37C" w14:textId="77777777" w:rsidTr="00A6612C">
        <w:trPr>
          <w:jc w:val="center"/>
        </w:trPr>
        <w:tc>
          <w:tcPr>
            <w:tcW w:w="935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D9152E" w14:textId="77777777" w:rsidR="00467E3F" w:rsidRPr="001D7776" w:rsidRDefault="00B83068" w:rsidP="00A6612C">
            <w:pPr>
              <w:pStyle w:val="Marge"/>
              <w:ind w:left="104" w:right="118"/>
              <w:jc w:val="center"/>
              <w:rPr>
                <w:rFonts w:cs="Arial"/>
                <w:b/>
                <w:bCs/>
                <w:szCs w:val="22"/>
              </w:rPr>
            </w:pPr>
            <w:r w:rsidRPr="001D7776">
              <w:rPr>
                <w:rFonts w:cs="Arial"/>
                <w:b/>
                <w:bCs/>
                <w:szCs w:val="22"/>
                <w:u w:val="single"/>
              </w:rPr>
              <w:t>Резюме</w:t>
            </w:r>
          </w:p>
          <w:p w14:paraId="3B7AF194" w14:textId="36BBD8D2" w:rsidR="008205F0" w:rsidRPr="00244B7D" w:rsidRDefault="000D16AC" w:rsidP="00A6612C">
            <w:pPr>
              <w:pStyle w:val="Marge"/>
              <w:spacing w:after="200"/>
              <w:ind w:left="104" w:right="118"/>
              <w:rPr>
                <w:rFonts w:cs="Arial"/>
                <w:szCs w:val="22"/>
              </w:rPr>
            </w:pPr>
            <w:r w:rsidRPr="00244B7D">
              <w:rPr>
                <w:rFonts w:cs="Arial"/>
                <w:szCs w:val="22"/>
              </w:rPr>
              <w:t>В соответствии со статьей 3.2 Устава Межправительственной океанографической комиссии (</w:t>
            </w:r>
            <w:hyperlink r:id="rId8" w:history="1">
              <w:r w:rsidRPr="00244B7D">
                <w:rPr>
                  <w:rStyle w:val="Hyperlink"/>
                  <w:rFonts w:cs="Arial"/>
                  <w:szCs w:val="22"/>
                </w:rPr>
                <w:t>IOC/INF/1148</w:t>
              </w:r>
            </w:hyperlink>
            <w:r w:rsidRPr="00244B7D">
              <w:rPr>
                <w:rFonts w:cs="Arial"/>
                <w:szCs w:val="22"/>
              </w:rPr>
              <w:t>) и статьей 49.2 Правил процедуры (</w:t>
            </w:r>
            <w:hyperlink r:id="rId9" w:history="1">
              <w:r w:rsidRPr="00244B7D">
                <w:rPr>
                  <w:rStyle w:val="Hyperlink"/>
                  <w:rFonts w:cs="Arial"/>
                  <w:szCs w:val="22"/>
                </w:rPr>
                <w:t>IOC/INF/1166</w:t>
              </w:r>
            </w:hyperlink>
            <w:r w:rsidRPr="00244B7D">
              <w:rPr>
                <w:rFonts w:cs="Arial"/>
                <w:szCs w:val="22"/>
              </w:rPr>
              <w:t>) МОК на регулярной основе готовит доклады о своей деятельности, которые затем представляются на рассмотрение Генеральной конференции ЮНЕСКО. Настоящий доклад охватывает период 2024-2025 гг. и посвящен основным результатам деятельности во втором двухлетии Программы и бюджета, утвержденных для Межправительственной океанографической комиссии (2024-2025 гг.)</w:t>
            </w:r>
            <w:r w:rsidR="00244B7D" w:rsidRPr="00244B7D">
              <w:rPr>
                <w:rFonts w:cs="Arial"/>
                <w:szCs w:val="22"/>
              </w:rPr>
              <w:t>,</w:t>
            </w:r>
            <w:r w:rsidRPr="00244B7D">
              <w:rPr>
                <w:rFonts w:cs="Arial"/>
                <w:szCs w:val="22"/>
              </w:rPr>
              <w:t xml:space="preserve"> в частности реализации </w:t>
            </w:r>
            <w:r w:rsidRPr="00244B7D">
              <w:rPr>
                <w:rFonts w:cs="Arial"/>
                <w:i/>
                <w:szCs w:val="22"/>
              </w:rPr>
              <w:t>Среднесрочной стратегии МОК на 2022-2029 гг.</w:t>
            </w:r>
            <w:r w:rsidRPr="00244B7D">
              <w:rPr>
                <w:rFonts w:cs="Arial"/>
                <w:szCs w:val="22"/>
              </w:rPr>
              <w:t xml:space="preserve"> и достижению целей верхнего уровня (ЦВУ), а также вкладу МОК в осуществление Среднесрочной стратегии ЮНЕСКО на 2022-2029 гг. (41 C/4), а именно в достижение стратегической цели 2 («Деятельность в интересах создания устойчивых обществ и охраны окружающей среды посредством популяризации науки, технологии, инноваций и природного наследия») и итогового результата 3 (Расширение знаний в поддержку деятельности, связанной с климатом, сохранения биоразнообразия, управления водными ресурсами и океаном и уменьшения опасности бедствий»).</w:t>
            </w:r>
          </w:p>
          <w:p w14:paraId="6CBB59C0" w14:textId="77777777" w:rsidR="008205F0" w:rsidRPr="00244B7D" w:rsidRDefault="00515584" w:rsidP="00A6612C">
            <w:pPr>
              <w:pStyle w:val="Marge"/>
              <w:spacing w:after="200"/>
              <w:ind w:left="104" w:right="118"/>
              <w:rPr>
                <w:rFonts w:cs="Arial"/>
                <w:color w:val="000000"/>
                <w:szCs w:val="22"/>
              </w:rPr>
            </w:pPr>
            <w:r w:rsidRPr="00244B7D">
              <w:rPr>
                <w:rFonts w:cs="Arial"/>
                <w:szCs w:val="22"/>
              </w:rPr>
              <w:t>После рассмотрения Ассамблеей настоящий доклад будет представлен 43-й сессии Генеральной конференции ЮНЕСКО в качестве документа 43 C/REP/</w:t>
            </w:r>
            <w:r w:rsidRPr="00A6612C">
              <w:rPr>
                <w:rFonts w:cs="Arial"/>
                <w:szCs w:val="22"/>
              </w:rPr>
              <w:t>_</w:t>
            </w:r>
            <w:r w:rsidRPr="00244B7D">
              <w:rPr>
                <w:rFonts w:cs="Arial"/>
                <w:szCs w:val="22"/>
              </w:rPr>
              <w:t xml:space="preserve"> с уточнением, что более полная информация, включая анализ в разбивке по функциональным областям МОК, содержится в докладе, представленном Исполнительным секретарем МОК на 33-й сессии Ассамблеи (</w:t>
            </w:r>
            <w:hyperlink r:id="rId10" w:history="1">
              <w:r w:rsidRPr="00244B7D">
                <w:rPr>
                  <w:rStyle w:val="Hyperlink"/>
                  <w:rFonts w:cs="Arial"/>
                  <w:szCs w:val="22"/>
                </w:rPr>
                <w:t>IOC/A-33/3.2.Doc(1)</w:t>
              </w:r>
            </w:hyperlink>
            <w:r w:rsidRPr="00244B7D">
              <w:rPr>
                <w:rFonts w:cs="Arial"/>
                <w:szCs w:val="22"/>
              </w:rPr>
              <w:t xml:space="preserve"> и добавление).</w:t>
            </w:r>
          </w:p>
          <w:p w14:paraId="1082367C" w14:textId="76927C66" w:rsidR="00515584" w:rsidRPr="00244B7D" w:rsidRDefault="00515584" w:rsidP="00A6612C">
            <w:pPr>
              <w:pStyle w:val="Marge"/>
              <w:ind w:left="104" w:right="118"/>
              <w:rPr>
                <w:rFonts w:cs="Arial"/>
                <w:szCs w:val="22"/>
              </w:rPr>
            </w:pPr>
            <w:r w:rsidRPr="00244B7D">
              <w:rPr>
                <w:rFonts w:cs="Arial"/>
                <w:szCs w:val="22"/>
                <w:u w:val="single"/>
              </w:rPr>
              <w:t>Предлагаемое решение</w:t>
            </w:r>
            <w:r w:rsidRPr="00244B7D">
              <w:rPr>
                <w:rFonts w:cs="Arial"/>
                <w:szCs w:val="22"/>
              </w:rPr>
              <w:t xml:space="preserve"> упоминается в предварительном документе о принятых и предлагаемых мерах (</w:t>
            </w:r>
            <w:hyperlink r:id="rId11" w:history="1">
              <w:r w:rsidRPr="00244B7D">
                <w:rPr>
                  <w:rStyle w:val="Hyperlink"/>
                  <w:rFonts w:cs="Arial"/>
                  <w:szCs w:val="22"/>
                </w:rPr>
                <w:t>IOC/A-33/AP</w:t>
              </w:r>
            </w:hyperlink>
            <w:r w:rsidRPr="00244B7D">
              <w:rPr>
                <w:rFonts w:cs="Arial"/>
                <w:szCs w:val="22"/>
              </w:rPr>
              <w:t xml:space="preserve">) 33-й сессии Ассамблеи МОК как </w:t>
            </w:r>
            <w:proofErr w:type="spellStart"/>
            <w:r w:rsidRPr="00244B7D">
              <w:rPr>
                <w:rFonts w:cs="Arial"/>
                <w:szCs w:val="22"/>
              </w:rPr>
              <w:t>Реш</w:t>
            </w:r>
            <w:proofErr w:type="spellEnd"/>
            <w:r w:rsidRPr="00244B7D">
              <w:rPr>
                <w:rFonts w:cs="Arial"/>
                <w:szCs w:val="22"/>
              </w:rPr>
              <w:t>. IOC-33/3.5.</w:t>
            </w:r>
          </w:p>
        </w:tc>
      </w:tr>
    </w:tbl>
    <w:p w14:paraId="7E39BDFA" w14:textId="2724C787" w:rsidR="00746B89" w:rsidRPr="00244B7D" w:rsidRDefault="00746B89" w:rsidP="005C7A36">
      <w:pPr>
        <w:pStyle w:val="Heading3"/>
        <w:rPr>
          <w:rFonts w:cs="Arial"/>
        </w:rPr>
        <w:sectPr w:rsidR="00746B89" w:rsidRPr="00244B7D" w:rsidSect="00A6612C">
          <w:headerReference w:type="even" r:id="rId12"/>
          <w:headerReference w:type="default" r:id="rId13"/>
          <w:headerReference w:type="first" r:id="rId14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5EFCB24C" w14:textId="77777777" w:rsidR="000B7E2A" w:rsidRPr="00244B7D" w:rsidRDefault="000B7E2A" w:rsidP="00454BFB">
      <w:pPr>
        <w:keepNext/>
        <w:keepLines/>
        <w:widowControl w:val="0"/>
        <w:tabs>
          <w:tab w:val="left" w:pos="0"/>
        </w:tabs>
        <w:adjustRightInd w:val="0"/>
        <w:spacing w:after="240"/>
        <w:jc w:val="both"/>
        <w:textAlignment w:val="baseline"/>
        <w:outlineLvl w:val="1"/>
        <w:rPr>
          <w:rFonts w:cs="Arial"/>
          <w:b/>
          <w:bCs/>
          <w:caps/>
          <w:color w:val="000000" w:themeColor="text1"/>
          <w:szCs w:val="22"/>
        </w:rPr>
      </w:pPr>
      <w:r w:rsidRPr="00244B7D">
        <w:rPr>
          <w:rFonts w:cs="Arial"/>
          <w:b/>
          <w:bCs/>
          <w:color w:val="000000" w:themeColor="text1"/>
          <w:szCs w:val="22"/>
        </w:rPr>
        <w:lastRenderedPageBreak/>
        <w:t>Стратегическая оценка достигнутых результатов</w:t>
      </w:r>
    </w:p>
    <w:p w14:paraId="62038BD1" w14:textId="77777777" w:rsidR="008205F0" w:rsidRPr="00244B7D" w:rsidRDefault="000B7E2A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 xml:space="preserve">Устав МОК предусматривает выполнение Комиссией двуединой задачи. Во-первых, это </w:t>
      </w:r>
      <w:r w:rsidRPr="00244B7D">
        <w:rPr>
          <w:rFonts w:ascii="Arial" w:hAnsi="Arial" w:cs="Arial"/>
          <w:i/>
          <w:sz w:val="22"/>
          <w:szCs w:val="22"/>
        </w:rPr>
        <w:t>«содействие международному сотрудничеству и координация программ, касающихся научно-исследовательской деятельности, океанографического обслуживания и укрепления потенциала в интересах расширения знаний о состоянии и ресурсах морских акваторий и прибрежных районов»</w:t>
      </w:r>
      <w:r w:rsidRPr="00244B7D">
        <w:rPr>
          <w:rFonts w:ascii="Arial" w:hAnsi="Arial" w:cs="Arial"/>
          <w:sz w:val="22"/>
          <w:szCs w:val="22"/>
        </w:rPr>
        <w:t xml:space="preserve">. А во-вторых, </w:t>
      </w:r>
      <w:r w:rsidRPr="00244B7D">
        <w:rPr>
          <w:rFonts w:ascii="Arial" w:hAnsi="Arial" w:cs="Arial"/>
          <w:i/>
          <w:sz w:val="22"/>
          <w:szCs w:val="22"/>
        </w:rPr>
        <w:t>«применение этих знаний в целях рачительной эксплуатации, повышения жизнеспособности и более эффективной защиты морских экосистем, а также их использование в процессе принятия государствами-членами соответствующих решений»</w:t>
      </w:r>
      <w:r w:rsidRPr="00244B7D">
        <w:rPr>
          <w:rFonts w:ascii="Arial" w:hAnsi="Arial" w:cs="Arial"/>
          <w:sz w:val="22"/>
          <w:szCs w:val="22"/>
        </w:rPr>
        <w:t xml:space="preserve">. Статья 2.1 </w:t>
      </w:r>
      <w:hyperlink r:id="rId15" w:history="1">
        <w:r w:rsidRPr="00244B7D">
          <w:rPr>
            <w:rStyle w:val="Hyperlink"/>
            <w:rFonts w:ascii="Arial" w:hAnsi="Arial" w:cs="Arial"/>
            <w:sz w:val="22"/>
            <w:szCs w:val="22"/>
          </w:rPr>
          <w:t>Устава МОК</w:t>
        </w:r>
      </w:hyperlink>
      <w:r w:rsidRPr="00244B7D">
        <w:rPr>
          <w:rFonts w:ascii="Arial" w:hAnsi="Arial" w:cs="Arial"/>
          <w:sz w:val="22"/>
          <w:szCs w:val="22"/>
        </w:rPr>
        <w:t>.</w:t>
      </w:r>
    </w:p>
    <w:p w14:paraId="50273110" w14:textId="77777777" w:rsidR="008205F0" w:rsidRPr="00244B7D" w:rsidRDefault="000B7E2A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 xml:space="preserve">Процесс накопления знаний начинается с постоянного наблюдения за состоянием океана, что позволяет получать океанографические данные, необходимые для проведения научных исследований, оценки состояния и моделирования прогнозов. Данный подход нашел отражение при формулировании руководящими органами МОК приоритетных задач на рассматриваемый бюджетный период и определил направленность работы Комиссии. В свете увеличения по просьбе государств-членов доли ассигнований для МОК в рамках обычного бюджета ЮНЕСКО на 2024-2025 гг. (42 С/5) до 3% использование накопленных знаний, являющееся, как указано выше, второй частью двуединой задачи МОК, приобретает все большее значение в контексте повсеместного укрепления систем управления </w:t>
      </w:r>
      <w:proofErr w:type="spellStart"/>
      <w:r w:rsidRPr="00244B7D">
        <w:rPr>
          <w:rFonts w:ascii="Arial" w:hAnsi="Arial" w:cs="Arial"/>
          <w:sz w:val="22"/>
          <w:szCs w:val="22"/>
        </w:rPr>
        <w:t>морепользованием</w:t>
      </w:r>
      <w:proofErr w:type="spellEnd"/>
      <w:r w:rsidRPr="00244B7D">
        <w:rPr>
          <w:rFonts w:ascii="Arial" w:hAnsi="Arial" w:cs="Arial"/>
          <w:sz w:val="22"/>
          <w:szCs w:val="22"/>
        </w:rPr>
        <w:t xml:space="preserve"> и повышения роли региональных планов и программ развития и механизмов управления в этой области. Активизация деятельности МОК в сфере наблюдения за состоянием океана и сбора океанографических данных позволила обеспечить оказание услуг и создание информационных продуктов, необходимых, например, для мониторинга состояния морской среды в рамках реализации </w:t>
      </w:r>
      <w:proofErr w:type="spellStart"/>
      <w:r w:rsidRPr="00244B7D">
        <w:rPr>
          <w:rFonts w:ascii="Arial" w:hAnsi="Arial" w:cs="Arial"/>
          <w:sz w:val="22"/>
          <w:szCs w:val="22"/>
        </w:rPr>
        <w:t>Куньминско</w:t>
      </w:r>
      <w:proofErr w:type="spellEnd"/>
      <w:r w:rsidRPr="00244B7D">
        <w:rPr>
          <w:rFonts w:ascii="Arial" w:hAnsi="Arial" w:cs="Arial"/>
          <w:sz w:val="22"/>
          <w:szCs w:val="22"/>
        </w:rPr>
        <w:t>-Монреальской глобальной рамочной программы в области биоразнообразия, Соглашения по БПНЮ и рамочных программ, связанных с загрязнением морской среды, а также способствовала укреплению роли МОК в качестве глобального партнера, представляющего научное сообщество, в поддержку усилий в области рационального планирования морской деятельности.</w:t>
      </w:r>
    </w:p>
    <w:p w14:paraId="57C26628" w14:textId="3D17ABD0" w:rsidR="000B7E2A" w:rsidRPr="00244B7D" w:rsidRDefault="000B7E2A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Эта двуединая задача – накопление и применение научных знаний – согласуется с принципами, положенными в основу Десятилетия ООН, посвященного науке об океане в интересах устойчивого развития (2021-2030 гг.), координатором проведения которого является МОК. Программы и проекты, осуществляемые под руководством Комиссии в рамках Десятилетия науки об океане, охватывают широкий спектр направлений работы: от наблюдения за состоянием морской среды и сбора океанографических данных до проведения морских научных исследований и рационального планирования морской деятельности. Осуществляемые программы и проекты выполняют функцию испытательных лабораторий, в которых апробируются нацеленные на коренные изменения подходы по оперативному предоставлению полученных на основе взаимодействия актуальных и научно подтвержденных данных, напрямую применимых для выработки директивных мер. Десятилетие, посвященное науке об океане, обеспечивает рамочную основу для реализации МОК проектов и программ с использованием новых подходов и с участием новых партнеров. При этом особое внимание уделяется решению конкретных неотложных проблем и задач, сформулированных в докладе о достигнутых и ожидаемых результатах «На пути к 2030 году», которые были затем обобщенно изложены в Барселонском заявлении, принятом участниками Международной конференции, посвященной Десятилетию науки об океане и среднесрочной оценке достигнутого прогресса (2024 г.). Конференция Организации Объединенных Наций по Мировому океану (2025 г.) предоставила исключительно важную возможность активизировать инициативы в области океанографических наблюдений, картирования морского дна и повышения доступности применимых на практике данных о состоянии морской среды в поддержку принятия научно обоснованных решений и международного сотрудничества в вопросах неистощительного использования ресурсов Мирового океана.</w:t>
      </w:r>
    </w:p>
    <w:p w14:paraId="1E8E70D0" w14:textId="7B65FD92" w:rsidR="00137BED" w:rsidRPr="00244B7D" w:rsidRDefault="00137BED" w:rsidP="00454BFB">
      <w:pPr>
        <w:keepNext/>
        <w:tabs>
          <w:tab w:val="left" w:pos="0"/>
        </w:tabs>
        <w:spacing w:after="240"/>
        <w:jc w:val="both"/>
        <w:rPr>
          <w:rFonts w:cs="Arial"/>
          <w:b/>
          <w:bCs/>
          <w:color w:val="000000" w:themeColor="text1"/>
          <w:szCs w:val="22"/>
        </w:rPr>
      </w:pPr>
      <w:r w:rsidRPr="00244B7D">
        <w:rPr>
          <w:rFonts w:cs="Arial"/>
          <w:b/>
          <w:bCs/>
          <w:color w:val="000000" w:themeColor="text1"/>
          <w:szCs w:val="22"/>
        </w:rPr>
        <w:lastRenderedPageBreak/>
        <w:t>Наиболее значимые достижения в разбивке по функциональным направлениям деятельности МОК</w:t>
      </w:r>
    </w:p>
    <w:p w14:paraId="56B3BEA3" w14:textId="3506DAA2" w:rsidR="003E0E67" w:rsidRPr="00244B7D" w:rsidRDefault="003E0E67" w:rsidP="00454BFB">
      <w:pPr>
        <w:pStyle w:val="ListParagraph"/>
        <w:keepNext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 xml:space="preserve">В опубликованном </w:t>
      </w:r>
      <w:hyperlink r:id="rId16" w:history="1">
        <w:r w:rsidRPr="00244B7D">
          <w:rPr>
            <w:rStyle w:val="Hyperlink"/>
            <w:rFonts w:ascii="Arial" w:hAnsi="Arial" w:cs="Arial"/>
            <w:sz w:val="22"/>
            <w:szCs w:val="22"/>
          </w:rPr>
          <w:t>в июне 2024 г.</w:t>
        </w:r>
      </w:hyperlink>
      <w:r w:rsidR="00244B7D" w:rsidRPr="00244B7D">
        <w:rPr>
          <w:rFonts w:ascii="Arial" w:hAnsi="Arial" w:cs="Arial"/>
          <w:sz w:val="22"/>
          <w:szCs w:val="22"/>
        </w:rPr>
        <w:t xml:space="preserve"> </w:t>
      </w:r>
      <w:r w:rsidRPr="00244B7D">
        <w:rPr>
          <w:rFonts w:ascii="Arial" w:hAnsi="Arial" w:cs="Arial"/>
          <w:i/>
          <w:sz w:val="22"/>
          <w:szCs w:val="22"/>
        </w:rPr>
        <w:t>Докладе МОК о состоянии Мирового океана (ДСМО)</w:t>
      </w:r>
      <w:r w:rsidRPr="00244B7D">
        <w:rPr>
          <w:rFonts w:ascii="Arial" w:hAnsi="Arial" w:cs="Arial"/>
          <w:sz w:val="22"/>
          <w:szCs w:val="22"/>
        </w:rPr>
        <w:t xml:space="preserve"> были представлены результаты связанных с океаном научных исследований, а также аналитические выводы в отношении нынешнего и прогнозируемого в будущем состояния Мирового океана, в том числе его физических, химических и экологических параметров, а также социально-экономических и управленческих аспектов, с акцентом на достижении семи ожидаемых по итогам Десятилетия результатов. В настоящее время ведется </w:t>
      </w:r>
      <w:r w:rsidR="00244B7D" w:rsidRPr="00244B7D">
        <w:rPr>
          <w:rFonts w:ascii="Arial" w:hAnsi="Arial" w:cs="Arial"/>
          <w:sz w:val="22"/>
          <w:szCs w:val="22"/>
        </w:rPr>
        <w:t>подготовка</w:t>
      </w:r>
      <w:r w:rsidRPr="00244B7D">
        <w:rPr>
          <w:rFonts w:ascii="Arial" w:hAnsi="Arial" w:cs="Arial"/>
          <w:sz w:val="22"/>
          <w:szCs w:val="22"/>
        </w:rPr>
        <w:t xml:space="preserve"> издания доклада 2026 г.</w:t>
      </w:r>
    </w:p>
    <w:p w14:paraId="48A54BA1" w14:textId="0A03CA5C" w:rsidR="003E0E67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Представленная МОК подборка данных по показателю достижения ЦУР 14.3.1 «Средняя кислотность (pH) морской воды, измеряемая в согласованной группе репрезентативных станций отбора проб», содержала информацию, предоставленную возросшим количеством стран и полученную с большего числа станций (2021 г. – 178 станций</w:t>
      </w:r>
      <w:r w:rsidR="00244B7D" w:rsidRPr="00244B7D">
        <w:rPr>
          <w:rFonts w:ascii="Arial" w:hAnsi="Arial" w:cs="Arial"/>
          <w:sz w:val="22"/>
          <w:szCs w:val="22"/>
        </w:rPr>
        <w:t>,</w:t>
      </w:r>
      <w:r w:rsidRPr="00244B7D">
        <w:rPr>
          <w:rFonts w:ascii="Arial" w:hAnsi="Arial" w:cs="Arial"/>
          <w:sz w:val="22"/>
          <w:szCs w:val="22"/>
        </w:rPr>
        <w:t xml:space="preserve"> 2025 г. – 765 станций, принадлежащих 44 странам). Координируемая МОК глобальная сеть экспертов по вопросам закисления океана включает на сегодня 1500 участников из 116 стран (в том числе из 26 стран Африки и 23 МОСРГ). Портфель проектов МОК, касающихся вопросов сохранения, восстановления и устойчивого регулирования запасов «голубого» углерода в прибрежных экосистемах, продолжил пополняться новыми инициативами, в том числе в контексте реализуемой в рамках Десятилетия науки об океане программы по голубому углероду.</w:t>
      </w:r>
    </w:p>
    <w:p w14:paraId="08534638" w14:textId="69E4D05A" w:rsidR="003E0E67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textDirection w:val="btLr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Учитывая важное значение осуществляемых МОК, Организацией Объединенных Наций и другими международными учреждениями совместных программ в плане более активного задействования имеющегося потенциала и содействия укреплению деятельности МОК в интересах общества, а также принимая во внимание тот факт, что подобные программы должны подкрепляться своевременными и отвечающими поставленным задачам соглашениями, МОК провела переговоры о подписании пересмотренного меморандума о взаимопонимании в поддержку Глобальной системы наблюдений за климатом (ГСНК) со Всемирной метеорологической организацией (ВМО), Программой Организации Объединенных Наций по окружающей среде (ЮНЕП) и Международным советом по науке (МСН), сроком на четыре года. Кроме того, в апреле 2024 г. между ЮНЕСКО/МОК и ФАО был подписан меморандум о взаимопонимании, который официально закрепляет совместную спонсорскую поддержку деятельности Межправительственной группы по вредоносному цветению водорослей (МОК-ФАО МГВЦВ). В качестве соучредителя Всемирной программы исследования климата МОК выступила инициатором проведения в мае 2025 г. в Штаб-квартире ЮНЕСКО</w:t>
      </w:r>
      <w:r w:rsidR="00244B7D" w:rsidRPr="00244B7D">
        <w:rPr>
          <w:rFonts w:ascii="Arial" w:hAnsi="Arial" w:cs="Arial"/>
          <w:sz w:val="22"/>
          <w:szCs w:val="22"/>
        </w:rPr>
        <w:t xml:space="preserve"> </w:t>
      </w:r>
      <w:r w:rsidRPr="00244B7D">
        <w:rPr>
          <w:rFonts w:ascii="Arial" w:hAnsi="Arial" w:cs="Arial"/>
          <w:sz w:val="22"/>
          <w:szCs w:val="22"/>
        </w:rPr>
        <w:t>совещания объединенного научного комитета.</w:t>
      </w:r>
    </w:p>
    <w:p w14:paraId="22C51445" w14:textId="2614321F" w:rsidR="008205F0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Глобальная система наблюдений за океаном (ГСНО) координирует работу более 8700</w:t>
      </w:r>
      <w:r w:rsidR="00FF5832">
        <w:rPr>
          <w:rFonts w:ascii="Arial" w:hAnsi="Arial" w:cs="Arial"/>
          <w:sz w:val="22"/>
          <w:szCs w:val="22"/>
          <w:lang w:val="en-US"/>
        </w:rPr>
        <w:t> </w:t>
      </w:r>
      <w:r w:rsidRPr="00244B7D">
        <w:rPr>
          <w:rFonts w:ascii="Arial" w:hAnsi="Arial" w:cs="Arial"/>
          <w:sz w:val="22"/>
          <w:szCs w:val="22"/>
        </w:rPr>
        <w:t xml:space="preserve">океанографических станций, развернутых в рамках 13 глобальных сетей наблюдения за океаном. Работу указанных станций обеспечивают 84 государства-члена (в том числе десять стран Африки и девять МОСРГ). Ежедневно от измерительных платформ в системы оперативного прогнозирования поступает более 120 000 сообщений о состоянии морской среды, которые фиксируются Совместным центром океанографии и морской метеорологии по поддержке программ наблюдений </w:t>
      </w:r>
      <w:proofErr w:type="spellStart"/>
      <w:r w:rsidRPr="00244B7D">
        <w:rPr>
          <w:rFonts w:ascii="Arial" w:hAnsi="Arial" w:cs="Arial"/>
          <w:sz w:val="22"/>
          <w:szCs w:val="22"/>
        </w:rPr>
        <w:t>in</w:t>
      </w:r>
      <w:proofErr w:type="spellEnd"/>
      <w:r w:rsidRPr="00244B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4B7D">
        <w:rPr>
          <w:rFonts w:ascii="Arial" w:hAnsi="Arial" w:cs="Arial"/>
          <w:sz w:val="22"/>
          <w:szCs w:val="22"/>
        </w:rPr>
        <w:t>situ</w:t>
      </w:r>
      <w:proofErr w:type="spellEnd"/>
      <w:r w:rsidRPr="00244B7D">
        <w:rPr>
          <w:rFonts w:ascii="Arial" w:hAnsi="Arial" w:cs="Arial"/>
          <w:sz w:val="22"/>
          <w:szCs w:val="22"/>
        </w:rPr>
        <w:t xml:space="preserve"> (Океан-ОПС), выполняющим функции оперативного центра ГСНО МОК/ВМО). ГСНО продолжает развивать координацию, комплексное использование и разъяснительную работу в отношении важности повсеместных наблюдений за состоянием океана, а также содействовать расширению круга участвующих заинтересованных сторон и повышению устойчивости и оперативности реагирования глобальной системы наблюдений. В рассматриваемый период были предприняты значительные усилия, направленные на то, чтобы создать на основе отдельных баз данных единую современную архитектуру данных МОК. Совместный совет по сотрудничеству между ВМО и МОК определил приоритетные направления работы, в числе которых создание глобальной базовой сети станций наблюдения (ГБСН) за состоянием морской среды; повышение эффективности работы с данными и их функциональной совместимости; повышение устойчивости к неблагоприятным внешним воздействиям в прибрежных и морских районах; повышение уровня профессиональных знаний </w:t>
      </w:r>
      <w:r w:rsidRPr="00244B7D">
        <w:rPr>
          <w:rFonts w:ascii="Arial" w:hAnsi="Arial" w:cs="Arial"/>
          <w:sz w:val="22"/>
          <w:szCs w:val="22"/>
        </w:rPr>
        <w:lastRenderedPageBreak/>
        <w:t>посредством совместной организации учебных мероприятий и расширения взаимодействия в этой области.</w:t>
      </w:r>
    </w:p>
    <w:p w14:paraId="517AB905" w14:textId="0A921F3D" w:rsidR="003E0E67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color w:val="212121"/>
          <w:sz w:val="22"/>
          <w:szCs w:val="22"/>
        </w:rPr>
        <w:t xml:space="preserve">Система океанографических данных и информации (ОДИС) представляет собой объединение независимых систем сбора и обработки данных, включая системы данных континентального масштаба, национальные системы сбора и обработки данных, а также информационные системы небольших организаций. </w:t>
      </w:r>
      <w:r w:rsidRPr="00244B7D">
        <w:rPr>
          <w:rFonts w:ascii="Arial" w:hAnsi="Arial" w:cs="Arial"/>
          <w:sz w:val="22"/>
          <w:szCs w:val="22"/>
        </w:rPr>
        <w:t>В настоящее время ОДИС объединяет 55 каталогов или узлов данных, доступ к которым был предоставлен 45 партнерскими организациям, обеспечивая надежную, функционально совместимую и общедоступную цифровую экосистему для всех заинтересованных сторон, деятельность которых связана с океаном. Предполагается, что эта инфраструктура продолжит расширяться.</w:t>
      </w:r>
      <w:r w:rsidRPr="00244B7D">
        <w:rPr>
          <w:rFonts w:ascii="Arial" w:hAnsi="Arial" w:cs="Arial"/>
          <w:color w:val="212121"/>
          <w:sz w:val="22"/>
          <w:szCs w:val="22"/>
        </w:rPr>
        <w:t xml:space="preserve"> </w:t>
      </w:r>
      <w:r w:rsidRPr="00244B7D">
        <w:rPr>
          <w:rFonts w:ascii="Arial" w:hAnsi="Arial" w:cs="Arial"/>
          <w:sz w:val="22"/>
          <w:szCs w:val="22"/>
        </w:rPr>
        <w:t>Совместные усилия Глобальной системы наблюдений за океаном (ГСНО) и Системы информации о морском биологическом разнообразии (ОБИС), функционирующей в рамках МООД, позволили получить информацию, собранную в рамках 638 многолетних программ мониторинга биоразнообразия, которая затем была интегрирована в онлайновую платформу метаданных (портал «</w:t>
      </w:r>
      <w:proofErr w:type="spellStart"/>
      <w:r w:rsidRPr="00244B7D">
        <w:rPr>
          <w:rFonts w:ascii="Arial" w:hAnsi="Arial" w:cs="Arial"/>
          <w:sz w:val="22"/>
          <w:szCs w:val="22"/>
        </w:rPr>
        <w:t>БиоЭко</w:t>
      </w:r>
      <w:proofErr w:type="spellEnd"/>
      <w:r w:rsidRPr="00244B7D">
        <w:rPr>
          <w:rFonts w:ascii="Arial" w:hAnsi="Arial" w:cs="Arial"/>
          <w:sz w:val="22"/>
          <w:szCs w:val="22"/>
        </w:rPr>
        <w:t>»). Указанный портал будет, в свою очередь, подключен к ОДИС и, таким образом, сможет использоваться в качестве инфраструктуры мониторинга состояния компонента ГСНО, касающегося морского биологического разнообразия. На сегодняшний день база данных ОБИС содержит 136 миллионов записей о биологических видах и продолжает ежемесячно увеличиваться более чем на один миллион записей, поступающих более чем от 1000 учреждений 99 стран.</w:t>
      </w:r>
    </w:p>
    <w:p w14:paraId="187CA527" w14:textId="77777777" w:rsidR="008205F0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В декабре 2024 г. завершилась реализация проекта «Экспедиции по сбору образцов экологической ДНК на морских объектах всемирного наследия», финансировавшегося правительством Фландрии (Королевство Бельгия) и осуществлявшегося совместно с Центром всемирного наследия. Указанный проект продемонстрировал перспективность работы с экологической ДНК (</w:t>
      </w:r>
      <w:proofErr w:type="spellStart"/>
      <w:r w:rsidRPr="00244B7D">
        <w:rPr>
          <w:rFonts w:ascii="Arial" w:hAnsi="Arial" w:cs="Arial"/>
          <w:sz w:val="22"/>
          <w:szCs w:val="22"/>
        </w:rPr>
        <w:t>эДНК</w:t>
      </w:r>
      <w:proofErr w:type="spellEnd"/>
      <w:r w:rsidRPr="00244B7D">
        <w:rPr>
          <w:rFonts w:ascii="Arial" w:hAnsi="Arial" w:cs="Arial"/>
          <w:sz w:val="22"/>
          <w:szCs w:val="22"/>
        </w:rPr>
        <w:t xml:space="preserve">) в качестве эффективного с точки зрения затрат и доступного метода мониторинга состояния и сохранения морского биологического разнообразия. За последние три года кампании по сбору образцов </w:t>
      </w:r>
      <w:proofErr w:type="spellStart"/>
      <w:r w:rsidRPr="00244B7D">
        <w:rPr>
          <w:rFonts w:ascii="Arial" w:hAnsi="Arial" w:cs="Arial"/>
          <w:sz w:val="22"/>
          <w:szCs w:val="22"/>
        </w:rPr>
        <w:t>эДНК</w:t>
      </w:r>
      <w:proofErr w:type="spellEnd"/>
      <w:r w:rsidRPr="00244B7D">
        <w:rPr>
          <w:rFonts w:ascii="Arial" w:hAnsi="Arial" w:cs="Arial"/>
          <w:sz w:val="22"/>
          <w:szCs w:val="22"/>
        </w:rPr>
        <w:t xml:space="preserve"> были проведены на территории 21 морского объекта всемирного наследия ЮНЕСКО в 19 странах. В рамках финансировавшегося Фландрией (Королевство Бельгия) проекта «Создание сети оповещения о морских </w:t>
      </w:r>
      <w:proofErr w:type="spellStart"/>
      <w:r w:rsidRPr="00244B7D">
        <w:rPr>
          <w:rFonts w:ascii="Arial" w:hAnsi="Arial" w:cs="Arial"/>
          <w:sz w:val="22"/>
          <w:szCs w:val="22"/>
        </w:rPr>
        <w:t>биоинвазиях</w:t>
      </w:r>
      <w:proofErr w:type="spellEnd"/>
      <w:r w:rsidRPr="00244B7D">
        <w:rPr>
          <w:rFonts w:ascii="Arial" w:hAnsi="Arial" w:cs="Arial"/>
          <w:sz w:val="22"/>
          <w:szCs w:val="22"/>
        </w:rPr>
        <w:t xml:space="preserve"> на территории биосферных заповедников островных государств Тихого океана» (2020-2024 гг.) была создана комплексная система мониторинга, сбора образцов и исследования морских инвазивных видов с использованием молекулярных технологий. В рамках пилотного проекта на Фиджи было выявлено присутствие двух видов, которых ранее не наблюдались в этом районе.</w:t>
      </w:r>
    </w:p>
    <w:p w14:paraId="10EA7B9E" w14:textId="7DA75BE0" w:rsidR="003E0E67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 xml:space="preserve">В рамках Программы по цунами особое </w:t>
      </w:r>
      <w:proofErr w:type="gramStart"/>
      <w:r w:rsidRPr="00244B7D">
        <w:rPr>
          <w:rFonts w:ascii="Arial" w:hAnsi="Arial" w:cs="Arial"/>
          <w:sz w:val="22"/>
          <w:szCs w:val="22"/>
        </w:rPr>
        <w:t>внимание</w:t>
      </w:r>
      <w:proofErr w:type="gramEnd"/>
      <w:r w:rsidRPr="00244B7D">
        <w:rPr>
          <w:rFonts w:ascii="Arial" w:hAnsi="Arial" w:cs="Arial"/>
          <w:sz w:val="22"/>
          <w:szCs w:val="22"/>
        </w:rPr>
        <w:t xml:space="preserve"> как и прежде было уделено укреплению потенциала в ряде государств, расположенных во всех бассейнах Мирового океана. В связи с этим были возобновлены соглашения о сотрудничестве со следующими структурами:</w:t>
      </w:r>
    </w:p>
    <w:p w14:paraId="0B6F2069" w14:textId="77777777" w:rsidR="008205F0" w:rsidRPr="00244B7D" w:rsidRDefault="003E0E67" w:rsidP="00454BFB">
      <w:pPr>
        <w:pStyle w:val="ListParagraph"/>
        <w:tabs>
          <w:tab w:val="clear" w:pos="709"/>
        </w:tabs>
        <w:spacing w:after="240"/>
        <w:ind w:left="1134" w:hanging="567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-</w:t>
      </w:r>
      <w:r w:rsidRPr="00244B7D">
        <w:rPr>
          <w:rFonts w:ascii="Arial" w:hAnsi="Arial" w:cs="Arial"/>
          <w:sz w:val="22"/>
          <w:szCs w:val="22"/>
        </w:rPr>
        <w:tab/>
        <w:t>Агентство по метеорологии, климатологии и геофизике Республики Индонезия, в котором размещен Центр информации о цунами в Индийском океане (ЦИЦИО); соглашение заключено на период 2023-2027 гг.;</w:t>
      </w:r>
    </w:p>
    <w:p w14:paraId="1382508A" w14:textId="6FD3A93F" w:rsidR="008205F0" w:rsidRPr="00244B7D" w:rsidRDefault="003E0E67" w:rsidP="00454BFB">
      <w:pPr>
        <w:pStyle w:val="ListParagraph"/>
        <w:tabs>
          <w:tab w:val="clear" w:pos="709"/>
        </w:tabs>
        <w:spacing w:after="240"/>
        <w:ind w:left="1134" w:hanging="567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-</w:t>
      </w:r>
      <w:r w:rsidRPr="00244B7D">
        <w:rPr>
          <w:rFonts w:ascii="Arial" w:hAnsi="Arial" w:cs="Arial"/>
          <w:sz w:val="22"/>
          <w:szCs w:val="22"/>
        </w:rPr>
        <w:tab/>
        <w:t>Отдел управления прибрежной зоной Барбадоса, на базе которой был создан Карибский центр информации о цунами (КЦИЦ); соглашение заключено на период 2024-2029 гг.;</w:t>
      </w:r>
    </w:p>
    <w:p w14:paraId="2283CE67" w14:textId="6FCF5811" w:rsidR="008205F0" w:rsidRPr="00244B7D" w:rsidRDefault="003E0E67" w:rsidP="00454BFB">
      <w:pPr>
        <w:pStyle w:val="ListParagraph"/>
        <w:tabs>
          <w:tab w:val="clear" w:pos="709"/>
        </w:tabs>
        <w:spacing w:after="240"/>
        <w:ind w:left="1134" w:hanging="567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-</w:t>
      </w:r>
      <w:r w:rsidRPr="00244B7D">
        <w:rPr>
          <w:rFonts w:ascii="Arial" w:hAnsi="Arial" w:cs="Arial"/>
          <w:sz w:val="22"/>
          <w:szCs w:val="22"/>
        </w:rPr>
        <w:tab/>
        <w:t>Метеорологическая служба Австралии, на базе которой функционирует система предупреждения о цунами и смягчения их последствий в Индийском океане</w:t>
      </w:r>
      <w:r w:rsidR="00FF5832">
        <w:rPr>
          <w:rFonts w:ascii="Arial" w:hAnsi="Arial" w:cs="Arial"/>
          <w:sz w:val="22"/>
          <w:szCs w:val="22"/>
          <w:lang w:val="en-US"/>
        </w:rPr>
        <w:t> </w:t>
      </w:r>
      <w:r w:rsidRPr="00244B7D">
        <w:rPr>
          <w:rFonts w:ascii="Arial" w:hAnsi="Arial" w:cs="Arial"/>
          <w:sz w:val="22"/>
          <w:szCs w:val="22"/>
        </w:rPr>
        <w:t>(СПЦСПИО), Бюро по проектам в Перте, Австралия; соглашение возобновлено на период 2023-2027 гг.</w:t>
      </w:r>
    </w:p>
    <w:p w14:paraId="414A5E36" w14:textId="77777777" w:rsidR="008205F0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В ходе второго Международного симпозиума по проблематике цунами (Банда-Ачех, Индонезия), организованного в память о жертвах цунами 2004 г. в Индийском океане, были подведены итоги проделанной работы (100 прибрежных населенных пунктов в 31 государстве-</w:t>
      </w:r>
      <w:r w:rsidRPr="00244B7D">
        <w:rPr>
          <w:rFonts w:ascii="Arial" w:hAnsi="Arial" w:cs="Arial"/>
          <w:sz w:val="22"/>
          <w:szCs w:val="22"/>
        </w:rPr>
        <w:lastRenderedPageBreak/>
        <w:t>члене, включая 15 МОСРГ, прошли сертификацию по Программе готовности к цунами). Участники мероприятия обратились с призывом оказать содействие, с тем чтобы к 2030 г. такую сертификацию прошли 100% прибрежных населенных пунктов, подверженных потенциальной опасности цунами.</w:t>
      </w:r>
    </w:p>
    <w:p w14:paraId="7DA00444" w14:textId="1FBEFB28" w:rsidR="003E0E67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eastAsia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В рамках совместной научной программы МОК-СКОР «</w:t>
      </w:r>
      <w:proofErr w:type="spellStart"/>
      <w:r w:rsidRPr="00244B7D">
        <w:rPr>
          <w:rFonts w:ascii="Arial" w:hAnsi="Arial" w:cs="Arial"/>
          <w:sz w:val="22"/>
          <w:szCs w:val="22"/>
        </w:rPr>
        <w:t>ГлобалВЦВ</w:t>
      </w:r>
      <w:proofErr w:type="spellEnd"/>
      <w:r w:rsidRPr="00244B7D">
        <w:rPr>
          <w:rFonts w:ascii="Arial" w:hAnsi="Arial" w:cs="Arial"/>
          <w:sz w:val="22"/>
          <w:szCs w:val="22"/>
        </w:rPr>
        <w:t>» был разработан новый десятилетний план работы для Международной программы МОК по вредоносному цветению водорослей. Новая программа партнерства МОК с Фондом «Ниппон» и ЮНЕП была сосредоточена на разработке десятилетнего плана реализации проекта «Избавление Мирового океана к 2050 году от вредного воздействия загрязнения». Концепция реализации указанного плана была представлена в марте 2025 г.</w:t>
      </w:r>
      <w:r w:rsidR="00244B7D" w:rsidRPr="00244B7D">
        <w:rPr>
          <w:rFonts w:ascii="Arial" w:hAnsi="Arial" w:cs="Arial"/>
          <w:sz w:val="22"/>
          <w:szCs w:val="22"/>
        </w:rPr>
        <w:t xml:space="preserve"> </w:t>
      </w:r>
      <w:r w:rsidRPr="00244B7D">
        <w:rPr>
          <w:rFonts w:ascii="Arial" w:hAnsi="Arial" w:cs="Arial"/>
          <w:sz w:val="22"/>
          <w:szCs w:val="22"/>
        </w:rPr>
        <w:t>в Токио на Всемирном саммите по океану.</w:t>
      </w:r>
    </w:p>
    <w:p w14:paraId="5807EF2B" w14:textId="00727985" w:rsidR="008205F0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МОК активизировала усилия в области морского пространственного планирования</w:t>
      </w:r>
      <w:r w:rsidR="00454BFB">
        <w:rPr>
          <w:rFonts w:ascii="Arial" w:hAnsi="Arial" w:cs="Arial"/>
          <w:sz w:val="22"/>
          <w:szCs w:val="22"/>
          <w:lang w:val="en-US"/>
        </w:rPr>
        <w:t> </w:t>
      </w:r>
      <w:r w:rsidRPr="00244B7D">
        <w:rPr>
          <w:rFonts w:ascii="Arial" w:hAnsi="Arial" w:cs="Arial"/>
          <w:sz w:val="22"/>
          <w:szCs w:val="22"/>
        </w:rPr>
        <w:t>(МПП) посредством организации серии учебных мероприятий в рамка проекта «Океан-инструктор». Кроме того, было подготовлено два материала о взаимодействии с коренными народами и местными общинами в рамках проектов по МПП (2024 г.), а также четыре комплекта методических руководств по тематике биоразнообразия, климата, геопространственным данным и использованию ветровой энергии в прибрежных водах (2025 г.). В семи странах Африки, западной части Тихого океана, Латинской Америки и Карибского бассейна в экспериментальном порядке была опробована новая методология ускоренной оценки, призванная помочь государствам-членам в осуществлении мероприятий в области МПП. Принятое правительством Швеции и Генеральным директоратом Европейской комиссии по морским делам и рыболовству решение о возобновлении финансовой помощи позволит продолжить эту работу. Усилия МОК в области МПП заложили прочную основу для разработки общесистемной стратегии МОК по рациональному планированию морской деятельности и управлению ресурсами океана (СОПМ) и реализации новой Программы Десятилетия по рациональному планированию морской деятельности, которая была представлена в ходе Международной конференции, посвященной Десятилетию науки об океане (2024 г., Барселона).</w:t>
      </w:r>
    </w:p>
    <w:p w14:paraId="24B7F103" w14:textId="5D0D0865" w:rsidR="003E0E67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44B7D">
        <w:rPr>
          <w:rFonts w:ascii="Arial" w:hAnsi="Arial" w:cs="Arial"/>
          <w:color w:val="212121"/>
          <w:sz w:val="22"/>
          <w:szCs w:val="22"/>
        </w:rPr>
        <w:t xml:space="preserve">Созданная решением Ассамблеи МОК группа экспертов занималась разработкой плана реализации </w:t>
      </w:r>
      <w:hyperlink r:id="rId17" w:history="1">
        <w:r w:rsidRPr="00244B7D">
          <w:rPr>
            <w:rStyle w:val="Hyperlink"/>
            <w:rFonts w:ascii="Arial" w:hAnsi="Arial" w:cs="Arial"/>
            <w:sz w:val="22"/>
            <w:szCs w:val="22"/>
          </w:rPr>
          <w:t>Стратегии МОК в области развития потенциала (2023-2030 гг.)</w:t>
        </w:r>
      </w:hyperlink>
      <w:r w:rsidRPr="00244B7D">
        <w:rPr>
          <w:rFonts w:ascii="Arial" w:hAnsi="Arial" w:cs="Arial"/>
          <w:color w:val="212121"/>
          <w:sz w:val="22"/>
          <w:szCs w:val="22"/>
        </w:rPr>
        <w:t>. Глобальная академия «Океан-инструктор» (ГАОИ) продолжила наращивать масштабы своей работы и увеличила количество проводимых учебных мероприятий (более 50 учебных курсов в год), которыми было охвачено около 14 000 специалистов по всему миру. Сеть ГАОИ, в которую входят 17 региональных и специализированных учебных центров, продолжает активную деятельность. В последние два года к учебным мероприятиям присоединились десятки новых партнеров. Благодаря имеющейся аккредитации в качестве провайдера образовательных услуг (ISO 29993) ГАОИ ежегодно выдает сертификаты о прохождении обучения сотням участников различных тренингов, обеспечивая при этом высокое качество организации учебного процесса.</w:t>
      </w:r>
      <w:r w:rsidRPr="00244B7D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 </w:t>
      </w:r>
      <w:r w:rsidRPr="00244B7D">
        <w:rPr>
          <w:rFonts w:ascii="Arial" w:hAnsi="Arial" w:cs="Arial"/>
          <w:color w:val="212121"/>
          <w:sz w:val="22"/>
          <w:szCs w:val="22"/>
        </w:rPr>
        <w:t>В 2024 г. при финансовой поддержке Норвежского агентства по сотрудничеству в области развития (НОРАД) МОК начала осуществление пяти проектов в области развития потенциала, разработанных совместно с региональными и техническими вспомогательными органами: (i) создание в регионе Африки систем раннего предупреждения о вредоносном цветении водорослей; (</w:t>
      </w:r>
      <w:proofErr w:type="spellStart"/>
      <w:r w:rsidRPr="00244B7D">
        <w:rPr>
          <w:rFonts w:ascii="Arial" w:hAnsi="Arial" w:cs="Arial"/>
          <w:color w:val="212121"/>
          <w:sz w:val="22"/>
          <w:szCs w:val="22"/>
        </w:rPr>
        <w:t>ii</w:t>
      </w:r>
      <w:proofErr w:type="spellEnd"/>
      <w:r w:rsidRPr="00244B7D">
        <w:rPr>
          <w:rFonts w:ascii="Arial" w:hAnsi="Arial" w:cs="Arial"/>
          <w:color w:val="212121"/>
          <w:sz w:val="22"/>
          <w:szCs w:val="22"/>
        </w:rPr>
        <w:t>) осуществление первого этапа проекта «ГЛОСС- Африка» (в странах Северной Африки); (</w:t>
      </w:r>
      <w:proofErr w:type="spellStart"/>
      <w:r w:rsidRPr="00244B7D">
        <w:rPr>
          <w:rFonts w:ascii="Arial" w:hAnsi="Arial" w:cs="Arial"/>
          <w:color w:val="212121"/>
          <w:sz w:val="22"/>
          <w:szCs w:val="22"/>
        </w:rPr>
        <w:t>iii</w:t>
      </w:r>
      <w:proofErr w:type="spellEnd"/>
      <w:r w:rsidRPr="00244B7D">
        <w:rPr>
          <w:rFonts w:ascii="Arial" w:hAnsi="Arial" w:cs="Arial"/>
          <w:color w:val="212121"/>
          <w:sz w:val="22"/>
          <w:szCs w:val="22"/>
        </w:rPr>
        <w:t>) оказание содействия в разработке стратегии и укреплении потенциала в области океанографических наблюдений за океаном под эгидой ГСНО-Африка; (</w:t>
      </w:r>
      <w:proofErr w:type="spellStart"/>
      <w:r w:rsidRPr="00244B7D">
        <w:rPr>
          <w:rFonts w:ascii="Arial" w:hAnsi="Arial" w:cs="Arial"/>
          <w:color w:val="212121"/>
          <w:sz w:val="22"/>
          <w:szCs w:val="22"/>
        </w:rPr>
        <w:t>iv</w:t>
      </w:r>
      <w:proofErr w:type="spellEnd"/>
      <w:r w:rsidRPr="00244B7D">
        <w:rPr>
          <w:rFonts w:ascii="Arial" w:hAnsi="Arial" w:cs="Arial"/>
          <w:color w:val="212121"/>
          <w:sz w:val="22"/>
          <w:szCs w:val="22"/>
        </w:rPr>
        <w:t xml:space="preserve">) создание центра сбора и обработки данных по биоразнообразию для районов открытого моря; (v) организация стажировок в целях общего укрепления кадрового потенциала в охватываемых мандатом МОК областях. </w:t>
      </w:r>
      <w:r w:rsidRPr="00244B7D">
        <w:rPr>
          <w:rFonts w:ascii="Arial" w:hAnsi="Arial" w:cs="Arial"/>
          <w:color w:val="000000" w:themeColor="text1"/>
          <w:sz w:val="22"/>
          <w:szCs w:val="22"/>
        </w:rPr>
        <w:t>Дополнительные финансовые средства, полученные в декабре 2024 г., были направлены на укрепление систем раннего предупреждения о вредоносном цветении водорослей в регионе Африки, в том числе на модернизацию ИТ-инфраструктуры управления данными и совершенствование таких систем, что позволит отслеживать взаимосвязь между ВЦВ и процессами деоксигенации, а также использовать данные наблюдений этих новых систем в рамках ГСНО.</w:t>
      </w:r>
    </w:p>
    <w:p w14:paraId="3FA5D8E1" w14:textId="77777777" w:rsidR="003E0E67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lastRenderedPageBreak/>
        <w:t xml:space="preserve">ГАОИ продолжила проведение многоязычных тренингов по повышению уровня грамотности в связанных с океаном вопросах, а также разработку тематических курсов для дистанционного обучения. </w:t>
      </w:r>
      <w:r w:rsidRPr="00244B7D">
        <w:rPr>
          <w:rFonts w:ascii="Arial" w:hAnsi="Arial" w:cs="Arial"/>
          <w:color w:val="000000"/>
          <w:sz w:val="22"/>
          <w:szCs w:val="22"/>
        </w:rPr>
        <w:t xml:space="preserve">Более двух миллионов носителей языка суахили, проживающих в регионе Восточной Африки, в том числе в ДРК, на Коморских островах, в Кении, Танзании и Сомали, смогут теперь использовать </w:t>
      </w:r>
      <w:hyperlink r:id="rId18" w:history="1">
        <w:r w:rsidRPr="00244B7D">
          <w:rPr>
            <w:rStyle w:val="Hyperlink"/>
            <w:rFonts w:ascii="Arial" w:hAnsi="Arial" w:cs="Arial"/>
            <w:i/>
            <w:iCs/>
            <w:sz w:val="22"/>
            <w:szCs w:val="22"/>
          </w:rPr>
          <w:t>пакет прикладных программ, подготовленных в рамках инициативы «Знания об океане – право каждого»</w:t>
        </w:r>
      </w:hyperlink>
      <w:r w:rsidRPr="00244B7D">
        <w:rPr>
          <w:rFonts w:ascii="Arial" w:hAnsi="Arial" w:cs="Arial"/>
          <w:color w:val="000000"/>
          <w:sz w:val="22"/>
          <w:szCs w:val="22"/>
        </w:rPr>
        <w:t>.</w:t>
      </w:r>
    </w:p>
    <w:p w14:paraId="587E12F1" w14:textId="3F99031D" w:rsidR="003E0E67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Первостепенное значение для успешной деятельности в рамках глобального приоритета «Африка» имеет обеспечение согласованности наших усилий с меняющимися национальными и региональными приоритетами и стратегиями.</w:t>
      </w:r>
      <w:r w:rsidRPr="00244B7D">
        <w:rPr>
          <w:rFonts w:ascii="Arial" w:hAnsi="Arial" w:cs="Arial"/>
          <w:color w:val="000000"/>
          <w:sz w:val="22"/>
          <w:szCs w:val="22"/>
        </w:rPr>
        <w:t xml:space="preserve"> Целевая группа Десятилетия науки об океане для стран Африки содействовала реализации </w:t>
      </w:r>
      <w:hyperlink r:id="rId19" w:history="1">
        <w:r w:rsidRPr="00244B7D">
          <w:rPr>
            <w:rStyle w:val="Hyperlink"/>
            <w:rFonts w:ascii="Arial" w:hAnsi="Arial" w:cs="Arial"/>
            <w:i/>
            <w:iCs/>
            <w:sz w:val="22"/>
            <w:szCs w:val="22"/>
          </w:rPr>
          <w:t>Дорожной карты по проведению Десятилетия науки об океане в странах Африки</w:t>
        </w:r>
      </w:hyperlink>
      <w:r w:rsidRPr="00244B7D">
        <w:rPr>
          <w:rFonts w:ascii="Arial" w:hAnsi="Arial" w:cs="Arial"/>
          <w:color w:val="000000"/>
          <w:sz w:val="22"/>
          <w:szCs w:val="22"/>
        </w:rPr>
        <w:t xml:space="preserve">, включая разработку и начало осуществления в рамках Десятилетия новой программы по поощрению рационального </w:t>
      </w:r>
      <w:proofErr w:type="spellStart"/>
      <w:r w:rsidRPr="00244B7D">
        <w:rPr>
          <w:rFonts w:ascii="Arial" w:hAnsi="Arial" w:cs="Arial"/>
          <w:color w:val="000000"/>
          <w:sz w:val="22"/>
          <w:szCs w:val="22"/>
        </w:rPr>
        <w:t>морепользования</w:t>
      </w:r>
      <w:proofErr w:type="spellEnd"/>
      <w:r w:rsidRPr="00244B7D">
        <w:rPr>
          <w:rFonts w:ascii="Arial" w:hAnsi="Arial" w:cs="Arial"/>
          <w:color w:val="000000"/>
          <w:sz w:val="22"/>
          <w:szCs w:val="22"/>
        </w:rPr>
        <w:t xml:space="preserve"> в странах Африки. Аналогичным образом Целевая группа для региона тропических стран Северной и Южной Америки и Карибского бассейна руководила осуществлением соответствующей дорожной карты, разработанной для данного региона. </w:t>
      </w:r>
      <w:r w:rsidRPr="00244B7D">
        <w:rPr>
          <w:rFonts w:ascii="Arial" w:hAnsi="Arial" w:cs="Arial"/>
          <w:sz w:val="22"/>
          <w:szCs w:val="22"/>
        </w:rPr>
        <w:t>В регионе ВЕСТПАК были предприняты серьезные усилия по увязке морских научно-исследовательских программ с потребностями проживающего здесь населения, в том числе с помощью подписания соответствующих соглашений и принятия рамочных стратегий на национальном и международном уровнях.</w:t>
      </w:r>
      <w:r w:rsidRPr="00244B7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4B7D">
        <w:rPr>
          <w:rFonts w:ascii="Arial" w:hAnsi="Arial" w:cs="Arial"/>
          <w:sz w:val="22"/>
          <w:szCs w:val="22"/>
        </w:rPr>
        <w:t>Важной вехой стало проведение второй региональной конференции, посвященной Десятилетию науки об океане и 11-й Международной конференции ВЕСТПАК по морским наукам (22-25 апреля 2024 г., Таиланд), в которых приняли участие представители более 1200 заинтересованных сторон из 40 стран региона и других стран.</w:t>
      </w:r>
      <w:r w:rsidRPr="00244B7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244B7D">
        <w:rPr>
          <w:rFonts w:ascii="Arial" w:hAnsi="Arial" w:cs="Arial"/>
          <w:color w:val="000000" w:themeColor="text1"/>
          <w:sz w:val="22"/>
          <w:szCs w:val="22"/>
        </w:rPr>
        <w:t xml:space="preserve">В целях содействия реализации глобального проекта </w:t>
      </w:r>
      <w:hyperlink r:id="rId20" w:history="1">
        <w:r w:rsidRPr="00244B7D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«Морское пространственное планирование 2.0»</w:t>
        </w:r>
      </w:hyperlink>
      <w:r w:rsidRPr="00244B7D">
        <w:rPr>
          <w:rFonts w:ascii="Arial" w:hAnsi="Arial" w:cs="Arial"/>
          <w:color w:val="000000" w:themeColor="text1"/>
          <w:sz w:val="22"/>
          <w:szCs w:val="22"/>
        </w:rPr>
        <w:t xml:space="preserve"> была принята региональная рамочная программа действий, призванная ускорить процессы, связанные </w:t>
      </w:r>
      <w:r w:rsidR="00B3287E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B3287E" w:rsidRPr="00B328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44B7D">
        <w:rPr>
          <w:rFonts w:ascii="Arial" w:hAnsi="Arial" w:cs="Arial"/>
          <w:color w:val="000000" w:themeColor="text1"/>
          <w:sz w:val="22"/>
          <w:szCs w:val="22"/>
        </w:rPr>
        <w:t>планированием морских пространств.</w:t>
      </w:r>
    </w:p>
    <w:p w14:paraId="1C462022" w14:textId="77777777" w:rsidR="008205F0" w:rsidRPr="00244B7D" w:rsidRDefault="003E0E67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44B7D">
        <w:rPr>
          <w:rFonts w:ascii="Arial" w:hAnsi="Arial" w:cs="Arial"/>
          <w:sz w:val="22"/>
          <w:szCs w:val="22"/>
        </w:rPr>
        <w:t>В рамках реализации стратегии деятельности ЮНЕСКО в интересах малых островных развивающихся государств МОК поощряла участие МОСРГ в проведении Десятилетия, посвященного науке об океане, в том числе с помощью создания на базе Тихоокеанского сообщества децентрализованного координационного центра для островных государств региона Тихого океана. Руководство осуществлением мероприятий в этом регионе обеспечивает Целевая группа для региона тропических стран Северной и Южной Америки и Карибского бассейна.</w:t>
      </w:r>
    </w:p>
    <w:p w14:paraId="589320D1" w14:textId="436F34B7" w:rsidR="008D1EEC" w:rsidRPr="00244B7D" w:rsidRDefault="008D1EEC" w:rsidP="00454BFB">
      <w:pPr>
        <w:tabs>
          <w:tab w:val="left" w:pos="0"/>
        </w:tabs>
        <w:spacing w:after="240"/>
        <w:jc w:val="both"/>
        <w:rPr>
          <w:rFonts w:cs="Arial"/>
          <w:b/>
          <w:bCs/>
          <w:color w:val="000000" w:themeColor="text1"/>
          <w:szCs w:val="22"/>
        </w:rPr>
      </w:pPr>
      <w:r w:rsidRPr="00244B7D">
        <w:rPr>
          <w:rFonts w:cs="Arial"/>
          <w:b/>
          <w:bCs/>
          <w:color w:val="000000" w:themeColor="text1"/>
          <w:szCs w:val="22"/>
        </w:rPr>
        <w:t>Проблемные аспекты и перспективы</w:t>
      </w:r>
    </w:p>
    <w:p w14:paraId="6751A973" w14:textId="1F8D11C1" w:rsidR="00590C03" w:rsidRPr="00244B7D" w:rsidRDefault="008823B5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244B7D">
        <w:rPr>
          <w:rFonts w:ascii="Arial" w:hAnsi="Arial" w:cs="Arial"/>
          <w:b/>
          <w:sz w:val="22"/>
          <w:szCs w:val="22"/>
        </w:rPr>
        <w:t>Ограниченность кадровых и финансовых возможностей</w:t>
      </w:r>
      <w:r w:rsidR="00454BFB" w:rsidRPr="00454BFB">
        <w:rPr>
          <w:rFonts w:ascii="Arial" w:hAnsi="Arial" w:cs="Arial"/>
          <w:bCs/>
          <w:sz w:val="22"/>
          <w:szCs w:val="22"/>
        </w:rPr>
        <w:t>.</w:t>
      </w:r>
      <w:r w:rsidR="00244B7D" w:rsidRPr="00244B7D">
        <w:rPr>
          <w:rFonts w:ascii="Arial" w:hAnsi="Arial" w:cs="Arial"/>
          <w:sz w:val="22"/>
          <w:szCs w:val="22"/>
        </w:rPr>
        <w:t xml:space="preserve"> </w:t>
      </w:r>
      <w:r w:rsidRPr="00244B7D">
        <w:rPr>
          <w:rFonts w:ascii="Arial" w:hAnsi="Arial" w:cs="Arial"/>
          <w:sz w:val="22"/>
          <w:szCs w:val="22"/>
        </w:rPr>
        <w:t xml:space="preserve">Несмотря на растущее признание важной роли МОК, недоукомплектованность персоналом в областях, которые были определены государствами-членами как «критически уязвимые», создавало серьезные сложности. Ограниченность кадровых возможностей не только затрудняет выполнение программы, но ставит под вопрос нашу способность реализовать амбициозные планы, касающиеся привлечения ресурсов. Обеспечение эффективного функционирования и развития таких важных систем, как Система океанографических данных и информации (ОДИС), Система информации о морском биологическом разнообразии (ОБИС) и Глобальная система наблюдений за океаном (ГСНО), имеет решающее значение для выполнения государствами-членами своих национальных и глобальных обязательств. Будучи неразрывно связаны с задачами в области морских научных исследований, развития экономики и государственного управления, эти обязательства предполагают </w:t>
      </w:r>
      <w:r w:rsidR="00EA7AA0">
        <w:rPr>
          <w:rFonts w:ascii="Arial" w:hAnsi="Arial" w:cs="Arial"/>
          <w:sz w:val="22"/>
          <w:szCs w:val="22"/>
        </w:rPr>
        <w:t xml:space="preserve">наличие </w:t>
      </w:r>
      <w:r w:rsidRPr="00EA7AA0">
        <w:rPr>
          <w:rFonts w:ascii="Arial" w:hAnsi="Arial" w:cs="Arial"/>
          <w:sz w:val="22"/>
          <w:szCs w:val="22"/>
        </w:rPr>
        <w:t>стабильного и бесперебойного финанс</w:t>
      </w:r>
      <w:r w:rsidRPr="00244B7D">
        <w:rPr>
          <w:rFonts w:ascii="Arial" w:hAnsi="Arial" w:cs="Arial"/>
          <w:sz w:val="22"/>
          <w:szCs w:val="22"/>
        </w:rPr>
        <w:t>ирования. Для полноценной реализации планов Десятилетия науки об океане необходимы более существенные инвестиции. Решение таких амбициозных задач, как обеспечение к 2030 г. готовности к цунами 100% населения, проживающего в зоне риска, и полное картирование морского дна, предусмотренное в проекте «Морское дно-2030», требуют увеличения ресурсной базы и скоординированных глобальных усилий.</w:t>
      </w:r>
    </w:p>
    <w:p w14:paraId="0F6CA397" w14:textId="4C2B3BEE" w:rsidR="008D1EEC" w:rsidRPr="00244B7D" w:rsidRDefault="00D44B24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44B7D">
        <w:rPr>
          <w:rFonts w:ascii="Arial" w:hAnsi="Arial" w:cs="Arial"/>
          <w:b/>
          <w:bCs/>
          <w:sz w:val="22"/>
          <w:szCs w:val="22"/>
        </w:rPr>
        <w:lastRenderedPageBreak/>
        <w:t>Повышение эффективности через расширение партнерского взаимодействия</w:t>
      </w:r>
      <w:r w:rsidR="00454BFB" w:rsidRPr="00454BFB">
        <w:rPr>
          <w:rFonts w:ascii="Arial" w:hAnsi="Arial" w:cs="Arial"/>
          <w:sz w:val="22"/>
          <w:szCs w:val="22"/>
        </w:rPr>
        <w:t>.</w:t>
      </w:r>
      <w:r w:rsidR="00244B7D" w:rsidRPr="00244B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4B7D">
        <w:rPr>
          <w:rFonts w:ascii="Arial" w:hAnsi="Arial" w:cs="Arial"/>
          <w:sz w:val="22"/>
          <w:szCs w:val="22"/>
        </w:rPr>
        <w:t xml:space="preserve">Альянс в поддержку Десятилетия науки об океане продолжит стимулировать эффективное сотрудничество. Участие в проведении Десятилетия благотворительных организаций в форме проведения серии совещаний «Диалог благотворительных фондов», а также партнерское взаимодействие с такими организациями, как </w:t>
      </w:r>
      <w:proofErr w:type="spellStart"/>
      <w:r w:rsidRPr="00244B7D">
        <w:rPr>
          <w:rFonts w:ascii="Arial" w:hAnsi="Arial" w:cs="Arial"/>
          <w:sz w:val="22"/>
          <w:szCs w:val="22"/>
        </w:rPr>
        <w:t>Бельмонтский</w:t>
      </w:r>
      <w:proofErr w:type="spellEnd"/>
      <w:r w:rsidRPr="00244B7D">
        <w:rPr>
          <w:rFonts w:ascii="Arial" w:hAnsi="Arial" w:cs="Arial"/>
          <w:sz w:val="22"/>
          <w:szCs w:val="22"/>
        </w:rPr>
        <w:t xml:space="preserve"> форум и Партнерство по устойчивой «голубой экономике» под эгидой Европейской комиссии, открывают новые возможности для совместных инициатив и призывов к действиям. МОК продолжит укреплять свое участие в качестве партнера, представляющего научное сообщество, в рамках глобальных инициатив, включая «Группу двадцати», «Группу семи» и Группу высокого уровня по устойчивой морской экономики. Укрепление партнерства с международными организациями и органами ООН станет залогом нашего успеха. Такие новаторские инициативы, как сотрудничество с ВМО и взаимодействие с кругосветной регатой яхт-одиночек (</w:t>
      </w:r>
      <w:proofErr w:type="spellStart"/>
      <w:r w:rsidRPr="00244B7D">
        <w:rPr>
          <w:rFonts w:ascii="Arial" w:hAnsi="Arial" w:cs="Arial"/>
          <w:sz w:val="22"/>
          <w:szCs w:val="22"/>
        </w:rPr>
        <w:t>Vendée</w:t>
      </w:r>
      <w:proofErr w:type="spellEnd"/>
      <w:r w:rsidRPr="00244B7D">
        <w:rPr>
          <w:rFonts w:ascii="Arial" w:hAnsi="Arial" w:cs="Arial"/>
          <w:sz w:val="22"/>
          <w:szCs w:val="22"/>
        </w:rPr>
        <w:t xml:space="preserve"> Globe – 2024), участники которой помогали собирать ценные данные в недостаточно изученных акваториях, таких как Южный океан, а также образовательный проект «Море без границ», финансируемый Prada Group, будут способствовать дальнейшему расширению участия гражданского общества.</w:t>
      </w:r>
    </w:p>
    <w:p w14:paraId="15960F07" w14:textId="3278122C" w:rsidR="008D1EEC" w:rsidRPr="00244B7D" w:rsidRDefault="00D44B24" w:rsidP="00454BFB">
      <w:pPr>
        <w:pStyle w:val="ListParagraph"/>
        <w:numPr>
          <w:ilvl w:val="0"/>
          <w:numId w:val="42"/>
        </w:numPr>
        <w:tabs>
          <w:tab w:val="left" w:pos="0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44B7D">
        <w:rPr>
          <w:rFonts w:ascii="Arial" w:hAnsi="Arial" w:cs="Arial"/>
          <w:b/>
          <w:bCs/>
          <w:sz w:val="22"/>
          <w:szCs w:val="22"/>
        </w:rPr>
        <w:t>Повышение вовлеченности государств-членов</w:t>
      </w:r>
      <w:r w:rsidR="00454BFB" w:rsidRPr="00454BFB">
        <w:rPr>
          <w:rFonts w:ascii="Arial" w:hAnsi="Arial" w:cs="Arial"/>
          <w:sz w:val="22"/>
          <w:szCs w:val="22"/>
        </w:rPr>
        <w:t xml:space="preserve">. </w:t>
      </w:r>
      <w:r w:rsidRPr="00244B7D">
        <w:rPr>
          <w:rFonts w:ascii="Arial" w:hAnsi="Arial" w:cs="Arial"/>
          <w:sz w:val="22"/>
          <w:szCs w:val="22"/>
        </w:rPr>
        <w:t>С учетом основополагающей цели, заключающейся в обеспечении более эффективной, оперативной и гибкой взаимосвязи между формированием базы научных знаний об океане, принятием решений и хозяйственным освоением морских ресурсов, необходимо продолжить изучение вопроса о том, в какой степени наша работа в этой области может стать более эффективной, оперативной и гибкой. Инициированная Ассамблеей МОК дискуссия на тему «МОК и будущее Мирового океана», а также ее призыв «упорядочить функционирование МОК и оптимизировать использование ресурсов, с тем чтобы они действительно соответствовали поставленным целям в условиях быстро меняющейся программы работы в сфере океана и с учетом растущих требований государств-членов и расширения многосторонних процессов», позвол</w:t>
      </w:r>
      <w:r w:rsidR="00647BEE">
        <w:rPr>
          <w:rFonts w:ascii="Arial" w:hAnsi="Arial" w:cs="Arial"/>
          <w:sz w:val="22"/>
          <w:szCs w:val="22"/>
        </w:rPr>
        <w:t>я</w:t>
      </w:r>
      <w:r w:rsidRPr="00244B7D">
        <w:rPr>
          <w:rFonts w:ascii="Arial" w:hAnsi="Arial" w:cs="Arial"/>
          <w:sz w:val="22"/>
          <w:szCs w:val="22"/>
        </w:rPr>
        <w:t>т государствам-членам обеспечить стратегическое руководство и активную вовлеченность в деятельность своей Комиссии.</w:t>
      </w:r>
    </w:p>
    <w:sectPr w:rsidR="008D1EEC" w:rsidRPr="00244B7D" w:rsidSect="003F7186">
      <w:headerReference w:type="even" r:id="rId21"/>
      <w:headerReference w:type="default" r:id="rId22"/>
      <w:headerReference w:type="first" r:id="rId23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D75A" w14:textId="77777777" w:rsidR="00654F98" w:rsidRDefault="00654F98">
      <w:r>
        <w:separator/>
      </w:r>
    </w:p>
  </w:endnote>
  <w:endnote w:type="continuationSeparator" w:id="0">
    <w:p w14:paraId="50E18CD6" w14:textId="77777777" w:rsidR="00654F98" w:rsidRDefault="00654F98">
      <w:r>
        <w:continuationSeparator/>
      </w:r>
    </w:p>
  </w:endnote>
  <w:endnote w:type="continuationNotice" w:id="1">
    <w:p w14:paraId="1D2B836D" w14:textId="77777777" w:rsidR="00654F98" w:rsidRDefault="00654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42F6" w14:textId="77777777" w:rsidR="00654F98" w:rsidRDefault="00654F98">
      <w:r>
        <w:separator/>
      </w:r>
    </w:p>
  </w:footnote>
  <w:footnote w:type="continuationSeparator" w:id="0">
    <w:p w14:paraId="1677FA34" w14:textId="77777777" w:rsidR="00654F98" w:rsidRDefault="00654F98">
      <w:r>
        <w:continuationSeparator/>
      </w:r>
    </w:p>
  </w:footnote>
  <w:footnote w:type="continuationNotice" w:id="1">
    <w:p w14:paraId="39AFBBB3" w14:textId="77777777" w:rsidR="00654F98" w:rsidRDefault="00654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19C4" w14:textId="77777777" w:rsidR="00441140" w:rsidRPr="00244B7D" w:rsidRDefault="00441140">
    <w:pPr>
      <w:pStyle w:val="Header"/>
      <w:rPr>
        <w:szCs w:val="22"/>
        <w:lang w:val="en-US"/>
      </w:rPr>
    </w:pPr>
    <w:r w:rsidRPr="00244B7D">
      <w:rPr>
        <w:lang w:val="en-US"/>
      </w:rPr>
      <w:t>ICG/CARIBE-EWS II/WD </w:t>
    </w:r>
    <w:r w:rsidRPr="00244B7D">
      <w:rPr>
        <w:szCs w:val="22"/>
        <w:highlight w:val="cyan"/>
        <w:lang w:val="en-US"/>
      </w:rPr>
      <w:t>__</w:t>
    </w:r>
  </w:p>
  <w:p w14:paraId="6A24548F" w14:textId="77777777" w:rsidR="00441140" w:rsidRPr="00C962F0" w:rsidRDefault="00441140">
    <w:pPr>
      <w:pStyle w:val="Header"/>
      <w:rPr>
        <w:szCs w:val="22"/>
      </w:rPr>
    </w:pPr>
    <w:r>
      <w:t>Page </w:t>
    </w:r>
    <w:r w:rsidRPr="00C962F0">
      <w:rPr>
        <w:rStyle w:val="PageNumber"/>
        <w:szCs w:val="22"/>
      </w:rPr>
      <w:fldChar w:fldCharType="begin"/>
    </w:r>
    <w:r w:rsidRPr="00C962F0">
      <w:rPr>
        <w:rStyle w:val="PageNumber"/>
        <w:szCs w:val="22"/>
      </w:rPr>
      <w:instrText xml:space="preserve"> PAGE </w:instrText>
    </w:r>
    <w:r w:rsidRPr="00C962F0">
      <w:rPr>
        <w:rStyle w:val="PageNumber"/>
        <w:szCs w:val="22"/>
      </w:rPr>
      <w:fldChar w:fldCharType="separate"/>
    </w:r>
    <w:r>
      <w:rPr>
        <w:rStyle w:val="PageNumber"/>
        <w:szCs w:val="22"/>
      </w:rPr>
      <w:t>2</w:t>
    </w:r>
    <w:r w:rsidRPr="00C962F0">
      <w:rPr>
        <w:rStyle w:val="PageNumber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D62A" w14:textId="77777777" w:rsidR="00441140" w:rsidRPr="00746B89" w:rsidRDefault="00441140" w:rsidP="00DF2FB9">
    <w:pPr>
      <w:pStyle w:val="Header"/>
      <w:tabs>
        <w:tab w:val="clear" w:pos="8306"/>
      </w:tabs>
      <w:rPr>
        <w:szCs w:val="22"/>
      </w:rPr>
    </w:pPr>
    <w:r>
      <w:t xml:space="preserve">IOC-XXIV/2 </w:t>
    </w:r>
    <w:proofErr w:type="spellStart"/>
    <w:r>
      <w:t>Annex</w:t>
    </w:r>
    <w:proofErr w:type="spellEnd"/>
    <w:r>
      <w:t xml:space="preserve"> </w:t>
    </w:r>
    <w:r>
      <w:rPr>
        <w:szCs w:val="22"/>
        <w:highlight w:val="yellow"/>
      </w:rPr>
      <w:t>__</w:t>
    </w:r>
  </w:p>
  <w:p w14:paraId="70AB0676" w14:textId="77777777" w:rsidR="00441140" w:rsidRPr="00746B89" w:rsidRDefault="00441140" w:rsidP="00DF2FB9">
    <w:pPr>
      <w:pStyle w:val="Header"/>
      <w:tabs>
        <w:tab w:val="clear" w:pos="8306"/>
      </w:tabs>
      <w:rPr>
        <w:szCs w:val="22"/>
      </w:rPr>
    </w:pPr>
    <w:r>
      <w:t>Page </w:t>
    </w:r>
    <w:r w:rsidRPr="00746B89">
      <w:rPr>
        <w:rStyle w:val="PageNumber"/>
        <w:szCs w:val="22"/>
      </w:rPr>
      <w:fldChar w:fldCharType="begin"/>
    </w:r>
    <w:r w:rsidRPr="00746B89">
      <w:rPr>
        <w:rStyle w:val="PageNumber"/>
        <w:szCs w:val="22"/>
      </w:rPr>
      <w:instrText xml:space="preserve"> PAGE </w:instrText>
    </w:r>
    <w:r w:rsidRPr="00746B89">
      <w:rPr>
        <w:rStyle w:val="PageNumber"/>
        <w:szCs w:val="22"/>
      </w:rPr>
      <w:fldChar w:fldCharType="separate"/>
    </w:r>
    <w:r>
      <w:rPr>
        <w:rStyle w:val="PageNumber"/>
        <w:szCs w:val="22"/>
      </w:rPr>
      <w:t>3</w:t>
    </w:r>
    <w:r w:rsidRPr="00746B89">
      <w:rPr>
        <w:rStyle w:val="PageNumber"/>
        <w:szCs w:val="22"/>
      </w:rPr>
      <w:fldChar w:fldCharType="end"/>
    </w:r>
  </w:p>
  <w:p w14:paraId="6C23CAB6" w14:textId="77777777" w:rsidR="00441140" w:rsidRPr="00DF2FB9" w:rsidRDefault="00441140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D51F" w14:textId="71D6AC16" w:rsidR="00C12E5A" w:rsidRPr="007C710A" w:rsidRDefault="00C12E5A" w:rsidP="00AA2CD5">
    <w:pPr>
      <w:pStyle w:val="Marge"/>
      <w:tabs>
        <w:tab w:val="left" w:pos="6096"/>
        <w:tab w:val="left" w:pos="7560"/>
      </w:tabs>
      <w:spacing w:after="0"/>
      <w:rPr>
        <w:rFonts w:cs="Arial"/>
        <w:b/>
        <w:szCs w:val="22"/>
      </w:rPr>
    </w:pPr>
    <w:r>
      <w:t>Рассылается по списку</w:t>
    </w:r>
    <w:r>
      <w:tab/>
    </w:r>
    <w:r>
      <w:rPr>
        <w:b/>
        <w:sz w:val="36"/>
        <w:szCs w:val="36"/>
      </w:rPr>
      <w:t>IOC/A-33/3.5.Doc(1)</w:t>
    </w:r>
  </w:p>
  <w:p w14:paraId="329B6935" w14:textId="77777777" w:rsidR="008205F0" w:rsidRDefault="00C12E5A" w:rsidP="00AA2CD5">
    <w:pPr>
      <w:tabs>
        <w:tab w:val="left" w:pos="6096"/>
        <w:tab w:val="left" w:pos="7560"/>
      </w:tabs>
      <w:jc w:val="both"/>
      <w:rPr>
        <w:rFonts w:asciiTheme="minorBidi" w:hAnsiTheme="minorBidi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68D4C686" wp14:editId="00519DD6">
          <wp:simplePos x="0" y="0"/>
          <wp:positionH relativeFrom="column">
            <wp:posOffset>-96875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>
      <w:rPr>
        <w:rFonts w:asciiTheme="minorBidi" w:hAnsiTheme="minorBidi"/>
      </w:rPr>
      <w:t>Париж, 14 апреля 2025 г.</w:t>
    </w:r>
  </w:p>
  <w:p w14:paraId="28CBEFA2" w14:textId="6AFB493A" w:rsidR="00C12E5A" w:rsidRPr="002D5222" w:rsidRDefault="008205F0" w:rsidP="00AA2CD5">
    <w:pPr>
      <w:tabs>
        <w:tab w:val="left" w:pos="6096"/>
        <w:tab w:val="left" w:pos="7560"/>
      </w:tabs>
      <w:jc w:val="both"/>
      <w:rPr>
        <w:rFonts w:asciiTheme="minorBidi" w:hAnsiTheme="minorBidi"/>
      </w:rPr>
    </w:pPr>
    <w:r>
      <w:rPr>
        <w:rFonts w:asciiTheme="minorBidi" w:hAnsiTheme="minorBidi"/>
      </w:rPr>
      <w:tab/>
      <w:t>Оригинал: английский</w:t>
    </w:r>
  </w:p>
  <w:p w14:paraId="32B4F112" w14:textId="77777777" w:rsidR="00C12E5A" w:rsidRPr="002D5222" w:rsidRDefault="00C12E5A" w:rsidP="00AA2CD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670"/>
        <w:tab w:val="left" w:pos="5812"/>
        <w:tab w:val="left" w:pos="6096"/>
        <w:tab w:val="left" w:pos="7020"/>
        <w:tab w:val="left" w:pos="7088"/>
      </w:tabs>
      <w:jc w:val="both"/>
      <w:rPr>
        <w:rFonts w:asciiTheme="minorBidi" w:hAnsiTheme="minorBidi"/>
        <w:b/>
      </w:rPr>
    </w:pPr>
  </w:p>
  <w:p w14:paraId="6291037F" w14:textId="77777777" w:rsidR="00C12E5A" w:rsidRPr="002D5222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704015AC" w14:textId="77777777" w:rsidR="00C12E5A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32EBCD58" w14:textId="77777777" w:rsidR="00C12E5A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4FB8D5E3" w14:textId="77777777" w:rsidR="00C12E5A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40B06903" w14:textId="77777777" w:rsidR="00C12E5A" w:rsidRPr="002D5222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658C4EF5" w14:textId="77777777" w:rsidR="00C12E5A" w:rsidRPr="002D5222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</w:rPr>
    </w:pPr>
  </w:p>
  <w:p w14:paraId="167EC998" w14:textId="77777777" w:rsidR="00441140" w:rsidRPr="005E544C" w:rsidRDefault="00441140">
    <w:pPr>
      <w:pStyle w:val="Header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695D" w14:textId="48E715B9" w:rsidR="00441140" w:rsidRPr="00755478" w:rsidRDefault="00242324" w:rsidP="00C12E5A">
    <w:pPr>
      <w:pStyle w:val="Header"/>
      <w:tabs>
        <w:tab w:val="clear" w:pos="8306"/>
      </w:tabs>
      <w:rPr>
        <w:rFonts w:cs="Arial"/>
        <w:szCs w:val="22"/>
      </w:rPr>
    </w:pPr>
    <w:r w:rsidRPr="00755478">
      <w:rPr>
        <w:szCs w:val="22"/>
      </w:rPr>
      <w:t>IOC/A-33/3.5.Doc(1) – page </w:t>
    </w:r>
    <w:r w:rsidR="00441140" w:rsidRPr="00755478">
      <w:rPr>
        <w:rStyle w:val="PageNumber"/>
        <w:rFonts w:cs="Arial"/>
        <w:szCs w:val="22"/>
      </w:rPr>
      <w:fldChar w:fldCharType="begin"/>
    </w:r>
    <w:r w:rsidR="00441140" w:rsidRPr="00755478">
      <w:rPr>
        <w:rStyle w:val="PageNumber"/>
        <w:rFonts w:cs="Arial"/>
        <w:szCs w:val="22"/>
      </w:rPr>
      <w:instrText xml:space="preserve"> PAGE </w:instrText>
    </w:r>
    <w:r w:rsidR="00441140" w:rsidRPr="00755478">
      <w:rPr>
        <w:rStyle w:val="PageNumber"/>
        <w:rFonts w:cs="Arial"/>
        <w:szCs w:val="22"/>
      </w:rPr>
      <w:fldChar w:fldCharType="separate"/>
    </w:r>
    <w:r w:rsidR="00D0416A" w:rsidRPr="00755478">
      <w:rPr>
        <w:rStyle w:val="PageNumber"/>
        <w:rFonts w:cs="Arial"/>
        <w:szCs w:val="22"/>
      </w:rPr>
      <w:t>4</w:t>
    </w:r>
    <w:r w:rsidR="00441140" w:rsidRPr="00755478">
      <w:rPr>
        <w:rStyle w:val="PageNumber"/>
        <w:rFonts w:cs="Arial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F2C3" w14:textId="1C187A91" w:rsidR="0037249C" w:rsidRPr="00755478" w:rsidRDefault="00EA6689" w:rsidP="00755478">
    <w:pPr>
      <w:pStyle w:val="Header"/>
      <w:tabs>
        <w:tab w:val="clear" w:pos="8306"/>
      </w:tabs>
      <w:ind w:firstLine="6521"/>
      <w:rPr>
        <w:rFonts w:cs="Arial"/>
        <w:szCs w:val="22"/>
      </w:rPr>
    </w:pPr>
    <w:r w:rsidRPr="00755478">
      <w:rPr>
        <w:szCs w:val="22"/>
      </w:rPr>
      <w:t>IOC/A-33/3.5.Doc(1) – page </w:t>
    </w:r>
    <w:r w:rsidR="0037249C" w:rsidRPr="00755478">
      <w:rPr>
        <w:rStyle w:val="PageNumber"/>
        <w:rFonts w:cs="Arial"/>
        <w:szCs w:val="22"/>
      </w:rPr>
      <w:fldChar w:fldCharType="begin"/>
    </w:r>
    <w:r w:rsidR="0037249C" w:rsidRPr="00755478">
      <w:rPr>
        <w:rStyle w:val="PageNumber"/>
        <w:rFonts w:cs="Arial"/>
        <w:szCs w:val="22"/>
      </w:rPr>
      <w:instrText xml:space="preserve"> PAGE </w:instrText>
    </w:r>
    <w:r w:rsidR="0037249C" w:rsidRPr="00755478">
      <w:rPr>
        <w:rStyle w:val="PageNumber"/>
        <w:rFonts w:cs="Arial"/>
        <w:szCs w:val="22"/>
      </w:rPr>
      <w:fldChar w:fldCharType="separate"/>
    </w:r>
    <w:r w:rsidR="00D0416A" w:rsidRPr="00755478">
      <w:rPr>
        <w:rStyle w:val="PageNumber"/>
        <w:rFonts w:cs="Arial"/>
        <w:szCs w:val="22"/>
      </w:rPr>
      <w:t>3</w:t>
    </w:r>
    <w:r w:rsidR="0037249C" w:rsidRPr="00755478">
      <w:rPr>
        <w:rStyle w:val="PageNumber"/>
        <w:rFonts w:cs="Arial"/>
        <w:szCs w:val="22"/>
      </w:rPr>
      <w:fldChar w:fldCharType="end"/>
    </w:r>
  </w:p>
  <w:p w14:paraId="6AAB52E1" w14:textId="77777777" w:rsidR="00441140" w:rsidRPr="00424DE6" w:rsidRDefault="00441140" w:rsidP="00AA2CD5">
    <w:pPr>
      <w:pStyle w:val="Header"/>
      <w:ind w:left="8364" w:firstLine="6804"/>
      <w:rPr>
        <w:rFonts w:cs="Arial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F427" w14:textId="713EF2DE" w:rsidR="00307660" w:rsidRPr="00755478" w:rsidRDefault="00242324" w:rsidP="00AA2CD5">
    <w:pPr>
      <w:pStyle w:val="Header"/>
      <w:tabs>
        <w:tab w:val="clear" w:pos="8306"/>
      </w:tabs>
      <w:ind w:right="119"/>
      <w:jc w:val="right"/>
      <w:rPr>
        <w:rFonts w:cs="Arial"/>
        <w:szCs w:val="22"/>
      </w:rPr>
    </w:pPr>
    <w:r w:rsidRPr="00755478">
      <w:rPr>
        <w:szCs w:val="22"/>
      </w:rPr>
      <w:t>IOC/A-33/3.5.Doc(1)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1D9043B"/>
    <w:multiLevelType w:val="hybridMultilevel"/>
    <w:tmpl w:val="F4167F0A"/>
    <w:lvl w:ilvl="0" w:tplc="043E3BCA">
      <w:start w:val="1"/>
      <w:numFmt w:val="decimal"/>
      <w:pStyle w:val="EX4text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2973"/>
    <w:multiLevelType w:val="hybridMultilevel"/>
    <w:tmpl w:val="B5FC1906"/>
    <w:lvl w:ilvl="0" w:tplc="C362FA3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08B5D50"/>
    <w:multiLevelType w:val="hybridMultilevel"/>
    <w:tmpl w:val="72964D36"/>
    <w:lvl w:ilvl="0" w:tplc="6B565D4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54160"/>
    <w:multiLevelType w:val="hybridMultilevel"/>
    <w:tmpl w:val="1F568C2A"/>
    <w:lvl w:ilvl="0" w:tplc="D0469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B39E8"/>
    <w:multiLevelType w:val="hybridMultilevel"/>
    <w:tmpl w:val="62E8B2BC"/>
    <w:lvl w:ilvl="0" w:tplc="C0DC364A">
      <w:start w:val="1"/>
      <w:numFmt w:val="lowerRoman"/>
      <w:lvlText w:val="(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4513F4"/>
    <w:multiLevelType w:val="hybridMultilevel"/>
    <w:tmpl w:val="C7FA78FE"/>
    <w:lvl w:ilvl="0" w:tplc="280A53C2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8" w:hanging="360"/>
      </w:pPr>
    </w:lvl>
    <w:lvl w:ilvl="2" w:tplc="040C001B" w:tentative="1">
      <w:start w:val="1"/>
      <w:numFmt w:val="lowerRoman"/>
      <w:lvlText w:val="%3."/>
      <w:lvlJc w:val="right"/>
      <w:pPr>
        <w:ind w:left="2238" w:hanging="180"/>
      </w:pPr>
    </w:lvl>
    <w:lvl w:ilvl="3" w:tplc="040C000F" w:tentative="1">
      <w:start w:val="1"/>
      <w:numFmt w:val="decimal"/>
      <w:lvlText w:val="%4."/>
      <w:lvlJc w:val="left"/>
      <w:pPr>
        <w:ind w:left="2958" w:hanging="360"/>
      </w:pPr>
    </w:lvl>
    <w:lvl w:ilvl="4" w:tplc="040C0019" w:tentative="1">
      <w:start w:val="1"/>
      <w:numFmt w:val="lowerLetter"/>
      <w:lvlText w:val="%5."/>
      <w:lvlJc w:val="left"/>
      <w:pPr>
        <w:ind w:left="3678" w:hanging="360"/>
      </w:pPr>
    </w:lvl>
    <w:lvl w:ilvl="5" w:tplc="040C001B" w:tentative="1">
      <w:start w:val="1"/>
      <w:numFmt w:val="lowerRoman"/>
      <w:lvlText w:val="%6."/>
      <w:lvlJc w:val="right"/>
      <w:pPr>
        <w:ind w:left="4398" w:hanging="180"/>
      </w:pPr>
    </w:lvl>
    <w:lvl w:ilvl="6" w:tplc="040C000F" w:tentative="1">
      <w:start w:val="1"/>
      <w:numFmt w:val="decimal"/>
      <w:lvlText w:val="%7."/>
      <w:lvlJc w:val="left"/>
      <w:pPr>
        <w:ind w:left="5118" w:hanging="360"/>
      </w:pPr>
    </w:lvl>
    <w:lvl w:ilvl="7" w:tplc="040C0019" w:tentative="1">
      <w:start w:val="1"/>
      <w:numFmt w:val="lowerLetter"/>
      <w:lvlText w:val="%8."/>
      <w:lvlJc w:val="left"/>
      <w:pPr>
        <w:ind w:left="5838" w:hanging="360"/>
      </w:pPr>
    </w:lvl>
    <w:lvl w:ilvl="8" w:tplc="040C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" w15:restartNumberingAfterBreak="0">
    <w:nsid w:val="30CC4714"/>
    <w:multiLevelType w:val="multilevel"/>
    <w:tmpl w:val="3F98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1" w15:restartNumberingAfterBreak="0">
    <w:nsid w:val="33D06747"/>
    <w:multiLevelType w:val="hybridMultilevel"/>
    <w:tmpl w:val="C4847498"/>
    <w:lvl w:ilvl="0" w:tplc="35405A98">
      <w:start w:val="5"/>
      <w:numFmt w:val="bullet"/>
      <w:lvlText w:val="-"/>
      <w:lvlJc w:val="left"/>
      <w:pPr>
        <w:ind w:left="1086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2" w15:restartNumberingAfterBreak="0">
    <w:nsid w:val="376F6CF5"/>
    <w:multiLevelType w:val="multilevel"/>
    <w:tmpl w:val="66C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D7D0D"/>
    <w:multiLevelType w:val="multilevel"/>
    <w:tmpl w:val="5B40FBF6"/>
    <w:lvl w:ilvl="0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6202C"/>
    <w:multiLevelType w:val="hybridMultilevel"/>
    <w:tmpl w:val="5C465BE8"/>
    <w:lvl w:ilvl="0" w:tplc="6B842CB8">
      <w:start w:val="1"/>
      <w:numFmt w:val="upperLetter"/>
      <w:lvlText w:val="%1."/>
      <w:lvlJc w:val="left"/>
      <w:pPr>
        <w:ind w:left="644" w:hanging="360"/>
      </w:pPr>
      <w:rPr>
        <w:rFonts w:ascii="Arial" w:eastAsia="Arial Unicode MS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0DC1"/>
    <w:multiLevelType w:val="hybridMultilevel"/>
    <w:tmpl w:val="F508E1DE"/>
    <w:lvl w:ilvl="0" w:tplc="865E46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04C64"/>
    <w:multiLevelType w:val="hybridMultilevel"/>
    <w:tmpl w:val="56C4212A"/>
    <w:lvl w:ilvl="0" w:tplc="AB30E35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768C1"/>
    <w:multiLevelType w:val="hybridMultilevel"/>
    <w:tmpl w:val="D3E809BA"/>
    <w:lvl w:ilvl="0" w:tplc="82E6549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307C"/>
    <w:multiLevelType w:val="hybridMultilevel"/>
    <w:tmpl w:val="800A9C98"/>
    <w:lvl w:ilvl="0" w:tplc="E53853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D1B24"/>
    <w:multiLevelType w:val="hybridMultilevel"/>
    <w:tmpl w:val="8FA8CC8A"/>
    <w:lvl w:ilvl="0" w:tplc="1BF863B4">
      <w:start w:val="1"/>
      <w:numFmt w:val="decimal"/>
      <w:lvlText w:val="%1."/>
      <w:lvlJc w:val="left"/>
      <w:pPr>
        <w:ind w:left="810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7110" w:hanging="360"/>
      </w:pPr>
    </w:lvl>
    <w:lvl w:ilvl="2" w:tplc="0809001B" w:tentative="1">
      <w:start w:val="1"/>
      <w:numFmt w:val="lowerRoman"/>
      <w:lvlText w:val="%3."/>
      <w:lvlJc w:val="right"/>
      <w:pPr>
        <w:ind w:left="7830" w:hanging="180"/>
      </w:pPr>
    </w:lvl>
    <w:lvl w:ilvl="3" w:tplc="0809000F" w:tentative="1">
      <w:start w:val="1"/>
      <w:numFmt w:val="decimal"/>
      <w:lvlText w:val="%4."/>
      <w:lvlJc w:val="left"/>
      <w:pPr>
        <w:ind w:left="8550" w:hanging="360"/>
      </w:pPr>
    </w:lvl>
    <w:lvl w:ilvl="4" w:tplc="08090019" w:tentative="1">
      <w:start w:val="1"/>
      <w:numFmt w:val="lowerLetter"/>
      <w:lvlText w:val="%5."/>
      <w:lvlJc w:val="left"/>
      <w:pPr>
        <w:ind w:left="9270" w:hanging="360"/>
      </w:pPr>
    </w:lvl>
    <w:lvl w:ilvl="5" w:tplc="0809001B" w:tentative="1">
      <w:start w:val="1"/>
      <w:numFmt w:val="lowerRoman"/>
      <w:lvlText w:val="%6."/>
      <w:lvlJc w:val="right"/>
      <w:pPr>
        <w:ind w:left="9990" w:hanging="180"/>
      </w:pPr>
    </w:lvl>
    <w:lvl w:ilvl="6" w:tplc="0809000F" w:tentative="1">
      <w:start w:val="1"/>
      <w:numFmt w:val="decimal"/>
      <w:lvlText w:val="%7."/>
      <w:lvlJc w:val="left"/>
      <w:pPr>
        <w:ind w:left="10710" w:hanging="360"/>
      </w:pPr>
    </w:lvl>
    <w:lvl w:ilvl="7" w:tplc="08090019" w:tentative="1">
      <w:start w:val="1"/>
      <w:numFmt w:val="lowerLetter"/>
      <w:lvlText w:val="%8."/>
      <w:lvlJc w:val="left"/>
      <w:pPr>
        <w:ind w:left="11430" w:hanging="360"/>
      </w:pPr>
    </w:lvl>
    <w:lvl w:ilvl="8" w:tplc="08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20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F256B"/>
    <w:multiLevelType w:val="multilevel"/>
    <w:tmpl w:val="A8647B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44B35C5"/>
    <w:multiLevelType w:val="hybridMultilevel"/>
    <w:tmpl w:val="256E4662"/>
    <w:lvl w:ilvl="0" w:tplc="1AA6A1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87526"/>
    <w:multiLevelType w:val="multilevel"/>
    <w:tmpl w:val="023A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76214"/>
    <w:multiLevelType w:val="multilevel"/>
    <w:tmpl w:val="5ECAF156"/>
    <w:lvl w:ilvl="0">
      <w:start w:val="1"/>
      <w:numFmt w:val="decimal"/>
      <w:lvlText w:val="%1."/>
      <w:lvlJc w:val="left"/>
      <w:pPr>
        <w:ind w:left="43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num w:numId="1" w16cid:durableId="572937752">
    <w:abstractNumId w:val="10"/>
  </w:num>
  <w:num w:numId="2" w16cid:durableId="1678075405">
    <w:abstractNumId w:val="16"/>
  </w:num>
  <w:num w:numId="3" w16cid:durableId="2006280147">
    <w:abstractNumId w:val="0"/>
  </w:num>
  <w:num w:numId="4" w16cid:durableId="1321991">
    <w:abstractNumId w:val="2"/>
  </w:num>
  <w:num w:numId="5" w16cid:durableId="1734548371">
    <w:abstractNumId w:val="4"/>
  </w:num>
  <w:num w:numId="6" w16cid:durableId="946540261">
    <w:abstractNumId w:val="16"/>
  </w:num>
  <w:num w:numId="7" w16cid:durableId="761416369">
    <w:abstractNumId w:val="16"/>
  </w:num>
  <w:num w:numId="8" w16cid:durableId="587884316">
    <w:abstractNumId w:val="23"/>
  </w:num>
  <w:num w:numId="9" w16cid:durableId="1526602520">
    <w:abstractNumId w:val="12"/>
  </w:num>
  <w:num w:numId="10" w16cid:durableId="1237016383">
    <w:abstractNumId w:val="9"/>
  </w:num>
  <w:num w:numId="11" w16cid:durableId="1680545545">
    <w:abstractNumId w:val="20"/>
  </w:num>
  <w:num w:numId="12" w16cid:durableId="566458689">
    <w:abstractNumId w:val="21"/>
  </w:num>
  <w:num w:numId="13" w16cid:durableId="247929692">
    <w:abstractNumId w:val="18"/>
  </w:num>
  <w:num w:numId="14" w16cid:durableId="696547056">
    <w:abstractNumId w:val="14"/>
  </w:num>
  <w:num w:numId="15" w16cid:durableId="1131822702">
    <w:abstractNumId w:val="24"/>
  </w:num>
  <w:num w:numId="16" w16cid:durableId="693461447">
    <w:abstractNumId w:val="11"/>
  </w:num>
  <w:num w:numId="17" w16cid:durableId="1102726446">
    <w:abstractNumId w:val="7"/>
  </w:num>
  <w:num w:numId="18" w16cid:durableId="35786334">
    <w:abstractNumId w:val="17"/>
  </w:num>
  <w:num w:numId="19" w16cid:durableId="2078891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2318763">
    <w:abstractNumId w:val="3"/>
  </w:num>
  <w:num w:numId="21" w16cid:durableId="1722483817">
    <w:abstractNumId w:val="16"/>
    <w:lvlOverride w:ilvl="0">
      <w:startOverride w:val="1"/>
    </w:lvlOverride>
  </w:num>
  <w:num w:numId="22" w16cid:durableId="1832406208">
    <w:abstractNumId w:val="16"/>
  </w:num>
  <w:num w:numId="23" w16cid:durableId="1749376128">
    <w:abstractNumId w:val="16"/>
  </w:num>
  <w:num w:numId="24" w16cid:durableId="1684891873">
    <w:abstractNumId w:val="8"/>
  </w:num>
  <w:num w:numId="25" w16cid:durableId="1624456666">
    <w:abstractNumId w:val="22"/>
  </w:num>
  <w:num w:numId="26" w16cid:durableId="669796030">
    <w:abstractNumId w:val="16"/>
  </w:num>
  <w:num w:numId="27" w16cid:durableId="1807312026">
    <w:abstractNumId w:val="5"/>
  </w:num>
  <w:num w:numId="28" w16cid:durableId="801994466">
    <w:abstractNumId w:val="6"/>
  </w:num>
  <w:num w:numId="29" w16cid:durableId="400448360">
    <w:abstractNumId w:val="1"/>
  </w:num>
  <w:num w:numId="30" w16cid:durableId="1931044810">
    <w:abstractNumId w:val="1"/>
  </w:num>
  <w:num w:numId="31" w16cid:durableId="359353575">
    <w:abstractNumId w:val="1"/>
  </w:num>
  <w:num w:numId="32" w16cid:durableId="189152868">
    <w:abstractNumId w:val="1"/>
  </w:num>
  <w:num w:numId="33" w16cid:durableId="1190411679">
    <w:abstractNumId w:val="1"/>
  </w:num>
  <w:num w:numId="34" w16cid:durableId="1090857255">
    <w:abstractNumId w:val="1"/>
  </w:num>
  <w:num w:numId="35" w16cid:durableId="128254715">
    <w:abstractNumId w:val="1"/>
  </w:num>
  <w:num w:numId="36" w16cid:durableId="1063483451">
    <w:abstractNumId w:val="1"/>
  </w:num>
  <w:num w:numId="37" w16cid:durableId="419177891">
    <w:abstractNumId w:val="1"/>
  </w:num>
  <w:num w:numId="38" w16cid:durableId="296492527">
    <w:abstractNumId w:val="1"/>
  </w:num>
  <w:num w:numId="39" w16cid:durableId="1734766860">
    <w:abstractNumId w:val="1"/>
  </w:num>
  <w:num w:numId="40" w16cid:durableId="567305042">
    <w:abstractNumId w:val="1"/>
  </w:num>
  <w:num w:numId="41" w16cid:durableId="1726948244">
    <w:abstractNumId w:val="19"/>
  </w:num>
  <w:num w:numId="42" w16cid:durableId="5571124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AC"/>
    <w:rsid w:val="000021BC"/>
    <w:rsid w:val="00010BBB"/>
    <w:rsid w:val="000156E0"/>
    <w:rsid w:val="00020AA1"/>
    <w:rsid w:val="000278A0"/>
    <w:rsid w:val="00040227"/>
    <w:rsid w:val="000417CB"/>
    <w:rsid w:val="000560F7"/>
    <w:rsid w:val="00062051"/>
    <w:rsid w:val="00076BD8"/>
    <w:rsid w:val="00084687"/>
    <w:rsid w:val="00085274"/>
    <w:rsid w:val="00085D6A"/>
    <w:rsid w:val="00085D85"/>
    <w:rsid w:val="00090A62"/>
    <w:rsid w:val="000B276A"/>
    <w:rsid w:val="000B693C"/>
    <w:rsid w:val="000B7E2A"/>
    <w:rsid w:val="000C2EE5"/>
    <w:rsid w:val="000C38C8"/>
    <w:rsid w:val="000C61A0"/>
    <w:rsid w:val="000C6E08"/>
    <w:rsid w:val="000D16AC"/>
    <w:rsid w:val="000D5B8F"/>
    <w:rsid w:val="000E0239"/>
    <w:rsid w:val="000E3E1A"/>
    <w:rsid w:val="000E6EE5"/>
    <w:rsid w:val="000E73F9"/>
    <w:rsid w:val="000F0254"/>
    <w:rsid w:val="0010242E"/>
    <w:rsid w:val="001156AE"/>
    <w:rsid w:val="00123719"/>
    <w:rsid w:val="001241D7"/>
    <w:rsid w:val="0012479D"/>
    <w:rsid w:val="001370E4"/>
    <w:rsid w:val="00137BED"/>
    <w:rsid w:val="00137E97"/>
    <w:rsid w:val="001448C4"/>
    <w:rsid w:val="00152A1B"/>
    <w:rsid w:val="00155BA3"/>
    <w:rsid w:val="00163192"/>
    <w:rsid w:val="00166397"/>
    <w:rsid w:val="00167158"/>
    <w:rsid w:val="00171EF4"/>
    <w:rsid w:val="001732BA"/>
    <w:rsid w:val="001877F5"/>
    <w:rsid w:val="00196052"/>
    <w:rsid w:val="00196F31"/>
    <w:rsid w:val="001A037F"/>
    <w:rsid w:val="001A3EBC"/>
    <w:rsid w:val="001A58AE"/>
    <w:rsid w:val="001A63A0"/>
    <w:rsid w:val="001B3B24"/>
    <w:rsid w:val="001C21FC"/>
    <w:rsid w:val="001C2C69"/>
    <w:rsid w:val="001C6455"/>
    <w:rsid w:val="001C7875"/>
    <w:rsid w:val="001D27FC"/>
    <w:rsid w:val="001D75DB"/>
    <w:rsid w:val="001D7776"/>
    <w:rsid w:val="001E0980"/>
    <w:rsid w:val="001E7083"/>
    <w:rsid w:val="001E7522"/>
    <w:rsid w:val="001F5E0D"/>
    <w:rsid w:val="00203217"/>
    <w:rsid w:val="00217DF6"/>
    <w:rsid w:val="00223053"/>
    <w:rsid w:val="00242324"/>
    <w:rsid w:val="00244B7D"/>
    <w:rsid w:val="002579C2"/>
    <w:rsid w:val="002652F9"/>
    <w:rsid w:val="00274BB0"/>
    <w:rsid w:val="0027622C"/>
    <w:rsid w:val="002810CD"/>
    <w:rsid w:val="00285CF5"/>
    <w:rsid w:val="002A0AE0"/>
    <w:rsid w:val="002A19EF"/>
    <w:rsid w:val="002B282C"/>
    <w:rsid w:val="002B7A48"/>
    <w:rsid w:val="002C7DE3"/>
    <w:rsid w:val="002D14C8"/>
    <w:rsid w:val="002D441C"/>
    <w:rsid w:val="002D52FA"/>
    <w:rsid w:val="002E0859"/>
    <w:rsid w:val="002E09D1"/>
    <w:rsid w:val="002E2C57"/>
    <w:rsid w:val="002E2D68"/>
    <w:rsid w:val="002E6768"/>
    <w:rsid w:val="002E6D7F"/>
    <w:rsid w:val="00305778"/>
    <w:rsid w:val="00307660"/>
    <w:rsid w:val="0031161D"/>
    <w:rsid w:val="003178E9"/>
    <w:rsid w:val="00317E5D"/>
    <w:rsid w:val="003404ED"/>
    <w:rsid w:val="00340A23"/>
    <w:rsid w:val="0034156B"/>
    <w:rsid w:val="00347E19"/>
    <w:rsid w:val="003623CC"/>
    <w:rsid w:val="003631A7"/>
    <w:rsid w:val="003640DC"/>
    <w:rsid w:val="00364C91"/>
    <w:rsid w:val="0037184C"/>
    <w:rsid w:val="0037249C"/>
    <w:rsid w:val="003756CF"/>
    <w:rsid w:val="0038059E"/>
    <w:rsid w:val="003805F5"/>
    <w:rsid w:val="00387AE8"/>
    <w:rsid w:val="00393543"/>
    <w:rsid w:val="003A0024"/>
    <w:rsid w:val="003A1612"/>
    <w:rsid w:val="003A561A"/>
    <w:rsid w:val="003A7860"/>
    <w:rsid w:val="003B5530"/>
    <w:rsid w:val="003D3711"/>
    <w:rsid w:val="003E0E67"/>
    <w:rsid w:val="003F43F9"/>
    <w:rsid w:val="003F7186"/>
    <w:rsid w:val="004002D4"/>
    <w:rsid w:val="00413F17"/>
    <w:rsid w:val="004165C9"/>
    <w:rsid w:val="00424DE6"/>
    <w:rsid w:val="00434F47"/>
    <w:rsid w:val="0043609D"/>
    <w:rsid w:val="00441140"/>
    <w:rsid w:val="00451B96"/>
    <w:rsid w:val="004529B8"/>
    <w:rsid w:val="00454BFB"/>
    <w:rsid w:val="00454C74"/>
    <w:rsid w:val="00467E3F"/>
    <w:rsid w:val="004827E4"/>
    <w:rsid w:val="0048449B"/>
    <w:rsid w:val="00490261"/>
    <w:rsid w:val="0049221C"/>
    <w:rsid w:val="00497E20"/>
    <w:rsid w:val="004A135F"/>
    <w:rsid w:val="004A5784"/>
    <w:rsid w:val="004B4ECA"/>
    <w:rsid w:val="004B7BD6"/>
    <w:rsid w:val="004C1625"/>
    <w:rsid w:val="004D6679"/>
    <w:rsid w:val="004E0B15"/>
    <w:rsid w:val="004F397F"/>
    <w:rsid w:val="004F7D6C"/>
    <w:rsid w:val="0050245B"/>
    <w:rsid w:val="00515584"/>
    <w:rsid w:val="00525395"/>
    <w:rsid w:val="00526572"/>
    <w:rsid w:val="0053255C"/>
    <w:rsid w:val="00536148"/>
    <w:rsid w:val="005407B6"/>
    <w:rsid w:val="00547068"/>
    <w:rsid w:val="0058198C"/>
    <w:rsid w:val="00587137"/>
    <w:rsid w:val="00590C03"/>
    <w:rsid w:val="005B2FDF"/>
    <w:rsid w:val="005B57CA"/>
    <w:rsid w:val="005B5B97"/>
    <w:rsid w:val="005C02B7"/>
    <w:rsid w:val="005C7A36"/>
    <w:rsid w:val="005C7D76"/>
    <w:rsid w:val="005D0ADD"/>
    <w:rsid w:val="005E1C99"/>
    <w:rsid w:val="005E544C"/>
    <w:rsid w:val="005E6889"/>
    <w:rsid w:val="005F4D23"/>
    <w:rsid w:val="005F6E3A"/>
    <w:rsid w:val="00602A67"/>
    <w:rsid w:val="006110DA"/>
    <w:rsid w:val="0062678D"/>
    <w:rsid w:val="006308BD"/>
    <w:rsid w:val="00633EA5"/>
    <w:rsid w:val="00637672"/>
    <w:rsid w:val="00647BEE"/>
    <w:rsid w:val="00654F98"/>
    <w:rsid w:val="00676F33"/>
    <w:rsid w:val="0068128E"/>
    <w:rsid w:val="006842FA"/>
    <w:rsid w:val="0068682C"/>
    <w:rsid w:val="00687541"/>
    <w:rsid w:val="00690A0C"/>
    <w:rsid w:val="00690FD2"/>
    <w:rsid w:val="00693199"/>
    <w:rsid w:val="00696079"/>
    <w:rsid w:val="006A761F"/>
    <w:rsid w:val="006B2FDD"/>
    <w:rsid w:val="006B4B95"/>
    <w:rsid w:val="006B51BA"/>
    <w:rsid w:val="006B59E2"/>
    <w:rsid w:val="006C18D9"/>
    <w:rsid w:val="006C1BDA"/>
    <w:rsid w:val="006C6449"/>
    <w:rsid w:val="006D1125"/>
    <w:rsid w:val="006D3998"/>
    <w:rsid w:val="006D5041"/>
    <w:rsid w:val="006E1454"/>
    <w:rsid w:val="006E3870"/>
    <w:rsid w:val="006E692F"/>
    <w:rsid w:val="006E7073"/>
    <w:rsid w:val="006F0C64"/>
    <w:rsid w:val="006F1F38"/>
    <w:rsid w:val="00703F52"/>
    <w:rsid w:val="00723A8F"/>
    <w:rsid w:val="00735830"/>
    <w:rsid w:val="007367B0"/>
    <w:rsid w:val="00737A18"/>
    <w:rsid w:val="00741CAA"/>
    <w:rsid w:val="007457B7"/>
    <w:rsid w:val="00746B89"/>
    <w:rsid w:val="007471D6"/>
    <w:rsid w:val="00755478"/>
    <w:rsid w:val="00762C36"/>
    <w:rsid w:val="00785386"/>
    <w:rsid w:val="007870B1"/>
    <w:rsid w:val="0079212B"/>
    <w:rsid w:val="007B1B9A"/>
    <w:rsid w:val="007C1458"/>
    <w:rsid w:val="007C21A4"/>
    <w:rsid w:val="007D3B71"/>
    <w:rsid w:val="007E4F92"/>
    <w:rsid w:val="00801754"/>
    <w:rsid w:val="0080407D"/>
    <w:rsid w:val="008048D2"/>
    <w:rsid w:val="00806C60"/>
    <w:rsid w:val="00813CAF"/>
    <w:rsid w:val="008205F0"/>
    <w:rsid w:val="008302D7"/>
    <w:rsid w:val="00831211"/>
    <w:rsid w:val="00841D8A"/>
    <w:rsid w:val="0084251A"/>
    <w:rsid w:val="00850CB1"/>
    <w:rsid w:val="00853565"/>
    <w:rsid w:val="00854DA0"/>
    <w:rsid w:val="00863113"/>
    <w:rsid w:val="00867FCD"/>
    <w:rsid w:val="00870C14"/>
    <w:rsid w:val="00870CE7"/>
    <w:rsid w:val="008754BE"/>
    <w:rsid w:val="00875ECD"/>
    <w:rsid w:val="008823B5"/>
    <w:rsid w:val="008849F0"/>
    <w:rsid w:val="0089077E"/>
    <w:rsid w:val="00891331"/>
    <w:rsid w:val="00891D09"/>
    <w:rsid w:val="00893AD3"/>
    <w:rsid w:val="0089563B"/>
    <w:rsid w:val="008A4F60"/>
    <w:rsid w:val="008A6E5C"/>
    <w:rsid w:val="008B2DC6"/>
    <w:rsid w:val="008B384B"/>
    <w:rsid w:val="008B4705"/>
    <w:rsid w:val="008B4C73"/>
    <w:rsid w:val="008D1EEC"/>
    <w:rsid w:val="008D2398"/>
    <w:rsid w:val="008D548F"/>
    <w:rsid w:val="008E3DD1"/>
    <w:rsid w:val="008F0FBC"/>
    <w:rsid w:val="008F5B6C"/>
    <w:rsid w:val="008F6942"/>
    <w:rsid w:val="009026D3"/>
    <w:rsid w:val="00930670"/>
    <w:rsid w:val="00936C3F"/>
    <w:rsid w:val="00937EF7"/>
    <w:rsid w:val="0094763F"/>
    <w:rsid w:val="00950A83"/>
    <w:rsid w:val="00952863"/>
    <w:rsid w:val="00961211"/>
    <w:rsid w:val="0096159B"/>
    <w:rsid w:val="00966A0F"/>
    <w:rsid w:val="00980050"/>
    <w:rsid w:val="00980B08"/>
    <w:rsid w:val="00987BBD"/>
    <w:rsid w:val="00993CA4"/>
    <w:rsid w:val="009A62A9"/>
    <w:rsid w:val="009B2E7D"/>
    <w:rsid w:val="009B63AB"/>
    <w:rsid w:val="009C0A89"/>
    <w:rsid w:val="009C13EF"/>
    <w:rsid w:val="009C15B1"/>
    <w:rsid w:val="009D30AD"/>
    <w:rsid w:val="009E6A03"/>
    <w:rsid w:val="009E78BB"/>
    <w:rsid w:val="009F2FC0"/>
    <w:rsid w:val="009F7769"/>
    <w:rsid w:val="00A01A30"/>
    <w:rsid w:val="00A02F9F"/>
    <w:rsid w:val="00A11697"/>
    <w:rsid w:val="00A14093"/>
    <w:rsid w:val="00A203FC"/>
    <w:rsid w:val="00A23B4A"/>
    <w:rsid w:val="00A25BC8"/>
    <w:rsid w:val="00A27BD9"/>
    <w:rsid w:val="00A43E9C"/>
    <w:rsid w:val="00A51715"/>
    <w:rsid w:val="00A6612C"/>
    <w:rsid w:val="00A66FC7"/>
    <w:rsid w:val="00A67718"/>
    <w:rsid w:val="00A759A6"/>
    <w:rsid w:val="00A92572"/>
    <w:rsid w:val="00A92893"/>
    <w:rsid w:val="00A931AA"/>
    <w:rsid w:val="00AA2B13"/>
    <w:rsid w:val="00AA2CD5"/>
    <w:rsid w:val="00AC6A22"/>
    <w:rsid w:val="00AC6BA4"/>
    <w:rsid w:val="00AC773C"/>
    <w:rsid w:val="00AD3D55"/>
    <w:rsid w:val="00AD494A"/>
    <w:rsid w:val="00AD7234"/>
    <w:rsid w:val="00AE329C"/>
    <w:rsid w:val="00B042BC"/>
    <w:rsid w:val="00B06427"/>
    <w:rsid w:val="00B13226"/>
    <w:rsid w:val="00B3287E"/>
    <w:rsid w:val="00B37EDA"/>
    <w:rsid w:val="00B55C66"/>
    <w:rsid w:val="00B64631"/>
    <w:rsid w:val="00B722DE"/>
    <w:rsid w:val="00B73F4F"/>
    <w:rsid w:val="00B818D2"/>
    <w:rsid w:val="00B83068"/>
    <w:rsid w:val="00B838FB"/>
    <w:rsid w:val="00B94164"/>
    <w:rsid w:val="00BA0B22"/>
    <w:rsid w:val="00BA76D9"/>
    <w:rsid w:val="00BA7B00"/>
    <w:rsid w:val="00BB5D00"/>
    <w:rsid w:val="00BC2FD9"/>
    <w:rsid w:val="00BD6603"/>
    <w:rsid w:val="00BD6E89"/>
    <w:rsid w:val="00BE35BA"/>
    <w:rsid w:val="00BE4427"/>
    <w:rsid w:val="00BE68DC"/>
    <w:rsid w:val="00BF069C"/>
    <w:rsid w:val="00BF1838"/>
    <w:rsid w:val="00BF378D"/>
    <w:rsid w:val="00BF3835"/>
    <w:rsid w:val="00BF45BD"/>
    <w:rsid w:val="00BF6786"/>
    <w:rsid w:val="00BF67E7"/>
    <w:rsid w:val="00C008B0"/>
    <w:rsid w:val="00C05769"/>
    <w:rsid w:val="00C1002D"/>
    <w:rsid w:val="00C11C55"/>
    <w:rsid w:val="00C12E5A"/>
    <w:rsid w:val="00C14DD3"/>
    <w:rsid w:val="00C16294"/>
    <w:rsid w:val="00C253EF"/>
    <w:rsid w:val="00C2635E"/>
    <w:rsid w:val="00C31853"/>
    <w:rsid w:val="00C318D0"/>
    <w:rsid w:val="00C42FFB"/>
    <w:rsid w:val="00C6486C"/>
    <w:rsid w:val="00C648D3"/>
    <w:rsid w:val="00C6660D"/>
    <w:rsid w:val="00C674AF"/>
    <w:rsid w:val="00C7393A"/>
    <w:rsid w:val="00C75B02"/>
    <w:rsid w:val="00C76160"/>
    <w:rsid w:val="00C77DDE"/>
    <w:rsid w:val="00C86109"/>
    <w:rsid w:val="00C87727"/>
    <w:rsid w:val="00C962F0"/>
    <w:rsid w:val="00CB2684"/>
    <w:rsid w:val="00CC419E"/>
    <w:rsid w:val="00CC7056"/>
    <w:rsid w:val="00CD4AED"/>
    <w:rsid w:val="00CD6EF7"/>
    <w:rsid w:val="00CE1B68"/>
    <w:rsid w:val="00CE799A"/>
    <w:rsid w:val="00CF0138"/>
    <w:rsid w:val="00D013ED"/>
    <w:rsid w:val="00D0416A"/>
    <w:rsid w:val="00D06F71"/>
    <w:rsid w:val="00D166EE"/>
    <w:rsid w:val="00D2392E"/>
    <w:rsid w:val="00D265AD"/>
    <w:rsid w:val="00D27F78"/>
    <w:rsid w:val="00D36BDC"/>
    <w:rsid w:val="00D379A6"/>
    <w:rsid w:val="00D43CC7"/>
    <w:rsid w:val="00D448A1"/>
    <w:rsid w:val="00D44B24"/>
    <w:rsid w:val="00D5049E"/>
    <w:rsid w:val="00D55FEC"/>
    <w:rsid w:val="00D71125"/>
    <w:rsid w:val="00D859D0"/>
    <w:rsid w:val="00D91C09"/>
    <w:rsid w:val="00D92DD1"/>
    <w:rsid w:val="00D94032"/>
    <w:rsid w:val="00D95CAD"/>
    <w:rsid w:val="00D96F5C"/>
    <w:rsid w:val="00DB1DFA"/>
    <w:rsid w:val="00DB6C31"/>
    <w:rsid w:val="00DE35FF"/>
    <w:rsid w:val="00DE4579"/>
    <w:rsid w:val="00DE6237"/>
    <w:rsid w:val="00DF1664"/>
    <w:rsid w:val="00DF2FB9"/>
    <w:rsid w:val="00DF3AD0"/>
    <w:rsid w:val="00DF41FC"/>
    <w:rsid w:val="00E27F5E"/>
    <w:rsid w:val="00E334EB"/>
    <w:rsid w:val="00E354C3"/>
    <w:rsid w:val="00E454CD"/>
    <w:rsid w:val="00E55234"/>
    <w:rsid w:val="00E608A6"/>
    <w:rsid w:val="00E60CBC"/>
    <w:rsid w:val="00E63DEF"/>
    <w:rsid w:val="00E64936"/>
    <w:rsid w:val="00E71BD3"/>
    <w:rsid w:val="00E75CF6"/>
    <w:rsid w:val="00E86189"/>
    <w:rsid w:val="00E928EF"/>
    <w:rsid w:val="00EA168C"/>
    <w:rsid w:val="00EA6689"/>
    <w:rsid w:val="00EA6DDF"/>
    <w:rsid w:val="00EA7AA0"/>
    <w:rsid w:val="00EB52DB"/>
    <w:rsid w:val="00EC53C8"/>
    <w:rsid w:val="00EC753F"/>
    <w:rsid w:val="00EE0542"/>
    <w:rsid w:val="00EE11A0"/>
    <w:rsid w:val="00EE237B"/>
    <w:rsid w:val="00EF3957"/>
    <w:rsid w:val="00F10024"/>
    <w:rsid w:val="00F10F21"/>
    <w:rsid w:val="00F10F70"/>
    <w:rsid w:val="00F13BAA"/>
    <w:rsid w:val="00F26226"/>
    <w:rsid w:val="00F269BB"/>
    <w:rsid w:val="00F271BF"/>
    <w:rsid w:val="00F431C9"/>
    <w:rsid w:val="00F463F2"/>
    <w:rsid w:val="00F474F9"/>
    <w:rsid w:val="00F47A40"/>
    <w:rsid w:val="00F50B8E"/>
    <w:rsid w:val="00F5447C"/>
    <w:rsid w:val="00F56CDF"/>
    <w:rsid w:val="00F60A12"/>
    <w:rsid w:val="00F66E0A"/>
    <w:rsid w:val="00F7009F"/>
    <w:rsid w:val="00F70FD9"/>
    <w:rsid w:val="00F74494"/>
    <w:rsid w:val="00F8068F"/>
    <w:rsid w:val="00F8186D"/>
    <w:rsid w:val="00F8204B"/>
    <w:rsid w:val="00F82282"/>
    <w:rsid w:val="00FB3901"/>
    <w:rsid w:val="00FB4B68"/>
    <w:rsid w:val="00FB6A51"/>
    <w:rsid w:val="00FC0813"/>
    <w:rsid w:val="00FC3532"/>
    <w:rsid w:val="00FC54E1"/>
    <w:rsid w:val="00FE2557"/>
    <w:rsid w:val="00FF506E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4E3B1"/>
  <w15:docId w15:val="{A465CC3F-A5D9-4589-9960-2E4B7FC8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link w:val="CarattereCharCarattereCarattereCharCarattereCharCarattereCharCharCharCharChar"/>
    <w:qFormat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37249C"/>
    <w:pPr>
      <w:tabs>
        <w:tab w:val="clear" w:pos="567"/>
        <w:tab w:val="left" w:pos="709"/>
      </w:tabs>
    </w:pPr>
    <w:rPr>
      <w:rFonts w:eastAsia="Arial Unicode MS" w:cs="Arial"/>
      <w:szCs w:val="22"/>
      <w:u w:val="single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ru-RU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uiPriority w:val="99"/>
    <w:rsid w:val="00690FD2"/>
    <w:rPr>
      <w:rFonts w:ascii="Arial" w:hAnsi="Arial"/>
      <w:snapToGrid w:val="0"/>
      <w:sz w:val="22"/>
      <w:szCs w:val="24"/>
      <w:lang w:val="ru-RU" w:eastAsia="en-US" w:bidi="ar-SA"/>
    </w:rPr>
  </w:style>
  <w:style w:type="character" w:customStyle="1" w:styleId="COIChar">
    <w:name w:val="COI Char"/>
    <w:link w:val="COI"/>
    <w:rsid w:val="0037249C"/>
    <w:rPr>
      <w:rFonts w:ascii="Arial" w:eastAsia="Arial Unicode MS" w:hAnsi="Arial" w:cs="Arial"/>
      <w:snapToGrid w:val="0"/>
      <w:sz w:val="22"/>
      <w:szCs w:val="22"/>
      <w:u w:val="single"/>
      <w:lang w:val="ru-RU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ru-RU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ru-RU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6C60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eastAsia="fr-FR"/>
    </w:rPr>
  </w:style>
  <w:style w:type="character" w:styleId="Emphasis">
    <w:name w:val="Emphasis"/>
    <w:basedOn w:val="DefaultParagraphFont"/>
    <w:uiPriority w:val="20"/>
    <w:qFormat/>
    <w:rsid w:val="00D95CAD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2FC0"/>
    <w:rPr>
      <w:rFonts w:ascii="Arial" w:hAnsi="Arial"/>
      <w:snapToGrid w:val="0"/>
      <w:lang w:val="ru-RU" w:eastAsia="en-US"/>
    </w:rPr>
  </w:style>
  <w:style w:type="paragraph" w:styleId="CommentText">
    <w:name w:val="annotation text"/>
    <w:basedOn w:val="Normal"/>
    <w:link w:val="CommentTextChar"/>
    <w:rsid w:val="009F2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2FC0"/>
    <w:rPr>
      <w:rFonts w:ascii="Arial" w:hAnsi="Arial"/>
      <w:snapToGrid w:val="0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F2FC0"/>
    <w:pPr>
      <w:tabs>
        <w:tab w:val="clear" w:pos="567"/>
        <w:tab w:val="left" w:pos="709"/>
      </w:tabs>
    </w:pPr>
    <w:rPr>
      <w:rFonts w:ascii="Times New Roman" w:eastAsia="SimSun" w:hAnsi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F2FC0"/>
    <w:rPr>
      <w:rFonts w:ascii="Arial" w:eastAsia="SimSun" w:hAnsi="Arial"/>
      <w:b/>
      <w:bCs/>
      <w:snapToGrid w:val="0"/>
      <w:lang w:val="ru-RU" w:eastAsia="zh-CN"/>
    </w:rPr>
  </w:style>
  <w:style w:type="paragraph" w:styleId="BalloonText">
    <w:name w:val="Balloon Text"/>
    <w:basedOn w:val="Normal"/>
    <w:link w:val="BalloonTextChar"/>
    <w:rsid w:val="00E75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CF6"/>
    <w:rPr>
      <w:rFonts w:ascii="Tahoma" w:hAnsi="Tahoma" w:cs="Tahoma"/>
      <w:snapToGrid w:val="0"/>
      <w:sz w:val="16"/>
      <w:szCs w:val="16"/>
      <w:lang w:val="ru-RU" w:eastAsia="en-US"/>
    </w:rPr>
  </w:style>
  <w:style w:type="paragraph" w:styleId="ListParagraph">
    <w:name w:val="List Paragraph"/>
    <w:aliases w:val="ADB List Paragraph,Dot pt,List Paragraph Char Char Char,Indicator Text,List Paragraph1,Numbered Para 1,List Paragraph12,Bullet Points,MAIN CONTENT,Bullet 1,Colorful List - Accent 11,Light Grid - Accent 31,References,Indent Paragraph,stil3"/>
    <w:basedOn w:val="Normal"/>
    <w:link w:val="ListParagraphChar"/>
    <w:uiPriority w:val="34"/>
    <w:qFormat/>
    <w:rsid w:val="00BE35BA"/>
    <w:pPr>
      <w:tabs>
        <w:tab w:val="clear" w:pos="567"/>
        <w:tab w:val="left" w:pos="709"/>
      </w:tabs>
      <w:snapToGrid/>
      <w:ind w:left="720"/>
      <w:contextualSpacing/>
      <w:jc w:val="both"/>
    </w:pPr>
    <w:rPr>
      <w:rFonts w:ascii="Times New Roman" w:hAnsi="Times New Roman"/>
      <w:snapToGrid/>
      <w:sz w:val="24"/>
      <w:szCs w:val="20"/>
    </w:rPr>
  </w:style>
  <w:style w:type="character" w:styleId="FollowedHyperlink">
    <w:name w:val="FollowedHyperlink"/>
    <w:basedOn w:val="DefaultParagraphFont"/>
    <w:semiHidden/>
    <w:unhideWhenUsed/>
    <w:rsid w:val="0089563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1454"/>
    <w:rPr>
      <w:sz w:val="16"/>
      <w:szCs w:val="16"/>
    </w:rPr>
  </w:style>
  <w:style w:type="paragraph" w:styleId="Revision">
    <w:name w:val="Revision"/>
    <w:hidden/>
    <w:uiPriority w:val="99"/>
    <w:semiHidden/>
    <w:rsid w:val="006E1454"/>
    <w:rPr>
      <w:rFonts w:ascii="Arial" w:hAnsi="Arial"/>
      <w:snapToGrid w:val="0"/>
      <w:sz w:val="22"/>
      <w:szCs w:val="24"/>
      <w:lang w:eastAsia="en-US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C008B0"/>
    <w:pPr>
      <w:tabs>
        <w:tab w:val="clear" w:pos="567"/>
      </w:tabs>
      <w:snapToGrid/>
      <w:spacing w:before="120" w:after="160" w:line="240" w:lineRule="exact"/>
    </w:pPr>
    <w:rPr>
      <w:rFonts w:ascii="Times New Roman" w:hAnsi="Times New Roman"/>
      <w:snapToGrid/>
      <w:sz w:val="20"/>
      <w:szCs w:val="20"/>
      <w:vertAlign w:val="superscript"/>
      <w:lang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324"/>
    <w:rPr>
      <w:color w:val="605E5C"/>
      <w:shd w:val="clear" w:color="auto" w:fill="E1DFDD"/>
    </w:rPr>
  </w:style>
  <w:style w:type="paragraph" w:customStyle="1" w:styleId="EX4subtitles">
    <w:name w:val="EX4 sub titles"/>
    <w:basedOn w:val="Normal"/>
    <w:link w:val="EX4subtitlesChar"/>
    <w:qFormat/>
    <w:rsid w:val="002E2D68"/>
    <w:pPr>
      <w:tabs>
        <w:tab w:val="clear" w:pos="567"/>
      </w:tabs>
      <w:autoSpaceDE w:val="0"/>
      <w:autoSpaceDN w:val="0"/>
      <w:adjustRightInd w:val="0"/>
      <w:snapToGrid/>
      <w:spacing w:before="240" w:after="160" w:line="276" w:lineRule="auto"/>
    </w:pPr>
    <w:rPr>
      <w:rFonts w:asciiTheme="minorBidi" w:eastAsiaTheme="minorEastAsia" w:hAnsiTheme="minorBidi" w:cstheme="minorBidi"/>
      <w:b/>
      <w:bCs/>
      <w:snapToGrid/>
      <w:color w:val="000000"/>
      <w:szCs w:val="22"/>
      <w:lang w:eastAsia="zh-CN"/>
    </w:rPr>
  </w:style>
  <w:style w:type="character" w:customStyle="1" w:styleId="EX4subtitlesChar">
    <w:name w:val="EX4 sub titles Char"/>
    <w:basedOn w:val="DefaultParagraphFont"/>
    <w:link w:val="EX4subtitles"/>
    <w:rsid w:val="002E2D68"/>
    <w:rPr>
      <w:rFonts w:asciiTheme="minorBidi" w:eastAsiaTheme="minorEastAsia" w:hAnsiTheme="minorBidi" w:cstheme="minorBidi"/>
      <w:b/>
      <w:bCs/>
      <w:color w:val="000000"/>
      <w:sz w:val="22"/>
      <w:szCs w:val="22"/>
      <w:lang w:val="ru-RU" w:eastAsia="zh-CN"/>
    </w:rPr>
  </w:style>
  <w:style w:type="paragraph" w:customStyle="1" w:styleId="EX4texte">
    <w:name w:val="EX4 texte"/>
    <w:basedOn w:val="Normal"/>
    <w:link w:val="EX4texteChar"/>
    <w:autoRedefine/>
    <w:qFormat/>
    <w:rsid w:val="00AA2CD5"/>
    <w:pPr>
      <w:numPr>
        <w:numId w:val="29"/>
      </w:numPr>
      <w:tabs>
        <w:tab w:val="clear" w:pos="567"/>
        <w:tab w:val="left" w:pos="854"/>
      </w:tabs>
      <w:spacing w:after="240"/>
      <w:ind w:left="0" w:firstLine="0"/>
      <w:jc w:val="both"/>
    </w:pPr>
    <w:rPr>
      <w:rFonts w:asciiTheme="minorBidi" w:eastAsia="SimSun" w:hAnsiTheme="minorBidi" w:cstheme="minorBidi"/>
      <w:shd w:val="clear" w:color="auto" w:fill="FFFFFF"/>
      <w:lang w:eastAsia="zh-CN"/>
    </w:rPr>
  </w:style>
  <w:style w:type="character" w:customStyle="1" w:styleId="EX4texteChar">
    <w:name w:val="EX4 texte Char"/>
    <w:basedOn w:val="DefaultParagraphFont"/>
    <w:link w:val="EX4texte"/>
    <w:rsid w:val="00AA2CD5"/>
    <w:rPr>
      <w:rFonts w:asciiTheme="minorBidi" w:eastAsia="SimSun" w:hAnsiTheme="minorBidi" w:cstheme="minorBidi"/>
      <w:snapToGrid w:val="0"/>
      <w:sz w:val="22"/>
      <w:szCs w:val="24"/>
      <w:lang w:val="ru-RU" w:eastAsia="zh-CN"/>
    </w:rPr>
  </w:style>
  <w:style w:type="character" w:customStyle="1" w:styleId="ListParagraphChar">
    <w:name w:val="List Paragraph Char"/>
    <w:aliases w:val="ADB List Paragraph Char,Dot pt Char,List Paragraph Char Char Char Char,Indicator Text Char,List Paragraph1 Char,Numbered Para 1 Char,List Paragraph12 Char,Bullet Points Char,MAIN CONTENT Char,Bullet 1 Char,Light Grid - Accent 31 Char"/>
    <w:basedOn w:val="DefaultParagraphFont"/>
    <w:link w:val="ListParagraph"/>
    <w:uiPriority w:val="34"/>
    <w:qFormat/>
    <w:locked/>
    <w:rsid w:val="00741CAA"/>
    <w:rPr>
      <w:sz w:val="24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3A8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E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75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83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B6B6B6"/>
                                                <w:left w:val="single" w:sz="6" w:space="4" w:color="B6B6B6"/>
                                                <w:bottom w:val="single" w:sz="6" w:space="4" w:color="B6B6B6"/>
                                                <w:right w:val="single" w:sz="6" w:space="4" w:color="B6B6B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124367.locale=fr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unesdoc.unesco.org/ark:/48223/pf0000260721.locale=en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unesdoc.unesco.org/ark:/48223/pf0000390082.locale=e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nesdoc.unesco.org/ark:/48223/pf0000390054.locale=en" TargetMode="External"/><Relationship Id="rId20" Type="http://schemas.openxmlformats.org/officeDocument/2006/relationships/hyperlink" Target="https://www.mspglobal2030.org/f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ceanexpert.org/document/3627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ceanexpert.org/document/1730" TargetMode="External"/><Relationship Id="rId23" Type="http://schemas.openxmlformats.org/officeDocument/2006/relationships/header" Target="header6.xml"/><Relationship Id="rId10" Type="http://schemas.openxmlformats.org/officeDocument/2006/relationships/hyperlink" Target="https://www.oceanexpert.org/document/36076" TargetMode="External"/><Relationship Id="rId19" Type="http://schemas.openxmlformats.org/officeDocument/2006/relationships/hyperlink" Target="https://unesdoc.unesco.org/ark:/48223/pf0000381488.locale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125186.locale=fr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_boned\AppData\Local\Microsoft\Windows\Temporary%20Internet%20Files\Content.Outlook\U6GEGBZT\Template%20WD-IOC2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D18B0-5666-440B-8D2F-95A639E105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WD-IOC27.dotx</Template>
  <TotalTime>174</TotalTime>
  <Pages>8</Pages>
  <Words>2940</Words>
  <Characters>21038</Characters>
  <Application>Microsoft Office Word</Application>
  <DocSecurity>0</DocSecurity>
  <Lines>312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23948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деятельности МОК в 2024-2025 гг., подлежащий_x000d_
представлению на 43-й сессии Генеральной конференции ЮНЕСКО_x000d_
</dc:title>
  <dc:subject>IOC/A-33/3.5(1)</dc:subject>
  <dc:creator>Boned, Patrice</dc:creator>
  <dc:description/>
  <cp:lastModifiedBy>Chakhvorostova, Valentina</cp:lastModifiedBy>
  <cp:revision>10</cp:revision>
  <cp:lastPrinted>2025-04-16T20:08:00Z</cp:lastPrinted>
  <dcterms:created xsi:type="dcterms:W3CDTF">2025-05-06T08:44:00Z</dcterms:created>
  <dcterms:modified xsi:type="dcterms:W3CDTF">2025-05-06T13:32:00Z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JobNumber">
    <vt:lpwstr>2500415R</vt:lpwstr>
  </property>
  <property fmtid="{D5CDD505-2E9C-101B-9397-08002B2CF9AE}" pid="4" name="ForceJobNumber">
    <vt:bool>false</vt:bool>
  </property>
</Properties>
</file>