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9EB2C" w14:textId="77777777" w:rsidR="001312C4" w:rsidRPr="00B16BD5" w:rsidRDefault="001312C4" w:rsidP="001312C4">
      <w:pPr>
        <w:tabs>
          <w:tab w:val="left" w:pos="709"/>
        </w:tabs>
        <w:snapToGrid w:val="0"/>
        <w:spacing w:after="240" w:line="240" w:lineRule="auto"/>
        <w:jc w:val="center"/>
        <w:rPr>
          <w:rFonts w:ascii="Arial" w:eastAsia="Arial" w:hAnsi="Arial" w:cs="Arial"/>
          <w:b/>
          <w:bCs/>
          <w:snapToGrid w:val="0"/>
        </w:rPr>
      </w:pPr>
      <w:r w:rsidRPr="00B16BD5">
        <w:rPr>
          <w:rFonts w:ascii="Arial" w:hAnsi="Arial" w:cs="Arial"/>
          <w:b/>
          <w:bCs/>
        </w:rPr>
        <w:t>Résumé exécutif</w:t>
      </w:r>
    </w:p>
    <w:p w14:paraId="2A2DAA49" w14:textId="5DEB98D9" w:rsidR="00A40455" w:rsidRPr="00B16BD5" w:rsidRDefault="00A40455" w:rsidP="00A40455">
      <w:pPr>
        <w:tabs>
          <w:tab w:val="left" w:pos="709"/>
        </w:tabs>
        <w:snapToGrid w:val="0"/>
        <w:spacing w:after="240" w:line="240" w:lineRule="auto"/>
        <w:jc w:val="both"/>
        <w:rPr>
          <w:rFonts w:ascii="Arial" w:eastAsia="Arial" w:hAnsi="Arial" w:cs="Arial"/>
          <w:snapToGrid w:val="0"/>
        </w:rPr>
      </w:pPr>
      <w:r w:rsidRPr="00B16BD5">
        <w:rPr>
          <w:rFonts w:ascii="Arial" w:hAnsi="Arial" w:cs="Arial"/>
        </w:rPr>
        <w:t>La dix-huitième réunion du Groupe de travail sur les systèmes d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alerte aux tsunamis et autres aléas liés au niveau de la mer, et de mitigation (TOWS-WG-XVI</w:t>
      </w:r>
      <w:r w:rsidR="00B16BD5">
        <w:rPr>
          <w:rFonts w:ascii="Arial" w:hAnsi="Arial" w:cs="Arial"/>
        </w:rPr>
        <w:t>II</w:t>
      </w:r>
      <w:r w:rsidRPr="00B16BD5">
        <w:rPr>
          <w:rFonts w:ascii="Arial" w:hAnsi="Arial" w:cs="Arial"/>
        </w:rPr>
        <w:t>) s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 xml:space="preserve">est tenue selon des modalités hybrides (en présentiel et en ligne), les 24 et 25 février 2025, sous la présidence de M. Amr Zakaria Hamouda (Vice-Président de la COI). La réunion a </w:t>
      </w:r>
      <w:r w:rsidR="00B2290C">
        <w:rPr>
          <w:rFonts w:ascii="Arial" w:hAnsi="Arial" w:cs="Arial"/>
        </w:rPr>
        <w:t>permis d’évaluer</w:t>
      </w:r>
      <w:r w:rsidRPr="00B16BD5">
        <w:rPr>
          <w:rFonts w:ascii="Arial" w:hAnsi="Arial" w:cs="Arial"/>
        </w:rPr>
        <w:t xml:space="preserve"> </w:t>
      </w:r>
      <w:r w:rsidR="00B2290C">
        <w:rPr>
          <w:rFonts w:ascii="Arial" w:hAnsi="Arial" w:cs="Arial"/>
        </w:rPr>
        <w:t>l</w:t>
      </w:r>
      <w:r w:rsidRPr="00B16BD5">
        <w:rPr>
          <w:rFonts w:ascii="Arial" w:hAnsi="Arial" w:cs="Arial"/>
        </w:rPr>
        <w:t xml:space="preserve">es progrès réalisés </w:t>
      </w:r>
      <w:r w:rsidR="00B2290C">
        <w:rPr>
          <w:rFonts w:ascii="Arial" w:hAnsi="Arial" w:cs="Arial"/>
        </w:rPr>
        <w:t>au regard de</w:t>
      </w:r>
      <w:r w:rsidR="00B2290C" w:rsidRPr="00B16BD5">
        <w:rPr>
          <w:rFonts w:ascii="Arial" w:hAnsi="Arial" w:cs="Arial"/>
        </w:rPr>
        <w:t xml:space="preserve"> </w:t>
      </w:r>
      <w:r w:rsidRPr="00B16BD5">
        <w:rPr>
          <w:rFonts w:ascii="Arial" w:hAnsi="Arial" w:cs="Arial"/>
        </w:rPr>
        <w:t xml:space="preserve">la décision A-32/4.3.1. </w:t>
      </w:r>
      <w:proofErr w:type="gramStart"/>
      <w:r w:rsidRPr="00B16BD5">
        <w:rPr>
          <w:rFonts w:ascii="Arial" w:hAnsi="Arial" w:cs="Arial"/>
        </w:rPr>
        <w:t>de</w:t>
      </w:r>
      <w:proofErr w:type="gramEnd"/>
      <w:r w:rsidRPr="00B16BD5">
        <w:rPr>
          <w:rFonts w:ascii="Arial" w:hAnsi="Arial" w:cs="Arial"/>
        </w:rPr>
        <w:t xml:space="preserve"> 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 xml:space="preserve">Assemblée de la COI, </w:t>
      </w:r>
      <w:r w:rsidR="00B2290C">
        <w:rPr>
          <w:rFonts w:ascii="Arial" w:hAnsi="Arial" w:cs="Arial"/>
        </w:rPr>
        <w:t>et</w:t>
      </w:r>
      <w:r w:rsidRPr="00B16BD5">
        <w:rPr>
          <w:rFonts w:ascii="Arial" w:hAnsi="Arial" w:cs="Arial"/>
        </w:rPr>
        <w:t xml:space="preserve"> </w:t>
      </w:r>
      <w:r w:rsidR="00B2290C">
        <w:rPr>
          <w:rFonts w:ascii="Arial" w:hAnsi="Arial" w:cs="Arial"/>
        </w:rPr>
        <w:t>de</w:t>
      </w:r>
      <w:r w:rsidR="00B2290C" w:rsidRPr="00B16BD5">
        <w:rPr>
          <w:rFonts w:ascii="Arial" w:hAnsi="Arial" w:cs="Arial"/>
        </w:rPr>
        <w:t xml:space="preserve"> </w:t>
      </w:r>
      <w:r w:rsidRPr="00B16BD5">
        <w:rPr>
          <w:rFonts w:ascii="Arial" w:hAnsi="Arial" w:cs="Arial"/>
        </w:rPr>
        <w:t>la décision EC-57/3.2.1. du Conseil exécutif de la COI.</w:t>
      </w:r>
    </w:p>
    <w:p w14:paraId="34EA6FF6" w14:textId="5EDB7B1F" w:rsidR="00A40455" w:rsidRPr="00B16BD5" w:rsidRDefault="00A40455" w:rsidP="00A40455">
      <w:pPr>
        <w:tabs>
          <w:tab w:val="left" w:pos="709"/>
        </w:tabs>
        <w:snapToGrid w:val="0"/>
        <w:spacing w:after="240" w:line="240" w:lineRule="auto"/>
        <w:jc w:val="both"/>
        <w:rPr>
          <w:rFonts w:ascii="Arial" w:eastAsia="Arial" w:hAnsi="Arial" w:cs="Arial"/>
          <w:snapToGrid w:val="0"/>
        </w:rPr>
      </w:pPr>
      <w:bookmarkStart w:id="0" w:name="_gjdgxs" w:colFirst="0" w:colLast="0"/>
      <w:bookmarkStart w:id="1" w:name="_xcs51xxmizzy" w:colFirst="0" w:colLast="0"/>
      <w:bookmarkStart w:id="2" w:name="_xgf2prjzfqfr" w:colFirst="0" w:colLast="0"/>
      <w:bookmarkEnd w:id="0"/>
      <w:bookmarkEnd w:id="1"/>
      <w:bookmarkEnd w:id="2"/>
      <w:r w:rsidRPr="00B16BD5">
        <w:rPr>
          <w:rFonts w:ascii="Arial" w:hAnsi="Arial" w:cs="Arial"/>
          <w:b/>
          <w:bCs/>
        </w:rPr>
        <w:t xml:space="preserve">Le Groupe de travail a examiné </w:t>
      </w:r>
      <w:r w:rsidRPr="00B16BD5">
        <w:rPr>
          <w:rFonts w:ascii="Arial" w:hAnsi="Arial" w:cs="Arial"/>
        </w:rPr>
        <w:t>les rapports des groupes intergouvernementaux de coordination (GIC) de la COI, du Comité scientifique du Programme relatif aux tsunamis de la Décennie de 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Océan (ODTP-SC), ainsi que des Équipes spéciales sur la gestion et la préparation en cas de catastrophe (TT-DMP) et sur les opérations de veille aux tsunamis (TT</w:t>
      </w:r>
      <w:r w:rsidR="001258AC">
        <w:rPr>
          <w:rFonts w:ascii="Arial" w:hAnsi="Arial" w:cs="Arial"/>
        </w:rPr>
        <w:noBreakHyphen/>
      </w:r>
      <w:r w:rsidRPr="00B16BD5">
        <w:rPr>
          <w:rFonts w:ascii="Arial" w:hAnsi="Arial" w:cs="Arial"/>
        </w:rPr>
        <w:t>TWO).</w:t>
      </w:r>
    </w:p>
    <w:p w14:paraId="20D6081C" w14:textId="77777777" w:rsidR="00A40455" w:rsidRPr="00B16BD5" w:rsidRDefault="00A40455" w:rsidP="00A40455">
      <w:pPr>
        <w:tabs>
          <w:tab w:val="left" w:pos="709"/>
        </w:tabs>
        <w:snapToGrid w:val="0"/>
        <w:spacing w:after="240" w:line="240" w:lineRule="auto"/>
        <w:jc w:val="both"/>
        <w:rPr>
          <w:rFonts w:ascii="Arial" w:eastAsia="Arial" w:hAnsi="Arial" w:cs="Arial"/>
          <w:snapToGrid w:val="0"/>
        </w:rPr>
      </w:pPr>
      <w:r w:rsidRPr="00B16BD5">
        <w:rPr>
          <w:rFonts w:ascii="Arial" w:hAnsi="Arial" w:cs="Arial"/>
          <w:b/>
          <w:bCs/>
        </w:rPr>
        <w:t>Le Groupe de travail a pris note avec satisfaction</w:t>
      </w:r>
      <w:r w:rsidRPr="00B16BD5">
        <w:rPr>
          <w:rFonts w:ascii="Arial" w:hAnsi="Arial" w:cs="Arial"/>
        </w:rPr>
        <w:t xml:space="preserve"> des progrès réalisés au cours de la période intersessions, notamment en ce qui concerne :</w:t>
      </w:r>
    </w:p>
    <w:p w14:paraId="4E01E88C" w14:textId="0A828791" w:rsidR="00A40455" w:rsidRPr="001258AC" w:rsidRDefault="00A40455" w:rsidP="001258AC">
      <w:pPr>
        <w:numPr>
          <w:ilvl w:val="0"/>
          <w:numId w:val="1"/>
        </w:numPr>
        <w:snapToGrid w:val="0"/>
        <w:spacing w:after="240" w:line="240" w:lineRule="auto"/>
        <w:ind w:left="851" w:hanging="284"/>
        <w:jc w:val="both"/>
        <w:rPr>
          <w:rFonts w:ascii="Arial" w:eastAsia="SimSun" w:hAnsi="Arial" w:cs="Arial"/>
          <w:snapToGrid w:val="0"/>
        </w:rPr>
      </w:pPr>
      <w:proofErr w:type="gramStart"/>
      <w:r w:rsidRPr="001258AC">
        <w:rPr>
          <w:rFonts w:ascii="Arial" w:hAnsi="Arial" w:cs="Arial"/>
        </w:rPr>
        <w:t>la</w:t>
      </w:r>
      <w:proofErr w:type="gramEnd"/>
      <w:r w:rsidRPr="001258AC">
        <w:rPr>
          <w:rFonts w:ascii="Arial" w:hAnsi="Arial" w:cs="Arial"/>
        </w:rPr>
        <w:t xml:space="preserve"> coordination des exercices de préparation aux tsunamis</w:t>
      </w:r>
      <w:r w:rsidR="001258AC">
        <w:rPr>
          <w:rFonts w:ascii="Arial" w:hAnsi="Arial" w:cs="Arial"/>
        </w:rPr>
        <w:t xml:space="preserve"> </w:t>
      </w:r>
      <w:proofErr w:type="spellStart"/>
      <w:r w:rsidRPr="001258AC">
        <w:rPr>
          <w:rFonts w:ascii="Arial" w:hAnsi="Arial" w:cs="Arial"/>
        </w:rPr>
        <w:t>PacWave</w:t>
      </w:r>
      <w:proofErr w:type="spellEnd"/>
      <w:r w:rsidRPr="001258AC">
        <w:rPr>
          <w:rFonts w:ascii="Arial" w:hAnsi="Arial" w:cs="Arial"/>
        </w:rPr>
        <w:t> 24 (septembre à novembre</w:t>
      </w:r>
      <w:r w:rsidR="001258AC">
        <w:rPr>
          <w:rFonts w:ascii="Arial" w:hAnsi="Arial" w:cs="Arial"/>
        </w:rPr>
        <w:t xml:space="preserve"> </w:t>
      </w:r>
      <w:r w:rsidRPr="001258AC">
        <w:rPr>
          <w:rFonts w:ascii="Arial" w:hAnsi="Arial" w:cs="Arial"/>
        </w:rPr>
        <w:t>2024), CARIBE WAVE 24</w:t>
      </w:r>
      <w:r w:rsidR="001258AC">
        <w:rPr>
          <w:rFonts w:ascii="Arial" w:hAnsi="Arial" w:cs="Arial"/>
        </w:rPr>
        <w:t xml:space="preserve"> </w:t>
      </w:r>
      <w:r w:rsidRPr="001258AC">
        <w:rPr>
          <w:rFonts w:ascii="Arial" w:hAnsi="Arial" w:cs="Arial"/>
        </w:rPr>
        <w:t xml:space="preserve">(21 mars 2024), </w:t>
      </w:r>
      <w:proofErr w:type="spellStart"/>
      <w:r w:rsidRPr="001258AC">
        <w:rPr>
          <w:rFonts w:ascii="Arial" w:hAnsi="Arial" w:cs="Arial"/>
        </w:rPr>
        <w:t>NEAMWave</w:t>
      </w:r>
      <w:proofErr w:type="spellEnd"/>
      <w:r w:rsidRPr="001258AC">
        <w:rPr>
          <w:rFonts w:ascii="Arial" w:hAnsi="Arial" w:cs="Arial"/>
        </w:rPr>
        <w:t> 23 (6</w:t>
      </w:r>
      <w:r w:rsidR="001258AC" w:rsidRPr="001258AC">
        <w:rPr>
          <w:rFonts w:ascii="Arial" w:hAnsi="Arial" w:cs="Arial"/>
        </w:rPr>
        <w:noBreakHyphen/>
      </w:r>
      <w:r w:rsidRPr="001258AC">
        <w:rPr>
          <w:rFonts w:ascii="Arial" w:hAnsi="Arial" w:cs="Arial"/>
        </w:rPr>
        <w:t>7 novembre 2023) et IOWave23</w:t>
      </w:r>
      <w:r w:rsidR="001258AC">
        <w:rPr>
          <w:rFonts w:ascii="Arial" w:hAnsi="Arial" w:cs="Arial"/>
        </w:rPr>
        <w:t xml:space="preserve"> </w:t>
      </w:r>
      <w:r w:rsidRPr="001258AC">
        <w:rPr>
          <w:rFonts w:ascii="Arial" w:hAnsi="Arial" w:cs="Arial"/>
        </w:rPr>
        <w:t>(4-25 octobre 2023) ;</w:t>
      </w:r>
    </w:p>
    <w:p w14:paraId="3A431C8D" w14:textId="53FD8EF7" w:rsidR="00A40455" w:rsidRPr="00B16BD5" w:rsidRDefault="00A40455" w:rsidP="001258AC">
      <w:pPr>
        <w:numPr>
          <w:ilvl w:val="0"/>
          <w:numId w:val="1"/>
        </w:numPr>
        <w:snapToGrid w:val="0"/>
        <w:spacing w:after="240" w:line="240" w:lineRule="auto"/>
        <w:ind w:left="851" w:hanging="284"/>
        <w:jc w:val="both"/>
        <w:rPr>
          <w:rFonts w:ascii="Arial" w:eastAsia="SimSun" w:hAnsi="Arial" w:cs="Arial"/>
          <w:snapToGrid w:val="0"/>
        </w:rPr>
      </w:pPr>
      <w:proofErr w:type="gramStart"/>
      <w:r w:rsidRPr="00B16BD5">
        <w:rPr>
          <w:rFonts w:ascii="Arial" w:hAnsi="Arial" w:cs="Arial"/>
        </w:rPr>
        <w:t>la</w:t>
      </w:r>
      <w:proofErr w:type="gramEnd"/>
      <w:r w:rsidRPr="00B16BD5">
        <w:rPr>
          <w:rFonts w:ascii="Arial" w:hAnsi="Arial" w:cs="Arial"/>
        </w:rPr>
        <w:t xml:space="preserve"> </w:t>
      </w:r>
      <w:r w:rsidR="00EA533B">
        <w:rPr>
          <w:rFonts w:ascii="Arial" w:hAnsi="Arial" w:cs="Arial"/>
        </w:rPr>
        <w:t>participation</w:t>
      </w:r>
      <w:r w:rsidR="00EA533B" w:rsidRPr="00B16BD5">
        <w:rPr>
          <w:rFonts w:ascii="Arial" w:hAnsi="Arial" w:cs="Arial"/>
        </w:rPr>
        <w:t xml:space="preserve"> </w:t>
      </w:r>
      <w:r w:rsidRPr="00B16BD5">
        <w:rPr>
          <w:rFonts w:ascii="Arial" w:hAnsi="Arial" w:cs="Arial"/>
        </w:rPr>
        <w:t xml:space="preserve">continue de </w:t>
      </w:r>
      <w:r w:rsidR="0061543C">
        <w:rPr>
          <w:rFonts w:ascii="Arial" w:hAnsi="Arial" w:cs="Arial"/>
        </w:rPr>
        <w:t xml:space="preserve">la </w:t>
      </w:r>
      <w:r w:rsidRPr="00B16BD5">
        <w:rPr>
          <w:rFonts w:ascii="Arial" w:hAnsi="Arial" w:cs="Arial"/>
        </w:rPr>
        <w:t>TT-TWO à 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élaboration de bulletins spécialisés de prestataires de services relatifs aux tsunamis (TSP) à 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intention de la communauté maritime, en consultation avec le Sous-Comité sur le Service mondial d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avertissements de navigation (SMAN) de 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Organisation hydrographique internationale (OHI) ;</w:t>
      </w:r>
    </w:p>
    <w:p w14:paraId="3BAB10F5" w14:textId="1DC2D09C" w:rsidR="00A40455" w:rsidRPr="00B16BD5" w:rsidRDefault="00A40455" w:rsidP="001258AC">
      <w:pPr>
        <w:numPr>
          <w:ilvl w:val="0"/>
          <w:numId w:val="1"/>
        </w:numPr>
        <w:snapToGrid w:val="0"/>
        <w:spacing w:after="240" w:line="240" w:lineRule="auto"/>
        <w:ind w:left="851" w:hanging="284"/>
        <w:jc w:val="both"/>
        <w:rPr>
          <w:rFonts w:ascii="Arial" w:eastAsia="SimSun" w:hAnsi="Arial" w:cs="Arial"/>
          <w:snapToGrid w:val="0"/>
        </w:rPr>
      </w:pPr>
      <w:proofErr w:type="gramStart"/>
      <w:r w:rsidRPr="00B16BD5">
        <w:rPr>
          <w:rFonts w:ascii="Arial" w:hAnsi="Arial" w:cs="Arial"/>
        </w:rPr>
        <w:t>le</w:t>
      </w:r>
      <w:proofErr w:type="gramEnd"/>
      <w:r w:rsidRPr="00B16BD5">
        <w:rPr>
          <w:rFonts w:ascii="Arial" w:hAnsi="Arial" w:cs="Arial"/>
        </w:rPr>
        <w:t xml:space="preserve"> projet en cours du câble sous-marin Atlantic CAM SMART (surveillance scientifique et de télécommunication fiable) au large du Portugal, le câble TAM TAM SMART entre la Nouvelle-Calédonie et Vanuatu, les installations de câbles sous-marins actuellement déployées et </w:t>
      </w:r>
      <w:r w:rsidR="00E47A71">
        <w:rPr>
          <w:rFonts w:ascii="Arial" w:hAnsi="Arial" w:cs="Arial"/>
        </w:rPr>
        <w:t>prévues</w:t>
      </w:r>
      <w:r w:rsidRPr="00B16BD5">
        <w:rPr>
          <w:rFonts w:ascii="Arial" w:hAnsi="Arial" w:cs="Arial"/>
        </w:rPr>
        <w:t xml:space="preserve"> par 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Indonésie et 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 xml:space="preserve">Inde, </w:t>
      </w:r>
      <w:r w:rsidR="00E47A71">
        <w:rPr>
          <w:rFonts w:ascii="Arial" w:hAnsi="Arial" w:cs="Arial"/>
        </w:rPr>
        <w:t xml:space="preserve">et </w:t>
      </w:r>
      <w:r w:rsidRPr="00B16BD5">
        <w:rPr>
          <w:rFonts w:ascii="Arial" w:hAnsi="Arial" w:cs="Arial"/>
        </w:rPr>
        <w:t>le déploiement en 2023 de 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infrastructure en mer Ionienne occidentale dans la Méditerranée ;</w:t>
      </w:r>
    </w:p>
    <w:p w14:paraId="2CB668A3" w14:textId="551F9A3F" w:rsidR="00A40455" w:rsidRPr="00B16BD5" w:rsidRDefault="00A40455" w:rsidP="001258AC">
      <w:pPr>
        <w:numPr>
          <w:ilvl w:val="0"/>
          <w:numId w:val="1"/>
        </w:numPr>
        <w:snapToGrid w:val="0"/>
        <w:spacing w:after="240" w:line="240" w:lineRule="auto"/>
        <w:ind w:left="851" w:hanging="284"/>
        <w:jc w:val="both"/>
        <w:rPr>
          <w:rFonts w:ascii="Arial" w:eastAsia="SimSun" w:hAnsi="Arial" w:cs="Arial"/>
          <w:snapToGrid w:val="0"/>
        </w:rPr>
      </w:pPr>
      <w:proofErr w:type="gramStart"/>
      <w:r w:rsidRPr="00B16BD5">
        <w:rPr>
          <w:rFonts w:ascii="Arial" w:hAnsi="Arial" w:cs="Arial"/>
        </w:rPr>
        <w:t>le</w:t>
      </w:r>
      <w:proofErr w:type="gramEnd"/>
      <w:r w:rsidRPr="00B16BD5">
        <w:rPr>
          <w:rFonts w:ascii="Arial" w:hAnsi="Arial" w:cs="Arial"/>
        </w:rPr>
        <w:t xml:space="preserve"> nombre d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 xml:space="preserve">États membres et de communautés ayant rejoint le programme de certification Tsunami </w:t>
      </w:r>
      <w:proofErr w:type="spellStart"/>
      <w:r w:rsidRPr="00B16BD5">
        <w:rPr>
          <w:rFonts w:ascii="Arial" w:hAnsi="Arial" w:cs="Arial"/>
        </w:rPr>
        <w:t>Ready</w:t>
      </w:r>
      <w:proofErr w:type="spellEnd"/>
      <w:r w:rsidRPr="00B16BD5">
        <w:rPr>
          <w:rFonts w:ascii="Arial" w:hAnsi="Arial" w:cs="Arial"/>
        </w:rPr>
        <w:t xml:space="preserve"> de 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 xml:space="preserve">UNESCO/COI, </w:t>
      </w:r>
      <w:r w:rsidR="000753E5">
        <w:rPr>
          <w:rFonts w:ascii="Arial" w:hAnsi="Arial" w:cs="Arial"/>
        </w:rPr>
        <w:t>qui compte déjà</w:t>
      </w:r>
      <w:r w:rsidR="000753E5" w:rsidRPr="00B16BD5">
        <w:rPr>
          <w:rFonts w:ascii="Arial" w:hAnsi="Arial" w:cs="Arial"/>
        </w:rPr>
        <w:t xml:space="preserve"> </w:t>
      </w:r>
      <w:r w:rsidRPr="00B16BD5">
        <w:rPr>
          <w:rFonts w:ascii="Arial" w:hAnsi="Arial" w:cs="Arial"/>
        </w:rPr>
        <w:t xml:space="preserve">100 communautés </w:t>
      </w:r>
      <w:r w:rsidR="000753E5">
        <w:rPr>
          <w:rFonts w:ascii="Arial" w:hAnsi="Arial" w:cs="Arial"/>
        </w:rPr>
        <w:t xml:space="preserve">certifiées </w:t>
      </w:r>
      <w:r w:rsidRPr="00B16BD5">
        <w:rPr>
          <w:rFonts w:ascii="Arial" w:hAnsi="Arial" w:cs="Arial"/>
        </w:rPr>
        <w:t>d</w:t>
      </w:r>
      <w:r w:rsidR="000753E5">
        <w:rPr>
          <w:rFonts w:ascii="Arial" w:hAnsi="Arial" w:cs="Arial"/>
        </w:rPr>
        <w:t>ans</w:t>
      </w:r>
      <w:r w:rsidRPr="00B16BD5">
        <w:rPr>
          <w:rFonts w:ascii="Arial" w:hAnsi="Arial" w:cs="Arial"/>
        </w:rPr>
        <w:t xml:space="preserve"> 31 pays, parmi lesquelles 15 sont </w:t>
      </w:r>
      <w:r w:rsidR="00BC7922">
        <w:rPr>
          <w:rFonts w:ascii="Arial" w:hAnsi="Arial" w:cs="Arial"/>
        </w:rPr>
        <w:t xml:space="preserve">situées dans </w:t>
      </w:r>
      <w:r w:rsidRPr="00B16BD5">
        <w:rPr>
          <w:rFonts w:ascii="Arial" w:hAnsi="Arial" w:cs="Arial"/>
        </w:rPr>
        <w:t xml:space="preserve">des </w:t>
      </w:r>
      <w:r w:rsidRPr="00BC7922">
        <w:rPr>
          <w:rFonts w:ascii="Arial" w:hAnsi="Arial" w:cs="Arial"/>
        </w:rPr>
        <w:t>PEID</w:t>
      </w:r>
      <w:r w:rsidRPr="00B16BD5">
        <w:rPr>
          <w:rFonts w:ascii="Arial" w:hAnsi="Arial" w:cs="Arial"/>
        </w:rPr>
        <w:t> ;</w:t>
      </w:r>
    </w:p>
    <w:p w14:paraId="6CD902B0" w14:textId="358B6CF4" w:rsidR="00A40455" w:rsidRPr="00B16BD5" w:rsidRDefault="00F3061B" w:rsidP="001258AC">
      <w:pPr>
        <w:numPr>
          <w:ilvl w:val="0"/>
          <w:numId w:val="1"/>
        </w:numPr>
        <w:snapToGrid w:val="0"/>
        <w:spacing w:after="240" w:line="240" w:lineRule="auto"/>
        <w:ind w:left="851" w:hanging="284"/>
        <w:jc w:val="both"/>
        <w:rPr>
          <w:rFonts w:ascii="Arial" w:eastAsia="SimSun" w:hAnsi="Arial" w:cs="Arial"/>
          <w:snapToGrid w:val="0"/>
        </w:rPr>
      </w:pPr>
      <w:bookmarkStart w:id="3" w:name="_Hlk191327666"/>
      <w:r w:rsidRPr="001258AC">
        <w:rPr>
          <w:rFonts w:ascii="Arial" w:hAnsi="Arial" w:cs="Arial"/>
          <w:lang w:val="en-US"/>
        </w:rPr>
        <w:t xml:space="preserve">la publication des rapports </w:t>
      </w:r>
      <w:proofErr w:type="spellStart"/>
      <w:r w:rsidRPr="001258AC">
        <w:rPr>
          <w:rFonts w:ascii="Arial" w:hAnsi="Arial" w:cs="Arial"/>
          <w:lang w:val="en-US"/>
        </w:rPr>
        <w:t>intitulé</w:t>
      </w:r>
      <w:proofErr w:type="spellEnd"/>
      <w:r w:rsidRPr="001258AC">
        <w:rPr>
          <w:rFonts w:ascii="Arial" w:hAnsi="Arial" w:cs="Arial"/>
          <w:lang w:val="en-US"/>
        </w:rPr>
        <w:t xml:space="preserve"> « </w:t>
      </w:r>
      <w:r w:rsidRPr="001258AC">
        <w:rPr>
          <w:rFonts w:ascii="Arial" w:hAnsi="Arial" w:cs="Arial"/>
          <w:i/>
          <w:iCs/>
          <w:lang w:val="en-US"/>
        </w:rPr>
        <w:t>Monitoring and Warning for Tsunamis Generated by Volcanoes</w:t>
      </w:r>
      <w:r w:rsidRPr="001258AC">
        <w:rPr>
          <w:rFonts w:ascii="Arial" w:hAnsi="Arial" w:cs="Arial"/>
          <w:lang w:val="en-US"/>
        </w:rPr>
        <w:t xml:space="preserve"> » 2024. </w:t>
      </w:r>
      <w:r w:rsidRPr="00B16BD5">
        <w:rPr>
          <w:rFonts w:ascii="Arial" w:hAnsi="Arial" w:cs="Arial"/>
        </w:rPr>
        <w:t>Paris, UNESCO (</w:t>
      </w:r>
      <w:hyperlink r:id="rId8" w:history="1">
        <w:r w:rsidRPr="00B16BD5">
          <w:rPr>
            <w:rStyle w:val="Lienhypertexte"/>
            <w:rFonts w:ascii="Arial" w:hAnsi="Arial" w:cs="Arial"/>
          </w:rPr>
          <w:t>n° 183 de la Série technique de la COI</w:t>
        </w:r>
      </w:hyperlink>
      <w:r w:rsidRPr="00B16BD5">
        <w:rPr>
          <w:rFonts w:ascii="Arial" w:hAnsi="Arial" w:cs="Arial"/>
        </w:rPr>
        <w:t>)</w:t>
      </w:r>
      <w:r w:rsidR="001258AC">
        <w:rPr>
          <w:rFonts w:ascii="Arial" w:hAnsi="Arial" w:cs="Arial"/>
        </w:rPr>
        <w:t> ;</w:t>
      </w:r>
      <w:r w:rsidRPr="00B16BD5">
        <w:rPr>
          <w:rFonts w:ascii="Arial" w:hAnsi="Arial" w:cs="Arial"/>
        </w:rPr>
        <w:t xml:space="preserve"> et « </w:t>
      </w:r>
      <w:proofErr w:type="spellStart"/>
      <w:proofErr w:type="gramStart"/>
      <w:r w:rsidRPr="006C11B9">
        <w:rPr>
          <w:rFonts w:ascii="Arial" w:hAnsi="Arial" w:cs="Arial"/>
          <w:i/>
          <w:iCs/>
        </w:rPr>
        <w:t>Meteotsunamis</w:t>
      </w:r>
      <w:proofErr w:type="spellEnd"/>
      <w:r w:rsidRPr="00B16BD5">
        <w:rPr>
          <w:rFonts w:ascii="Arial" w:hAnsi="Arial" w:cs="Arial"/>
          <w:i/>
          <w:iCs/>
        </w:rPr>
        <w:t>:</w:t>
      </w:r>
      <w:proofErr w:type="gramEnd"/>
      <w:r w:rsidRPr="00B16BD5">
        <w:rPr>
          <w:rFonts w:ascii="Arial" w:hAnsi="Arial" w:cs="Arial"/>
          <w:i/>
          <w:iCs/>
        </w:rPr>
        <w:t xml:space="preserve"> </w:t>
      </w:r>
      <w:proofErr w:type="spellStart"/>
      <w:r w:rsidRPr="00B16BD5">
        <w:rPr>
          <w:rFonts w:ascii="Arial" w:hAnsi="Arial" w:cs="Arial"/>
          <w:i/>
          <w:iCs/>
        </w:rPr>
        <w:t>definition</w:t>
      </w:r>
      <w:proofErr w:type="spellEnd"/>
      <w:r w:rsidRPr="00B16BD5">
        <w:rPr>
          <w:rFonts w:ascii="Arial" w:hAnsi="Arial" w:cs="Arial"/>
          <w:i/>
          <w:iCs/>
        </w:rPr>
        <w:t xml:space="preserve">, </w:t>
      </w:r>
      <w:proofErr w:type="spellStart"/>
      <w:r w:rsidRPr="00B16BD5">
        <w:rPr>
          <w:rFonts w:ascii="Arial" w:hAnsi="Arial" w:cs="Arial"/>
          <w:i/>
          <w:iCs/>
        </w:rPr>
        <w:t>detection</w:t>
      </w:r>
      <w:proofErr w:type="spellEnd"/>
      <w:r w:rsidRPr="00B16BD5">
        <w:rPr>
          <w:rFonts w:ascii="Arial" w:hAnsi="Arial" w:cs="Arial"/>
          <w:i/>
          <w:iCs/>
        </w:rPr>
        <w:t xml:space="preserve"> and alerting services investigation</w:t>
      </w:r>
      <w:r w:rsidRPr="00B16BD5">
        <w:rPr>
          <w:rFonts w:ascii="Arial" w:hAnsi="Arial" w:cs="Arial"/>
        </w:rPr>
        <w:t> »</w:t>
      </w:r>
      <w:r w:rsidR="001258AC">
        <w:rPr>
          <w:rFonts w:ascii="Arial" w:hAnsi="Arial" w:cs="Arial"/>
        </w:rPr>
        <w:t xml:space="preserve"> </w:t>
      </w:r>
      <w:r w:rsidRPr="00B16BD5">
        <w:rPr>
          <w:rFonts w:ascii="Arial" w:hAnsi="Arial" w:cs="Arial"/>
        </w:rPr>
        <w:t>2025. Paris, UNESCO (</w:t>
      </w:r>
      <w:hyperlink r:id="rId9" w:history="1">
        <w:r w:rsidRPr="00B16BD5">
          <w:rPr>
            <w:rStyle w:val="Lienhypertexte"/>
            <w:rFonts w:ascii="Arial" w:hAnsi="Arial" w:cs="Arial"/>
          </w:rPr>
          <w:t>n° 200 de la Série technique de la COI</w:t>
        </w:r>
      </w:hyperlink>
      <w:r w:rsidRPr="00B16BD5">
        <w:rPr>
          <w:rFonts w:ascii="Arial" w:hAnsi="Arial" w:cs="Arial"/>
        </w:rPr>
        <w:t xml:space="preserve">), ainsi que le compte-rendu du deuxième </w:t>
      </w:r>
      <w:r w:rsidR="00BC7922">
        <w:rPr>
          <w:rFonts w:ascii="Arial" w:hAnsi="Arial" w:cs="Arial"/>
        </w:rPr>
        <w:t>Colloque</w:t>
      </w:r>
      <w:r w:rsidR="00BC7922" w:rsidRPr="00B16BD5">
        <w:rPr>
          <w:rFonts w:ascii="Arial" w:hAnsi="Arial" w:cs="Arial"/>
        </w:rPr>
        <w:t xml:space="preserve"> </w:t>
      </w:r>
      <w:r w:rsidRPr="00B16BD5">
        <w:rPr>
          <w:rFonts w:ascii="Arial" w:hAnsi="Arial" w:cs="Arial"/>
        </w:rPr>
        <w:t>mondial de la COI sur les tsunamis sur le thème « Vingt</w:t>
      </w:r>
      <w:r w:rsidR="0061543C">
        <w:rPr>
          <w:rFonts w:ascii="Arial" w:hAnsi="Arial" w:cs="Arial"/>
        </w:rPr>
        <w:t> </w:t>
      </w:r>
      <w:r w:rsidRPr="00B16BD5">
        <w:rPr>
          <w:rFonts w:ascii="Arial" w:hAnsi="Arial" w:cs="Arial"/>
        </w:rPr>
        <w:t>ans après le tsunami de 2004 dans 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océan Indien : Réflexion et perspectives », Banda Aceh, 11</w:t>
      </w:r>
      <w:r w:rsidR="001258AC">
        <w:rPr>
          <w:rFonts w:ascii="Arial" w:hAnsi="Arial" w:cs="Arial"/>
        </w:rPr>
        <w:t>-</w:t>
      </w:r>
      <w:r w:rsidRPr="00B16BD5">
        <w:rPr>
          <w:rFonts w:ascii="Arial" w:hAnsi="Arial" w:cs="Arial"/>
        </w:rPr>
        <w:t>14 novembre 2024. Paris. UNESCO (</w:t>
      </w:r>
      <w:hyperlink r:id="rId10" w:history="1">
        <w:r w:rsidRPr="00B16BD5">
          <w:rPr>
            <w:rStyle w:val="Lienhypertexte"/>
            <w:rFonts w:ascii="Arial" w:hAnsi="Arial" w:cs="Arial"/>
          </w:rPr>
          <w:t>Brochure 2025-1 de la COI</w:t>
        </w:r>
      </w:hyperlink>
      <w:r w:rsidRPr="00B16BD5">
        <w:rPr>
          <w:rFonts w:ascii="Arial" w:hAnsi="Arial" w:cs="Arial"/>
        </w:rPr>
        <w:t>) ;</w:t>
      </w:r>
    </w:p>
    <w:bookmarkEnd w:id="3"/>
    <w:p w14:paraId="5C491318" w14:textId="3B3509F3" w:rsidR="00A40455" w:rsidRPr="00B16BD5" w:rsidRDefault="00A40455" w:rsidP="001258AC">
      <w:pPr>
        <w:numPr>
          <w:ilvl w:val="0"/>
          <w:numId w:val="1"/>
        </w:numPr>
        <w:snapToGrid w:val="0"/>
        <w:spacing w:after="240" w:line="240" w:lineRule="auto"/>
        <w:ind w:left="851" w:hanging="284"/>
        <w:jc w:val="both"/>
        <w:rPr>
          <w:rFonts w:ascii="Arial" w:eastAsia="SimSun" w:hAnsi="Arial" w:cs="Arial"/>
          <w:bCs/>
          <w:snapToGrid w:val="0"/>
        </w:rPr>
      </w:pPr>
      <w:proofErr w:type="gramStart"/>
      <w:r w:rsidRPr="00B16BD5">
        <w:rPr>
          <w:rFonts w:ascii="Arial" w:hAnsi="Arial" w:cs="Arial"/>
        </w:rPr>
        <w:t>le</w:t>
      </w:r>
      <w:proofErr w:type="gramEnd"/>
      <w:r w:rsidRPr="00B16BD5">
        <w:rPr>
          <w:rFonts w:ascii="Arial" w:hAnsi="Arial" w:cs="Arial"/>
        </w:rPr>
        <w:t xml:space="preserve"> lancement des formations en ligne de la COI </w:t>
      </w:r>
      <w:r w:rsidR="00BC7922">
        <w:rPr>
          <w:rFonts w:ascii="Arial" w:hAnsi="Arial" w:cs="Arial"/>
        </w:rPr>
        <w:t>en matière de</w:t>
      </w:r>
      <w:r w:rsidRPr="00B16BD5">
        <w:rPr>
          <w:rFonts w:ascii="Arial" w:hAnsi="Arial" w:cs="Arial"/>
        </w:rPr>
        <w:t xml:space="preserve"> sensibilisation</w:t>
      </w:r>
      <w:r w:rsidR="00BC7922">
        <w:rPr>
          <w:rFonts w:ascii="Arial" w:hAnsi="Arial" w:cs="Arial"/>
        </w:rPr>
        <w:t xml:space="preserve"> et de préparation</w:t>
      </w:r>
      <w:r w:rsidRPr="00B16BD5">
        <w:rPr>
          <w:rFonts w:ascii="Arial" w:hAnsi="Arial" w:cs="Arial"/>
        </w:rPr>
        <w:t xml:space="preserve"> aux tsunamis, par le biais de la plate-forme de </w:t>
      </w:r>
      <w:hyperlink r:id="rId11" w:history="1">
        <w:r w:rsidRPr="00B16BD5">
          <w:rPr>
            <w:rStyle w:val="Lienhypertexte"/>
            <w:rFonts w:ascii="Arial" w:hAnsi="Arial" w:cs="Arial"/>
          </w:rPr>
          <w:t>l</w:t>
        </w:r>
        <w:r w:rsidR="00B16BD5">
          <w:rPr>
            <w:rStyle w:val="Lienhypertexte"/>
            <w:rFonts w:ascii="Arial" w:hAnsi="Arial" w:cs="Arial"/>
          </w:rPr>
          <w:t>’</w:t>
        </w:r>
        <w:r w:rsidRPr="00B16BD5">
          <w:rPr>
            <w:rStyle w:val="Lienhypertexte"/>
            <w:rFonts w:ascii="Arial" w:hAnsi="Arial" w:cs="Arial"/>
          </w:rPr>
          <w:t xml:space="preserve">Académie mondiale </w:t>
        </w:r>
        <w:proofErr w:type="spellStart"/>
        <w:r w:rsidRPr="00B16BD5">
          <w:rPr>
            <w:rStyle w:val="Lienhypertexte"/>
            <w:rFonts w:ascii="Arial" w:hAnsi="Arial" w:cs="Arial"/>
          </w:rPr>
          <w:t>OceanTeacher</w:t>
        </w:r>
        <w:proofErr w:type="spellEnd"/>
      </w:hyperlink>
      <w:r w:rsidRPr="00B16BD5">
        <w:rPr>
          <w:rFonts w:ascii="Arial" w:hAnsi="Arial" w:cs="Arial"/>
        </w:rPr>
        <w:t> ;</w:t>
      </w:r>
    </w:p>
    <w:p w14:paraId="7A6E74FA" w14:textId="6BCBE6F5" w:rsidR="00A40455" w:rsidRPr="00B16BD5" w:rsidRDefault="00A40455" w:rsidP="001258AC">
      <w:pPr>
        <w:numPr>
          <w:ilvl w:val="0"/>
          <w:numId w:val="1"/>
        </w:numPr>
        <w:snapToGrid w:val="0"/>
        <w:spacing w:after="240" w:line="240" w:lineRule="auto"/>
        <w:ind w:left="851" w:hanging="284"/>
        <w:jc w:val="both"/>
        <w:rPr>
          <w:rFonts w:ascii="Arial" w:eastAsia="SimSun" w:hAnsi="Arial" w:cs="Arial"/>
          <w:bCs/>
          <w:snapToGrid w:val="0"/>
        </w:rPr>
      </w:pPr>
      <w:r w:rsidRPr="00B16BD5">
        <w:rPr>
          <w:rFonts w:ascii="Arial" w:hAnsi="Arial" w:cs="Arial"/>
        </w:rPr>
        <w:t>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exposition «</w:t>
      </w:r>
      <w:r w:rsidRPr="00B16BD5">
        <w:rPr>
          <w:rFonts w:ascii="Arial" w:hAnsi="Arial" w:cs="Arial"/>
          <w:i/>
          <w:iCs/>
        </w:rPr>
        <w:t> </w:t>
      </w:r>
      <w:hyperlink r:id="rId12" w:history="1">
        <w:r w:rsidRPr="00B16BD5">
          <w:rPr>
            <w:rStyle w:val="Lienhypertexte"/>
            <w:rFonts w:ascii="Arial" w:hAnsi="Arial" w:cs="Arial"/>
            <w:i/>
            <w:iCs/>
          </w:rPr>
          <w:t xml:space="preserve">Tsunami: </w:t>
        </w:r>
        <w:proofErr w:type="spellStart"/>
        <w:r w:rsidRPr="00B16BD5">
          <w:rPr>
            <w:rStyle w:val="Lienhypertexte"/>
            <w:rFonts w:ascii="Arial" w:hAnsi="Arial" w:cs="Arial"/>
            <w:i/>
            <w:iCs/>
          </w:rPr>
          <w:t>Sea</w:t>
        </w:r>
        <w:proofErr w:type="spellEnd"/>
        <w:r w:rsidRPr="00B16BD5">
          <w:rPr>
            <w:rStyle w:val="Lienhypertexte"/>
            <w:rFonts w:ascii="Arial" w:hAnsi="Arial" w:cs="Arial"/>
            <w:i/>
            <w:iCs/>
          </w:rPr>
          <w:t xml:space="preserve"> Change for </w:t>
        </w:r>
        <w:proofErr w:type="spellStart"/>
        <w:r w:rsidRPr="00B16BD5">
          <w:rPr>
            <w:rStyle w:val="Lienhypertexte"/>
            <w:rFonts w:ascii="Arial" w:hAnsi="Arial" w:cs="Arial"/>
            <w:i/>
            <w:iCs/>
          </w:rPr>
          <w:t>Resilience</w:t>
        </w:r>
        <w:proofErr w:type="spellEnd"/>
      </w:hyperlink>
      <w:r w:rsidR="00B16BD5">
        <w:rPr>
          <w:rFonts w:ascii="Arial" w:hAnsi="Arial" w:cs="Arial"/>
        </w:rPr>
        <w:t> </w:t>
      </w:r>
      <w:r w:rsidRPr="00B16BD5">
        <w:rPr>
          <w:rFonts w:ascii="Arial" w:hAnsi="Arial" w:cs="Arial"/>
        </w:rPr>
        <w:t xml:space="preserve">», préparée en </w:t>
      </w:r>
      <w:r w:rsidR="00C96868">
        <w:rPr>
          <w:rFonts w:ascii="Arial" w:hAnsi="Arial" w:cs="Arial"/>
        </w:rPr>
        <w:t>partenariat</w:t>
      </w:r>
      <w:r w:rsidR="00C96868" w:rsidRPr="00B16BD5">
        <w:rPr>
          <w:rFonts w:ascii="Arial" w:hAnsi="Arial" w:cs="Arial"/>
        </w:rPr>
        <w:t xml:space="preserve"> </w:t>
      </w:r>
      <w:r w:rsidRPr="00B16BD5">
        <w:rPr>
          <w:rFonts w:ascii="Arial" w:hAnsi="Arial" w:cs="Arial"/>
        </w:rPr>
        <w:t>avec le Bureau des Nations</w:t>
      </w:r>
      <w:r w:rsidR="0061543C">
        <w:rPr>
          <w:rFonts w:ascii="Arial" w:hAnsi="Arial" w:cs="Arial"/>
        </w:rPr>
        <w:t> </w:t>
      </w:r>
      <w:r w:rsidRPr="00B16BD5">
        <w:rPr>
          <w:rFonts w:ascii="Arial" w:hAnsi="Arial" w:cs="Arial"/>
        </w:rPr>
        <w:t xml:space="preserve">Unies pour la réduction des risques de catastrophe (UNDRR) et Nautilus, qui </w:t>
      </w:r>
      <w:r w:rsidR="00C96868">
        <w:rPr>
          <w:rFonts w:ascii="Arial" w:hAnsi="Arial" w:cs="Arial"/>
        </w:rPr>
        <w:t>présente</w:t>
      </w:r>
      <w:r w:rsidR="00C96868" w:rsidRPr="00B16BD5">
        <w:rPr>
          <w:rFonts w:ascii="Arial" w:hAnsi="Arial" w:cs="Arial"/>
        </w:rPr>
        <w:t xml:space="preserve"> </w:t>
      </w:r>
      <w:r w:rsidRPr="00B16BD5">
        <w:rPr>
          <w:rFonts w:ascii="Arial" w:hAnsi="Arial" w:cs="Arial"/>
        </w:rPr>
        <w:t>des portraits réalisés par Matt Porteous et des histoires inspirantes, ainsi que des œuvres</w:t>
      </w:r>
      <w:r w:rsidR="00C96868">
        <w:rPr>
          <w:rFonts w:ascii="Arial" w:hAnsi="Arial" w:cs="Arial"/>
        </w:rPr>
        <w:t xml:space="preserve"> d’art</w:t>
      </w:r>
      <w:r w:rsidRPr="00B16BD5">
        <w:rPr>
          <w:rFonts w:ascii="Arial" w:hAnsi="Arial" w:cs="Arial"/>
        </w:rPr>
        <w:t xml:space="preserve"> historiques et contemporaines commémor</w:t>
      </w:r>
      <w:r w:rsidR="00C96868">
        <w:rPr>
          <w:rFonts w:ascii="Arial" w:hAnsi="Arial" w:cs="Arial"/>
        </w:rPr>
        <w:t>a</w:t>
      </w:r>
      <w:r w:rsidRPr="00B16BD5">
        <w:rPr>
          <w:rFonts w:ascii="Arial" w:hAnsi="Arial" w:cs="Arial"/>
        </w:rPr>
        <w:t>nt le 20</w:t>
      </w:r>
      <w:r w:rsidRPr="00B16BD5">
        <w:rPr>
          <w:rFonts w:ascii="Arial" w:hAnsi="Arial" w:cs="Arial"/>
          <w:vertAlign w:val="superscript"/>
        </w:rPr>
        <w:t>e</w:t>
      </w:r>
      <w:r w:rsidRPr="00B16BD5">
        <w:rPr>
          <w:rFonts w:ascii="Arial" w:hAnsi="Arial" w:cs="Arial"/>
        </w:rPr>
        <w:t> anniversaire du tsunami de 2004 dans 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océan Indien ; 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 xml:space="preserve">organisation de la </w:t>
      </w:r>
      <w:hyperlink r:id="rId13" w:history="1">
        <w:r w:rsidR="00C96868">
          <w:rPr>
            <w:rStyle w:val="Lienhypertexte"/>
            <w:rFonts w:ascii="Arial" w:hAnsi="Arial" w:cs="Arial"/>
          </w:rPr>
          <w:t>cérémonie de commémoration du 20</w:t>
        </w:r>
        <w:r w:rsidR="00C96868" w:rsidRPr="001258AC">
          <w:rPr>
            <w:rStyle w:val="Lienhypertexte"/>
            <w:rFonts w:ascii="Arial" w:hAnsi="Arial" w:cs="Arial"/>
            <w:vertAlign w:val="superscript"/>
          </w:rPr>
          <w:t>e</w:t>
        </w:r>
        <w:r w:rsidR="00C96868">
          <w:rPr>
            <w:rStyle w:val="Lienhypertexte"/>
            <w:rFonts w:ascii="Arial" w:hAnsi="Arial" w:cs="Arial"/>
          </w:rPr>
          <w:t> anniversaire du tsunami de 200</w:t>
        </w:r>
        <w:r w:rsidR="00C96868">
          <w:rPr>
            <w:rStyle w:val="Lienhypertexte"/>
            <w:rFonts w:ascii="Arial" w:hAnsi="Arial" w:cs="Arial"/>
          </w:rPr>
          <w:t>4</w:t>
        </w:r>
        <w:r w:rsidR="00C96868">
          <w:rPr>
            <w:rStyle w:val="Lienhypertexte"/>
            <w:rFonts w:ascii="Arial" w:hAnsi="Arial" w:cs="Arial"/>
          </w:rPr>
          <w:t xml:space="preserve"> d</w:t>
        </w:r>
        <w:r w:rsidR="00186374">
          <w:rPr>
            <w:rStyle w:val="Lienhypertexte"/>
            <w:rFonts w:ascii="Arial" w:hAnsi="Arial" w:cs="Arial"/>
          </w:rPr>
          <w:t>e</w:t>
        </w:r>
        <w:r w:rsidR="00C96868">
          <w:rPr>
            <w:rStyle w:val="Lienhypertexte"/>
            <w:rFonts w:ascii="Arial" w:hAnsi="Arial" w:cs="Arial"/>
          </w:rPr>
          <w:t xml:space="preserve"> l’océan Indien</w:t>
        </w:r>
      </w:hyperlink>
      <w:r w:rsidRPr="00B16BD5">
        <w:rPr>
          <w:rFonts w:ascii="Arial" w:hAnsi="Arial" w:cs="Arial"/>
        </w:rPr>
        <w:t xml:space="preserve"> au Siège de 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UNESCO le 26 novembre 2024 afin de réfléchir à la résilience, de mettre à 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honneur les personnes touchées et de réaffirmer notre engagement en faveur de la préparation aux catastrophes.</w:t>
      </w:r>
    </w:p>
    <w:p w14:paraId="7A8AA549" w14:textId="5C6847BD" w:rsidR="00A40455" w:rsidRPr="00B16BD5" w:rsidRDefault="00A40455" w:rsidP="00A40455">
      <w:pPr>
        <w:tabs>
          <w:tab w:val="left" w:pos="709"/>
        </w:tabs>
        <w:snapToGrid w:val="0"/>
        <w:spacing w:after="240" w:line="240" w:lineRule="auto"/>
        <w:jc w:val="both"/>
        <w:rPr>
          <w:rFonts w:ascii="Arial" w:eastAsia="SimSun" w:hAnsi="Arial" w:cs="Arial"/>
          <w:bCs/>
          <w:snapToGrid w:val="0"/>
        </w:rPr>
      </w:pPr>
      <w:r w:rsidRPr="00B16BD5">
        <w:rPr>
          <w:rFonts w:ascii="Arial" w:hAnsi="Arial" w:cs="Arial"/>
          <w:b/>
          <w:bCs/>
        </w:rPr>
        <w:t>Le Groupe de travail a accepté</w:t>
      </w:r>
      <w:r w:rsidRPr="00B16BD5">
        <w:rPr>
          <w:rFonts w:ascii="Arial" w:hAnsi="Arial" w:cs="Arial"/>
        </w:rPr>
        <w:t xml:space="preserve"> 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invitation de 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 xml:space="preserve">UNDRR de </w:t>
      </w:r>
      <w:r w:rsidR="00901492">
        <w:rPr>
          <w:rFonts w:ascii="Arial" w:hAnsi="Arial" w:cs="Arial"/>
        </w:rPr>
        <w:t>définir</w:t>
      </w:r>
      <w:r w:rsidRPr="00B16BD5">
        <w:rPr>
          <w:rFonts w:ascii="Arial" w:hAnsi="Arial" w:cs="Arial"/>
        </w:rPr>
        <w:t xml:space="preserve"> conjointement le thème </w:t>
      </w:r>
      <w:r w:rsidR="009A33AF">
        <w:rPr>
          <w:rFonts w:ascii="Arial" w:hAnsi="Arial" w:cs="Arial"/>
        </w:rPr>
        <w:t>de</w:t>
      </w:r>
      <w:r w:rsidR="009A33AF" w:rsidRPr="00B16BD5">
        <w:rPr>
          <w:rFonts w:ascii="Arial" w:hAnsi="Arial" w:cs="Arial"/>
        </w:rPr>
        <w:t xml:space="preserve"> </w:t>
      </w:r>
      <w:r w:rsidRPr="00B16BD5">
        <w:rPr>
          <w:rFonts w:ascii="Arial" w:hAnsi="Arial" w:cs="Arial"/>
        </w:rPr>
        <w:t>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 xml:space="preserve">édition 2025 de la Journée mondiale de sensibilisation aux tsunamis </w:t>
      </w:r>
      <w:r w:rsidR="00A04A0C">
        <w:rPr>
          <w:rFonts w:ascii="Arial" w:hAnsi="Arial" w:cs="Arial"/>
        </w:rPr>
        <w:t>en l’articulant autour</w:t>
      </w:r>
      <w:r w:rsidR="001B4A58" w:rsidRPr="00B16BD5">
        <w:rPr>
          <w:rFonts w:ascii="Arial" w:hAnsi="Arial" w:cs="Arial"/>
        </w:rPr>
        <w:t xml:space="preserve"> </w:t>
      </w:r>
      <w:r w:rsidR="006C11B9">
        <w:rPr>
          <w:rFonts w:ascii="Arial" w:hAnsi="Arial" w:cs="Arial"/>
        </w:rPr>
        <w:t>du</w:t>
      </w:r>
      <w:r w:rsidR="006C11B9" w:rsidRPr="00B16BD5">
        <w:rPr>
          <w:rFonts w:ascii="Arial" w:hAnsi="Arial" w:cs="Arial"/>
        </w:rPr>
        <w:t xml:space="preserve"> </w:t>
      </w:r>
      <w:r w:rsidRPr="00B16BD5">
        <w:rPr>
          <w:rFonts w:ascii="Arial" w:hAnsi="Arial" w:cs="Arial"/>
        </w:rPr>
        <w:t>programme de certification Tsunami </w:t>
      </w:r>
      <w:proofErr w:type="spellStart"/>
      <w:r w:rsidRPr="00B16BD5">
        <w:rPr>
          <w:rFonts w:ascii="Arial" w:hAnsi="Arial" w:cs="Arial"/>
        </w:rPr>
        <w:t>Ready</w:t>
      </w:r>
      <w:proofErr w:type="spellEnd"/>
      <w:r w:rsidRPr="00B16BD5">
        <w:rPr>
          <w:rFonts w:ascii="Arial" w:hAnsi="Arial" w:cs="Arial"/>
        </w:rPr>
        <w:t xml:space="preserve">, </w:t>
      </w:r>
      <w:r w:rsidR="006C11B9">
        <w:rPr>
          <w:rFonts w:ascii="Arial" w:hAnsi="Arial" w:cs="Arial"/>
        </w:rPr>
        <w:t>du</w:t>
      </w:r>
      <w:r w:rsidR="006C11B9" w:rsidRPr="00B16BD5">
        <w:rPr>
          <w:rFonts w:ascii="Arial" w:hAnsi="Arial" w:cs="Arial"/>
        </w:rPr>
        <w:t xml:space="preserve"> </w:t>
      </w:r>
      <w:r w:rsidRPr="00B16BD5">
        <w:rPr>
          <w:rFonts w:ascii="Arial" w:hAnsi="Arial" w:cs="Arial"/>
        </w:rPr>
        <w:t xml:space="preserve">Programme Pour des villes résilientes, ainsi que </w:t>
      </w:r>
      <w:r w:rsidR="006C11B9">
        <w:rPr>
          <w:rFonts w:ascii="Arial" w:hAnsi="Arial" w:cs="Arial"/>
        </w:rPr>
        <w:t>d</w:t>
      </w:r>
      <w:r w:rsidRPr="00B16BD5">
        <w:rPr>
          <w:rFonts w:ascii="Arial" w:hAnsi="Arial" w:cs="Arial"/>
        </w:rPr>
        <w:t xml:space="preserve">es </w:t>
      </w:r>
      <w:proofErr w:type="gramStart"/>
      <w:r w:rsidRPr="00B16BD5">
        <w:rPr>
          <w:rFonts w:ascii="Arial" w:hAnsi="Arial" w:cs="Arial"/>
        </w:rPr>
        <w:t>hashtags</w:t>
      </w:r>
      <w:proofErr w:type="gramEnd"/>
      <w:r w:rsidRPr="00B16BD5">
        <w:rPr>
          <w:rFonts w:ascii="Arial" w:hAnsi="Arial" w:cs="Arial"/>
        </w:rPr>
        <w:t xml:space="preserve"> </w:t>
      </w:r>
      <w:hyperlink r:id="rId14" w:history="1">
        <w:r w:rsidRPr="00B16BD5">
          <w:rPr>
            <w:rStyle w:val="Lienhypertexte"/>
            <w:rFonts w:ascii="Arial" w:hAnsi="Arial" w:cs="Arial"/>
          </w:rPr>
          <w:t>#GetToHighGround</w:t>
        </w:r>
      </w:hyperlink>
      <w:r w:rsidRPr="00B16BD5">
        <w:rPr>
          <w:rFonts w:ascii="Arial" w:hAnsi="Arial" w:cs="Arial"/>
        </w:rPr>
        <w:t xml:space="preserve"> et </w:t>
      </w:r>
      <w:r w:rsidRPr="00D04BEB">
        <w:rPr>
          <w:rFonts w:ascii="Arial" w:hAnsi="Arial" w:cs="Arial"/>
          <w:color w:val="0000FF"/>
        </w:rPr>
        <w:t>#TsunamiReady</w:t>
      </w:r>
      <w:r w:rsidRPr="00B16BD5">
        <w:rPr>
          <w:rFonts w:ascii="Arial" w:hAnsi="Arial" w:cs="Arial"/>
        </w:rPr>
        <w:t xml:space="preserve"> en vue </w:t>
      </w:r>
      <w:r w:rsidR="009A33AF">
        <w:rPr>
          <w:rFonts w:ascii="Arial" w:hAnsi="Arial" w:cs="Arial"/>
        </w:rPr>
        <w:t>de faire participer</w:t>
      </w:r>
      <w:r w:rsidRPr="00B16BD5">
        <w:rPr>
          <w:rFonts w:ascii="Arial" w:hAnsi="Arial" w:cs="Arial"/>
        </w:rPr>
        <w:t xml:space="preserve"> les citoyens </w:t>
      </w:r>
      <w:r w:rsidR="009A33AF">
        <w:rPr>
          <w:rFonts w:ascii="Arial" w:hAnsi="Arial" w:cs="Arial"/>
        </w:rPr>
        <w:t>à</w:t>
      </w:r>
      <w:r w:rsidR="009A33AF" w:rsidRPr="00B16BD5">
        <w:rPr>
          <w:rFonts w:ascii="Arial" w:hAnsi="Arial" w:cs="Arial"/>
        </w:rPr>
        <w:t xml:space="preserve"> </w:t>
      </w:r>
      <w:r w:rsidRPr="00B16BD5">
        <w:rPr>
          <w:rFonts w:ascii="Arial" w:hAnsi="Arial" w:cs="Arial"/>
        </w:rPr>
        <w:t>la sensibilisation aux tsunamis.</w:t>
      </w:r>
    </w:p>
    <w:p w14:paraId="33F3D523" w14:textId="2B48C1BA" w:rsidR="00A40455" w:rsidRPr="00B16BD5" w:rsidRDefault="00A40455" w:rsidP="00A40455">
      <w:pPr>
        <w:tabs>
          <w:tab w:val="left" w:pos="709"/>
        </w:tabs>
        <w:snapToGrid w:val="0"/>
        <w:spacing w:after="240" w:line="240" w:lineRule="auto"/>
        <w:jc w:val="both"/>
        <w:rPr>
          <w:rFonts w:ascii="Arial" w:eastAsia="Arial" w:hAnsi="Arial" w:cs="Arial"/>
          <w:snapToGrid w:val="0"/>
        </w:rPr>
      </w:pPr>
      <w:r w:rsidRPr="00B16BD5">
        <w:rPr>
          <w:rFonts w:ascii="Arial" w:hAnsi="Arial" w:cs="Arial"/>
          <w:b/>
          <w:bCs/>
        </w:rPr>
        <w:t>Le Groupe de travail a salué</w:t>
      </w:r>
      <w:r w:rsidRPr="00B16BD5">
        <w:rPr>
          <w:rFonts w:ascii="Arial" w:hAnsi="Arial" w:cs="Arial"/>
        </w:rPr>
        <w:t xml:space="preserve"> 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élaboration de procédures opérationnelles normalisées inclusives et d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outils d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 xml:space="preserve">alerte inclusifs pour les enfants </w:t>
      </w:r>
      <w:r w:rsidR="001B4A58">
        <w:rPr>
          <w:rFonts w:ascii="Arial" w:hAnsi="Arial" w:cs="Arial"/>
        </w:rPr>
        <w:t>en situation</w:t>
      </w:r>
      <w:r w:rsidR="001B4A58" w:rsidRPr="00B16BD5">
        <w:rPr>
          <w:rFonts w:ascii="Arial" w:hAnsi="Arial" w:cs="Arial"/>
        </w:rPr>
        <w:t xml:space="preserve"> </w:t>
      </w:r>
      <w:r w:rsidRPr="00B16BD5">
        <w:rPr>
          <w:rFonts w:ascii="Arial" w:hAnsi="Arial" w:cs="Arial"/>
        </w:rPr>
        <w:t xml:space="preserve">de handicap en Indonésie et dans les Caraïbes, </w:t>
      </w:r>
      <w:r w:rsidRPr="00B16BD5">
        <w:rPr>
          <w:rFonts w:ascii="Arial" w:hAnsi="Arial" w:cs="Arial"/>
          <w:b/>
          <w:bCs/>
        </w:rPr>
        <w:t xml:space="preserve">a recommandé </w:t>
      </w:r>
      <w:r w:rsidRPr="00B16BD5">
        <w:rPr>
          <w:rFonts w:ascii="Arial" w:hAnsi="Arial" w:cs="Arial"/>
        </w:rPr>
        <w:t>que les procédures opérationnelles normalisées inclusives de 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 xml:space="preserve">Indonésie soient traduites en anglais et </w:t>
      </w:r>
      <w:r w:rsidRPr="00B16BD5">
        <w:rPr>
          <w:rFonts w:ascii="Arial" w:hAnsi="Arial" w:cs="Arial"/>
          <w:b/>
          <w:bCs/>
        </w:rPr>
        <w:t xml:space="preserve">a encouragé </w:t>
      </w:r>
      <w:r w:rsidR="00242604">
        <w:rPr>
          <w:rFonts w:ascii="Arial" w:hAnsi="Arial" w:cs="Arial"/>
        </w:rPr>
        <w:t>à</w:t>
      </w:r>
      <w:r w:rsidR="00242604" w:rsidRPr="00B16BD5">
        <w:rPr>
          <w:rFonts w:ascii="Arial" w:hAnsi="Arial" w:cs="Arial"/>
        </w:rPr>
        <w:t xml:space="preserve"> </w:t>
      </w:r>
      <w:r w:rsidRPr="00B16BD5">
        <w:rPr>
          <w:rFonts w:ascii="Arial" w:hAnsi="Arial" w:cs="Arial"/>
        </w:rPr>
        <w:t>continuer à élaborer des procédures standards normalisées à titre de directives officielles de la COI.</w:t>
      </w:r>
    </w:p>
    <w:p w14:paraId="2C445DAF" w14:textId="3484537F" w:rsidR="00A40455" w:rsidRPr="00B16BD5" w:rsidRDefault="00A40455" w:rsidP="00A40455">
      <w:pPr>
        <w:spacing w:after="240"/>
        <w:jc w:val="both"/>
        <w:rPr>
          <w:rFonts w:ascii="Arial" w:eastAsia="DengXian" w:hAnsi="Arial" w:cs="Arial"/>
        </w:rPr>
      </w:pPr>
      <w:r w:rsidRPr="00B16BD5">
        <w:rPr>
          <w:rFonts w:ascii="Arial" w:hAnsi="Arial" w:cs="Arial"/>
          <w:b/>
          <w:bCs/>
        </w:rPr>
        <w:t>Le Groupe de travail a pris note</w:t>
      </w:r>
      <w:r w:rsidRPr="00B16BD5">
        <w:rPr>
          <w:rFonts w:ascii="Arial" w:hAnsi="Arial" w:cs="Arial"/>
        </w:rPr>
        <w:t xml:space="preserve"> des révisions apportées au document « </w:t>
      </w:r>
      <w:r w:rsidRPr="00B16BD5">
        <w:rPr>
          <w:rFonts w:ascii="Arial" w:hAnsi="Arial" w:cs="Arial"/>
          <w:i/>
          <w:iCs/>
        </w:rPr>
        <w:t>Tsunami Watch Operations :</w:t>
      </w:r>
      <w:r w:rsidRPr="00B16BD5">
        <w:rPr>
          <w:rFonts w:ascii="Arial" w:hAnsi="Arial" w:cs="Arial"/>
        </w:rPr>
        <w:t xml:space="preserve"> </w:t>
      </w:r>
      <w:r w:rsidRPr="00B16BD5">
        <w:rPr>
          <w:rFonts w:ascii="Arial" w:hAnsi="Arial" w:cs="Arial"/>
          <w:i/>
          <w:iCs/>
        </w:rPr>
        <w:t>Global Service Definition Document</w:t>
      </w:r>
      <w:r w:rsidRPr="00B16BD5">
        <w:rPr>
          <w:rFonts w:ascii="Arial" w:hAnsi="Arial" w:cs="Arial"/>
        </w:rPr>
        <w:t> » (Opérations de veille aux tsunamis : Document de définition du service mondial)</w:t>
      </w:r>
      <w:r w:rsidR="001258AC">
        <w:rPr>
          <w:rFonts w:ascii="Arial" w:hAnsi="Arial" w:cs="Arial"/>
        </w:rPr>
        <w:t>,</w:t>
      </w:r>
      <w:r w:rsidRPr="00B16BD5">
        <w:rPr>
          <w:rFonts w:ascii="Arial" w:hAnsi="Arial" w:cs="Arial"/>
        </w:rPr>
        <w:t xml:space="preserve"> </w:t>
      </w:r>
      <w:hyperlink r:id="rId15" w:history="1">
        <w:r w:rsidRPr="00B16BD5">
          <w:rPr>
            <w:rStyle w:val="Lienhypertexte"/>
            <w:rFonts w:ascii="Arial" w:hAnsi="Arial" w:cs="Arial"/>
          </w:rPr>
          <w:t>n° 130 de la Série technique de la COI</w:t>
        </w:r>
      </w:hyperlink>
      <w:r w:rsidRPr="00B16BD5">
        <w:rPr>
          <w:rFonts w:ascii="Arial" w:hAnsi="Arial" w:cs="Arial"/>
        </w:rPr>
        <w:t>. Paris : UNESCO (Anglais), et a approuvé la publication d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une version révisée du n°</w:t>
      </w:r>
      <w:r w:rsidR="00B16BD5">
        <w:rPr>
          <w:rFonts w:ascii="Arial" w:hAnsi="Arial" w:cs="Arial"/>
        </w:rPr>
        <w:t> </w:t>
      </w:r>
      <w:r w:rsidRPr="00B16BD5">
        <w:rPr>
          <w:rFonts w:ascii="Arial" w:hAnsi="Arial" w:cs="Arial"/>
        </w:rPr>
        <w:t xml:space="preserve">130 de la Série technique de la COI, avec les mises à jour proposées par </w:t>
      </w:r>
      <w:r w:rsidR="0061543C">
        <w:rPr>
          <w:rFonts w:ascii="Arial" w:hAnsi="Arial" w:cs="Arial"/>
        </w:rPr>
        <w:t xml:space="preserve">la </w:t>
      </w:r>
      <w:r w:rsidRPr="00B16BD5">
        <w:rPr>
          <w:rFonts w:ascii="Arial" w:hAnsi="Arial" w:cs="Arial"/>
        </w:rPr>
        <w:t>TT-TWO.</w:t>
      </w:r>
    </w:p>
    <w:p w14:paraId="55CABE5E" w14:textId="177F79B6" w:rsidR="00A40455" w:rsidRPr="00B16BD5" w:rsidRDefault="00A40455" w:rsidP="00A40455">
      <w:pPr>
        <w:tabs>
          <w:tab w:val="left" w:pos="709"/>
        </w:tabs>
        <w:snapToGrid w:val="0"/>
        <w:spacing w:after="240" w:line="240" w:lineRule="auto"/>
        <w:jc w:val="both"/>
        <w:rPr>
          <w:rFonts w:ascii="Arial" w:eastAsia="SimSun" w:hAnsi="Arial" w:cs="Arial"/>
          <w:snapToGrid w:val="0"/>
        </w:rPr>
      </w:pPr>
      <w:r w:rsidRPr="00B16BD5">
        <w:rPr>
          <w:rFonts w:ascii="Arial" w:hAnsi="Arial" w:cs="Arial"/>
          <w:b/>
          <w:bCs/>
        </w:rPr>
        <w:t xml:space="preserve">Le Groupe de travail a manifesté sa vive reconnaissance </w:t>
      </w:r>
      <w:r w:rsidRPr="00B16BD5">
        <w:rPr>
          <w:rFonts w:ascii="Arial" w:hAnsi="Arial" w:cs="Arial"/>
        </w:rPr>
        <w:t>au Gouvernement de 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 xml:space="preserve">Indonésie pour avoir organisé et accueilli conjointement et avec succès le deuxième </w:t>
      </w:r>
      <w:r w:rsidR="00242604">
        <w:rPr>
          <w:rFonts w:ascii="Arial" w:hAnsi="Arial" w:cs="Arial"/>
        </w:rPr>
        <w:t>Colloque</w:t>
      </w:r>
      <w:r w:rsidR="00242604" w:rsidRPr="00B16BD5">
        <w:rPr>
          <w:rFonts w:ascii="Arial" w:hAnsi="Arial" w:cs="Arial"/>
        </w:rPr>
        <w:t xml:space="preserve"> </w:t>
      </w:r>
      <w:r w:rsidRPr="00B16BD5">
        <w:rPr>
          <w:rFonts w:ascii="Arial" w:hAnsi="Arial" w:cs="Arial"/>
        </w:rPr>
        <w:t xml:space="preserve">mondial de la COI sur les tsunamis sur le thème </w:t>
      </w:r>
      <w:r w:rsidR="0061543C">
        <w:rPr>
          <w:rFonts w:ascii="Arial" w:hAnsi="Arial" w:cs="Arial"/>
        </w:rPr>
        <w:t>« </w:t>
      </w:r>
      <w:r w:rsidRPr="00B16BD5">
        <w:rPr>
          <w:rFonts w:ascii="Arial" w:hAnsi="Arial" w:cs="Arial"/>
        </w:rPr>
        <w:t>Vingt ans après le tsunami de 2004 dans 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océan Indien</w:t>
      </w:r>
      <w:r w:rsidR="0061543C">
        <w:rPr>
          <w:rFonts w:ascii="Arial" w:hAnsi="Arial" w:cs="Arial"/>
        </w:rPr>
        <w:t> </w:t>
      </w:r>
      <w:r w:rsidRPr="00B16BD5">
        <w:rPr>
          <w:rFonts w:ascii="Arial" w:hAnsi="Arial" w:cs="Arial"/>
        </w:rPr>
        <w:t>: Réflexion et perspectives</w:t>
      </w:r>
      <w:r w:rsidR="0061543C">
        <w:rPr>
          <w:rFonts w:ascii="Arial" w:hAnsi="Arial" w:cs="Arial"/>
        </w:rPr>
        <w:t> »</w:t>
      </w:r>
      <w:r w:rsidRPr="00B16BD5">
        <w:rPr>
          <w:rFonts w:ascii="Arial" w:hAnsi="Arial" w:cs="Arial"/>
        </w:rPr>
        <w:t>, à Banda Aceh, du 11 au 14 novembre 2024.</w:t>
      </w:r>
    </w:p>
    <w:p w14:paraId="5DF5F40A" w14:textId="74FB74BA" w:rsidR="00A40455" w:rsidRPr="00B16BD5" w:rsidRDefault="00A40455" w:rsidP="00A40455">
      <w:pPr>
        <w:tabs>
          <w:tab w:val="left" w:pos="709"/>
        </w:tabs>
        <w:snapToGrid w:val="0"/>
        <w:spacing w:after="240" w:line="240" w:lineRule="auto"/>
        <w:jc w:val="both"/>
        <w:rPr>
          <w:rFonts w:ascii="Arial" w:eastAsia="Arial" w:hAnsi="Arial" w:cs="Arial"/>
          <w:snapToGrid w:val="0"/>
        </w:rPr>
      </w:pPr>
      <w:r w:rsidRPr="00B16BD5">
        <w:rPr>
          <w:rFonts w:ascii="Arial" w:hAnsi="Arial" w:cs="Arial"/>
          <w:b/>
          <w:bCs/>
        </w:rPr>
        <w:t>Le Groupe de travail a reconnu</w:t>
      </w:r>
      <w:r w:rsidRPr="00B16BD5">
        <w:rPr>
          <w:rFonts w:ascii="Arial" w:hAnsi="Arial" w:cs="Arial"/>
        </w:rPr>
        <w:t xml:space="preserve"> que la progression de la mise en œuvre des protocoles communs d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alerte (PAC) à travers le monde constituait une étape importante en ce qui concerne 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 xml:space="preserve">initiative Alertes précoces pour tous ; que les PAC </w:t>
      </w:r>
      <w:r w:rsidR="002C477E">
        <w:rPr>
          <w:rFonts w:ascii="Arial" w:hAnsi="Arial" w:cs="Arial"/>
        </w:rPr>
        <w:t>pouvaient</w:t>
      </w:r>
      <w:r w:rsidR="002C477E" w:rsidRPr="00B16BD5">
        <w:rPr>
          <w:rFonts w:ascii="Arial" w:hAnsi="Arial" w:cs="Arial"/>
        </w:rPr>
        <w:t xml:space="preserve"> </w:t>
      </w:r>
      <w:r w:rsidRPr="00B16BD5">
        <w:rPr>
          <w:rFonts w:ascii="Arial" w:hAnsi="Arial" w:cs="Arial"/>
        </w:rPr>
        <w:t>être considérés comme un pont reliant « les observations, le suivi, 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analyse et la prévision » à « la diffusion et la communication des alertes » ; et que l</w:t>
      </w:r>
      <w:r w:rsidR="00B16BD5">
        <w:rPr>
          <w:rFonts w:ascii="Arial" w:hAnsi="Arial" w:cs="Arial"/>
        </w:rPr>
        <w:t>’</w:t>
      </w:r>
      <w:r w:rsidR="0061543C" w:rsidRPr="0061543C">
        <w:rPr>
          <w:rFonts w:ascii="Arial" w:hAnsi="Arial" w:cs="Arial"/>
        </w:rPr>
        <w:t>Organisation météorologique mondiale</w:t>
      </w:r>
      <w:r w:rsidR="0061543C">
        <w:rPr>
          <w:rFonts w:ascii="Arial" w:hAnsi="Arial" w:cs="Arial"/>
        </w:rPr>
        <w:t> (</w:t>
      </w:r>
      <w:r w:rsidRPr="00B16BD5">
        <w:rPr>
          <w:rFonts w:ascii="Arial" w:hAnsi="Arial" w:cs="Arial"/>
        </w:rPr>
        <w:t>OMM</w:t>
      </w:r>
      <w:r w:rsidR="0061543C">
        <w:rPr>
          <w:rFonts w:ascii="Arial" w:hAnsi="Arial" w:cs="Arial"/>
        </w:rPr>
        <w:t>)</w:t>
      </w:r>
      <w:r w:rsidRPr="00B16BD5">
        <w:rPr>
          <w:rFonts w:ascii="Arial" w:hAnsi="Arial" w:cs="Arial"/>
        </w:rPr>
        <w:t xml:space="preserve"> </w:t>
      </w:r>
      <w:r w:rsidR="002C477E">
        <w:rPr>
          <w:rFonts w:ascii="Arial" w:hAnsi="Arial" w:cs="Arial"/>
        </w:rPr>
        <w:t>était</w:t>
      </w:r>
      <w:r w:rsidR="002C477E" w:rsidRPr="00B16BD5">
        <w:rPr>
          <w:rFonts w:ascii="Arial" w:hAnsi="Arial" w:cs="Arial"/>
        </w:rPr>
        <w:t xml:space="preserve"> </w:t>
      </w:r>
      <w:r w:rsidRPr="00B16BD5">
        <w:rPr>
          <w:rFonts w:ascii="Arial" w:hAnsi="Arial" w:cs="Arial"/>
        </w:rPr>
        <w:t>capable de fournir une aide pouvant être nécessaire en la matière</w:t>
      </w:r>
      <w:r w:rsidR="00EB47E9">
        <w:rPr>
          <w:rFonts w:ascii="Arial" w:hAnsi="Arial" w:cs="Arial"/>
        </w:rPr>
        <w:t>.</w:t>
      </w:r>
    </w:p>
    <w:p w14:paraId="3F9FFFF2" w14:textId="77777777" w:rsidR="00A40455" w:rsidRPr="00B16BD5" w:rsidRDefault="00A40455" w:rsidP="00A40455">
      <w:pPr>
        <w:tabs>
          <w:tab w:val="left" w:pos="709"/>
        </w:tabs>
        <w:snapToGrid w:val="0"/>
        <w:spacing w:after="240" w:line="240" w:lineRule="auto"/>
        <w:jc w:val="both"/>
        <w:rPr>
          <w:rFonts w:ascii="Arial" w:eastAsia="Arial" w:hAnsi="Arial" w:cs="Arial"/>
          <w:snapToGrid w:val="0"/>
        </w:rPr>
      </w:pPr>
      <w:r w:rsidRPr="00B16BD5">
        <w:rPr>
          <w:rFonts w:ascii="Arial" w:hAnsi="Arial" w:cs="Arial"/>
          <w:b/>
          <w:bCs/>
        </w:rPr>
        <w:t>Le Groupe de travail a chargé</w:t>
      </w:r>
      <w:r w:rsidRPr="00B16BD5">
        <w:rPr>
          <w:rFonts w:ascii="Arial" w:hAnsi="Arial" w:cs="Arial"/>
        </w:rPr>
        <w:t xml:space="preserve"> la TT-DMP :</w:t>
      </w:r>
    </w:p>
    <w:p w14:paraId="782AB85C" w14:textId="728C80E0" w:rsidR="00A40455" w:rsidRPr="00B16BD5" w:rsidRDefault="00A40455" w:rsidP="001E1D02">
      <w:pPr>
        <w:numPr>
          <w:ilvl w:val="0"/>
          <w:numId w:val="25"/>
        </w:numPr>
        <w:snapToGrid w:val="0"/>
        <w:spacing w:after="240" w:line="240" w:lineRule="auto"/>
        <w:ind w:left="851" w:hanging="284"/>
        <w:jc w:val="both"/>
        <w:rPr>
          <w:rFonts w:ascii="Arial" w:eastAsia="Arial" w:hAnsi="Arial" w:cs="Arial"/>
          <w:snapToGrid w:val="0"/>
        </w:rPr>
      </w:pPr>
      <w:proofErr w:type="gramStart"/>
      <w:r w:rsidRPr="00B16BD5">
        <w:rPr>
          <w:rFonts w:ascii="Arial" w:hAnsi="Arial" w:cs="Arial"/>
        </w:rPr>
        <w:t>de</w:t>
      </w:r>
      <w:proofErr w:type="gramEnd"/>
      <w:r w:rsidRPr="00B16BD5">
        <w:rPr>
          <w:rFonts w:ascii="Arial" w:hAnsi="Arial" w:cs="Arial"/>
        </w:rPr>
        <w:t xml:space="preserve"> préparer des directives en </w:t>
      </w:r>
      <w:r w:rsidR="002C477E">
        <w:rPr>
          <w:rFonts w:ascii="Arial" w:hAnsi="Arial" w:cs="Arial"/>
        </w:rPr>
        <w:t>vue d’élaborer d</w:t>
      </w:r>
      <w:r w:rsidRPr="00B16BD5">
        <w:rPr>
          <w:rFonts w:ascii="Arial" w:hAnsi="Arial" w:cs="Arial"/>
        </w:rPr>
        <w:t>es procédures opérationnelles normalisées inclusives en s</w:t>
      </w:r>
      <w:r w:rsidR="00B16BD5">
        <w:rPr>
          <w:rFonts w:ascii="Arial" w:hAnsi="Arial" w:cs="Arial"/>
        </w:rPr>
        <w:t>’</w:t>
      </w:r>
      <w:r w:rsidR="002C477E">
        <w:rPr>
          <w:rFonts w:ascii="Arial" w:hAnsi="Arial" w:cs="Arial"/>
        </w:rPr>
        <w:t>inspirant de</w:t>
      </w:r>
      <w:r w:rsidRPr="00B16BD5">
        <w:rPr>
          <w:rFonts w:ascii="Arial" w:hAnsi="Arial" w:cs="Arial"/>
        </w:rPr>
        <w:t xml:space="preserve"> la </w:t>
      </w:r>
      <w:r w:rsidR="002C477E">
        <w:rPr>
          <w:rFonts w:ascii="Arial" w:hAnsi="Arial" w:cs="Arial"/>
        </w:rPr>
        <w:t>mise en place</w:t>
      </w:r>
      <w:r w:rsidR="002C477E" w:rsidRPr="00B16BD5">
        <w:rPr>
          <w:rFonts w:ascii="Arial" w:hAnsi="Arial" w:cs="Arial"/>
        </w:rPr>
        <w:t xml:space="preserve"> </w:t>
      </w:r>
      <w:r w:rsidRPr="00B16BD5">
        <w:rPr>
          <w:rFonts w:ascii="Arial" w:hAnsi="Arial" w:cs="Arial"/>
        </w:rPr>
        <w:t>de procédures opérationnelles normalisées inclusives et d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outils d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 xml:space="preserve">alerte inclusifs pour les enfants </w:t>
      </w:r>
      <w:r w:rsidR="001B4A58">
        <w:rPr>
          <w:rFonts w:ascii="Arial" w:hAnsi="Arial" w:cs="Arial"/>
        </w:rPr>
        <w:t>en situation</w:t>
      </w:r>
      <w:r w:rsidR="001B4A58" w:rsidRPr="00B16BD5">
        <w:rPr>
          <w:rFonts w:ascii="Arial" w:hAnsi="Arial" w:cs="Arial"/>
        </w:rPr>
        <w:t xml:space="preserve"> </w:t>
      </w:r>
      <w:r w:rsidRPr="00B16BD5">
        <w:rPr>
          <w:rFonts w:ascii="Arial" w:hAnsi="Arial" w:cs="Arial"/>
        </w:rPr>
        <w:t>de handicap en Indonésie et dans les Caraïbes.</w:t>
      </w:r>
    </w:p>
    <w:p w14:paraId="19EF8C46" w14:textId="1749D822" w:rsidR="00A40455" w:rsidRPr="00B16BD5" w:rsidRDefault="00A40455" w:rsidP="00A40455">
      <w:pPr>
        <w:tabs>
          <w:tab w:val="left" w:pos="709"/>
        </w:tabs>
        <w:snapToGrid w:val="0"/>
        <w:spacing w:after="240" w:line="240" w:lineRule="auto"/>
        <w:jc w:val="both"/>
        <w:rPr>
          <w:rFonts w:ascii="Arial" w:eastAsia="Arial" w:hAnsi="Arial" w:cs="Arial"/>
          <w:snapToGrid w:val="0"/>
        </w:rPr>
      </w:pPr>
      <w:r w:rsidRPr="00B16BD5">
        <w:rPr>
          <w:rFonts w:ascii="Arial" w:hAnsi="Arial" w:cs="Arial"/>
          <w:b/>
          <w:bCs/>
        </w:rPr>
        <w:t xml:space="preserve">Le Groupe de travail a </w:t>
      </w:r>
      <w:r w:rsidR="002C477E">
        <w:rPr>
          <w:rFonts w:ascii="Arial" w:hAnsi="Arial" w:cs="Arial"/>
          <w:b/>
          <w:bCs/>
        </w:rPr>
        <w:t>chargé</w:t>
      </w:r>
      <w:r w:rsidRPr="00B16BD5">
        <w:rPr>
          <w:rFonts w:ascii="Arial" w:hAnsi="Arial" w:cs="Arial"/>
        </w:rPr>
        <w:t xml:space="preserve"> la TT-TWO :</w:t>
      </w:r>
    </w:p>
    <w:p w14:paraId="15E50DCF" w14:textId="200F21D9" w:rsidR="00A40455" w:rsidRPr="00B16BD5" w:rsidRDefault="00A40455" w:rsidP="001E1D02">
      <w:pPr>
        <w:numPr>
          <w:ilvl w:val="0"/>
          <w:numId w:val="25"/>
        </w:numPr>
        <w:snapToGrid w:val="0"/>
        <w:spacing w:after="240" w:line="240" w:lineRule="auto"/>
        <w:ind w:left="851" w:hanging="284"/>
        <w:jc w:val="both"/>
        <w:rPr>
          <w:rFonts w:ascii="Arial" w:eastAsia="Arial" w:hAnsi="Arial" w:cs="Arial"/>
          <w:bCs/>
          <w:snapToGrid w:val="0"/>
        </w:rPr>
      </w:pPr>
      <w:r w:rsidRPr="00B16BD5">
        <w:rPr>
          <w:rFonts w:ascii="Arial" w:hAnsi="Arial" w:cs="Arial"/>
        </w:rPr>
        <w:t>d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 xml:space="preserve">inclure les tsunamis causés par des glissements de terrain sous-marins ou terrestres dans son programme de travail et de </w:t>
      </w:r>
      <w:r w:rsidR="002C477E">
        <w:rPr>
          <w:rFonts w:ascii="Arial" w:hAnsi="Arial" w:cs="Arial"/>
        </w:rPr>
        <w:t>coopérer avec</w:t>
      </w:r>
      <w:r w:rsidRPr="00B16BD5">
        <w:rPr>
          <w:rFonts w:ascii="Arial" w:hAnsi="Arial" w:cs="Arial"/>
        </w:rPr>
        <w:t xml:space="preserve"> </w:t>
      </w:r>
      <w:r w:rsidR="002C477E">
        <w:rPr>
          <w:rFonts w:ascii="Arial" w:hAnsi="Arial" w:cs="Arial"/>
        </w:rPr>
        <w:t xml:space="preserve">la </w:t>
      </w:r>
      <w:r w:rsidRPr="00B16BD5">
        <w:rPr>
          <w:rFonts w:ascii="Arial" w:hAnsi="Arial" w:cs="Arial"/>
        </w:rPr>
        <w:t xml:space="preserve">communauté scientifique et opérationnelle </w:t>
      </w:r>
      <w:r w:rsidR="002C477E">
        <w:rPr>
          <w:rFonts w:ascii="Arial" w:hAnsi="Arial" w:cs="Arial"/>
        </w:rPr>
        <w:t>gérant le</w:t>
      </w:r>
      <w:r w:rsidR="002C477E" w:rsidRPr="00B16BD5">
        <w:rPr>
          <w:rFonts w:ascii="Arial" w:hAnsi="Arial" w:cs="Arial"/>
        </w:rPr>
        <w:t xml:space="preserve"> risque de glissement de terrain et </w:t>
      </w:r>
      <w:r w:rsidR="001314EF">
        <w:rPr>
          <w:rFonts w:ascii="Arial" w:hAnsi="Arial" w:cs="Arial"/>
        </w:rPr>
        <w:t xml:space="preserve">les </w:t>
      </w:r>
      <w:r w:rsidR="001314EF" w:rsidRPr="00B16BD5">
        <w:rPr>
          <w:rFonts w:ascii="Arial" w:hAnsi="Arial" w:cs="Arial"/>
        </w:rPr>
        <w:t>alerte</w:t>
      </w:r>
      <w:r w:rsidR="001314EF">
        <w:rPr>
          <w:rFonts w:ascii="Arial" w:hAnsi="Arial" w:cs="Arial"/>
        </w:rPr>
        <w:t>s</w:t>
      </w:r>
      <w:r w:rsidR="001314EF" w:rsidRPr="00B16BD5">
        <w:rPr>
          <w:rFonts w:ascii="Arial" w:hAnsi="Arial" w:cs="Arial"/>
        </w:rPr>
        <w:t xml:space="preserve"> </w:t>
      </w:r>
      <w:r w:rsidR="001314EF">
        <w:rPr>
          <w:rFonts w:ascii="Arial" w:hAnsi="Arial" w:cs="Arial"/>
        </w:rPr>
        <w:t>rapides</w:t>
      </w:r>
      <w:r w:rsidR="001314EF" w:rsidRPr="00B16BD5">
        <w:rPr>
          <w:rFonts w:ascii="Arial" w:hAnsi="Arial" w:cs="Arial"/>
        </w:rPr>
        <w:t xml:space="preserve"> </w:t>
      </w:r>
      <w:r w:rsidRPr="00B16BD5">
        <w:rPr>
          <w:rFonts w:ascii="Arial" w:hAnsi="Arial" w:cs="Arial"/>
        </w:rPr>
        <w:t>afin de répondre aux exigences du premier objectif du Programme relatif aux tsunamis de la Décennie de 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Océan</w:t>
      </w:r>
      <w:r w:rsidR="001314EF">
        <w:rPr>
          <w:rFonts w:ascii="Arial" w:hAnsi="Arial" w:cs="Arial"/>
        </w:rPr>
        <w:t>,</w:t>
      </w:r>
      <w:r w:rsidRPr="00B16BD5">
        <w:rPr>
          <w:rFonts w:ascii="Arial" w:hAnsi="Arial" w:cs="Arial"/>
        </w:rPr>
        <w:t xml:space="preserve"> qui est </w:t>
      </w:r>
      <w:r w:rsidR="001314EF">
        <w:rPr>
          <w:rFonts w:ascii="Arial" w:hAnsi="Arial" w:cs="Arial"/>
        </w:rPr>
        <w:t xml:space="preserve">de </w:t>
      </w:r>
      <w:r w:rsidRPr="00B16BD5">
        <w:rPr>
          <w:rFonts w:ascii="Arial" w:hAnsi="Arial" w:cs="Arial"/>
        </w:rPr>
        <w:t>développer les capacités des systèmes d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alerte afin qu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ils soient à même d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avertir clairement et rapidement 100</w:t>
      </w:r>
      <w:r w:rsidR="001E1D02">
        <w:rPr>
          <w:rFonts w:ascii="Arial" w:hAnsi="Arial" w:cs="Arial"/>
        </w:rPr>
        <w:t> </w:t>
      </w:r>
      <w:r w:rsidRPr="00B16BD5">
        <w:rPr>
          <w:rFonts w:ascii="Arial" w:hAnsi="Arial" w:cs="Arial"/>
        </w:rPr>
        <w:t>% des communautés côtières menacées lorsqu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un tsunami survient, quelle que soit sa source ;</w:t>
      </w:r>
    </w:p>
    <w:p w14:paraId="7597EDB7" w14:textId="3737D203" w:rsidR="00A40455" w:rsidRPr="00B16BD5" w:rsidRDefault="00A40455" w:rsidP="00DB524D">
      <w:pPr>
        <w:keepNext/>
        <w:keepLines/>
        <w:numPr>
          <w:ilvl w:val="0"/>
          <w:numId w:val="25"/>
        </w:numPr>
        <w:snapToGrid w:val="0"/>
        <w:spacing w:after="240" w:line="240" w:lineRule="auto"/>
        <w:ind w:left="851" w:hanging="284"/>
        <w:jc w:val="both"/>
        <w:rPr>
          <w:rFonts w:ascii="Arial" w:eastAsia="Arial" w:hAnsi="Arial" w:cs="Arial"/>
          <w:bCs/>
          <w:snapToGrid w:val="0"/>
        </w:rPr>
      </w:pPr>
      <w:proofErr w:type="gramStart"/>
      <w:r w:rsidRPr="00B16BD5">
        <w:rPr>
          <w:rFonts w:ascii="Arial" w:hAnsi="Arial" w:cs="Arial"/>
        </w:rPr>
        <w:lastRenderedPageBreak/>
        <w:t>de</w:t>
      </w:r>
      <w:proofErr w:type="gramEnd"/>
      <w:r w:rsidRPr="00B16BD5">
        <w:rPr>
          <w:rFonts w:ascii="Arial" w:hAnsi="Arial" w:cs="Arial"/>
        </w:rPr>
        <w:t xml:space="preserve"> mettre au point, en collaboration avec 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 xml:space="preserve">OMM, un modèle de PAC mondial destiné aux </w:t>
      </w:r>
      <w:r w:rsidR="001314EF">
        <w:rPr>
          <w:rFonts w:ascii="Arial" w:hAnsi="Arial" w:cs="Arial"/>
        </w:rPr>
        <w:t>prestataires de services relatifs aux tsunamis (</w:t>
      </w:r>
      <w:r w:rsidRPr="00B16BD5">
        <w:rPr>
          <w:rFonts w:ascii="Arial" w:hAnsi="Arial" w:cs="Arial"/>
        </w:rPr>
        <w:t>TSP</w:t>
      </w:r>
      <w:r w:rsidR="001314EF">
        <w:rPr>
          <w:rFonts w:ascii="Arial" w:hAnsi="Arial" w:cs="Arial"/>
        </w:rPr>
        <w:t>)</w:t>
      </w:r>
      <w:r w:rsidRPr="00B16BD5">
        <w:rPr>
          <w:rFonts w:ascii="Arial" w:hAnsi="Arial" w:cs="Arial"/>
        </w:rPr>
        <w:t xml:space="preserve"> afin de faciliter 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échange de bulletins entre les TSP et les centres nationaux d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alerte aux tsunamis</w:t>
      </w:r>
      <w:r w:rsidR="00CC4E25">
        <w:rPr>
          <w:rFonts w:ascii="Arial" w:hAnsi="Arial" w:cs="Arial"/>
        </w:rPr>
        <w:t>,</w:t>
      </w:r>
      <w:r w:rsidRPr="00B16BD5">
        <w:rPr>
          <w:rFonts w:ascii="Arial" w:hAnsi="Arial" w:cs="Arial"/>
        </w:rPr>
        <w:t xml:space="preserve"> entre les TSP de différents bassins</w:t>
      </w:r>
      <w:r w:rsidR="00CC4E25">
        <w:rPr>
          <w:rFonts w:ascii="Arial" w:hAnsi="Arial" w:cs="Arial"/>
        </w:rPr>
        <w:t>,</w:t>
      </w:r>
      <w:r w:rsidRPr="00B16BD5">
        <w:rPr>
          <w:rFonts w:ascii="Arial" w:hAnsi="Arial" w:cs="Arial"/>
        </w:rPr>
        <w:t xml:space="preserve"> ainsi que pour les bulletins publics des TSP, </w:t>
      </w:r>
      <w:r w:rsidR="001314EF">
        <w:rPr>
          <w:rFonts w:ascii="Arial" w:hAnsi="Arial" w:cs="Arial"/>
        </w:rPr>
        <w:t xml:space="preserve">et </w:t>
      </w:r>
      <w:r w:rsidR="00CC4E25">
        <w:rPr>
          <w:rFonts w:ascii="Arial" w:hAnsi="Arial" w:cs="Arial"/>
        </w:rPr>
        <w:t>de le soumettre à l’approbation du</w:t>
      </w:r>
      <w:r w:rsidRPr="00B16BD5">
        <w:rPr>
          <w:rFonts w:ascii="Arial" w:hAnsi="Arial" w:cs="Arial"/>
        </w:rPr>
        <w:t xml:space="preserve"> TOWS-WG à sa prochaine session.</w:t>
      </w:r>
    </w:p>
    <w:p w14:paraId="490F4888" w14:textId="4C8CDD71" w:rsidR="00A40455" w:rsidRPr="00B16BD5" w:rsidRDefault="00A40455" w:rsidP="00EB47E9">
      <w:pPr>
        <w:tabs>
          <w:tab w:val="left" w:pos="709"/>
        </w:tabs>
        <w:snapToGrid w:val="0"/>
        <w:spacing w:before="240" w:after="240" w:line="240" w:lineRule="auto"/>
        <w:jc w:val="both"/>
        <w:rPr>
          <w:rFonts w:ascii="Arial" w:eastAsia="SimSun" w:hAnsi="Arial" w:cs="Arial"/>
          <w:snapToGrid w:val="0"/>
        </w:rPr>
      </w:pPr>
      <w:bookmarkStart w:id="4" w:name="_Hlk128689899"/>
      <w:r w:rsidRPr="00B16BD5">
        <w:rPr>
          <w:rFonts w:ascii="Arial" w:hAnsi="Arial" w:cs="Arial"/>
          <w:b/>
          <w:bCs/>
        </w:rPr>
        <w:t>Le Groupe de travail a recommandé</w:t>
      </w:r>
      <w:r w:rsidRPr="00B16BD5">
        <w:rPr>
          <w:rFonts w:ascii="Arial" w:hAnsi="Arial" w:cs="Arial"/>
        </w:rPr>
        <w:t xml:space="preserve"> à 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Assemblée de la COI, à sa 33</w:t>
      </w:r>
      <w:r w:rsidRPr="00B16BD5">
        <w:rPr>
          <w:rFonts w:ascii="Arial" w:hAnsi="Arial" w:cs="Arial"/>
          <w:vertAlign w:val="superscript"/>
        </w:rPr>
        <w:t>e</w:t>
      </w:r>
      <w:r w:rsidRPr="00B16BD5">
        <w:rPr>
          <w:rFonts w:ascii="Arial" w:hAnsi="Arial" w:cs="Arial"/>
        </w:rPr>
        <w:t xml:space="preserve"> session </w:t>
      </w:r>
      <w:r w:rsidR="003915BD">
        <w:rPr>
          <w:rFonts w:ascii="Arial" w:hAnsi="Arial" w:cs="Arial"/>
        </w:rPr>
        <w:t>(</w:t>
      </w:r>
      <w:r w:rsidRPr="00B16BD5">
        <w:rPr>
          <w:rFonts w:ascii="Arial" w:hAnsi="Arial" w:cs="Arial"/>
        </w:rPr>
        <w:t>2025</w:t>
      </w:r>
      <w:r w:rsidR="003915BD">
        <w:rPr>
          <w:rFonts w:ascii="Arial" w:hAnsi="Arial" w:cs="Arial"/>
        </w:rPr>
        <w:t>)</w:t>
      </w:r>
      <w:r w:rsidRPr="00B16BD5">
        <w:rPr>
          <w:rFonts w:ascii="Arial" w:hAnsi="Arial" w:cs="Arial"/>
        </w:rPr>
        <w:t xml:space="preserve">, </w:t>
      </w:r>
      <w:r w:rsidRPr="00B16BD5">
        <w:rPr>
          <w:rFonts w:ascii="Arial" w:hAnsi="Arial" w:cs="Arial"/>
          <w:b/>
          <w:bCs/>
        </w:rPr>
        <w:t>d</w:t>
      </w:r>
      <w:r w:rsidR="00B16BD5">
        <w:rPr>
          <w:rFonts w:ascii="Arial" w:hAnsi="Arial" w:cs="Arial"/>
          <w:b/>
          <w:bCs/>
        </w:rPr>
        <w:t>’</w:t>
      </w:r>
      <w:r w:rsidRPr="00B16BD5">
        <w:rPr>
          <w:rFonts w:ascii="Arial" w:hAnsi="Arial" w:cs="Arial"/>
          <w:b/>
          <w:bCs/>
        </w:rPr>
        <w:t>approuver</w:t>
      </w:r>
      <w:r w:rsidRPr="00B16BD5">
        <w:rPr>
          <w:rFonts w:ascii="Arial" w:hAnsi="Arial" w:cs="Arial"/>
        </w:rPr>
        <w:t xml:space="preserve"> le Plan de mise en œuvre de la Coalition Tsunami Ready, tel que révisé par 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ODTP-SC, la TT-DMP et la TT-TWO, à savoir :</w:t>
      </w:r>
    </w:p>
    <w:p w14:paraId="6A5E6AA9" w14:textId="77777777" w:rsidR="00A40455" w:rsidRPr="00B16BD5" w:rsidRDefault="00A40455" w:rsidP="001E1D02">
      <w:pPr>
        <w:numPr>
          <w:ilvl w:val="0"/>
          <w:numId w:val="29"/>
        </w:numPr>
        <w:snapToGrid w:val="0"/>
        <w:spacing w:before="240" w:after="240" w:line="240" w:lineRule="auto"/>
        <w:ind w:left="851" w:hanging="284"/>
        <w:contextualSpacing/>
        <w:jc w:val="both"/>
        <w:rPr>
          <w:rFonts w:ascii="Arial" w:eastAsia="SimSun" w:hAnsi="Arial" w:cs="Arial"/>
          <w:snapToGrid w:val="0"/>
        </w:rPr>
      </w:pPr>
      <w:proofErr w:type="gramStart"/>
      <w:r w:rsidRPr="00B16BD5">
        <w:rPr>
          <w:rFonts w:ascii="Arial" w:hAnsi="Arial" w:cs="Arial"/>
        </w:rPr>
        <w:t>le</w:t>
      </w:r>
      <w:proofErr w:type="gramEnd"/>
      <w:r w:rsidRPr="00B16BD5">
        <w:rPr>
          <w:rFonts w:ascii="Arial" w:hAnsi="Arial" w:cs="Arial"/>
        </w:rPr>
        <w:t xml:space="preserve"> mandat et les attributions de la Coalition,</w:t>
      </w:r>
    </w:p>
    <w:p w14:paraId="432ECCC1" w14:textId="68973DEE" w:rsidR="00A40455" w:rsidRPr="00B16BD5" w:rsidRDefault="00A40455" w:rsidP="001E1D02">
      <w:pPr>
        <w:numPr>
          <w:ilvl w:val="0"/>
          <w:numId w:val="29"/>
        </w:numPr>
        <w:snapToGrid w:val="0"/>
        <w:spacing w:before="240" w:after="240" w:line="240" w:lineRule="auto"/>
        <w:ind w:left="851" w:hanging="284"/>
        <w:contextualSpacing/>
        <w:jc w:val="both"/>
        <w:rPr>
          <w:rFonts w:ascii="Arial" w:eastAsia="SimSun" w:hAnsi="Arial" w:cs="Arial"/>
          <w:snapToGrid w:val="0"/>
        </w:rPr>
      </w:pPr>
      <w:r w:rsidRPr="00B16BD5">
        <w:rPr>
          <w:rFonts w:ascii="Arial" w:hAnsi="Arial" w:cs="Arial"/>
        </w:rPr>
        <w:t xml:space="preserve">la structure de la </w:t>
      </w:r>
      <w:r w:rsidR="00FA21C5">
        <w:rPr>
          <w:rFonts w:ascii="Arial" w:hAnsi="Arial" w:cs="Arial"/>
        </w:rPr>
        <w:t>C</w:t>
      </w:r>
      <w:r w:rsidRPr="00B16BD5">
        <w:rPr>
          <w:rFonts w:ascii="Arial" w:hAnsi="Arial" w:cs="Arial"/>
        </w:rPr>
        <w:t>oalition, et</w:t>
      </w:r>
    </w:p>
    <w:p w14:paraId="7571EF83" w14:textId="2DF5571B" w:rsidR="00A40455" w:rsidRPr="00B16BD5" w:rsidRDefault="00A40455" w:rsidP="001E1D02">
      <w:pPr>
        <w:numPr>
          <w:ilvl w:val="0"/>
          <w:numId w:val="29"/>
        </w:numPr>
        <w:snapToGrid w:val="0"/>
        <w:spacing w:before="240" w:line="240" w:lineRule="auto"/>
        <w:ind w:left="851" w:hanging="284"/>
        <w:jc w:val="both"/>
        <w:rPr>
          <w:rFonts w:ascii="Arial" w:eastAsia="SimSun" w:hAnsi="Arial" w:cs="Arial"/>
          <w:snapToGrid w:val="0"/>
        </w:rPr>
      </w:pPr>
      <w:proofErr w:type="gramStart"/>
      <w:r w:rsidRPr="00B16BD5">
        <w:rPr>
          <w:rFonts w:ascii="Arial" w:hAnsi="Arial" w:cs="Arial"/>
        </w:rPr>
        <w:t>les</w:t>
      </w:r>
      <w:proofErr w:type="gramEnd"/>
      <w:r w:rsidRPr="00B16BD5">
        <w:rPr>
          <w:rFonts w:ascii="Arial" w:hAnsi="Arial" w:cs="Arial"/>
        </w:rPr>
        <w:t xml:space="preserve"> principaux partenaires de </w:t>
      </w:r>
      <w:r w:rsidR="00CC4E25">
        <w:rPr>
          <w:rFonts w:ascii="Arial" w:hAnsi="Arial" w:cs="Arial"/>
        </w:rPr>
        <w:t xml:space="preserve">la </w:t>
      </w:r>
      <w:r w:rsidRPr="00B16BD5">
        <w:rPr>
          <w:rFonts w:ascii="Arial" w:hAnsi="Arial" w:cs="Arial"/>
        </w:rPr>
        <w:t>Coalition recensés.</w:t>
      </w:r>
    </w:p>
    <w:p w14:paraId="70E4F7BC" w14:textId="50A2F8DE" w:rsidR="00A40455" w:rsidRPr="00B16BD5" w:rsidRDefault="00A40455" w:rsidP="00A40455">
      <w:pPr>
        <w:tabs>
          <w:tab w:val="left" w:pos="709"/>
        </w:tabs>
        <w:snapToGrid w:val="0"/>
        <w:spacing w:before="240" w:after="240" w:line="240" w:lineRule="auto"/>
        <w:jc w:val="both"/>
        <w:rPr>
          <w:rFonts w:ascii="Arial" w:eastAsia="Arial" w:hAnsi="Arial" w:cs="Arial"/>
          <w:snapToGrid w:val="0"/>
        </w:rPr>
      </w:pPr>
      <w:r w:rsidRPr="00B16BD5">
        <w:rPr>
          <w:rFonts w:ascii="Arial" w:hAnsi="Arial" w:cs="Arial"/>
          <w:b/>
          <w:bCs/>
        </w:rPr>
        <w:t>Le Groupe a également recommandé</w:t>
      </w:r>
      <w:r w:rsidRPr="00B16BD5">
        <w:rPr>
          <w:rFonts w:ascii="Arial" w:hAnsi="Arial" w:cs="Arial"/>
        </w:rPr>
        <w:t xml:space="preserve"> que 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Assemblée de la COI, à sa 33</w:t>
      </w:r>
      <w:r w:rsidRPr="00B16BD5">
        <w:rPr>
          <w:rFonts w:ascii="Arial" w:hAnsi="Arial" w:cs="Arial"/>
          <w:vertAlign w:val="superscript"/>
        </w:rPr>
        <w:t>e </w:t>
      </w:r>
      <w:r w:rsidRPr="00B16BD5">
        <w:rPr>
          <w:rFonts w:ascii="Arial" w:hAnsi="Arial" w:cs="Arial"/>
        </w:rPr>
        <w:t xml:space="preserve">session </w:t>
      </w:r>
      <w:r w:rsidR="008B36B4">
        <w:rPr>
          <w:rFonts w:ascii="Arial" w:hAnsi="Arial" w:cs="Arial"/>
        </w:rPr>
        <w:t>(</w:t>
      </w:r>
      <w:r w:rsidRPr="00B16BD5">
        <w:rPr>
          <w:rFonts w:ascii="Arial" w:hAnsi="Arial" w:cs="Arial"/>
        </w:rPr>
        <w:t>2025</w:t>
      </w:r>
      <w:r w:rsidR="008B36B4">
        <w:rPr>
          <w:rFonts w:ascii="Arial" w:hAnsi="Arial" w:cs="Arial"/>
        </w:rPr>
        <w:t>)</w:t>
      </w:r>
      <w:r w:rsidRPr="00B16BD5">
        <w:rPr>
          <w:rFonts w:ascii="Arial" w:hAnsi="Arial" w:cs="Arial"/>
        </w:rPr>
        <w:t>, donne instruction aux GIC régionaux :</w:t>
      </w:r>
    </w:p>
    <w:bookmarkEnd w:id="4"/>
    <w:p w14:paraId="1B00D9F1" w14:textId="2F5C3F2C" w:rsidR="00A40455" w:rsidRPr="00B16BD5" w:rsidRDefault="00A40455" w:rsidP="001E1D02">
      <w:pPr>
        <w:numPr>
          <w:ilvl w:val="0"/>
          <w:numId w:val="25"/>
        </w:numPr>
        <w:snapToGrid w:val="0"/>
        <w:spacing w:after="240" w:line="240" w:lineRule="auto"/>
        <w:ind w:left="851" w:hanging="284"/>
        <w:jc w:val="both"/>
        <w:rPr>
          <w:rFonts w:ascii="Arial" w:eastAsia="SimSun" w:hAnsi="Arial" w:cs="Arial"/>
          <w:snapToGrid w:val="0"/>
        </w:rPr>
      </w:pPr>
      <w:proofErr w:type="gramStart"/>
      <w:r w:rsidRPr="00B16BD5">
        <w:rPr>
          <w:rFonts w:ascii="Arial" w:hAnsi="Arial" w:cs="Arial"/>
        </w:rPr>
        <w:t>d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établir</w:t>
      </w:r>
      <w:proofErr w:type="gramEnd"/>
      <w:r w:rsidRPr="00B16BD5">
        <w:rPr>
          <w:rFonts w:ascii="Arial" w:hAnsi="Arial" w:cs="Arial"/>
        </w:rPr>
        <w:t xml:space="preserve"> des modalités parmi les prestataires de services relatifs aux tsunamis (TSP) au sein de chaque GIC afin de garantir que la prestation de service soit assurée à tout moment pour 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 xml:space="preserve">ensemble de la zone </w:t>
      </w:r>
      <w:r w:rsidR="00CC4E25">
        <w:rPr>
          <w:rFonts w:ascii="Arial" w:hAnsi="Arial" w:cs="Arial"/>
        </w:rPr>
        <w:t>desservie par le</w:t>
      </w:r>
      <w:r w:rsidRPr="00B16BD5">
        <w:rPr>
          <w:rFonts w:ascii="Arial" w:hAnsi="Arial" w:cs="Arial"/>
        </w:rPr>
        <w:t xml:space="preserve"> GIC ;</w:t>
      </w:r>
    </w:p>
    <w:p w14:paraId="0AB5A2BC" w14:textId="0CAFF6F2" w:rsidR="00A40455" w:rsidRPr="00B16BD5" w:rsidRDefault="00A40455" w:rsidP="001E1D02">
      <w:pPr>
        <w:numPr>
          <w:ilvl w:val="0"/>
          <w:numId w:val="25"/>
        </w:numPr>
        <w:snapToGrid w:val="0"/>
        <w:spacing w:after="240" w:line="240" w:lineRule="auto"/>
        <w:ind w:left="851" w:hanging="284"/>
        <w:jc w:val="both"/>
        <w:rPr>
          <w:rFonts w:ascii="Arial" w:eastAsia="SimSun" w:hAnsi="Arial" w:cs="Arial"/>
          <w:snapToGrid w:val="0"/>
        </w:rPr>
      </w:pPr>
      <w:proofErr w:type="gramStart"/>
      <w:r w:rsidRPr="00B16BD5">
        <w:rPr>
          <w:rFonts w:ascii="Arial" w:hAnsi="Arial" w:cs="Arial"/>
        </w:rPr>
        <w:t>d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élaborer</w:t>
      </w:r>
      <w:proofErr w:type="gramEnd"/>
      <w:r w:rsidRPr="00B16BD5">
        <w:rPr>
          <w:rFonts w:ascii="Arial" w:hAnsi="Arial" w:cs="Arial"/>
        </w:rPr>
        <w:t xml:space="preserve"> des procédures opérationnelles normalisées relatives aux volcans </w:t>
      </w:r>
      <w:r w:rsidR="00DF440F">
        <w:rPr>
          <w:rFonts w:ascii="Arial" w:hAnsi="Arial" w:cs="Arial"/>
        </w:rPr>
        <w:t>à</w:t>
      </w:r>
      <w:r w:rsidRPr="00B16BD5">
        <w:rPr>
          <w:rFonts w:ascii="Arial" w:hAnsi="Arial" w:cs="Arial"/>
        </w:rPr>
        <w:t xml:space="preserve"> potentiel </w:t>
      </w:r>
      <w:proofErr w:type="spellStart"/>
      <w:r w:rsidRPr="00B16BD5">
        <w:rPr>
          <w:rFonts w:ascii="Arial" w:hAnsi="Arial" w:cs="Arial"/>
        </w:rPr>
        <w:t>tsunamigène</w:t>
      </w:r>
      <w:proofErr w:type="spellEnd"/>
      <w:r w:rsidRPr="00B16BD5">
        <w:rPr>
          <w:rFonts w:ascii="Arial" w:hAnsi="Arial" w:cs="Arial"/>
        </w:rPr>
        <w:t xml:space="preserve"> dans leurs foyers de séisme ;</w:t>
      </w:r>
    </w:p>
    <w:p w14:paraId="7530B1E7" w14:textId="66BF2ACD" w:rsidR="00A40455" w:rsidRPr="00B16BD5" w:rsidRDefault="00A40455" w:rsidP="001E1D02">
      <w:pPr>
        <w:numPr>
          <w:ilvl w:val="0"/>
          <w:numId w:val="25"/>
        </w:numPr>
        <w:snapToGrid w:val="0"/>
        <w:spacing w:after="240" w:line="240" w:lineRule="auto"/>
        <w:ind w:left="851" w:hanging="284"/>
        <w:jc w:val="both"/>
        <w:rPr>
          <w:rFonts w:ascii="Arial" w:eastAsia="SimSun" w:hAnsi="Arial" w:cs="Arial"/>
          <w:snapToGrid w:val="0"/>
        </w:rPr>
      </w:pPr>
      <w:r w:rsidRPr="00B16BD5">
        <w:rPr>
          <w:rFonts w:ascii="Arial" w:hAnsi="Arial" w:cs="Arial"/>
        </w:rPr>
        <w:t>de</w:t>
      </w:r>
      <w:r w:rsidR="00791DCB">
        <w:rPr>
          <w:rFonts w:ascii="Arial" w:hAnsi="Arial" w:cs="Arial"/>
        </w:rPr>
        <w:t xml:space="preserve"> veiller à ce que</w:t>
      </w:r>
      <w:r w:rsidRPr="00B16BD5">
        <w:rPr>
          <w:rFonts w:ascii="Arial" w:hAnsi="Arial" w:cs="Arial"/>
        </w:rPr>
        <w:t xml:space="preserve"> la diffusion des bulletins spécialisés de</w:t>
      </w:r>
      <w:r w:rsidR="00791DCB">
        <w:rPr>
          <w:rFonts w:ascii="Arial" w:hAnsi="Arial" w:cs="Arial"/>
        </w:rPr>
        <w:t>s</w:t>
      </w:r>
      <w:r w:rsidRPr="00B16BD5">
        <w:rPr>
          <w:rFonts w:ascii="Arial" w:hAnsi="Arial" w:cs="Arial"/>
        </w:rPr>
        <w:t xml:space="preserve"> prestataires de services relatifs aux tsunamis (TSP) </w:t>
      </w:r>
      <w:r w:rsidR="00791DCB">
        <w:rPr>
          <w:rFonts w:ascii="Arial" w:hAnsi="Arial" w:cs="Arial"/>
        </w:rPr>
        <w:t>destinés à</w:t>
      </w:r>
      <w:r w:rsidRPr="00B16BD5">
        <w:rPr>
          <w:rFonts w:ascii="Arial" w:hAnsi="Arial" w:cs="Arial"/>
        </w:rPr>
        <w:t xml:space="preserve"> la communauté maritime</w:t>
      </w:r>
      <w:r w:rsidR="00791DCB">
        <w:rPr>
          <w:rFonts w:ascii="Arial" w:hAnsi="Arial" w:cs="Arial"/>
        </w:rPr>
        <w:t xml:space="preserve"> soit testée</w:t>
      </w:r>
      <w:r w:rsidRPr="00B16BD5">
        <w:rPr>
          <w:rFonts w:ascii="Arial" w:hAnsi="Arial" w:cs="Arial"/>
        </w:rPr>
        <w:t xml:space="preserve"> dans le Système d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alerte aux tsunamis et autres risques côtiers dans la mer des Caraïbes et les régions adjacentes (CARIBE-EWS), le Système d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alerte aux tsunamis et de mitigation dans 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océan Indien (IOTWMS) et le Système d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alerte rapide aux tsunamis et de mitigation dans 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Atlantique du Nord-Est, la Méditerranée et les mers adjacentes (NEAMTWS) par au moins un TSP, soit par le biais des tests de communication prévus ou d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exercices de préparation aux tsunamis ;</w:t>
      </w:r>
    </w:p>
    <w:p w14:paraId="6825E02E" w14:textId="7B3AE949" w:rsidR="00A40455" w:rsidRPr="00B16BD5" w:rsidRDefault="00A40455" w:rsidP="001E1D02">
      <w:pPr>
        <w:numPr>
          <w:ilvl w:val="0"/>
          <w:numId w:val="25"/>
        </w:numPr>
        <w:snapToGrid w:val="0"/>
        <w:spacing w:after="240" w:line="240" w:lineRule="auto"/>
        <w:ind w:left="851" w:hanging="284"/>
        <w:jc w:val="both"/>
        <w:rPr>
          <w:rFonts w:ascii="Arial" w:eastAsia="SimSun" w:hAnsi="Arial" w:cs="Arial"/>
          <w:snapToGrid w:val="0"/>
        </w:rPr>
      </w:pPr>
      <w:proofErr w:type="gramStart"/>
      <w:r w:rsidRPr="00B16BD5">
        <w:rPr>
          <w:rFonts w:ascii="Arial" w:hAnsi="Arial" w:cs="Arial"/>
        </w:rPr>
        <w:t>que</w:t>
      </w:r>
      <w:proofErr w:type="gramEnd"/>
      <w:r w:rsidRPr="00B16BD5">
        <w:rPr>
          <w:rFonts w:ascii="Arial" w:hAnsi="Arial" w:cs="Arial"/>
        </w:rPr>
        <w:t xml:space="preserve"> la mise en œuvre opérationnelle totale des bulletins des TSP </w:t>
      </w:r>
      <w:r w:rsidR="008B36B4">
        <w:rPr>
          <w:rFonts w:ascii="Arial" w:hAnsi="Arial" w:cs="Arial"/>
        </w:rPr>
        <w:t>destinés à</w:t>
      </w:r>
      <w:r w:rsidR="008B36B4" w:rsidRPr="00B16BD5">
        <w:rPr>
          <w:rFonts w:ascii="Arial" w:hAnsi="Arial" w:cs="Arial"/>
        </w:rPr>
        <w:t xml:space="preserve"> </w:t>
      </w:r>
      <w:r w:rsidRPr="00B16BD5">
        <w:rPr>
          <w:rFonts w:ascii="Arial" w:hAnsi="Arial" w:cs="Arial"/>
        </w:rPr>
        <w:t>la communauté maritime par au moins un TSP dans chaque GIC ait lieu en 2025</w:t>
      </w:r>
      <w:r w:rsidR="00700DD7">
        <w:rPr>
          <w:rFonts w:ascii="Arial" w:hAnsi="Arial" w:cs="Arial"/>
        </w:rPr>
        <w:t>.</w:t>
      </w:r>
    </w:p>
    <w:p w14:paraId="101628E5" w14:textId="773A3B03" w:rsidR="00A40455" w:rsidRPr="00B16BD5" w:rsidRDefault="00A40455" w:rsidP="00A40455">
      <w:pPr>
        <w:tabs>
          <w:tab w:val="left" w:pos="709"/>
        </w:tabs>
        <w:snapToGrid w:val="0"/>
        <w:spacing w:after="240" w:line="240" w:lineRule="auto"/>
        <w:jc w:val="both"/>
        <w:rPr>
          <w:rFonts w:ascii="Arial" w:eastAsia="Arial" w:hAnsi="Arial" w:cs="Arial"/>
          <w:snapToGrid w:val="0"/>
        </w:rPr>
      </w:pPr>
      <w:r w:rsidRPr="00B16BD5">
        <w:rPr>
          <w:rFonts w:ascii="Arial" w:hAnsi="Arial" w:cs="Arial"/>
          <w:b/>
          <w:bCs/>
        </w:rPr>
        <w:t>Le Groupe a également recommandé</w:t>
      </w:r>
      <w:r w:rsidRPr="00B16BD5">
        <w:rPr>
          <w:rFonts w:ascii="Arial" w:hAnsi="Arial" w:cs="Arial"/>
        </w:rPr>
        <w:t xml:space="preserve"> que 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Assemblée de la COI, à sa 33</w:t>
      </w:r>
      <w:r w:rsidRPr="00B16BD5">
        <w:rPr>
          <w:rFonts w:ascii="Arial" w:hAnsi="Arial" w:cs="Arial"/>
          <w:vertAlign w:val="superscript"/>
        </w:rPr>
        <w:t>e</w:t>
      </w:r>
      <w:r w:rsidR="00700DD7">
        <w:rPr>
          <w:rFonts w:ascii="Arial" w:hAnsi="Arial" w:cs="Arial"/>
        </w:rPr>
        <w:t> </w:t>
      </w:r>
      <w:r w:rsidRPr="00B16BD5">
        <w:rPr>
          <w:rFonts w:ascii="Arial" w:hAnsi="Arial" w:cs="Arial"/>
        </w:rPr>
        <w:t xml:space="preserve">session </w:t>
      </w:r>
      <w:r w:rsidR="008B36B4">
        <w:rPr>
          <w:rFonts w:ascii="Arial" w:hAnsi="Arial" w:cs="Arial"/>
        </w:rPr>
        <w:t>(</w:t>
      </w:r>
      <w:r w:rsidRPr="00B16BD5">
        <w:rPr>
          <w:rFonts w:ascii="Arial" w:hAnsi="Arial" w:cs="Arial"/>
        </w:rPr>
        <w:t>2025</w:t>
      </w:r>
      <w:r w:rsidR="008B36B4">
        <w:rPr>
          <w:rFonts w:ascii="Arial" w:hAnsi="Arial" w:cs="Arial"/>
        </w:rPr>
        <w:t>)</w:t>
      </w:r>
      <w:r w:rsidRPr="00B16BD5">
        <w:rPr>
          <w:rFonts w:ascii="Arial" w:hAnsi="Arial" w:cs="Arial"/>
        </w:rPr>
        <w:t>, recommande aux GIC régionaux :</w:t>
      </w:r>
    </w:p>
    <w:p w14:paraId="3D2B870C" w14:textId="1C7D0EA7" w:rsidR="00A40455" w:rsidRPr="00B16BD5" w:rsidRDefault="00A40455" w:rsidP="001E1D02">
      <w:pPr>
        <w:numPr>
          <w:ilvl w:val="0"/>
          <w:numId w:val="25"/>
        </w:numPr>
        <w:snapToGrid w:val="0"/>
        <w:spacing w:after="240" w:line="240" w:lineRule="auto"/>
        <w:ind w:left="851" w:hanging="284"/>
        <w:jc w:val="both"/>
        <w:rPr>
          <w:rFonts w:ascii="Arial" w:eastAsia="SimSun" w:hAnsi="Arial" w:cs="Arial"/>
          <w:snapToGrid w:val="0"/>
        </w:rPr>
      </w:pPr>
      <w:proofErr w:type="gramStart"/>
      <w:r w:rsidRPr="00B16BD5">
        <w:rPr>
          <w:rFonts w:ascii="Arial" w:hAnsi="Arial" w:cs="Arial"/>
        </w:rPr>
        <w:t>d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établir</w:t>
      </w:r>
      <w:proofErr w:type="gramEnd"/>
      <w:r w:rsidRPr="00B16BD5">
        <w:rPr>
          <w:rFonts w:ascii="Arial" w:hAnsi="Arial" w:cs="Arial"/>
        </w:rPr>
        <w:t xml:space="preserve"> des liens entre le Service météorologique et hydrologique national (SMHN) et les TSP/NTWC afin de garantir que les instruments spécifiques relatifs aux tsunamis, </w:t>
      </w:r>
      <w:r w:rsidR="008B36B4">
        <w:rPr>
          <w:rFonts w:ascii="Arial" w:hAnsi="Arial" w:cs="Arial"/>
        </w:rPr>
        <w:t>notamment</w:t>
      </w:r>
      <w:r w:rsidR="008B36B4" w:rsidRPr="00B16BD5">
        <w:rPr>
          <w:rFonts w:ascii="Arial" w:hAnsi="Arial" w:cs="Arial"/>
        </w:rPr>
        <w:t xml:space="preserve"> </w:t>
      </w:r>
      <w:r w:rsidRPr="00B16BD5">
        <w:rPr>
          <w:rFonts w:ascii="Arial" w:hAnsi="Arial" w:cs="Arial"/>
        </w:rPr>
        <w:t xml:space="preserve">les </w:t>
      </w:r>
      <w:proofErr w:type="spellStart"/>
      <w:r w:rsidRPr="00B16BD5">
        <w:rPr>
          <w:rFonts w:ascii="Arial" w:hAnsi="Arial" w:cs="Arial"/>
        </w:rPr>
        <w:t>tsunamètres</w:t>
      </w:r>
      <w:proofErr w:type="spellEnd"/>
      <w:r w:rsidRPr="00B16BD5">
        <w:rPr>
          <w:rFonts w:ascii="Arial" w:hAnsi="Arial" w:cs="Arial"/>
        </w:rPr>
        <w:t>/Systèmes d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évaluation et d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enregistrement des tsunamis en mer profonde (DART)</w:t>
      </w:r>
      <w:r w:rsidR="008B36B4">
        <w:rPr>
          <w:rFonts w:ascii="Arial" w:hAnsi="Arial" w:cs="Arial"/>
        </w:rPr>
        <w:t>®</w:t>
      </w:r>
      <w:r w:rsidRPr="00B16BD5">
        <w:rPr>
          <w:rFonts w:ascii="Arial" w:hAnsi="Arial" w:cs="Arial"/>
        </w:rPr>
        <w:t xml:space="preserve"> et les systèmes de câbles océaniques soient correctement </w:t>
      </w:r>
      <w:r w:rsidR="008B36B4">
        <w:rPr>
          <w:rFonts w:ascii="Arial" w:hAnsi="Arial" w:cs="Arial"/>
        </w:rPr>
        <w:t>surveillés</w:t>
      </w:r>
      <w:r w:rsidR="008B36B4" w:rsidRPr="00B16BD5">
        <w:rPr>
          <w:rFonts w:ascii="Arial" w:hAnsi="Arial" w:cs="Arial"/>
        </w:rPr>
        <w:t xml:space="preserve"> </w:t>
      </w:r>
      <w:r w:rsidRPr="00B16BD5">
        <w:rPr>
          <w:rFonts w:ascii="Arial" w:hAnsi="Arial" w:cs="Arial"/>
        </w:rPr>
        <w:t>et utilisés pour la détection des tsunamis météorologiques ;</w:t>
      </w:r>
    </w:p>
    <w:p w14:paraId="49E8B77E" w14:textId="5C6EFBF5" w:rsidR="00A40455" w:rsidRPr="00B16BD5" w:rsidRDefault="00A40455" w:rsidP="001E1D02">
      <w:pPr>
        <w:numPr>
          <w:ilvl w:val="0"/>
          <w:numId w:val="25"/>
        </w:numPr>
        <w:snapToGrid w:val="0"/>
        <w:spacing w:after="240" w:line="240" w:lineRule="auto"/>
        <w:ind w:left="851" w:hanging="284"/>
        <w:jc w:val="both"/>
        <w:rPr>
          <w:rFonts w:ascii="Arial" w:eastAsia="SimSun" w:hAnsi="Arial" w:cs="Arial"/>
          <w:snapToGrid w:val="0"/>
        </w:rPr>
      </w:pPr>
      <w:proofErr w:type="gramStart"/>
      <w:r w:rsidRPr="00B16BD5">
        <w:rPr>
          <w:rFonts w:ascii="Arial" w:hAnsi="Arial" w:cs="Arial"/>
        </w:rPr>
        <w:t>de</w:t>
      </w:r>
      <w:proofErr w:type="gramEnd"/>
      <w:r w:rsidRPr="00B16BD5">
        <w:rPr>
          <w:rFonts w:ascii="Arial" w:hAnsi="Arial" w:cs="Arial"/>
        </w:rPr>
        <w:t xml:space="preserve"> poursuivre 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investigation sur les méthodes de prévision des tsunamis</w:t>
      </w:r>
      <w:r w:rsidR="008B36B4">
        <w:rPr>
          <w:rFonts w:ascii="Arial" w:hAnsi="Arial" w:cs="Arial"/>
        </w:rPr>
        <w:t xml:space="preserve"> qu’il est possible d’adopter</w:t>
      </w:r>
      <w:r w:rsidRPr="00B16BD5">
        <w:rPr>
          <w:rFonts w:ascii="Arial" w:hAnsi="Arial" w:cs="Arial"/>
        </w:rPr>
        <w:t>, notamment les méthodes probabilistes, en vue d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une prévision axée sur les impacts, ce qui pourrait également contribuer aux processus d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 xml:space="preserve">intervention, de </w:t>
      </w:r>
      <w:r w:rsidR="008B36B4">
        <w:rPr>
          <w:rFonts w:ascii="Arial" w:hAnsi="Arial" w:cs="Arial"/>
        </w:rPr>
        <w:t>relèvement</w:t>
      </w:r>
      <w:r w:rsidR="008B36B4" w:rsidRPr="00B16BD5">
        <w:rPr>
          <w:rFonts w:ascii="Arial" w:hAnsi="Arial" w:cs="Arial"/>
        </w:rPr>
        <w:t xml:space="preserve"> </w:t>
      </w:r>
      <w:r w:rsidRPr="00B16BD5">
        <w:rPr>
          <w:rFonts w:ascii="Arial" w:hAnsi="Arial" w:cs="Arial"/>
        </w:rPr>
        <w:t>et d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évaluation des besoins</w:t>
      </w:r>
      <w:r w:rsidR="00C83A15">
        <w:rPr>
          <w:rFonts w:ascii="Arial" w:hAnsi="Arial" w:cs="Arial"/>
        </w:rPr>
        <w:t xml:space="preserve"> à la suite d’une catastrophe</w:t>
      </w:r>
      <w:r w:rsidRPr="00B16BD5">
        <w:rPr>
          <w:rFonts w:ascii="Arial" w:hAnsi="Arial" w:cs="Arial"/>
        </w:rPr>
        <w:t> ;</w:t>
      </w:r>
    </w:p>
    <w:p w14:paraId="7FD43855" w14:textId="77777777" w:rsidR="00A40455" w:rsidRPr="00B16BD5" w:rsidRDefault="00A40455" w:rsidP="001E1D02">
      <w:pPr>
        <w:numPr>
          <w:ilvl w:val="0"/>
          <w:numId w:val="25"/>
        </w:numPr>
        <w:snapToGrid w:val="0"/>
        <w:spacing w:after="240" w:line="240" w:lineRule="auto"/>
        <w:ind w:left="851" w:hanging="284"/>
        <w:jc w:val="both"/>
        <w:rPr>
          <w:rFonts w:ascii="Arial" w:eastAsia="SimSun" w:hAnsi="Arial" w:cs="Arial"/>
          <w:snapToGrid w:val="0"/>
        </w:rPr>
      </w:pPr>
      <w:r w:rsidRPr="00B16BD5">
        <w:rPr>
          <w:rFonts w:ascii="Arial" w:hAnsi="Arial" w:cs="Arial"/>
        </w:rPr>
        <w:t>de donner la priorité aux ateliers ou sommets régionaux relatifs au programme de certification Tsunami Ready en 2025 et de mener de nouveaux ateliers ou sommets avant 2030.</w:t>
      </w:r>
    </w:p>
    <w:p w14:paraId="0B8213BC" w14:textId="266251D7" w:rsidR="00A40455" w:rsidRPr="00B16BD5" w:rsidRDefault="00A40455" w:rsidP="00A40455">
      <w:pPr>
        <w:tabs>
          <w:tab w:val="left" w:pos="709"/>
        </w:tabs>
        <w:snapToGrid w:val="0"/>
        <w:spacing w:after="240" w:line="240" w:lineRule="auto"/>
        <w:jc w:val="both"/>
        <w:rPr>
          <w:rFonts w:ascii="Arial" w:eastAsia="DengXian" w:hAnsi="Arial" w:cs="Arial"/>
        </w:rPr>
      </w:pPr>
      <w:r w:rsidRPr="00B16BD5">
        <w:rPr>
          <w:rFonts w:ascii="Arial" w:hAnsi="Arial" w:cs="Arial"/>
          <w:b/>
          <w:bCs/>
        </w:rPr>
        <w:lastRenderedPageBreak/>
        <w:t>Le Groupe de travail a recommandé</w:t>
      </w:r>
      <w:r w:rsidRPr="00B16BD5">
        <w:rPr>
          <w:rFonts w:ascii="Arial" w:hAnsi="Arial" w:cs="Arial"/>
        </w:rPr>
        <w:t xml:space="preserve"> à 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Assemblée de la COI, à sa 33</w:t>
      </w:r>
      <w:r w:rsidRPr="00B16BD5">
        <w:rPr>
          <w:rFonts w:ascii="Arial" w:hAnsi="Arial" w:cs="Arial"/>
          <w:vertAlign w:val="superscript"/>
        </w:rPr>
        <w:t>e</w:t>
      </w:r>
      <w:r w:rsidR="0061543C">
        <w:rPr>
          <w:rFonts w:ascii="Arial" w:hAnsi="Arial" w:cs="Arial"/>
        </w:rPr>
        <w:t> </w:t>
      </w:r>
      <w:r w:rsidRPr="00B16BD5">
        <w:rPr>
          <w:rFonts w:ascii="Arial" w:hAnsi="Arial" w:cs="Arial"/>
        </w:rPr>
        <w:t xml:space="preserve">session </w:t>
      </w:r>
      <w:r w:rsidR="00C83A15">
        <w:rPr>
          <w:rFonts w:ascii="Arial" w:hAnsi="Arial" w:cs="Arial"/>
        </w:rPr>
        <w:t>(</w:t>
      </w:r>
      <w:r w:rsidRPr="00B16BD5">
        <w:rPr>
          <w:rFonts w:ascii="Arial" w:hAnsi="Arial" w:cs="Arial"/>
        </w:rPr>
        <w:t>2025</w:t>
      </w:r>
      <w:r w:rsidR="00C83A15">
        <w:rPr>
          <w:rFonts w:ascii="Arial" w:hAnsi="Arial" w:cs="Arial"/>
        </w:rPr>
        <w:t>)</w:t>
      </w:r>
      <w:r w:rsidRPr="00B16BD5">
        <w:rPr>
          <w:rFonts w:ascii="Arial" w:hAnsi="Arial" w:cs="Arial"/>
        </w:rPr>
        <w:t xml:space="preserve">, </w:t>
      </w:r>
      <w:r w:rsidRPr="00B16BD5">
        <w:rPr>
          <w:rFonts w:ascii="Arial" w:hAnsi="Arial" w:cs="Arial"/>
          <w:b/>
          <w:bCs/>
        </w:rPr>
        <w:t>de prier</w:t>
      </w:r>
      <w:r w:rsidRPr="00B16BD5">
        <w:rPr>
          <w:rFonts w:ascii="Arial" w:hAnsi="Arial" w:cs="Arial"/>
        </w:rPr>
        <w:t xml:space="preserve"> les États membres de la COI de donner la priorité à 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installation/au déploiement de nouveaux marégraphes côtiers et de systèmes de détection/d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observation de</w:t>
      </w:r>
      <w:r w:rsidR="005066CB">
        <w:rPr>
          <w:rFonts w:ascii="Arial" w:hAnsi="Arial" w:cs="Arial"/>
        </w:rPr>
        <w:t>s</w:t>
      </w:r>
      <w:r w:rsidRPr="00B16BD5">
        <w:rPr>
          <w:rFonts w:ascii="Arial" w:hAnsi="Arial" w:cs="Arial"/>
        </w:rPr>
        <w:t xml:space="preserve"> tsunamis dans des régions où le risque de tsunami est élevé </w:t>
      </w:r>
      <w:r w:rsidR="00AC43AD">
        <w:rPr>
          <w:rFonts w:ascii="Arial" w:hAnsi="Arial" w:cs="Arial"/>
        </w:rPr>
        <w:t>et qui comportent</w:t>
      </w:r>
      <w:r w:rsidR="00AC43AD" w:rsidRPr="00B16BD5">
        <w:rPr>
          <w:rFonts w:ascii="Arial" w:hAnsi="Arial" w:cs="Arial"/>
        </w:rPr>
        <w:t xml:space="preserve"> </w:t>
      </w:r>
      <w:r w:rsidRPr="00B16BD5">
        <w:rPr>
          <w:rFonts w:ascii="Arial" w:hAnsi="Arial" w:cs="Arial"/>
        </w:rPr>
        <w:t>des zones prioritaires présent</w:t>
      </w:r>
      <w:r w:rsidR="00AC43AD">
        <w:rPr>
          <w:rFonts w:ascii="Arial" w:hAnsi="Arial" w:cs="Arial"/>
        </w:rPr>
        <w:t>a</w:t>
      </w:r>
      <w:r w:rsidRPr="00B16BD5">
        <w:rPr>
          <w:rFonts w:ascii="Arial" w:hAnsi="Arial" w:cs="Arial"/>
        </w:rPr>
        <w:t>nt des lacunes connues en matière de couverture (dans 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ordre alphabétique</w:t>
      </w:r>
      <w:r w:rsidR="0061543C">
        <w:rPr>
          <w:rFonts w:ascii="Arial" w:hAnsi="Arial" w:cs="Arial"/>
        </w:rPr>
        <w:t> </w:t>
      </w:r>
      <w:r w:rsidRPr="00B16BD5">
        <w:rPr>
          <w:rFonts w:ascii="Arial" w:hAnsi="Arial" w:cs="Arial"/>
        </w:rPr>
        <w:t xml:space="preserve">: Afrique du </w:t>
      </w:r>
      <w:r w:rsidR="005066CB">
        <w:rPr>
          <w:rFonts w:ascii="Arial" w:hAnsi="Arial" w:cs="Arial"/>
        </w:rPr>
        <w:t>N</w:t>
      </w:r>
      <w:r w:rsidRPr="00B16BD5">
        <w:rPr>
          <w:rFonts w:ascii="Arial" w:hAnsi="Arial" w:cs="Arial"/>
        </w:rPr>
        <w:t xml:space="preserve">ord, </w:t>
      </w:r>
      <w:r w:rsidR="005066CB" w:rsidRPr="00B16BD5">
        <w:rPr>
          <w:rFonts w:ascii="Arial" w:hAnsi="Arial" w:cs="Arial"/>
        </w:rPr>
        <w:t xml:space="preserve">mer des Caraïbes (Nord, Ouest et Sud-Est), </w:t>
      </w:r>
      <w:r w:rsidRPr="00B16BD5">
        <w:rPr>
          <w:rFonts w:ascii="Arial" w:hAnsi="Arial" w:cs="Arial"/>
        </w:rPr>
        <w:t xml:space="preserve">mer de Chine méridionale, </w:t>
      </w:r>
      <w:r w:rsidR="005066CB" w:rsidRPr="00B16BD5">
        <w:rPr>
          <w:rFonts w:ascii="Arial" w:hAnsi="Arial" w:cs="Arial"/>
        </w:rPr>
        <w:t>mer Égée, océan Indien (Est et Nord)</w:t>
      </w:r>
      <w:r w:rsidR="005066CB">
        <w:rPr>
          <w:rFonts w:ascii="Arial" w:hAnsi="Arial" w:cs="Arial"/>
        </w:rPr>
        <w:t xml:space="preserve">, </w:t>
      </w:r>
      <w:r w:rsidR="005066CB" w:rsidRPr="00B16BD5">
        <w:rPr>
          <w:rFonts w:ascii="Arial" w:hAnsi="Arial" w:cs="Arial"/>
        </w:rPr>
        <w:t>mer Jaune</w:t>
      </w:r>
      <w:r w:rsidR="005066CB">
        <w:rPr>
          <w:rFonts w:ascii="Arial" w:hAnsi="Arial" w:cs="Arial"/>
        </w:rPr>
        <w:t>,</w:t>
      </w:r>
      <w:r w:rsidR="005066CB" w:rsidRPr="00B16BD5">
        <w:rPr>
          <w:rFonts w:ascii="Arial" w:hAnsi="Arial" w:cs="Arial"/>
        </w:rPr>
        <w:t xml:space="preserve"> </w:t>
      </w:r>
      <w:r w:rsidRPr="00B16BD5">
        <w:rPr>
          <w:rFonts w:ascii="Arial" w:hAnsi="Arial" w:cs="Arial"/>
        </w:rPr>
        <w:t>mer des Philippines, mer des Salomon</w:t>
      </w:r>
      <w:r w:rsidR="005066CB">
        <w:rPr>
          <w:rFonts w:ascii="Arial" w:hAnsi="Arial" w:cs="Arial"/>
        </w:rPr>
        <w:t xml:space="preserve"> et</w:t>
      </w:r>
      <w:r w:rsidRPr="00B16BD5">
        <w:rPr>
          <w:rFonts w:ascii="Arial" w:hAnsi="Arial" w:cs="Arial"/>
        </w:rPr>
        <w:t xml:space="preserve"> mer de Timor</w:t>
      </w:r>
      <w:r w:rsidR="002D1F1C">
        <w:rPr>
          <w:rFonts w:ascii="Arial" w:hAnsi="Arial" w:cs="Arial"/>
        </w:rPr>
        <w:t>)</w:t>
      </w:r>
      <w:r w:rsidRPr="00B16BD5">
        <w:rPr>
          <w:rFonts w:ascii="Arial" w:hAnsi="Arial" w:cs="Arial"/>
        </w:rPr>
        <w:t xml:space="preserve">, afin de </w:t>
      </w:r>
      <w:r w:rsidR="005066CB">
        <w:rPr>
          <w:rFonts w:ascii="Arial" w:hAnsi="Arial" w:cs="Arial"/>
        </w:rPr>
        <w:t xml:space="preserve">détecter et </w:t>
      </w:r>
      <w:r w:rsidR="00AC43AD">
        <w:rPr>
          <w:rFonts w:ascii="Arial" w:hAnsi="Arial" w:cs="Arial"/>
        </w:rPr>
        <w:t>de</w:t>
      </w:r>
      <w:r w:rsidR="005066CB">
        <w:rPr>
          <w:rFonts w:ascii="Arial" w:hAnsi="Arial" w:cs="Arial"/>
        </w:rPr>
        <w:t xml:space="preserve"> vérifier la survenue d’un tsunami</w:t>
      </w:r>
      <w:r w:rsidRPr="00B16BD5">
        <w:rPr>
          <w:rFonts w:ascii="Arial" w:hAnsi="Arial" w:cs="Arial"/>
        </w:rPr>
        <w:t xml:space="preserve"> le plus tôt possible</w:t>
      </w:r>
      <w:bookmarkStart w:id="5" w:name="_Hlk191363767"/>
      <w:bookmarkEnd w:id="5"/>
      <w:r w:rsidR="00700DD7">
        <w:rPr>
          <w:rFonts w:ascii="Arial" w:hAnsi="Arial" w:cs="Arial"/>
        </w:rPr>
        <w:t>.</w:t>
      </w:r>
    </w:p>
    <w:p w14:paraId="183BDAB5" w14:textId="24D8EB3F" w:rsidR="00A40455" w:rsidRPr="00B16BD5" w:rsidRDefault="00A40455" w:rsidP="00A40455">
      <w:pPr>
        <w:tabs>
          <w:tab w:val="left" w:pos="709"/>
        </w:tabs>
        <w:snapToGrid w:val="0"/>
        <w:spacing w:after="240" w:line="240" w:lineRule="auto"/>
        <w:jc w:val="both"/>
        <w:rPr>
          <w:rFonts w:ascii="Arial" w:eastAsia="SimSun" w:hAnsi="Arial" w:cs="Arial"/>
          <w:snapToGrid w:val="0"/>
        </w:rPr>
      </w:pPr>
      <w:bookmarkStart w:id="6" w:name="_Hlk191330080"/>
      <w:r w:rsidRPr="00B16BD5">
        <w:rPr>
          <w:rFonts w:ascii="Arial" w:hAnsi="Arial" w:cs="Arial"/>
          <w:b/>
          <w:bCs/>
        </w:rPr>
        <w:t>Le Groupe de travail a recommandé en outre</w:t>
      </w:r>
      <w:r w:rsidRPr="00B16BD5">
        <w:rPr>
          <w:rFonts w:ascii="Arial" w:hAnsi="Arial" w:cs="Arial"/>
        </w:rPr>
        <w:t xml:space="preserve"> à 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Assemblée de la COI, à sa 33</w:t>
      </w:r>
      <w:r w:rsidRPr="00B16BD5">
        <w:rPr>
          <w:rFonts w:ascii="Arial" w:hAnsi="Arial" w:cs="Arial"/>
          <w:vertAlign w:val="superscript"/>
        </w:rPr>
        <w:t>e</w:t>
      </w:r>
      <w:r w:rsidRPr="00B16BD5">
        <w:rPr>
          <w:rFonts w:ascii="Arial" w:hAnsi="Arial" w:cs="Arial"/>
        </w:rPr>
        <w:t xml:space="preserve"> session </w:t>
      </w:r>
      <w:r w:rsidR="00C83A15">
        <w:rPr>
          <w:rFonts w:ascii="Arial" w:hAnsi="Arial" w:cs="Arial"/>
        </w:rPr>
        <w:t>(</w:t>
      </w:r>
      <w:r w:rsidRPr="00B16BD5">
        <w:rPr>
          <w:rFonts w:ascii="Arial" w:hAnsi="Arial" w:cs="Arial"/>
        </w:rPr>
        <w:t>2025</w:t>
      </w:r>
      <w:r w:rsidR="00C83A15">
        <w:rPr>
          <w:rFonts w:ascii="Arial" w:hAnsi="Arial" w:cs="Arial"/>
        </w:rPr>
        <w:t>)</w:t>
      </w:r>
      <w:r w:rsidRPr="00B16BD5">
        <w:rPr>
          <w:rFonts w:ascii="Arial" w:hAnsi="Arial" w:cs="Arial"/>
        </w:rPr>
        <w:t>, d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 xml:space="preserve">encourager les États membres de la COI à </w:t>
      </w:r>
      <w:r w:rsidR="00A14382">
        <w:rPr>
          <w:rFonts w:ascii="Arial" w:hAnsi="Arial" w:cs="Arial"/>
        </w:rPr>
        <w:t>contrôler</w:t>
      </w:r>
      <w:r w:rsidR="00A14382" w:rsidRPr="00B16BD5">
        <w:rPr>
          <w:rFonts w:ascii="Arial" w:hAnsi="Arial" w:cs="Arial"/>
        </w:rPr>
        <w:t xml:space="preserve"> </w:t>
      </w:r>
      <w:r w:rsidRPr="00B16BD5">
        <w:rPr>
          <w:rFonts w:ascii="Arial" w:hAnsi="Arial" w:cs="Arial"/>
        </w:rPr>
        <w:t>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 xml:space="preserve">état de leurs marégraphes utilisés pour détecter et </w:t>
      </w:r>
      <w:r w:rsidR="00A14382">
        <w:rPr>
          <w:rFonts w:ascii="Arial" w:hAnsi="Arial" w:cs="Arial"/>
        </w:rPr>
        <w:t>surveiller</w:t>
      </w:r>
      <w:r w:rsidR="00A14382" w:rsidRPr="00B16BD5">
        <w:rPr>
          <w:rFonts w:ascii="Arial" w:hAnsi="Arial" w:cs="Arial"/>
        </w:rPr>
        <w:t xml:space="preserve"> </w:t>
      </w:r>
      <w:r w:rsidRPr="00B16BD5">
        <w:rPr>
          <w:rFonts w:ascii="Arial" w:hAnsi="Arial" w:cs="Arial"/>
        </w:rPr>
        <w:t>les tsunamis, afin de les réparer le plus vite possible en cas de dysfonctionnement, d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 xml:space="preserve">ajouter des marégraphes lorsque cela est possible et de partager leurs données en temps réel, dans </w:t>
      </w:r>
      <w:r w:rsidR="00A14382">
        <w:rPr>
          <w:rFonts w:ascii="Arial" w:hAnsi="Arial" w:cs="Arial"/>
        </w:rPr>
        <w:t>les lieux</w:t>
      </w:r>
      <w:r w:rsidRPr="00B16BD5">
        <w:rPr>
          <w:rFonts w:ascii="Arial" w:hAnsi="Arial" w:cs="Arial"/>
        </w:rPr>
        <w:t xml:space="preserve"> où des lacunes ont été recensées par le</w:t>
      </w:r>
      <w:r w:rsidR="00A14382">
        <w:rPr>
          <w:rFonts w:ascii="Arial" w:hAnsi="Arial" w:cs="Arial"/>
        </w:rPr>
        <w:t>ur</w:t>
      </w:r>
      <w:r w:rsidRPr="00B16BD5">
        <w:rPr>
          <w:rFonts w:ascii="Arial" w:hAnsi="Arial" w:cs="Arial"/>
        </w:rPr>
        <w:t xml:space="preserve"> GIC.</w:t>
      </w:r>
      <w:bookmarkEnd w:id="6"/>
    </w:p>
    <w:p w14:paraId="4B420933" w14:textId="13254EFF" w:rsidR="00A40455" w:rsidRPr="00B16BD5" w:rsidRDefault="00A40455" w:rsidP="00A40455">
      <w:pPr>
        <w:tabs>
          <w:tab w:val="left" w:pos="709"/>
        </w:tabs>
        <w:snapToGrid w:val="0"/>
        <w:spacing w:after="240" w:line="240" w:lineRule="auto"/>
        <w:jc w:val="both"/>
        <w:rPr>
          <w:rFonts w:ascii="Arial" w:eastAsia="SimSun" w:hAnsi="Arial" w:cs="Arial"/>
          <w:snapToGrid w:val="0"/>
        </w:rPr>
      </w:pPr>
      <w:r w:rsidRPr="00B16BD5">
        <w:rPr>
          <w:rFonts w:ascii="Arial" w:hAnsi="Arial" w:cs="Arial"/>
          <w:b/>
          <w:bCs/>
        </w:rPr>
        <w:t>Le Groupe de travail a recommandé</w:t>
      </w:r>
      <w:r w:rsidRPr="00B16BD5">
        <w:rPr>
          <w:rFonts w:ascii="Arial" w:hAnsi="Arial" w:cs="Arial"/>
        </w:rPr>
        <w:t xml:space="preserve"> aux États membres d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 xml:space="preserve">investir davantage dans </w:t>
      </w:r>
      <w:r w:rsidR="00AC43AD">
        <w:rPr>
          <w:rFonts w:ascii="Arial" w:hAnsi="Arial" w:cs="Arial"/>
        </w:rPr>
        <w:t>l</w:t>
      </w:r>
      <w:r w:rsidRPr="00B16BD5">
        <w:rPr>
          <w:rFonts w:ascii="Arial" w:hAnsi="Arial" w:cs="Arial"/>
        </w:rPr>
        <w:t>es instruments de mesure et d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observation du niveau de la mer et de 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 xml:space="preserve">activité sismique en mer, tels que des </w:t>
      </w:r>
      <w:proofErr w:type="spellStart"/>
      <w:r w:rsidRPr="00B16BD5">
        <w:rPr>
          <w:rFonts w:ascii="Arial" w:hAnsi="Arial" w:cs="Arial"/>
        </w:rPr>
        <w:t>tsunamètres</w:t>
      </w:r>
      <w:proofErr w:type="spellEnd"/>
      <w:r w:rsidRPr="00B16BD5">
        <w:rPr>
          <w:rFonts w:ascii="Arial" w:hAnsi="Arial" w:cs="Arial"/>
        </w:rPr>
        <w:t>/DART</w:t>
      </w:r>
      <w:r w:rsidR="00AC43AD">
        <w:rPr>
          <w:rFonts w:ascii="Arial" w:hAnsi="Arial" w:cs="Arial"/>
        </w:rPr>
        <w:t>®</w:t>
      </w:r>
      <w:r w:rsidRPr="00B16BD5">
        <w:rPr>
          <w:rFonts w:ascii="Arial" w:hAnsi="Arial" w:cs="Arial"/>
        </w:rPr>
        <w:t xml:space="preserve">/bouées GPS/systèmes câblés (par exemple des </w:t>
      </w:r>
      <w:r w:rsidR="00A14382">
        <w:rPr>
          <w:rFonts w:ascii="Arial" w:hAnsi="Arial" w:cs="Arial"/>
        </w:rPr>
        <w:t>c</w:t>
      </w:r>
      <w:r w:rsidRPr="00B16BD5">
        <w:rPr>
          <w:rFonts w:ascii="Arial" w:hAnsi="Arial" w:cs="Arial"/>
        </w:rPr>
        <w:t>âbles SMART), dans la mesure du possible, avec des capacités d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observation multi</w:t>
      </w:r>
      <w:r w:rsidR="000A38C4">
        <w:rPr>
          <w:rFonts w:ascii="Arial" w:hAnsi="Arial" w:cs="Arial"/>
        </w:rPr>
        <w:t>risque</w:t>
      </w:r>
      <w:r w:rsidRPr="00B16BD5">
        <w:rPr>
          <w:rFonts w:ascii="Arial" w:hAnsi="Arial" w:cs="Arial"/>
        </w:rPr>
        <w:t>, répondant ainsi aux besoins en matière de sismologie, de météorologie et d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océanographie.</w:t>
      </w:r>
    </w:p>
    <w:p w14:paraId="3F67D340" w14:textId="287C1E9F" w:rsidR="00A40455" w:rsidRPr="00B16BD5" w:rsidRDefault="00A40455" w:rsidP="00A40455">
      <w:pPr>
        <w:tabs>
          <w:tab w:val="left" w:pos="709"/>
        </w:tabs>
        <w:snapToGrid w:val="0"/>
        <w:spacing w:after="240" w:line="240" w:lineRule="auto"/>
        <w:jc w:val="both"/>
        <w:rPr>
          <w:rFonts w:ascii="Arial" w:eastAsia="DengXian" w:hAnsi="Arial" w:cs="Arial"/>
        </w:rPr>
      </w:pPr>
      <w:r w:rsidRPr="00B16BD5">
        <w:rPr>
          <w:rFonts w:ascii="Arial" w:hAnsi="Arial" w:cs="Arial"/>
          <w:b/>
          <w:bCs/>
        </w:rPr>
        <w:t>Le Groupe de travail a également recommandé</w:t>
      </w:r>
      <w:r w:rsidRPr="00B16BD5">
        <w:rPr>
          <w:rFonts w:ascii="Arial" w:hAnsi="Arial" w:cs="Arial"/>
        </w:rPr>
        <w:t xml:space="preserve"> à 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Assemblée de la COI, à sa 33</w:t>
      </w:r>
      <w:r w:rsidRPr="00B16BD5">
        <w:rPr>
          <w:rFonts w:ascii="Arial" w:hAnsi="Arial" w:cs="Arial"/>
          <w:vertAlign w:val="superscript"/>
        </w:rPr>
        <w:t>e</w:t>
      </w:r>
      <w:r w:rsidRPr="00B16BD5">
        <w:rPr>
          <w:rFonts w:ascii="Arial" w:hAnsi="Arial" w:cs="Arial"/>
        </w:rPr>
        <w:t> session en 2025, d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 xml:space="preserve">encourager les États membres à </w:t>
      </w:r>
      <w:r w:rsidR="000A38C4">
        <w:rPr>
          <w:rFonts w:ascii="Arial" w:hAnsi="Arial" w:cs="Arial"/>
        </w:rPr>
        <w:t>apporter</w:t>
      </w:r>
      <w:r w:rsidR="000A38C4" w:rsidRPr="00B16BD5">
        <w:rPr>
          <w:rFonts w:ascii="Arial" w:hAnsi="Arial" w:cs="Arial"/>
        </w:rPr>
        <w:t xml:space="preserve"> </w:t>
      </w:r>
      <w:r w:rsidRPr="00B16BD5">
        <w:rPr>
          <w:rFonts w:ascii="Arial" w:hAnsi="Arial" w:cs="Arial"/>
        </w:rPr>
        <w:t>des contributions financières volontaires au Compte spécial de la COI ainsi que des contributions en nature afin de soutenir le Programme relatif aux tsunamis de la Décennie de 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Océan, le programme de certification Tsunami Ready de la COI et la Coalition Tsunami</w:t>
      </w:r>
      <w:r w:rsidR="00700DD7">
        <w:rPr>
          <w:rFonts w:ascii="Arial" w:hAnsi="Arial" w:cs="Arial"/>
        </w:rPr>
        <w:t> </w:t>
      </w:r>
      <w:r w:rsidRPr="00B16BD5">
        <w:rPr>
          <w:rFonts w:ascii="Arial" w:hAnsi="Arial" w:cs="Arial"/>
        </w:rPr>
        <w:t>Ready.</w:t>
      </w:r>
    </w:p>
    <w:p w14:paraId="0D202368" w14:textId="1A89B8FD" w:rsidR="00A40455" w:rsidRPr="00B16BD5" w:rsidRDefault="00A40455" w:rsidP="00A40455">
      <w:pPr>
        <w:tabs>
          <w:tab w:val="left" w:pos="709"/>
        </w:tabs>
        <w:snapToGrid w:val="0"/>
        <w:spacing w:after="240" w:line="240" w:lineRule="auto"/>
        <w:jc w:val="both"/>
        <w:rPr>
          <w:rFonts w:ascii="Arial" w:eastAsia="SimSun" w:hAnsi="Arial" w:cs="Arial"/>
          <w:snapToGrid w:val="0"/>
        </w:rPr>
      </w:pPr>
      <w:r w:rsidRPr="00B16BD5">
        <w:rPr>
          <w:rFonts w:ascii="Arial" w:hAnsi="Arial" w:cs="Arial"/>
          <w:b/>
          <w:bCs/>
        </w:rPr>
        <w:t>Le Groupe a également recommandé</w:t>
      </w:r>
      <w:r w:rsidRPr="00B16BD5">
        <w:rPr>
          <w:rFonts w:ascii="Arial" w:hAnsi="Arial" w:cs="Arial"/>
        </w:rPr>
        <w:t xml:space="preserve"> </w:t>
      </w:r>
      <w:r w:rsidR="000A38C4">
        <w:rPr>
          <w:rFonts w:ascii="Arial" w:hAnsi="Arial" w:cs="Arial"/>
        </w:rPr>
        <w:t>à</w:t>
      </w:r>
      <w:r w:rsidR="000A38C4" w:rsidRPr="00B16BD5">
        <w:rPr>
          <w:rFonts w:ascii="Arial" w:hAnsi="Arial" w:cs="Arial"/>
        </w:rPr>
        <w:t xml:space="preserve"> </w:t>
      </w:r>
      <w:r w:rsidRPr="00B16BD5">
        <w:rPr>
          <w:rFonts w:ascii="Arial" w:hAnsi="Arial" w:cs="Arial"/>
        </w:rPr>
        <w:t>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Assemblée de la COI, à sa 33</w:t>
      </w:r>
      <w:r w:rsidRPr="00B16BD5">
        <w:rPr>
          <w:rFonts w:ascii="Arial" w:hAnsi="Arial" w:cs="Arial"/>
          <w:vertAlign w:val="superscript"/>
        </w:rPr>
        <w:t>e</w:t>
      </w:r>
      <w:r w:rsidRPr="00B16BD5">
        <w:rPr>
          <w:rFonts w:ascii="Arial" w:hAnsi="Arial" w:cs="Arial"/>
        </w:rPr>
        <w:t xml:space="preserve"> session </w:t>
      </w:r>
      <w:r w:rsidR="000A38C4">
        <w:rPr>
          <w:rFonts w:ascii="Arial" w:hAnsi="Arial" w:cs="Arial"/>
        </w:rPr>
        <w:t>(</w:t>
      </w:r>
      <w:r w:rsidRPr="00B16BD5">
        <w:rPr>
          <w:rFonts w:ascii="Arial" w:hAnsi="Arial" w:cs="Arial"/>
        </w:rPr>
        <w:t>2025</w:t>
      </w:r>
      <w:r w:rsidR="000A38C4">
        <w:rPr>
          <w:rFonts w:ascii="Arial" w:hAnsi="Arial" w:cs="Arial"/>
        </w:rPr>
        <w:t>)</w:t>
      </w:r>
      <w:r w:rsidRPr="00B16BD5">
        <w:rPr>
          <w:rFonts w:ascii="Arial" w:hAnsi="Arial" w:cs="Arial"/>
        </w:rPr>
        <w:t xml:space="preserve">, </w:t>
      </w:r>
      <w:r w:rsidR="000A38C4">
        <w:rPr>
          <w:rFonts w:ascii="Arial" w:hAnsi="Arial" w:cs="Arial"/>
        </w:rPr>
        <w:t xml:space="preserve">de </w:t>
      </w:r>
      <w:r w:rsidR="000A38C4" w:rsidRPr="00E14488">
        <w:rPr>
          <w:rFonts w:ascii="Arial" w:hAnsi="Arial" w:cs="Arial"/>
          <w:b/>
        </w:rPr>
        <w:t>prier</w:t>
      </w:r>
      <w:r w:rsidR="000A38C4">
        <w:rPr>
          <w:rFonts w:ascii="Arial" w:hAnsi="Arial" w:cs="Arial"/>
        </w:rPr>
        <w:t xml:space="preserve"> le</w:t>
      </w:r>
      <w:r w:rsidRPr="00B16BD5">
        <w:rPr>
          <w:rFonts w:ascii="Arial" w:hAnsi="Arial" w:cs="Arial"/>
        </w:rPr>
        <w:t xml:space="preserve"> Secrétariat de la COI :</w:t>
      </w:r>
    </w:p>
    <w:p w14:paraId="24FB0880" w14:textId="5AB88B7B" w:rsidR="00A40455" w:rsidRPr="00B16BD5" w:rsidRDefault="00A40455" w:rsidP="001E1D02">
      <w:pPr>
        <w:numPr>
          <w:ilvl w:val="0"/>
          <w:numId w:val="25"/>
        </w:numPr>
        <w:snapToGrid w:val="0"/>
        <w:spacing w:after="240" w:line="240" w:lineRule="auto"/>
        <w:ind w:left="851" w:hanging="284"/>
        <w:jc w:val="both"/>
        <w:rPr>
          <w:rFonts w:ascii="Arial" w:eastAsia="SimSun" w:hAnsi="Arial" w:cs="Arial"/>
          <w:snapToGrid w:val="0"/>
        </w:rPr>
      </w:pPr>
      <w:proofErr w:type="gramStart"/>
      <w:r w:rsidRPr="00B16BD5">
        <w:rPr>
          <w:rFonts w:ascii="Arial" w:hAnsi="Arial" w:cs="Arial"/>
        </w:rPr>
        <w:t>d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informer</w:t>
      </w:r>
      <w:proofErr w:type="gramEnd"/>
      <w:r w:rsidRPr="00B16BD5">
        <w:rPr>
          <w:rFonts w:ascii="Arial" w:hAnsi="Arial" w:cs="Arial"/>
        </w:rPr>
        <w:t xml:space="preserve"> les États membres de la disponibilité de la boîte à outils Tsunami Ready en adressant une lettre circulaire de la COI aux contacts nationaux pour les tsunamis ainsi qu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aux conseils nationaux du programme Tsunami Ready et, plus largement, en la joignant en tant qu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annexe aux «</w:t>
      </w:r>
      <w:r w:rsidR="006C6DA8">
        <w:rPr>
          <w:rFonts w:ascii="Arial" w:hAnsi="Arial" w:cs="Arial"/>
        </w:rPr>
        <w:t> </w:t>
      </w:r>
      <w:r w:rsidRPr="00B16BD5">
        <w:rPr>
          <w:rFonts w:ascii="Arial" w:hAnsi="Arial" w:cs="Arial"/>
        </w:rPr>
        <w:t xml:space="preserve">Principes directeurs pour le programme de certification Tsunami </w:t>
      </w:r>
      <w:proofErr w:type="spellStart"/>
      <w:r w:rsidRPr="00B16BD5">
        <w:rPr>
          <w:rFonts w:ascii="Arial" w:hAnsi="Arial" w:cs="Arial"/>
        </w:rPr>
        <w:t>Ready</w:t>
      </w:r>
      <w:proofErr w:type="spellEnd"/>
      <w:r w:rsidR="006C6DA8">
        <w:rPr>
          <w:rFonts w:ascii="Arial" w:hAnsi="Arial" w:cs="Arial"/>
        </w:rPr>
        <w:t> </w:t>
      </w:r>
      <w:r w:rsidRPr="00B16BD5">
        <w:rPr>
          <w:rFonts w:ascii="Arial" w:hAnsi="Arial" w:cs="Arial"/>
        </w:rPr>
        <w:t>» (</w:t>
      </w:r>
      <w:r w:rsidR="00F50EAE" w:rsidRPr="00F50EAE">
        <w:rPr>
          <w:rFonts w:ascii="Arial" w:hAnsi="Arial" w:cs="Arial"/>
        </w:rPr>
        <w:t>Manuels et guides de la COI</w:t>
      </w:r>
      <w:r w:rsidR="00F50EAE">
        <w:rPr>
          <w:rFonts w:ascii="Arial" w:hAnsi="Arial" w:cs="Arial"/>
        </w:rPr>
        <w:t xml:space="preserve"> </w:t>
      </w:r>
      <w:r w:rsidR="00F50EAE" w:rsidRPr="00F50EAE">
        <w:rPr>
          <w:rFonts w:ascii="Arial" w:hAnsi="Arial" w:cs="Arial"/>
        </w:rPr>
        <w:t>n°</w:t>
      </w:r>
      <w:r w:rsidR="00E14488">
        <w:rPr>
          <w:rFonts w:ascii="Arial" w:hAnsi="Arial" w:cs="Arial"/>
        </w:rPr>
        <w:t> </w:t>
      </w:r>
      <w:r w:rsidR="00F50EAE" w:rsidRPr="00F50EAE">
        <w:rPr>
          <w:rFonts w:ascii="Arial" w:hAnsi="Arial" w:cs="Arial"/>
        </w:rPr>
        <w:t>74</w:t>
      </w:r>
      <w:r w:rsidRPr="00B16BD5">
        <w:rPr>
          <w:rFonts w:ascii="Arial" w:hAnsi="Arial" w:cs="Arial"/>
        </w:rPr>
        <w:t>)</w:t>
      </w:r>
      <w:r w:rsidR="006C6DA8">
        <w:rPr>
          <w:rFonts w:ascii="Arial" w:hAnsi="Arial" w:cs="Arial"/>
        </w:rPr>
        <w:t> </w:t>
      </w:r>
      <w:r w:rsidRPr="00B16BD5">
        <w:rPr>
          <w:rFonts w:ascii="Arial" w:hAnsi="Arial" w:cs="Arial"/>
        </w:rPr>
        <w:t>;</w:t>
      </w:r>
    </w:p>
    <w:p w14:paraId="4D81E76C" w14:textId="33E12847" w:rsidR="00A40455" w:rsidRPr="00B16BD5" w:rsidRDefault="00A40455" w:rsidP="001E1D02">
      <w:pPr>
        <w:numPr>
          <w:ilvl w:val="0"/>
          <w:numId w:val="25"/>
        </w:numPr>
        <w:snapToGrid w:val="0"/>
        <w:spacing w:after="240" w:line="240" w:lineRule="auto"/>
        <w:ind w:left="851" w:hanging="284"/>
        <w:jc w:val="both"/>
        <w:rPr>
          <w:rFonts w:ascii="Arial" w:eastAsia="SimSun" w:hAnsi="Arial" w:cs="Arial"/>
          <w:snapToGrid w:val="0"/>
        </w:rPr>
      </w:pPr>
      <w:proofErr w:type="gramStart"/>
      <w:r w:rsidRPr="00B16BD5">
        <w:rPr>
          <w:rFonts w:ascii="Arial" w:hAnsi="Arial" w:cs="Arial"/>
        </w:rPr>
        <w:t>de</w:t>
      </w:r>
      <w:proofErr w:type="gramEnd"/>
      <w:r w:rsidRPr="00B16BD5">
        <w:rPr>
          <w:rFonts w:ascii="Arial" w:hAnsi="Arial" w:cs="Arial"/>
        </w:rPr>
        <w:t xml:space="preserve"> communiquer aux États membres la version finale </w:t>
      </w:r>
      <w:r w:rsidR="00F50EAE">
        <w:rPr>
          <w:rFonts w:ascii="Arial" w:hAnsi="Arial" w:cs="Arial"/>
        </w:rPr>
        <w:t>du</w:t>
      </w:r>
      <w:r w:rsidR="00F50EAE" w:rsidRPr="00B16BD5">
        <w:rPr>
          <w:rFonts w:ascii="Arial" w:hAnsi="Arial" w:cs="Arial"/>
        </w:rPr>
        <w:t xml:space="preserve"> </w:t>
      </w:r>
      <w:r w:rsidRPr="00B16BD5">
        <w:rPr>
          <w:rFonts w:ascii="Arial" w:hAnsi="Arial" w:cs="Arial"/>
        </w:rPr>
        <w:t>produit/modèle d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 xml:space="preserve">alerte aux tsunamis destiné </w:t>
      </w:r>
      <w:r w:rsidR="00F50EAE">
        <w:rPr>
          <w:rFonts w:ascii="Arial" w:hAnsi="Arial" w:cs="Arial"/>
        </w:rPr>
        <w:t>au</w:t>
      </w:r>
      <w:r w:rsidR="00F50EAE" w:rsidRPr="002D1F1C">
        <w:rPr>
          <w:rFonts w:ascii="Arial" w:hAnsi="Arial" w:cs="Arial"/>
        </w:rPr>
        <w:t>x</w:t>
      </w:r>
      <w:r w:rsidRPr="002D1F1C">
        <w:rPr>
          <w:rFonts w:ascii="Arial" w:hAnsi="Arial" w:cs="Arial"/>
        </w:rPr>
        <w:t xml:space="preserve"> radio</w:t>
      </w:r>
      <w:r w:rsidR="00F50EAE" w:rsidRPr="002D1F1C">
        <w:rPr>
          <w:rFonts w:ascii="Arial" w:hAnsi="Arial" w:cs="Arial"/>
        </w:rPr>
        <w:t>amateurs</w:t>
      </w:r>
      <w:r w:rsidRPr="002D1F1C">
        <w:rPr>
          <w:rFonts w:ascii="Arial" w:hAnsi="Arial" w:cs="Arial"/>
        </w:rPr>
        <w:t>,</w:t>
      </w:r>
      <w:r w:rsidRPr="00B16BD5">
        <w:rPr>
          <w:rFonts w:ascii="Arial" w:hAnsi="Arial" w:cs="Arial"/>
        </w:rPr>
        <w:t xml:space="preserve"> à titre </w:t>
      </w:r>
      <w:r w:rsidR="008F730B">
        <w:rPr>
          <w:rFonts w:ascii="Arial" w:hAnsi="Arial" w:cs="Arial"/>
        </w:rPr>
        <w:t>d’orientation</w:t>
      </w:r>
      <w:r w:rsidRPr="00B16BD5">
        <w:rPr>
          <w:rFonts w:ascii="Arial" w:hAnsi="Arial" w:cs="Arial"/>
        </w:rPr>
        <w:t> ;</w:t>
      </w:r>
    </w:p>
    <w:p w14:paraId="0B97FAAC" w14:textId="3ADCF88D" w:rsidR="00A40455" w:rsidRDefault="00A40455" w:rsidP="00A40455">
      <w:pPr>
        <w:tabs>
          <w:tab w:val="left" w:pos="709"/>
        </w:tabs>
        <w:snapToGrid w:val="0"/>
        <w:spacing w:after="240" w:line="240" w:lineRule="auto"/>
        <w:jc w:val="right"/>
        <w:rPr>
          <w:rFonts w:ascii="Arial" w:eastAsia="SimSun" w:hAnsi="Arial" w:cs="Arial"/>
          <w:snapToGrid w:val="0"/>
          <w:lang w:val="en-GB"/>
        </w:rPr>
      </w:pPr>
      <w:r w:rsidRPr="00B16BD5">
        <w:rPr>
          <w:rFonts w:ascii="Arial" w:eastAsia="SimSun" w:hAnsi="Arial" w:cs="Arial"/>
          <w:noProof/>
          <w:snapToGrid w:val="0"/>
          <w:lang w:val="en-GB"/>
        </w:rPr>
        <w:drawing>
          <wp:inline distT="0" distB="0" distL="0" distR="0" wp14:anchorId="4B57E9FA" wp14:editId="4B38032A">
            <wp:extent cx="5543812" cy="590309"/>
            <wp:effectExtent l="0" t="0" r="0" b="635"/>
            <wp:docPr id="666896947" name="Picture 1" descr="A black background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896947" name="Picture 1" descr="A black background with re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64" cy="608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380BB8" w14:textId="70BDF120" w:rsidR="008F730B" w:rsidRPr="00E14488" w:rsidRDefault="008F730B" w:rsidP="00E1448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9"/>
        </w:tabs>
        <w:snapToGrid w:val="0"/>
        <w:spacing w:after="240" w:line="240" w:lineRule="auto"/>
        <w:jc w:val="both"/>
        <w:rPr>
          <w:rFonts w:ascii="Arial" w:eastAsia="SimSun" w:hAnsi="Arial" w:cs="Arial"/>
          <w:snapToGrid w:val="0"/>
        </w:rPr>
      </w:pPr>
      <w:r w:rsidRPr="00E14488">
        <w:rPr>
          <w:rFonts w:ascii="Arial" w:eastAsia="SimSun" w:hAnsi="Arial" w:cs="Arial"/>
          <w:snapToGrid w:val="0"/>
          <w:sz w:val="20"/>
          <w:szCs w:val="20"/>
        </w:rPr>
        <w:t xml:space="preserve">À </w:t>
      </w:r>
      <w:r w:rsidRPr="00E14488">
        <w:rPr>
          <w:rFonts w:ascii="Arial" w:eastAsia="SimSun" w:hAnsi="Arial" w:cs="Arial"/>
          <w:i/>
          <w:snapToGrid w:val="0"/>
          <w:color w:val="FF0000"/>
          <w:sz w:val="20"/>
          <w:szCs w:val="20"/>
        </w:rPr>
        <w:t>(</w:t>
      </w:r>
      <w:proofErr w:type="gramStart"/>
      <w:r w:rsidRPr="00E14488">
        <w:rPr>
          <w:rFonts w:ascii="Arial" w:eastAsia="SimSun" w:hAnsi="Arial" w:cs="Arial"/>
          <w:i/>
          <w:snapToGrid w:val="0"/>
          <w:color w:val="FF0000"/>
          <w:sz w:val="20"/>
          <w:szCs w:val="20"/>
        </w:rPr>
        <w:t>XX:XX</w:t>
      </w:r>
      <w:proofErr w:type="gramEnd"/>
      <w:r w:rsidRPr="00E14488">
        <w:rPr>
          <w:rFonts w:ascii="Arial" w:eastAsia="SimSun" w:hAnsi="Arial" w:cs="Arial"/>
          <w:i/>
          <w:snapToGrid w:val="0"/>
          <w:color w:val="FF0000"/>
          <w:sz w:val="20"/>
          <w:szCs w:val="20"/>
        </w:rPr>
        <w:t>)</w:t>
      </w:r>
      <w:r w:rsidRPr="00E14488">
        <w:rPr>
          <w:rFonts w:ascii="Arial" w:eastAsia="SimSun" w:hAnsi="Arial" w:cs="Arial"/>
          <w:snapToGrid w:val="0"/>
          <w:color w:val="FF0000"/>
          <w:sz w:val="20"/>
          <w:szCs w:val="20"/>
        </w:rPr>
        <w:t xml:space="preserve"> </w:t>
      </w:r>
      <w:r w:rsidRPr="00E14488">
        <w:rPr>
          <w:rFonts w:ascii="Arial" w:eastAsia="SimSun" w:hAnsi="Arial" w:cs="Arial"/>
          <w:snapToGrid w:val="0"/>
          <w:sz w:val="20"/>
          <w:szCs w:val="20"/>
        </w:rPr>
        <w:t xml:space="preserve">heure locale, un séisme de magnitude </w:t>
      </w:r>
      <w:r w:rsidRPr="00E14488">
        <w:rPr>
          <w:rFonts w:ascii="Arial" w:eastAsia="SimSun" w:hAnsi="Arial" w:cs="Arial"/>
          <w:i/>
          <w:snapToGrid w:val="0"/>
          <w:color w:val="FF0000"/>
          <w:sz w:val="20"/>
          <w:szCs w:val="20"/>
        </w:rPr>
        <w:t>X.X</w:t>
      </w:r>
      <w:r w:rsidRPr="00E14488">
        <w:rPr>
          <w:rFonts w:ascii="Arial" w:eastAsia="SimSun" w:hAnsi="Arial" w:cs="Arial"/>
          <w:snapToGrid w:val="0"/>
          <w:color w:val="FF0000"/>
          <w:sz w:val="20"/>
          <w:szCs w:val="20"/>
        </w:rPr>
        <w:t xml:space="preserve"> </w:t>
      </w:r>
      <w:r w:rsidRPr="00E14488">
        <w:rPr>
          <w:rFonts w:ascii="Arial" w:eastAsia="SimSun" w:hAnsi="Arial" w:cs="Arial"/>
          <w:snapToGrid w:val="0"/>
          <w:sz w:val="20"/>
          <w:szCs w:val="20"/>
        </w:rPr>
        <w:t>est survenu à</w:t>
      </w:r>
      <w:r w:rsidR="00DB458E" w:rsidRPr="00E14488">
        <w:rPr>
          <w:rFonts w:ascii="Arial" w:eastAsia="SimSun" w:hAnsi="Arial" w:cs="Arial"/>
          <w:snapToGrid w:val="0"/>
          <w:sz w:val="20"/>
          <w:szCs w:val="20"/>
        </w:rPr>
        <w:t xml:space="preserve"> la position</w:t>
      </w:r>
      <w:r w:rsidRPr="00E14488">
        <w:rPr>
          <w:rFonts w:ascii="Arial" w:eastAsia="SimSun" w:hAnsi="Arial" w:cs="Arial"/>
          <w:snapToGrid w:val="0"/>
          <w:sz w:val="20"/>
          <w:szCs w:val="20"/>
        </w:rPr>
        <w:t xml:space="preserve"> </w:t>
      </w:r>
      <w:r w:rsidRPr="00E14488">
        <w:rPr>
          <w:rFonts w:ascii="Arial" w:eastAsia="SimSun" w:hAnsi="Arial" w:cs="Arial"/>
          <w:i/>
          <w:snapToGrid w:val="0"/>
          <w:color w:val="FF0000"/>
          <w:sz w:val="20"/>
          <w:szCs w:val="20"/>
        </w:rPr>
        <w:t>Lat.</w:t>
      </w:r>
      <w:r w:rsidR="00DB458E" w:rsidRPr="00E14488">
        <w:rPr>
          <w:rFonts w:ascii="Arial" w:eastAsia="SimSun" w:hAnsi="Arial" w:cs="Arial"/>
          <w:i/>
          <w:snapToGrid w:val="0"/>
          <w:color w:val="FF0000"/>
          <w:sz w:val="20"/>
          <w:szCs w:val="20"/>
        </w:rPr>
        <w:t>/</w:t>
      </w:r>
      <w:r w:rsidRPr="00E14488">
        <w:rPr>
          <w:rFonts w:ascii="Arial" w:eastAsia="SimSun" w:hAnsi="Arial" w:cs="Arial"/>
          <w:i/>
          <w:snapToGrid w:val="0"/>
          <w:color w:val="FF0000"/>
          <w:sz w:val="20"/>
          <w:szCs w:val="20"/>
        </w:rPr>
        <w:t>Long.</w:t>
      </w:r>
      <w:r w:rsidR="00EF519A" w:rsidRPr="00E14488">
        <w:rPr>
          <w:rFonts w:ascii="Arial" w:eastAsia="SimSun" w:hAnsi="Arial" w:cs="Arial"/>
          <w:snapToGrid w:val="0"/>
          <w:color w:val="FF0000"/>
          <w:sz w:val="20"/>
          <w:szCs w:val="20"/>
        </w:rPr>
        <w:t xml:space="preserve"> </w:t>
      </w:r>
      <w:r w:rsidR="00EF519A" w:rsidRPr="00E14488">
        <w:rPr>
          <w:rFonts w:ascii="Arial" w:eastAsia="SimSun" w:hAnsi="Arial" w:cs="Arial"/>
          <w:snapToGrid w:val="0"/>
          <w:sz w:val="20"/>
          <w:szCs w:val="20"/>
        </w:rPr>
        <w:t xml:space="preserve">à une profondeur de </w:t>
      </w:r>
      <w:r w:rsidR="00EF519A" w:rsidRPr="00E14488">
        <w:rPr>
          <w:rFonts w:ascii="Arial" w:eastAsia="SimSun" w:hAnsi="Arial" w:cs="Arial"/>
          <w:i/>
          <w:snapToGrid w:val="0"/>
          <w:color w:val="FF0000"/>
          <w:sz w:val="20"/>
          <w:szCs w:val="20"/>
        </w:rPr>
        <w:t>X</w:t>
      </w:r>
      <w:r w:rsidR="00EF519A" w:rsidRPr="00E14488">
        <w:rPr>
          <w:rFonts w:ascii="Arial" w:eastAsia="SimSun" w:hAnsi="Arial" w:cs="Arial"/>
          <w:snapToGrid w:val="0"/>
          <w:color w:val="FF0000"/>
          <w:sz w:val="20"/>
          <w:szCs w:val="20"/>
        </w:rPr>
        <w:t xml:space="preserve"> </w:t>
      </w:r>
      <w:r w:rsidR="00EF519A" w:rsidRPr="00E14488">
        <w:rPr>
          <w:rFonts w:ascii="Arial" w:eastAsia="SimSun" w:hAnsi="Arial" w:cs="Arial"/>
          <w:snapToGrid w:val="0"/>
          <w:sz w:val="20"/>
          <w:szCs w:val="20"/>
        </w:rPr>
        <w:t xml:space="preserve">km, à </w:t>
      </w:r>
      <w:r w:rsidR="00EF519A" w:rsidRPr="00E14488">
        <w:rPr>
          <w:rFonts w:ascii="Arial" w:eastAsia="SimSun" w:hAnsi="Arial" w:cs="Arial"/>
          <w:i/>
          <w:snapToGrid w:val="0"/>
          <w:color w:val="FF0000"/>
          <w:sz w:val="20"/>
          <w:szCs w:val="20"/>
        </w:rPr>
        <w:t>X</w:t>
      </w:r>
      <w:r w:rsidR="00EF519A" w:rsidRPr="00E14488">
        <w:rPr>
          <w:rFonts w:ascii="Arial" w:eastAsia="SimSun" w:hAnsi="Arial" w:cs="Arial"/>
          <w:snapToGrid w:val="0"/>
          <w:color w:val="FF0000"/>
          <w:sz w:val="20"/>
          <w:szCs w:val="20"/>
        </w:rPr>
        <w:t xml:space="preserve"> </w:t>
      </w:r>
      <w:r w:rsidR="00EF519A" w:rsidRPr="00E14488">
        <w:rPr>
          <w:rFonts w:ascii="Arial" w:eastAsia="SimSun" w:hAnsi="Arial" w:cs="Arial"/>
          <w:snapToGrid w:val="0"/>
          <w:sz w:val="20"/>
          <w:szCs w:val="20"/>
        </w:rPr>
        <w:t xml:space="preserve">km à </w:t>
      </w:r>
      <w:r w:rsidR="00EF519A" w:rsidRPr="00E14488">
        <w:rPr>
          <w:rFonts w:ascii="Arial" w:eastAsia="SimSun" w:hAnsi="Arial" w:cs="Arial"/>
          <w:i/>
          <w:snapToGrid w:val="0"/>
          <w:color w:val="FF0000"/>
          <w:sz w:val="20"/>
          <w:szCs w:val="20"/>
        </w:rPr>
        <w:t>Direction</w:t>
      </w:r>
      <w:r w:rsidR="00EF519A" w:rsidRPr="00E14488">
        <w:rPr>
          <w:rFonts w:ascii="Arial" w:eastAsia="SimSun" w:hAnsi="Arial" w:cs="Arial"/>
          <w:snapToGrid w:val="0"/>
          <w:color w:val="FF0000"/>
          <w:sz w:val="20"/>
          <w:szCs w:val="20"/>
        </w:rPr>
        <w:t xml:space="preserve"> </w:t>
      </w:r>
      <w:r w:rsidR="00EF519A" w:rsidRPr="00E14488">
        <w:rPr>
          <w:rFonts w:ascii="Arial" w:eastAsia="SimSun" w:hAnsi="Arial" w:cs="Arial"/>
          <w:snapToGrid w:val="0"/>
          <w:sz w:val="20"/>
          <w:szCs w:val="20"/>
        </w:rPr>
        <w:t xml:space="preserve">de </w:t>
      </w:r>
      <w:r w:rsidR="00EF519A" w:rsidRPr="002D1F1C">
        <w:rPr>
          <w:rFonts w:ascii="Arial" w:eastAsia="SimSun" w:hAnsi="Arial" w:cs="Arial"/>
          <w:i/>
          <w:iCs/>
          <w:snapToGrid w:val="0"/>
          <w:color w:val="FF0000"/>
          <w:sz w:val="20"/>
          <w:szCs w:val="20"/>
        </w:rPr>
        <w:t>(Lieu)</w:t>
      </w:r>
      <w:r w:rsidR="00EF519A" w:rsidRPr="00E14488">
        <w:rPr>
          <w:rFonts w:ascii="Arial" w:eastAsia="SimSun" w:hAnsi="Arial" w:cs="Arial"/>
          <w:snapToGrid w:val="0"/>
          <w:sz w:val="20"/>
          <w:szCs w:val="20"/>
        </w:rPr>
        <w:t xml:space="preserve">. Le </w:t>
      </w:r>
      <w:r w:rsidR="00EF519A" w:rsidRPr="002D1F1C">
        <w:rPr>
          <w:rFonts w:ascii="Arial" w:eastAsia="SimSun" w:hAnsi="Arial" w:cs="Arial"/>
          <w:i/>
          <w:iCs/>
          <w:snapToGrid w:val="0"/>
          <w:color w:val="FF0000"/>
          <w:sz w:val="20"/>
          <w:szCs w:val="20"/>
        </w:rPr>
        <w:t>(NTWC)</w:t>
      </w:r>
      <w:r w:rsidR="00EF519A" w:rsidRPr="00E14488">
        <w:rPr>
          <w:rFonts w:ascii="Arial" w:eastAsia="SimSun" w:hAnsi="Arial" w:cs="Arial"/>
          <w:snapToGrid w:val="0"/>
          <w:sz w:val="20"/>
          <w:szCs w:val="20"/>
        </w:rPr>
        <w:t xml:space="preserve"> a émis une alerte au tsunami de </w:t>
      </w:r>
      <w:r w:rsidR="00EF519A" w:rsidRPr="00E14488">
        <w:rPr>
          <w:rFonts w:ascii="Arial" w:eastAsia="SimSun" w:hAnsi="Arial" w:cs="Arial"/>
          <w:i/>
          <w:snapToGrid w:val="0"/>
          <w:color w:val="FF0000"/>
          <w:sz w:val="20"/>
          <w:szCs w:val="20"/>
        </w:rPr>
        <w:t>(niveau)</w:t>
      </w:r>
      <w:r w:rsidR="00EF519A" w:rsidRPr="00E14488">
        <w:rPr>
          <w:rFonts w:ascii="Arial" w:eastAsia="SimSun" w:hAnsi="Arial" w:cs="Arial"/>
          <w:snapToGrid w:val="0"/>
          <w:color w:val="FF0000"/>
          <w:sz w:val="20"/>
          <w:szCs w:val="20"/>
        </w:rPr>
        <w:t xml:space="preserve"> </w:t>
      </w:r>
      <w:r w:rsidR="00EF519A" w:rsidRPr="00E14488">
        <w:rPr>
          <w:rFonts w:ascii="Arial" w:eastAsia="SimSun" w:hAnsi="Arial" w:cs="Arial"/>
          <w:snapToGrid w:val="0"/>
          <w:sz w:val="20"/>
          <w:szCs w:val="20"/>
        </w:rPr>
        <w:t xml:space="preserve">concernant </w:t>
      </w:r>
      <w:r w:rsidR="00EF519A" w:rsidRPr="00E14488">
        <w:rPr>
          <w:rFonts w:ascii="Arial" w:eastAsia="SimSun" w:hAnsi="Arial" w:cs="Arial"/>
          <w:i/>
          <w:snapToGrid w:val="0"/>
          <w:color w:val="FF0000"/>
          <w:sz w:val="20"/>
          <w:szCs w:val="20"/>
        </w:rPr>
        <w:t>(Lieu)</w:t>
      </w:r>
      <w:r w:rsidR="00EF519A" w:rsidRPr="00E14488">
        <w:rPr>
          <w:rFonts w:ascii="Arial" w:eastAsia="SimSun" w:hAnsi="Arial" w:cs="Arial"/>
          <w:snapToGrid w:val="0"/>
          <w:sz w:val="20"/>
          <w:szCs w:val="20"/>
        </w:rPr>
        <w:t xml:space="preserve">. </w:t>
      </w:r>
      <w:r w:rsidRPr="00E14488">
        <w:rPr>
          <w:rFonts w:ascii="Arial" w:eastAsia="SimSun" w:hAnsi="Arial" w:cs="Arial"/>
          <w:snapToGrid w:val="0"/>
          <w:sz w:val="20"/>
          <w:szCs w:val="20"/>
        </w:rPr>
        <w:t xml:space="preserve"> </w:t>
      </w:r>
    </w:p>
    <w:p w14:paraId="60784331" w14:textId="27EB9D9C" w:rsidR="00A40455" w:rsidRPr="00B16BD5" w:rsidRDefault="00A40455" w:rsidP="001E1D02">
      <w:pPr>
        <w:numPr>
          <w:ilvl w:val="0"/>
          <w:numId w:val="25"/>
        </w:numPr>
        <w:snapToGrid w:val="0"/>
        <w:spacing w:after="240" w:line="240" w:lineRule="auto"/>
        <w:ind w:left="851" w:hanging="284"/>
        <w:jc w:val="both"/>
        <w:rPr>
          <w:rFonts w:ascii="Arial" w:eastAsia="SimSun" w:hAnsi="Arial" w:cs="Arial"/>
          <w:snapToGrid w:val="0"/>
        </w:rPr>
      </w:pPr>
      <w:proofErr w:type="gramStart"/>
      <w:r w:rsidRPr="00B16BD5">
        <w:rPr>
          <w:rFonts w:ascii="Arial" w:hAnsi="Arial" w:cs="Arial"/>
        </w:rPr>
        <w:t>de</w:t>
      </w:r>
      <w:proofErr w:type="gramEnd"/>
      <w:r w:rsidRPr="00B16BD5">
        <w:rPr>
          <w:rFonts w:ascii="Arial" w:hAnsi="Arial" w:cs="Arial"/>
        </w:rPr>
        <w:t xml:space="preserve"> finaliser le Plan de mise en œuvre de la Coalition Tsunami</w:t>
      </w:r>
      <w:r w:rsidR="00FA21C5">
        <w:rPr>
          <w:rFonts w:ascii="Arial" w:hAnsi="Arial" w:cs="Arial"/>
        </w:rPr>
        <w:t> </w:t>
      </w:r>
      <w:r w:rsidRPr="00B16BD5">
        <w:rPr>
          <w:rFonts w:ascii="Arial" w:hAnsi="Arial" w:cs="Arial"/>
        </w:rPr>
        <w:t xml:space="preserve">Ready en consultation avec </w:t>
      </w:r>
      <w:r w:rsidR="00593974">
        <w:rPr>
          <w:rFonts w:ascii="Arial" w:hAnsi="Arial" w:cs="Arial"/>
        </w:rPr>
        <w:t xml:space="preserve">le Président de </w:t>
      </w:r>
      <w:r w:rsidRPr="00B16BD5">
        <w:rPr>
          <w:rFonts w:ascii="Arial" w:hAnsi="Arial" w:cs="Arial"/>
        </w:rPr>
        <w:t>la Coalition Tsunami </w:t>
      </w:r>
      <w:proofErr w:type="spellStart"/>
      <w:r w:rsidRPr="00B16BD5">
        <w:rPr>
          <w:rFonts w:ascii="Arial" w:hAnsi="Arial" w:cs="Arial"/>
        </w:rPr>
        <w:t>Ready</w:t>
      </w:r>
      <w:proofErr w:type="spellEnd"/>
      <w:r w:rsidRPr="00B16BD5">
        <w:rPr>
          <w:rFonts w:ascii="Arial" w:hAnsi="Arial" w:cs="Arial"/>
        </w:rPr>
        <w:t xml:space="preserve">, les partenaires, « Ambassadeurs » ou </w:t>
      </w:r>
      <w:r w:rsidR="003915BD">
        <w:rPr>
          <w:rFonts w:ascii="Arial" w:hAnsi="Arial" w:cs="Arial"/>
        </w:rPr>
        <w:t>acteurs assimilés</w:t>
      </w:r>
      <w:r w:rsidR="00664920" w:rsidRPr="00664920">
        <w:rPr>
          <w:rFonts w:ascii="Arial" w:hAnsi="Arial" w:cs="Arial"/>
        </w:rPr>
        <w:t xml:space="preserve"> </w:t>
      </w:r>
      <w:r w:rsidR="00664920" w:rsidRPr="00B16BD5">
        <w:rPr>
          <w:rFonts w:ascii="Arial" w:hAnsi="Arial" w:cs="Arial"/>
        </w:rPr>
        <w:t xml:space="preserve">de </w:t>
      </w:r>
      <w:r w:rsidR="00664920">
        <w:rPr>
          <w:rFonts w:ascii="Arial" w:hAnsi="Arial" w:cs="Arial"/>
        </w:rPr>
        <w:t xml:space="preserve">la </w:t>
      </w:r>
      <w:r w:rsidR="00664920" w:rsidRPr="00B16BD5">
        <w:rPr>
          <w:rFonts w:ascii="Arial" w:hAnsi="Arial" w:cs="Arial"/>
        </w:rPr>
        <w:t>Coalition,</w:t>
      </w:r>
      <w:r w:rsidRPr="00B16BD5">
        <w:rPr>
          <w:rFonts w:ascii="Arial" w:hAnsi="Arial" w:cs="Arial"/>
        </w:rPr>
        <w:t xml:space="preserve"> et la co-présidence de la Coalition ;</w:t>
      </w:r>
    </w:p>
    <w:p w14:paraId="00B69D2D" w14:textId="24E79DE1" w:rsidR="00A40455" w:rsidRPr="00B16BD5" w:rsidRDefault="00A40455" w:rsidP="001E1D02">
      <w:pPr>
        <w:numPr>
          <w:ilvl w:val="0"/>
          <w:numId w:val="25"/>
        </w:numPr>
        <w:snapToGrid w:val="0"/>
        <w:spacing w:after="240" w:line="240" w:lineRule="auto"/>
        <w:ind w:left="851" w:hanging="284"/>
        <w:jc w:val="both"/>
        <w:rPr>
          <w:rFonts w:ascii="Arial" w:eastAsia="SimSun" w:hAnsi="Arial" w:cs="Arial"/>
          <w:snapToGrid w:val="0"/>
        </w:rPr>
      </w:pPr>
      <w:proofErr w:type="gramStart"/>
      <w:r w:rsidRPr="00B16BD5">
        <w:rPr>
          <w:rFonts w:ascii="Arial" w:hAnsi="Arial" w:cs="Arial"/>
        </w:rPr>
        <w:t>d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envoyer</w:t>
      </w:r>
      <w:proofErr w:type="gramEnd"/>
      <w:r w:rsidRPr="00B16BD5">
        <w:rPr>
          <w:rFonts w:ascii="Arial" w:hAnsi="Arial" w:cs="Arial"/>
        </w:rPr>
        <w:t xml:space="preserve"> des invitations aux partenaires</w:t>
      </w:r>
      <w:r w:rsidR="00664920">
        <w:rPr>
          <w:rFonts w:ascii="Arial" w:hAnsi="Arial" w:cs="Arial"/>
        </w:rPr>
        <w:t>,</w:t>
      </w:r>
      <w:r w:rsidRPr="00B16BD5">
        <w:rPr>
          <w:rFonts w:ascii="Arial" w:hAnsi="Arial" w:cs="Arial"/>
        </w:rPr>
        <w:t xml:space="preserve"> « Ambassadeurs » ou </w:t>
      </w:r>
      <w:r w:rsidR="003915BD">
        <w:rPr>
          <w:rFonts w:ascii="Arial" w:hAnsi="Arial" w:cs="Arial"/>
        </w:rPr>
        <w:t>acteurs assimilés</w:t>
      </w:r>
      <w:r w:rsidR="00664920" w:rsidRPr="00664920">
        <w:rPr>
          <w:rFonts w:ascii="Arial" w:hAnsi="Arial" w:cs="Arial"/>
        </w:rPr>
        <w:t xml:space="preserve"> </w:t>
      </w:r>
      <w:r w:rsidR="00664920" w:rsidRPr="00B16BD5">
        <w:rPr>
          <w:rFonts w:ascii="Arial" w:hAnsi="Arial" w:cs="Arial"/>
        </w:rPr>
        <w:t xml:space="preserve">de </w:t>
      </w:r>
      <w:r w:rsidR="00664920">
        <w:rPr>
          <w:rFonts w:ascii="Arial" w:hAnsi="Arial" w:cs="Arial"/>
        </w:rPr>
        <w:t xml:space="preserve">la </w:t>
      </w:r>
      <w:r w:rsidR="00664920" w:rsidRPr="00B16BD5">
        <w:rPr>
          <w:rFonts w:ascii="Arial" w:hAnsi="Arial" w:cs="Arial"/>
        </w:rPr>
        <w:t>Coalition</w:t>
      </w:r>
      <w:r w:rsidRPr="00B16BD5">
        <w:rPr>
          <w:rFonts w:ascii="Arial" w:hAnsi="Arial" w:cs="Arial"/>
        </w:rPr>
        <w:t>, et à la co-présidence de la Coalition, et d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aborder urgemment la question des ressources nécessaires.</w:t>
      </w:r>
    </w:p>
    <w:p w14:paraId="78B869D0" w14:textId="2E1E3FCB" w:rsidR="00A40455" w:rsidRPr="00B16BD5" w:rsidRDefault="00A40455" w:rsidP="00A40455">
      <w:pPr>
        <w:tabs>
          <w:tab w:val="left" w:pos="709"/>
        </w:tabs>
        <w:snapToGrid w:val="0"/>
        <w:spacing w:after="240" w:line="240" w:lineRule="auto"/>
        <w:jc w:val="both"/>
        <w:rPr>
          <w:rFonts w:ascii="Arial" w:eastAsia="DengXian" w:hAnsi="Arial" w:cs="Arial"/>
        </w:rPr>
      </w:pPr>
      <w:r w:rsidRPr="00B16BD5">
        <w:rPr>
          <w:rFonts w:ascii="Arial" w:hAnsi="Arial" w:cs="Arial"/>
          <w:b/>
          <w:bCs/>
        </w:rPr>
        <w:lastRenderedPageBreak/>
        <w:t>Le Groupe de travail a recommandé</w:t>
      </w:r>
      <w:r w:rsidRPr="00B16BD5">
        <w:rPr>
          <w:rFonts w:ascii="Arial" w:hAnsi="Arial" w:cs="Arial"/>
        </w:rPr>
        <w:t xml:space="preserve"> à 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Assemblée de la COI, à sa 33</w:t>
      </w:r>
      <w:r w:rsidRPr="00B16BD5">
        <w:rPr>
          <w:rFonts w:ascii="Arial" w:hAnsi="Arial" w:cs="Arial"/>
          <w:vertAlign w:val="superscript"/>
        </w:rPr>
        <w:t>e</w:t>
      </w:r>
      <w:r w:rsidRPr="00B16BD5">
        <w:rPr>
          <w:rFonts w:ascii="Arial" w:hAnsi="Arial" w:cs="Arial"/>
        </w:rPr>
        <w:t xml:space="preserve"> session </w:t>
      </w:r>
      <w:r w:rsidR="00664920">
        <w:rPr>
          <w:rFonts w:ascii="Arial" w:hAnsi="Arial" w:cs="Arial"/>
        </w:rPr>
        <w:t>(</w:t>
      </w:r>
      <w:r w:rsidRPr="00B16BD5">
        <w:rPr>
          <w:rFonts w:ascii="Arial" w:hAnsi="Arial" w:cs="Arial"/>
        </w:rPr>
        <w:t>2025</w:t>
      </w:r>
      <w:r w:rsidR="00664920">
        <w:rPr>
          <w:rFonts w:ascii="Arial" w:hAnsi="Arial" w:cs="Arial"/>
        </w:rPr>
        <w:t>)</w:t>
      </w:r>
      <w:r w:rsidRPr="00B16BD5">
        <w:rPr>
          <w:rFonts w:ascii="Arial" w:hAnsi="Arial" w:cs="Arial"/>
        </w:rPr>
        <w:t xml:space="preserve">, de prolonger </w:t>
      </w:r>
      <w:r w:rsidR="00664920">
        <w:rPr>
          <w:rFonts w:ascii="Arial" w:hAnsi="Arial" w:cs="Arial"/>
        </w:rPr>
        <w:t>le mandat</w:t>
      </w:r>
      <w:r w:rsidRPr="00B16BD5">
        <w:rPr>
          <w:rFonts w:ascii="Arial" w:hAnsi="Arial" w:cs="Arial"/>
        </w:rPr>
        <w:t xml:space="preserve"> de</w:t>
      </w:r>
      <w:r w:rsidR="006C6DA8">
        <w:rPr>
          <w:rFonts w:ascii="Arial" w:hAnsi="Arial" w:cs="Arial"/>
        </w:rPr>
        <w:t>s Équipes spéciales inter-GIC de</w:t>
      </w:r>
      <w:r w:rsidRPr="00B16BD5">
        <w:rPr>
          <w:rFonts w:ascii="Arial" w:hAnsi="Arial" w:cs="Arial"/>
        </w:rPr>
        <w:t xml:space="preserve"> </w:t>
      </w:r>
      <w:r w:rsidR="006C6DA8">
        <w:rPr>
          <w:rFonts w:ascii="Arial" w:hAnsi="Arial" w:cs="Arial"/>
        </w:rPr>
        <w:t xml:space="preserve">la </w:t>
      </w:r>
      <w:r w:rsidRPr="00B16BD5">
        <w:rPr>
          <w:rFonts w:ascii="Arial" w:hAnsi="Arial" w:cs="Arial"/>
        </w:rPr>
        <w:t xml:space="preserve">TT-DMP et de </w:t>
      </w:r>
      <w:r w:rsidR="006C6DA8">
        <w:rPr>
          <w:rFonts w:ascii="Arial" w:hAnsi="Arial" w:cs="Arial"/>
        </w:rPr>
        <w:t xml:space="preserve">la </w:t>
      </w:r>
      <w:r w:rsidRPr="00B16BD5">
        <w:rPr>
          <w:rFonts w:ascii="Arial" w:hAnsi="Arial" w:cs="Arial"/>
        </w:rPr>
        <w:t>TT-TWO, et a recommandé 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approbation du mandat actualisé de 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Équipe spéciale sur la gestion et la préparation en cas de catastrophe</w:t>
      </w:r>
      <w:r w:rsidR="00664920">
        <w:rPr>
          <w:rFonts w:ascii="Arial" w:hAnsi="Arial" w:cs="Arial"/>
        </w:rPr>
        <w:t xml:space="preserve"> liée à un tsunami</w:t>
      </w:r>
      <w:r w:rsidRPr="00B16BD5">
        <w:rPr>
          <w:rFonts w:ascii="Arial" w:hAnsi="Arial" w:cs="Arial"/>
        </w:rPr>
        <w:t>, tel qu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</w:rPr>
        <w:t>il figure à l</w:t>
      </w:r>
      <w:r w:rsidR="00B16BD5">
        <w:rPr>
          <w:rFonts w:ascii="Arial" w:hAnsi="Arial" w:cs="Arial"/>
        </w:rPr>
        <w:t>’</w:t>
      </w:r>
      <w:r w:rsidRPr="00B16BD5">
        <w:rPr>
          <w:rFonts w:ascii="Arial" w:hAnsi="Arial" w:cs="Arial"/>
          <w:b/>
          <w:bCs/>
        </w:rPr>
        <w:t>Annexe 1</w:t>
      </w:r>
      <w:r w:rsidRPr="00B16BD5">
        <w:rPr>
          <w:rFonts w:ascii="Arial" w:hAnsi="Arial" w:cs="Arial"/>
        </w:rPr>
        <w:t>.</w:t>
      </w:r>
    </w:p>
    <w:sectPr w:rsidR="00A40455" w:rsidRPr="00B16BD5" w:rsidSect="00E14488">
      <w:headerReference w:type="even" r:id="rId17"/>
      <w:headerReference w:type="default" r:id="rId18"/>
      <w:headerReference w:type="first" r:id="rId19"/>
      <w:pgSz w:w="11906" w:h="16838" w:code="9"/>
      <w:pgMar w:top="1418" w:right="1418" w:bottom="1418" w:left="1418" w:header="68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9B2FB" w14:textId="77777777" w:rsidR="001E395D" w:rsidRDefault="001E395D" w:rsidP="00737EF6">
      <w:pPr>
        <w:spacing w:after="0" w:line="240" w:lineRule="auto"/>
      </w:pPr>
      <w:r>
        <w:separator/>
      </w:r>
    </w:p>
  </w:endnote>
  <w:endnote w:type="continuationSeparator" w:id="0">
    <w:p w14:paraId="631761F8" w14:textId="77777777" w:rsidR="001E395D" w:rsidRDefault="001E395D" w:rsidP="0073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Times New Roman"/>
    <w:charset w:val="00"/>
    <w:family w:val="auto"/>
    <w:pitch w:val="default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29EC5" w14:textId="77777777" w:rsidR="001E395D" w:rsidRDefault="001E395D" w:rsidP="00737EF6">
      <w:pPr>
        <w:spacing w:after="0" w:line="240" w:lineRule="auto"/>
      </w:pPr>
      <w:r>
        <w:separator/>
      </w:r>
    </w:p>
  </w:footnote>
  <w:footnote w:type="continuationSeparator" w:id="0">
    <w:p w14:paraId="066B3AC9" w14:textId="77777777" w:rsidR="001E395D" w:rsidRDefault="001E395D" w:rsidP="0073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459AF" w14:textId="77777777" w:rsidR="00E14488" w:rsidRPr="00E14488" w:rsidRDefault="00E14488" w:rsidP="00E14488">
    <w:pPr>
      <w:pStyle w:val="En-tte"/>
      <w:jc w:val="both"/>
      <w:rPr>
        <w:rFonts w:ascii="Arial" w:hAnsi="Arial" w:cs="Arial"/>
        <w:lang w:val="en-US"/>
      </w:rPr>
    </w:pPr>
    <w:r w:rsidRPr="00E14488">
      <w:rPr>
        <w:rFonts w:ascii="Arial" w:hAnsi="Arial" w:cs="Arial"/>
        <w:lang w:val="en-US"/>
      </w:rPr>
      <w:t>IOC/TOWS-WG-XVIII</w:t>
    </w:r>
  </w:p>
  <w:p w14:paraId="0B4BF6F5" w14:textId="540043E5" w:rsidR="008D0515" w:rsidRPr="00E14488" w:rsidRDefault="00E14488" w:rsidP="00E14488">
    <w:pPr>
      <w:rPr>
        <w:lang w:val="en-US"/>
      </w:rPr>
    </w:pPr>
    <w:proofErr w:type="spellStart"/>
    <w:proofErr w:type="gramStart"/>
    <w:r w:rsidRPr="00E14488">
      <w:rPr>
        <w:rFonts w:ascii="Arial" w:hAnsi="Arial" w:cs="Arial"/>
        <w:lang w:val="en-US"/>
      </w:rPr>
      <w:t>Ex.Sum</w:t>
    </w:r>
    <w:proofErr w:type="spellEnd"/>
    <w:proofErr w:type="gramEnd"/>
    <w:r w:rsidR="0030792A" w:rsidRPr="00E14488">
      <w:rPr>
        <w:rFonts w:ascii="Arial" w:hAnsi="Arial" w:cs="Arial"/>
        <w:lang w:val="en-US"/>
      </w:rPr>
      <w:t xml:space="preserve"> </w:t>
    </w:r>
    <w:r w:rsidR="0030792A" w:rsidRPr="00E14488">
      <w:rPr>
        <w:rFonts w:ascii="Arial" w:hAnsi="Arial" w:cs="Arial"/>
        <w:lang w:val="da-DK"/>
      </w:rPr>
      <w:t xml:space="preserve">– page </w:t>
    </w:r>
    <w:r w:rsidR="0030792A" w:rsidRPr="00E14488">
      <w:rPr>
        <w:rFonts w:ascii="Arial" w:hAnsi="Arial" w:cs="Arial"/>
        <w:lang w:val="en-US"/>
      </w:rPr>
      <w:fldChar w:fldCharType="begin"/>
    </w:r>
    <w:r w:rsidR="0030792A" w:rsidRPr="00E14488">
      <w:rPr>
        <w:rFonts w:ascii="Arial" w:hAnsi="Arial" w:cs="Arial"/>
        <w:lang w:val="en-US"/>
      </w:rPr>
      <w:instrText xml:space="preserve"> PAGE   \* MERGEFORMAT </w:instrText>
    </w:r>
    <w:r w:rsidR="0030792A" w:rsidRPr="00E14488">
      <w:rPr>
        <w:rFonts w:ascii="Arial" w:hAnsi="Arial" w:cs="Arial"/>
        <w:lang w:val="en-US"/>
      </w:rPr>
      <w:fldChar w:fldCharType="separate"/>
    </w:r>
    <w:r w:rsidR="0030792A" w:rsidRPr="00E14488">
      <w:rPr>
        <w:rFonts w:ascii="Arial" w:hAnsi="Arial" w:cs="Arial"/>
        <w:noProof/>
        <w:lang w:val="en-US"/>
      </w:rPr>
      <w:t>2</w:t>
    </w:r>
    <w:r w:rsidR="0030792A" w:rsidRPr="00E14488">
      <w:rPr>
        <w:rFonts w:ascii="Arial" w:hAnsi="Arial" w:cs="Arial"/>
        <w:noProof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4167C" w14:textId="77777777" w:rsidR="00E14488" w:rsidRPr="00E14488" w:rsidRDefault="00E14488" w:rsidP="00E14488">
    <w:pPr>
      <w:pStyle w:val="En-tte"/>
      <w:ind w:left="6946"/>
      <w:rPr>
        <w:rFonts w:ascii="Arial" w:hAnsi="Arial" w:cs="Arial"/>
        <w:sz w:val="20"/>
        <w:szCs w:val="20"/>
        <w:lang w:val="en-US"/>
      </w:rPr>
    </w:pPr>
    <w:r w:rsidRPr="00E14488">
      <w:rPr>
        <w:rFonts w:ascii="Arial" w:hAnsi="Arial" w:cs="Arial"/>
        <w:lang w:val="en-US"/>
      </w:rPr>
      <w:t>IOC/TOWS-WG-XVIII</w:t>
    </w:r>
  </w:p>
  <w:p w14:paraId="063E9503" w14:textId="315B816A" w:rsidR="008D0515" w:rsidRPr="0084325B" w:rsidRDefault="00E14488" w:rsidP="00E14488">
    <w:pPr>
      <w:pStyle w:val="En-tte"/>
      <w:ind w:left="6946"/>
      <w:rPr>
        <w:rFonts w:ascii="Arial" w:hAnsi="Arial" w:cs="Arial"/>
        <w:noProof/>
        <w:sz w:val="20"/>
        <w:szCs w:val="20"/>
        <w:lang w:val="en-US"/>
      </w:rPr>
    </w:pPr>
    <w:proofErr w:type="spellStart"/>
    <w:proofErr w:type="gramStart"/>
    <w:r w:rsidRPr="00E14488">
      <w:rPr>
        <w:rFonts w:ascii="Arial" w:hAnsi="Arial" w:cs="Arial"/>
        <w:lang w:val="en-US"/>
      </w:rPr>
      <w:t>Ex.Sum</w:t>
    </w:r>
    <w:proofErr w:type="spellEnd"/>
    <w:proofErr w:type="gramEnd"/>
    <w:r w:rsidRPr="00E14488">
      <w:rPr>
        <w:rFonts w:ascii="Arial" w:hAnsi="Arial" w:cs="Arial"/>
        <w:lang w:val="en-US"/>
      </w:rPr>
      <w:t> – page</w:t>
    </w:r>
    <w:r>
      <w:rPr>
        <w:rFonts w:ascii="Arial" w:hAnsi="Arial" w:cs="Arial"/>
        <w:lang w:val="en-US"/>
      </w:rPr>
      <w:t xml:space="preserve"> </w:t>
    </w:r>
    <w:r w:rsidRPr="00E14488">
      <w:rPr>
        <w:rFonts w:ascii="Arial" w:hAnsi="Arial" w:cs="Arial"/>
        <w:lang w:val="en-US"/>
      </w:rPr>
      <w:fldChar w:fldCharType="begin"/>
    </w:r>
    <w:r w:rsidRPr="00E14488">
      <w:rPr>
        <w:rFonts w:ascii="Arial" w:hAnsi="Arial" w:cs="Arial"/>
        <w:lang w:val="en-US"/>
      </w:rPr>
      <w:instrText>PAGE   \* MERGEFORMAT</w:instrText>
    </w:r>
    <w:r w:rsidRPr="00E14488">
      <w:rPr>
        <w:rFonts w:ascii="Arial" w:hAnsi="Arial" w:cs="Arial"/>
        <w:lang w:val="en-US"/>
      </w:rPr>
      <w:fldChar w:fldCharType="separate"/>
    </w:r>
    <w:r w:rsidRPr="00E14488">
      <w:rPr>
        <w:rFonts w:ascii="Arial" w:hAnsi="Arial" w:cs="Arial"/>
        <w:lang w:val="en-US"/>
      </w:rPr>
      <w:t>1</w:t>
    </w:r>
    <w:r w:rsidRPr="00E14488">
      <w:rPr>
        <w:rFonts w:ascii="Arial" w:hAnsi="Arial" w:cs="Arial"/>
        <w:lang w:val="en-US"/>
      </w:rPr>
      <w:fldChar w:fldCharType="end"/>
    </w:r>
    <w:r w:rsidRPr="00E14488">
      <w:rPr>
        <w:rFonts w:ascii="Arial" w:hAnsi="Arial" w:cs="Arial"/>
        <w:lang w:val="en-US"/>
      </w:rP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D63C4" w14:textId="77777777" w:rsidR="008D0515" w:rsidRPr="00E14488" w:rsidRDefault="0030792A" w:rsidP="00EC419E">
    <w:pPr>
      <w:pStyle w:val="En-tte"/>
      <w:ind w:left="6946"/>
      <w:rPr>
        <w:rFonts w:ascii="Arial" w:hAnsi="Arial" w:cs="Arial"/>
        <w:sz w:val="20"/>
        <w:szCs w:val="20"/>
        <w:lang w:val="en-US"/>
      </w:rPr>
    </w:pPr>
    <w:r w:rsidRPr="00E14488">
      <w:rPr>
        <w:rFonts w:ascii="Arial" w:hAnsi="Arial" w:cs="Arial"/>
        <w:lang w:val="en-US"/>
      </w:rPr>
      <w:t>IOC/TOWS-WG-XVIII</w:t>
    </w:r>
  </w:p>
  <w:p w14:paraId="637FD5F7" w14:textId="1F189A83" w:rsidR="008D0515" w:rsidRPr="00E14488" w:rsidRDefault="001312C4" w:rsidP="00E14488">
    <w:pPr>
      <w:pStyle w:val="En-tte"/>
      <w:ind w:left="6946"/>
      <w:rPr>
        <w:rFonts w:ascii="Arial" w:hAnsi="Arial" w:cs="Arial"/>
        <w:sz w:val="20"/>
        <w:szCs w:val="20"/>
        <w:lang w:val="en-US"/>
      </w:rPr>
    </w:pPr>
    <w:proofErr w:type="spellStart"/>
    <w:proofErr w:type="gramStart"/>
    <w:r w:rsidRPr="00E14488">
      <w:rPr>
        <w:rFonts w:ascii="Arial" w:hAnsi="Arial" w:cs="Arial"/>
        <w:lang w:val="en-US"/>
      </w:rPr>
      <w:t>Ex.Sum</w:t>
    </w:r>
    <w:proofErr w:type="spellEnd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81209"/>
    <w:multiLevelType w:val="hybridMultilevel"/>
    <w:tmpl w:val="2B7A700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7793DFB"/>
    <w:multiLevelType w:val="hybridMultilevel"/>
    <w:tmpl w:val="A680EC52"/>
    <w:lvl w:ilvl="0" w:tplc="5780614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B5744"/>
    <w:multiLevelType w:val="singleLevel"/>
    <w:tmpl w:val="4ED6F432"/>
    <w:lvl w:ilvl="0">
      <w:start w:val="1"/>
      <w:numFmt w:val="lowerLetter"/>
      <w:lvlText w:val="%1)"/>
      <w:legacy w:legacy="1" w:legacySpace="113" w:legacyIndent="567"/>
      <w:lvlJc w:val="left"/>
      <w:pPr>
        <w:ind w:left="1248" w:hanging="567"/>
      </w:pPr>
    </w:lvl>
  </w:abstractNum>
  <w:abstractNum w:abstractNumId="3" w15:restartNumberingAfterBreak="0">
    <w:nsid w:val="1D63184D"/>
    <w:multiLevelType w:val="multilevel"/>
    <w:tmpl w:val="69625774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26D61B7F"/>
    <w:multiLevelType w:val="hybridMultilevel"/>
    <w:tmpl w:val="3C420A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54906"/>
    <w:multiLevelType w:val="hybridMultilevel"/>
    <w:tmpl w:val="6CB865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0D3866"/>
    <w:multiLevelType w:val="hybridMultilevel"/>
    <w:tmpl w:val="57FE47EC"/>
    <w:lvl w:ilvl="0" w:tplc="332EEF7E">
      <w:start w:val="3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D5B3B"/>
    <w:multiLevelType w:val="multilevel"/>
    <w:tmpl w:val="5F64E282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7FC08C2"/>
    <w:multiLevelType w:val="hybridMultilevel"/>
    <w:tmpl w:val="47469484"/>
    <w:lvl w:ilvl="0" w:tplc="F79CC19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361052FE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465EF9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0266DD4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CC6E3D8A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5A666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D2AD670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37808E64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39C49C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BA63A9"/>
    <w:multiLevelType w:val="hybridMultilevel"/>
    <w:tmpl w:val="AAEA7F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D1C85"/>
    <w:multiLevelType w:val="hybridMultilevel"/>
    <w:tmpl w:val="7FEC0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34502"/>
    <w:multiLevelType w:val="hybridMultilevel"/>
    <w:tmpl w:val="613811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7502A7"/>
    <w:multiLevelType w:val="hybridMultilevel"/>
    <w:tmpl w:val="51EE8688"/>
    <w:lvl w:ilvl="0" w:tplc="2B0CE24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</w:lvl>
    <w:lvl w:ilvl="3" w:tplc="FFFFFFFF" w:tentative="1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Letter"/>
      <w:lvlText w:val="%6)"/>
      <w:lvlJc w:val="left"/>
      <w:pPr>
        <w:tabs>
          <w:tab w:val="num" w:pos="4680"/>
        </w:tabs>
        <w:ind w:left="4680" w:hanging="360"/>
      </w:pPr>
    </w:lvl>
    <w:lvl w:ilvl="6" w:tplc="FFFFFFFF" w:tentative="1">
      <w:start w:val="1"/>
      <w:numFmt w:val="lowerLetter"/>
      <w:lvlText w:val="%7)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Letter"/>
      <w:lvlText w:val="%9)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48BA3A62"/>
    <w:multiLevelType w:val="multilevel"/>
    <w:tmpl w:val="E78C9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F7702F"/>
    <w:multiLevelType w:val="hybridMultilevel"/>
    <w:tmpl w:val="37147F9A"/>
    <w:lvl w:ilvl="0" w:tplc="57806148">
      <w:start w:val="2"/>
      <w:numFmt w:val="bullet"/>
      <w:lvlText w:val="-"/>
      <w:lvlJc w:val="left"/>
      <w:pPr>
        <w:ind w:left="78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4D13261A"/>
    <w:multiLevelType w:val="hybridMultilevel"/>
    <w:tmpl w:val="CBF4E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8E5292"/>
    <w:multiLevelType w:val="hybridMultilevel"/>
    <w:tmpl w:val="EF5C2F06"/>
    <w:lvl w:ilvl="0" w:tplc="6A76A9DC">
      <w:numFmt w:val="bullet"/>
      <w:lvlText w:val=""/>
      <w:lvlJc w:val="left"/>
      <w:pPr>
        <w:ind w:left="1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E945CC4">
      <w:numFmt w:val="bullet"/>
      <w:lvlText w:val="•"/>
      <w:lvlJc w:val="left"/>
      <w:pPr>
        <w:ind w:left="1034" w:hanging="360"/>
      </w:pPr>
      <w:rPr>
        <w:rFonts w:hint="default"/>
      </w:rPr>
    </w:lvl>
    <w:lvl w:ilvl="2" w:tplc="4C6AEDE2">
      <w:numFmt w:val="bullet"/>
      <w:lvlText w:val="•"/>
      <w:lvlJc w:val="left"/>
      <w:pPr>
        <w:ind w:left="1949" w:hanging="360"/>
      </w:pPr>
      <w:rPr>
        <w:rFonts w:hint="default"/>
      </w:rPr>
    </w:lvl>
    <w:lvl w:ilvl="3" w:tplc="A85C6340">
      <w:numFmt w:val="bullet"/>
      <w:lvlText w:val="•"/>
      <w:lvlJc w:val="left"/>
      <w:pPr>
        <w:ind w:left="2863" w:hanging="360"/>
      </w:pPr>
      <w:rPr>
        <w:rFonts w:hint="default"/>
      </w:rPr>
    </w:lvl>
    <w:lvl w:ilvl="4" w:tplc="FAC63890">
      <w:numFmt w:val="bullet"/>
      <w:lvlText w:val="•"/>
      <w:lvlJc w:val="left"/>
      <w:pPr>
        <w:ind w:left="3778" w:hanging="360"/>
      </w:pPr>
      <w:rPr>
        <w:rFonts w:hint="default"/>
      </w:rPr>
    </w:lvl>
    <w:lvl w:ilvl="5" w:tplc="33884088">
      <w:numFmt w:val="bullet"/>
      <w:lvlText w:val="•"/>
      <w:lvlJc w:val="left"/>
      <w:pPr>
        <w:ind w:left="4693" w:hanging="360"/>
      </w:pPr>
      <w:rPr>
        <w:rFonts w:hint="default"/>
      </w:rPr>
    </w:lvl>
    <w:lvl w:ilvl="6" w:tplc="0C92B328">
      <w:numFmt w:val="bullet"/>
      <w:lvlText w:val="•"/>
      <w:lvlJc w:val="left"/>
      <w:pPr>
        <w:ind w:left="5607" w:hanging="360"/>
      </w:pPr>
      <w:rPr>
        <w:rFonts w:hint="default"/>
      </w:rPr>
    </w:lvl>
    <w:lvl w:ilvl="7" w:tplc="ABD472FA">
      <w:numFmt w:val="bullet"/>
      <w:lvlText w:val="•"/>
      <w:lvlJc w:val="left"/>
      <w:pPr>
        <w:ind w:left="6522" w:hanging="360"/>
      </w:pPr>
      <w:rPr>
        <w:rFonts w:hint="default"/>
      </w:rPr>
    </w:lvl>
    <w:lvl w:ilvl="8" w:tplc="449450A4">
      <w:numFmt w:val="bullet"/>
      <w:lvlText w:val="•"/>
      <w:lvlJc w:val="left"/>
      <w:pPr>
        <w:ind w:left="7437" w:hanging="360"/>
      </w:pPr>
      <w:rPr>
        <w:rFonts w:hint="default"/>
      </w:rPr>
    </w:lvl>
  </w:abstractNum>
  <w:abstractNum w:abstractNumId="17" w15:restartNumberingAfterBreak="0">
    <w:nsid w:val="4FCB584B"/>
    <w:multiLevelType w:val="hybridMultilevel"/>
    <w:tmpl w:val="094275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370BA2"/>
    <w:multiLevelType w:val="hybridMultilevel"/>
    <w:tmpl w:val="F9027E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C856B9"/>
    <w:multiLevelType w:val="hybridMultilevel"/>
    <w:tmpl w:val="4F8ABAF0"/>
    <w:lvl w:ilvl="0" w:tplc="32AC4466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Times" w:hint="default"/>
      </w:rPr>
    </w:lvl>
    <w:lvl w:ilvl="1" w:tplc="850CB132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56D6B6C"/>
    <w:multiLevelType w:val="hybridMultilevel"/>
    <w:tmpl w:val="A8FE8248"/>
    <w:lvl w:ilvl="0" w:tplc="72AA4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B665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72FC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96D3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EA3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5696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049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76D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ACC1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90E30A9"/>
    <w:multiLevelType w:val="hybridMultilevel"/>
    <w:tmpl w:val="ED1265AE"/>
    <w:lvl w:ilvl="0" w:tplc="83689A54">
      <w:start w:val="500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91BAC"/>
    <w:multiLevelType w:val="multilevel"/>
    <w:tmpl w:val="878EC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B4668B"/>
    <w:multiLevelType w:val="hybridMultilevel"/>
    <w:tmpl w:val="39E09670"/>
    <w:lvl w:ilvl="0" w:tplc="040C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4" w15:restartNumberingAfterBreak="0">
    <w:nsid w:val="61FD02C1"/>
    <w:multiLevelType w:val="hybridMultilevel"/>
    <w:tmpl w:val="858817E2"/>
    <w:lvl w:ilvl="0" w:tplc="5780614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2D231D"/>
    <w:multiLevelType w:val="hybridMultilevel"/>
    <w:tmpl w:val="91E43D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0A576E"/>
    <w:multiLevelType w:val="hybridMultilevel"/>
    <w:tmpl w:val="B04612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20206C"/>
    <w:multiLevelType w:val="hybridMultilevel"/>
    <w:tmpl w:val="FCE45B32"/>
    <w:lvl w:ilvl="0" w:tplc="4AE2166A">
      <w:start w:val="1"/>
      <w:numFmt w:val="lowerRoman"/>
      <w:lvlText w:val="(%1)"/>
      <w:lvlJc w:val="right"/>
      <w:pPr>
        <w:ind w:left="720" w:hanging="360"/>
      </w:pPr>
      <w:rPr>
        <w:rFonts w:hint="default"/>
        <w:w w:val="99"/>
        <w:sz w:val="20"/>
        <w:szCs w:val="2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E3883"/>
    <w:multiLevelType w:val="hybridMultilevel"/>
    <w:tmpl w:val="82F22282"/>
    <w:lvl w:ilvl="0" w:tplc="4EC2E8EC">
      <w:start w:val="1"/>
      <w:numFmt w:val="decimal"/>
      <w:lvlText w:val="%1."/>
      <w:lvlJc w:val="left"/>
      <w:pPr>
        <w:ind w:left="480" w:hanging="36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</w:rPr>
    </w:lvl>
    <w:lvl w:ilvl="1" w:tplc="587CF21E">
      <w:start w:val="1"/>
      <w:numFmt w:val="decimal"/>
      <w:lvlText w:val="%2."/>
      <w:lvlJc w:val="left"/>
      <w:pPr>
        <w:ind w:left="840" w:hanging="360"/>
      </w:pPr>
      <w:rPr>
        <w:rFonts w:ascii="Calibri" w:eastAsia="Calibri" w:hAnsi="Calibri" w:cs="Calibri" w:hint="default"/>
        <w:spacing w:val="-4"/>
        <w:w w:val="100"/>
        <w:sz w:val="24"/>
        <w:szCs w:val="24"/>
      </w:rPr>
    </w:lvl>
    <w:lvl w:ilvl="2" w:tplc="292E3EC2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 w:tplc="26480B4C">
      <w:numFmt w:val="bullet"/>
      <w:lvlText w:val="•"/>
      <w:lvlJc w:val="left"/>
      <w:pPr>
        <w:ind w:left="2208" w:hanging="360"/>
      </w:pPr>
      <w:rPr>
        <w:rFonts w:hint="default"/>
      </w:rPr>
    </w:lvl>
    <w:lvl w:ilvl="4" w:tplc="B2E45D34">
      <w:numFmt w:val="bullet"/>
      <w:lvlText w:val="•"/>
      <w:lvlJc w:val="left"/>
      <w:pPr>
        <w:ind w:left="3216" w:hanging="360"/>
      </w:pPr>
      <w:rPr>
        <w:rFonts w:hint="default"/>
      </w:rPr>
    </w:lvl>
    <w:lvl w:ilvl="5" w:tplc="096A9590">
      <w:numFmt w:val="bullet"/>
      <w:lvlText w:val="•"/>
      <w:lvlJc w:val="left"/>
      <w:pPr>
        <w:ind w:left="4224" w:hanging="360"/>
      </w:pPr>
      <w:rPr>
        <w:rFonts w:hint="default"/>
      </w:rPr>
    </w:lvl>
    <w:lvl w:ilvl="6" w:tplc="52EA341A">
      <w:numFmt w:val="bullet"/>
      <w:lvlText w:val="•"/>
      <w:lvlJc w:val="left"/>
      <w:pPr>
        <w:ind w:left="5233" w:hanging="360"/>
      </w:pPr>
      <w:rPr>
        <w:rFonts w:hint="default"/>
      </w:rPr>
    </w:lvl>
    <w:lvl w:ilvl="7" w:tplc="1004ECFA">
      <w:numFmt w:val="bullet"/>
      <w:lvlText w:val="•"/>
      <w:lvlJc w:val="left"/>
      <w:pPr>
        <w:ind w:left="6241" w:hanging="360"/>
      </w:pPr>
      <w:rPr>
        <w:rFonts w:hint="default"/>
      </w:rPr>
    </w:lvl>
    <w:lvl w:ilvl="8" w:tplc="E3829AC0">
      <w:numFmt w:val="bullet"/>
      <w:lvlText w:val="•"/>
      <w:lvlJc w:val="left"/>
      <w:pPr>
        <w:ind w:left="7249" w:hanging="360"/>
      </w:pPr>
      <w:rPr>
        <w:rFonts w:hint="default"/>
      </w:rPr>
    </w:lvl>
  </w:abstractNum>
  <w:abstractNum w:abstractNumId="29" w15:restartNumberingAfterBreak="0">
    <w:nsid w:val="7B472F11"/>
    <w:multiLevelType w:val="multilevel"/>
    <w:tmpl w:val="CAA6D6C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E1B286F"/>
    <w:multiLevelType w:val="hybridMultilevel"/>
    <w:tmpl w:val="E99221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681346">
    <w:abstractNumId w:val="29"/>
  </w:num>
  <w:num w:numId="2" w16cid:durableId="563220227">
    <w:abstractNumId w:val="19"/>
  </w:num>
  <w:num w:numId="3" w16cid:durableId="1013260652">
    <w:abstractNumId w:val="3"/>
  </w:num>
  <w:num w:numId="4" w16cid:durableId="889146916">
    <w:abstractNumId w:val="24"/>
  </w:num>
  <w:num w:numId="5" w16cid:durableId="140660332">
    <w:abstractNumId w:val="21"/>
  </w:num>
  <w:num w:numId="6" w16cid:durableId="1855263969">
    <w:abstractNumId w:val="2"/>
  </w:num>
  <w:num w:numId="7" w16cid:durableId="1888485657">
    <w:abstractNumId w:val="28"/>
  </w:num>
  <w:num w:numId="8" w16cid:durableId="850334368">
    <w:abstractNumId w:val="16"/>
  </w:num>
  <w:num w:numId="9" w16cid:durableId="867910321">
    <w:abstractNumId w:val="27"/>
  </w:num>
  <w:num w:numId="10" w16cid:durableId="1844931553">
    <w:abstractNumId w:val="22"/>
  </w:num>
  <w:num w:numId="11" w16cid:durableId="2111583543">
    <w:abstractNumId w:val="13"/>
  </w:num>
  <w:num w:numId="12" w16cid:durableId="159544858">
    <w:abstractNumId w:val="20"/>
  </w:num>
  <w:num w:numId="13" w16cid:durableId="1272130105">
    <w:abstractNumId w:val="12"/>
  </w:num>
  <w:num w:numId="14" w16cid:durableId="1282344664">
    <w:abstractNumId w:val="4"/>
  </w:num>
  <w:num w:numId="15" w16cid:durableId="1515457">
    <w:abstractNumId w:val="7"/>
  </w:num>
  <w:num w:numId="16" w16cid:durableId="1979531043">
    <w:abstractNumId w:val="18"/>
  </w:num>
  <w:num w:numId="17" w16cid:durableId="6755997">
    <w:abstractNumId w:val="30"/>
  </w:num>
  <w:num w:numId="18" w16cid:durableId="914973157">
    <w:abstractNumId w:val="1"/>
  </w:num>
  <w:num w:numId="19" w16cid:durableId="248277862">
    <w:abstractNumId w:val="14"/>
  </w:num>
  <w:num w:numId="20" w16cid:durableId="342171688">
    <w:abstractNumId w:val="5"/>
  </w:num>
  <w:num w:numId="21" w16cid:durableId="262039112">
    <w:abstractNumId w:val="0"/>
  </w:num>
  <w:num w:numId="22" w16cid:durableId="181864886">
    <w:abstractNumId w:val="26"/>
  </w:num>
  <w:num w:numId="23" w16cid:durableId="1589194713">
    <w:abstractNumId w:val="23"/>
  </w:num>
  <w:num w:numId="24" w16cid:durableId="1142770921">
    <w:abstractNumId w:val="17"/>
  </w:num>
  <w:num w:numId="25" w16cid:durableId="1883975356">
    <w:abstractNumId w:val="15"/>
  </w:num>
  <w:num w:numId="26" w16cid:durableId="465583434">
    <w:abstractNumId w:val="6"/>
  </w:num>
  <w:num w:numId="27" w16cid:durableId="2105757863">
    <w:abstractNumId w:val="11"/>
  </w:num>
  <w:num w:numId="28" w16cid:durableId="727611796">
    <w:abstractNumId w:val="8"/>
  </w:num>
  <w:num w:numId="29" w16cid:durableId="701900803">
    <w:abstractNumId w:val="10"/>
  </w:num>
  <w:num w:numId="30" w16cid:durableId="1147431074">
    <w:abstractNumId w:val="25"/>
  </w:num>
  <w:num w:numId="31" w16cid:durableId="14891281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F6"/>
    <w:rsid w:val="00002823"/>
    <w:rsid w:val="0000305D"/>
    <w:rsid w:val="00005A92"/>
    <w:rsid w:val="0001005D"/>
    <w:rsid w:val="00010984"/>
    <w:rsid w:val="00010B1F"/>
    <w:rsid w:val="000111B9"/>
    <w:rsid w:val="0001590D"/>
    <w:rsid w:val="0002222F"/>
    <w:rsid w:val="00022CD3"/>
    <w:rsid w:val="00026433"/>
    <w:rsid w:val="0002652C"/>
    <w:rsid w:val="00030813"/>
    <w:rsid w:val="00030814"/>
    <w:rsid w:val="000329F1"/>
    <w:rsid w:val="00032F0E"/>
    <w:rsid w:val="0003322F"/>
    <w:rsid w:val="00033790"/>
    <w:rsid w:val="0003485F"/>
    <w:rsid w:val="0004076A"/>
    <w:rsid w:val="00042A4C"/>
    <w:rsid w:val="00056C01"/>
    <w:rsid w:val="00060FC7"/>
    <w:rsid w:val="00066251"/>
    <w:rsid w:val="00066A91"/>
    <w:rsid w:val="00066BA4"/>
    <w:rsid w:val="00071144"/>
    <w:rsid w:val="00074905"/>
    <w:rsid w:val="000753E5"/>
    <w:rsid w:val="0007674F"/>
    <w:rsid w:val="000853B5"/>
    <w:rsid w:val="000875B6"/>
    <w:rsid w:val="0009573D"/>
    <w:rsid w:val="000A04CF"/>
    <w:rsid w:val="000A0A6A"/>
    <w:rsid w:val="000A38C4"/>
    <w:rsid w:val="000A5AAD"/>
    <w:rsid w:val="000B0D0E"/>
    <w:rsid w:val="000B274D"/>
    <w:rsid w:val="000D07FD"/>
    <w:rsid w:val="000D268B"/>
    <w:rsid w:val="000D3BD5"/>
    <w:rsid w:val="000D6DE1"/>
    <w:rsid w:val="000D7412"/>
    <w:rsid w:val="000E24B1"/>
    <w:rsid w:val="000F6C4B"/>
    <w:rsid w:val="001071D0"/>
    <w:rsid w:val="001257DF"/>
    <w:rsid w:val="001258AC"/>
    <w:rsid w:val="001312C4"/>
    <w:rsid w:val="001314EF"/>
    <w:rsid w:val="00132F47"/>
    <w:rsid w:val="00140D01"/>
    <w:rsid w:val="001477A5"/>
    <w:rsid w:val="00150333"/>
    <w:rsid w:val="0015210E"/>
    <w:rsid w:val="00152B33"/>
    <w:rsid w:val="001631B3"/>
    <w:rsid w:val="00181D48"/>
    <w:rsid w:val="00183ABF"/>
    <w:rsid w:val="00186374"/>
    <w:rsid w:val="0019767C"/>
    <w:rsid w:val="001A5EA2"/>
    <w:rsid w:val="001A69B3"/>
    <w:rsid w:val="001A7B53"/>
    <w:rsid w:val="001B4A58"/>
    <w:rsid w:val="001D0128"/>
    <w:rsid w:val="001D0A49"/>
    <w:rsid w:val="001D18E1"/>
    <w:rsid w:val="001D1E2F"/>
    <w:rsid w:val="001D3212"/>
    <w:rsid w:val="001D3804"/>
    <w:rsid w:val="001D43E8"/>
    <w:rsid w:val="001D504E"/>
    <w:rsid w:val="001E1D02"/>
    <w:rsid w:val="001E2383"/>
    <w:rsid w:val="001E395D"/>
    <w:rsid w:val="001E5E49"/>
    <w:rsid w:val="002000D9"/>
    <w:rsid w:val="0020122E"/>
    <w:rsid w:val="00202472"/>
    <w:rsid w:val="00207BCB"/>
    <w:rsid w:val="00214AB4"/>
    <w:rsid w:val="00215384"/>
    <w:rsid w:val="00216DA9"/>
    <w:rsid w:val="002212AF"/>
    <w:rsid w:val="00223936"/>
    <w:rsid w:val="00223DCA"/>
    <w:rsid w:val="0022622E"/>
    <w:rsid w:val="00227139"/>
    <w:rsid w:val="00237FBC"/>
    <w:rsid w:val="002421F8"/>
    <w:rsid w:val="0024237C"/>
    <w:rsid w:val="00242604"/>
    <w:rsid w:val="00242B76"/>
    <w:rsid w:val="00244722"/>
    <w:rsid w:val="00244C70"/>
    <w:rsid w:val="00254948"/>
    <w:rsid w:val="00282EE1"/>
    <w:rsid w:val="002839D1"/>
    <w:rsid w:val="00293006"/>
    <w:rsid w:val="0029352B"/>
    <w:rsid w:val="00297504"/>
    <w:rsid w:val="002A7AA2"/>
    <w:rsid w:val="002B03C6"/>
    <w:rsid w:val="002B14DA"/>
    <w:rsid w:val="002B54CC"/>
    <w:rsid w:val="002B71A8"/>
    <w:rsid w:val="002C3659"/>
    <w:rsid w:val="002C3DE1"/>
    <w:rsid w:val="002C433F"/>
    <w:rsid w:val="002C477E"/>
    <w:rsid w:val="002C5778"/>
    <w:rsid w:val="002D1F1C"/>
    <w:rsid w:val="002D231D"/>
    <w:rsid w:val="002D2667"/>
    <w:rsid w:val="002D377E"/>
    <w:rsid w:val="002D6796"/>
    <w:rsid w:val="002E2C72"/>
    <w:rsid w:val="003023FD"/>
    <w:rsid w:val="00303793"/>
    <w:rsid w:val="003064A7"/>
    <w:rsid w:val="0030792A"/>
    <w:rsid w:val="00307C07"/>
    <w:rsid w:val="00310397"/>
    <w:rsid w:val="00313C4E"/>
    <w:rsid w:val="003147CD"/>
    <w:rsid w:val="0031483B"/>
    <w:rsid w:val="00314941"/>
    <w:rsid w:val="00317EEE"/>
    <w:rsid w:val="0032022B"/>
    <w:rsid w:val="003215A5"/>
    <w:rsid w:val="0032246B"/>
    <w:rsid w:val="003230D2"/>
    <w:rsid w:val="003332AA"/>
    <w:rsid w:val="00336B50"/>
    <w:rsid w:val="003417F2"/>
    <w:rsid w:val="003463A8"/>
    <w:rsid w:val="00347166"/>
    <w:rsid w:val="003550B2"/>
    <w:rsid w:val="00357F56"/>
    <w:rsid w:val="00365986"/>
    <w:rsid w:val="00366138"/>
    <w:rsid w:val="0036660E"/>
    <w:rsid w:val="00372CF3"/>
    <w:rsid w:val="0037506E"/>
    <w:rsid w:val="003879B1"/>
    <w:rsid w:val="003915BD"/>
    <w:rsid w:val="003924D7"/>
    <w:rsid w:val="00395C53"/>
    <w:rsid w:val="003A63EB"/>
    <w:rsid w:val="003A742C"/>
    <w:rsid w:val="003B0437"/>
    <w:rsid w:val="003B0FD5"/>
    <w:rsid w:val="003B165D"/>
    <w:rsid w:val="003B58F2"/>
    <w:rsid w:val="003B6062"/>
    <w:rsid w:val="003B60D4"/>
    <w:rsid w:val="003C730A"/>
    <w:rsid w:val="003D0AE4"/>
    <w:rsid w:val="003D2E45"/>
    <w:rsid w:val="003E086B"/>
    <w:rsid w:val="003E229C"/>
    <w:rsid w:val="003E2856"/>
    <w:rsid w:val="003E63D3"/>
    <w:rsid w:val="003E729F"/>
    <w:rsid w:val="003E7B3E"/>
    <w:rsid w:val="003F13D1"/>
    <w:rsid w:val="003F36B1"/>
    <w:rsid w:val="003F415A"/>
    <w:rsid w:val="003F5720"/>
    <w:rsid w:val="004000F6"/>
    <w:rsid w:val="00400DEC"/>
    <w:rsid w:val="00405DA2"/>
    <w:rsid w:val="0041328C"/>
    <w:rsid w:val="004136D8"/>
    <w:rsid w:val="004178C7"/>
    <w:rsid w:val="00427238"/>
    <w:rsid w:val="004409D3"/>
    <w:rsid w:val="004438E7"/>
    <w:rsid w:val="00446127"/>
    <w:rsid w:val="00447FA7"/>
    <w:rsid w:val="00451C59"/>
    <w:rsid w:val="0045611F"/>
    <w:rsid w:val="00457D99"/>
    <w:rsid w:val="004609B6"/>
    <w:rsid w:val="00461A32"/>
    <w:rsid w:val="00465E82"/>
    <w:rsid w:val="00467CD3"/>
    <w:rsid w:val="00472635"/>
    <w:rsid w:val="00473F4F"/>
    <w:rsid w:val="00480B1D"/>
    <w:rsid w:val="00482FF8"/>
    <w:rsid w:val="00495334"/>
    <w:rsid w:val="004A2CC6"/>
    <w:rsid w:val="004A6DD3"/>
    <w:rsid w:val="004B415C"/>
    <w:rsid w:val="004B4B32"/>
    <w:rsid w:val="004B7343"/>
    <w:rsid w:val="004C213B"/>
    <w:rsid w:val="004C350D"/>
    <w:rsid w:val="004C42DC"/>
    <w:rsid w:val="004C59BD"/>
    <w:rsid w:val="004D5D21"/>
    <w:rsid w:val="004D651E"/>
    <w:rsid w:val="004E29DA"/>
    <w:rsid w:val="004E2FF7"/>
    <w:rsid w:val="004F0469"/>
    <w:rsid w:val="004F210E"/>
    <w:rsid w:val="004F51E1"/>
    <w:rsid w:val="00500CDA"/>
    <w:rsid w:val="00500D06"/>
    <w:rsid w:val="0050172F"/>
    <w:rsid w:val="00503C4C"/>
    <w:rsid w:val="005066CB"/>
    <w:rsid w:val="00517FD4"/>
    <w:rsid w:val="00520A67"/>
    <w:rsid w:val="0052183A"/>
    <w:rsid w:val="005322F7"/>
    <w:rsid w:val="00544ACC"/>
    <w:rsid w:val="005478E2"/>
    <w:rsid w:val="00563642"/>
    <w:rsid w:val="00565691"/>
    <w:rsid w:val="00566E0B"/>
    <w:rsid w:val="00571852"/>
    <w:rsid w:val="0057307B"/>
    <w:rsid w:val="00573CC4"/>
    <w:rsid w:val="00582049"/>
    <w:rsid w:val="00582DE2"/>
    <w:rsid w:val="0058353A"/>
    <w:rsid w:val="00583E56"/>
    <w:rsid w:val="005844BD"/>
    <w:rsid w:val="005905B7"/>
    <w:rsid w:val="005918AC"/>
    <w:rsid w:val="00593974"/>
    <w:rsid w:val="0059454F"/>
    <w:rsid w:val="00595FC8"/>
    <w:rsid w:val="005A4FB1"/>
    <w:rsid w:val="005B1445"/>
    <w:rsid w:val="005B29D4"/>
    <w:rsid w:val="005B638E"/>
    <w:rsid w:val="005C26A9"/>
    <w:rsid w:val="005C6750"/>
    <w:rsid w:val="005D1483"/>
    <w:rsid w:val="005D32F0"/>
    <w:rsid w:val="005E1E5A"/>
    <w:rsid w:val="005E26FE"/>
    <w:rsid w:val="005E4AE8"/>
    <w:rsid w:val="005E5462"/>
    <w:rsid w:val="005E6306"/>
    <w:rsid w:val="005F4853"/>
    <w:rsid w:val="005F6506"/>
    <w:rsid w:val="005F737B"/>
    <w:rsid w:val="00600793"/>
    <w:rsid w:val="00602C30"/>
    <w:rsid w:val="0061151C"/>
    <w:rsid w:val="0061543C"/>
    <w:rsid w:val="00624110"/>
    <w:rsid w:val="00625AB3"/>
    <w:rsid w:val="006263FC"/>
    <w:rsid w:val="0063328F"/>
    <w:rsid w:val="006379A3"/>
    <w:rsid w:val="00644256"/>
    <w:rsid w:val="00645F15"/>
    <w:rsid w:val="00650F70"/>
    <w:rsid w:val="00656A48"/>
    <w:rsid w:val="00656B09"/>
    <w:rsid w:val="00664920"/>
    <w:rsid w:val="00675005"/>
    <w:rsid w:val="00693083"/>
    <w:rsid w:val="00693C2B"/>
    <w:rsid w:val="00694937"/>
    <w:rsid w:val="006A2495"/>
    <w:rsid w:val="006A63C1"/>
    <w:rsid w:val="006B2AD2"/>
    <w:rsid w:val="006B7550"/>
    <w:rsid w:val="006B790C"/>
    <w:rsid w:val="006C11B9"/>
    <w:rsid w:val="006C41D0"/>
    <w:rsid w:val="006C6DA8"/>
    <w:rsid w:val="006E077B"/>
    <w:rsid w:val="006E0DA4"/>
    <w:rsid w:val="006E1AC9"/>
    <w:rsid w:val="006E7625"/>
    <w:rsid w:val="006F07F3"/>
    <w:rsid w:val="006F6B18"/>
    <w:rsid w:val="00700DD7"/>
    <w:rsid w:val="00701554"/>
    <w:rsid w:val="0070187D"/>
    <w:rsid w:val="00704A5E"/>
    <w:rsid w:val="00710DF7"/>
    <w:rsid w:val="00725F62"/>
    <w:rsid w:val="007330C0"/>
    <w:rsid w:val="00735847"/>
    <w:rsid w:val="007369AF"/>
    <w:rsid w:val="00737EF6"/>
    <w:rsid w:val="007438AA"/>
    <w:rsid w:val="007769E8"/>
    <w:rsid w:val="00784C4F"/>
    <w:rsid w:val="00785E06"/>
    <w:rsid w:val="00786453"/>
    <w:rsid w:val="00791921"/>
    <w:rsid w:val="00791DCB"/>
    <w:rsid w:val="007A33DE"/>
    <w:rsid w:val="007A3439"/>
    <w:rsid w:val="007A6FE0"/>
    <w:rsid w:val="007C06E2"/>
    <w:rsid w:val="007C1B6D"/>
    <w:rsid w:val="007D113E"/>
    <w:rsid w:val="007D33E6"/>
    <w:rsid w:val="007E7940"/>
    <w:rsid w:val="007E7A4A"/>
    <w:rsid w:val="007F1F06"/>
    <w:rsid w:val="00800018"/>
    <w:rsid w:val="008011B4"/>
    <w:rsid w:val="0080121F"/>
    <w:rsid w:val="00803994"/>
    <w:rsid w:val="0080798C"/>
    <w:rsid w:val="008112D7"/>
    <w:rsid w:val="00811692"/>
    <w:rsid w:val="00811F7C"/>
    <w:rsid w:val="008140A6"/>
    <w:rsid w:val="0081446E"/>
    <w:rsid w:val="008159A3"/>
    <w:rsid w:val="0082372E"/>
    <w:rsid w:val="008253DB"/>
    <w:rsid w:val="00832750"/>
    <w:rsid w:val="00835553"/>
    <w:rsid w:val="00837094"/>
    <w:rsid w:val="00837324"/>
    <w:rsid w:val="00840C8E"/>
    <w:rsid w:val="0084325B"/>
    <w:rsid w:val="00843A01"/>
    <w:rsid w:val="00846B20"/>
    <w:rsid w:val="008477E5"/>
    <w:rsid w:val="00850E20"/>
    <w:rsid w:val="00851170"/>
    <w:rsid w:val="008542E6"/>
    <w:rsid w:val="00854CC6"/>
    <w:rsid w:val="00855FFA"/>
    <w:rsid w:val="00865351"/>
    <w:rsid w:val="0087301A"/>
    <w:rsid w:val="008744B1"/>
    <w:rsid w:val="00876DA6"/>
    <w:rsid w:val="0087705D"/>
    <w:rsid w:val="00880F3B"/>
    <w:rsid w:val="00881073"/>
    <w:rsid w:val="00883A45"/>
    <w:rsid w:val="008844FE"/>
    <w:rsid w:val="008879AB"/>
    <w:rsid w:val="00891AAF"/>
    <w:rsid w:val="00895A0A"/>
    <w:rsid w:val="00897F39"/>
    <w:rsid w:val="008A087F"/>
    <w:rsid w:val="008A0B0E"/>
    <w:rsid w:val="008A2423"/>
    <w:rsid w:val="008A2DBF"/>
    <w:rsid w:val="008A3D28"/>
    <w:rsid w:val="008B36B4"/>
    <w:rsid w:val="008C1976"/>
    <w:rsid w:val="008C2A59"/>
    <w:rsid w:val="008C3FB9"/>
    <w:rsid w:val="008C421A"/>
    <w:rsid w:val="008C47C6"/>
    <w:rsid w:val="008D0515"/>
    <w:rsid w:val="008D089A"/>
    <w:rsid w:val="008E112D"/>
    <w:rsid w:val="008E19A4"/>
    <w:rsid w:val="008E286A"/>
    <w:rsid w:val="008E3888"/>
    <w:rsid w:val="008F13E9"/>
    <w:rsid w:val="008F20CA"/>
    <w:rsid w:val="008F708A"/>
    <w:rsid w:val="008F730B"/>
    <w:rsid w:val="00901492"/>
    <w:rsid w:val="00907287"/>
    <w:rsid w:val="0090735C"/>
    <w:rsid w:val="00907D51"/>
    <w:rsid w:val="0091043A"/>
    <w:rsid w:val="009203A9"/>
    <w:rsid w:val="00923923"/>
    <w:rsid w:val="009314FF"/>
    <w:rsid w:val="00931791"/>
    <w:rsid w:val="00943234"/>
    <w:rsid w:val="00944E9B"/>
    <w:rsid w:val="009453DD"/>
    <w:rsid w:val="00950341"/>
    <w:rsid w:val="009536BF"/>
    <w:rsid w:val="00954E05"/>
    <w:rsid w:val="009649A4"/>
    <w:rsid w:val="00971C41"/>
    <w:rsid w:val="009726B1"/>
    <w:rsid w:val="00981F5F"/>
    <w:rsid w:val="00982D1F"/>
    <w:rsid w:val="0098457F"/>
    <w:rsid w:val="0098691D"/>
    <w:rsid w:val="00997DD4"/>
    <w:rsid w:val="009A33AF"/>
    <w:rsid w:val="009A5836"/>
    <w:rsid w:val="009B1E8F"/>
    <w:rsid w:val="009C0D39"/>
    <w:rsid w:val="009D7341"/>
    <w:rsid w:val="009D7C28"/>
    <w:rsid w:val="009E144C"/>
    <w:rsid w:val="009E2026"/>
    <w:rsid w:val="009E2776"/>
    <w:rsid w:val="009F17A3"/>
    <w:rsid w:val="009F1FF6"/>
    <w:rsid w:val="00A04A0C"/>
    <w:rsid w:val="00A075FC"/>
    <w:rsid w:val="00A100D1"/>
    <w:rsid w:val="00A12B94"/>
    <w:rsid w:val="00A14382"/>
    <w:rsid w:val="00A23449"/>
    <w:rsid w:val="00A23A63"/>
    <w:rsid w:val="00A25188"/>
    <w:rsid w:val="00A27145"/>
    <w:rsid w:val="00A31DE0"/>
    <w:rsid w:val="00A32283"/>
    <w:rsid w:val="00A33329"/>
    <w:rsid w:val="00A36F1D"/>
    <w:rsid w:val="00A40455"/>
    <w:rsid w:val="00A426B5"/>
    <w:rsid w:val="00A44BFA"/>
    <w:rsid w:val="00A517B5"/>
    <w:rsid w:val="00A647A8"/>
    <w:rsid w:val="00A6523C"/>
    <w:rsid w:val="00A711B0"/>
    <w:rsid w:val="00A71F94"/>
    <w:rsid w:val="00A73155"/>
    <w:rsid w:val="00A76878"/>
    <w:rsid w:val="00A8125F"/>
    <w:rsid w:val="00A83FB8"/>
    <w:rsid w:val="00A93A99"/>
    <w:rsid w:val="00A944B0"/>
    <w:rsid w:val="00A95A35"/>
    <w:rsid w:val="00A96B3B"/>
    <w:rsid w:val="00AA2179"/>
    <w:rsid w:val="00AA2ED4"/>
    <w:rsid w:val="00AA4AFC"/>
    <w:rsid w:val="00AA733D"/>
    <w:rsid w:val="00AB203B"/>
    <w:rsid w:val="00AB3FE6"/>
    <w:rsid w:val="00AB554B"/>
    <w:rsid w:val="00AB7E73"/>
    <w:rsid w:val="00AC43AD"/>
    <w:rsid w:val="00AC5316"/>
    <w:rsid w:val="00AC64BF"/>
    <w:rsid w:val="00AD270D"/>
    <w:rsid w:val="00AD5D04"/>
    <w:rsid w:val="00AE09C7"/>
    <w:rsid w:val="00AE2436"/>
    <w:rsid w:val="00AE2582"/>
    <w:rsid w:val="00AE507B"/>
    <w:rsid w:val="00AE6314"/>
    <w:rsid w:val="00AE6C85"/>
    <w:rsid w:val="00AF3E9B"/>
    <w:rsid w:val="00AF4CEE"/>
    <w:rsid w:val="00B025F1"/>
    <w:rsid w:val="00B02A34"/>
    <w:rsid w:val="00B0330A"/>
    <w:rsid w:val="00B07A2E"/>
    <w:rsid w:val="00B07EB1"/>
    <w:rsid w:val="00B15E3D"/>
    <w:rsid w:val="00B16BD5"/>
    <w:rsid w:val="00B2290C"/>
    <w:rsid w:val="00B23FFB"/>
    <w:rsid w:val="00B25BA5"/>
    <w:rsid w:val="00B25BFB"/>
    <w:rsid w:val="00B401A0"/>
    <w:rsid w:val="00B41FE9"/>
    <w:rsid w:val="00B45C49"/>
    <w:rsid w:val="00B45EE0"/>
    <w:rsid w:val="00B50BD0"/>
    <w:rsid w:val="00B511FE"/>
    <w:rsid w:val="00B547ED"/>
    <w:rsid w:val="00B5486F"/>
    <w:rsid w:val="00B56EB1"/>
    <w:rsid w:val="00B655E0"/>
    <w:rsid w:val="00B65C68"/>
    <w:rsid w:val="00B71C9D"/>
    <w:rsid w:val="00B73EC6"/>
    <w:rsid w:val="00B801EA"/>
    <w:rsid w:val="00B824D4"/>
    <w:rsid w:val="00B84EA0"/>
    <w:rsid w:val="00B86BA2"/>
    <w:rsid w:val="00BA01F4"/>
    <w:rsid w:val="00BA3E77"/>
    <w:rsid w:val="00BA4777"/>
    <w:rsid w:val="00BB3C9E"/>
    <w:rsid w:val="00BB7FFA"/>
    <w:rsid w:val="00BC0D67"/>
    <w:rsid w:val="00BC1B3E"/>
    <w:rsid w:val="00BC2EB6"/>
    <w:rsid w:val="00BC618D"/>
    <w:rsid w:val="00BC750E"/>
    <w:rsid w:val="00BC7922"/>
    <w:rsid w:val="00BD19A7"/>
    <w:rsid w:val="00BD28C6"/>
    <w:rsid w:val="00BD2FE6"/>
    <w:rsid w:val="00BD6149"/>
    <w:rsid w:val="00BD7BC5"/>
    <w:rsid w:val="00BE464D"/>
    <w:rsid w:val="00BE6E0E"/>
    <w:rsid w:val="00BF4480"/>
    <w:rsid w:val="00C0120C"/>
    <w:rsid w:val="00C04AD0"/>
    <w:rsid w:val="00C12512"/>
    <w:rsid w:val="00C16CFC"/>
    <w:rsid w:val="00C21A5E"/>
    <w:rsid w:val="00C27114"/>
    <w:rsid w:val="00C34DDC"/>
    <w:rsid w:val="00C3542C"/>
    <w:rsid w:val="00C377E6"/>
    <w:rsid w:val="00C43608"/>
    <w:rsid w:val="00C54225"/>
    <w:rsid w:val="00C57A99"/>
    <w:rsid w:val="00C66B1D"/>
    <w:rsid w:val="00C702AE"/>
    <w:rsid w:val="00C70DC1"/>
    <w:rsid w:val="00C77761"/>
    <w:rsid w:val="00C83011"/>
    <w:rsid w:val="00C83A15"/>
    <w:rsid w:val="00C83ED0"/>
    <w:rsid w:val="00C87659"/>
    <w:rsid w:val="00C92AB3"/>
    <w:rsid w:val="00C950E2"/>
    <w:rsid w:val="00C96868"/>
    <w:rsid w:val="00CA47F2"/>
    <w:rsid w:val="00CA4903"/>
    <w:rsid w:val="00CA4A09"/>
    <w:rsid w:val="00CB1597"/>
    <w:rsid w:val="00CB2D4C"/>
    <w:rsid w:val="00CC015E"/>
    <w:rsid w:val="00CC0C5E"/>
    <w:rsid w:val="00CC475A"/>
    <w:rsid w:val="00CC4E25"/>
    <w:rsid w:val="00CC5407"/>
    <w:rsid w:val="00CC6286"/>
    <w:rsid w:val="00CD17F5"/>
    <w:rsid w:val="00CD187B"/>
    <w:rsid w:val="00CD2C4C"/>
    <w:rsid w:val="00CD3D8B"/>
    <w:rsid w:val="00CD4A6F"/>
    <w:rsid w:val="00CE1624"/>
    <w:rsid w:val="00CE64F9"/>
    <w:rsid w:val="00CE6F04"/>
    <w:rsid w:val="00CF5048"/>
    <w:rsid w:val="00CF79A0"/>
    <w:rsid w:val="00D0483B"/>
    <w:rsid w:val="00D04BEB"/>
    <w:rsid w:val="00D05618"/>
    <w:rsid w:val="00D11537"/>
    <w:rsid w:val="00D24228"/>
    <w:rsid w:val="00D25825"/>
    <w:rsid w:val="00D40BF3"/>
    <w:rsid w:val="00D4557F"/>
    <w:rsid w:val="00D56343"/>
    <w:rsid w:val="00D63726"/>
    <w:rsid w:val="00D641E2"/>
    <w:rsid w:val="00D67434"/>
    <w:rsid w:val="00D70F18"/>
    <w:rsid w:val="00D71A52"/>
    <w:rsid w:val="00D72049"/>
    <w:rsid w:val="00D72737"/>
    <w:rsid w:val="00D74763"/>
    <w:rsid w:val="00D779E3"/>
    <w:rsid w:val="00D80AC6"/>
    <w:rsid w:val="00D81809"/>
    <w:rsid w:val="00D83179"/>
    <w:rsid w:val="00D8395A"/>
    <w:rsid w:val="00DA2B79"/>
    <w:rsid w:val="00DB458E"/>
    <w:rsid w:val="00DB524D"/>
    <w:rsid w:val="00DB5813"/>
    <w:rsid w:val="00DB6855"/>
    <w:rsid w:val="00DC4624"/>
    <w:rsid w:val="00DC4DAA"/>
    <w:rsid w:val="00DD0CF8"/>
    <w:rsid w:val="00DF2D3F"/>
    <w:rsid w:val="00DF3447"/>
    <w:rsid w:val="00DF440F"/>
    <w:rsid w:val="00E07516"/>
    <w:rsid w:val="00E116B4"/>
    <w:rsid w:val="00E126EF"/>
    <w:rsid w:val="00E14488"/>
    <w:rsid w:val="00E22CAB"/>
    <w:rsid w:val="00E23153"/>
    <w:rsid w:val="00E240BA"/>
    <w:rsid w:val="00E26B06"/>
    <w:rsid w:val="00E31852"/>
    <w:rsid w:val="00E34E62"/>
    <w:rsid w:val="00E430E5"/>
    <w:rsid w:val="00E44E35"/>
    <w:rsid w:val="00E462F9"/>
    <w:rsid w:val="00E463B0"/>
    <w:rsid w:val="00E47A71"/>
    <w:rsid w:val="00E53A2D"/>
    <w:rsid w:val="00E54163"/>
    <w:rsid w:val="00E543C2"/>
    <w:rsid w:val="00E616CD"/>
    <w:rsid w:val="00E72917"/>
    <w:rsid w:val="00E75836"/>
    <w:rsid w:val="00E75E48"/>
    <w:rsid w:val="00E811B5"/>
    <w:rsid w:val="00E834EC"/>
    <w:rsid w:val="00E835FD"/>
    <w:rsid w:val="00E9512F"/>
    <w:rsid w:val="00E95596"/>
    <w:rsid w:val="00E97C18"/>
    <w:rsid w:val="00E97DF9"/>
    <w:rsid w:val="00EA533B"/>
    <w:rsid w:val="00EB1460"/>
    <w:rsid w:val="00EB47E9"/>
    <w:rsid w:val="00EC0180"/>
    <w:rsid w:val="00EC1BA2"/>
    <w:rsid w:val="00EC1CB2"/>
    <w:rsid w:val="00EC2618"/>
    <w:rsid w:val="00EC27A6"/>
    <w:rsid w:val="00EC387B"/>
    <w:rsid w:val="00ED1E60"/>
    <w:rsid w:val="00ED530A"/>
    <w:rsid w:val="00EF0BC0"/>
    <w:rsid w:val="00EF519A"/>
    <w:rsid w:val="00F03326"/>
    <w:rsid w:val="00F0648E"/>
    <w:rsid w:val="00F07209"/>
    <w:rsid w:val="00F12B27"/>
    <w:rsid w:val="00F13DB3"/>
    <w:rsid w:val="00F149D9"/>
    <w:rsid w:val="00F24BED"/>
    <w:rsid w:val="00F25239"/>
    <w:rsid w:val="00F3061B"/>
    <w:rsid w:val="00F32EC2"/>
    <w:rsid w:val="00F335AC"/>
    <w:rsid w:val="00F36FAF"/>
    <w:rsid w:val="00F4215B"/>
    <w:rsid w:val="00F4267E"/>
    <w:rsid w:val="00F43319"/>
    <w:rsid w:val="00F453DD"/>
    <w:rsid w:val="00F50EAE"/>
    <w:rsid w:val="00F51A51"/>
    <w:rsid w:val="00F53BE9"/>
    <w:rsid w:val="00F54237"/>
    <w:rsid w:val="00F7269D"/>
    <w:rsid w:val="00F72A18"/>
    <w:rsid w:val="00F7342F"/>
    <w:rsid w:val="00F77CE2"/>
    <w:rsid w:val="00F9054F"/>
    <w:rsid w:val="00FA21C5"/>
    <w:rsid w:val="00FA29C2"/>
    <w:rsid w:val="00FB41BB"/>
    <w:rsid w:val="00FB4669"/>
    <w:rsid w:val="00FB5B39"/>
    <w:rsid w:val="00FC013A"/>
    <w:rsid w:val="00FE00A5"/>
    <w:rsid w:val="00FE0F9B"/>
    <w:rsid w:val="00FE39DC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DF2B0"/>
  <w15:chartTrackingRefBased/>
  <w15:docId w15:val="{AA8CC081-F65F-4954-9D96-312988C6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37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37EF6"/>
  </w:style>
  <w:style w:type="paragraph" w:styleId="Pieddepage">
    <w:name w:val="footer"/>
    <w:basedOn w:val="Normal"/>
    <w:link w:val="PieddepageCar"/>
    <w:uiPriority w:val="99"/>
    <w:unhideWhenUsed/>
    <w:rsid w:val="00737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7EF6"/>
  </w:style>
  <w:style w:type="paragraph" w:styleId="Retraitnormal">
    <w:name w:val="Normal Indent"/>
    <w:basedOn w:val="Normal"/>
    <w:link w:val="RetraitnormalCar"/>
    <w:rsid w:val="004C42DC"/>
    <w:pPr>
      <w:overflowPunct w:val="0"/>
      <w:autoSpaceDE w:val="0"/>
      <w:autoSpaceDN w:val="0"/>
      <w:adjustRightInd w:val="0"/>
      <w:spacing w:before="120" w:after="120" w:line="240" w:lineRule="auto"/>
      <w:ind w:left="708"/>
      <w:jc w:val="both"/>
      <w:textAlignment w:val="baseline"/>
    </w:pPr>
    <w:rPr>
      <w:rFonts w:ascii="Garamond" w:eastAsia="Times New Roman" w:hAnsi="Garamond" w:cs="Times New Roman"/>
      <w:sz w:val="24"/>
      <w:szCs w:val="20"/>
      <w:lang w:eastAsia="fr-FR"/>
    </w:rPr>
  </w:style>
  <w:style w:type="character" w:customStyle="1" w:styleId="RetraitnormalCar">
    <w:name w:val="Retrait normal Car"/>
    <w:basedOn w:val="Policepardfaut"/>
    <w:link w:val="Retraitnormal"/>
    <w:rsid w:val="004C42DC"/>
    <w:rPr>
      <w:rFonts w:ascii="Garamond" w:eastAsia="Times New Roman" w:hAnsi="Garamond" w:cs="Times New Roman"/>
      <w:sz w:val="24"/>
      <w:szCs w:val="20"/>
      <w:lang w:eastAsia="fr-FR"/>
    </w:rPr>
  </w:style>
  <w:style w:type="paragraph" w:customStyle="1" w:styleId="Retraita">
    <w:name w:val="Retrait a"/>
    <w:basedOn w:val="Retraitnormal"/>
    <w:rsid w:val="004C42DC"/>
    <w:pPr>
      <w:ind w:left="1248" w:hanging="567"/>
    </w:pPr>
    <w:rPr>
      <w:noProof/>
    </w:rPr>
  </w:style>
  <w:style w:type="character" w:customStyle="1" w:styleId="apple-converted-space">
    <w:name w:val="apple-converted-space"/>
    <w:basedOn w:val="Policepardfaut"/>
    <w:rsid w:val="008E112D"/>
  </w:style>
  <w:style w:type="character" w:styleId="Lienhypertexte">
    <w:name w:val="Hyperlink"/>
    <w:basedOn w:val="Policepardfaut"/>
    <w:uiPriority w:val="99"/>
    <w:unhideWhenUsed/>
    <w:rsid w:val="008E112D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70D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70DC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70DC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70DC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70DC1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24472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4472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5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5048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84325B"/>
    <w:pPr>
      <w:spacing w:after="0" w:line="240" w:lineRule="auto"/>
    </w:pPr>
  </w:style>
  <w:style w:type="paragraph" w:customStyle="1" w:styleId="Default">
    <w:name w:val="Default"/>
    <w:rsid w:val="00B548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A12B9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31DE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1954">
          <w:marLeft w:val="4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5890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283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345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3124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3926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3704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3191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esdoc.unesco.org/ark:/48223/pf0000388765.locale=fr" TargetMode="External"/><Relationship Id="rId13" Type="http://schemas.openxmlformats.org/officeDocument/2006/relationships/hyperlink" Target="https://www.unesco.org/fr/articles/resilience-et-commemoration-20-ans-apres-le-tsunami-de-locean-indien-de-2004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sunami.ioc.unesco.org/en/impact/eyewitness-survivors-projec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assroom.oceanteacher.org/?lang=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esdoc.unesco.org/ark:/48223/pf0000246931.locale=fr" TargetMode="External"/><Relationship Id="rId10" Type="http://schemas.openxmlformats.org/officeDocument/2006/relationships/hyperlink" Target="https://unesdoc.unesco.org/ark:/48223/pf0000392712.locale=f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unesdoc.unesco.org/ark:/48223/pf0000392653.locale=fr" TargetMode="External"/><Relationship Id="rId14" Type="http://schemas.openxmlformats.org/officeDocument/2006/relationships/hyperlink" Target="https://tsunamiday.undrr.org/gettohighground-campaig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39DF7-E5DC-7049-95C9-ACF8CCA42F4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2138</Words>
  <Characters>11266</Characters>
  <Application>Microsoft Office Word</Application>
  <DocSecurity>0</DocSecurity>
  <Lines>176</Lines>
  <Paragraphs>45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Résumé exécutif</dc:title>
  <dc:subject>IOC/TOWS-WG-XVIII/Ex.Sum</dc:subject>
  <dc:creator>Aliaga, Bernardo</dc:creator>
  <cp:keywords/>
  <dc:description/>
  <cp:lastModifiedBy>Masseau, Alexandra</cp:lastModifiedBy>
  <cp:revision>9</cp:revision>
  <cp:lastPrinted>2022-02-25T11:07:00Z</cp:lastPrinted>
  <dcterms:created xsi:type="dcterms:W3CDTF">2025-04-22T09:10:00Z</dcterms:created>
  <dcterms:modified xsi:type="dcterms:W3CDTF">2025-04-22T10:02:00Z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With">
    <vt:lpwstr>Mercury</vt:lpwstr>
  </property>
  <property fmtid="{D5CDD505-2E9C-101B-9397-08002B2CF9AE}" pid="3" name="GeneratedBy">
    <vt:lpwstr>e.mauroy@unesco.org</vt:lpwstr>
  </property>
  <property fmtid="{D5CDD505-2E9C-101B-9397-08002B2CF9AE}" pid="4" name="GeneratedDate">
    <vt:lpwstr>04/15/2025 12:44:40</vt:lpwstr>
  </property>
  <property fmtid="{D5CDD505-2E9C-101B-9397-08002B2CF9AE}" pid="5" name="OriginalDocID">
    <vt:lpwstr>c88d28d6-4a85-449d-a49a-f74ece83992c</vt:lpwstr>
  </property>
  <property fmtid="{D5CDD505-2E9C-101B-9397-08002B2CF9AE}" pid="6" name="Language">
    <vt:lpwstr>F</vt:lpwstr>
  </property>
  <property fmtid="{D5CDD505-2E9C-101B-9397-08002B2CF9AE}" pid="7" name="JobNumber">
    <vt:lpwstr>2500398F</vt:lpwstr>
  </property>
  <property fmtid="{D5CDD505-2E9C-101B-9397-08002B2CF9AE}" pid="8" name="ForceJobNumber">
    <vt:bool>false</vt:bool>
  </property>
</Properties>
</file>