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ACA8" w14:textId="43F0C7A9" w:rsidR="001312C4" w:rsidRPr="001312C4" w:rsidRDefault="001312C4" w:rsidP="001312C4">
      <w:pPr>
        <w:tabs>
          <w:tab w:val="left" w:pos="709"/>
        </w:tabs>
        <w:snapToGrid w:val="0"/>
        <w:spacing w:after="240" w:line="240" w:lineRule="auto"/>
        <w:jc w:val="center"/>
        <w:rPr>
          <w:rFonts w:ascii="Arial" w:eastAsia="Arial" w:hAnsi="Arial" w:cs="Arial"/>
          <w:b/>
          <w:bCs/>
          <w:snapToGrid w:val="0"/>
          <w:lang w:val="en-GB"/>
        </w:rPr>
      </w:pPr>
      <w:r w:rsidRPr="001312C4">
        <w:rPr>
          <w:rFonts w:ascii="Arial" w:eastAsia="Arial" w:hAnsi="Arial" w:cs="Arial"/>
          <w:b/>
          <w:bCs/>
          <w:snapToGrid w:val="0"/>
          <w:lang w:val="en-GB"/>
        </w:rPr>
        <w:t>Executive Summary</w:t>
      </w:r>
    </w:p>
    <w:p w14:paraId="15389AF4" w14:textId="77777777" w:rsidR="001312C4" w:rsidRDefault="001312C4" w:rsidP="00A40455">
      <w:pPr>
        <w:tabs>
          <w:tab w:val="left" w:pos="709"/>
        </w:tabs>
        <w:snapToGrid w:val="0"/>
        <w:spacing w:after="240" w:line="240" w:lineRule="auto"/>
        <w:jc w:val="both"/>
        <w:rPr>
          <w:rFonts w:ascii="Arial" w:eastAsia="Arial" w:hAnsi="Arial" w:cs="Arial"/>
          <w:snapToGrid w:val="0"/>
          <w:lang w:val="en-GB"/>
        </w:rPr>
      </w:pPr>
    </w:p>
    <w:p w14:paraId="20F728BC" w14:textId="6EB8836E"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snapToGrid w:val="0"/>
          <w:lang w:val="en-GB"/>
        </w:rPr>
        <w:t xml:space="preserve">The Eighteenth Meeting of the Working Group on Tsunamis and Other Hazards Related to Sea-Level Warning and Mitigation Systems (TOWS-WG-XVI) was held in hybrid format (in-person and online), during 24-25 February 2025 under the Chairpersonship of Mr Amr </w:t>
      </w:r>
      <w:r w:rsidR="00583E56">
        <w:rPr>
          <w:rFonts w:ascii="Arial" w:eastAsia="Arial" w:hAnsi="Arial" w:cs="Arial"/>
          <w:snapToGrid w:val="0"/>
          <w:lang w:val="en-GB"/>
        </w:rPr>
        <w:t xml:space="preserve">Zakaria </w:t>
      </w:r>
      <w:r w:rsidRPr="00A40455">
        <w:rPr>
          <w:rFonts w:ascii="Arial" w:eastAsia="Arial" w:hAnsi="Arial" w:cs="Arial"/>
          <w:snapToGrid w:val="0"/>
          <w:lang w:val="en-GB"/>
        </w:rPr>
        <w:t xml:space="preserve">Hamouda (IOC Vice-Chair). The meeting evaluated the progress made in respect to the IOC Assembly </w:t>
      </w:r>
      <w:r w:rsidR="009F1FF6" w:rsidRPr="00A40455">
        <w:rPr>
          <w:rFonts w:ascii="Arial" w:eastAsia="Arial" w:hAnsi="Arial" w:cs="Arial"/>
          <w:snapToGrid w:val="0"/>
          <w:lang w:val="en-GB"/>
        </w:rPr>
        <w:t xml:space="preserve">Decision A-32/4.3.1. </w:t>
      </w:r>
      <w:r w:rsidRPr="00A40455">
        <w:rPr>
          <w:rFonts w:ascii="Arial" w:eastAsia="Arial" w:hAnsi="Arial" w:cs="Arial"/>
          <w:snapToGrid w:val="0"/>
          <w:lang w:val="en-GB"/>
        </w:rPr>
        <w:t xml:space="preserve">and the Decision IOC </w:t>
      </w:r>
      <w:r w:rsidR="009F1FF6">
        <w:rPr>
          <w:rFonts w:ascii="Arial" w:eastAsia="Arial" w:hAnsi="Arial" w:cs="Arial"/>
          <w:snapToGrid w:val="0"/>
          <w:lang w:val="en-GB"/>
        </w:rPr>
        <w:t xml:space="preserve">Executive Council Decision </w:t>
      </w:r>
      <w:r w:rsidRPr="00A40455">
        <w:rPr>
          <w:rFonts w:ascii="Arial" w:eastAsia="Arial" w:hAnsi="Arial" w:cs="Arial"/>
          <w:snapToGrid w:val="0"/>
          <w:lang w:val="en-GB"/>
        </w:rPr>
        <w:t>EC-57/3.2.1.</w:t>
      </w:r>
    </w:p>
    <w:p w14:paraId="44E2819F" w14:textId="3BFC80F1"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bookmarkStart w:id="0" w:name="_gjdgxs" w:colFirst="0" w:colLast="0"/>
      <w:bookmarkStart w:id="1" w:name="_xcs51xxmizzy" w:colFirst="0" w:colLast="0"/>
      <w:bookmarkStart w:id="2" w:name="_xgf2prjzfqfr" w:colFirst="0" w:colLast="0"/>
      <w:bookmarkEnd w:id="0"/>
      <w:bookmarkEnd w:id="1"/>
      <w:bookmarkEnd w:id="2"/>
      <w:r w:rsidRPr="00A40455">
        <w:rPr>
          <w:rFonts w:ascii="Arial" w:eastAsia="Arial" w:hAnsi="Arial" w:cs="Arial"/>
          <w:b/>
          <w:snapToGrid w:val="0"/>
          <w:lang w:val="en-GB"/>
        </w:rPr>
        <w:t>The Group</w:t>
      </w:r>
      <w:r w:rsidRPr="00A40455">
        <w:rPr>
          <w:rFonts w:ascii="Arial" w:eastAsia="Arial" w:hAnsi="Arial" w:cs="Arial"/>
          <w:snapToGrid w:val="0"/>
          <w:lang w:val="en-GB"/>
        </w:rPr>
        <w:t xml:space="preserve"> </w:t>
      </w:r>
      <w:r w:rsidRPr="00A40455">
        <w:rPr>
          <w:rFonts w:ascii="Arial" w:eastAsia="Arial" w:hAnsi="Arial" w:cs="Arial"/>
          <w:b/>
          <w:snapToGrid w:val="0"/>
          <w:lang w:val="en-GB"/>
        </w:rPr>
        <w:t>reviewed</w:t>
      </w:r>
      <w:r w:rsidRPr="00A40455">
        <w:rPr>
          <w:rFonts w:ascii="Arial" w:eastAsia="Arial" w:hAnsi="Arial" w:cs="Arial"/>
          <w:snapToGrid w:val="0"/>
          <w:lang w:val="en-GB"/>
        </w:rPr>
        <w:t xml:space="preserve"> reports by the IOC Intergovernmental Coordination Groups (ICGs)</w:t>
      </w:r>
      <w:r w:rsidR="009F1FF6">
        <w:rPr>
          <w:rFonts w:ascii="Arial" w:eastAsia="Arial" w:hAnsi="Arial" w:cs="Arial"/>
          <w:snapToGrid w:val="0"/>
          <w:lang w:val="en-GB"/>
        </w:rPr>
        <w:t>, the Ocean Decade Tsunami Programme Scientific Committee (ODTP-SC)</w:t>
      </w:r>
      <w:r w:rsidRPr="00A40455">
        <w:rPr>
          <w:rFonts w:ascii="Arial" w:eastAsia="Arial" w:hAnsi="Arial" w:cs="Arial"/>
          <w:snapToGrid w:val="0"/>
          <w:lang w:val="en-GB"/>
        </w:rPr>
        <w:t xml:space="preserve"> as well as </w:t>
      </w:r>
      <w:r w:rsidR="009F1FF6">
        <w:rPr>
          <w:rFonts w:ascii="Arial" w:eastAsia="Arial" w:hAnsi="Arial" w:cs="Arial"/>
          <w:snapToGrid w:val="0"/>
          <w:lang w:val="en-GB"/>
        </w:rPr>
        <w:t>the</w:t>
      </w:r>
      <w:r w:rsidRPr="00A40455">
        <w:rPr>
          <w:rFonts w:ascii="Arial" w:eastAsia="Arial" w:hAnsi="Arial" w:cs="Arial"/>
          <w:snapToGrid w:val="0"/>
          <w:lang w:val="en-GB"/>
        </w:rPr>
        <w:t xml:space="preserve"> Task Team on Disaster Management and Preparedness (</w:t>
      </w:r>
      <w:r w:rsidR="00F3061B">
        <w:rPr>
          <w:rFonts w:ascii="Arial" w:eastAsia="Arial" w:hAnsi="Arial" w:cs="Arial"/>
          <w:snapToGrid w:val="0"/>
          <w:lang w:val="en-GB"/>
        </w:rPr>
        <w:t>TT-DMP</w:t>
      </w:r>
      <w:r w:rsidRPr="00A40455">
        <w:rPr>
          <w:rFonts w:ascii="Arial" w:eastAsia="Arial" w:hAnsi="Arial" w:cs="Arial"/>
          <w:snapToGrid w:val="0"/>
          <w:lang w:val="en-GB"/>
        </w:rPr>
        <w:t>) and Task Team on Tsunami Watch Operations (</w:t>
      </w:r>
      <w:r w:rsidR="00F3061B">
        <w:rPr>
          <w:rFonts w:ascii="Arial" w:eastAsia="Arial" w:hAnsi="Arial" w:cs="Arial"/>
          <w:snapToGrid w:val="0"/>
          <w:lang w:val="en-GB"/>
        </w:rPr>
        <w:t>TT-TWO</w:t>
      </w:r>
      <w:r w:rsidRPr="00A40455">
        <w:rPr>
          <w:rFonts w:ascii="Arial" w:eastAsia="Arial" w:hAnsi="Arial" w:cs="Arial"/>
          <w:snapToGrid w:val="0"/>
          <w:lang w:val="en-GB"/>
        </w:rPr>
        <w:t>)</w:t>
      </w:r>
      <w:r w:rsidR="009F1FF6">
        <w:rPr>
          <w:rFonts w:ascii="Arial" w:eastAsia="Arial" w:hAnsi="Arial" w:cs="Arial"/>
          <w:snapToGrid w:val="0"/>
          <w:lang w:val="en-GB"/>
        </w:rPr>
        <w:t xml:space="preserve"> reports</w:t>
      </w:r>
      <w:r w:rsidRPr="00A40455">
        <w:rPr>
          <w:rFonts w:ascii="Arial" w:eastAsia="Arial" w:hAnsi="Arial" w:cs="Arial"/>
          <w:snapToGrid w:val="0"/>
          <w:lang w:val="en-GB"/>
        </w:rPr>
        <w:t>.</w:t>
      </w:r>
    </w:p>
    <w:p w14:paraId="40939BFC"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snapToGrid w:val="0"/>
          <w:lang w:val="en-GB"/>
        </w:rPr>
        <w:t>The Group noted</w:t>
      </w:r>
      <w:r w:rsidRPr="00A40455">
        <w:rPr>
          <w:rFonts w:ascii="Arial" w:eastAsia="Arial" w:hAnsi="Arial" w:cs="Arial"/>
          <w:snapToGrid w:val="0"/>
          <w:lang w:val="en-GB"/>
        </w:rPr>
        <w:t xml:space="preserve"> </w:t>
      </w:r>
      <w:r w:rsidRPr="00A40455">
        <w:rPr>
          <w:rFonts w:ascii="Arial" w:eastAsia="Arial" w:hAnsi="Arial" w:cs="Arial"/>
          <w:b/>
          <w:bCs/>
          <w:snapToGrid w:val="0"/>
          <w:lang w:val="en-GB"/>
        </w:rPr>
        <w:t>with appreciation</w:t>
      </w:r>
      <w:r w:rsidRPr="00A40455">
        <w:rPr>
          <w:rFonts w:ascii="Arial" w:eastAsia="Arial" w:hAnsi="Arial" w:cs="Arial"/>
          <w:snapToGrid w:val="0"/>
          <w:lang w:val="en-GB"/>
        </w:rPr>
        <w:t xml:space="preserve"> the progress made during the intersessional period, including:</w:t>
      </w:r>
    </w:p>
    <w:p w14:paraId="79D3E99C" w14:textId="5CD72768" w:rsidR="00A40455" w:rsidRPr="00F3061B"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Coordination of the Wave exercises</w:t>
      </w:r>
      <w:r w:rsidR="00D4557F">
        <w:rPr>
          <w:rFonts w:ascii="Arial" w:eastAsia="SimSun" w:hAnsi="Arial" w:cs="Arial"/>
          <w:snapToGrid w:val="0"/>
          <w:lang w:val="en-GB"/>
        </w:rPr>
        <w:t xml:space="preserve"> </w:t>
      </w:r>
      <w:proofErr w:type="spellStart"/>
      <w:r w:rsidRPr="00A40455">
        <w:rPr>
          <w:rFonts w:ascii="Arial" w:eastAsia="SimSun" w:hAnsi="Arial" w:cs="Arial"/>
          <w:snapToGrid w:val="0"/>
          <w:lang w:val="en-GB"/>
        </w:rPr>
        <w:t>PacWave</w:t>
      </w:r>
      <w:proofErr w:type="spellEnd"/>
      <w:r w:rsidRPr="00A40455">
        <w:rPr>
          <w:rFonts w:ascii="Arial" w:eastAsia="SimSun" w:hAnsi="Arial" w:cs="Arial"/>
          <w:snapToGrid w:val="0"/>
          <w:lang w:val="en-GB"/>
        </w:rPr>
        <w:t xml:space="preserve"> 24 (September to November 2024), the CARIBEWAVE 24 (21 March 2024), the </w:t>
      </w:r>
      <w:proofErr w:type="spellStart"/>
      <w:r w:rsidRPr="00A40455">
        <w:rPr>
          <w:rFonts w:ascii="Arial" w:eastAsia="SimSun" w:hAnsi="Arial" w:cs="Arial"/>
          <w:snapToGrid w:val="0"/>
          <w:lang w:val="en-GB"/>
        </w:rPr>
        <w:t>NEAMWave</w:t>
      </w:r>
      <w:proofErr w:type="spellEnd"/>
      <w:r w:rsidRPr="00A40455">
        <w:rPr>
          <w:rFonts w:ascii="Arial" w:eastAsia="SimSun" w:hAnsi="Arial" w:cs="Arial"/>
          <w:snapToGrid w:val="0"/>
          <w:lang w:val="en-GB"/>
        </w:rPr>
        <w:t xml:space="preserve"> 23 (6–7 November 2023) and the </w:t>
      </w:r>
      <w:r w:rsidRPr="00F3061B">
        <w:rPr>
          <w:rFonts w:ascii="Arial" w:eastAsia="SimSun" w:hAnsi="Arial" w:cs="Arial"/>
          <w:snapToGrid w:val="0"/>
          <w:lang w:val="en-GB"/>
        </w:rPr>
        <w:t>IOWave23 (4-25 October 2023</w:t>
      </w:r>
      <w:proofErr w:type="gramStart"/>
      <w:r w:rsidRPr="00F3061B">
        <w:rPr>
          <w:rFonts w:ascii="Arial" w:eastAsia="SimSun" w:hAnsi="Arial" w:cs="Arial"/>
          <w:snapToGrid w:val="0"/>
          <w:lang w:val="en-GB"/>
        </w:rPr>
        <w:t>);</w:t>
      </w:r>
      <w:proofErr w:type="gramEnd"/>
    </w:p>
    <w:p w14:paraId="22F52553" w14:textId="77777777" w:rsidR="00A40455" w:rsidRPr="00F3061B"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F3061B">
        <w:rPr>
          <w:rFonts w:ascii="Arial" w:eastAsia="SimSun" w:hAnsi="Arial" w:cs="Arial"/>
          <w:snapToGrid w:val="0"/>
          <w:lang w:val="en-GB"/>
        </w:rPr>
        <w:t>the continuous engagement of the TT-TWO in developing specialized TSP bulletins for the maritime community in consultation with the International Hydrographic Organisation (IHO) Sub-Committee on the World-Wide Navigational Warning Service (WWNWS-SC</w:t>
      </w:r>
      <w:proofErr w:type="gramStart"/>
      <w:r w:rsidRPr="00F3061B">
        <w:rPr>
          <w:rFonts w:ascii="Arial" w:eastAsia="SimSun" w:hAnsi="Arial" w:cs="Arial"/>
          <w:snapToGrid w:val="0"/>
          <w:lang w:val="en-GB"/>
        </w:rPr>
        <w:t>);</w:t>
      </w:r>
      <w:proofErr w:type="gramEnd"/>
    </w:p>
    <w:p w14:paraId="7CD88051" w14:textId="77777777" w:rsidR="00A40455" w:rsidRPr="00F3061B"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F3061B">
        <w:rPr>
          <w:rFonts w:ascii="Arial" w:eastAsia="SimSun" w:hAnsi="Arial" w:cs="Arial"/>
          <w:snapToGrid w:val="0"/>
          <w:lang w:val="en-GB"/>
        </w:rPr>
        <w:t xml:space="preserve">the ongoing project of the Atlantic CAM </w:t>
      </w:r>
      <w:r w:rsidRPr="00F3061B">
        <w:rPr>
          <w:rFonts w:ascii="Arial" w:eastAsia="SimSun" w:hAnsi="Arial" w:cs="Arial"/>
          <w:snapToGrid w:val="0"/>
          <w:lang w:val="en-US"/>
        </w:rPr>
        <w:t xml:space="preserve">Science Monitoring </w:t>
      </w:r>
      <w:proofErr w:type="gramStart"/>
      <w:r w:rsidRPr="00F3061B">
        <w:rPr>
          <w:rFonts w:ascii="Arial" w:eastAsia="SimSun" w:hAnsi="Arial" w:cs="Arial"/>
          <w:snapToGrid w:val="0"/>
          <w:lang w:val="en-US"/>
        </w:rPr>
        <w:t>And</w:t>
      </w:r>
      <w:proofErr w:type="gramEnd"/>
      <w:r w:rsidRPr="00F3061B">
        <w:rPr>
          <w:rFonts w:ascii="Arial" w:eastAsia="SimSun" w:hAnsi="Arial" w:cs="Arial"/>
          <w:snapToGrid w:val="0"/>
          <w:lang w:val="en-US"/>
        </w:rPr>
        <w:t xml:space="preserve"> Reliable Telecommunications (</w:t>
      </w:r>
      <w:r w:rsidRPr="00F3061B">
        <w:rPr>
          <w:rFonts w:ascii="Arial" w:eastAsia="SimSun" w:hAnsi="Arial" w:cs="Arial"/>
          <w:snapToGrid w:val="0"/>
          <w:lang w:val="en-GB"/>
        </w:rPr>
        <w:t xml:space="preserve">SMART) Subsea cable off Portugal, TAM </w:t>
      </w:r>
      <w:proofErr w:type="spellStart"/>
      <w:r w:rsidRPr="00F3061B">
        <w:rPr>
          <w:rFonts w:ascii="Arial" w:eastAsia="SimSun" w:hAnsi="Arial" w:cs="Arial"/>
          <w:snapToGrid w:val="0"/>
          <w:lang w:val="en-GB"/>
        </w:rPr>
        <w:t>TAM</w:t>
      </w:r>
      <w:proofErr w:type="spellEnd"/>
      <w:r w:rsidRPr="00F3061B">
        <w:rPr>
          <w:rFonts w:ascii="Arial" w:eastAsia="SimSun" w:hAnsi="Arial" w:cs="Arial"/>
          <w:snapToGrid w:val="0"/>
          <w:lang w:val="en-GB"/>
        </w:rPr>
        <w:t xml:space="preserve"> SMART cable between New Caledonia and Vanuatu, undersea cable installations being deployed and planned by Indonesia and India, the deployment of the Western Ionian Sea Infrastructure in 2023 in the Mediterranean. </w:t>
      </w:r>
    </w:p>
    <w:p w14:paraId="0BAA412A" w14:textId="5FCE2123" w:rsidR="00A40455" w:rsidRPr="00F3061B"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F3061B">
        <w:rPr>
          <w:rFonts w:ascii="Arial" w:eastAsia="SimSun" w:hAnsi="Arial" w:cs="Arial"/>
          <w:snapToGrid w:val="0"/>
          <w:lang w:val="en-GB"/>
        </w:rPr>
        <w:t>the number of Member States and communities joining the UNESCO-IOC Tsunami Ready Recognition Programme, with 100 communities from 3</w:t>
      </w:r>
      <w:r w:rsidR="001E2383" w:rsidRPr="00F3061B">
        <w:rPr>
          <w:rFonts w:ascii="Arial" w:eastAsia="SimSun" w:hAnsi="Arial" w:cs="Arial"/>
          <w:snapToGrid w:val="0"/>
          <w:lang w:val="en-GB"/>
        </w:rPr>
        <w:t>1</w:t>
      </w:r>
      <w:r w:rsidRPr="00F3061B">
        <w:rPr>
          <w:rFonts w:ascii="Arial" w:eastAsia="SimSun" w:hAnsi="Arial" w:cs="Arial"/>
          <w:snapToGrid w:val="0"/>
          <w:lang w:val="en-GB"/>
        </w:rPr>
        <w:t xml:space="preserve"> countries already recognized, of which 15 are </w:t>
      </w:r>
      <w:proofErr w:type="gramStart"/>
      <w:r w:rsidRPr="00F3061B">
        <w:rPr>
          <w:rFonts w:ascii="Arial" w:eastAsia="SimSun" w:hAnsi="Arial" w:cs="Arial"/>
          <w:snapToGrid w:val="0"/>
          <w:lang w:val="en-GB"/>
        </w:rPr>
        <w:t>SIDS;</w:t>
      </w:r>
      <w:proofErr w:type="gramEnd"/>
      <w:r w:rsidRPr="00F3061B">
        <w:rPr>
          <w:rFonts w:ascii="Arial" w:eastAsia="SimSun" w:hAnsi="Arial" w:cs="Arial"/>
          <w:snapToGrid w:val="0"/>
          <w:lang w:val="en-GB"/>
        </w:rPr>
        <w:t xml:space="preserve"> </w:t>
      </w:r>
    </w:p>
    <w:p w14:paraId="0FB54CAD" w14:textId="4CD0E124" w:rsidR="00A40455" w:rsidRPr="00336B50" w:rsidRDefault="00F3061B" w:rsidP="00273006">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bookmarkStart w:id="3" w:name="_Hlk191327666"/>
      <w:r>
        <w:rPr>
          <w:rFonts w:ascii="Arial" w:eastAsia="SimSun" w:hAnsi="Arial" w:cs="Arial"/>
          <w:snapToGrid w:val="0"/>
          <w:lang w:val="en-GB"/>
        </w:rPr>
        <w:t>p</w:t>
      </w:r>
      <w:r w:rsidR="00A40455" w:rsidRPr="00336B50">
        <w:rPr>
          <w:rFonts w:ascii="Arial" w:eastAsia="SimSun" w:hAnsi="Arial" w:cs="Arial"/>
          <w:snapToGrid w:val="0"/>
          <w:lang w:val="en-GB"/>
        </w:rPr>
        <w:t>ublication of the Report</w:t>
      </w:r>
      <w:r w:rsidR="00791921" w:rsidRPr="00336B50">
        <w:rPr>
          <w:rFonts w:ascii="Arial" w:eastAsia="SimSun" w:hAnsi="Arial" w:cs="Arial"/>
          <w:snapToGrid w:val="0"/>
          <w:lang w:val="en-GB"/>
        </w:rPr>
        <w:t>s</w:t>
      </w:r>
      <w:r w:rsidR="00A40455" w:rsidRPr="00336B50">
        <w:rPr>
          <w:rFonts w:ascii="Arial" w:eastAsia="SimSun" w:hAnsi="Arial" w:cs="Arial"/>
          <w:snapToGrid w:val="0"/>
          <w:lang w:val="en-GB"/>
        </w:rPr>
        <w:t xml:space="preserve"> “</w:t>
      </w:r>
      <w:r w:rsidR="00A40455" w:rsidRPr="00336B50">
        <w:rPr>
          <w:rFonts w:ascii="Arial" w:eastAsia="SimSun" w:hAnsi="Arial" w:cs="Arial"/>
          <w:i/>
          <w:iCs/>
          <w:snapToGrid w:val="0"/>
          <w:lang w:val="en-GB"/>
        </w:rPr>
        <w:t>Monitoring and Warning for Tsunamis Generated by Volcanoes.</w:t>
      </w:r>
      <w:r w:rsidR="00A40455" w:rsidRPr="00336B50">
        <w:rPr>
          <w:rFonts w:ascii="Arial" w:eastAsia="SimSun" w:hAnsi="Arial" w:cs="Arial"/>
          <w:snapToGrid w:val="0"/>
          <w:lang w:val="en-GB"/>
        </w:rPr>
        <w:t xml:space="preserve"> 2024. Paris, UNESCO. (</w:t>
      </w:r>
      <w:hyperlink r:id="rId8" w:history="1">
        <w:r w:rsidR="00A40455" w:rsidRPr="00336B50">
          <w:rPr>
            <w:rFonts w:ascii="Arial" w:eastAsia="SimSun" w:hAnsi="Arial" w:cs="Arial"/>
            <w:snapToGrid w:val="0"/>
            <w:color w:val="0000FF"/>
            <w:u w:val="single"/>
            <w:lang w:val="en-GB"/>
          </w:rPr>
          <w:t>IOC Technical Series No.183</w:t>
        </w:r>
      </w:hyperlink>
      <w:r w:rsidR="00A40455" w:rsidRPr="00336B50">
        <w:rPr>
          <w:rFonts w:ascii="Arial" w:eastAsia="SimSun" w:hAnsi="Arial" w:cs="Arial"/>
          <w:snapToGrid w:val="0"/>
          <w:lang w:val="en-GB"/>
        </w:rPr>
        <w:t>)</w:t>
      </w:r>
      <w:r w:rsidR="008011B4" w:rsidRPr="00336B50">
        <w:rPr>
          <w:rFonts w:ascii="Arial" w:eastAsia="SimSun" w:hAnsi="Arial" w:cs="Arial"/>
          <w:snapToGrid w:val="0"/>
          <w:lang w:val="en-GB"/>
        </w:rPr>
        <w:t xml:space="preserve"> and “</w:t>
      </w:r>
      <w:r w:rsidR="00A40455" w:rsidRPr="00336B50">
        <w:rPr>
          <w:rFonts w:ascii="Arial" w:eastAsia="SimSun" w:hAnsi="Arial" w:cs="Arial"/>
          <w:i/>
          <w:iCs/>
          <w:snapToGrid w:val="0"/>
          <w:lang w:val="en-GB"/>
        </w:rPr>
        <w:t>Meteotsunamis: definition, detection and alerting services investigation</w:t>
      </w:r>
      <w:r w:rsidR="00A40455" w:rsidRPr="00336B50">
        <w:rPr>
          <w:rFonts w:ascii="Arial" w:eastAsia="SimSun" w:hAnsi="Arial" w:cs="Arial"/>
          <w:snapToGrid w:val="0"/>
          <w:lang w:val="en-GB"/>
        </w:rPr>
        <w:t>”.2025. Paris, UNESCO. (</w:t>
      </w:r>
      <w:hyperlink r:id="rId9" w:history="1">
        <w:r w:rsidR="00A40455" w:rsidRPr="00336B50">
          <w:rPr>
            <w:rFonts w:ascii="Arial" w:eastAsia="SimSun" w:hAnsi="Arial" w:cs="Arial"/>
            <w:snapToGrid w:val="0"/>
            <w:color w:val="0000FF"/>
            <w:u w:val="single"/>
            <w:lang w:val="en-GB"/>
          </w:rPr>
          <w:t>IOC Technical Series No.200)</w:t>
        </w:r>
      </w:hyperlink>
      <w:r w:rsidR="00336B50" w:rsidRPr="00336B50">
        <w:rPr>
          <w:lang w:val="en-US"/>
        </w:rPr>
        <w:t xml:space="preserve">, </w:t>
      </w:r>
      <w:r w:rsidR="00336B50" w:rsidRPr="00336B50">
        <w:rPr>
          <w:rFonts w:ascii="Arial" w:eastAsia="SimSun" w:hAnsi="Arial" w:cs="Arial"/>
          <w:snapToGrid w:val="0"/>
          <w:lang w:val="en-GB"/>
        </w:rPr>
        <w:t xml:space="preserve">and the </w:t>
      </w:r>
      <w:r w:rsidR="00A40455" w:rsidRPr="00336B50">
        <w:rPr>
          <w:rFonts w:ascii="Arial" w:eastAsia="SimSun" w:hAnsi="Arial" w:cs="Arial"/>
          <w:snapToGrid w:val="0"/>
          <w:lang w:val="en-GB"/>
        </w:rPr>
        <w:t xml:space="preserve">Summary Statement from </w:t>
      </w:r>
      <w:r w:rsidR="00336B50">
        <w:rPr>
          <w:rFonts w:ascii="Arial" w:eastAsia="SimSun" w:hAnsi="Arial" w:cs="Arial"/>
          <w:snapToGrid w:val="0"/>
          <w:lang w:val="en-GB"/>
        </w:rPr>
        <w:t xml:space="preserve">the </w:t>
      </w:r>
      <w:r w:rsidR="00A40455" w:rsidRPr="00336B50">
        <w:rPr>
          <w:rFonts w:ascii="Arial" w:eastAsia="SimSun" w:hAnsi="Arial" w:cs="Arial"/>
          <w:snapToGrid w:val="0"/>
          <w:lang w:val="en-GB"/>
        </w:rPr>
        <w:t>2nd UNESCO-IOC Global Tsunami Symposium on Two Decades After 2004 Indian Ocean Tsunami: Reflection and Way Forward, Banda Aceh, 11–14 November 2024. Paris. UNESCO (</w:t>
      </w:r>
      <w:hyperlink r:id="rId10" w:history="1">
        <w:r w:rsidR="00A40455" w:rsidRPr="00336B50">
          <w:rPr>
            <w:rFonts w:ascii="Arial" w:eastAsia="SimSun" w:hAnsi="Arial" w:cs="Arial"/>
            <w:snapToGrid w:val="0"/>
            <w:color w:val="0000FF"/>
            <w:u w:val="single"/>
            <w:lang w:val="en-GB"/>
          </w:rPr>
          <w:t>IOC Brochure 2025-1</w:t>
        </w:r>
      </w:hyperlink>
      <w:r w:rsidR="00A40455" w:rsidRPr="00336B50">
        <w:rPr>
          <w:rFonts w:ascii="Arial" w:eastAsia="SimSun" w:hAnsi="Arial" w:cs="Arial"/>
          <w:snapToGrid w:val="0"/>
          <w:lang w:val="en-GB"/>
        </w:rPr>
        <w:t>)</w:t>
      </w:r>
    </w:p>
    <w:bookmarkEnd w:id="3"/>
    <w:p w14:paraId="394B3C19"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bCs/>
          <w:snapToGrid w:val="0"/>
          <w:lang w:val="en-GB"/>
        </w:rPr>
      </w:pPr>
      <w:r w:rsidRPr="00A40455">
        <w:rPr>
          <w:rFonts w:ascii="Arial" w:eastAsia="SimSun" w:hAnsi="Arial" w:cs="Arial"/>
          <w:bCs/>
          <w:snapToGrid w:val="0"/>
          <w:lang w:val="en-GB"/>
        </w:rPr>
        <w:t xml:space="preserve">Launch of the UNESCO-IOC Tsunami Awareness and Tsunami Ready online trainings through the </w:t>
      </w:r>
      <w:hyperlink r:id="rId11" w:history="1">
        <w:r w:rsidRPr="00A40455">
          <w:rPr>
            <w:rFonts w:ascii="Arial" w:eastAsia="SimSun" w:hAnsi="Arial" w:cs="Arial"/>
            <w:bCs/>
            <w:snapToGrid w:val="0"/>
            <w:color w:val="0000FF"/>
            <w:u w:val="single"/>
            <w:lang w:val="en-GB"/>
          </w:rPr>
          <w:t>Ocean Teacher Global Academy</w:t>
        </w:r>
      </w:hyperlink>
      <w:r w:rsidRPr="00A40455">
        <w:rPr>
          <w:rFonts w:ascii="Arial" w:eastAsia="SimSun" w:hAnsi="Arial" w:cs="Arial"/>
          <w:bCs/>
          <w:snapToGrid w:val="0"/>
          <w:lang w:val="en-GB"/>
        </w:rPr>
        <w:t xml:space="preserve"> (OTGA) platform.</w:t>
      </w:r>
    </w:p>
    <w:p w14:paraId="4E4A509D" w14:textId="5A81ED96" w:rsidR="00A40455" w:rsidRPr="00A40455" w:rsidRDefault="00A40455" w:rsidP="00A40455">
      <w:pPr>
        <w:numPr>
          <w:ilvl w:val="0"/>
          <w:numId w:val="1"/>
        </w:numPr>
        <w:tabs>
          <w:tab w:val="left" w:pos="709"/>
        </w:tabs>
        <w:snapToGrid w:val="0"/>
        <w:spacing w:after="240" w:line="240" w:lineRule="auto"/>
        <w:ind w:left="562" w:hanging="562"/>
        <w:jc w:val="both"/>
        <w:rPr>
          <w:rFonts w:ascii="Arial" w:eastAsia="SimSun" w:hAnsi="Arial" w:cs="Arial"/>
          <w:bCs/>
          <w:snapToGrid w:val="0"/>
          <w:lang w:val="en-US"/>
        </w:rPr>
      </w:pPr>
      <w:r w:rsidRPr="00A40455">
        <w:rPr>
          <w:rFonts w:ascii="Arial" w:eastAsia="SimSun" w:hAnsi="Arial" w:cs="Arial"/>
          <w:bCs/>
          <w:snapToGrid w:val="0"/>
          <w:lang w:val="en-US"/>
        </w:rPr>
        <w:t xml:space="preserve">the </w:t>
      </w:r>
      <w:hyperlink r:id="rId12" w:history="1">
        <w:r w:rsidRPr="00A40455">
          <w:rPr>
            <w:rFonts w:ascii="Arial" w:eastAsia="SimSun" w:hAnsi="Arial" w:cs="Arial"/>
            <w:bCs/>
            <w:snapToGrid w:val="0"/>
            <w:color w:val="0000FF"/>
            <w:u w:val="single"/>
            <w:lang w:val="en-US"/>
          </w:rPr>
          <w:t>Tsunami: Sea Change for Resilience</w:t>
        </w:r>
      </w:hyperlink>
      <w:r w:rsidRPr="00A40455">
        <w:rPr>
          <w:rFonts w:ascii="Arial" w:eastAsia="SimSun" w:hAnsi="Arial" w:cs="Arial"/>
          <w:bCs/>
          <w:snapToGrid w:val="0"/>
          <w:lang w:val="en-US"/>
        </w:rPr>
        <w:t xml:space="preserve">, exhibition prepared in partnership with the United Nations Office for Disaster Risk Reduction (UNDRR) and Nautilus, featuring portraits by Matt Porteous and inspiring stories together with the historical and contemporary artworks which commemorate the 20th anniversary of the 2004 Indian Ocean Tsunami; organization of the </w:t>
      </w:r>
      <w:hyperlink r:id="rId13" w:history="1">
        <w:r w:rsidRPr="00A40455">
          <w:rPr>
            <w:rFonts w:ascii="Arial" w:eastAsia="DengXian" w:hAnsi="Arial" w:cs="Arial"/>
            <w:color w:val="0000FF"/>
            <w:u w:val="single"/>
            <w:lang w:val="en-GB"/>
          </w:rPr>
          <w:t>20th Anniversary of the 2004 Indian Ocean Tsunami Commemoration Event</w:t>
        </w:r>
      </w:hyperlink>
      <w:r w:rsidRPr="00A40455">
        <w:rPr>
          <w:rFonts w:ascii="Arial" w:eastAsia="DengXian" w:hAnsi="Arial" w:cs="Arial"/>
          <w:lang w:val="en-GB"/>
        </w:rPr>
        <w:t xml:space="preserve"> at the UNESCO Headquarters on 26 November 2024 to reflect on resilience, honour those affected, and reaffirm our commitment to disaster preparedness;</w:t>
      </w:r>
      <w:r w:rsidRPr="00A40455">
        <w:rPr>
          <w:rFonts w:ascii="Arial" w:eastAsia="SimSun" w:hAnsi="Arial" w:cs="Arial"/>
          <w:bCs/>
          <w:snapToGrid w:val="0"/>
          <w:lang w:val="en-US"/>
        </w:rPr>
        <w:t xml:space="preserve"> </w:t>
      </w:r>
    </w:p>
    <w:p w14:paraId="56E4682B" w14:textId="77777777" w:rsidR="00A40455" w:rsidRPr="00A40455" w:rsidRDefault="00A40455" w:rsidP="00A40455">
      <w:pPr>
        <w:tabs>
          <w:tab w:val="left" w:pos="709"/>
        </w:tabs>
        <w:snapToGrid w:val="0"/>
        <w:spacing w:after="240" w:line="240" w:lineRule="auto"/>
        <w:jc w:val="both"/>
        <w:rPr>
          <w:rFonts w:ascii="Arial" w:eastAsia="SimSun" w:hAnsi="Arial" w:cs="Arial"/>
          <w:bCs/>
          <w:snapToGrid w:val="0"/>
          <w:lang w:val="en-US"/>
        </w:rPr>
      </w:pPr>
      <w:r w:rsidRPr="00A40455">
        <w:rPr>
          <w:rFonts w:ascii="Arial" w:eastAsia="Arial" w:hAnsi="Arial" w:cs="Arial"/>
          <w:b/>
          <w:bCs/>
          <w:lang w:val="en-GB"/>
        </w:rPr>
        <w:lastRenderedPageBreak/>
        <w:t xml:space="preserve">The Group accepted  </w:t>
      </w:r>
      <w:r w:rsidRPr="00A40455">
        <w:rPr>
          <w:rFonts w:ascii="Arial" w:eastAsia="Arial" w:hAnsi="Arial" w:cs="Arial"/>
          <w:lang w:val="en-GB"/>
        </w:rPr>
        <w:t>the invitation by UNDRR to</w:t>
      </w:r>
      <w:r w:rsidRPr="00A40455">
        <w:rPr>
          <w:rFonts w:ascii="Arial" w:eastAsia="Arial" w:hAnsi="Arial" w:cs="Arial"/>
          <w:b/>
          <w:bCs/>
          <w:lang w:val="en-GB"/>
        </w:rPr>
        <w:t xml:space="preserve"> </w:t>
      </w:r>
      <w:r w:rsidRPr="00A40455">
        <w:rPr>
          <w:rFonts w:ascii="Arial" w:eastAsia="Arial" w:hAnsi="Arial" w:cs="Arial"/>
          <w:lang w:val="en-GB"/>
        </w:rPr>
        <w:t>co-develop the  World Tsunami Awareness Day 2025 Theme connecting the Tsunami Ready Recognition Programme, the Making Cities Resilient Program and</w:t>
      </w:r>
      <w:r w:rsidRPr="00A40455">
        <w:rPr>
          <w:rFonts w:ascii="Arial" w:eastAsia="Arial" w:hAnsi="Arial" w:cs="Arial"/>
          <w:b/>
          <w:bCs/>
          <w:lang w:val="en-GB"/>
        </w:rPr>
        <w:t xml:space="preserve"> </w:t>
      </w:r>
      <w:r w:rsidRPr="00A40455">
        <w:rPr>
          <w:rFonts w:ascii="Arial" w:eastAsia="SimSun" w:hAnsi="Arial" w:cs="Arial"/>
          <w:bCs/>
          <w:snapToGrid w:val="0"/>
          <w:lang w:val="en-US"/>
        </w:rPr>
        <w:t xml:space="preserve">the </w:t>
      </w:r>
      <w:r>
        <w:fldChar w:fldCharType="begin"/>
      </w:r>
      <w:r w:rsidRPr="00653C53">
        <w:rPr>
          <w:lang w:val="en-US"/>
        </w:rPr>
        <w:instrText>HYPERLINK "https://tsunamiday.undrr.org/gettohighground-campaign"</w:instrText>
      </w:r>
      <w:r>
        <w:fldChar w:fldCharType="separate"/>
      </w:r>
      <w:r w:rsidRPr="00A40455">
        <w:rPr>
          <w:rFonts w:ascii="Arial" w:eastAsia="SimSun" w:hAnsi="Arial" w:cs="Arial"/>
          <w:bCs/>
          <w:snapToGrid w:val="0"/>
          <w:color w:val="0000FF"/>
          <w:u w:val="single"/>
          <w:lang w:val="en-US"/>
        </w:rPr>
        <w:t>#GetToHighGround</w:t>
      </w:r>
      <w:r>
        <w:fldChar w:fldCharType="end"/>
      </w:r>
      <w:r w:rsidRPr="00A40455">
        <w:rPr>
          <w:rFonts w:ascii="Arial" w:eastAsia="SimSun" w:hAnsi="Arial" w:cs="Arial"/>
          <w:bCs/>
          <w:snapToGrid w:val="0"/>
          <w:lang w:val="en-US"/>
        </w:rPr>
        <w:t xml:space="preserve"> and </w:t>
      </w:r>
      <w:r w:rsidRPr="00A40455">
        <w:rPr>
          <w:rFonts w:ascii="Arial" w:eastAsia="SimSun" w:hAnsi="Arial" w:cs="Arial"/>
          <w:bCs/>
          <w:snapToGrid w:val="0"/>
          <w:color w:val="0000FF"/>
          <w:lang w:val="en-US"/>
        </w:rPr>
        <w:t>#TsunamiReady</w:t>
      </w:r>
      <w:r w:rsidRPr="00A40455">
        <w:rPr>
          <w:rFonts w:ascii="Arial" w:eastAsia="SimSun" w:hAnsi="Arial" w:cs="Arial"/>
          <w:bCs/>
          <w:snapToGrid w:val="0"/>
          <w:lang w:val="en-US"/>
        </w:rPr>
        <w:t xml:space="preserve"> hashtags to engage citizens on tsunami awareness;</w:t>
      </w:r>
    </w:p>
    <w:p w14:paraId="137D2A9E"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bCs/>
          <w:lang w:val="en-GB"/>
        </w:rPr>
        <w:t xml:space="preserve">The Group </w:t>
      </w:r>
      <w:r w:rsidRPr="00A40455">
        <w:rPr>
          <w:rFonts w:ascii="Arial" w:eastAsia="Arial" w:hAnsi="Arial" w:cs="Arial"/>
          <w:b/>
          <w:bCs/>
          <w:snapToGrid w:val="0"/>
          <w:lang w:val="en-GB"/>
        </w:rPr>
        <w:t>appreciated</w:t>
      </w:r>
      <w:r w:rsidRPr="00A40455">
        <w:rPr>
          <w:rFonts w:ascii="Arial" w:eastAsia="Arial" w:hAnsi="Arial" w:cs="Arial"/>
          <w:snapToGrid w:val="0"/>
          <w:lang w:val="en-GB"/>
        </w:rPr>
        <w:t xml:space="preserve"> the development of Inclusive SOP and Inclusive Warning Tools for disabled children in Indonesia and the Caribbean, r</w:t>
      </w:r>
      <w:r w:rsidRPr="00A40455">
        <w:rPr>
          <w:rFonts w:ascii="Arial" w:eastAsia="Arial" w:hAnsi="Arial" w:cs="Arial"/>
          <w:b/>
          <w:bCs/>
          <w:snapToGrid w:val="0"/>
          <w:lang w:val="en-GB"/>
        </w:rPr>
        <w:t>ecommended</w:t>
      </w:r>
      <w:r w:rsidRPr="00A40455">
        <w:rPr>
          <w:rFonts w:ascii="Arial" w:eastAsia="Arial" w:hAnsi="Arial" w:cs="Arial"/>
          <w:snapToGrid w:val="0"/>
          <w:lang w:val="en-GB"/>
        </w:rPr>
        <w:t xml:space="preserve"> the Indonesian inclusive SOPs to be translated to English and </w:t>
      </w:r>
      <w:r w:rsidRPr="00A40455">
        <w:rPr>
          <w:rFonts w:ascii="Arial" w:eastAsia="Arial" w:hAnsi="Arial" w:cs="Arial"/>
          <w:b/>
          <w:bCs/>
          <w:snapToGrid w:val="0"/>
          <w:lang w:val="en-GB"/>
        </w:rPr>
        <w:t xml:space="preserve">encouraged </w:t>
      </w:r>
      <w:r w:rsidRPr="00A40455">
        <w:rPr>
          <w:rFonts w:ascii="Arial" w:eastAsia="Arial" w:hAnsi="Arial" w:cs="Arial"/>
          <w:snapToGrid w:val="0"/>
          <w:lang w:val="en-GB"/>
        </w:rPr>
        <w:t>further development of inclusive SOP as official guidelines of UNESCO IOC.</w:t>
      </w:r>
    </w:p>
    <w:p w14:paraId="43D89F94" w14:textId="77777777" w:rsidR="00A40455" w:rsidRPr="00A40455" w:rsidRDefault="00A40455" w:rsidP="00A40455">
      <w:pPr>
        <w:spacing w:after="240"/>
        <w:jc w:val="both"/>
        <w:rPr>
          <w:rFonts w:ascii="Arial" w:eastAsia="DengXian" w:hAnsi="Arial" w:cs="Arial"/>
          <w:lang w:val="en-US"/>
        </w:rPr>
      </w:pPr>
      <w:r w:rsidRPr="00A40455">
        <w:rPr>
          <w:rFonts w:ascii="Arial" w:eastAsia="Arial" w:hAnsi="Arial" w:cs="Arial"/>
          <w:b/>
          <w:bCs/>
          <w:lang w:val="en-GB"/>
        </w:rPr>
        <w:t>The group noted</w:t>
      </w:r>
      <w:r w:rsidRPr="00A40455">
        <w:rPr>
          <w:rFonts w:ascii="Arial" w:eastAsia="Arial" w:hAnsi="Arial" w:cs="Arial"/>
          <w:lang w:val="en-GB"/>
        </w:rPr>
        <w:t xml:space="preserve"> the revisions on the T</w:t>
      </w:r>
      <w:r w:rsidRPr="00A40455">
        <w:rPr>
          <w:rFonts w:ascii="Arial" w:eastAsia="Arial" w:hAnsi="Arial" w:cs="Arial"/>
          <w:i/>
          <w:iCs/>
          <w:lang w:val="en-GB"/>
        </w:rPr>
        <w:t>sunami Watch Operations. Global Service Definition Document</w:t>
      </w:r>
      <w:r w:rsidRPr="00A40455">
        <w:rPr>
          <w:rFonts w:ascii="Arial" w:eastAsia="Arial" w:hAnsi="Arial" w:cs="Arial"/>
          <w:lang w:val="en-GB"/>
        </w:rPr>
        <w:t xml:space="preserve">. </w:t>
      </w:r>
      <w:r>
        <w:fldChar w:fldCharType="begin"/>
      </w:r>
      <w:r w:rsidRPr="00653C53">
        <w:rPr>
          <w:lang w:val="en-US"/>
        </w:rPr>
        <w:instrText>HYPERLINK "https://unesdoc.unesco.org/ark:/48223/pf0000246931.locale=en"</w:instrText>
      </w:r>
      <w:r>
        <w:fldChar w:fldCharType="separate"/>
      </w:r>
      <w:r w:rsidRPr="00A40455">
        <w:rPr>
          <w:rFonts w:ascii="Arial" w:eastAsia="Arial" w:hAnsi="Arial" w:cs="Arial"/>
          <w:color w:val="0000FF"/>
          <w:u w:val="single"/>
          <w:lang w:val="en-GB"/>
        </w:rPr>
        <w:t>IOC Technical Series No. 130</w:t>
      </w:r>
      <w:r>
        <w:fldChar w:fldCharType="end"/>
      </w:r>
      <w:r w:rsidRPr="00A40455">
        <w:rPr>
          <w:rFonts w:ascii="Arial" w:eastAsia="Arial" w:hAnsi="Arial" w:cs="Arial"/>
          <w:lang w:val="en-GB"/>
        </w:rPr>
        <w:t>. Paris: UNESCO. (English) and endorsed the publication of a revised version of the IOC Technical Series No 130, with the updates suggested by the TT-</w:t>
      </w:r>
      <w:proofErr w:type="gramStart"/>
      <w:r w:rsidRPr="00A40455">
        <w:rPr>
          <w:rFonts w:ascii="Arial" w:eastAsia="Arial" w:hAnsi="Arial" w:cs="Arial"/>
          <w:lang w:val="en-GB"/>
        </w:rPr>
        <w:t>TWO;</w:t>
      </w:r>
      <w:proofErr w:type="gramEnd"/>
    </w:p>
    <w:p w14:paraId="686EC2BC" w14:textId="77777777" w:rsidR="00A40455" w:rsidRPr="00F3061B" w:rsidRDefault="00A40455" w:rsidP="00A40455">
      <w:pPr>
        <w:tabs>
          <w:tab w:val="left" w:pos="709"/>
        </w:tabs>
        <w:snapToGrid w:val="0"/>
        <w:spacing w:after="240" w:line="240" w:lineRule="auto"/>
        <w:jc w:val="both"/>
        <w:rPr>
          <w:rFonts w:ascii="Arial" w:eastAsia="SimSun" w:hAnsi="Arial" w:cs="Arial"/>
          <w:snapToGrid w:val="0"/>
          <w:lang w:val="en-GB"/>
        </w:rPr>
      </w:pPr>
      <w:r w:rsidRPr="00A40455">
        <w:rPr>
          <w:rFonts w:ascii="Arial" w:eastAsia="SimSun" w:hAnsi="Arial" w:cs="Arial"/>
          <w:b/>
          <w:bCs/>
          <w:snapToGrid w:val="0"/>
          <w:lang w:val="en-GB"/>
        </w:rPr>
        <w:t>The group expressed its strong appreciation</w:t>
      </w:r>
      <w:r w:rsidRPr="00A40455">
        <w:rPr>
          <w:rFonts w:ascii="Arial" w:eastAsia="SimSun" w:hAnsi="Arial" w:cs="Arial"/>
          <w:snapToGrid w:val="0"/>
          <w:lang w:val="en-GB"/>
        </w:rPr>
        <w:t xml:space="preserve"> to the Government of Indonesia for having successfully co-hosted and organised the 2nd UNESCO-IOC Global Tsunami Symposium on </w:t>
      </w:r>
      <w:r w:rsidRPr="00F3061B">
        <w:rPr>
          <w:rFonts w:ascii="Arial" w:eastAsia="SimSun" w:hAnsi="Arial" w:cs="Arial"/>
          <w:snapToGrid w:val="0"/>
          <w:lang w:val="en-GB"/>
        </w:rPr>
        <w:t xml:space="preserve">Two Decades After 2004 Indian Ocean Tsunami: Reflection and Way Forward, Banda Aceh, 11–14 November </w:t>
      </w:r>
      <w:proofErr w:type="gramStart"/>
      <w:r w:rsidRPr="00F3061B">
        <w:rPr>
          <w:rFonts w:ascii="Arial" w:eastAsia="SimSun" w:hAnsi="Arial" w:cs="Arial"/>
          <w:snapToGrid w:val="0"/>
          <w:lang w:val="en-GB"/>
        </w:rPr>
        <w:t>2024;</w:t>
      </w:r>
      <w:proofErr w:type="gramEnd"/>
    </w:p>
    <w:p w14:paraId="4D73B722" w14:textId="3720C8AA" w:rsidR="00A40455" w:rsidRPr="00F3061B" w:rsidRDefault="00A40455" w:rsidP="00A40455">
      <w:pPr>
        <w:tabs>
          <w:tab w:val="left" w:pos="709"/>
        </w:tabs>
        <w:snapToGrid w:val="0"/>
        <w:spacing w:after="240" w:line="240" w:lineRule="auto"/>
        <w:jc w:val="both"/>
        <w:rPr>
          <w:rFonts w:ascii="Arial" w:eastAsia="Arial" w:hAnsi="Arial" w:cs="Arial"/>
          <w:snapToGrid w:val="0"/>
          <w:lang w:val="en-GB"/>
        </w:rPr>
      </w:pPr>
      <w:r w:rsidRPr="00F3061B">
        <w:rPr>
          <w:rFonts w:ascii="Arial" w:eastAsia="Arial" w:hAnsi="Arial" w:cs="Arial"/>
          <w:b/>
          <w:bCs/>
          <w:snapToGrid w:val="0"/>
          <w:lang w:val="en-GB"/>
        </w:rPr>
        <w:t>The Group recognized</w:t>
      </w:r>
      <w:r w:rsidRPr="00F3061B">
        <w:rPr>
          <w:rFonts w:ascii="Arial" w:eastAsia="Arial" w:hAnsi="Arial" w:cs="Arial"/>
          <w:snapToGrid w:val="0"/>
          <w:lang w:val="en-GB"/>
        </w:rPr>
        <w:t xml:space="preserve"> that the advancement of</w:t>
      </w:r>
      <w:r w:rsidR="00971C41" w:rsidRPr="00F3061B">
        <w:rPr>
          <w:rFonts w:ascii="Arial" w:eastAsia="Arial" w:hAnsi="Arial" w:cs="Arial"/>
          <w:snapToGrid w:val="0"/>
          <w:lang w:val="en-GB"/>
        </w:rPr>
        <w:t xml:space="preserve"> Common Alerting Protocols</w:t>
      </w:r>
      <w:r w:rsidRPr="00F3061B">
        <w:rPr>
          <w:rFonts w:ascii="Arial" w:eastAsia="Arial" w:hAnsi="Arial" w:cs="Arial"/>
          <w:snapToGrid w:val="0"/>
          <w:lang w:val="en-GB"/>
        </w:rPr>
        <w:t xml:space="preserve"> </w:t>
      </w:r>
      <w:r w:rsidR="00971C41" w:rsidRPr="00F3061B">
        <w:rPr>
          <w:rFonts w:ascii="Arial" w:eastAsia="Arial" w:hAnsi="Arial" w:cs="Arial"/>
          <w:snapToGrid w:val="0"/>
          <w:lang w:val="en-GB"/>
        </w:rPr>
        <w:t>(</w:t>
      </w:r>
      <w:r w:rsidRPr="00F3061B">
        <w:rPr>
          <w:rFonts w:ascii="Arial" w:eastAsia="Arial" w:hAnsi="Arial" w:cs="Arial"/>
          <w:snapToGrid w:val="0"/>
          <w:lang w:val="en-GB"/>
        </w:rPr>
        <w:t>CAP</w:t>
      </w:r>
      <w:r w:rsidR="00971C41" w:rsidRPr="00F3061B">
        <w:rPr>
          <w:rFonts w:ascii="Arial" w:eastAsia="Arial" w:hAnsi="Arial" w:cs="Arial"/>
          <w:snapToGrid w:val="0"/>
          <w:lang w:val="en-GB"/>
        </w:rPr>
        <w:t>)</w:t>
      </w:r>
      <w:r w:rsidRPr="00F3061B">
        <w:rPr>
          <w:rFonts w:ascii="Arial" w:eastAsia="Arial" w:hAnsi="Arial" w:cs="Arial"/>
          <w:snapToGrid w:val="0"/>
          <w:lang w:val="en-GB"/>
        </w:rPr>
        <w:t xml:space="preserve"> implementation globally represents a significant milestone in the Early Warnings for All (EW4All) initiative, and the fact that CAP can be considered as the bridge connecting “observations, monitoring, analysis and forecasting” to “warning dissemination and communication”, and that WMO is able to provide any assistance that may be required in this regard;</w:t>
      </w:r>
    </w:p>
    <w:p w14:paraId="6B456C97" w14:textId="0CF22380"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F3061B">
        <w:rPr>
          <w:rFonts w:ascii="Arial" w:eastAsia="Arial" w:hAnsi="Arial" w:cs="Arial"/>
          <w:b/>
          <w:bCs/>
          <w:snapToGrid w:val="0"/>
          <w:lang w:val="en-GB"/>
        </w:rPr>
        <w:t>The Group instructed</w:t>
      </w:r>
      <w:r w:rsidRPr="00F3061B">
        <w:rPr>
          <w:rFonts w:ascii="Arial" w:eastAsia="Arial" w:hAnsi="Arial" w:cs="Arial"/>
          <w:snapToGrid w:val="0"/>
          <w:lang w:val="en-GB"/>
        </w:rPr>
        <w:t xml:space="preserve"> the TT-DMP to:</w:t>
      </w:r>
    </w:p>
    <w:p w14:paraId="6163C381" w14:textId="77777777" w:rsidR="00A40455" w:rsidRPr="00A40455" w:rsidRDefault="00A40455" w:rsidP="00A40455">
      <w:pPr>
        <w:numPr>
          <w:ilvl w:val="0"/>
          <w:numId w:val="24"/>
        </w:numPr>
        <w:tabs>
          <w:tab w:val="left" w:pos="709"/>
        </w:tabs>
        <w:snapToGrid w:val="0"/>
        <w:spacing w:after="240" w:line="240" w:lineRule="auto"/>
        <w:jc w:val="both"/>
        <w:rPr>
          <w:rFonts w:ascii="Arial" w:eastAsia="Arial" w:hAnsi="Arial" w:cs="Arial"/>
          <w:snapToGrid w:val="0"/>
          <w:lang w:val="en-GB"/>
        </w:rPr>
      </w:pPr>
      <w:r w:rsidRPr="00A40455">
        <w:rPr>
          <w:rFonts w:ascii="Arial" w:eastAsia="Times New Roman" w:hAnsi="Arial" w:cs="Arial"/>
          <w:lang w:val="en-US"/>
        </w:rPr>
        <w:t xml:space="preserve">Prepare a guideline for inclusive Standard Operating Procedures (SOP) building on the development of inclusive SOP and inclusive warning tools for disabled children in Indonesia and the </w:t>
      </w:r>
      <w:proofErr w:type="gramStart"/>
      <w:r w:rsidRPr="00A40455">
        <w:rPr>
          <w:rFonts w:ascii="Arial" w:eastAsia="Times New Roman" w:hAnsi="Arial" w:cs="Arial"/>
          <w:lang w:val="en-US"/>
        </w:rPr>
        <w:t>Caribbean;</w:t>
      </w:r>
      <w:proofErr w:type="gramEnd"/>
      <w:r w:rsidRPr="00A40455">
        <w:rPr>
          <w:rFonts w:ascii="Arial" w:eastAsia="Arial" w:hAnsi="Arial" w:cs="Arial"/>
          <w:snapToGrid w:val="0"/>
          <w:lang w:val="en-GB"/>
        </w:rPr>
        <w:t xml:space="preserve"> </w:t>
      </w:r>
    </w:p>
    <w:p w14:paraId="5CDCE3AD" w14:textId="404892FB"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bCs/>
          <w:snapToGrid w:val="0"/>
          <w:lang w:val="en-GB"/>
        </w:rPr>
        <w:t>The Group instructed</w:t>
      </w:r>
      <w:r w:rsidRPr="00A40455">
        <w:rPr>
          <w:rFonts w:ascii="Arial" w:eastAsia="Arial" w:hAnsi="Arial" w:cs="Arial"/>
          <w:snapToGrid w:val="0"/>
          <w:lang w:val="en-GB"/>
        </w:rPr>
        <w:t xml:space="preserve"> the TT-TWO to:</w:t>
      </w:r>
    </w:p>
    <w:p w14:paraId="21174389" w14:textId="77777777" w:rsidR="00A40455" w:rsidRPr="00A40455" w:rsidRDefault="00A40455" w:rsidP="00A40455">
      <w:pPr>
        <w:numPr>
          <w:ilvl w:val="0"/>
          <w:numId w:val="25"/>
        </w:numPr>
        <w:tabs>
          <w:tab w:val="left" w:pos="709"/>
        </w:tabs>
        <w:snapToGrid w:val="0"/>
        <w:spacing w:after="240" w:line="240" w:lineRule="auto"/>
        <w:contextualSpacing/>
        <w:jc w:val="both"/>
        <w:rPr>
          <w:rFonts w:ascii="Arial" w:eastAsia="Arial" w:hAnsi="Arial" w:cs="Arial"/>
          <w:bCs/>
          <w:snapToGrid w:val="0"/>
          <w:lang w:val="en-IN"/>
        </w:rPr>
      </w:pPr>
      <w:r w:rsidRPr="00A40455">
        <w:rPr>
          <w:rFonts w:ascii="Arial" w:eastAsia="Arial" w:hAnsi="Arial" w:cs="Arial"/>
          <w:snapToGrid w:val="0"/>
          <w:lang w:val="en-GB"/>
        </w:rPr>
        <w:t xml:space="preserve">include tsunamis generated by the submarine and subaerial landslides in its work programme and engage with the landslide hazard and early-warning scientific and operational community to address the requirements of the first objective of the ODTP to develop the warning systems’ capability to issue actionable and timely tsunami warnings for tsunamis from all identified sources to 100 percent of coasts at </w:t>
      </w:r>
      <w:proofErr w:type="gramStart"/>
      <w:r w:rsidRPr="00A40455">
        <w:rPr>
          <w:rFonts w:ascii="Arial" w:eastAsia="Arial" w:hAnsi="Arial" w:cs="Arial"/>
          <w:snapToGrid w:val="0"/>
          <w:lang w:val="en-GB"/>
        </w:rPr>
        <w:t>risk;</w:t>
      </w:r>
      <w:proofErr w:type="gramEnd"/>
    </w:p>
    <w:p w14:paraId="3D235FDB" w14:textId="77777777" w:rsidR="00A40455" w:rsidRPr="00A40455" w:rsidRDefault="00A40455" w:rsidP="00A40455">
      <w:pPr>
        <w:ind w:left="720"/>
        <w:contextualSpacing/>
        <w:rPr>
          <w:rFonts w:ascii="Arial" w:eastAsia="Arial" w:hAnsi="Arial" w:cs="Arial"/>
          <w:bCs/>
          <w:snapToGrid w:val="0"/>
          <w:lang w:val="en-IN"/>
        </w:rPr>
      </w:pPr>
    </w:p>
    <w:p w14:paraId="08331459" w14:textId="77777777" w:rsidR="00A40455" w:rsidRPr="00A40455" w:rsidRDefault="00A40455" w:rsidP="00A40455">
      <w:pPr>
        <w:numPr>
          <w:ilvl w:val="0"/>
          <w:numId w:val="25"/>
        </w:numPr>
        <w:tabs>
          <w:tab w:val="left" w:pos="709"/>
        </w:tabs>
        <w:snapToGrid w:val="0"/>
        <w:spacing w:after="240" w:line="240" w:lineRule="auto"/>
        <w:contextualSpacing/>
        <w:jc w:val="both"/>
        <w:rPr>
          <w:rFonts w:ascii="Arial" w:eastAsia="Arial" w:hAnsi="Arial" w:cs="Arial"/>
          <w:bCs/>
          <w:snapToGrid w:val="0"/>
          <w:lang w:val="en-IN"/>
        </w:rPr>
      </w:pPr>
      <w:r w:rsidRPr="00A40455">
        <w:rPr>
          <w:rFonts w:ascii="Arial" w:eastAsia="Arial" w:hAnsi="Arial" w:cs="Arial"/>
          <w:bCs/>
          <w:snapToGrid w:val="0"/>
          <w:lang w:val="en-IN"/>
        </w:rPr>
        <w:t xml:space="preserve">develop in collaboration with the WMO a global CAP template for TSPs to facilitate dissemination of bulletins from TSPs to NTWCs, between TSPs of different basins, and for public TSP bulletins, to be presented and approved by the TOWS-WG at its next </w:t>
      </w:r>
      <w:proofErr w:type="gramStart"/>
      <w:r w:rsidRPr="00A40455">
        <w:rPr>
          <w:rFonts w:ascii="Arial" w:eastAsia="Arial" w:hAnsi="Arial" w:cs="Arial"/>
          <w:bCs/>
          <w:snapToGrid w:val="0"/>
          <w:lang w:val="en-IN"/>
        </w:rPr>
        <w:t>session;</w:t>
      </w:r>
      <w:proofErr w:type="gramEnd"/>
      <w:r w:rsidRPr="00A40455">
        <w:rPr>
          <w:rFonts w:ascii="Arial" w:eastAsia="Arial" w:hAnsi="Arial" w:cs="Arial"/>
          <w:bCs/>
          <w:snapToGrid w:val="0"/>
          <w:lang w:val="en-IN"/>
        </w:rPr>
        <w:t xml:space="preserve"> </w:t>
      </w:r>
    </w:p>
    <w:p w14:paraId="7B242F24" w14:textId="77777777" w:rsidR="00E07516" w:rsidRDefault="00E07516" w:rsidP="00A40455">
      <w:pPr>
        <w:tabs>
          <w:tab w:val="left" w:pos="709"/>
        </w:tabs>
        <w:snapToGrid w:val="0"/>
        <w:spacing w:after="240" w:line="240" w:lineRule="auto"/>
        <w:jc w:val="both"/>
        <w:rPr>
          <w:rFonts w:ascii="Arial" w:eastAsia="Arial" w:hAnsi="Arial" w:cs="Arial"/>
          <w:b/>
          <w:snapToGrid w:val="0"/>
          <w:lang w:val="en-GB"/>
        </w:rPr>
      </w:pPr>
      <w:bookmarkStart w:id="4" w:name="_Hlk128689899"/>
    </w:p>
    <w:p w14:paraId="5D721489" w14:textId="437592D4" w:rsidR="00A40455" w:rsidRPr="00A40455" w:rsidRDefault="00A40455" w:rsidP="00A40455">
      <w:pPr>
        <w:tabs>
          <w:tab w:val="left" w:pos="709"/>
        </w:tabs>
        <w:snapToGrid w:val="0"/>
        <w:spacing w:before="240" w:after="240" w:line="240" w:lineRule="auto"/>
        <w:jc w:val="both"/>
        <w:rPr>
          <w:rFonts w:ascii="Arial" w:eastAsia="SimSun" w:hAnsi="Arial" w:cs="Arial"/>
          <w:snapToGrid w:val="0"/>
          <w:lang w:val="en-GB"/>
        </w:rPr>
      </w:pPr>
      <w:r w:rsidRPr="00A40455">
        <w:rPr>
          <w:rFonts w:ascii="Arial" w:eastAsia="Arial" w:hAnsi="Arial" w:cs="Arial"/>
          <w:b/>
          <w:snapToGrid w:val="0"/>
          <w:lang w:val="en-GB"/>
        </w:rPr>
        <w:t>The Group recommended</w:t>
      </w:r>
      <w:r w:rsidRPr="00A40455">
        <w:rPr>
          <w:rFonts w:ascii="Arial" w:eastAsia="Arial" w:hAnsi="Arial" w:cs="Arial"/>
          <w:snapToGrid w:val="0"/>
          <w:lang w:val="en-GB"/>
        </w:rPr>
        <w:t xml:space="preserve"> the IOC Assembly at its 33</w:t>
      </w:r>
      <w:r w:rsidRPr="00A40455">
        <w:rPr>
          <w:rFonts w:ascii="Arial" w:eastAsia="Arial" w:hAnsi="Arial" w:cs="Arial"/>
          <w:snapToGrid w:val="0"/>
          <w:vertAlign w:val="superscript"/>
          <w:lang w:val="en-GB"/>
        </w:rPr>
        <w:t>rd</w:t>
      </w:r>
      <w:r w:rsidRPr="00A40455">
        <w:rPr>
          <w:rFonts w:ascii="Arial" w:eastAsia="Arial" w:hAnsi="Arial" w:cs="Arial"/>
          <w:snapToGrid w:val="0"/>
          <w:lang w:val="en-GB"/>
        </w:rPr>
        <w:t xml:space="preserve"> Session in 2025 to </w:t>
      </w:r>
      <w:r w:rsidRPr="00A40455">
        <w:rPr>
          <w:rFonts w:ascii="Arial" w:eastAsia="SimSun" w:hAnsi="Arial" w:cs="Arial"/>
          <w:b/>
          <w:bCs/>
          <w:snapToGrid w:val="0"/>
          <w:lang w:val="en-GB"/>
        </w:rPr>
        <w:t xml:space="preserve">approve </w:t>
      </w:r>
      <w:r w:rsidRPr="00A40455">
        <w:rPr>
          <w:rFonts w:ascii="Arial" w:eastAsia="SimSun" w:hAnsi="Arial" w:cs="Arial"/>
          <w:snapToGrid w:val="0"/>
          <w:lang w:val="en-GB"/>
        </w:rPr>
        <w:t xml:space="preserve">the Tsunami Ready Coalition Implementation Plan as reviewed by the ODTP-SC and the </w:t>
      </w:r>
      <w:r w:rsidR="00F3061B">
        <w:rPr>
          <w:rFonts w:ascii="Arial" w:eastAsia="SimSun" w:hAnsi="Arial" w:cs="Arial"/>
          <w:snapToGrid w:val="0"/>
          <w:lang w:val="en-GB"/>
        </w:rPr>
        <w:t>TT-DMP</w:t>
      </w:r>
      <w:r w:rsidRPr="00A40455">
        <w:rPr>
          <w:rFonts w:ascii="Arial" w:eastAsia="SimSun" w:hAnsi="Arial" w:cs="Arial"/>
          <w:snapToGrid w:val="0"/>
          <w:lang w:val="en-GB"/>
        </w:rPr>
        <w:t xml:space="preserve"> and </w:t>
      </w:r>
      <w:r w:rsidR="00F3061B">
        <w:rPr>
          <w:rFonts w:ascii="Arial" w:eastAsia="SimSun" w:hAnsi="Arial" w:cs="Arial"/>
          <w:snapToGrid w:val="0"/>
          <w:lang w:val="en-GB"/>
        </w:rPr>
        <w:t>TT-TWO</w:t>
      </w:r>
      <w:r w:rsidRPr="00A40455">
        <w:rPr>
          <w:rFonts w:ascii="Arial" w:eastAsia="SimSun" w:hAnsi="Arial" w:cs="Arial"/>
          <w:snapToGrid w:val="0"/>
          <w:lang w:val="en-GB"/>
        </w:rPr>
        <w:t xml:space="preserve"> including:</w:t>
      </w:r>
    </w:p>
    <w:p w14:paraId="7C8AA528" w14:textId="77777777" w:rsidR="00A40455" w:rsidRPr="00A40455" w:rsidRDefault="00A40455" w:rsidP="00A40455">
      <w:pPr>
        <w:numPr>
          <w:ilvl w:val="0"/>
          <w:numId w:val="29"/>
        </w:numPr>
        <w:tabs>
          <w:tab w:val="left" w:pos="709"/>
        </w:tabs>
        <w:snapToGrid w:val="0"/>
        <w:spacing w:before="240" w:after="240" w:line="240" w:lineRule="auto"/>
        <w:contextualSpacing/>
        <w:jc w:val="both"/>
        <w:rPr>
          <w:rFonts w:ascii="Arial" w:eastAsia="SimSun" w:hAnsi="Arial" w:cs="Arial"/>
          <w:snapToGrid w:val="0"/>
          <w:lang w:val="en-GB"/>
        </w:rPr>
      </w:pPr>
      <w:r w:rsidRPr="00A40455">
        <w:rPr>
          <w:rFonts w:ascii="Arial" w:eastAsia="SimSun" w:hAnsi="Arial" w:cs="Arial"/>
          <w:snapToGrid w:val="0"/>
          <w:lang w:val="en-GB"/>
        </w:rPr>
        <w:t>The Coalition mandate and terms of reference,</w:t>
      </w:r>
    </w:p>
    <w:p w14:paraId="6DEEE41E" w14:textId="77777777" w:rsidR="00A40455" w:rsidRPr="00A40455" w:rsidRDefault="00A40455" w:rsidP="00A40455">
      <w:pPr>
        <w:numPr>
          <w:ilvl w:val="0"/>
          <w:numId w:val="29"/>
        </w:numPr>
        <w:tabs>
          <w:tab w:val="left" w:pos="709"/>
        </w:tabs>
        <w:snapToGrid w:val="0"/>
        <w:spacing w:before="240" w:after="240" w:line="240" w:lineRule="auto"/>
        <w:contextualSpacing/>
        <w:jc w:val="both"/>
        <w:rPr>
          <w:rFonts w:ascii="Arial" w:eastAsia="SimSun" w:hAnsi="Arial" w:cs="Arial"/>
          <w:snapToGrid w:val="0"/>
          <w:lang w:val="en-GB"/>
        </w:rPr>
      </w:pPr>
      <w:r w:rsidRPr="00A40455">
        <w:rPr>
          <w:rFonts w:ascii="Arial" w:eastAsia="SimSun" w:hAnsi="Arial" w:cs="Arial"/>
          <w:snapToGrid w:val="0"/>
          <w:lang w:val="en-GB"/>
        </w:rPr>
        <w:t>The Coalition structure, and</w:t>
      </w:r>
    </w:p>
    <w:p w14:paraId="00B24505" w14:textId="77777777" w:rsidR="00A40455" w:rsidRPr="00A40455" w:rsidRDefault="00A40455" w:rsidP="00A40455">
      <w:pPr>
        <w:numPr>
          <w:ilvl w:val="0"/>
          <w:numId w:val="29"/>
        </w:numPr>
        <w:tabs>
          <w:tab w:val="left" w:pos="709"/>
        </w:tabs>
        <w:snapToGrid w:val="0"/>
        <w:spacing w:before="240" w:after="240" w:line="240" w:lineRule="auto"/>
        <w:ind w:left="714" w:hanging="357"/>
        <w:contextualSpacing/>
        <w:jc w:val="both"/>
        <w:rPr>
          <w:rFonts w:ascii="Arial" w:eastAsia="SimSun" w:hAnsi="Arial" w:cs="Arial"/>
          <w:snapToGrid w:val="0"/>
          <w:lang w:val="en-GB"/>
        </w:rPr>
      </w:pPr>
      <w:r w:rsidRPr="00A40455">
        <w:rPr>
          <w:rFonts w:ascii="Arial" w:eastAsia="SimSun" w:hAnsi="Arial" w:cs="Arial"/>
          <w:snapToGrid w:val="0"/>
          <w:lang w:val="en-GB"/>
        </w:rPr>
        <w:t>The identified key Coalition Partners.</w:t>
      </w:r>
    </w:p>
    <w:p w14:paraId="520E7681" w14:textId="77777777" w:rsidR="00A40455" w:rsidRPr="00A40455" w:rsidRDefault="00A40455" w:rsidP="00A40455">
      <w:pPr>
        <w:tabs>
          <w:tab w:val="left" w:pos="709"/>
        </w:tabs>
        <w:snapToGrid w:val="0"/>
        <w:spacing w:before="240" w:after="240" w:line="240" w:lineRule="auto"/>
        <w:jc w:val="both"/>
        <w:rPr>
          <w:rFonts w:ascii="Arial" w:eastAsia="Arial" w:hAnsi="Arial" w:cs="Arial"/>
          <w:b/>
          <w:snapToGrid w:val="0"/>
          <w:lang w:val="en-GB"/>
        </w:rPr>
      </w:pPr>
    </w:p>
    <w:p w14:paraId="0FE51AB8" w14:textId="77777777" w:rsidR="00A40455" w:rsidRPr="00A40455" w:rsidRDefault="00A40455" w:rsidP="00A40455">
      <w:pPr>
        <w:tabs>
          <w:tab w:val="left" w:pos="709"/>
        </w:tabs>
        <w:snapToGrid w:val="0"/>
        <w:spacing w:before="240" w:after="240" w:line="240" w:lineRule="auto"/>
        <w:jc w:val="both"/>
        <w:rPr>
          <w:rFonts w:ascii="Arial" w:eastAsia="Arial" w:hAnsi="Arial" w:cs="Arial"/>
          <w:snapToGrid w:val="0"/>
          <w:lang w:val="en-GB"/>
        </w:rPr>
      </w:pPr>
      <w:r w:rsidRPr="00A40455">
        <w:rPr>
          <w:rFonts w:ascii="Arial" w:eastAsia="Arial" w:hAnsi="Arial" w:cs="Arial"/>
          <w:b/>
          <w:snapToGrid w:val="0"/>
          <w:lang w:val="en-GB"/>
        </w:rPr>
        <w:lastRenderedPageBreak/>
        <w:t>The Group recommended</w:t>
      </w:r>
      <w:r w:rsidRPr="00A40455">
        <w:rPr>
          <w:rFonts w:ascii="Arial" w:eastAsia="Arial" w:hAnsi="Arial" w:cs="Arial"/>
          <w:snapToGrid w:val="0"/>
          <w:lang w:val="en-GB"/>
        </w:rPr>
        <w:t xml:space="preserve"> the IOC Assembly at its 33</w:t>
      </w:r>
      <w:r w:rsidRPr="00A40455">
        <w:rPr>
          <w:rFonts w:ascii="Arial" w:eastAsia="Arial" w:hAnsi="Arial" w:cs="Arial"/>
          <w:snapToGrid w:val="0"/>
          <w:vertAlign w:val="superscript"/>
          <w:lang w:val="en-GB"/>
        </w:rPr>
        <w:t>rd</w:t>
      </w:r>
      <w:r w:rsidRPr="00A40455">
        <w:rPr>
          <w:rFonts w:ascii="Arial" w:eastAsia="Arial" w:hAnsi="Arial" w:cs="Arial"/>
          <w:snapToGrid w:val="0"/>
          <w:lang w:val="en-GB"/>
        </w:rPr>
        <w:t xml:space="preserve"> session in 2025 instruct the regional ICGs:</w:t>
      </w:r>
    </w:p>
    <w:bookmarkEnd w:id="4"/>
    <w:p w14:paraId="787F8FF7"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Establishing arrangements among Tsunami Service Providers (TSP) within each ICG to ensure that service provision is </w:t>
      </w:r>
      <w:proofErr w:type="gramStart"/>
      <w:r w:rsidRPr="00A40455">
        <w:rPr>
          <w:rFonts w:ascii="Arial" w:eastAsia="SimSun" w:hAnsi="Arial" w:cs="Arial"/>
          <w:snapToGrid w:val="0"/>
          <w:lang w:val="en-GB"/>
        </w:rPr>
        <w:t>ensured at all times</w:t>
      </w:r>
      <w:proofErr w:type="gramEnd"/>
      <w:r w:rsidRPr="00A40455">
        <w:rPr>
          <w:rFonts w:ascii="Arial" w:eastAsia="SimSun" w:hAnsi="Arial" w:cs="Arial"/>
          <w:snapToGrid w:val="0"/>
          <w:lang w:val="en-GB"/>
        </w:rPr>
        <w:t xml:space="preserve"> for the full Area of Service of the </w:t>
      </w:r>
      <w:proofErr w:type="gramStart"/>
      <w:r w:rsidRPr="00A40455">
        <w:rPr>
          <w:rFonts w:ascii="Arial" w:eastAsia="SimSun" w:hAnsi="Arial" w:cs="Arial"/>
          <w:snapToGrid w:val="0"/>
          <w:lang w:val="en-GB"/>
        </w:rPr>
        <w:t>ICG;</w:t>
      </w:r>
      <w:proofErr w:type="gramEnd"/>
    </w:p>
    <w:p w14:paraId="50C2FA4E"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to develop SOPs for volcanoes with a tsunamigenic potential within their Earthquake Source Zone (ESZ</w:t>
      </w:r>
      <w:proofErr w:type="gramStart"/>
      <w:r w:rsidRPr="00A40455">
        <w:rPr>
          <w:rFonts w:ascii="Arial" w:eastAsia="SimSun" w:hAnsi="Arial" w:cs="Arial"/>
          <w:snapToGrid w:val="0"/>
          <w:lang w:val="en-GB"/>
        </w:rPr>
        <w:t>);</w:t>
      </w:r>
      <w:proofErr w:type="gramEnd"/>
      <w:r w:rsidRPr="00A40455">
        <w:rPr>
          <w:rFonts w:ascii="Arial" w:eastAsia="SimSun" w:hAnsi="Arial" w:cs="Arial"/>
          <w:snapToGrid w:val="0"/>
          <w:lang w:val="en-GB"/>
        </w:rPr>
        <w:t xml:space="preserve"> </w:t>
      </w:r>
    </w:p>
    <w:p w14:paraId="63095AAD"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that dissemination of the specialized TSP bulletins for the maritime community is tested in CARIBE-EWS, IOTWMS and NEAMTWS by at least one TSP either through the planned communication tests or tsunami </w:t>
      </w:r>
      <w:proofErr w:type="gramStart"/>
      <w:r w:rsidRPr="00A40455">
        <w:rPr>
          <w:rFonts w:ascii="Arial" w:eastAsia="SimSun" w:hAnsi="Arial" w:cs="Arial"/>
          <w:snapToGrid w:val="0"/>
          <w:lang w:val="en-GB"/>
        </w:rPr>
        <w:t>exercises;</w:t>
      </w:r>
      <w:proofErr w:type="gramEnd"/>
    </w:p>
    <w:p w14:paraId="78E87E9A"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that full operational implementation of TSP bulletins for the maritime community by at least one TSP in each ICG takes place in </w:t>
      </w:r>
      <w:proofErr w:type="gramStart"/>
      <w:r w:rsidRPr="00A40455">
        <w:rPr>
          <w:rFonts w:ascii="Arial" w:eastAsia="SimSun" w:hAnsi="Arial" w:cs="Arial"/>
          <w:snapToGrid w:val="0"/>
          <w:lang w:val="en-GB"/>
        </w:rPr>
        <w:t>2025;</w:t>
      </w:r>
      <w:proofErr w:type="gramEnd"/>
    </w:p>
    <w:p w14:paraId="0A4DDF65" w14:textId="77777777" w:rsidR="00A40455" w:rsidRPr="00A40455" w:rsidRDefault="00A40455" w:rsidP="00A40455">
      <w:pPr>
        <w:tabs>
          <w:tab w:val="left" w:pos="709"/>
        </w:tabs>
        <w:snapToGrid w:val="0"/>
        <w:spacing w:after="240" w:line="240" w:lineRule="auto"/>
        <w:jc w:val="both"/>
        <w:rPr>
          <w:rFonts w:ascii="Arial" w:eastAsia="Arial" w:hAnsi="Arial" w:cs="Arial"/>
          <w:snapToGrid w:val="0"/>
          <w:lang w:val="en-GB"/>
        </w:rPr>
      </w:pPr>
      <w:r w:rsidRPr="00A40455">
        <w:rPr>
          <w:rFonts w:ascii="Arial" w:eastAsia="Arial" w:hAnsi="Arial" w:cs="Arial"/>
          <w:b/>
          <w:snapToGrid w:val="0"/>
          <w:lang w:val="en-GB"/>
        </w:rPr>
        <w:t>The Group recommended</w:t>
      </w:r>
      <w:r w:rsidRPr="00A40455">
        <w:rPr>
          <w:rFonts w:ascii="Arial" w:eastAsia="Arial" w:hAnsi="Arial" w:cs="Arial"/>
          <w:snapToGrid w:val="0"/>
          <w:lang w:val="en-GB"/>
        </w:rPr>
        <w:t xml:space="preserve"> the IOC Assembly at its 33</w:t>
      </w:r>
      <w:r w:rsidRPr="00A40455">
        <w:rPr>
          <w:rFonts w:ascii="Arial" w:eastAsia="Arial" w:hAnsi="Arial" w:cs="Arial"/>
          <w:snapToGrid w:val="0"/>
          <w:vertAlign w:val="superscript"/>
          <w:lang w:val="en-GB"/>
        </w:rPr>
        <w:t>rd</w:t>
      </w:r>
      <w:r w:rsidRPr="00A40455">
        <w:rPr>
          <w:rFonts w:ascii="Arial" w:eastAsia="Arial" w:hAnsi="Arial" w:cs="Arial"/>
          <w:snapToGrid w:val="0"/>
          <w:lang w:val="en-GB"/>
        </w:rPr>
        <w:t xml:space="preserve"> session in 2025 recommend the regional ICGs:</w:t>
      </w:r>
    </w:p>
    <w:p w14:paraId="687FEC7F"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To create relationships between National Meteorological and Hydrological Services (NMHS) and TSPs/NTWCs </w:t>
      </w:r>
      <w:proofErr w:type="gramStart"/>
      <w:r w:rsidRPr="00A40455">
        <w:rPr>
          <w:rFonts w:ascii="Arial" w:eastAsia="SimSun" w:hAnsi="Arial" w:cs="Arial"/>
          <w:snapToGrid w:val="0"/>
          <w:lang w:val="en-GB"/>
        </w:rPr>
        <w:t>in order to</w:t>
      </w:r>
      <w:proofErr w:type="gramEnd"/>
      <w:r w:rsidRPr="00A40455">
        <w:rPr>
          <w:rFonts w:ascii="Arial" w:eastAsia="SimSun" w:hAnsi="Arial" w:cs="Arial"/>
          <w:snapToGrid w:val="0"/>
          <w:lang w:val="en-GB"/>
        </w:rPr>
        <w:t xml:space="preserve"> ensure that tsunami-specific instrumentation including </w:t>
      </w:r>
      <w:proofErr w:type="spellStart"/>
      <w:r w:rsidRPr="00A40455">
        <w:rPr>
          <w:rFonts w:ascii="Arial" w:eastAsia="SimSun" w:hAnsi="Arial" w:cs="Arial"/>
          <w:snapToGrid w:val="0"/>
          <w:lang w:val="en-GB"/>
        </w:rPr>
        <w:t>Tsunameters</w:t>
      </w:r>
      <w:proofErr w:type="spellEnd"/>
      <w:r w:rsidRPr="00A40455">
        <w:rPr>
          <w:rFonts w:ascii="Arial" w:eastAsia="SimSun" w:hAnsi="Arial" w:cs="Arial"/>
          <w:snapToGrid w:val="0"/>
          <w:lang w:val="en-GB"/>
        </w:rPr>
        <w:t xml:space="preserve">/DART® and ocean cable systems are correctly monitored and utilized for detection of </w:t>
      </w:r>
      <w:proofErr w:type="gramStart"/>
      <w:r w:rsidRPr="00A40455">
        <w:rPr>
          <w:rFonts w:ascii="Arial" w:eastAsia="SimSun" w:hAnsi="Arial" w:cs="Arial"/>
          <w:snapToGrid w:val="0"/>
          <w:lang w:val="en-GB"/>
        </w:rPr>
        <w:t>meteotsunami;</w:t>
      </w:r>
      <w:proofErr w:type="gramEnd"/>
    </w:p>
    <w:p w14:paraId="0EA0B6EE"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continuation of the investigation and the possibility to adopt tsunami forecasting methods, including probabilistic methodologies, toward impact-based forecasting, that could also assist post-disaster response, recovery and needs assessment </w:t>
      </w:r>
      <w:proofErr w:type="gramStart"/>
      <w:r w:rsidRPr="00A40455">
        <w:rPr>
          <w:rFonts w:ascii="Arial" w:eastAsia="SimSun" w:hAnsi="Arial" w:cs="Arial"/>
          <w:snapToGrid w:val="0"/>
          <w:lang w:val="en-GB"/>
        </w:rPr>
        <w:t>processes;</w:t>
      </w:r>
      <w:proofErr w:type="gramEnd"/>
    </w:p>
    <w:p w14:paraId="4696866D"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to prioritize regional Tsunami Ready workshops or summits in 2025 and conduct further workshops or summits before </w:t>
      </w:r>
      <w:proofErr w:type="gramStart"/>
      <w:r w:rsidRPr="00A40455">
        <w:rPr>
          <w:rFonts w:ascii="Arial" w:eastAsia="SimSun" w:hAnsi="Arial" w:cs="Arial"/>
          <w:snapToGrid w:val="0"/>
          <w:lang w:val="en-GB"/>
        </w:rPr>
        <w:t>2030;</w:t>
      </w:r>
      <w:proofErr w:type="gramEnd"/>
    </w:p>
    <w:p w14:paraId="17AFE5C2" w14:textId="77777777" w:rsidR="00A40455" w:rsidRPr="00A40455" w:rsidRDefault="00A40455" w:rsidP="00A40455">
      <w:pPr>
        <w:tabs>
          <w:tab w:val="left" w:pos="709"/>
        </w:tabs>
        <w:snapToGrid w:val="0"/>
        <w:spacing w:after="240" w:line="240" w:lineRule="auto"/>
        <w:jc w:val="both"/>
        <w:rPr>
          <w:rFonts w:ascii="Arial" w:eastAsia="DengXian" w:hAnsi="Arial" w:cs="Arial"/>
          <w:lang w:val="en-US"/>
        </w:rPr>
      </w:pPr>
      <w:r w:rsidRPr="00A40455">
        <w:rPr>
          <w:rFonts w:ascii="Arial" w:eastAsia="SimSun" w:hAnsi="Arial" w:cs="Arial"/>
          <w:b/>
          <w:bCs/>
          <w:snapToGrid w:val="0"/>
          <w:lang w:val="en-GB"/>
        </w:rPr>
        <w:t>The Group recommended</w:t>
      </w:r>
      <w:r w:rsidRPr="00A40455">
        <w:rPr>
          <w:rFonts w:ascii="Arial" w:eastAsia="SimSun" w:hAnsi="Arial" w:cs="Arial"/>
          <w:snapToGrid w:val="0"/>
          <w:lang w:val="en-GB"/>
        </w:rPr>
        <w:t xml:space="preserve"> the IOC Assembly </w:t>
      </w:r>
      <w:bookmarkStart w:id="5" w:name="_Hlk191363767"/>
      <w:r w:rsidRPr="00A40455">
        <w:rPr>
          <w:rFonts w:ascii="Arial" w:eastAsia="SimSun" w:hAnsi="Arial" w:cs="Arial"/>
          <w:snapToGrid w:val="0"/>
          <w:lang w:val="en-GB"/>
        </w:rPr>
        <w:t>at its 33</w:t>
      </w:r>
      <w:r w:rsidRPr="00A40455">
        <w:rPr>
          <w:rFonts w:ascii="Arial" w:eastAsia="SimSun" w:hAnsi="Arial" w:cs="Arial"/>
          <w:snapToGrid w:val="0"/>
          <w:vertAlign w:val="superscript"/>
          <w:lang w:val="en-GB"/>
        </w:rPr>
        <w:t>rd</w:t>
      </w:r>
      <w:r w:rsidRPr="00A40455">
        <w:rPr>
          <w:rFonts w:ascii="Arial" w:eastAsia="SimSun" w:hAnsi="Arial" w:cs="Arial"/>
          <w:snapToGrid w:val="0"/>
          <w:lang w:val="en-GB"/>
        </w:rPr>
        <w:t xml:space="preserve"> session in 2025 </w:t>
      </w:r>
      <w:bookmarkEnd w:id="5"/>
      <w:r w:rsidRPr="00A40455">
        <w:rPr>
          <w:rFonts w:ascii="Arial" w:eastAsia="SimSun" w:hAnsi="Arial" w:cs="Arial"/>
          <w:snapToGrid w:val="0"/>
          <w:lang w:val="en-GB"/>
        </w:rPr>
        <w:t xml:space="preserve">to </w:t>
      </w:r>
      <w:r w:rsidRPr="00A40455">
        <w:rPr>
          <w:rFonts w:ascii="Arial" w:eastAsia="SimSun" w:hAnsi="Arial" w:cs="Arial"/>
          <w:b/>
          <w:bCs/>
          <w:snapToGrid w:val="0"/>
          <w:lang w:val="en-GB"/>
        </w:rPr>
        <w:t xml:space="preserve">request </w:t>
      </w:r>
      <w:r w:rsidRPr="00A40455">
        <w:rPr>
          <w:rFonts w:ascii="Arial" w:eastAsia="SimSun" w:hAnsi="Arial" w:cs="Arial"/>
          <w:snapToGrid w:val="0"/>
          <w:lang w:val="en-GB"/>
        </w:rPr>
        <w:t>the IOC</w:t>
      </w:r>
      <w:r w:rsidRPr="00A40455">
        <w:rPr>
          <w:rFonts w:ascii="Calibri" w:eastAsia="DengXian" w:hAnsi="Calibri" w:cs="Arial"/>
          <w:lang w:val="en-US"/>
        </w:rPr>
        <w:t xml:space="preserve"> </w:t>
      </w:r>
      <w:r w:rsidRPr="00A40455">
        <w:rPr>
          <w:rFonts w:ascii="Arial" w:eastAsia="SimSun" w:hAnsi="Arial" w:cs="Arial"/>
          <w:snapToGrid w:val="0"/>
          <w:lang w:val="en-GB"/>
        </w:rPr>
        <w:t>Member States to prioritize installation/deployment of additional coastal tide gauges and tsunami detection/observation systems in regions under high tsunami risk with priority areas with known coverage gaps (in alphabetical order: Aegean Sea, Caribbean Sea (West, North and South-East), Indian Ocean (East and North), North Africa, Philippine Sea, Solomon Sea, South China Sea, Timor Sea, and Yellow Sea), to ensure tsunami detection and verification as early as possible;</w:t>
      </w:r>
    </w:p>
    <w:p w14:paraId="520DF501" w14:textId="77777777" w:rsidR="00A40455" w:rsidRPr="00A40455" w:rsidRDefault="00A40455" w:rsidP="00A40455">
      <w:pPr>
        <w:tabs>
          <w:tab w:val="left" w:pos="709"/>
        </w:tabs>
        <w:snapToGrid w:val="0"/>
        <w:spacing w:after="240" w:line="240" w:lineRule="auto"/>
        <w:jc w:val="both"/>
        <w:rPr>
          <w:rFonts w:ascii="Arial" w:eastAsia="SimSun" w:hAnsi="Arial" w:cs="Arial"/>
          <w:snapToGrid w:val="0"/>
          <w:lang w:val="en-US"/>
        </w:rPr>
      </w:pPr>
      <w:bookmarkStart w:id="6" w:name="_Hlk191330080"/>
      <w:r w:rsidRPr="00A40455">
        <w:rPr>
          <w:rFonts w:ascii="Arial" w:eastAsia="SimSun" w:hAnsi="Arial" w:cs="Arial"/>
          <w:b/>
          <w:bCs/>
          <w:snapToGrid w:val="0"/>
          <w:lang w:val="en-GB"/>
        </w:rPr>
        <w:t xml:space="preserve">The Group </w:t>
      </w:r>
      <w:r w:rsidRPr="00A40455">
        <w:rPr>
          <w:rFonts w:ascii="Arial" w:eastAsia="Arial" w:hAnsi="Arial" w:cs="Arial"/>
          <w:b/>
          <w:snapToGrid w:val="0"/>
          <w:lang w:val="en-GB"/>
        </w:rPr>
        <w:t xml:space="preserve">further </w:t>
      </w:r>
      <w:r w:rsidRPr="00A40455">
        <w:rPr>
          <w:rFonts w:ascii="Arial" w:eastAsia="SimSun" w:hAnsi="Arial" w:cs="Arial"/>
          <w:b/>
          <w:bCs/>
          <w:snapToGrid w:val="0"/>
          <w:lang w:val="en-GB"/>
        </w:rPr>
        <w:t xml:space="preserve">recommended </w:t>
      </w:r>
      <w:r w:rsidRPr="00A40455">
        <w:rPr>
          <w:rFonts w:ascii="Arial" w:eastAsia="SimSun" w:hAnsi="Arial" w:cs="Arial"/>
          <w:snapToGrid w:val="0"/>
          <w:lang w:val="en-GB"/>
        </w:rPr>
        <w:t xml:space="preserve">the IOC Assembly at its 33rd session in 2025 </w:t>
      </w:r>
      <w:bookmarkEnd w:id="6"/>
      <w:r w:rsidRPr="00A40455">
        <w:rPr>
          <w:rFonts w:ascii="Arial" w:eastAsia="SimSun" w:hAnsi="Arial" w:cs="Arial"/>
          <w:snapToGrid w:val="0"/>
          <w:lang w:val="en-GB"/>
        </w:rPr>
        <w:t>to encourage</w:t>
      </w:r>
      <w:r w:rsidRPr="00A40455">
        <w:rPr>
          <w:rFonts w:ascii="Arial" w:eastAsia="SimSun" w:hAnsi="Arial" w:cs="Arial"/>
          <w:snapToGrid w:val="0"/>
          <w:lang w:val="en-US"/>
        </w:rPr>
        <w:t xml:space="preserve"> the IOC Member States to</w:t>
      </w:r>
      <w:r w:rsidRPr="00A40455">
        <w:rPr>
          <w:rFonts w:ascii="Calibri" w:eastAsia="DengXian" w:hAnsi="Calibri" w:cs="Arial"/>
          <w:lang w:val="en-US"/>
        </w:rPr>
        <w:t xml:space="preserve"> </w:t>
      </w:r>
      <w:r w:rsidRPr="00A40455">
        <w:rPr>
          <w:rFonts w:ascii="Arial" w:eastAsia="SimSun" w:hAnsi="Arial" w:cs="Arial"/>
          <w:snapToGrid w:val="0"/>
          <w:lang w:val="en-US"/>
        </w:rPr>
        <w:t xml:space="preserve">monitor the health of their sea level gauges that are used for detecting and monitoring tsunamis, to restore them as quickly as possible when they fail, add sea level gauges when possible and share their data in real time, in places identified by their ICG as gaps; </w:t>
      </w:r>
    </w:p>
    <w:p w14:paraId="6302D54B" w14:textId="045A134C" w:rsidR="00A40455" w:rsidRPr="00A40455" w:rsidRDefault="00A40455" w:rsidP="00A40455">
      <w:pPr>
        <w:tabs>
          <w:tab w:val="left" w:pos="709"/>
        </w:tabs>
        <w:snapToGrid w:val="0"/>
        <w:spacing w:after="240" w:line="240" w:lineRule="auto"/>
        <w:jc w:val="both"/>
        <w:rPr>
          <w:rFonts w:ascii="Arial" w:eastAsia="SimSun" w:hAnsi="Arial" w:cs="Arial"/>
          <w:snapToGrid w:val="0"/>
          <w:lang w:val="en-US"/>
        </w:rPr>
      </w:pPr>
      <w:r w:rsidRPr="00A40455">
        <w:rPr>
          <w:rFonts w:ascii="Arial" w:eastAsia="SimSun" w:hAnsi="Arial" w:cs="Arial"/>
          <w:b/>
          <w:bCs/>
          <w:snapToGrid w:val="0"/>
          <w:lang w:val="en-US"/>
        </w:rPr>
        <w:t>The Group recommended</w:t>
      </w:r>
      <w:r w:rsidRPr="00A40455">
        <w:rPr>
          <w:rFonts w:ascii="Arial" w:eastAsia="SimSun" w:hAnsi="Arial" w:cs="Arial"/>
          <w:snapToGrid w:val="0"/>
          <w:lang w:val="en-US"/>
        </w:rPr>
        <w:t xml:space="preserve"> Member </w:t>
      </w:r>
      <w:proofErr w:type="gramStart"/>
      <w:r w:rsidRPr="00A40455">
        <w:rPr>
          <w:rFonts w:ascii="Arial" w:eastAsia="SimSun" w:hAnsi="Arial" w:cs="Arial"/>
          <w:snapToGrid w:val="0"/>
          <w:lang w:val="en-US"/>
        </w:rPr>
        <w:t>States to</w:t>
      </w:r>
      <w:proofErr w:type="gramEnd"/>
      <w:r w:rsidRPr="00A40455">
        <w:rPr>
          <w:rFonts w:ascii="Arial" w:eastAsia="SimSun" w:hAnsi="Arial" w:cs="Arial"/>
          <w:snapToGrid w:val="0"/>
          <w:lang w:val="en-US"/>
        </w:rPr>
        <w:t xml:space="preserve"> invest more in offshore seismic and sea-level detection and observation instrumentation, such as </w:t>
      </w:r>
      <w:proofErr w:type="spellStart"/>
      <w:r w:rsidRPr="00A40455">
        <w:rPr>
          <w:rFonts w:ascii="Arial" w:eastAsia="SimSun" w:hAnsi="Arial" w:cs="Arial"/>
          <w:snapToGrid w:val="0"/>
          <w:lang w:val="en-US"/>
        </w:rPr>
        <w:t>Tsunameter</w:t>
      </w:r>
      <w:proofErr w:type="spellEnd"/>
      <w:r w:rsidRPr="00A40455">
        <w:rPr>
          <w:rFonts w:ascii="Arial" w:eastAsia="SimSun" w:hAnsi="Arial" w:cs="Arial"/>
          <w:snapToGrid w:val="0"/>
          <w:lang w:val="en-US"/>
        </w:rPr>
        <w:t xml:space="preserve">/DART®/GPS buoys/cabled systems (e.g. SMART Cables), where possible, with multi-hazard observational capabilities, serving the needs of earthquake seismology, meteorology and </w:t>
      </w:r>
      <w:proofErr w:type="gramStart"/>
      <w:r w:rsidRPr="00A40455">
        <w:rPr>
          <w:rFonts w:ascii="Arial" w:eastAsia="SimSun" w:hAnsi="Arial" w:cs="Arial"/>
          <w:snapToGrid w:val="0"/>
          <w:lang w:val="en-US"/>
        </w:rPr>
        <w:t>oceanography;</w:t>
      </w:r>
      <w:proofErr w:type="gramEnd"/>
    </w:p>
    <w:p w14:paraId="4844182D" w14:textId="77777777" w:rsidR="00A40455" w:rsidRPr="00A40455" w:rsidRDefault="00A40455" w:rsidP="00A40455">
      <w:pPr>
        <w:tabs>
          <w:tab w:val="left" w:pos="709"/>
        </w:tabs>
        <w:snapToGrid w:val="0"/>
        <w:spacing w:after="240" w:line="240" w:lineRule="auto"/>
        <w:jc w:val="both"/>
        <w:rPr>
          <w:rFonts w:ascii="Arial" w:eastAsia="DengXian" w:hAnsi="Arial" w:cs="Arial"/>
          <w:lang w:val="en-US"/>
        </w:rPr>
      </w:pPr>
      <w:r w:rsidRPr="00A40455">
        <w:rPr>
          <w:rFonts w:ascii="Arial" w:eastAsia="SimSun" w:hAnsi="Arial" w:cs="Arial"/>
          <w:b/>
          <w:bCs/>
          <w:snapToGrid w:val="0"/>
          <w:lang w:val="en-GB"/>
        </w:rPr>
        <w:t xml:space="preserve">The Group </w:t>
      </w:r>
      <w:r w:rsidRPr="00A40455">
        <w:rPr>
          <w:rFonts w:ascii="Arial" w:eastAsia="Arial" w:hAnsi="Arial" w:cs="Arial"/>
          <w:b/>
          <w:snapToGrid w:val="0"/>
          <w:lang w:val="en-GB"/>
        </w:rPr>
        <w:t xml:space="preserve">further </w:t>
      </w:r>
      <w:r w:rsidRPr="00A40455">
        <w:rPr>
          <w:rFonts w:ascii="Arial" w:eastAsia="SimSun" w:hAnsi="Arial" w:cs="Arial"/>
          <w:b/>
          <w:bCs/>
          <w:snapToGrid w:val="0"/>
          <w:lang w:val="en-GB"/>
        </w:rPr>
        <w:t xml:space="preserve">recommended </w:t>
      </w:r>
      <w:r w:rsidRPr="00A40455">
        <w:rPr>
          <w:rFonts w:ascii="Arial" w:eastAsia="SimSun" w:hAnsi="Arial" w:cs="Arial"/>
          <w:snapToGrid w:val="0"/>
          <w:lang w:val="en-GB"/>
        </w:rPr>
        <w:t>the IOC Assembly at its 33</w:t>
      </w:r>
      <w:r w:rsidRPr="00A40455">
        <w:rPr>
          <w:rFonts w:ascii="Arial" w:eastAsia="SimSun" w:hAnsi="Arial" w:cs="Arial"/>
          <w:snapToGrid w:val="0"/>
          <w:vertAlign w:val="superscript"/>
          <w:lang w:val="en-GB"/>
        </w:rPr>
        <w:t>rd</w:t>
      </w:r>
      <w:r w:rsidRPr="00A40455">
        <w:rPr>
          <w:rFonts w:ascii="Arial" w:eastAsia="SimSun" w:hAnsi="Arial" w:cs="Arial"/>
          <w:snapToGrid w:val="0"/>
          <w:lang w:val="en-GB"/>
        </w:rPr>
        <w:t xml:space="preserve"> session in 2025 to encourage</w:t>
      </w:r>
      <w:r w:rsidRPr="00A40455">
        <w:rPr>
          <w:rFonts w:ascii="Arial" w:eastAsia="SimSun" w:hAnsi="Arial" w:cs="Arial"/>
          <w:snapToGrid w:val="0"/>
          <w:lang w:val="en-US"/>
        </w:rPr>
        <w:t xml:space="preserve"> Member States to provide voluntary financial contributions to the IOC special account and in-kind contributions to support the Ocean Decade Tsunami Programme, the IOC Tsunami Ready Recognition Programme and the Tsunami Ready Coalition. </w:t>
      </w:r>
    </w:p>
    <w:p w14:paraId="7760635E" w14:textId="77777777" w:rsidR="00A40455" w:rsidRPr="00A40455" w:rsidRDefault="00A40455" w:rsidP="00A40455">
      <w:pPr>
        <w:tabs>
          <w:tab w:val="left" w:pos="709"/>
        </w:tabs>
        <w:snapToGrid w:val="0"/>
        <w:spacing w:after="240" w:line="240" w:lineRule="auto"/>
        <w:jc w:val="both"/>
        <w:rPr>
          <w:rFonts w:ascii="Arial" w:eastAsia="SimSun" w:hAnsi="Arial" w:cs="Arial"/>
          <w:snapToGrid w:val="0"/>
          <w:lang w:val="en-GB"/>
        </w:rPr>
      </w:pPr>
      <w:r w:rsidRPr="00A40455">
        <w:rPr>
          <w:rFonts w:ascii="Arial" w:eastAsia="SimSun" w:hAnsi="Arial" w:cs="Arial"/>
          <w:b/>
          <w:bCs/>
          <w:snapToGrid w:val="0"/>
          <w:lang w:val="en-GB"/>
        </w:rPr>
        <w:lastRenderedPageBreak/>
        <w:t>The Group recommended</w:t>
      </w:r>
      <w:r w:rsidRPr="00A40455">
        <w:rPr>
          <w:rFonts w:ascii="Arial" w:eastAsia="SimSun" w:hAnsi="Arial" w:cs="Arial"/>
          <w:snapToGrid w:val="0"/>
          <w:lang w:val="en-GB"/>
        </w:rPr>
        <w:t xml:space="preserve"> the IOC Assembly at its 33</w:t>
      </w:r>
      <w:r w:rsidRPr="00A40455">
        <w:rPr>
          <w:rFonts w:ascii="Arial" w:eastAsia="SimSun" w:hAnsi="Arial" w:cs="Arial"/>
          <w:snapToGrid w:val="0"/>
          <w:vertAlign w:val="superscript"/>
          <w:lang w:val="en-GB"/>
        </w:rPr>
        <w:t>rd</w:t>
      </w:r>
      <w:r w:rsidRPr="00A40455">
        <w:rPr>
          <w:rFonts w:ascii="Arial" w:eastAsia="SimSun" w:hAnsi="Arial" w:cs="Arial"/>
          <w:snapToGrid w:val="0"/>
          <w:lang w:val="en-GB"/>
        </w:rPr>
        <w:t xml:space="preserve"> session in 2025 to </w:t>
      </w:r>
      <w:r w:rsidRPr="00A40455">
        <w:rPr>
          <w:rFonts w:ascii="Arial" w:eastAsia="SimSun" w:hAnsi="Arial" w:cs="Arial"/>
          <w:b/>
          <w:bCs/>
          <w:snapToGrid w:val="0"/>
          <w:lang w:val="en-GB"/>
        </w:rPr>
        <w:t xml:space="preserve">request </w:t>
      </w:r>
      <w:r w:rsidRPr="00A40455">
        <w:rPr>
          <w:rFonts w:ascii="Arial" w:eastAsia="SimSun" w:hAnsi="Arial" w:cs="Arial"/>
          <w:snapToGrid w:val="0"/>
          <w:lang w:val="en-GB"/>
        </w:rPr>
        <w:t>the IOC Secretariat to:</w:t>
      </w:r>
    </w:p>
    <w:p w14:paraId="35E0D6B9"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inform Member States on the </w:t>
      </w:r>
      <w:r w:rsidRPr="00A40455">
        <w:rPr>
          <w:rFonts w:ascii="Arial" w:eastAsia="SimSun" w:hAnsi="Arial" w:cs="Arial"/>
          <w:i/>
          <w:iCs/>
          <w:snapToGrid w:val="0"/>
          <w:lang w:val="en-GB"/>
        </w:rPr>
        <w:t>Tsunami Ready Toolkit</w:t>
      </w:r>
      <w:r w:rsidRPr="00A40455">
        <w:rPr>
          <w:rFonts w:ascii="Arial" w:eastAsia="SimSun" w:hAnsi="Arial" w:cs="Arial"/>
          <w:snapToGrid w:val="0"/>
          <w:lang w:val="en-GB"/>
        </w:rPr>
        <w:t xml:space="preserve"> availability via IOC Circular Letter to the Tsunami National Contacts, National Tsunami Ready Boards, and widely through the attaching this as an appendix of the </w:t>
      </w:r>
      <w:r w:rsidRPr="00A40455">
        <w:rPr>
          <w:rFonts w:ascii="Arial" w:eastAsia="Arial" w:hAnsi="Arial" w:cs="Arial"/>
          <w:lang w:val="en-GB"/>
        </w:rPr>
        <w:t>UNESCO-IOC Standard Guidelines for the Tsunami Ready Recognition Programme (IOC MG 74</w:t>
      </w:r>
      <w:proofErr w:type="gramStart"/>
      <w:r w:rsidRPr="00A40455">
        <w:rPr>
          <w:rFonts w:ascii="Arial" w:eastAsia="Arial" w:hAnsi="Arial" w:cs="Arial"/>
          <w:lang w:val="en-GB"/>
        </w:rPr>
        <w:t>)</w:t>
      </w:r>
      <w:r w:rsidRPr="00A40455">
        <w:rPr>
          <w:rFonts w:ascii="Arial" w:eastAsia="SimSun" w:hAnsi="Arial" w:cs="Arial"/>
          <w:snapToGrid w:val="0"/>
          <w:lang w:val="en-GB"/>
        </w:rPr>
        <w:t>;</w:t>
      </w:r>
      <w:proofErr w:type="gramEnd"/>
    </w:p>
    <w:p w14:paraId="0D9A4031"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disseminate to the Member States the final version of the below basic tsunami warning product/template for use by the radio amateurs, as a </w:t>
      </w:r>
      <w:proofErr w:type="gramStart"/>
      <w:r w:rsidRPr="00A40455">
        <w:rPr>
          <w:rFonts w:ascii="Arial" w:eastAsia="SimSun" w:hAnsi="Arial" w:cs="Arial"/>
          <w:snapToGrid w:val="0"/>
          <w:lang w:val="en-GB"/>
        </w:rPr>
        <w:t>guidance;</w:t>
      </w:r>
      <w:proofErr w:type="gramEnd"/>
    </w:p>
    <w:p w14:paraId="719D4820" w14:textId="77777777" w:rsidR="00A40455" w:rsidRPr="00A40455" w:rsidRDefault="00A40455" w:rsidP="00A40455">
      <w:pPr>
        <w:tabs>
          <w:tab w:val="left" w:pos="709"/>
        </w:tabs>
        <w:snapToGrid w:val="0"/>
        <w:spacing w:after="240" w:line="240" w:lineRule="auto"/>
        <w:jc w:val="right"/>
        <w:rPr>
          <w:rFonts w:ascii="Arial" w:eastAsia="SimSun" w:hAnsi="Arial" w:cs="Arial"/>
          <w:snapToGrid w:val="0"/>
          <w:lang w:val="en-GB"/>
        </w:rPr>
      </w:pPr>
      <w:r w:rsidRPr="00A40455">
        <w:rPr>
          <w:rFonts w:ascii="Arial" w:eastAsia="SimSun" w:hAnsi="Arial" w:cs="Arial"/>
          <w:noProof/>
          <w:snapToGrid w:val="0"/>
          <w:lang w:val="en-GB"/>
        </w:rPr>
        <w:drawing>
          <wp:inline distT="0" distB="0" distL="0" distR="0" wp14:anchorId="6B8435C9" wp14:editId="4A103EF4">
            <wp:extent cx="5232694" cy="557181"/>
            <wp:effectExtent l="0" t="0" r="6350" b="0"/>
            <wp:docPr id="666896947"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96947" name="Picture 1" descr="A black background with red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89231" cy="563201"/>
                    </a:xfrm>
                    <a:prstGeom prst="rect">
                      <a:avLst/>
                    </a:prstGeom>
                    <a:noFill/>
                  </pic:spPr>
                </pic:pic>
              </a:graphicData>
            </a:graphic>
          </wp:inline>
        </w:drawing>
      </w:r>
    </w:p>
    <w:p w14:paraId="39E4F9E6"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to finalize the Tsunami Ready Coalition Implementation Plan in consultation with the Tsunami Ready Coalition Chair the Coalition Partners, 'Ambassadors' or similar namesake, and Coalition Co-</w:t>
      </w:r>
      <w:proofErr w:type="gramStart"/>
      <w:r w:rsidRPr="00A40455">
        <w:rPr>
          <w:rFonts w:ascii="Arial" w:eastAsia="SimSun" w:hAnsi="Arial" w:cs="Arial"/>
          <w:snapToGrid w:val="0"/>
          <w:lang w:val="en-GB"/>
        </w:rPr>
        <w:t>Chair</w:t>
      </w:r>
      <w:r w:rsidRPr="00A40455">
        <w:rPr>
          <w:rFonts w:ascii="Arial" w:eastAsia="Times New Roman" w:hAnsi="Arial" w:cs="Arial"/>
          <w:lang w:val="en-US"/>
        </w:rPr>
        <w:t>;</w:t>
      </w:r>
      <w:proofErr w:type="gramEnd"/>
    </w:p>
    <w:p w14:paraId="2053B337" w14:textId="77777777" w:rsidR="00A40455" w:rsidRPr="00A40455" w:rsidRDefault="00A40455" w:rsidP="00A40455">
      <w:pPr>
        <w:numPr>
          <w:ilvl w:val="0"/>
          <w:numId w:val="1"/>
        </w:numPr>
        <w:tabs>
          <w:tab w:val="left" w:pos="709"/>
        </w:tabs>
        <w:snapToGrid w:val="0"/>
        <w:spacing w:after="240" w:line="240" w:lineRule="auto"/>
        <w:ind w:left="567" w:hanging="567"/>
        <w:jc w:val="both"/>
        <w:rPr>
          <w:rFonts w:ascii="Arial" w:eastAsia="SimSun" w:hAnsi="Arial" w:cs="Arial"/>
          <w:snapToGrid w:val="0"/>
          <w:lang w:val="en-GB"/>
        </w:rPr>
      </w:pPr>
      <w:r w:rsidRPr="00A40455">
        <w:rPr>
          <w:rFonts w:ascii="Arial" w:eastAsia="SimSun" w:hAnsi="Arial" w:cs="Arial"/>
          <w:snapToGrid w:val="0"/>
          <w:lang w:val="en-GB"/>
        </w:rPr>
        <w:t xml:space="preserve">extend invitations to the proposed Coalition Partners and 'Ambassadors' or similar namesake, and a Coalition Co-chair, and urgently address needed </w:t>
      </w:r>
      <w:proofErr w:type="gramStart"/>
      <w:r w:rsidRPr="00A40455">
        <w:rPr>
          <w:rFonts w:ascii="Arial" w:eastAsia="SimSun" w:hAnsi="Arial" w:cs="Arial"/>
          <w:snapToGrid w:val="0"/>
          <w:lang w:val="en-GB"/>
        </w:rPr>
        <w:t>resources;</w:t>
      </w:r>
      <w:proofErr w:type="gramEnd"/>
      <w:r w:rsidRPr="00A40455">
        <w:rPr>
          <w:rFonts w:ascii="Arial" w:eastAsia="SimSun" w:hAnsi="Arial" w:cs="Arial"/>
          <w:snapToGrid w:val="0"/>
          <w:lang w:val="en-GB"/>
        </w:rPr>
        <w:t> </w:t>
      </w:r>
    </w:p>
    <w:p w14:paraId="460F0378" w14:textId="77777777" w:rsidR="00A40455" w:rsidRPr="00A40455" w:rsidRDefault="00A40455" w:rsidP="00A40455">
      <w:pPr>
        <w:tabs>
          <w:tab w:val="left" w:pos="709"/>
        </w:tabs>
        <w:snapToGrid w:val="0"/>
        <w:spacing w:after="240" w:line="240" w:lineRule="auto"/>
        <w:jc w:val="both"/>
        <w:rPr>
          <w:rFonts w:ascii="Arial" w:eastAsia="DengXian" w:hAnsi="Arial" w:cs="Arial"/>
          <w:lang w:val="en-US"/>
        </w:rPr>
      </w:pPr>
      <w:r w:rsidRPr="00A40455">
        <w:rPr>
          <w:rFonts w:ascii="Arial" w:eastAsia="SimSun" w:hAnsi="Arial" w:cs="Arial"/>
          <w:b/>
          <w:bCs/>
          <w:snapToGrid w:val="0"/>
          <w:lang w:val="en-GB"/>
        </w:rPr>
        <w:t>The Group recommended</w:t>
      </w:r>
      <w:r w:rsidRPr="00A40455">
        <w:rPr>
          <w:rFonts w:ascii="Arial" w:eastAsia="SimSun" w:hAnsi="Arial" w:cs="Arial"/>
          <w:snapToGrid w:val="0"/>
          <w:lang w:val="en-GB"/>
        </w:rPr>
        <w:t xml:space="preserve"> the IOC Assembly at its 33</w:t>
      </w:r>
      <w:r w:rsidRPr="00A40455">
        <w:rPr>
          <w:rFonts w:ascii="Arial" w:eastAsia="SimSun" w:hAnsi="Arial" w:cs="Arial"/>
          <w:snapToGrid w:val="0"/>
          <w:vertAlign w:val="superscript"/>
          <w:lang w:val="en-GB"/>
        </w:rPr>
        <w:t>rd</w:t>
      </w:r>
      <w:r w:rsidRPr="00A40455">
        <w:rPr>
          <w:rFonts w:ascii="Arial" w:eastAsia="SimSun" w:hAnsi="Arial" w:cs="Arial"/>
          <w:snapToGrid w:val="0"/>
          <w:lang w:val="en-GB"/>
        </w:rPr>
        <w:t xml:space="preserve"> session in 2025 to extend the tenure of the</w:t>
      </w:r>
      <w:r w:rsidRPr="00A40455">
        <w:rPr>
          <w:rFonts w:ascii="Calibri" w:eastAsia="DengXian" w:hAnsi="Calibri" w:cs="Arial"/>
          <w:lang w:val="en-US"/>
        </w:rPr>
        <w:t xml:space="preserve"> </w:t>
      </w:r>
      <w:r w:rsidRPr="00A40455">
        <w:rPr>
          <w:rFonts w:ascii="Arial" w:eastAsia="SimSun" w:hAnsi="Arial" w:cs="Arial"/>
          <w:snapToGrid w:val="0"/>
          <w:lang w:val="en-GB"/>
        </w:rPr>
        <w:t xml:space="preserve">Inter-ICG TT-DMP and TT-TWO and recommended the approval of updated Terms of Reference for the Task Team on Tsunami Disaster Management and Preparedness as included under </w:t>
      </w:r>
      <w:r w:rsidRPr="00A40455">
        <w:rPr>
          <w:rFonts w:ascii="Arial" w:eastAsia="SimSun" w:hAnsi="Arial" w:cs="Arial"/>
          <w:b/>
          <w:bCs/>
          <w:snapToGrid w:val="0"/>
          <w:lang w:val="en-GB"/>
        </w:rPr>
        <w:t xml:space="preserve">Appendix </w:t>
      </w:r>
      <w:proofErr w:type="gramStart"/>
      <w:r w:rsidRPr="00A40455">
        <w:rPr>
          <w:rFonts w:ascii="Arial" w:eastAsia="SimSun" w:hAnsi="Arial" w:cs="Arial"/>
          <w:b/>
          <w:bCs/>
          <w:snapToGrid w:val="0"/>
          <w:lang w:val="en-GB"/>
        </w:rPr>
        <w:t>1</w:t>
      </w:r>
      <w:r w:rsidRPr="00A40455">
        <w:rPr>
          <w:rFonts w:ascii="Arial" w:eastAsia="SimSun" w:hAnsi="Arial" w:cs="Arial"/>
          <w:snapToGrid w:val="0"/>
          <w:lang w:val="en-GB"/>
        </w:rPr>
        <w:t>;</w:t>
      </w:r>
      <w:proofErr w:type="gramEnd"/>
    </w:p>
    <w:p w14:paraId="77DD02E5" w14:textId="77777777" w:rsidR="00785E06" w:rsidRPr="001D1E2F" w:rsidRDefault="00785E06" w:rsidP="00785E06">
      <w:pPr>
        <w:tabs>
          <w:tab w:val="left" w:pos="709"/>
        </w:tabs>
        <w:snapToGrid w:val="0"/>
        <w:spacing w:after="240" w:line="240" w:lineRule="auto"/>
        <w:jc w:val="both"/>
        <w:rPr>
          <w:rFonts w:asciiTheme="minorBidi" w:eastAsia="Arial" w:hAnsiTheme="minorBidi"/>
          <w:snapToGrid w:val="0"/>
          <w:lang w:val="en-IN"/>
        </w:rPr>
      </w:pPr>
    </w:p>
    <w:sectPr w:rsidR="00785E06" w:rsidRPr="001D1E2F" w:rsidSect="00737EF6">
      <w:headerReference w:type="even" r:id="rId15"/>
      <w:headerReference w:type="default" r:id="rId16"/>
      <w:headerReference w:type="first" r:id="rId17"/>
      <w:pgSz w:w="11906" w:h="16838" w:code="9"/>
      <w:pgMar w:top="1418" w:right="1418" w:bottom="1418" w:left="1418" w:header="68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65B5" w14:textId="77777777" w:rsidR="00372CF3" w:rsidRDefault="00372CF3" w:rsidP="00737EF6">
      <w:pPr>
        <w:spacing w:after="0" w:line="240" w:lineRule="auto"/>
      </w:pPr>
      <w:r>
        <w:separator/>
      </w:r>
    </w:p>
  </w:endnote>
  <w:endnote w:type="continuationSeparator" w:id="0">
    <w:p w14:paraId="438B1584" w14:textId="77777777" w:rsidR="00372CF3" w:rsidRDefault="00372CF3" w:rsidP="0073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1B8D" w14:textId="77777777" w:rsidR="00372CF3" w:rsidRDefault="00372CF3" w:rsidP="00737EF6">
      <w:pPr>
        <w:spacing w:after="0" w:line="240" w:lineRule="auto"/>
      </w:pPr>
      <w:r>
        <w:separator/>
      </w:r>
    </w:p>
  </w:footnote>
  <w:footnote w:type="continuationSeparator" w:id="0">
    <w:p w14:paraId="562631BD" w14:textId="77777777" w:rsidR="00372CF3" w:rsidRDefault="00372CF3" w:rsidP="00737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DABE" w14:textId="07305EA8" w:rsidR="008D0515" w:rsidRDefault="0030792A">
    <w:pPr>
      <w:pStyle w:val="Header"/>
      <w:rPr>
        <w:rFonts w:ascii="Arial" w:hAnsi="Arial" w:cs="Arial"/>
        <w:sz w:val="20"/>
        <w:szCs w:val="20"/>
      </w:rPr>
    </w:pPr>
    <w:r>
      <w:rPr>
        <w:rFonts w:ascii="Arial" w:hAnsi="Arial" w:cs="Arial"/>
        <w:sz w:val="20"/>
        <w:szCs w:val="20"/>
      </w:rPr>
      <w:t>IOC/TOWS-WG-</w:t>
    </w:r>
    <w:r>
      <w:rPr>
        <w:rFonts w:ascii="Arial" w:hAnsi="Arial" w:cs="Arial"/>
        <w:sz w:val="20"/>
        <w:szCs w:val="20"/>
        <w:lang w:val="da-DK"/>
      </w:rPr>
      <w:t>XV</w:t>
    </w:r>
    <w:r>
      <w:rPr>
        <w:rFonts w:ascii="Arial" w:hAnsi="Arial" w:cs="Arial"/>
        <w:sz w:val="20"/>
        <w:szCs w:val="20"/>
      </w:rPr>
      <w:t>/3</w:t>
    </w:r>
  </w:p>
  <w:p w14:paraId="644266BD" w14:textId="77777777" w:rsidR="008D0515" w:rsidRPr="00385803" w:rsidRDefault="0030792A">
    <w:r>
      <w:rPr>
        <w:rFonts w:ascii="Arial" w:hAnsi="Arial" w:cs="Arial"/>
        <w:sz w:val="20"/>
        <w:szCs w:val="20"/>
      </w:rPr>
      <w:t xml:space="preserve">Annex VI </w:t>
    </w:r>
    <w:r w:rsidRPr="003034C7">
      <w:rPr>
        <w:rFonts w:ascii="Arial" w:hAnsi="Arial" w:cs="Arial"/>
        <w:lang w:val="da-DK"/>
      </w:rPr>
      <w:t>–</w:t>
    </w:r>
    <w:r>
      <w:rPr>
        <w:rFonts w:ascii="Arial" w:hAnsi="Arial" w:cs="Arial"/>
        <w:lang w:val="da-DK"/>
      </w:rPr>
      <w:t xml:space="preserve"> </w:t>
    </w:r>
    <w:r w:rsidRPr="003034C7">
      <w:rPr>
        <w:rFonts w:ascii="Arial" w:hAnsi="Arial" w:cs="Arial"/>
        <w:sz w:val="20"/>
        <w:szCs w:val="20"/>
        <w:lang w:val="da-DK"/>
      </w:rPr>
      <w:t xml:space="preserve">page </w:t>
    </w:r>
    <w:r w:rsidRPr="000565DD">
      <w:rPr>
        <w:rFonts w:ascii="Arial" w:hAnsi="Arial" w:cs="Arial"/>
        <w:sz w:val="20"/>
        <w:szCs w:val="20"/>
        <w:lang w:val="en-US"/>
      </w:rPr>
      <w:fldChar w:fldCharType="begin"/>
    </w:r>
    <w:r w:rsidRPr="000565DD">
      <w:rPr>
        <w:rFonts w:ascii="Arial" w:hAnsi="Arial" w:cs="Arial"/>
        <w:sz w:val="20"/>
        <w:szCs w:val="20"/>
        <w:lang w:val="en-US"/>
      </w:rPr>
      <w:instrText xml:space="preserve"> PAGE   \* MERGEFORMAT </w:instrText>
    </w:r>
    <w:r w:rsidRPr="000565DD">
      <w:rPr>
        <w:rFonts w:ascii="Arial" w:hAnsi="Arial" w:cs="Arial"/>
        <w:sz w:val="20"/>
        <w:szCs w:val="20"/>
        <w:lang w:val="en-US"/>
      </w:rPr>
      <w:fldChar w:fldCharType="separate"/>
    </w:r>
    <w:r>
      <w:rPr>
        <w:rFonts w:ascii="Arial" w:hAnsi="Arial" w:cs="Arial"/>
        <w:noProof/>
        <w:sz w:val="20"/>
        <w:szCs w:val="20"/>
        <w:lang w:val="en-US"/>
      </w:rPr>
      <w:t>2</w:t>
    </w:r>
    <w:r w:rsidRPr="000565DD">
      <w:rPr>
        <w:rFonts w:ascii="Arial" w:hAnsi="Arial" w:cs="Arial"/>
        <w:noProof/>
        <w:sz w:val="20"/>
        <w:szCs w:val="20"/>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BF58" w14:textId="65ABF845" w:rsidR="008D0515" w:rsidRPr="0084325B" w:rsidRDefault="0030792A" w:rsidP="00EC419E">
    <w:pPr>
      <w:pStyle w:val="Header"/>
      <w:ind w:left="6946"/>
      <w:rPr>
        <w:rFonts w:ascii="Arial" w:hAnsi="Arial" w:cs="Arial"/>
        <w:sz w:val="20"/>
        <w:szCs w:val="20"/>
        <w:lang w:val="en-US"/>
      </w:rPr>
    </w:pPr>
    <w:r w:rsidRPr="0084325B">
      <w:rPr>
        <w:rFonts w:ascii="Arial" w:hAnsi="Arial" w:cs="Arial"/>
        <w:sz w:val="20"/>
        <w:szCs w:val="20"/>
        <w:lang w:val="en-US"/>
      </w:rPr>
      <w:t>IOC/TOWS-WG-</w:t>
    </w:r>
    <w:r w:rsidR="0084325B" w:rsidRPr="0084325B">
      <w:rPr>
        <w:rFonts w:ascii="Arial" w:hAnsi="Arial" w:cs="Arial"/>
        <w:sz w:val="20"/>
        <w:szCs w:val="20"/>
        <w:lang w:val="en-US"/>
      </w:rPr>
      <w:t>XVI</w:t>
    </w:r>
  </w:p>
  <w:p w14:paraId="73978A67" w14:textId="4B99EF38" w:rsidR="008D0515" w:rsidRPr="0084325B" w:rsidRDefault="0084325B" w:rsidP="00EC419E">
    <w:pPr>
      <w:pStyle w:val="Header"/>
      <w:ind w:left="6946"/>
      <w:rPr>
        <w:rFonts w:ascii="Arial" w:hAnsi="Arial" w:cs="Arial"/>
        <w:noProof/>
        <w:sz w:val="20"/>
        <w:szCs w:val="20"/>
        <w:lang w:val="en-US"/>
      </w:rPr>
    </w:pPr>
    <w:r w:rsidRPr="0084325B">
      <w:rPr>
        <w:rFonts w:ascii="Arial" w:hAnsi="Arial" w:cs="Arial"/>
        <w:sz w:val="20"/>
        <w:szCs w:val="20"/>
        <w:lang w:val="en-US"/>
      </w:rPr>
      <w:t>Rec</w:t>
    </w:r>
    <w:r w:rsidR="0030792A" w:rsidRPr="0084325B">
      <w:rPr>
        <w:rFonts w:ascii="Arial" w:hAnsi="Arial" w:cs="Arial"/>
        <w:sz w:val="20"/>
        <w:szCs w:val="20"/>
        <w:lang w:val="en-US"/>
      </w:rPr>
      <w:t xml:space="preserve"> – page </w:t>
    </w:r>
    <w:r w:rsidR="0030792A" w:rsidRPr="00587D5A">
      <w:rPr>
        <w:rFonts w:ascii="Arial" w:hAnsi="Arial" w:cs="Arial"/>
        <w:sz w:val="20"/>
        <w:szCs w:val="20"/>
      </w:rPr>
      <w:fldChar w:fldCharType="begin"/>
    </w:r>
    <w:r w:rsidR="0030792A" w:rsidRPr="0084325B">
      <w:rPr>
        <w:rFonts w:ascii="Arial" w:hAnsi="Arial" w:cs="Arial"/>
        <w:sz w:val="20"/>
        <w:szCs w:val="20"/>
        <w:lang w:val="en-US"/>
      </w:rPr>
      <w:instrText xml:space="preserve"> PAGE   \* MERGEFORMAT </w:instrText>
    </w:r>
    <w:r w:rsidR="0030792A" w:rsidRPr="00587D5A">
      <w:rPr>
        <w:rFonts w:ascii="Arial" w:hAnsi="Arial" w:cs="Arial"/>
        <w:sz w:val="20"/>
        <w:szCs w:val="20"/>
      </w:rPr>
      <w:fldChar w:fldCharType="separate"/>
    </w:r>
    <w:r w:rsidR="0030792A" w:rsidRPr="0084325B">
      <w:rPr>
        <w:rFonts w:ascii="Arial" w:hAnsi="Arial" w:cs="Arial"/>
        <w:noProof/>
        <w:sz w:val="20"/>
        <w:szCs w:val="20"/>
        <w:lang w:val="en-US"/>
      </w:rPr>
      <w:t>3</w:t>
    </w:r>
    <w:r w:rsidR="0030792A" w:rsidRPr="00587D5A">
      <w:rPr>
        <w:rFonts w:ascii="Arial" w:hAnsi="Arial" w:cs="Arial"/>
        <w:noProof/>
        <w:sz w:val="20"/>
        <w:szCs w:val="20"/>
      </w:rPr>
      <w:fldChar w:fldCharType="end"/>
    </w:r>
  </w:p>
  <w:p w14:paraId="17A57FF1" w14:textId="77777777" w:rsidR="008D0515" w:rsidRPr="0084325B" w:rsidRDefault="008D0515" w:rsidP="00AA4EFD">
    <w:pPr>
      <w:pStyle w:val="Header"/>
      <w:tabs>
        <w:tab w:val="left" w:pos="7088"/>
      </w:tabs>
      <w:ind w:left="7088"/>
      <w:rP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8763" w14:textId="455A6BED" w:rsidR="008D0515" w:rsidRDefault="0030792A" w:rsidP="00EC419E">
    <w:pPr>
      <w:pStyle w:val="Header"/>
      <w:ind w:left="6946"/>
      <w:rPr>
        <w:rFonts w:ascii="Arial" w:hAnsi="Arial" w:cs="Arial"/>
        <w:sz w:val="20"/>
        <w:szCs w:val="20"/>
        <w:lang w:val="en-US"/>
      </w:rPr>
    </w:pPr>
    <w:r w:rsidRPr="00737EF6">
      <w:rPr>
        <w:rFonts w:ascii="Arial" w:hAnsi="Arial" w:cs="Arial"/>
        <w:sz w:val="20"/>
        <w:szCs w:val="20"/>
        <w:lang w:val="en-US"/>
      </w:rPr>
      <w:t>IOC/TOWS-WG-</w:t>
    </w:r>
    <w:r>
      <w:rPr>
        <w:rFonts w:ascii="Arial" w:hAnsi="Arial" w:cs="Arial"/>
        <w:sz w:val="20"/>
        <w:szCs w:val="20"/>
        <w:lang w:val="en-US"/>
      </w:rPr>
      <w:t>XV</w:t>
    </w:r>
    <w:r w:rsidR="0084325B">
      <w:rPr>
        <w:rFonts w:ascii="Arial" w:hAnsi="Arial" w:cs="Arial"/>
        <w:sz w:val="20"/>
        <w:szCs w:val="20"/>
        <w:lang w:val="en-US"/>
      </w:rPr>
      <w:t>I</w:t>
    </w:r>
    <w:r w:rsidR="002D2667">
      <w:rPr>
        <w:rFonts w:ascii="Arial" w:hAnsi="Arial" w:cs="Arial"/>
        <w:sz w:val="20"/>
        <w:szCs w:val="20"/>
        <w:lang w:val="en-US"/>
      </w:rPr>
      <w:t>II</w:t>
    </w:r>
  </w:p>
  <w:p w14:paraId="3F3DA7E1" w14:textId="67CDF9EF" w:rsidR="0084325B" w:rsidRPr="00737EF6" w:rsidRDefault="001312C4" w:rsidP="00EC419E">
    <w:pPr>
      <w:pStyle w:val="Header"/>
      <w:ind w:left="6946"/>
      <w:rPr>
        <w:rFonts w:ascii="Arial" w:hAnsi="Arial" w:cs="Arial"/>
        <w:sz w:val="20"/>
        <w:szCs w:val="20"/>
        <w:lang w:val="en-US"/>
      </w:rPr>
    </w:pPr>
    <w:proofErr w:type="spellStart"/>
    <w:proofErr w:type="gramStart"/>
    <w:r>
      <w:rPr>
        <w:rFonts w:ascii="Arial" w:hAnsi="Arial" w:cs="Arial"/>
        <w:sz w:val="20"/>
        <w:szCs w:val="20"/>
        <w:lang w:val="en-US"/>
      </w:rPr>
      <w:t>Ex.Sum</w:t>
    </w:r>
    <w:proofErr w:type="spellEnd"/>
    <w:proofErr w:type="gramEnd"/>
    <w:r w:rsidR="0084325B">
      <w:rPr>
        <w:rFonts w:ascii="Arial" w:hAnsi="Arial" w:cs="Arial"/>
        <w:sz w:val="20"/>
        <w:szCs w:val="20"/>
        <w:lang w:val="en-US"/>
      </w:rPr>
      <w:t xml:space="preserve"> – page 1</w:t>
    </w:r>
  </w:p>
  <w:p w14:paraId="0426C5BF" w14:textId="0C7D3F63" w:rsidR="008D0515" w:rsidRPr="00737EF6" w:rsidRDefault="0030792A" w:rsidP="00EC419E">
    <w:pPr>
      <w:pStyle w:val="Header"/>
      <w:ind w:left="6946" w:hanging="6946"/>
      <w:rPr>
        <w:lang w:val="en-US"/>
      </w:rPr>
    </w:pPr>
    <w:r w:rsidRPr="00737EF6">
      <w:rPr>
        <w:rFonts w:ascii="Arial" w:hAnsi="Arial" w:cs="Arial"/>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209"/>
    <w:multiLevelType w:val="hybridMultilevel"/>
    <w:tmpl w:val="2B7A700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15:restartNumberingAfterBreak="0">
    <w:nsid w:val="17793DFB"/>
    <w:multiLevelType w:val="hybridMultilevel"/>
    <w:tmpl w:val="A680EC52"/>
    <w:lvl w:ilvl="0" w:tplc="57806148">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2B5744"/>
    <w:multiLevelType w:val="singleLevel"/>
    <w:tmpl w:val="4ED6F432"/>
    <w:lvl w:ilvl="0">
      <w:start w:val="1"/>
      <w:numFmt w:val="lowerLetter"/>
      <w:lvlText w:val="%1)"/>
      <w:legacy w:legacy="1" w:legacySpace="113" w:legacyIndent="567"/>
      <w:lvlJc w:val="left"/>
      <w:pPr>
        <w:ind w:left="1248" w:hanging="567"/>
      </w:pPr>
    </w:lvl>
  </w:abstractNum>
  <w:abstractNum w:abstractNumId="3" w15:restartNumberingAfterBreak="0">
    <w:nsid w:val="1D63184D"/>
    <w:multiLevelType w:val="multilevel"/>
    <w:tmpl w:val="69625774"/>
    <w:lvl w:ilvl="0">
      <w:start w:val="1"/>
      <w:numFmt w:val="lowerLetter"/>
      <w:lvlText w:val="(%1)"/>
      <w:lvlJc w:val="left"/>
      <w:pPr>
        <w:tabs>
          <w:tab w:val="num" w:pos="567"/>
        </w:tabs>
        <w:ind w:left="567" w:hanging="567"/>
      </w:pPr>
      <w:rPr>
        <w:rFonts w:hint="default"/>
      </w:rPr>
    </w:lvl>
    <w:lvl w:ilvl="1">
      <w:start w:val="2"/>
      <w:numFmt w:val="decimal"/>
      <w:lvlText w:val="%2)"/>
      <w:lvlJc w:val="left"/>
      <w:pPr>
        <w:tabs>
          <w:tab w:val="num" w:pos="1440"/>
        </w:tabs>
        <w:ind w:left="1440" w:hanging="360"/>
      </w:pPr>
      <w:rPr>
        <w:rFonts w:hint="default"/>
      </w:r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6D61B7F"/>
    <w:multiLevelType w:val="hybridMultilevel"/>
    <w:tmpl w:val="3C420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54906"/>
    <w:multiLevelType w:val="hybridMultilevel"/>
    <w:tmpl w:val="6CB86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0D3866"/>
    <w:multiLevelType w:val="hybridMultilevel"/>
    <w:tmpl w:val="57FE47EC"/>
    <w:lvl w:ilvl="0" w:tplc="332EEF7E">
      <w:start w:val="31"/>
      <w:numFmt w:val="bullet"/>
      <w:lvlText w:val="-"/>
      <w:lvlJc w:val="left"/>
      <w:pPr>
        <w:ind w:left="720" w:hanging="360"/>
      </w:pPr>
      <w:rPr>
        <w:rFonts w:ascii="Arial" w:eastAsia="SimSu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D5B3B"/>
    <w:multiLevelType w:val="multilevel"/>
    <w:tmpl w:val="5F64E282"/>
    <w:lvl w:ilvl="0">
      <w:numFmt w:val="bullet"/>
      <w:lvlText w:val="-"/>
      <w:lvlJc w:val="left"/>
      <w:pPr>
        <w:ind w:left="1080" w:hanging="360"/>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37FC08C2"/>
    <w:multiLevelType w:val="hybridMultilevel"/>
    <w:tmpl w:val="47469484"/>
    <w:lvl w:ilvl="0" w:tplc="F79CC190">
      <w:start w:val="1"/>
      <w:numFmt w:val="lowerRoman"/>
      <w:lvlText w:val="%1."/>
      <w:lvlJc w:val="right"/>
      <w:pPr>
        <w:tabs>
          <w:tab w:val="num" w:pos="720"/>
        </w:tabs>
        <w:ind w:left="720" w:hanging="360"/>
      </w:pPr>
    </w:lvl>
    <w:lvl w:ilvl="1" w:tplc="361052FE" w:tentative="1">
      <w:start w:val="1"/>
      <w:numFmt w:val="lowerRoman"/>
      <w:lvlText w:val="%2."/>
      <w:lvlJc w:val="right"/>
      <w:pPr>
        <w:tabs>
          <w:tab w:val="num" w:pos="1440"/>
        </w:tabs>
        <w:ind w:left="1440" w:hanging="360"/>
      </w:pPr>
    </w:lvl>
    <w:lvl w:ilvl="2" w:tplc="465EF9C8" w:tentative="1">
      <w:start w:val="1"/>
      <w:numFmt w:val="lowerRoman"/>
      <w:lvlText w:val="%3."/>
      <w:lvlJc w:val="right"/>
      <w:pPr>
        <w:tabs>
          <w:tab w:val="num" w:pos="2160"/>
        </w:tabs>
        <w:ind w:left="2160" w:hanging="360"/>
      </w:pPr>
    </w:lvl>
    <w:lvl w:ilvl="3" w:tplc="30266DD4" w:tentative="1">
      <w:start w:val="1"/>
      <w:numFmt w:val="lowerRoman"/>
      <w:lvlText w:val="%4."/>
      <w:lvlJc w:val="right"/>
      <w:pPr>
        <w:tabs>
          <w:tab w:val="num" w:pos="2880"/>
        </w:tabs>
        <w:ind w:left="2880" w:hanging="360"/>
      </w:pPr>
    </w:lvl>
    <w:lvl w:ilvl="4" w:tplc="CC6E3D8A" w:tentative="1">
      <w:start w:val="1"/>
      <w:numFmt w:val="lowerRoman"/>
      <w:lvlText w:val="%5."/>
      <w:lvlJc w:val="right"/>
      <w:pPr>
        <w:tabs>
          <w:tab w:val="num" w:pos="3600"/>
        </w:tabs>
        <w:ind w:left="3600" w:hanging="360"/>
      </w:pPr>
    </w:lvl>
    <w:lvl w:ilvl="5" w:tplc="5A666302" w:tentative="1">
      <w:start w:val="1"/>
      <w:numFmt w:val="lowerRoman"/>
      <w:lvlText w:val="%6."/>
      <w:lvlJc w:val="right"/>
      <w:pPr>
        <w:tabs>
          <w:tab w:val="num" w:pos="4320"/>
        </w:tabs>
        <w:ind w:left="4320" w:hanging="360"/>
      </w:pPr>
    </w:lvl>
    <w:lvl w:ilvl="6" w:tplc="9D2AD670" w:tentative="1">
      <w:start w:val="1"/>
      <w:numFmt w:val="lowerRoman"/>
      <w:lvlText w:val="%7."/>
      <w:lvlJc w:val="right"/>
      <w:pPr>
        <w:tabs>
          <w:tab w:val="num" w:pos="5040"/>
        </w:tabs>
        <w:ind w:left="5040" w:hanging="360"/>
      </w:pPr>
    </w:lvl>
    <w:lvl w:ilvl="7" w:tplc="37808E64" w:tentative="1">
      <w:start w:val="1"/>
      <w:numFmt w:val="lowerRoman"/>
      <w:lvlText w:val="%8."/>
      <w:lvlJc w:val="right"/>
      <w:pPr>
        <w:tabs>
          <w:tab w:val="num" w:pos="5760"/>
        </w:tabs>
        <w:ind w:left="5760" w:hanging="360"/>
      </w:pPr>
    </w:lvl>
    <w:lvl w:ilvl="8" w:tplc="39C49CF2" w:tentative="1">
      <w:start w:val="1"/>
      <w:numFmt w:val="lowerRoman"/>
      <w:lvlText w:val="%9."/>
      <w:lvlJc w:val="right"/>
      <w:pPr>
        <w:tabs>
          <w:tab w:val="num" w:pos="6480"/>
        </w:tabs>
        <w:ind w:left="6480" w:hanging="360"/>
      </w:pPr>
    </w:lvl>
  </w:abstractNum>
  <w:abstractNum w:abstractNumId="9" w15:restartNumberingAfterBreak="0">
    <w:nsid w:val="39BA63A9"/>
    <w:multiLevelType w:val="hybridMultilevel"/>
    <w:tmpl w:val="AAEA7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2D1C85"/>
    <w:multiLevelType w:val="hybridMultilevel"/>
    <w:tmpl w:val="7FEC0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034502"/>
    <w:multiLevelType w:val="hybridMultilevel"/>
    <w:tmpl w:val="613811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7502A7"/>
    <w:multiLevelType w:val="hybridMultilevel"/>
    <w:tmpl w:val="51EE8688"/>
    <w:lvl w:ilvl="0" w:tplc="2B0CE24C">
      <w:start w:val="1"/>
      <w:numFmt w:val="bullet"/>
      <w:lvlText w:val="-"/>
      <w:lvlJc w:val="left"/>
      <w:pPr>
        <w:tabs>
          <w:tab w:val="num" w:pos="1080"/>
        </w:tabs>
        <w:ind w:left="1080" w:hanging="360"/>
      </w:pPr>
      <w:rPr>
        <w:rFonts w:ascii="Arial" w:eastAsia="Times New Roman" w:hAnsi="Arial" w:cs="Arial" w:hint="default"/>
      </w:rPr>
    </w:lvl>
    <w:lvl w:ilvl="1" w:tplc="FFFFFFFF" w:tentative="1">
      <w:start w:val="1"/>
      <w:numFmt w:val="lowerLetter"/>
      <w:lvlText w:val="%2)"/>
      <w:lvlJc w:val="left"/>
      <w:pPr>
        <w:tabs>
          <w:tab w:val="num" w:pos="1800"/>
        </w:tabs>
        <w:ind w:left="1800" w:hanging="360"/>
      </w:pPr>
    </w:lvl>
    <w:lvl w:ilvl="2" w:tplc="FFFFFFFF" w:tentative="1">
      <w:start w:val="1"/>
      <w:numFmt w:val="lowerLetter"/>
      <w:lvlText w:val="%3)"/>
      <w:lvlJc w:val="left"/>
      <w:pPr>
        <w:tabs>
          <w:tab w:val="num" w:pos="2520"/>
        </w:tabs>
        <w:ind w:left="2520" w:hanging="360"/>
      </w:pPr>
    </w:lvl>
    <w:lvl w:ilvl="3" w:tplc="FFFFFFFF" w:tentative="1">
      <w:start w:val="1"/>
      <w:numFmt w:val="lowerLetter"/>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abstractNum w:abstractNumId="13" w15:restartNumberingAfterBreak="0">
    <w:nsid w:val="48BA3A62"/>
    <w:multiLevelType w:val="multilevel"/>
    <w:tmpl w:val="E78C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F7702F"/>
    <w:multiLevelType w:val="hybridMultilevel"/>
    <w:tmpl w:val="37147F9A"/>
    <w:lvl w:ilvl="0" w:tplc="57806148">
      <w:start w:val="2"/>
      <w:numFmt w:val="bullet"/>
      <w:lvlText w:val="-"/>
      <w:lvlJc w:val="left"/>
      <w:pPr>
        <w:ind w:left="783" w:hanging="360"/>
      </w:pPr>
      <w:rPr>
        <w:rFonts w:ascii="Times New Roman" w:eastAsiaTheme="minorHAns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4D13261A"/>
    <w:multiLevelType w:val="hybridMultilevel"/>
    <w:tmpl w:val="CBF4E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8E5292"/>
    <w:multiLevelType w:val="hybridMultilevel"/>
    <w:tmpl w:val="EF5C2F06"/>
    <w:lvl w:ilvl="0" w:tplc="6A76A9DC">
      <w:numFmt w:val="bullet"/>
      <w:lvlText w:val=""/>
      <w:lvlJc w:val="left"/>
      <w:pPr>
        <w:ind w:left="120" w:hanging="360"/>
      </w:pPr>
      <w:rPr>
        <w:rFonts w:ascii="Symbol" w:eastAsia="Symbol" w:hAnsi="Symbol" w:cs="Symbol" w:hint="default"/>
        <w:w w:val="100"/>
        <w:sz w:val="24"/>
        <w:szCs w:val="24"/>
      </w:rPr>
    </w:lvl>
    <w:lvl w:ilvl="1" w:tplc="EE945CC4">
      <w:numFmt w:val="bullet"/>
      <w:lvlText w:val="•"/>
      <w:lvlJc w:val="left"/>
      <w:pPr>
        <w:ind w:left="1034" w:hanging="360"/>
      </w:pPr>
      <w:rPr>
        <w:rFonts w:hint="default"/>
      </w:rPr>
    </w:lvl>
    <w:lvl w:ilvl="2" w:tplc="4C6AEDE2">
      <w:numFmt w:val="bullet"/>
      <w:lvlText w:val="•"/>
      <w:lvlJc w:val="left"/>
      <w:pPr>
        <w:ind w:left="1949" w:hanging="360"/>
      </w:pPr>
      <w:rPr>
        <w:rFonts w:hint="default"/>
      </w:rPr>
    </w:lvl>
    <w:lvl w:ilvl="3" w:tplc="A85C6340">
      <w:numFmt w:val="bullet"/>
      <w:lvlText w:val="•"/>
      <w:lvlJc w:val="left"/>
      <w:pPr>
        <w:ind w:left="2863" w:hanging="360"/>
      </w:pPr>
      <w:rPr>
        <w:rFonts w:hint="default"/>
      </w:rPr>
    </w:lvl>
    <w:lvl w:ilvl="4" w:tplc="FAC63890">
      <w:numFmt w:val="bullet"/>
      <w:lvlText w:val="•"/>
      <w:lvlJc w:val="left"/>
      <w:pPr>
        <w:ind w:left="3778" w:hanging="360"/>
      </w:pPr>
      <w:rPr>
        <w:rFonts w:hint="default"/>
      </w:rPr>
    </w:lvl>
    <w:lvl w:ilvl="5" w:tplc="33884088">
      <w:numFmt w:val="bullet"/>
      <w:lvlText w:val="•"/>
      <w:lvlJc w:val="left"/>
      <w:pPr>
        <w:ind w:left="4693" w:hanging="360"/>
      </w:pPr>
      <w:rPr>
        <w:rFonts w:hint="default"/>
      </w:rPr>
    </w:lvl>
    <w:lvl w:ilvl="6" w:tplc="0C92B328">
      <w:numFmt w:val="bullet"/>
      <w:lvlText w:val="•"/>
      <w:lvlJc w:val="left"/>
      <w:pPr>
        <w:ind w:left="5607" w:hanging="360"/>
      </w:pPr>
      <w:rPr>
        <w:rFonts w:hint="default"/>
      </w:rPr>
    </w:lvl>
    <w:lvl w:ilvl="7" w:tplc="ABD472FA">
      <w:numFmt w:val="bullet"/>
      <w:lvlText w:val="•"/>
      <w:lvlJc w:val="left"/>
      <w:pPr>
        <w:ind w:left="6522" w:hanging="360"/>
      </w:pPr>
      <w:rPr>
        <w:rFonts w:hint="default"/>
      </w:rPr>
    </w:lvl>
    <w:lvl w:ilvl="8" w:tplc="449450A4">
      <w:numFmt w:val="bullet"/>
      <w:lvlText w:val="•"/>
      <w:lvlJc w:val="left"/>
      <w:pPr>
        <w:ind w:left="7437" w:hanging="360"/>
      </w:pPr>
      <w:rPr>
        <w:rFonts w:hint="default"/>
      </w:rPr>
    </w:lvl>
  </w:abstractNum>
  <w:abstractNum w:abstractNumId="17" w15:restartNumberingAfterBreak="0">
    <w:nsid w:val="4FCB584B"/>
    <w:multiLevelType w:val="hybridMultilevel"/>
    <w:tmpl w:val="09427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370BA2"/>
    <w:multiLevelType w:val="hybridMultilevel"/>
    <w:tmpl w:val="F9027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C856B9"/>
    <w:multiLevelType w:val="hybridMultilevel"/>
    <w:tmpl w:val="4F8ABAF0"/>
    <w:lvl w:ilvl="0" w:tplc="32AC4466">
      <w:start w:val="1"/>
      <w:numFmt w:val="lowerRoman"/>
      <w:lvlText w:val="(%1)"/>
      <w:lvlJc w:val="left"/>
      <w:pPr>
        <w:tabs>
          <w:tab w:val="num" w:pos="1440"/>
        </w:tabs>
        <w:ind w:left="1440" w:hanging="720"/>
      </w:pPr>
      <w:rPr>
        <w:rFonts w:ascii="Arial" w:eastAsia="Times New Roman" w:hAnsi="Arial" w:cs="Times" w:hint="default"/>
      </w:rPr>
    </w:lvl>
    <w:lvl w:ilvl="1" w:tplc="850CB13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56D6B6C"/>
    <w:multiLevelType w:val="hybridMultilevel"/>
    <w:tmpl w:val="A8FE8248"/>
    <w:lvl w:ilvl="0" w:tplc="72AA4670">
      <w:start w:val="1"/>
      <w:numFmt w:val="bullet"/>
      <w:lvlText w:val="•"/>
      <w:lvlJc w:val="left"/>
      <w:pPr>
        <w:tabs>
          <w:tab w:val="num" w:pos="720"/>
        </w:tabs>
        <w:ind w:left="720" w:hanging="360"/>
      </w:pPr>
      <w:rPr>
        <w:rFonts w:ascii="Arial" w:hAnsi="Arial" w:hint="default"/>
      </w:rPr>
    </w:lvl>
    <w:lvl w:ilvl="1" w:tplc="83B66524" w:tentative="1">
      <w:start w:val="1"/>
      <w:numFmt w:val="bullet"/>
      <w:lvlText w:val="•"/>
      <w:lvlJc w:val="left"/>
      <w:pPr>
        <w:tabs>
          <w:tab w:val="num" w:pos="1440"/>
        </w:tabs>
        <w:ind w:left="1440" w:hanging="360"/>
      </w:pPr>
      <w:rPr>
        <w:rFonts w:ascii="Arial" w:hAnsi="Arial" w:hint="default"/>
      </w:rPr>
    </w:lvl>
    <w:lvl w:ilvl="2" w:tplc="8B72FC96" w:tentative="1">
      <w:start w:val="1"/>
      <w:numFmt w:val="bullet"/>
      <w:lvlText w:val="•"/>
      <w:lvlJc w:val="left"/>
      <w:pPr>
        <w:tabs>
          <w:tab w:val="num" w:pos="2160"/>
        </w:tabs>
        <w:ind w:left="2160" w:hanging="360"/>
      </w:pPr>
      <w:rPr>
        <w:rFonts w:ascii="Arial" w:hAnsi="Arial" w:hint="default"/>
      </w:rPr>
    </w:lvl>
    <w:lvl w:ilvl="3" w:tplc="9C96D374" w:tentative="1">
      <w:start w:val="1"/>
      <w:numFmt w:val="bullet"/>
      <w:lvlText w:val="•"/>
      <w:lvlJc w:val="left"/>
      <w:pPr>
        <w:tabs>
          <w:tab w:val="num" w:pos="2880"/>
        </w:tabs>
        <w:ind w:left="2880" w:hanging="360"/>
      </w:pPr>
      <w:rPr>
        <w:rFonts w:ascii="Arial" w:hAnsi="Arial" w:hint="default"/>
      </w:rPr>
    </w:lvl>
    <w:lvl w:ilvl="4" w:tplc="9FEA3B9E" w:tentative="1">
      <w:start w:val="1"/>
      <w:numFmt w:val="bullet"/>
      <w:lvlText w:val="•"/>
      <w:lvlJc w:val="left"/>
      <w:pPr>
        <w:tabs>
          <w:tab w:val="num" w:pos="3600"/>
        </w:tabs>
        <w:ind w:left="3600" w:hanging="360"/>
      </w:pPr>
      <w:rPr>
        <w:rFonts w:ascii="Arial" w:hAnsi="Arial" w:hint="default"/>
      </w:rPr>
    </w:lvl>
    <w:lvl w:ilvl="5" w:tplc="AB5696DC" w:tentative="1">
      <w:start w:val="1"/>
      <w:numFmt w:val="bullet"/>
      <w:lvlText w:val="•"/>
      <w:lvlJc w:val="left"/>
      <w:pPr>
        <w:tabs>
          <w:tab w:val="num" w:pos="4320"/>
        </w:tabs>
        <w:ind w:left="4320" w:hanging="360"/>
      </w:pPr>
      <w:rPr>
        <w:rFonts w:ascii="Arial" w:hAnsi="Arial" w:hint="default"/>
      </w:rPr>
    </w:lvl>
    <w:lvl w:ilvl="6" w:tplc="FE049634" w:tentative="1">
      <w:start w:val="1"/>
      <w:numFmt w:val="bullet"/>
      <w:lvlText w:val="•"/>
      <w:lvlJc w:val="left"/>
      <w:pPr>
        <w:tabs>
          <w:tab w:val="num" w:pos="5040"/>
        </w:tabs>
        <w:ind w:left="5040" w:hanging="360"/>
      </w:pPr>
      <w:rPr>
        <w:rFonts w:ascii="Arial" w:hAnsi="Arial" w:hint="default"/>
      </w:rPr>
    </w:lvl>
    <w:lvl w:ilvl="7" w:tplc="CD76DB3E" w:tentative="1">
      <w:start w:val="1"/>
      <w:numFmt w:val="bullet"/>
      <w:lvlText w:val="•"/>
      <w:lvlJc w:val="left"/>
      <w:pPr>
        <w:tabs>
          <w:tab w:val="num" w:pos="5760"/>
        </w:tabs>
        <w:ind w:left="5760" w:hanging="360"/>
      </w:pPr>
      <w:rPr>
        <w:rFonts w:ascii="Arial" w:hAnsi="Arial" w:hint="default"/>
      </w:rPr>
    </w:lvl>
    <w:lvl w:ilvl="8" w:tplc="67ACC18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0E30A9"/>
    <w:multiLevelType w:val="hybridMultilevel"/>
    <w:tmpl w:val="ED1265AE"/>
    <w:lvl w:ilvl="0" w:tplc="83689A54">
      <w:start w:val="500"/>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091BAC"/>
    <w:multiLevelType w:val="multilevel"/>
    <w:tmpl w:val="878EC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B4668B"/>
    <w:multiLevelType w:val="hybridMultilevel"/>
    <w:tmpl w:val="39E09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0" w:hanging="360"/>
      </w:pPr>
      <w:rPr>
        <w:rFonts w:ascii="Courier New" w:hAnsi="Courier New" w:cs="Courier New" w:hint="default"/>
      </w:rPr>
    </w:lvl>
    <w:lvl w:ilvl="2" w:tplc="040C0005" w:tentative="1">
      <w:start w:val="1"/>
      <w:numFmt w:val="bullet"/>
      <w:lvlText w:val=""/>
      <w:lvlJc w:val="left"/>
      <w:pPr>
        <w:ind w:left="720" w:hanging="360"/>
      </w:pPr>
      <w:rPr>
        <w:rFonts w:ascii="Wingdings" w:hAnsi="Wingdings" w:hint="default"/>
      </w:rPr>
    </w:lvl>
    <w:lvl w:ilvl="3" w:tplc="040C0001" w:tentative="1">
      <w:start w:val="1"/>
      <w:numFmt w:val="bullet"/>
      <w:lvlText w:val=""/>
      <w:lvlJc w:val="left"/>
      <w:pPr>
        <w:ind w:left="1440" w:hanging="360"/>
      </w:pPr>
      <w:rPr>
        <w:rFonts w:ascii="Symbol" w:hAnsi="Symbol" w:hint="default"/>
      </w:rPr>
    </w:lvl>
    <w:lvl w:ilvl="4" w:tplc="040C0003" w:tentative="1">
      <w:start w:val="1"/>
      <w:numFmt w:val="bullet"/>
      <w:lvlText w:val="o"/>
      <w:lvlJc w:val="left"/>
      <w:pPr>
        <w:ind w:left="2160" w:hanging="360"/>
      </w:pPr>
      <w:rPr>
        <w:rFonts w:ascii="Courier New" w:hAnsi="Courier New" w:cs="Courier New" w:hint="default"/>
      </w:rPr>
    </w:lvl>
    <w:lvl w:ilvl="5" w:tplc="040C0005" w:tentative="1">
      <w:start w:val="1"/>
      <w:numFmt w:val="bullet"/>
      <w:lvlText w:val=""/>
      <w:lvlJc w:val="left"/>
      <w:pPr>
        <w:ind w:left="2880" w:hanging="360"/>
      </w:pPr>
      <w:rPr>
        <w:rFonts w:ascii="Wingdings" w:hAnsi="Wingdings" w:hint="default"/>
      </w:rPr>
    </w:lvl>
    <w:lvl w:ilvl="6" w:tplc="040C0001" w:tentative="1">
      <w:start w:val="1"/>
      <w:numFmt w:val="bullet"/>
      <w:lvlText w:val=""/>
      <w:lvlJc w:val="left"/>
      <w:pPr>
        <w:ind w:left="3600" w:hanging="360"/>
      </w:pPr>
      <w:rPr>
        <w:rFonts w:ascii="Symbol" w:hAnsi="Symbol" w:hint="default"/>
      </w:rPr>
    </w:lvl>
    <w:lvl w:ilvl="7" w:tplc="040C0003" w:tentative="1">
      <w:start w:val="1"/>
      <w:numFmt w:val="bullet"/>
      <w:lvlText w:val="o"/>
      <w:lvlJc w:val="left"/>
      <w:pPr>
        <w:ind w:left="4320" w:hanging="360"/>
      </w:pPr>
      <w:rPr>
        <w:rFonts w:ascii="Courier New" w:hAnsi="Courier New" w:cs="Courier New" w:hint="default"/>
      </w:rPr>
    </w:lvl>
    <w:lvl w:ilvl="8" w:tplc="040C0005" w:tentative="1">
      <w:start w:val="1"/>
      <w:numFmt w:val="bullet"/>
      <w:lvlText w:val=""/>
      <w:lvlJc w:val="left"/>
      <w:pPr>
        <w:ind w:left="5040" w:hanging="360"/>
      </w:pPr>
      <w:rPr>
        <w:rFonts w:ascii="Wingdings" w:hAnsi="Wingdings" w:hint="default"/>
      </w:rPr>
    </w:lvl>
  </w:abstractNum>
  <w:abstractNum w:abstractNumId="24" w15:restartNumberingAfterBreak="0">
    <w:nsid w:val="61FD02C1"/>
    <w:multiLevelType w:val="hybridMultilevel"/>
    <w:tmpl w:val="858817E2"/>
    <w:lvl w:ilvl="0" w:tplc="5780614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2D231D"/>
    <w:multiLevelType w:val="hybridMultilevel"/>
    <w:tmpl w:val="91E43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0A576E"/>
    <w:multiLevelType w:val="hybridMultilevel"/>
    <w:tmpl w:val="B0461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20206C"/>
    <w:multiLevelType w:val="hybridMultilevel"/>
    <w:tmpl w:val="FCE45B32"/>
    <w:lvl w:ilvl="0" w:tplc="4AE2166A">
      <w:start w:val="1"/>
      <w:numFmt w:val="lowerRoman"/>
      <w:lvlText w:val="(%1)"/>
      <w:lvlJc w:val="right"/>
      <w:pPr>
        <w:ind w:left="720" w:hanging="360"/>
      </w:pPr>
      <w:rPr>
        <w:rFonts w:hint="default"/>
        <w:w w:val="99"/>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AFE3883"/>
    <w:multiLevelType w:val="hybridMultilevel"/>
    <w:tmpl w:val="82F22282"/>
    <w:lvl w:ilvl="0" w:tplc="4EC2E8EC">
      <w:start w:val="1"/>
      <w:numFmt w:val="decimal"/>
      <w:lvlText w:val="%1."/>
      <w:lvlJc w:val="left"/>
      <w:pPr>
        <w:ind w:left="480" w:hanging="360"/>
      </w:pPr>
      <w:rPr>
        <w:rFonts w:ascii="Calibri" w:eastAsia="Calibri" w:hAnsi="Calibri" w:cs="Calibri" w:hint="default"/>
        <w:b/>
        <w:bCs/>
        <w:spacing w:val="-2"/>
        <w:w w:val="100"/>
        <w:sz w:val="24"/>
        <w:szCs w:val="24"/>
      </w:rPr>
    </w:lvl>
    <w:lvl w:ilvl="1" w:tplc="587CF21E">
      <w:start w:val="1"/>
      <w:numFmt w:val="decimal"/>
      <w:lvlText w:val="%2."/>
      <w:lvlJc w:val="left"/>
      <w:pPr>
        <w:ind w:left="840" w:hanging="360"/>
      </w:pPr>
      <w:rPr>
        <w:rFonts w:ascii="Calibri" w:eastAsia="Calibri" w:hAnsi="Calibri" w:cs="Calibri" w:hint="default"/>
        <w:spacing w:val="-4"/>
        <w:w w:val="100"/>
        <w:sz w:val="24"/>
        <w:szCs w:val="24"/>
      </w:rPr>
    </w:lvl>
    <w:lvl w:ilvl="2" w:tplc="292E3EC2">
      <w:numFmt w:val="bullet"/>
      <w:lvlText w:val=""/>
      <w:lvlJc w:val="left"/>
      <w:pPr>
        <w:ind w:left="1200" w:hanging="360"/>
      </w:pPr>
      <w:rPr>
        <w:rFonts w:ascii="Symbol" w:eastAsia="Symbol" w:hAnsi="Symbol" w:cs="Symbol" w:hint="default"/>
        <w:w w:val="100"/>
        <w:sz w:val="24"/>
        <w:szCs w:val="24"/>
      </w:rPr>
    </w:lvl>
    <w:lvl w:ilvl="3" w:tplc="26480B4C">
      <w:numFmt w:val="bullet"/>
      <w:lvlText w:val="•"/>
      <w:lvlJc w:val="left"/>
      <w:pPr>
        <w:ind w:left="2208" w:hanging="360"/>
      </w:pPr>
      <w:rPr>
        <w:rFonts w:hint="default"/>
      </w:rPr>
    </w:lvl>
    <w:lvl w:ilvl="4" w:tplc="B2E45D34">
      <w:numFmt w:val="bullet"/>
      <w:lvlText w:val="•"/>
      <w:lvlJc w:val="left"/>
      <w:pPr>
        <w:ind w:left="3216" w:hanging="360"/>
      </w:pPr>
      <w:rPr>
        <w:rFonts w:hint="default"/>
      </w:rPr>
    </w:lvl>
    <w:lvl w:ilvl="5" w:tplc="096A9590">
      <w:numFmt w:val="bullet"/>
      <w:lvlText w:val="•"/>
      <w:lvlJc w:val="left"/>
      <w:pPr>
        <w:ind w:left="4224" w:hanging="360"/>
      </w:pPr>
      <w:rPr>
        <w:rFonts w:hint="default"/>
      </w:rPr>
    </w:lvl>
    <w:lvl w:ilvl="6" w:tplc="52EA341A">
      <w:numFmt w:val="bullet"/>
      <w:lvlText w:val="•"/>
      <w:lvlJc w:val="left"/>
      <w:pPr>
        <w:ind w:left="5233" w:hanging="360"/>
      </w:pPr>
      <w:rPr>
        <w:rFonts w:hint="default"/>
      </w:rPr>
    </w:lvl>
    <w:lvl w:ilvl="7" w:tplc="1004ECFA">
      <w:numFmt w:val="bullet"/>
      <w:lvlText w:val="•"/>
      <w:lvlJc w:val="left"/>
      <w:pPr>
        <w:ind w:left="6241" w:hanging="360"/>
      </w:pPr>
      <w:rPr>
        <w:rFonts w:hint="default"/>
      </w:rPr>
    </w:lvl>
    <w:lvl w:ilvl="8" w:tplc="E3829AC0">
      <w:numFmt w:val="bullet"/>
      <w:lvlText w:val="•"/>
      <w:lvlJc w:val="left"/>
      <w:pPr>
        <w:ind w:left="7249" w:hanging="360"/>
      </w:pPr>
      <w:rPr>
        <w:rFonts w:hint="default"/>
      </w:rPr>
    </w:lvl>
  </w:abstractNum>
  <w:abstractNum w:abstractNumId="29" w15:restartNumberingAfterBreak="0">
    <w:nsid w:val="7B472F11"/>
    <w:multiLevelType w:val="multilevel"/>
    <w:tmpl w:val="CAA6D6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7E1B286F"/>
    <w:multiLevelType w:val="hybridMultilevel"/>
    <w:tmpl w:val="E9922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48639">
    <w:abstractNumId w:val="29"/>
  </w:num>
  <w:num w:numId="2" w16cid:durableId="743526439">
    <w:abstractNumId w:val="19"/>
  </w:num>
  <w:num w:numId="3" w16cid:durableId="1748846677">
    <w:abstractNumId w:val="3"/>
  </w:num>
  <w:num w:numId="4" w16cid:durableId="1695770385">
    <w:abstractNumId w:val="24"/>
  </w:num>
  <w:num w:numId="5" w16cid:durableId="25639160">
    <w:abstractNumId w:val="21"/>
  </w:num>
  <w:num w:numId="6" w16cid:durableId="1672290254">
    <w:abstractNumId w:val="2"/>
  </w:num>
  <w:num w:numId="7" w16cid:durableId="1404910789">
    <w:abstractNumId w:val="28"/>
  </w:num>
  <w:num w:numId="8" w16cid:durableId="1684092376">
    <w:abstractNumId w:val="16"/>
  </w:num>
  <w:num w:numId="9" w16cid:durableId="2012026438">
    <w:abstractNumId w:val="27"/>
  </w:num>
  <w:num w:numId="10" w16cid:durableId="1839344981">
    <w:abstractNumId w:val="22"/>
  </w:num>
  <w:num w:numId="11" w16cid:durableId="1403525914">
    <w:abstractNumId w:val="13"/>
  </w:num>
  <w:num w:numId="12" w16cid:durableId="2062750167">
    <w:abstractNumId w:val="20"/>
  </w:num>
  <w:num w:numId="13" w16cid:durableId="1291130068">
    <w:abstractNumId w:val="12"/>
  </w:num>
  <w:num w:numId="14" w16cid:durableId="1337801306">
    <w:abstractNumId w:val="4"/>
  </w:num>
  <w:num w:numId="15" w16cid:durableId="1121847030">
    <w:abstractNumId w:val="7"/>
  </w:num>
  <w:num w:numId="16" w16cid:durableId="943612068">
    <w:abstractNumId w:val="18"/>
  </w:num>
  <w:num w:numId="17" w16cid:durableId="1092315763">
    <w:abstractNumId w:val="30"/>
  </w:num>
  <w:num w:numId="18" w16cid:durableId="421880987">
    <w:abstractNumId w:val="1"/>
  </w:num>
  <w:num w:numId="19" w16cid:durableId="2130586811">
    <w:abstractNumId w:val="14"/>
  </w:num>
  <w:num w:numId="20" w16cid:durableId="1957788447">
    <w:abstractNumId w:val="5"/>
  </w:num>
  <w:num w:numId="21" w16cid:durableId="509031190">
    <w:abstractNumId w:val="0"/>
  </w:num>
  <w:num w:numId="22" w16cid:durableId="191312131">
    <w:abstractNumId w:val="26"/>
  </w:num>
  <w:num w:numId="23" w16cid:durableId="1407607989">
    <w:abstractNumId w:val="23"/>
  </w:num>
  <w:num w:numId="24" w16cid:durableId="648678715">
    <w:abstractNumId w:val="17"/>
  </w:num>
  <w:num w:numId="25" w16cid:durableId="294264088">
    <w:abstractNumId w:val="15"/>
  </w:num>
  <w:num w:numId="26" w16cid:durableId="280039461">
    <w:abstractNumId w:val="6"/>
  </w:num>
  <w:num w:numId="27" w16cid:durableId="645858698">
    <w:abstractNumId w:val="11"/>
  </w:num>
  <w:num w:numId="28" w16cid:durableId="1197087122">
    <w:abstractNumId w:val="8"/>
  </w:num>
  <w:num w:numId="29" w16cid:durableId="914124571">
    <w:abstractNumId w:val="10"/>
  </w:num>
  <w:num w:numId="30" w16cid:durableId="623774025">
    <w:abstractNumId w:val="25"/>
  </w:num>
  <w:num w:numId="31" w16cid:durableId="1554200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F6"/>
    <w:rsid w:val="00002823"/>
    <w:rsid w:val="0000305D"/>
    <w:rsid w:val="00005A92"/>
    <w:rsid w:val="0001005D"/>
    <w:rsid w:val="00010B1F"/>
    <w:rsid w:val="000111B9"/>
    <w:rsid w:val="0001590D"/>
    <w:rsid w:val="0002222F"/>
    <w:rsid w:val="00022CD3"/>
    <w:rsid w:val="00026433"/>
    <w:rsid w:val="0002652C"/>
    <w:rsid w:val="00030813"/>
    <w:rsid w:val="00030814"/>
    <w:rsid w:val="000329F1"/>
    <w:rsid w:val="00032F0E"/>
    <w:rsid w:val="0003322F"/>
    <w:rsid w:val="00033790"/>
    <w:rsid w:val="0003485F"/>
    <w:rsid w:val="0004076A"/>
    <w:rsid w:val="00042A4C"/>
    <w:rsid w:val="00056C01"/>
    <w:rsid w:val="00060FC7"/>
    <w:rsid w:val="00066251"/>
    <w:rsid w:val="00066A91"/>
    <w:rsid w:val="00066BA4"/>
    <w:rsid w:val="00071144"/>
    <w:rsid w:val="00073F96"/>
    <w:rsid w:val="00074905"/>
    <w:rsid w:val="0007674F"/>
    <w:rsid w:val="000853B5"/>
    <w:rsid w:val="000875B6"/>
    <w:rsid w:val="0009573D"/>
    <w:rsid w:val="000A04CF"/>
    <w:rsid w:val="000A0A6A"/>
    <w:rsid w:val="000A5AAD"/>
    <w:rsid w:val="000B0D0E"/>
    <w:rsid w:val="000B274D"/>
    <w:rsid w:val="000D07FD"/>
    <w:rsid w:val="000D268B"/>
    <w:rsid w:val="000D3BD5"/>
    <w:rsid w:val="000D7412"/>
    <w:rsid w:val="000E24B1"/>
    <w:rsid w:val="000F6C4B"/>
    <w:rsid w:val="001071D0"/>
    <w:rsid w:val="001257DF"/>
    <w:rsid w:val="001312C4"/>
    <w:rsid w:val="00132F47"/>
    <w:rsid w:val="00140D01"/>
    <w:rsid w:val="001477A5"/>
    <w:rsid w:val="00150333"/>
    <w:rsid w:val="0015210E"/>
    <w:rsid w:val="00152B33"/>
    <w:rsid w:val="001631B3"/>
    <w:rsid w:val="00181D48"/>
    <w:rsid w:val="00183ABF"/>
    <w:rsid w:val="0019767C"/>
    <w:rsid w:val="001A5EA2"/>
    <w:rsid w:val="001A69B3"/>
    <w:rsid w:val="001A7B53"/>
    <w:rsid w:val="001D0128"/>
    <w:rsid w:val="001D0A49"/>
    <w:rsid w:val="001D18E1"/>
    <w:rsid w:val="001D1E2F"/>
    <w:rsid w:val="001D3212"/>
    <w:rsid w:val="001D3804"/>
    <w:rsid w:val="001D43E8"/>
    <w:rsid w:val="001E2383"/>
    <w:rsid w:val="001E5E49"/>
    <w:rsid w:val="002000D9"/>
    <w:rsid w:val="0020122E"/>
    <w:rsid w:val="00202472"/>
    <w:rsid w:val="00207BCB"/>
    <w:rsid w:val="00214AB4"/>
    <w:rsid w:val="00215384"/>
    <w:rsid w:val="00216DA9"/>
    <w:rsid w:val="002212AF"/>
    <w:rsid w:val="00223936"/>
    <w:rsid w:val="00223DCA"/>
    <w:rsid w:val="0022622E"/>
    <w:rsid w:val="00227139"/>
    <w:rsid w:val="00237FBC"/>
    <w:rsid w:val="002421F8"/>
    <w:rsid w:val="0024237C"/>
    <w:rsid w:val="00242B76"/>
    <w:rsid w:val="00244722"/>
    <w:rsid w:val="00244C70"/>
    <w:rsid w:val="00254948"/>
    <w:rsid w:val="00282EE1"/>
    <w:rsid w:val="002839D1"/>
    <w:rsid w:val="00297504"/>
    <w:rsid w:val="002A7AA2"/>
    <w:rsid w:val="002B03C6"/>
    <w:rsid w:val="002B14DA"/>
    <w:rsid w:val="002B54CC"/>
    <w:rsid w:val="002B71A8"/>
    <w:rsid w:val="002C3659"/>
    <w:rsid w:val="002C3DE1"/>
    <w:rsid w:val="002C433F"/>
    <w:rsid w:val="002D2667"/>
    <w:rsid w:val="002D377E"/>
    <w:rsid w:val="002D6796"/>
    <w:rsid w:val="002E2C72"/>
    <w:rsid w:val="003023FD"/>
    <w:rsid w:val="00303793"/>
    <w:rsid w:val="003064A7"/>
    <w:rsid w:val="0030792A"/>
    <w:rsid w:val="00310397"/>
    <w:rsid w:val="00313C4E"/>
    <w:rsid w:val="003147CD"/>
    <w:rsid w:val="0031483B"/>
    <w:rsid w:val="00314941"/>
    <w:rsid w:val="00317EEE"/>
    <w:rsid w:val="0032022B"/>
    <w:rsid w:val="003215A5"/>
    <w:rsid w:val="0032246B"/>
    <w:rsid w:val="003230D2"/>
    <w:rsid w:val="003332AA"/>
    <w:rsid w:val="00336B50"/>
    <w:rsid w:val="003417F2"/>
    <w:rsid w:val="003463A8"/>
    <w:rsid w:val="00347166"/>
    <w:rsid w:val="003550B2"/>
    <w:rsid w:val="00357F56"/>
    <w:rsid w:val="00365986"/>
    <w:rsid w:val="00366138"/>
    <w:rsid w:val="0036660E"/>
    <w:rsid w:val="00372CF3"/>
    <w:rsid w:val="0037506E"/>
    <w:rsid w:val="003879B1"/>
    <w:rsid w:val="003924D7"/>
    <w:rsid w:val="00395C53"/>
    <w:rsid w:val="003A63EB"/>
    <w:rsid w:val="003A742C"/>
    <w:rsid w:val="003B0437"/>
    <w:rsid w:val="003B0FD5"/>
    <w:rsid w:val="003B165D"/>
    <w:rsid w:val="003B58F2"/>
    <w:rsid w:val="003B6062"/>
    <w:rsid w:val="003B60D4"/>
    <w:rsid w:val="003C730A"/>
    <w:rsid w:val="003D0AE4"/>
    <w:rsid w:val="003D2E45"/>
    <w:rsid w:val="003E086B"/>
    <w:rsid w:val="003E229C"/>
    <w:rsid w:val="003E2856"/>
    <w:rsid w:val="003E63D3"/>
    <w:rsid w:val="003E729F"/>
    <w:rsid w:val="003E7B3E"/>
    <w:rsid w:val="003F13D1"/>
    <w:rsid w:val="003F36B1"/>
    <w:rsid w:val="003F415A"/>
    <w:rsid w:val="003F5720"/>
    <w:rsid w:val="004000F6"/>
    <w:rsid w:val="00400DEC"/>
    <w:rsid w:val="00405DA2"/>
    <w:rsid w:val="0041328C"/>
    <w:rsid w:val="004136D8"/>
    <w:rsid w:val="00427238"/>
    <w:rsid w:val="004409D3"/>
    <w:rsid w:val="00446127"/>
    <w:rsid w:val="00447FA7"/>
    <w:rsid w:val="00451C59"/>
    <w:rsid w:val="0045611F"/>
    <w:rsid w:val="00457D99"/>
    <w:rsid w:val="004609B6"/>
    <w:rsid w:val="00461A32"/>
    <w:rsid w:val="00465E82"/>
    <w:rsid w:val="00467CD3"/>
    <w:rsid w:val="00472635"/>
    <w:rsid w:val="00473F4F"/>
    <w:rsid w:val="00480B1D"/>
    <w:rsid w:val="00482FF8"/>
    <w:rsid w:val="00495334"/>
    <w:rsid w:val="004A2CC6"/>
    <w:rsid w:val="004A6DD3"/>
    <w:rsid w:val="004B415C"/>
    <w:rsid w:val="004B4B32"/>
    <w:rsid w:val="004B7343"/>
    <w:rsid w:val="004C213B"/>
    <w:rsid w:val="004C350D"/>
    <w:rsid w:val="004C42DC"/>
    <w:rsid w:val="004C59BD"/>
    <w:rsid w:val="004D5D21"/>
    <w:rsid w:val="004D651E"/>
    <w:rsid w:val="004E29DA"/>
    <w:rsid w:val="004E2FF7"/>
    <w:rsid w:val="004F0469"/>
    <w:rsid w:val="004F210E"/>
    <w:rsid w:val="004F51E1"/>
    <w:rsid w:val="00500CDA"/>
    <w:rsid w:val="00500D06"/>
    <w:rsid w:val="00503C4C"/>
    <w:rsid w:val="00517FD4"/>
    <w:rsid w:val="00520A67"/>
    <w:rsid w:val="0052183A"/>
    <w:rsid w:val="005322F7"/>
    <w:rsid w:val="00544ACC"/>
    <w:rsid w:val="005478E2"/>
    <w:rsid w:val="00563642"/>
    <w:rsid w:val="00565691"/>
    <w:rsid w:val="00566E0B"/>
    <w:rsid w:val="00571852"/>
    <w:rsid w:val="0057307B"/>
    <w:rsid w:val="00573CC4"/>
    <w:rsid w:val="00582049"/>
    <w:rsid w:val="00582DE2"/>
    <w:rsid w:val="0058353A"/>
    <w:rsid w:val="00583E56"/>
    <w:rsid w:val="005844BD"/>
    <w:rsid w:val="005905B7"/>
    <w:rsid w:val="005918AC"/>
    <w:rsid w:val="00595FC8"/>
    <w:rsid w:val="005A4FB1"/>
    <w:rsid w:val="005B1445"/>
    <w:rsid w:val="005B29D4"/>
    <w:rsid w:val="005B638E"/>
    <w:rsid w:val="005C26A9"/>
    <w:rsid w:val="005C6750"/>
    <w:rsid w:val="005D1483"/>
    <w:rsid w:val="005D32F0"/>
    <w:rsid w:val="005E1E5A"/>
    <w:rsid w:val="005E26FE"/>
    <w:rsid w:val="005E4AE8"/>
    <w:rsid w:val="005E5462"/>
    <w:rsid w:val="005E6306"/>
    <w:rsid w:val="005F4853"/>
    <w:rsid w:val="005F6506"/>
    <w:rsid w:val="005F737B"/>
    <w:rsid w:val="00600793"/>
    <w:rsid w:val="00602C30"/>
    <w:rsid w:val="0061151C"/>
    <w:rsid w:val="00624110"/>
    <w:rsid w:val="00625AB3"/>
    <w:rsid w:val="006263FC"/>
    <w:rsid w:val="006379A3"/>
    <w:rsid w:val="00644256"/>
    <w:rsid w:val="00645F15"/>
    <w:rsid w:val="00650F70"/>
    <w:rsid w:val="00653C53"/>
    <w:rsid w:val="00656A48"/>
    <w:rsid w:val="00656B09"/>
    <w:rsid w:val="00675005"/>
    <w:rsid w:val="00693083"/>
    <w:rsid w:val="00693C2B"/>
    <w:rsid w:val="00694937"/>
    <w:rsid w:val="006A2495"/>
    <w:rsid w:val="006A63C1"/>
    <w:rsid w:val="006B2AD2"/>
    <w:rsid w:val="006B7550"/>
    <w:rsid w:val="006B790C"/>
    <w:rsid w:val="006C41D0"/>
    <w:rsid w:val="006E077B"/>
    <w:rsid w:val="006E0DA4"/>
    <w:rsid w:val="006E1AC9"/>
    <w:rsid w:val="006F07F3"/>
    <w:rsid w:val="006F6B18"/>
    <w:rsid w:val="00701554"/>
    <w:rsid w:val="0070187D"/>
    <w:rsid w:val="00704A5E"/>
    <w:rsid w:val="00710DF7"/>
    <w:rsid w:val="00725F62"/>
    <w:rsid w:val="007330C0"/>
    <w:rsid w:val="00735847"/>
    <w:rsid w:val="007369AF"/>
    <w:rsid w:val="00737EF6"/>
    <w:rsid w:val="007438AA"/>
    <w:rsid w:val="007769E8"/>
    <w:rsid w:val="00784C4F"/>
    <w:rsid w:val="00785E06"/>
    <w:rsid w:val="00786453"/>
    <w:rsid w:val="00791921"/>
    <w:rsid w:val="007A33DE"/>
    <w:rsid w:val="007A3439"/>
    <w:rsid w:val="007A6FE0"/>
    <w:rsid w:val="007C06E2"/>
    <w:rsid w:val="007C1B6D"/>
    <w:rsid w:val="007D113E"/>
    <w:rsid w:val="007D33E6"/>
    <w:rsid w:val="007E7940"/>
    <w:rsid w:val="007E7A4A"/>
    <w:rsid w:val="007F1F06"/>
    <w:rsid w:val="00800018"/>
    <w:rsid w:val="008011B4"/>
    <w:rsid w:val="0080121F"/>
    <w:rsid w:val="00803994"/>
    <w:rsid w:val="0080798C"/>
    <w:rsid w:val="008112D7"/>
    <w:rsid w:val="00811692"/>
    <w:rsid w:val="00811F7C"/>
    <w:rsid w:val="008140A6"/>
    <w:rsid w:val="0081446E"/>
    <w:rsid w:val="008159A3"/>
    <w:rsid w:val="0082372E"/>
    <w:rsid w:val="008253DB"/>
    <w:rsid w:val="00832750"/>
    <w:rsid w:val="00835553"/>
    <w:rsid w:val="00837094"/>
    <w:rsid w:val="00837324"/>
    <w:rsid w:val="00840C8E"/>
    <w:rsid w:val="0084325B"/>
    <w:rsid w:val="00843A01"/>
    <w:rsid w:val="00846B20"/>
    <w:rsid w:val="008477E5"/>
    <w:rsid w:val="00850E20"/>
    <w:rsid w:val="00851170"/>
    <w:rsid w:val="00854CC6"/>
    <w:rsid w:val="00855FFA"/>
    <w:rsid w:val="00865351"/>
    <w:rsid w:val="0087301A"/>
    <w:rsid w:val="008744B1"/>
    <w:rsid w:val="00876DA6"/>
    <w:rsid w:val="0087705D"/>
    <w:rsid w:val="00880F3B"/>
    <w:rsid w:val="00881073"/>
    <w:rsid w:val="00883A45"/>
    <w:rsid w:val="008844FE"/>
    <w:rsid w:val="008879AB"/>
    <w:rsid w:val="00891AAF"/>
    <w:rsid w:val="00895A0A"/>
    <w:rsid w:val="00897F39"/>
    <w:rsid w:val="008A087F"/>
    <w:rsid w:val="008A0B0E"/>
    <w:rsid w:val="008A2423"/>
    <w:rsid w:val="008A2DBF"/>
    <w:rsid w:val="008A3D28"/>
    <w:rsid w:val="008C1976"/>
    <w:rsid w:val="008C3FB9"/>
    <w:rsid w:val="008C421A"/>
    <w:rsid w:val="008C47C6"/>
    <w:rsid w:val="008D0515"/>
    <w:rsid w:val="008D089A"/>
    <w:rsid w:val="008E112D"/>
    <w:rsid w:val="008E19A4"/>
    <w:rsid w:val="008E286A"/>
    <w:rsid w:val="008F13E9"/>
    <w:rsid w:val="008F20CA"/>
    <w:rsid w:val="008F708A"/>
    <w:rsid w:val="00907287"/>
    <w:rsid w:val="0090735C"/>
    <w:rsid w:val="00907D51"/>
    <w:rsid w:val="0091043A"/>
    <w:rsid w:val="009203A9"/>
    <w:rsid w:val="00923923"/>
    <w:rsid w:val="009314FF"/>
    <w:rsid w:val="00931791"/>
    <w:rsid w:val="00943234"/>
    <w:rsid w:val="00944E9B"/>
    <w:rsid w:val="009453DD"/>
    <w:rsid w:val="00950341"/>
    <w:rsid w:val="009536BF"/>
    <w:rsid w:val="00954E05"/>
    <w:rsid w:val="009649A4"/>
    <w:rsid w:val="00971C41"/>
    <w:rsid w:val="009726B1"/>
    <w:rsid w:val="00981F5F"/>
    <w:rsid w:val="00982D1F"/>
    <w:rsid w:val="0098457F"/>
    <w:rsid w:val="0098691D"/>
    <w:rsid w:val="00997DD4"/>
    <w:rsid w:val="009A5836"/>
    <w:rsid w:val="009B1E8F"/>
    <w:rsid w:val="009C0D39"/>
    <w:rsid w:val="009D7341"/>
    <w:rsid w:val="009D7C28"/>
    <w:rsid w:val="009E144C"/>
    <w:rsid w:val="009E2026"/>
    <w:rsid w:val="009E2776"/>
    <w:rsid w:val="009F17A3"/>
    <w:rsid w:val="009F1FF6"/>
    <w:rsid w:val="00A075FC"/>
    <w:rsid w:val="00A100D1"/>
    <w:rsid w:val="00A12B94"/>
    <w:rsid w:val="00A23449"/>
    <w:rsid w:val="00A23A63"/>
    <w:rsid w:val="00A25188"/>
    <w:rsid w:val="00A27145"/>
    <w:rsid w:val="00A31DE0"/>
    <w:rsid w:val="00A32283"/>
    <w:rsid w:val="00A33329"/>
    <w:rsid w:val="00A36F1D"/>
    <w:rsid w:val="00A40455"/>
    <w:rsid w:val="00A426B5"/>
    <w:rsid w:val="00A44BFA"/>
    <w:rsid w:val="00A517B5"/>
    <w:rsid w:val="00A647A8"/>
    <w:rsid w:val="00A6523C"/>
    <w:rsid w:val="00A711B0"/>
    <w:rsid w:val="00A71F94"/>
    <w:rsid w:val="00A73155"/>
    <w:rsid w:val="00A7622D"/>
    <w:rsid w:val="00A76878"/>
    <w:rsid w:val="00A8125F"/>
    <w:rsid w:val="00A83FB8"/>
    <w:rsid w:val="00A93A99"/>
    <w:rsid w:val="00A944B0"/>
    <w:rsid w:val="00A95A35"/>
    <w:rsid w:val="00A96B3B"/>
    <w:rsid w:val="00AA2179"/>
    <w:rsid w:val="00AA2ED4"/>
    <w:rsid w:val="00AA4AFC"/>
    <w:rsid w:val="00AA733D"/>
    <w:rsid w:val="00AB203B"/>
    <w:rsid w:val="00AB3FE6"/>
    <w:rsid w:val="00AB554B"/>
    <w:rsid w:val="00AB7E73"/>
    <w:rsid w:val="00AC5316"/>
    <w:rsid w:val="00AC64BF"/>
    <w:rsid w:val="00AD270D"/>
    <w:rsid w:val="00AD5D04"/>
    <w:rsid w:val="00AE09C7"/>
    <w:rsid w:val="00AE2582"/>
    <w:rsid w:val="00AE507B"/>
    <w:rsid w:val="00AE6314"/>
    <w:rsid w:val="00AE6C85"/>
    <w:rsid w:val="00AF3E9B"/>
    <w:rsid w:val="00AF4CEE"/>
    <w:rsid w:val="00B025F1"/>
    <w:rsid w:val="00B0330A"/>
    <w:rsid w:val="00B07A2E"/>
    <w:rsid w:val="00B07EB1"/>
    <w:rsid w:val="00B15E3D"/>
    <w:rsid w:val="00B23FFB"/>
    <w:rsid w:val="00B25BA5"/>
    <w:rsid w:val="00B25BFB"/>
    <w:rsid w:val="00B401A0"/>
    <w:rsid w:val="00B41FE9"/>
    <w:rsid w:val="00B45C49"/>
    <w:rsid w:val="00B45EE0"/>
    <w:rsid w:val="00B50BD0"/>
    <w:rsid w:val="00B511FE"/>
    <w:rsid w:val="00B547ED"/>
    <w:rsid w:val="00B5486F"/>
    <w:rsid w:val="00B56EB1"/>
    <w:rsid w:val="00B655E0"/>
    <w:rsid w:val="00B65C68"/>
    <w:rsid w:val="00B71C9D"/>
    <w:rsid w:val="00B73EC6"/>
    <w:rsid w:val="00B801EA"/>
    <w:rsid w:val="00B824D4"/>
    <w:rsid w:val="00B84EA0"/>
    <w:rsid w:val="00B86BA2"/>
    <w:rsid w:val="00BA01F4"/>
    <w:rsid w:val="00BA3E77"/>
    <w:rsid w:val="00BA4777"/>
    <w:rsid w:val="00BB3C9E"/>
    <w:rsid w:val="00BB7FFA"/>
    <w:rsid w:val="00BC0D67"/>
    <w:rsid w:val="00BC1B3E"/>
    <w:rsid w:val="00BC2EB6"/>
    <w:rsid w:val="00BC618D"/>
    <w:rsid w:val="00BC750E"/>
    <w:rsid w:val="00BD19A7"/>
    <w:rsid w:val="00BD28C6"/>
    <w:rsid w:val="00BD2FE6"/>
    <w:rsid w:val="00BD6149"/>
    <w:rsid w:val="00BD7BC5"/>
    <w:rsid w:val="00BE464D"/>
    <w:rsid w:val="00BE6E0E"/>
    <w:rsid w:val="00BF4480"/>
    <w:rsid w:val="00C0120C"/>
    <w:rsid w:val="00C04AD0"/>
    <w:rsid w:val="00C12512"/>
    <w:rsid w:val="00C16CFC"/>
    <w:rsid w:val="00C21A5E"/>
    <w:rsid w:val="00C27114"/>
    <w:rsid w:val="00C34DDC"/>
    <w:rsid w:val="00C3542C"/>
    <w:rsid w:val="00C377E6"/>
    <w:rsid w:val="00C43608"/>
    <w:rsid w:val="00C54225"/>
    <w:rsid w:val="00C57A99"/>
    <w:rsid w:val="00C66B1D"/>
    <w:rsid w:val="00C702AE"/>
    <w:rsid w:val="00C70DC1"/>
    <w:rsid w:val="00C77761"/>
    <w:rsid w:val="00C83011"/>
    <w:rsid w:val="00C83ED0"/>
    <w:rsid w:val="00C87659"/>
    <w:rsid w:val="00C92AB3"/>
    <w:rsid w:val="00C950E2"/>
    <w:rsid w:val="00CA47F2"/>
    <w:rsid w:val="00CA4903"/>
    <w:rsid w:val="00CA4A09"/>
    <w:rsid w:val="00CB1597"/>
    <w:rsid w:val="00CB2D4C"/>
    <w:rsid w:val="00CC015E"/>
    <w:rsid w:val="00CC475A"/>
    <w:rsid w:val="00CC5407"/>
    <w:rsid w:val="00CC6286"/>
    <w:rsid w:val="00CD17F5"/>
    <w:rsid w:val="00CD187B"/>
    <w:rsid w:val="00CD2C4C"/>
    <w:rsid w:val="00CD3D8B"/>
    <w:rsid w:val="00CD4A6F"/>
    <w:rsid w:val="00CE1624"/>
    <w:rsid w:val="00CE64F9"/>
    <w:rsid w:val="00CE6F04"/>
    <w:rsid w:val="00CF5048"/>
    <w:rsid w:val="00CF79A0"/>
    <w:rsid w:val="00D0483B"/>
    <w:rsid w:val="00D05618"/>
    <w:rsid w:val="00D11537"/>
    <w:rsid w:val="00D24228"/>
    <w:rsid w:val="00D25825"/>
    <w:rsid w:val="00D40BF3"/>
    <w:rsid w:val="00D4557F"/>
    <w:rsid w:val="00D56343"/>
    <w:rsid w:val="00D63726"/>
    <w:rsid w:val="00D641E2"/>
    <w:rsid w:val="00D67434"/>
    <w:rsid w:val="00D70F18"/>
    <w:rsid w:val="00D71A52"/>
    <w:rsid w:val="00D72049"/>
    <w:rsid w:val="00D72737"/>
    <w:rsid w:val="00D74763"/>
    <w:rsid w:val="00D779E3"/>
    <w:rsid w:val="00D80AC6"/>
    <w:rsid w:val="00D81809"/>
    <w:rsid w:val="00D83179"/>
    <w:rsid w:val="00D8395A"/>
    <w:rsid w:val="00DA2B79"/>
    <w:rsid w:val="00DB5813"/>
    <w:rsid w:val="00DB6855"/>
    <w:rsid w:val="00DC4624"/>
    <w:rsid w:val="00DC4DAA"/>
    <w:rsid w:val="00DD0CF8"/>
    <w:rsid w:val="00DF2D3F"/>
    <w:rsid w:val="00DF3447"/>
    <w:rsid w:val="00E07516"/>
    <w:rsid w:val="00E116B4"/>
    <w:rsid w:val="00E126EF"/>
    <w:rsid w:val="00E22CAB"/>
    <w:rsid w:val="00E23153"/>
    <w:rsid w:val="00E240BA"/>
    <w:rsid w:val="00E26B06"/>
    <w:rsid w:val="00E31852"/>
    <w:rsid w:val="00E34E62"/>
    <w:rsid w:val="00E430E5"/>
    <w:rsid w:val="00E44E35"/>
    <w:rsid w:val="00E462F9"/>
    <w:rsid w:val="00E463B0"/>
    <w:rsid w:val="00E53A2D"/>
    <w:rsid w:val="00E54163"/>
    <w:rsid w:val="00E543C2"/>
    <w:rsid w:val="00E616CD"/>
    <w:rsid w:val="00E72917"/>
    <w:rsid w:val="00E75836"/>
    <w:rsid w:val="00E75E48"/>
    <w:rsid w:val="00E811B5"/>
    <w:rsid w:val="00E834EC"/>
    <w:rsid w:val="00E835FD"/>
    <w:rsid w:val="00E9512F"/>
    <w:rsid w:val="00E95596"/>
    <w:rsid w:val="00E97C18"/>
    <w:rsid w:val="00E97DF9"/>
    <w:rsid w:val="00EB1460"/>
    <w:rsid w:val="00EC0180"/>
    <w:rsid w:val="00EC1BA2"/>
    <w:rsid w:val="00EC1CB2"/>
    <w:rsid w:val="00EC2618"/>
    <w:rsid w:val="00EC27A6"/>
    <w:rsid w:val="00EC387B"/>
    <w:rsid w:val="00ED1E60"/>
    <w:rsid w:val="00ED530A"/>
    <w:rsid w:val="00EF0BC0"/>
    <w:rsid w:val="00F03326"/>
    <w:rsid w:val="00F0648E"/>
    <w:rsid w:val="00F07209"/>
    <w:rsid w:val="00F12B27"/>
    <w:rsid w:val="00F13DB3"/>
    <w:rsid w:val="00F149D9"/>
    <w:rsid w:val="00F24BED"/>
    <w:rsid w:val="00F25239"/>
    <w:rsid w:val="00F3061B"/>
    <w:rsid w:val="00F32EC2"/>
    <w:rsid w:val="00F335AC"/>
    <w:rsid w:val="00F36FAF"/>
    <w:rsid w:val="00F4215B"/>
    <w:rsid w:val="00F4267E"/>
    <w:rsid w:val="00F43319"/>
    <w:rsid w:val="00F453DD"/>
    <w:rsid w:val="00F51A51"/>
    <w:rsid w:val="00F53BE9"/>
    <w:rsid w:val="00F54237"/>
    <w:rsid w:val="00F7269D"/>
    <w:rsid w:val="00F72A18"/>
    <w:rsid w:val="00F7342F"/>
    <w:rsid w:val="00F77CE2"/>
    <w:rsid w:val="00F9054F"/>
    <w:rsid w:val="00FA29C2"/>
    <w:rsid w:val="00FB41BB"/>
    <w:rsid w:val="00FB4669"/>
    <w:rsid w:val="00FB5B39"/>
    <w:rsid w:val="00FC013A"/>
    <w:rsid w:val="00FE00A5"/>
    <w:rsid w:val="00FE0F9B"/>
    <w:rsid w:val="00FE39DC"/>
    <w:rsid w:val="00FF7B0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78128"/>
  <w15:chartTrackingRefBased/>
  <w15:docId w15:val="{AA8CC081-F65F-4954-9D96-312988C6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7EF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37EF6"/>
  </w:style>
  <w:style w:type="paragraph" w:styleId="Footer">
    <w:name w:val="footer"/>
    <w:basedOn w:val="Normal"/>
    <w:link w:val="FooterChar"/>
    <w:uiPriority w:val="99"/>
    <w:unhideWhenUsed/>
    <w:rsid w:val="00737E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7EF6"/>
  </w:style>
  <w:style w:type="paragraph" w:styleId="NormalIndent">
    <w:name w:val="Normal Indent"/>
    <w:basedOn w:val="Normal"/>
    <w:link w:val="NormalIndentChar"/>
    <w:rsid w:val="004C42DC"/>
    <w:pPr>
      <w:overflowPunct w:val="0"/>
      <w:autoSpaceDE w:val="0"/>
      <w:autoSpaceDN w:val="0"/>
      <w:adjustRightInd w:val="0"/>
      <w:spacing w:before="120" w:after="120" w:line="240" w:lineRule="auto"/>
      <w:ind w:left="708"/>
      <w:jc w:val="both"/>
      <w:textAlignment w:val="baseline"/>
    </w:pPr>
    <w:rPr>
      <w:rFonts w:ascii="Garamond" w:eastAsia="Times New Roman" w:hAnsi="Garamond" w:cs="Times New Roman"/>
      <w:sz w:val="24"/>
      <w:szCs w:val="20"/>
      <w:lang w:eastAsia="fr-FR"/>
    </w:rPr>
  </w:style>
  <w:style w:type="character" w:customStyle="1" w:styleId="NormalIndentChar">
    <w:name w:val="Normal Indent Char"/>
    <w:basedOn w:val="DefaultParagraphFont"/>
    <w:link w:val="NormalIndent"/>
    <w:rsid w:val="004C42DC"/>
    <w:rPr>
      <w:rFonts w:ascii="Garamond" w:eastAsia="Times New Roman" w:hAnsi="Garamond" w:cs="Times New Roman"/>
      <w:sz w:val="24"/>
      <w:szCs w:val="20"/>
      <w:lang w:eastAsia="fr-FR"/>
    </w:rPr>
  </w:style>
  <w:style w:type="paragraph" w:customStyle="1" w:styleId="Retraita">
    <w:name w:val="Retrait a"/>
    <w:basedOn w:val="NormalIndent"/>
    <w:rsid w:val="004C42DC"/>
    <w:pPr>
      <w:ind w:left="1248" w:hanging="567"/>
    </w:pPr>
    <w:rPr>
      <w:noProof/>
    </w:rPr>
  </w:style>
  <w:style w:type="character" w:customStyle="1" w:styleId="apple-converted-space">
    <w:name w:val="apple-converted-space"/>
    <w:basedOn w:val="DefaultParagraphFont"/>
    <w:rsid w:val="008E112D"/>
  </w:style>
  <w:style w:type="character" w:styleId="Hyperlink">
    <w:name w:val="Hyperlink"/>
    <w:basedOn w:val="DefaultParagraphFont"/>
    <w:uiPriority w:val="99"/>
    <w:unhideWhenUsed/>
    <w:rsid w:val="008E112D"/>
    <w:rPr>
      <w:color w:val="0000FF"/>
      <w:u w:val="single"/>
    </w:rPr>
  </w:style>
  <w:style w:type="character" w:styleId="CommentReference">
    <w:name w:val="annotation reference"/>
    <w:basedOn w:val="DefaultParagraphFont"/>
    <w:uiPriority w:val="99"/>
    <w:semiHidden/>
    <w:unhideWhenUsed/>
    <w:rsid w:val="00C70DC1"/>
    <w:rPr>
      <w:sz w:val="16"/>
      <w:szCs w:val="16"/>
    </w:rPr>
  </w:style>
  <w:style w:type="paragraph" w:styleId="CommentText">
    <w:name w:val="annotation text"/>
    <w:basedOn w:val="Normal"/>
    <w:link w:val="CommentTextChar"/>
    <w:uiPriority w:val="99"/>
    <w:semiHidden/>
    <w:unhideWhenUsed/>
    <w:rsid w:val="00C70DC1"/>
    <w:pPr>
      <w:spacing w:line="240" w:lineRule="auto"/>
    </w:pPr>
    <w:rPr>
      <w:sz w:val="20"/>
      <w:szCs w:val="20"/>
    </w:rPr>
  </w:style>
  <w:style w:type="character" w:customStyle="1" w:styleId="CommentTextChar">
    <w:name w:val="Comment Text Char"/>
    <w:basedOn w:val="DefaultParagraphFont"/>
    <w:link w:val="CommentText"/>
    <w:uiPriority w:val="99"/>
    <w:semiHidden/>
    <w:rsid w:val="00C70DC1"/>
    <w:rPr>
      <w:sz w:val="20"/>
      <w:szCs w:val="20"/>
    </w:rPr>
  </w:style>
  <w:style w:type="paragraph" w:styleId="CommentSubject">
    <w:name w:val="annotation subject"/>
    <w:basedOn w:val="CommentText"/>
    <w:next w:val="CommentText"/>
    <w:link w:val="CommentSubjectChar"/>
    <w:uiPriority w:val="99"/>
    <w:semiHidden/>
    <w:unhideWhenUsed/>
    <w:rsid w:val="00C70DC1"/>
    <w:rPr>
      <w:b/>
      <w:bCs/>
    </w:rPr>
  </w:style>
  <w:style w:type="character" w:customStyle="1" w:styleId="CommentSubjectChar">
    <w:name w:val="Comment Subject Char"/>
    <w:basedOn w:val="CommentTextChar"/>
    <w:link w:val="CommentSubject"/>
    <w:uiPriority w:val="99"/>
    <w:semiHidden/>
    <w:rsid w:val="00C70DC1"/>
    <w:rPr>
      <w:b/>
      <w:bCs/>
      <w:sz w:val="20"/>
      <w:szCs w:val="20"/>
    </w:rPr>
  </w:style>
  <w:style w:type="character" w:styleId="UnresolvedMention">
    <w:name w:val="Unresolved Mention"/>
    <w:basedOn w:val="DefaultParagraphFont"/>
    <w:uiPriority w:val="99"/>
    <w:semiHidden/>
    <w:unhideWhenUsed/>
    <w:rsid w:val="00244722"/>
    <w:rPr>
      <w:color w:val="605E5C"/>
      <w:shd w:val="clear" w:color="auto" w:fill="E1DFDD"/>
    </w:rPr>
  </w:style>
  <w:style w:type="paragraph" w:styleId="ListParagraph">
    <w:name w:val="List Paragraph"/>
    <w:basedOn w:val="Normal"/>
    <w:uiPriority w:val="34"/>
    <w:qFormat/>
    <w:rsid w:val="00244722"/>
    <w:pPr>
      <w:ind w:left="720"/>
      <w:contextualSpacing/>
    </w:pPr>
  </w:style>
  <w:style w:type="paragraph" w:styleId="BalloonText">
    <w:name w:val="Balloon Text"/>
    <w:basedOn w:val="Normal"/>
    <w:link w:val="BalloonTextChar"/>
    <w:uiPriority w:val="99"/>
    <w:semiHidden/>
    <w:unhideWhenUsed/>
    <w:rsid w:val="00CF50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048"/>
    <w:rPr>
      <w:rFonts w:ascii="Segoe UI" w:hAnsi="Segoe UI" w:cs="Segoe UI"/>
      <w:sz w:val="18"/>
      <w:szCs w:val="18"/>
    </w:rPr>
  </w:style>
  <w:style w:type="paragraph" w:styleId="Revision">
    <w:name w:val="Revision"/>
    <w:hidden/>
    <w:uiPriority w:val="99"/>
    <w:semiHidden/>
    <w:rsid w:val="0084325B"/>
    <w:pPr>
      <w:spacing w:after="0" w:line="240" w:lineRule="auto"/>
    </w:pPr>
  </w:style>
  <w:style w:type="paragraph" w:customStyle="1" w:styleId="Default">
    <w:name w:val="Default"/>
    <w:rsid w:val="00B5486F"/>
    <w:pPr>
      <w:autoSpaceDE w:val="0"/>
      <w:autoSpaceDN w:val="0"/>
      <w:adjustRightInd w:val="0"/>
      <w:spacing w:after="0" w:line="240" w:lineRule="auto"/>
    </w:pPr>
    <w:rPr>
      <w:rFonts w:ascii="Arial" w:hAnsi="Arial" w:cs="Arial"/>
      <w:color w:val="000000"/>
      <w:sz w:val="24"/>
      <w:szCs w:val="24"/>
      <w:lang w:val="en-US"/>
    </w:rPr>
  </w:style>
  <w:style w:type="character" w:styleId="FollowedHyperlink">
    <w:name w:val="FollowedHyperlink"/>
    <w:basedOn w:val="DefaultParagraphFont"/>
    <w:uiPriority w:val="99"/>
    <w:semiHidden/>
    <w:unhideWhenUsed/>
    <w:rsid w:val="00A12B94"/>
    <w:rPr>
      <w:color w:val="954F72" w:themeColor="followedHyperlink"/>
      <w:u w:val="single"/>
    </w:rPr>
  </w:style>
  <w:style w:type="paragraph" w:styleId="NormalWeb">
    <w:name w:val="Normal (Web)"/>
    <w:basedOn w:val="Normal"/>
    <w:uiPriority w:val="99"/>
    <w:semiHidden/>
    <w:unhideWhenUsed/>
    <w:rsid w:val="00A31D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5183">
      <w:bodyDiv w:val="1"/>
      <w:marLeft w:val="0"/>
      <w:marRight w:val="0"/>
      <w:marTop w:val="0"/>
      <w:marBottom w:val="0"/>
      <w:divBdr>
        <w:top w:val="none" w:sz="0" w:space="0" w:color="auto"/>
        <w:left w:val="none" w:sz="0" w:space="0" w:color="auto"/>
        <w:bottom w:val="none" w:sz="0" w:space="0" w:color="auto"/>
        <w:right w:val="none" w:sz="0" w:space="0" w:color="auto"/>
      </w:divBdr>
    </w:div>
    <w:div w:id="218250567">
      <w:bodyDiv w:val="1"/>
      <w:marLeft w:val="0"/>
      <w:marRight w:val="0"/>
      <w:marTop w:val="0"/>
      <w:marBottom w:val="0"/>
      <w:divBdr>
        <w:top w:val="none" w:sz="0" w:space="0" w:color="auto"/>
        <w:left w:val="none" w:sz="0" w:space="0" w:color="auto"/>
        <w:bottom w:val="none" w:sz="0" w:space="0" w:color="auto"/>
        <w:right w:val="none" w:sz="0" w:space="0" w:color="auto"/>
      </w:divBdr>
    </w:div>
    <w:div w:id="341855418">
      <w:bodyDiv w:val="1"/>
      <w:marLeft w:val="0"/>
      <w:marRight w:val="0"/>
      <w:marTop w:val="0"/>
      <w:marBottom w:val="0"/>
      <w:divBdr>
        <w:top w:val="none" w:sz="0" w:space="0" w:color="auto"/>
        <w:left w:val="none" w:sz="0" w:space="0" w:color="auto"/>
        <w:bottom w:val="none" w:sz="0" w:space="0" w:color="auto"/>
        <w:right w:val="none" w:sz="0" w:space="0" w:color="auto"/>
      </w:divBdr>
    </w:div>
    <w:div w:id="345324084">
      <w:bodyDiv w:val="1"/>
      <w:marLeft w:val="0"/>
      <w:marRight w:val="0"/>
      <w:marTop w:val="0"/>
      <w:marBottom w:val="0"/>
      <w:divBdr>
        <w:top w:val="none" w:sz="0" w:space="0" w:color="auto"/>
        <w:left w:val="none" w:sz="0" w:space="0" w:color="auto"/>
        <w:bottom w:val="none" w:sz="0" w:space="0" w:color="auto"/>
        <w:right w:val="none" w:sz="0" w:space="0" w:color="auto"/>
      </w:divBdr>
    </w:div>
    <w:div w:id="530388188">
      <w:bodyDiv w:val="1"/>
      <w:marLeft w:val="0"/>
      <w:marRight w:val="0"/>
      <w:marTop w:val="0"/>
      <w:marBottom w:val="0"/>
      <w:divBdr>
        <w:top w:val="none" w:sz="0" w:space="0" w:color="auto"/>
        <w:left w:val="none" w:sz="0" w:space="0" w:color="auto"/>
        <w:bottom w:val="none" w:sz="0" w:space="0" w:color="auto"/>
        <w:right w:val="none" w:sz="0" w:space="0" w:color="auto"/>
      </w:divBdr>
    </w:div>
    <w:div w:id="530654965">
      <w:bodyDiv w:val="1"/>
      <w:marLeft w:val="0"/>
      <w:marRight w:val="0"/>
      <w:marTop w:val="0"/>
      <w:marBottom w:val="0"/>
      <w:divBdr>
        <w:top w:val="none" w:sz="0" w:space="0" w:color="auto"/>
        <w:left w:val="none" w:sz="0" w:space="0" w:color="auto"/>
        <w:bottom w:val="none" w:sz="0" w:space="0" w:color="auto"/>
        <w:right w:val="none" w:sz="0" w:space="0" w:color="auto"/>
      </w:divBdr>
    </w:div>
    <w:div w:id="617680608">
      <w:bodyDiv w:val="1"/>
      <w:marLeft w:val="0"/>
      <w:marRight w:val="0"/>
      <w:marTop w:val="0"/>
      <w:marBottom w:val="0"/>
      <w:divBdr>
        <w:top w:val="none" w:sz="0" w:space="0" w:color="auto"/>
        <w:left w:val="none" w:sz="0" w:space="0" w:color="auto"/>
        <w:bottom w:val="none" w:sz="0" w:space="0" w:color="auto"/>
        <w:right w:val="none" w:sz="0" w:space="0" w:color="auto"/>
      </w:divBdr>
    </w:div>
    <w:div w:id="623275255">
      <w:bodyDiv w:val="1"/>
      <w:marLeft w:val="0"/>
      <w:marRight w:val="0"/>
      <w:marTop w:val="0"/>
      <w:marBottom w:val="0"/>
      <w:divBdr>
        <w:top w:val="none" w:sz="0" w:space="0" w:color="auto"/>
        <w:left w:val="none" w:sz="0" w:space="0" w:color="auto"/>
        <w:bottom w:val="none" w:sz="0" w:space="0" w:color="auto"/>
        <w:right w:val="none" w:sz="0" w:space="0" w:color="auto"/>
      </w:divBdr>
    </w:div>
    <w:div w:id="775445558">
      <w:bodyDiv w:val="1"/>
      <w:marLeft w:val="0"/>
      <w:marRight w:val="0"/>
      <w:marTop w:val="0"/>
      <w:marBottom w:val="0"/>
      <w:divBdr>
        <w:top w:val="none" w:sz="0" w:space="0" w:color="auto"/>
        <w:left w:val="none" w:sz="0" w:space="0" w:color="auto"/>
        <w:bottom w:val="none" w:sz="0" w:space="0" w:color="auto"/>
        <w:right w:val="none" w:sz="0" w:space="0" w:color="auto"/>
      </w:divBdr>
    </w:div>
    <w:div w:id="868879318">
      <w:bodyDiv w:val="1"/>
      <w:marLeft w:val="0"/>
      <w:marRight w:val="0"/>
      <w:marTop w:val="0"/>
      <w:marBottom w:val="0"/>
      <w:divBdr>
        <w:top w:val="none" w:sz="0" w:space="0" w:color="auto"/>
        <w:left w:val="none" w:sz="0" w:space="0" w:color="auto"/>
        <w:bottom w:val="none" w:sz="0" w:space="0" w:color="auto"/>
        <w:right w:val="none" w:sz="0" w:space="0" w:color="auto"/>
      </w:divBdr>
    </w:div>
    <w:div w:id="991374927">
      <w:bodyDiv w:val="1"/>
      <w:marLeft w:val="0"/>
      <w:marRight w:val="0"/>
      <w:marTop w:val="0"/>
      <w:marBottom w:val="0"/>
      <w:divBdr>
        <w:top w:val="none" w:sz="0" w:space="0" w:color="auto"/>
        <w:left w:val="none" w:sz="0" w:space="0" w:color="auto"/>
        <w:bottom w:val="none" w:sz="0" w:space="0" w:color="auto"/>
        <w:right w:val="none" w:sz="0" w:space="0" w:color="auto"/>
      </w:divBdr>
    </w:div>
    <w:div w:id="1285162516">
      <w:bodyDiv w:val="1"/>
      <w:marLeft w:val="0"/>
      <w:marRight w:val="0"/>
      <w:marTop w:val="0"/>
      <w:marBottom w:val="0"/>
      <w:divBdr>
        <w:top w:val="none" w:sz="0" w:space="0" w:color="auto"/>
        <w:left w:val="none" w:sz="0" w:space="0" w:color="auto"/>
        <w:bottom w:val="none" w:sz="0" w:space="0" w:color="auto"/>
        <w:right w:val="none" w:sz="0" w:space="0" w:color="auto"/>
      </w:divBdr>
    </w:div>
    <w:div w:id="1626155232">
      <w:bodyDiv w:val="1"/>
      <w:marLeft w:val="0"/>
      <w:marRight w:val="0"/>
      <w:marTop w:val="0"/>
      <w:marBottom w:val="0"/>
      <w:divBdr>
        <w:top w:val="none" w:sz="0" w:space="0" w:color="auto"/>
        <w:left w:val="none" w:sz="0" w:space="0" w:color="auto"/>
        <w:bottom w:val="none" w:sz="0" w:space="0" w:color="auto"/>
        <w:right w:val="none" w:sz="0" w:space="0" w:color="auto"/>
      </w:divBdr>
    </w:div>
    <w:div w:id="1662078842">
      <w:bodyDiv w:val="1"/>
      <w:marLeft w:val="0"/>
      <w:marRight w:val="0"/>
      <w:marTop w:val="0"/>
      <w:marBottom w:val="0"/>
      <w:divBdr>
        <w:top w:val="none" w:sz="0" w:space="0" w:color="auto"/>
        <w:left w:val="none" w:sz="0" w:space="0" w:color="auto"/>
        <w:bottom w:val="none" w:sz="0" w:space="0" w:color="auto"/>
        <w:right w:val="none" w:sz="0" w:space="0" w:color="auto"/>
      </w:divBdr>
    </w:div>
    <w:div w:id="1761368663">
      <w:bodyDiv w:val="1"/>
      <w:marLeft w:val="0"/>
      <w:marRight w:val="0"/>
      <w:marTop w:val="0"/>
      <w:marBottom w:val="0"/>
      <w:divBdr>
        <w:top w:val="none" w:sz="0" w:space="0" w:color="auto"/>
        <w:left w:val="none" w:sz="0" w:space="0" w:color="auto"/>
        <w:bottom w:val="none" w:sz="0" w:space="0" w:color="auto"/>
        <w:right w:val="none" w:sz="0" w:space="0" w:color="auto"/>
      </w:divBdr>
      <w:divsChild>
        <w:div w:id="841431954">
          <w:marLeft w:val="490"/>
          <w:marRight w:val="0"/>
          <w:marTop w:val="120"/>
          <w:marBottom w:val="0"/>
          <w:divBdr>
            <w:top w:val="none" w:sz="0" w:space="0" w:color="auto"/>
            <w:left w:val="none" w:sz="0" w:space="0" w:color="auto"/>
            <w:bottom w:val="none" w:sz="0" w:space="0" w:color="auto"/>
            <w:right w:val="none" w:sz="0" w:space="0" w:color="auto"/>
          </w:divBdr>
        </w:div>
      </w:divsChild>
    </w:div>
    <w:div w:id="1936667832">
      <w:bodyDiv w:val="1"/>
      <w:marLeft w:val="0"/>
      <w:marRight w:val="0"/>
      <w:marTop w:val="0"/>
      <w:marBottom w:val="0"/>
      <w:divBdr>
        <w:top w:val="none" w:sz="0" w:space="0" w:color="auto"/>
        <w:left w:val="none" w:sz="0" w:space="0" w:color="auto"/>
        <w:bottom w:val="none" w:sz="0" w:space="0" w:color="auto"/>
        <w:right w:val="none" w:sz="0" w:space="0" w:color="auto"/>
      </w:divBdr>
    </w:div>
    <w:div w:id="2035571192">
      <w:bodyDiv w:val="1"/>
      <w:marLeft w:val="0"/>
      <w:marRight w:val="0"/>
      <w:marTop w:val="0"/>
      <w:marBottom w:val="0"/>
      <w:divBdr>
        <w:top w:val="none" w:sz="0" w:space="0" w:color="auto"/>
        <w:left w:val="none" w:sz="0" w:space="0" w:color="auto"/>
        <w:bottom w:val="none" w:sz="0" w:space="0" w:color="auto"/>
        <w:right w:val="none" w:sz="0" w:space="0" w:color="auto"/>
      </w:divBdr>
      <w:divsChild>
        <w:div w:id="629895890">
          <w:marLeft w:val="634"/>
          <w:marRight w:val="0"/>
          <w:marTop w:val="120"/>
          <w:marBottom w:val="0"/>
          <w:divBdr>
            <w:top w:val="none" w:sz="0" w:space="0" w:color="auto"/>
            <w:left w:val="none" w:sz="0" w:space="0" w:color="auto"/>
            <w:bottom w:val="none" w:sz="0" w:space="0" w:color="auto"/>
            <w:right w:val="none" w:sz="0" w:space="0" w:color="auto"/>
          </w:divBdr>
        </w:div>
        <w:div w:id="1536968283">
          <w:marLeft w:val="634"/>
          <w:marRight w:val="0"/>
          <w:marTop w:val="120"/>
          <w:marBottom w:val="0"/>
          <w:divBdr>
            <w:top w:val="none" w:sz="0" w:space="0" w:color="auto"/>
            <w:left w:val="none" w:sz="0" w:space="0" w:color="auto"/>
            <w:bottom w:val="none" w:sz="0" w:space="0" w:color="auto"/>
            <w:right w:val="none" w:sz="0" w:space="0" w:color="auto"/>
          </w:divBdr>
        </w:div>
        <w:div w:id="614018345">
          <w:marLeft w:val="634"/>
          <w:marRight w:val="0"/>
          <w:marTop w:val="120"/>
          <w:marBottom w:val="0"/>
          <w:divBdr>
            <w:top w:val="none" w:sz="0" w:space="0" w:color="auto"/>
            <w:left w:val="none" w:sz="0" w:space="0" w:color="auto"/>
            <w:bottom w:val="none" w:sz="0" w:space="0" w:color="auto"/>
            <w:right w:val="none" w:sz="0" w:space="0" w:color="auto"/>
          </w:divBdr>
        </w:div>
        <w:div w:id="1488283124">
          <w:marLeft w:val="634"/>
          <w:marRight w:val="0"/>
          <w:marTop w:val="120"/>
          <w:marBottom w:val="0"/>
          <w:divBdr>
            <w:top w:val="none" w:sz="0" w:space="0" w:color="auto"/>
            <w:left w:val="none" w:sz="0" w:space="0" w:color="auto"/>
            <w:bottom w:val="none" w:sz="0" w:space="0" w:color="auto"/>
            <w:right w:val="none" w:sz="0" w:space="0" w:color="auto"/>
          </w:divBdr>
        </w:div>
        <w:div w:id="1600213926">
          <w:marLeft w:val="634"/>
          <w:marRight w:val="0"/>
          <w:marTop w:val="120"/>
          <w:marBottom w:val="0"/>
          <w:divBdr>
            <w:top w:val="none" w:sz="0" w:space="0" w:color="auto"/>
            <w:left w:val="none" w:sz="0" w:space="0" w:color="auto"/>
            <w:bottom w:val="none" w:sz="0" w:space="0" w:color="auto"/>
            <w:right w:val="none" w:sz="0" w:space="0" w:color="auto"/>
          </w:divBdr>
        </w:div>
        <w:div w:id="2078243704">
          <w:marLeft w:val="634"/>
          <w:marRight w:val="0"/>
          <w:marTop w:val="120"/>
          <w:marBottom w:val="0"/>
          <w:divBdr>
            <w:top w:val="none" w:sz="0" w:space="0" w:color="auto"/>
            <w:left w:val="none" w:sz="0" w:space="0" w:color="auto"/>
            <w:bottom w:val="none" w:sz="0" w:space="0" w:color="auto"/>
            <w:right w:val="none" w:sz="0" w:space="0" w:color="auto"/>
          </w:divBdr>
        </w:div>
        <w:div w:id="81413191">
          <w:marLeft w:val="63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88765.locale=en" TargetMode="External"/><Relationship Id="rId13" Type="http://schemas.openxmlformats.org/officeDocument/2006/relationships/hyperlink" Target="https://www.unesco.org/en/articles/resilience-and-remembrance-20-years-after-2004-indian-ocean-tsunam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sunami.ioc.unesco.org/en/impact/eyewitness-survivors-proj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room.oceanteacher.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nesdoc.unesco.org/ark:/48223/pf0000392712.locale=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esdoc.unesco.org/ark:/48223/pf0000392653.locale=e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2FD7-D190-4D6E-B43B-EB843F461E14}">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1650</Words>
  <Characters>9080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Aliaga, Bernardo</dc:creator>
  <cp:keywords/>
  <dc:description/>
  <cp:lastModifiedBy>Boned, Patrice</cp:lastModifiedBy>
  <cp:revision>2</cp:revision>
  <cp:lastPrinted>2022-02-25T11:07:00Z</cp:lastPrinted>
  <dcterms:created xsi:type="dcterms:W3CDTF">2025-04-24T15:03:00Z</dcterms:created>
  <dcterms:modified xsi:type="dcterms:W3CDTF">2025-04-24T15:03:00Z</dcterms:modified>
</cp:coreProperties>
</file>