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75BFAF" w14:textId="77777777" w:rsidR="00DC4C26" w:rsidRPr="004766A7" w:rsidRDefault="00DC4C26" w:rsidP="00DC4C26">
      <w:r w:rsidRPr="004766A7">
        <w:rPr>
          <w:rFonts w:ascii="Arial" w:hAnsi="Arial" w:cs="Arial"/>
          <w:b/>
          <w:sz w:val="36"/>
        </w:rPr>
        <w:t>Intergovernmental Oceanographic Commission</w:t>
      </w:r>
    </w:p>
    <w:p w14:paraId="284742CA" w14:textId="77777777" w:rsidR="00DC4C26" w:rsidRPr="004766A7" w:rsidRDefault="00DC4C26" w:rsidP="00DC4C26">
      <w:pPr>
        <w:rPr>
          <w:rFonts w:ascii="Arial" w:hAnsi="Arial" w:cs="Arial"/>
          <w:i/>
          <w:sz w:val="36"/>
        </w:rPr>
      </w:pPr>
      <w:bookmarkStart w:id="0" w:name="_Toc196727146"/>
      <w:bookmarkStart w:id="1" w:name="_Toc196733125"/>
      <w:bookmarkStart w:id="2" w:name="_Toc196733724"/>
      <w:bookmarkStart w:id="3" w:name="_Toc196734151"/>
      <w:bookmarkStart w:id="4" w:name="_Toc196816283"/>
      <w:bookmarkStart w:id="5" w:name="_Toc196819790"/>
      <w:bookmarkStart w:id="6" w:name="_Toc196819911"/>
      <w:bookmarkStart w:id="7" w:name="_Toc201727980"/>
      <w:bookmarkStart w:id="8" w:name="_Toc201728072"/>
      <w:bookmarkStart w:id="9" w:name="_Toc295114618"/>
      <w:bookmarkStart w:id="10" w:name="_Toc317041001"/>
      <w:bookmarkStart w:id="11" w:name="_Toc327477883"/>
      <w:r w:rsidRPr="004766A7">
        <w:rPr>
          <w:rFonts w:ascii="Arial" w:hAnsi="Arial" w:cs="Arial"/>
          <w:i/>
          <w:sz w:val="36"/>
        </w:rPr>
        <w:t>Reports of Meetings of Experts and Equivalent Bodies</w:t>
      </w:r>
      <w:bookmarkEnd w:id="0"/>
      <w:bookmarkEnd w:id="1"/>
      <w:bookmarkEnd w:id="2"/>
      <w:bookmarkEnd w:id="3"/>
      <w:bookmarkEnd w:id="4"/>
      <w:bookmarkEnd w:id="5"/>
      <w:bookmarkEnd w:id="6"/>
      <w:bookmarkEnd w:id="7"/>
      <w:bookmarkEnd w:id="8"/>
      <w:bookmarkEnd w:id="9"/>
      <w:bookmarkEnd w:id="10"/>
      <w:bookmarkEnd w:id="11"/>
    </w:p>
    <w:p w14:paraId="50DA0B49" w14:textId="77777777" w:rsidR="00DC4C26" w:rsidRPr="00725109" w:rsidRDefault="00DC4C26" w:rsidP="00DC4C26">
      <w:pPr>
        <w:pStyle w:val="Marge"/>
        <w:spacing w:before="3969" w:after="480"/>
        <w:ind w:right="40"/>
        <w:jc w:val="left"/>
        <w:rPr>
          <w:rFonts w:ascii="Arial" w:hAnsi="Arial" w:cs="Arial"/>
          <w:b/>
          <w:bCs/>
          <w:spacing w:val="16"/>
          <w:sz w:val="56"/>
          <w:szCs w:val="56"/>
        </w:rPr>
      </w:pPr>
      <w:r w:rsidRPr="00725109">
        <w:rPr>
          <w:rFonts w:ascii="Arial" w:hAnsi="Arial" w:cs="Arial"/>
          <w:b/>
          <w:bCs/>
          <w:noProof/>
          <w:snapToGrid/>
          <w:spacing w:val="16"/>
          <w:sz w:val="56"/>
          <w:szCs w:val="56"/>
          <w:lang w:val="en-US"/>
        </w:rPr>
        <w:drawing>
          <wp:anchor distT="0" distB="0" distL="114300" distR="114300" simplePos="0" relativeHeight="251659264" behindDoc="0" locked="0" layoutInCell="1" allowOverlap="1" wp14:anchorId="07FF1C95" wp14:editId="60F835ED">
            <wp:simplePos x="0" y="0"/>
            <wp:positionH relativeFrom="column">
              <wp:posOffset>-75565</wp:posOffset>
            </wp:positionH>
            <wp:positionV relativeFrom="paragraph">
              <wp:posOffset>348615</wp:posOffset>
            </wp:positionV>
            <wp:extent cx="1219200" cy="1190625"/>
            <wp:effectExtent l="0" t="0" r="0" b="0"/>
            <wp:wrapNone/>
            <wp:docPr id="2" name="Picture 2" descr="IOC-noir ss txt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C-noir ss txt -100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109">
        <w:rPr>
          <w:rFonts w:ascii="Arial" w:hAnsi="Arial" w:cs="Arial"/>
          <w:b/>
          <w:bCs/>
          <w:snapToGrid/>
          <w:spacing w:val="16"/>
          <w:sz w:val="56"/>
          <w:szCs w:val="56"/>
        </w:rPr>
        <w:t xml:space="preserve">Working Group on Tsunamis </w:t>
      </w:r>
      <w:r w:rsidRPr="00725109">
        <w:rPr>
          <w:rFonts w:ascii="Arial" w:hAnsi="Arial" w:cs="Arial"/>
          <w:b/>
          <w:bCs/>
          <w:snapToGrid/>
          <w:spacing w:val="16"/>
          <w:sz w:val="56"/>
          <w:szCs w:val="56"/>
        </w:rPr>
        <w:br/>
        <w:t>and Other Hazards Related</w:t>
      </w:r>
      <w:r w:rsidRPr="00725109">
        <w:rPr>
          <w:rFonts w:ascii="Arial" w:hAnsi="Arial" w:cs="Arial"/>
          <w:b/>
          <w:bCs/>
          <w:snapToGrid/>
          <w:spacing w:val="16"/>
          <w:sz w:val="56"/>
          <w:szCs w:val="56"/>
        </w:rPr>
        <w:br/>
        <w:t>to Sea-Level Warning</w:t>
      </w:r>
      <w:r w:rsidRPr="00725109">
        <w:rPr>
          <w:rFonts w:ascii="Arial" w:hAnsi="Arial" w:cs="Arial"/>
          <w:b/>
          <w:bCs/>
          <w:snapToGrid/>
          <w:spacing w:val="16"/>
          <w:sz w:val="56"/>
          <w:szCs w:val="56"/>
        </w:rPr>
        <w:br/>
        <w:t xml:space="preserve">and Mitigation Systems </w:t>
      </w:r>
      <w:r w:rsidRPr="00725109">
        <w:rPr>
          <w:rFonts w:ascii="Arial" w:hAnsi="Arial" w:cs="Arial"/>
          <w:b/>
          <w:bCs/>
          <w:snapToGrid/>
          <w:spacing w:val="16"/>
          <w:sz w:val="56"/>
          <w:szCs w:val="56"/>
        </w:rPr>
        <w:br/>
        <w:t>(TOWS-WG)</w:t>
      </w:r>
    </w:p>
    <w:p w14:paraId="6F82F39B" w14:textId="21C0CD1E" w:rsidR="00241CD6" w:rsidRPr="00725109" w:rsidRDefault="00691AB0" w:rsidP="00241CD6">
      <w:pPr>
        <w:pStyle w:val="Marge"/>
        <w:spacing w:after="0"/>
        <w:jc w:val="left"/>
        <w:rPr>
          <w:rFonts w:ascii="Arial" w:hAnsi="Arial" w:cs="Arial"/>
          <w:b/>
          <w:bCs/>
          <w:sz w:val="40"/>
          <w:szCs w:val="32"/>
        </w:rPr>
      </w:pPr>
      <w:r>
        <w:rPr>
          <w:rFonts w:ascii="Arial" w:hAnsi="Arial" w:cs="Arial"/>
          <w:b/>
          <w:bCs/>
          <w:sz w:val="40"/>
          <w:szCs w:val="32"/>
          <w:lang w:val="en-US"/>
        </w:rPr>
        <w:t>Eigh</w:t>
      </w:r>
      <w:r w:rsidR="00241CD6">
        <w:rPr>
          <w:rFonts w:ascii="Arial" w:hAnsi="Arial" w:cs="Arial"/>
          <w:b/>
          <w:bCs/>
          <w:sz w:val="40"/>
          <w:szCs w:val="32"/>
          <w:lang w:val="en-US"/>
        </w:rPr>
        <w:t xml:space="preserve">teenth </w:t>
      </w:r>
      <w:r w:rsidR="00241CD6" w:rsidRPr="00725109">
        <w:rPr>
          <w:rFonts w:ascii="Arial" w:hAnsi="Arial" w:cs="Arial"/>
          <w:b/>
          <w:bCs/>
          <w:sz w:val="40"/>
          <w:szCs w:val="32"/>
        </w:rPr>
        <w:t>Meeting</w:t>
      </w:r>
    </w:p>
    <w:p w14:paraId="0DC87620" w14:textId="017ADF9C" w:rsidR="00241CD6" w:rsidRPr="00725109" w:rsidRDefault="00241CD6" w:rsidP="00241CD6">
      <w:pPr>
        <w:pStyle w:val="Marge"/>
        <w:jc w:val="left"/>
        <w:rPr>
          <w:rFonts w:ascii="Arial" w:hAnsi="Arial" w:cs="Arial"/>
          <w:sz w:val="32"/>
          <w:szCs w:val="32"/>
        </w:rPr>
      </w:pPr>
      <w:r>
        <w:rPr>
          <w:rFonts w:ascii="Arial" w:hAnsi="Arial" w:cs="Arial"/>
          <w:sz w:val="32"/>
          <w:szCs w:val="32"/>
        </w:rPr>
        <w:t>Paris, France</w:t>
      </w:r>
      <w:r w:rsidRPr="00725109">
        <w:rPr>
          <w:rFonts w:ascii="Arial" w:hAnsi="Arial" w:cs="Arial"/>
          <w:sz w:val="32"/>
          <w:szCs w:val="32"/>
          <w:highlight w:val="green"/>
        </w:rPr>
        <w:br/>
      </w:r>
      <w:r w:rsidR="00691AB0">
        <w:rPr>
          <w:rFonts w:ascii="Arial" w:hAnsi="Arial" w:cs="Arial"/>
          <w:sz w:val="32"/>
          <w:szCs w:val="32"/>
        </w:rPr>
        <w:t>24</w:t>
      </w:r>
      <w:r w:rsidRPr="00725109">
        <w:rPr>
          <w:rFonts w:ascii="Arial" w:hAnsi="Arial" w:cs="Arial"/>
          <w:sz w:val="32"/>
          <w:szCs w:val="32"/>
        </w:rPr>
        <w:t>–</w:t>
      </w:r>
      <w:r w:rsidR="00691AB0">
        <w:rPr>
          <w:rFonts w:ascii="Arial" w:hAnsi="Arial" w:cs="Arial"/>
          <w:sz w:val="32"/>
          <w:szCs w:val="32"/>
        </w:rPr>
        <w:t>25</w:t>
      </w:r>
      <w:r>
        <w:rPr>
          <w:rFonts w:ascii="Arial" w:hAnsi="Arial" w:cs="Arial"/>
          <w:sz w:val="32"/>
          <w:szCs w:val="32"/>
        </w:rPr>
        <w:t xml:space="preserve"> </w:t>
      </w:r>
      <w:r w:rsidR="00691AB0">
        <w:rPr>
          <w:rFonts w:ascii="Arial" w:hAnsi="Arial" w:cs="Arial"/>
          <w:sz w:val="32"/>
          <w:szCs w:val="32"/>
        </w:rPr>
        <w:t>February</w:t>
      </w:r>
      <w:r>
        <w:rPr>
          <w:rFonts w:ascii="Arial" w:hAnsi="Arial" w:cs="Arial"/>
          <w:sz w:val="32"/>
          <w:szCs w:val="32"/>
        </w:rPr>
        <w:t xml:space="preserve"> 202</w:t>
      </w:r>
      <w:r w:rsidR="00691AB0">
        <w:rPr>
          <w:rFonts w:ascii="Arial" w:hAnsi="Arial" w:cs="Arial"/>
          <w:sz w:val="32"/>
          <w:szCs w:val="32"/>
        </w:rPr>
        <w:t>5</w:t>
      </w:r>
    </w:p>
    <w:p w14:paraId="5EACFBFF" w14:textId="77777777" w:rsidR="00DC4C26" w:rsidRPr="00725109" w:rsidRDefault="00DC4C26" w:rsidP="00DC4C26">
      <w:pPr>
        <w:pStyle w:val="Marge"/>
        <w:rPr>
          <w:rFonts w:ascii="Arial" w:hAnsi="Arial" w:cs="Arial"/>
          <w:sz w:val="32"/>
          <w:szCs w:val="32"/>
        </w:rPr>
      </w:pPr>
    </w:p>
    <w:p w14:paraId="2D4C5A9A" w14:textId="77777777" w:rsidR="00DC4C26" w:rsidRDefault="00DC4C26" w:rsidP="00DC4C26">
      <w:pPr>
        <w:pStyle w:val="Marge"/>
        <w:rPr>
          <w:rFonts w:ascii="Arial" w:hAnsi="Arial" w:cs="Arial"/>
          <w:sz w:val="32"/>
          <w:szCs w:val="32"/>
        </w:rPr>
      </w:pPr>
    </w:p>
    <w:p w14:paraId="653C8E2D" w14:textId="77777777" w:rsidR="00DC4C26" w:rsidRPr="00725109" w:rsidRDefault="00DC4C26" w:rsidP="00DC4C26">
      <w:pPr>
        <w:pStyle w:val="Marge"/>
        <w:rPr>
          <w:rFonts w:ascii="Arial" w:hAnsi="Arial" w:cs="Arial"/>
          <w:sz w:val="32"/>
          <w:szCs w:val="32"/>
        </w:rPr>
      </w:pPr>
    </w:p>
    <w:p w14:paraId="5F273215" w14:textId="77777777" w:rsidR="00DC4C26" w:rsidRPr="00725109" w:rsidRDefault="00DC4C26" w:rsidP="00DC4C26">
      <w:pPr>
        <w:pStyle w:val="Marge"/>
        <w:rPr>
          <w:rFonts w:ascii="Arial" w:hAnsi="Arial" w:cs="Arial"/>
          <w:sz w:val="32"/>
          <w:szCs w:val="32"/>
        </w:rPr>
      </w:pPr>
    </w:p>
    <w:p w14:paraId="7DB93262" w14:textId="77777777" w:rsidR="00DC4C26" w:rsidRPr="0011696B" w:rsidRDefault="00DC4C26" w:rsidP="00DC4C26">
      <w:pPr>
        <w:pStyle w:val="Marge"/>
        <w:spacing w:before="1560"/>
        <w:jc w:val="right"/>
        <w:rPr>
          <w:rFonts w:ascii="Arial" w:hAnsi="Arial" w:cs="Arial"/>
          <w:b/>
          <w:sz w:val="36"/>
          <w:szCs w:val="36"/>
          <w:lang w:val="en-US"/>
        </w:rPr>
        <w:sectPr w:rsidR="00DC4C26" w:rsidRPr="0011696B" w:rsidSect="00DC4C26">
          <w:headerReference w:type="default" r:id="rId9"/>
          <w:type w:val="oddPage"/>
          <w:pgSz w:w="11906" w:h="16838" w:code="9"/>
          <w:pgMar w:top="1135" w:right="1418" w:bottom="1418" w:left="1418" w:header="680" w:footer="0" w:gutter="0"/>
          <w:pgNumType w:start="1"/>
          <w:cols w:space="720"/>
          <w:titlePg/>
          <w:docGrid w:linePitch="360"/>
        </w:sectPr>
      </w:pPr>
      <w:r w:rsidRPr="00725109">
        <w:rPr>
          <w:rFonts w:ascii="Arial" w:hAnsi="Arial" w:cs="Arial"/>
          <w:b/>
          <w:sz w:val="36"/>
          <w:szCs w:val="36"/>
        </w:rPr>
        <w:t>UNESCO</w:t>
      </w:r>
      <w:r w:rsidRPr="0011696B">
        <w:rPr>
          <w:rFonts w:ascii="Arial" w:hAnsi="Arial" w:cs="Arial"/>
          <w:b/>
          <w:sz w:val="36"/>
          <w:szCs w:val="36"/>
          <w:lang w:val="en-US"/>
        </w:rPr>
        <w:t xml:space="preserve"> </w:t>
      </w:r>
    </w:p>
    <w:p w14:paraId="44CEC2E0" w14:textId="77777777" w:rsidR="00DC4C26" w:rsidRPr="00A726FD" w:rsidRDefault="00DC4C26" w:rsidP="00DC4C26">
      <w:pPr>
        <w:rPr>
          <w:rFonts w:ascii="Arial" w:hAnsi="Arial" w:cs="Arial"/>
          <w:b/>
          <w:sz w:val="36"/>
        </w:rPr>
      </w:pPr>
      <w:bookmarkStart w:id="12" w:name="_Toc196727147"/>
      <w:bookmarkStart w:id="13" w:name="_Toc196733126"/>
      <w:bookmarkStart w:id="14" w:name="_Toc196733725"/>
      <w:bookmarkStart w:id="15" w:name="_Toc196734152"/>
      <w:bookmarkStart w:id="16" w:name="_Toc196816284"/>
      <w:bookmarkStart w:id="17" w:name="_Toc196819791"/>
      <w:bookmarkStart w:id="18" w:name="_Toc196819912"/>
      <w:bookmarkStart w:id="19" w:name="_Toc201727981"/>
      <w:bookmarkStart w:id="20" w:name="_Toc201728073"/>
      <w:bookmarkStart w:id="21" w:name="_Toc295114619"/>
      <w:bookmarkStart w:id="22" w:name="_Toc317041002"/>
      <w:bookmarkStart w:id="23" w:name="_Toc327477884"/>
      <w:r w:rsidRPr="00A726FD">
        <w:rPr>
          <w:rFonts w:ascii="Arial" w:hAnsi="Arial" w:cs="Arial"/>
          <w:b/>
          <w:sz w:val="36"/>
        </w:rPr>
        <w:lastRenderedPageBreak/>
        <w:t>Intergovernmental Oceanographic Commission</w:t>
      </w:r>
    </w:p>
    <w:p w14:paraId="4B16ED28" w14:textId="77777777" w:rsidR="00DC4C26" w:rsidRPr="00A726FD" w:rsidRDefault="00DC4C26" w:rsidP="00DC4C26">
      <w:pPr>
        <w:rPr>
          <w:rFonts w:ascii="Arial" w:hAnsi="Arial" w:cs="Arial"/>
          <w:i/>
          <w:sz w:val="36"/>
        </w:rPr>
      </w:pPr>
      <w:r w:rsidRPr="00A726FD">
        <w:rPr>
          <w:rFonts w:ascii="Arial" w:hAnsi="Arial" w:cs="Arial"/>
          <w:i/>
          <w:sz w:val="36"/>
        </w:rPr>
        <w:t>Reports of Meetings of Experts and Equivalent Bodies</w:t>
      </w:r>
    </w:p>
    <w:bookmarkEnd w:id="12"/>
    <w:bookmarkEnd w:id="13"/>
    <w:bookmarkEnd w:id="14"/>
    <w:bookmarkEnd w:id="15"/>
    <w:bookmarkEnd w:id="16"/>
    <w:bookmarkEnd w:id="17"/>
    <w:bookmarkEnd w:id="18"/>
    <w:bookmarkEnd w:id="19"/>
    <w:bookmarkEnd w:id="20"/>
    <w:bookmarkEnd w:id="21"/>
    <w:bookmarkEnd w:id="22"/>
    <w:bookmarkEnd w:id="23"/>
    <w:p w14:paraId="4994F2F2" w14:textId="77777777" w:rsidR="00DC4C26" w:rsidRPr="00725109" w:rsidRDefault="00DC4C26" w:rsidP="00DC4C26">
      <w:pPr>
        <w:pStyle w:val="Marge"/>
        <w:spacing w:before="3969" w:after="480"/>
        <w:ind w:right="40"/>
        <w:jc w:val="left"/>
        <w:rPr>
          <w:rFonts w:ascii="Arial" w:hAnsi="Arial" w:cs="Arial"/>
          <w:b/>
          <w:bCs/>
          <w:spacing w:val="16"/>
          <w:sz w:val="56"/>
          <w:szCs w:val="56"/>
        </w:rPr>
      </w:pPr>
      <w:r w:rsidRPr="00725109">
        <w:rPr>
          <w:rFonts w:ascii="Arial" w:hAnsi="Arial" w:cs="Arial"/>
          <w:b/>
          <w:bCs/>
          <w:snapToGrid/>
          <w:spacing w:val="16"/>
          <w:sz w:val="56"/>
          <w:szCs w:val="56"/>
        </w:rPr>
        <w:t xml:space="preserve">Working Group on Tsunamis </w:t>
      </w:r>
      <w:r w:rsidRPr="00725109">
        <w:rPr>
          <w:rFonts w:ascii="Arial" w:hAnsi="Arial" w:cs="Arial"/>
          <w:b/>
          <w:bCs/>
          <w:snapToGrid/>
          <w:spacing w:val="16"/>
          <w:sz w:val="56"/>
          <w:szCs w:val="56"/>
        </w:rPr>
        <w:br/>
        <w:t>and Other Hazards Related</w:t>
      </w:r>
      <w:r w:rsidRPr="00725109">
        <w:rPr>
          <w:rFonts w:ascii="Arial" w:hAnsi="Arial" w:cs="Arial"/>
          <w:b/>
          <w:bCs/>
          <w:snapToGrid/>
          <w:spacing w:val="16"/>
          <w:sz w:val="56"/>
          <w:szCs w:val="56"/>
        </w:rPr>
        <w:br/>
        <w:t>to Sea-Level Warning</w:t>
      </w:r>
      <w:r w:rsidRPr="00725109">
        <w:rPr>
          <w:rFonts w:ascii="Arial" w:hAnsi="Arial" w:cs="Arial"/>
          <w:b/>
          <w:bCs/>
          <w:snapToGrid/>
          <w:spacing w:val="16"/>
          <w:sz w:val="56"/>
          <w:szCs w:val="56"/>
        </w:rPr>
        <w:br/>
        <w:t xml:space="preserve">and Mitigation Systems </w:t>
      </w:r>
      <w:r w:rsidRPr="00725109">
        <w:rPr>
          <w:rFonts w:ascii="Arial" w:hAnsi="Arial" w:cs="Arial"/>
          <w:b/>
          <w:bCs/>
          <w:snapToGrid/>
          <w:spacing w:val="16"/>
          <w:sz w:val="56"/>
          <w:szCs w:val="56"/>
        </w:rPr>
        <w:br/>
        <w:t>(TOWS-WG)</w:t>
      </w:r>
    </w:p>
    <w:p w14:paraId="7238F877" w14:textId="675BF15D" w:rsidR="00DC4C26" w:rsidRPr="00725109" w:rsidRDefault="00691AB0" w:rsidP="00DC4C26">
      <w:pPr>
        <w:pStyle w:val="Marge"/>
        <w:spacing w:after="0"/>
        <w:jc w:val="left"/>
        <w:rPr>
          <w:rFonts w:ascii="Arial" w:hAnsi="Arial" w:cs="Arial"/>
          <w:b/>
          <w:bCs/>
          <w:sz w:val="40"/>
          <w:szCs w:val="32"/>
        </w:rPr>
      </w:pPr>
      <w:r>
        <w:rPr>
          <w:rFonts w:ascii="Arial" w:hAnsi="Arial" w:cs="Arial"/>
          <w:b/>
          <w:bCs/>
          <w:sz w:val="40"/>
          <w:szCs w:val="32"/>
          <w:lang w:val="en-US"/>
        </w:rPr>
        <w:t>Eigh</w:t>
      </w:r>
      <w:r w:rsidR="00241CD6">
        <w:rPr>
          <w:rFonts w:ascii="Arial" w:hAnsi="Arial" w:cs="Arial"/>
          <w:b/>
          <w:bCs/>
          <w:sz w:val="40"/>
          <w:szCs w:val="32"/>
          <w:lang w:val="en-US"/>
        </w:rPr>
        <w:t>teenth</w:t>
      </w:r>
      <w:r w:rsidR="00DC4C26">
        <w:rPr>
          <w:rFonts w:ascii="Arial" w:hAnsi="Arial" w:cs="Arial"/>
          <w:b/>
          <w:bCs/>
          <w:sz w:val="40"/>
          <w:szCs w:val="32"/>
          <w:lang w:val="en-US"/>
        </w:rPr>
        <w:t xml:space="preserve"> </w:t>
      </w:r>
      <w:r w:rsidR="00DC4C26" w:rsidRPr="00725109">
        <w:rPr>
          <w:rFonts w:ascii="Arial" w:hAnsi="Arial" w:cs="Arial"/>
          <w:b/>
          <w:bCs/>
          <w:sz w:val="40"/>
          <w:szCs w:val="32"/>
        </w:rPr>
        <w:t>Meeting</w:t>
      </w:r>
    </w:p>
    <w:p w14:paraId="0EA0E32C" w14:textId="0E8126D8" w:rsidR="00DC4C26" w:rsidRPr="00725109" w:rsidRDefault="00241CD6" w:rsidP="00DC4C26">
      <w:pPr>
        <w:pStyle w:val="Marge"/>
        <w:jc w:val="left"/>
        <w:rPr>
          <w:rFonts w:ascii="Arial" w:hAnsi="Arial" w:cs="Arial"/>
          <w:sz w:val="32"/>
          <w:szCs w:val="32"/>
        </w:rPr>
      </w:pPr>
      <w:r>
        <w:rPr>
          <w:rFonts w:ascii="Arial" w:hAnsi="Arial" w:cs="Arial"/>
          <w:sz w:val="32"/>
          <w:szCs w:val="32"/>
        </w:rPr>
        <w:t>Paris, France</w:t>
      </w:r>
      <w:r w:rsidR="00DC4C26" w:rsidRPr="00725109">
        <w:rPr>
          <w:rFonts w:ascii="Arial" w:hAnsi="Arial" w:cs="Arial"/>
          <w:sz w:val="32"/>
          <w:szCs w:val="32"/>
          <w:highlight w:val="green"/>
        </w:rPr>
        <w:br/>
      </w:r>
      <w:r>
        <w:rPr>
          <w:rFonts w:ascii="Arial" w:hAnsi="Arial" w:cs="Arial"/>
          <w:sz w:val="32"/>
          <w:szCs w:val="32"/>
        </w:rPr>
        <w:t>2</w:t>
      </w:r>
      <w:r w:rsidR="00691AB0">
        <w:rPr>
          <w:rFonts w:ascii="Arial" w:hAnsi="Arial" w:cs="Arial"/>
          <w:sz w:val="32"/>
          <w:szCs w:val="32"/>
        </w:rPr>
        <w:t>4</w:t>
      </w:r>
      <w:r w:rsidR="00DC4C26" w:rsidRPr="00725109">
        <w:rPr>
          <w:rFonts w:ascii="Arial" w:hAnsi="Arial" w:cs="Arial"/>
          <w:sz w:val="32"/>
          <w:szCs w:val="32"/>
        </w:rPr>
        <w:t>–</w:t>
      </w:r>
      <w:r w:rsidR="00691AB0">
        <w:rPr>
          <w:rFonts w:ascii="Arial" w:hAnsi="Arial" w:cs="Arial"/>
          <w:sz w:val="32"/>
          <w:szCs w:val="32"/>
        </w:rPr>
        <w:t>25</w:t>
      </w:r>
      <w:r>
        <w:rPr>
          <w:rFonts w:ascii="Arial" w:hAnsi="Arial" w:cs="Arial"/>
          <w:sz w:val="32"/>
          <w:szCs w:val="32"/>
        </w:rPr>
        <w:t xml:space="preserve"> </w:t>
      </w:r>
      <w:r w:rsidR="00691AB0">
        <w:rPr>
          <w:rFonts w:ascii="Arial" w:hAnsi="Arial" w:cs="Arial"/>
          <w:sz w:val="32"/>
          <w:szCs w:val="32"/>
        </w:rPr>
        <w:t>February</w:t>
      </w:r>
      <w:r w:rsidR="00DC4C26">
        <w:rPr>
          <w:rFonts w:ascii="Arial" w:hAnsi="Arial" w:cs="Arial"/>
          <w:sz w:val="32"/>
          <w:szCs w:val="32"/>
        </w:rPr>
        <w:t xml:space="preserve"> 202</w:t>
      </w:r>
      <w:r w:rsidR="00691AB0">
        <w:rPr>
          <w:rFonts w:ascii="Arial" w:hAnsi="Arial" w:cs="Arial"/>
          <w:sz w:val="32"/>
          <w:szCs w:val="32"/>
        </w:rPr>
        <w:t>5</w:t>
      </w:r>
    </w:p>
    <w:p w14:paraId="4D37BEDD" w14:textId="77777777" w:rsidR="00DC4C26" w:rsidRPr="00725109" w:rsidRDefault="00DC4C26" w:rsidP="00DC4C26">
      <w:pPr>
        <w:pStyle w:val="Marge"/>
        <w:jc w:val="left"/>
        <w:rPr>
          <w:rFonts w:ascii="Arial" w:hAnsi="Arial" w:cs="Arial"/>
          <w:sz w:val="32"/>
          <w:szCs w:val="32"/>
        </w:rPr>
      </w:pPr>
    </w:p>
    <w:p w14:paraId="6EA200BF" w14:textId="77777777" w:rsidR="00DC4C26" w:rsidRPr="00725109" w:rsidRDefault="00DC4C26" w:rsidP="00DC4C26">
      <w:pPr>
        <w:pStyle w:val="Marge"/>
        <w:rPr>
          <w:rFonts w:ascii="Arial" w:hAnsi="Arial" w:cs="Arial"/>
          <w:sz w:val="32"/>
          <w:szCs w:val="32"/>
        </w:rPr>
      </w:pPr>
    </w:p>
    <w:p w14:paraId="58037EC5" w14:textId="77777777" w:rsidR="00DC4C26" w:rsidRDefault="00DC4C26" w:rsidP="00DC4C26">
      <w:pPr>
        <w:pStyle w:val="Marge"/>
        <w:rPr>
          <w:rFonts w:ascii="Arial" w:hAnsi="Arial" w:cs="Arial"/>
          <w:sz w:val="32"/>
          <w:szCs w:val="32"/>
        </w:rPr>
      </w:pPr>
    </w:p>
    <w:p w14:paraId="19232E40" w14:textId="77777777" w:rsidR="00DC4C26" w:rsidRPr="00725109" w:rsidRDefault="00DC4C26" w:rsidP="00DC4C26">
      <w:pPr>
        <w:pStyle w:val="Marge"/>
        <w:rPr>
          <w:rFonts w:ascii="Arial" w:hAnsi="Arial" w:cs="Arial"/>
          <w:sz w:val="32"/>
          <w:szCs w:val="32"/>
        </w:rPr>
      </w:pPr>
    </w:p>
    <w:p w14:paraId="75B20931" w14:textId="77777777" w:rsidR="00DC4C26" w:rsidRPr="00725109" w:rsidRDefault="00DC4C26" w:rsidP="00DC4C26">
      <w:pPr>
        <w:pStyle w:val="Marge"/>
        <w:rPr>
          <w:rFonts w:ascii="Arial" w:hAnsi="Arial" w:cs="Arial"/>
          <w:sz w:val="32"/>
          <w:szCs w:val="32"/>
        </w:rPr>
      </w:pPr>
      <w:r>
        <w:rPr>
          <w:rFonts w:ascii="Arial" w:hAnsi="Arial" w:cs="Arial"/>
          <w:sz w:val="32"/>
          <w:szCs w:val="32"/>
        </w:rPr>
        <w:br/>
      </w:r>
    </w:p>
    <w:p w14:paraId="4A1782A1" w14:textId="40602609" w:rsidR="00DC4C26" w:rsidRPr="00725109" w:rsidRDefault="00DC4C26" w:rsidP="00DC4C26">
      <w:pPr>
        <w:pStyle w:val="Marge"/>
        <w:spacing w:before="600"/>
        <w:jc w:val="right"/>
        <w:rPr>
          <w:rFonts w:ascii="Arial" w:hAnsi="Arial" w:cs="Arial"/>
          <w:b/>
          <w:sz w:val="36"/>
          <w:szCs w:val="36"/>
        </w:rPr>
      </w:pPr>
      <w:r w:rsidRPr="00725109">
        <w:rPr>
          <w:rFonts w:ascii="Arial" w:hAnsi="Arial" w:cs="Arial"/>
          <w:b/>
          <w:sz w:val="36"/>
          <w:szCs w:val="36"/>
        </w:rPr>
        <w:t>UNESCO 20</w:t>
      </w:r>
      <w:r>
        <w:rPr>
          <w:rFonts w:ascii="Arial" w:hAnsi="Arial" w:cs="Arial"/>
          <w:b/>
          <w:sz w:val="36"/>
          <w:szCs w:val="36"/>
        </w:rPr>
        <w:t>2</w:t>
      </w:r>
      <w:r w:rsidR="00691AB0">
        <w:rPr>
          <w:rFonts w:ascii="Arial" w:hAnsi="Arial" w:cs="Arial"/>
          <w:b/>
          <w:sz w:val="36"/>
          <w:szCs w:val="36"/>
        </w:rPr>
        <w:t>5</w:t>
      </w:r>
    </w:p>
    <w:p w14:paraId="02FB2EA3" w14:textId="32664102" w:rsidR="00DC4C26" w:rsidRPr="00725109" w:rsidRDefault="00DC4C26" w:rsidP="00DC4C26">
      <w:pPr>
        <w:pStyle w:val="Marge"/>
        <w:jc w:val="center"/>
        <w:rPr>
          <w:rFonts w:ascii="Arial" w:hAnsi="Arial" w:cs="Arial"/>
          <w:sz w:val="22"/>
          <w:szCs w:val="22"/>
        </w:rPr>
      </w:pPr>
      <w:r w:rsidRPr="00725109">
        <w:rPr>
          <w:rFonts w:ascii="Arial" w:hAnsi="Arial" w:cs="Arial"/>
          <w:sz w:val="32"/>
          <w:szCs w:val="32"/>
        </w:rPr>
        <w:br w:type="page"/>
      </w:r>
      <w:r>
        <w:rPr>
          <w:rFonts w:ascii="Arial" w:hAnsi="Arial" w:cs="Arial"/>
          <w:sz w:val="22"/>
          <w:szCs w:val="22"/>
        </w:rPr>
        <w:lastRenderedPageBreak/>
        <w:t>IOC/TOWS-WG-XVI</w:t>
      </w:r>
      <w:r w:rsidR="00691AB0">
        <w:rPr>
          <w:rFonts w:ascii="Arial" w:hAnsi="Arial" w:cs="Arial"/>
          <w:sz w:val="22"/>
          <w:szCs w:val="22"/>
        </w:rPr>
        <w:t>II</w:t>
      </w:r>
      <w:r w:rsidRPr="00725109">
        <w:rPr>
          <w:rFonts w:ascii="Arial" w:hAnsi="Arial" w:cs="Arial"/>
          <w:sz w:val="22"/>
          <w:szCs w:val="22"/>
        </w:rPr>
        <w:t>/3</w:t>
      </w:r>
      <w:bookmarkStart w:id="24" w:name="_Toc23755150"/>
      <w:bookmarkStart w:id="25" w:name="_Toc23755505"/>
      <w:r w:rsidRPr="00725109">
        <w:rPr>
          <w:rFonts w:ascii="Arial" w:hAnsi="Arial" w:cs="Arial"/>
          <w:sz w:val="22"/>
          <w:szCs w:val="22"/>
        </w:rPr>
        <w:br/>
      </w:r>
      <w:bookmarkEnd w:id="24"/>
      <w:bookmarkEnd w:id="25"/>
      <w:r w:rsidRPr="00F3040E">
        <w:rPr>
          <w:rFonts w:ascii="Arial" w:eastAsia="MS Mincho" w:hAnsi="Arial" w:cs="Arial"/>
          <w:sz w:val="22"/>
          <w:szCs w:val="22"/>
          <w:lang w:eastAsia="ja-JP"/>
        </w:rPr>
        <w:t xml:space="preserve">Paris, </w:t>
      </w:r>
      <w:r w:rsidR="00691AB0">
        <w:rPr>
          <w:rFonts w:ascii="Arial" w:eastAsia="MS Mincho" w:hAnsi="Arial" w:cs="Arial"/>
          <w:sz w:val="22"/>
          <w:szCs w:val="22"/>
          <w:lang w:eastAsia="ja-JP"/>
        </w:rPr>
        <w:t>April</w:t>
      </w:r>
      <w:r w:rsidRPr="00F3040E">
        <w:rPr>
          <w:rFonts w:ascii="Arial" w:eastAsia="MS Mincho" w:hAnsi="Arial" w:cs="Arial"/>
          <w:sz w:val="22"/>
          <w:szCs w:val="22"/>
          <w:lang w:eastAsia="ja-JP"/>
        </w:rPr>
        <w:t xml:space="preserve"> </w:t>
      </w:r>
      <w:r w:rsidRPr="00F3040E">
        <w:rPr>
          <w:rFonts w:ascii="Arial" w:hAnsi="Arial" w:cs="Arial"/>
          <w:sz w:val="22"/>
          <w:szCs w:val="22"/>
        </w:rPr>
        <w:t>202</w:t>
      </w:r>
      <w:r w:rsidR="00691AB0">
        <w:rPr>
          <w:rFonts w:ascii="Arial" w:hAnsi="Arial" w:cs="Arial"/>
          <w:sz w:val="22"/>
          <w:szCs w:val="22"/>
        </w:rPr>
        <w:t>5</w:t>
      </w:r>
      <w:r w:rsidRPr="00725109">
        <w:rPr>
          <w:rFonts w:ascii="Arial" w:hAnsi="Arial" w:cs="Arial"/>
          <w:sz w:val="22"/>
          <w:szCs w:val="22"/>
        </w:rPr>
        <w:br/>
        <w:t>Original: English</w:t>
      </w:r>
      <w:r>
        <w:rPr>
          <w:rStyle w:val="FootnoteReference"/>
          <w:rFonts w:ascii="Arial" w:hAnsi="Arial" w:cs="Arial"/>
          <w:sz w:val="22"/>
          <w:szCs w:val="22"/>
        </w:rPr>
        <w:footnoteReference w:id="1"/>
      </w:r>
    </w:p>
    <w:p w14:paraId="7938D603" w14:textId="77777777" w:rsidR="00DC4C26" w:rsidRPr="00725109" w:rsidRDefault="00DC4C26" w:rsidP="00DC4C26">
      <w:pPr>
        <w:pStyle w:val="centretext"/>
        <w:tabs>
          <w:tab w:val="left" w:pos="709"/>
        </w:tabs>
        <w:rPr>
          <w:rFonts w:ascii="Arial" w:hAnsi="Arial" w:cs="Arial"/>
          <w:sz w:val="22"/>
          <w:szCs w:val="22"/>
        </w:rPr>
      </w:pPr>
    </w:p>
    <w:p w14:paraId="14773724" w14:textId="77777777" w:rsidR="00DC4C26" w:rsidRPr="00725109" w:rsidRDefault="00DC4C26" w:rsidP="00DC4C26">
      <w:pPr>
        <w:pStyle w:val="centretext"/>
        <w:tabs>
          <w:tab w:val="left" w:pos="709"/>
        </w:tabs>
        <w:rPr>
          <w:rFonts w:ascii="Arial" w:hAnsi="Arial" w:cs="Arial"/>
          <w:sz w:val="22"/>
          <w:szCs w:val="22"/>
        </w:rPr>
      </w:pPr>
    </w:p>
    <w:p w14:paraId="3C8B28D6" w14:textId="77777777" w:rsidR="00DC4C26" w:rsidRPr="00725109" w:rsidRDefault="00DC4C26" w:rsidP="00DC4C26">
      <w:pPr>
        <w:pStyle w:val="centretext"/>
        <w:tabs>
          <w:tab w:val="left" w:pos="709"/>
        </w:tabs>
        <w:rPr>
          <w:rFonts w:ascii="Arial" w:hAnsi="Arial" w:cs="Arial"/>
          <w:sz w:val="22"/>
          <w:szCs w:val="22"/>
        </w:rPr>
      </w:pPr>
    </w:p>
    <w:p w14:paraId="41AA5B88" w14:textId="77777777" w:rsidR="00DC4C26" w:rsidRPr="00725109" w:rsidRDefault="00DC4C26" w:rsidP="00DC4C26">
      <w:pPr>
        <w:pStyle w:val="centretext"/>
        <w:tabs>
          <w:tab w:val="left" w:pos="709"/>
        </w:tabs>
        <w:rPr>
          <w:rFonts w:ascii="Arial" w:hAnsi="Arial" w:cs="Arial"/>
          <w:sz w:val="22"/>
          <w:szCs w:val="22"/>
        </w:rPr>
      </w:pPr>
    </w:p>
    <w:p w14:paraId="3F863651" w14:textId="77777777" w:rsidR="00DC4C26" w:rsidRPr="00725109" w:rsidRDefault="00DC4C26" w:rsidP="00DC4C26">
      <w:pPr>
        <w:rPr>
          <w:rFonts w:ascii="Arial" w:hAnsi="Arial" w:cs="Arial"/>
          <w:lang w:eastAsia="ko-KR"/>
        </w:rPr>
      </w:pPr>
    </w:p>
    <w:p w14:paraId="1ADE86F6" w14:textId="77777777" w:rsidR="00DC4C26" w:rsidRPr="00725109" w:rsidRDefault="00DC4C26" w:rsidP="00DC4C26">
      <w:pPr>
        <w:rPr>
          <w:rFonts w:ascii="Arial" w:hAnsi="Arial" w:cs="Arial"/>
          <w:lang w:eastAsia="ko-KR"/>
        </w:rPr>
      </w:pPr>
    </w:p>
    <w:p w14:paraId="65EC546C" w14:textId="77777777" w:rsidR="00DC4C26" w:rsidRPr="008127F7" w:rsidRDefault="00DC4C26" w:rsidP="00507DE9">
      <w:pPr>
        <w:pStyle w:val="Heading1"/>
        <w:rPr>
          <w:lang w:val="en-US"/>
        </w:rPr>
        <w:sectPr w:rsidR="00DC4C26" w:rsidRPr="008127F7" w:rsidSect="004766A7">
          <w:headerReference w:type="even" r:id="rId10"/>
          <w:headerReference w:type="default" r:id="rId11"/>
          <w:headerReference w:type="first" r:id="rId12"/>
          <w:type w:val="continuous"/>
          <w:pgSz w:w="11906" w:h="16838"/>
          <w:pgMar w:top="1134" w:right="1417" w:bottom="1417" w:left="1417" w:header="708" w:footer="708" w:gutter="0"/>
          <w:pgNumType w:fmt="lowerRoman" w:start="1"/>
          <w:cols w:space="708"/>
          <w:titlePg/>
          <w:docGrid w:linePitch="360"/>
        </w:sectPr>
      </w:pPr>
      <w:bookmarkStart w:id="26" w:name="_Toc196727149"/>
      <w:bookmarkStart w:id="27" w:name="_Toc196733128"/>
      <w:bookmarkStart w:id="28" w:name="_Toc196733727"/>
      <w:bookmarkStart w:id="29" w:name="_Toc196734154"/>
      <w:bookmarkStart w:id="30" w:name="_Toc196816286"/>
      <w:bookmarkStart w:id="31" w:name="_Toc196819793"/>
      <w:bookmarkStart w:id="32" w:name="_Toc196819914"/>
      <w:bookmarkStart w:id="33" w:name="_Toc201727983"/>
      <w:bookmarkStart w:id="34" w:name="_Toc201728075"/>
      <w:bookmarkStart w:id="35" w:name="_Toc295114621"/>
      <w:bookmarkStart w:id="36" w:name="_Toc317041004"/>
      <w:bookmarkStart w:id="37" w:name="_Toc327477886"/>
    </w:p>
    <w:p w14:paraId="366F90E5" w14:textId="77777777" w:rsidR="00DC4C26" w:rsidRPr="004766A7" w:rsidRDefault="00DC4C26" w:rsidP="00DC4C26">
      <w:pPr>
        <w:jc w:val="center"/>
        <w:rPr>
          <w:rFonts w:ascii="Arial" w:hAnsi="Arial" w:cs="Arial"/>
        </w:rPr>
      </w:pPr>
      <w:r w:rsidRPr="004766A7">
        <w:rPr>
          <w:rFonts w:ascii="Arial" w:hAnsi="Arial" w:cs="Arial"/>
          <w:b/>
          <w:sz w:val="22"/>
        </w:rPr>
        <w:lastRenderedPageBreak/>
        <w:t>T</w:t>
      </w:r>
      <w:r>
        <w:rPr>
          <w:rFonts w:ascii="Arial" w:hAnsi="Arial" w:cs="Arial"/>
          <w:b/>
          <w:sz w:val="22"/>
        </w:rPr>
        <w:t>A</w:t>
      </w:r>
      <w:r w:rsidRPr="004766A7">
        <w:rPr>
          <w:rFonts w:ascii="Arial" w:hAnsi="Arial" w:cs="Arial"/>
          <w:b/>
          <w:sz w:val="22"/>
        </w:rPr>
        <w:t>BLE OF CONTENTS</w:t>
      </w:r>
      <w:bookmarkEnd w:id="26"/>
      <w:bookmarkEnd w:id="27"/>
      <w:bookmarkEnd w:id="28"/>
      <w:bookmarkEnd w:id="29"/>
      <w:bookmarkEnd w:id="30"/>
      <w:bookmarkEnd w:id="31"/>
      <w:bookmarkEnd w:id="32"/>
      <w:bookmarkEnd w:id="33"/>
      <w:bookmarkEnd w:id="34"/>
      <w:bookmarkEnd w:id="35"/>
      <w:bookmarkEnd w:id="36"/>
      <w:bookmarkEnd w:id="37"/>
    </w:p>
    <w:p w14:paraId="71167CFA" w14:textId="628558DD" w:rsidR="00DC4C26" w:rsidRPr="0020111A" w:rsidRDefault="00DC4C26" w:rsidP="00DC4C26">
      <w:pPr>
        <w:spacing w:after="240"/>
        <w:ind w:firstLine="8597"/>
        <w:rPr>
          <w:rFonts w:ascii="Arial" w:hAnsi="Arial" w:cs="Arial"/>
          <w:sz w:val="20"/>
          <w:szCs w:val="20"/>
          <w:lang w:eastAsia="en-US"/>
        </w:rPr>
      </w:pPr>
      <w:proofErr w:type="spellStart"/>
      <w:r w:rsidRPr="0020111A">
        <w:rPr>
          <w:rFonts w:ascii="Arial" w:hAnsi="Arial" w:cs="Arial"/>
          <w:sz w:val="20"/>
          <w:szCs w:val="20"/>
          <w:lang w:eastAsia="en-US"/>
        </w:rPr>
        <w:t>pag</w:t>
      </w:r>
      <w:proofErr w:type="spellEnd"/>
    </w:p>
    <w:p w14:paraId="1C87511F" w14:textId="5596D7FC" w:rsidR="000A6FDF" w:rsidRDefault="00DC4C26">
      <w:pPr>
        <w:pStyle w:val="TOC1"/>
        <w:tabs>
          <w:tab w:val="left" w:pos="706"/>
        </w:tabs>
        <w:rPr>
          <w:rFonts w:asciiTheme="minorHAnsi" w:eastAsiaTheme="minorEastAsia" w:hAnsiTheme="minorHAnsi" w:cstheme="minorBidi"/>
          <w:b w:val="0"/>
          <w:caps w:val="0"/>
          <w:noProof/>
          <w:snapToGrid/>
          <w:kern w:val="2"/>
          <w:lang w:val="fr-FR"/>
          <w14:ligatures w14:val="standardContextual"/>
        </w:rPr>
      </w:pPr>
      <w:r w:rsidRPr="00D62542">
        <w:rPr>
          <w:rFonts w:cs="Arial"/>
          <w:szCs w:val="22"/>
        </w:rPr>
        <w:fldChar w:fldCharType="begin"/>
      </w:r>
      <w:r w:rsidRPr="0038514E">
        <w:rPr>
          <w:rFonts w:cs="Arial"/>
          <w:szCs w:val="22"/>
        </w:rPr>
        <w:instrText xml:space="preserve"> TOC \o "1-3" \h \z \u </w:instrText>
      </w:r>
      <w:r w:rsidRPr="00D62542">
        <w:rPr>
          <w:rFonts w:cs="Arial"/>
          <w:szCs w:val="22"/>
        </w:rPr>
        <w:fldChar w:fldCharType="separate"/>
      </w:r>
      <w:hyperlink w:anchor="_Toc195258088" w:history="1">
        <w:r w:rsidR="000A6FDF" w:rsidRPr="00744E81">
          <w:rPr>
            <w:rStyle w:val="Hyperlink"/>
            <w:noProof/>
            <w:lang w:val="en-US"/>
          </w:rPr>
          <w:t>1.</w:t>
        </w:r>
        <w:r w:rsidR="000A6FDF">
          <w:rPr>
            <w:rFonts w:asciiTheme="minorHAnsi" w:eastAsiaTheme="minorEastAsia" w:hAnsiTheme="minorHAnsi" w:cstheme="minorBidi"/>
            <w:b w:val="0"/>
            <w:caps w:val="0"/>
            <w:noProof/>
            <w:snapToGrid/>
            <w:kern w:val="2"/>
            <w:lang w:val="fr-FR"/>
            <w14:ligatures w14:val="standardContextual"/>
          </w:rPr>
          <w:tab/>
        </w:r>
        <w:r w:rsidR="000A6FDF" w:rsidRPr="00744E81">
          <w:rPr>
            <w:rStyle w:val="Hyperlink"/>
            <w:noProof/>
            <w:lang w:val="en-US"/>
          </w:rPr>
          <w:t>Executive Summary</w:t>
        </w:r>
        <w:r w:rsidR="000A6FDF">
          <w:rPr>
            <w:noProof/>
            <w:webHidden/>
          </w:rPr>
          <w:tab/>
        </w:r>
        <w:r w:rsidR="000A6FDF">
          <w:rPr>
            <w:noProof/>
            <w:webHidden/>
          </w:rPr>
          <w:fldChar w:fldCharType="begin"/>
        </w:r>
        <w:r w:rsidR="000A6FDF">
          <w:rPr>
            <w:noProof/>
            <w:webHidden/>
          </w:rPr>
          <w:instrText xml:space="preserve"> PAGEREF _Toc195258088 \h </w:instrText>
        </w:r>
        <w:r w:rsidR="000A6FDF">
          <w:rPr>
            <w:noProof/>
            <w:webHidden/>
          </w:rPr>
        </w:r>
        <w:r w:rsidR="000A6FDF">
          <w:rPr>
            <w:noProof/>
            <w:webHidden/>
          </w:rPr>
          <w:fldChar w:fldCharType="separate"/>
        </w:r>
        <w:r w:rsidR="00D164C8">
          <w:rPr>
            <w:noProof/>
            <w:webHidden/>
          </w:rPr>
          <w:t>5</w:t>
        </w:r>
        <w:r w:rsidR="000A6FDF">
          <w:rPr>
            <w:noProof/>
            <w:webHidden/>
          </w:rPr>
          <w:fldChar w:fldCharType="end"/>
        </w:r>
      </w:hyperlink>
    </w:p>
    <w:p w14:paraId="0E3FD7F3" w14:textId="5C874790" w:rsidR="000A6FDF" w:rsidRDefault="000A6FDF">
      <w:pPr>
        <w:pStyle w:val="TOC1"/>
        <w:tabs>
          <w:tab w:val="left" w:pos="706"/>
        </w:tabs>
        <w:rPr>
          <w:rFonts w:asciiTheme="minorHAnsi" w:eastAsiaTheme="minorEastAsia" w:hAnsiTheme="minorHAnsi" w:cstheme="minorBidi"/>
          <w:b w:val="0"/>
          <w:caps w:val="0"/>
          <w:noProof/>
          <w:snapToGrid/>
          <w:kern w:val="2"/>
          <w:lang w:val="fr-FR"/>
          <w14:ligatures w14:val="standardContextual"/>
        </w:rPr>
      </w:pPr>
      <w:hyperlink w:anchor="_Toc195258089" w:history="1">
        <w:r w:rsidRPr="00744E81">
          <w:rPr>
            <w:rStyle w:val="Hyperlink"/>
            <w:noProof/>
          </w:rPr>
          <w:t>1.</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rPr>
          <w:t>OPENING AND WELCOME</w:t>
        </w:r>
        <w:r>
          <w:rPr>
            <w:noProof/>
            <w:webHidden/>
          </w:rPr>
          <w:tab/>
        </w:r>
        <w:r>
          <w:rPr>
            <w:noProof/>
            <w:webHidden/>
          </w:rPr>
          <w:fldChar w:fldCharType="begin"/>
        </w:r>
        <w:r>
          <w:rPr>
            <w:noProof/>
            <w:webHidden/>
          </w:rPr>
          <w:instrText xml:space="preserve"> PAGEREF _Toc195258089 \h </w:instrText>
        </w:r>
        <w:r>
          <w:rPr>
            <w:noProof/>
            <w:webHidden/>
          </w:rPr>
        </w:r>
        <w:r>
          <w:rPr>
            <w:noProof/>
            <w:webHidden/>
          </w:rPr>
          <w:fldChar w:fldCharType="separate"/>
        </w:r>
        <w:r w:rsidR="00D164C8">
          <w:rPr>
            <w:noProof/>
            <w:webHidden/>
          </w:rPr>
          <w:t>9</w:t>
        </w:r>
        <w:r>
          <w:rPr>
            <w:noProof/>
            <w:webHidden/>
          </w:rPr>
          <w:fldChar w:fldCharType="end"/>
        </w:r>
      </w:hyperlink>
    </w:p>
    <w:p w14:paraId="424C35E8" w14:textId="26E5280E"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090" w:history="1">
        <w:r w:rsidRPr="00744E81">
          <w:rPr>
            <w:rStyle w:val="Hyperlink"/>
            <w:noProof/>
          </w:rPr>
          <w:t>1.1</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OPENING</w:t>
        </w:r>
        <w:r>
          <w:rPr>
            <w:noProof/>
            <w:webHidden/>
          </w:rPr>
          <w:tab/>
        </w:r>
        <w:r>
          <w:rPr>
            <w:noProof/>
            <w:webHidden/>
          </w:rPr>
          <w:fldChar w:fldCharType="begin"/>
        </w:r>
        <w:r>
          <w:rPr>
            <w:noProof/>
            <w:webHidden/>
          </w:rPr>
          <w:instrText xml:space="preserve"> PAGEREF _Toc195258090 \h </w:instrText>
        </w:r>
        <w:r>
          <w:rPr>
            <w:noProof/>
            <w:webHidden/>
          </w:rPr>
        </w:r>
        <w:r>
          <w:rPr>
            <w:noProof/>
            <w:webHidden/>
          </w:rPr>
          <w:fldChar w:fldCharType="separate"/>
        </w:r>
        <w:r w:rsidR="00D164C8">
          <w:rPr>
            <w:noProof/>
            <w:webHidden/>
          </w:rPr>
          <w:t>9</w:t>
        </w:r>
        <w:r>
          <w:rPr>
            <w:noProof/>
            <w:webHidden/>
          </w:rPr>
          <w:fldChar w:fldCharType="end"/>
        </w:r>
      </w:hyperlink>
    </w:p>
    <w:p w14:paraId="00BCDAB4" w14:textId="37423111"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091" w:history="1">
        <w:r w:rsidRPr="00744E81">
          <w:rPr>
            <w:rStyle w:val="Hyperlink"/>
            <w:noProof/>
          </w:rPr>
          <w:t>1.2</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ADOPTION OF AGENDA</w:t>
        </w:r>
        <w:r>
          <w:rPr>
            <w:noProof/>
            <w:webHidden/>
          </w:rPr>
          <w:tab/>
        </w:r>
        <w:r>
          <w:rPr>
            <w:noProof/>
            <w:webHidden/>
          </w:rPr>
          <w:fldChar w:fldCharType="begin"/>
        </w:r>
        <w:r>
          <w:rPr>
            <w:noProof/>
            <w:webHidden/>
          </w:rPr>
          <w:instrText xml:space="preserve"> PAGEREF _Toc195258091 \h </w:instrText>
        </w:r>
        <w:r>
          <w:rPr>
            <w:noProof/>
            <w:webHidden/>
          </w:rPr>
        </w:r>
        <w:r>
          <w:rPr>
            <w:noProof/>
            <w:webHidden/>
          </w:rPr>
          <w:fldChar w:fldCharType="separate"/>
        </w:r>
        <w:r w:rsidR="00D164C8">
          <w:rPr>
            <w:noProof/>
            <w:webHidden/>
          </w:rPr>
          <w:t>9</w:t>
        </w:r>
        <w:r>
          <w:rPr>
            <w:noProof/>
            <w:webHidden/>
          </w:rPr>
          <w:fldChar w:fldCharType="end"/>
        </w:r>
      </w:hyperlink>
    </w:p>
    <w:p w14:paraId="681EE190" w14:textId="4D1151F5"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092" w:history="1">
        <w:r w:rsidRPr="00744E81">
          <w:rPr>
            <w:rStyle w:val="Hyperlink"/>
            <w:noProof/>
          </w:rPr>
          <w:t>1.3</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WORKING ARRANGEMENTS</w:t>
        </w:r>
        <w:r>
          <w:rPr>
            <w:noProof/>
            <w:webHidden/>
          </w:rPr>
          <w:tab/>
        </w:r>
        <w:r>
          <w:rPr>
            <w:noProof/>
            <w:webHidden/>
          </w:rPr>
          <w:fldChar w:fldCharType="begin"/>
        </w:r>
        <w:r>
          <w:rPr>
            <w:noProof/>
            <w:webHidden/>
          </w:rPr>
          <w:instrText xml:space="preserve"> PAGEREF _Toc195258092 \h </w:instrText>
        </w:r>
        <w:r>
          <w:rPr>
            <w:noProof/>
            <w:webHidden/>
          </w:rPr>
        </w:r>
        <w:r>
          <w:rPr>
            <w:noProof/>
            <w:webHidden/>
          </w:rPr>
          <w:fldChar w:fldCharType="separate"/>
        </w:r>
        <w:r w:rsidR="00D164C8">
          <w:rPr>
            <w:noProof/>
            <w:webHidden/>
          </w:rPr>
          <w:t>9</w:t>
        </w:r>
        <w:r>
          <w:rPr>
            <w:noProof/>
            <w:webHidden/>
          </w:rPr>
          <w:fldChar w:fldCharType="end"/>
        </w:r>
      </w:hyperlink>
    </w:p>
    <w:p w14:paraId="03C037AB" w14:textId="02226E72" w:rsidR="000A6FDF" w:rsidRDefault="000A6FDF">
      <w:pPr>
        <w:pStyle w:val="TOC1"/>
        <w:tabs>
          <w:tab w:val="left" w:pos="706"/>
        </w:tabs>
        <w:rPr>
          <w:rFonts w:asciiTheme="minorHAnsi" w:eastAsiaTheme="minorEastAsia" w:hAnsiTheme="minorHAnsi" w:cstheme="minorBidi"/>
          <w:b w:val="0"/>
          <w:caps w:val="0"/>
          <w:noProof/>
          <w:snapToGrid/>
          <w:kern w:val="2"/>
          <w:lang w:val="fr-FR"/>
          <w14:ligatures w14:val="standardContextual"/>
        </w:rPr>
      </w:pPr>
      <w:hyperlink w:anchor="_Toc195258093" w:history="1">
        <w:r w:rsidRPr="00744E81">
          <w:rPr>
            <w:rStyle w:val="Hyperlink"/>
            <w:noProof/>
          </w:rPr>
          <w:t>2.</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rPr>
          <w:t>REPORTS FROM PARTICIPANT BODIES</w:t>
        </w:r>
        <w:r>
          <w:rPr>
            <w:noProof/>
            <w:webHidden/>
          </w:rPr>
          <w:tab/>
        </w:r>
        <w:r>
          <w:rPr>
            <w:noProof/>
            <w:webHidden/>
          </w:rPr>
          <w:fldChar w:fldCharType="begin"/>
        </w:r>
        <w:r>
          <w:rPr>
            <w:noProof/>
            <w:webHidden/>
          </w:rPr>
          <w:instrText xml:space="preserve"> PAGEREF _Toc195258093 \h </w:instrText>
        </w:r>
        <w:r>
          <w:rPr>
            <w:noProof/>
            <w:webHidden/>
          </w:rPr>
        </w:r>
        <w:r>
          <w:rPr>
            <w:noProof/>
            <w:webHidden/>
          </w:rPr>
          <w:fldChar w:fldCharType="separate"/>
        </w:r>
        <w:r w:rsidR="00D164C8">
          <w:rPr>
            <w:noProof/>
            <w:webHidden/>
          </w:rPr>
          <w:t>9</w:t>
        </w:r>
        <w:r>
          <w:rPr>
            <w:noProof/>
            <w:webHidden/>
          </w:rPr>
          <w:fldChar w:fldCharType="end"/>
        </w:r>
      </w:hyperlink>
    </w:p>
    <w:p w14:paraId="00245EB6" w14:textId="1E291C1F"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094" w:history="1">
        <w:r w:rsidRPr="00744E81">
          <w:rPr>
            <w:rStyle w:val="Hyperlink"/>
            <w:noProof/>
          </w:rPr>
          <w:t>2.1</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REPORT FROM IOC BODIES</w:t>
        </w:r>
        <w:r>
          <w:rPr>
            <w:noProof/>
            <w:webHidden/>
          </w:rPr>
          <w:tab/>
        </w:r>
        <w:r>
          <w:rPr>
            <w:noProof/>
            <w:webHidden/>
          </w:rPr>
          <w:fldChar w:fldCharType="begin"/>
        </w:r>
        <w:r>
          <w:rPr>
            <w:noProof/>
            <w:webHidden/>
          </w:rPr>
          <w:instrText xml:space="preserve"> PAGEREF _Toc195258094 \h </w:instrText>
        </w:r>
        <w:r>
          <w:rPr>
            <w:noProof/>
            <w:webHidden/>
          </w:rPr>
        </w:r>
        <w:r>
          <w:rPr>
            <w:noProof/>
            <w:webHidden/>
          </w:rPr>
          <w:fldChar w:fldCharType="separate"/>
        </w:r>
        <w:r w:rsidR="00D164C8">
          <w:rPr>
            <w:noProof/>
            <w:webHidden/>
          </w:rPr>
          <w:t>10</w:t>
        </w:r>
        <w:r>
          <w:rPr>
            <w:noProof/>
            <w:webHidden/>
          </w:rPr>
          <w:fldChar w:fldCharType="end"/>
        </w:r>
      </w:hyperlink>
    </w:p>
    <w:p w14:paraId="0E521974" w14:textId="75CD004E" w:rsidR="000A6FDF" w:rsidRDefault="000A6FDF">
      <w:pPr>
        <w:pStyle w:val="TOC1"/>
        <w:tabs>
          <w:tab w:val="left" w:pos="880"/>
        </w:tabs>
        <w:rPr>
          <w:rFonts w:asciiTheme="minorHAnsi" w:eastAsiaTheme="minorEastAsia" w:hAnsiTheme="minorHAnsi" w:cstheme="minorBidi"/>
          <w:b w:val="0"/>
          <w:caps w:val="0"/>
          <w:noProof/>
          <w:snapToGrid/>
          <w:kern w:val="2"/>
          <w:lang w:val="fr-FR"/>
          <w14:ligatures w14:val="standardContextual"/>
        </w:rPr>
      </w:pPr>
      <w:hyperlink w:anchor="_Toc195258095" w:history="1">
        <w:r w:rsidRPr="00744E81">
          <w:rPr>
            <w:rStyle w:val="Hyperlink"/>
            <w:noProof/>
            <w:lang w:val="en-US"/>
          </w:rPr>
          <w:t xml:space="preserve">2.1.1 </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lang w:val="en-US"/>
          </w:rPr>
          <w:t>Tsunami and Other Coastal Hazards Warning System for the Caribbean and Adjacent Regions (CARIBE-EWS)</w:t>
        </w:r>
        <w:r>
          <w:rPr>
            <w:noProof/>
            <w:webHidden/>
          </w:rPr>
          <w:tab/>
        </w:r>
        <w:r>
          <w:rPr>
            <w:noProof/>
            <w:webHidden/>
          </w:rPr>
          <w:fldChar w:fldCharType="begin"/>
        </w:r>
        <w:r>
          <w:rPr>
            <w:noProof/>
            <w:webHidden/>
          </w:rPr>
          <w:instrText xml:space="preserve"> PAGEREF _Toc195258095 \h </w:instrText>
        </w:r>
        <w:r>
          <w:rPr>
            <w:noProof/>
            <w:webHidden/>
          </w:rPr>
        </w:r>
        <w:r>
          <w:rPr>
            <w:noProof/>
            <w:webHidden/>
          </w:rPr>
          <w:fldChar w:fldCharType="separate"/>
        </w:r>
        <w:r w:rsidR="00D164C8">
          <w:rPr>
            <w:noProof/>
            <w:webHidden/>
          </w:rPr>
          <w:t>10</w:t>
        </w:r>
        <w:r>
          <w:rPr>
            <w:noProof/>
            <w:webHidden/>
          </w:rPr>
          <w:fldChar w:fldCharType="end"/>
        </w:r>
      </w:hyperlink>
    </w:p>
    <w:p w14:paraId="7EA7267E" w14:textId="2B2BE549" w:rsidR="000A6FDF" w:rsidRDefault="000A6FDF">
      <w:pPr>
        <w:pStyle w:val="TOC1"/>
        <w:tabs>
          <w:tab w:val="left" w:pos="880"/>
        </w:tabs>
        <w:rPr>
          <w:rFonts w:asciiTheme="minorHAnsi" w:eastAsiaTheme="minorEastAsia" w:hAnsiTheme="minorHAnsi" w:cstheme="minorBidi"/>
          <w:b w:val="0"/>
          <w:caps w:val="0"/>
          <w:noProof/>
          <w:snapToGrid/>
          <w:kern w:val="2"/>
          <w:lang w:val="fr-FR"/>
          <w14:ligatures w14:val="standardContextual"/>
        </w:rPr>
      </w:pPr>
      <w:hyperlink w:anchor="_Toc195258096" w:history="1">
        <w:r w:rsidRPr="00744E81">
          <w:rPr>
            <w:rStyle w:val="Hyperlink"/>
            <w:noProof/>
            <w:lang w:val="en-US"/>
          </w:rPr>
          <w:t>2.1.2</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lang w:val="en-US"/>
          </w:rPr>
          <w:t>Indian Ocean Tsunami Warning and Mitigation System (IOTWMS)</w:t>
        </w:r>
        <w:r>
          <w:rPr>
            <w:noProof/>
            <w:webHidden/>
          </w:rPr>
          <w:tab/>
        </w:r>
        <w:r>
          <w:rPr>
            <w:noProof/>
            <w:webHidden/>
          </w:rPr>
          <w:fldChar w:fldCharType="begin"/>
        </w:r>
        <w:r>
          <w:rPr>
            <w:noProof/>
            <w:webHidden/>
          </w:rPr>
          <w:instrText xml:space="preserve"> PAGEREF _Toc195258096 \h </w:instrText>
        </w:r>
        <w:r>
          <w:rPr>
            <w:noProof/>
            <w:webHidden/>
          </w:rPr>
        </w:r>
        <w:r>
          <w:rPr>
            <w:noProof/>
            <w:webHidden/>
          </w:rPr>
          <w:fldChar w:fldCharType="separate"/>
        </w:r>
        <w:r w:rsidR="00D164C8">
          <w:rPr>
            <w:noProof/>
            <w:webHidden/>
          </w:rPr>
          <w:t>10</w:t>
        </w:r>
        <w:r>
          <w:rPr>
            <w:noProof/>
            <w:webHidden/>
          </w:rPr>
          <w:fldChar w:fldCharType="end"/>
        </w:r>
      </w:hyperlink>
    </w:p>
    <w:p w14:paraId="6D7CB68C" w14:textId="2631CE13" w:rsidR="000A6FDF" w:rsidRDefault="000A6FDF">
      <w:pPr>
        <w:pStyle w:val="TOC1"/>
        <w:tabs>
          <w:tab w:val="left" w:pos="880"/>
        </w:tabs>
        <w:rPr>
          <w:rFonts w:asciiTheme="minorHAnsi" w:eastAsiaTheme="minorEastAsia" w:hAnsiTheme="minorHAnsi" w:cstheme="minorBidi"/>
          <w:b w:val="0"/>
          <w:caps w:val="0"/>
          <w:noProof/>
          <w:snapToGrid/>
          <w:kern w:val="2"/>
          <w:lang w:val="fr-FR"/>
          <w14:ligatures w14:val="standardContextual"/>
        </w:rPr>
      </w:pPr>
      <w:hyperlink w:anchor="_Toc195258097" w:history="1">
        <w:r w:rsidRPr="00744E81">
          <w:rPr>
            <w:rStyle w:val="Hyperlink"/>
            <w:noProof/>
            <w:lang w:val="en-US"/>
          </w:rPr>
          <w:t xml:space="preserve">2.1.3 </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lang w:val="en-US"/>
          </w:rPr>
          <w:t>Tsunami Early Warning and Mitigation System in the North-Eastern Atlantic, the Mediterranean and Connected Seas (NEAMTWS)</w:t>
        </w:r>
        <w:r>
          <w:rPr>
            <w:noProof/>
            <w:webHidden/>
          </w:rPr>
          <w:tab/>
        </w:r>
        <w:r>
          <w:rPr>
            <w:noProof/>
            <w:webHidden/>
          </w:rPr>
          <w:fldChar w:fldCharType="begin"/>
        </w:r>
        <w:r>
          <w:rPr>
            <w:noProof/>
            <w:webHidden/>
          </w:rPr>
          <w:instrText xml:space="preserve"> PAGEREF _Toc195258097 \h </w:instrText>
        </w:r>
        <w:r>
          <w:rPr>
            <w:noProof/>
            <w:webHidden/>
          </w:rPr>
        </w:r>
        <w:r>
          <w:rPr>
            <w:noProof/>
            <w:webHidden/>
          </w:rPr>
          <w:fldChar w:fldCharType="separate"/>
        </w:r>
        <w:r w:rsidR="00D164C8">
          <w:rPr>
            <w:noProof/>
            <w:webHidden/>
          </w:rPr>
          <w:t>10</w:t>
        </w:r>
        <w:r>
          <w:rPr>
            <w:noProof/>
            <w:webHidden/>
          </w:rPr>
          <w:fldChar w:fldCharType="end"/>
        </w:r>
      </w:hyperlink>
    </w:p>
    <w:p w14:paraId="64741829" w14:textId="3696857D"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098" w:history="1">
        <w:r w:rsidRPr="00744E81">
          <w:rPr>
            <w:rStyle w:val="Hyperlink"/>
            <w:b/>
            <w:noProof/>
          </w:rPr>
          <w:t>2.1.4</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b/>
            <w:noProof/>
          </w:rPr>
          <w:t>Pacific Tsunami Warning and Mitigation System (PTWS)</w:t>
        </w:r>
        <w:r>
          <w:rPr>
            <w:noProof/>
            <w:webHidden/>
          </w:rPr>
          <w:tab/>
        </w:r>
        <w:r>
          <w:rPr>
            <w:noProof/>
            <w:webHidden/>
          </w:rPr>
          <w:fldChar w:fldCharType="begin"/>
        </w:r>
        <w:r>
          <w:rPr>
            <w:noProof/>
            <w:webHidden/>
          </w:rPr>
          <w:instrText xml:space="preserve"> PAGEREF _Toc195258098 \h </w:instrText>
        </w:r>
        <w:r>
          <w:rPr>
            <w:noProof/>
            <w:webHidden/>
          </w:rPr>
        </w:r>
        <w:r>
          <w:rPr>
            <w:noProof/>
            <w:webHidden/>
          </w:rPr>
          <w:fldChar w:fldCharType="separate"/>
        </w:r>
        <w:r w:rsidR="00D164C8">
          <w:rPr>
            <w:noProof/>
            <w:webHidden/>
          </w:rPr>
          <w:t>11</w:t>
        </w:r>
        <w:r>
          <w:rPr>
            <w:noProof/>
            <w:webHidden/>
          </w:rPr>
          <w:fldChar w:fldCharType="end"/>
        </w:r>
      </w:hyperlink>
    </w:p>
    <w:p w14:paraId="54CFCE1C" w14:textId="3CF7F2AF"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099" w:history="1">
        <w:r w:rsidRPr="00744E81">
          <w:rPr>
            <w:rStyle w:val="Hyperlink"/>
            <w:noProof/>
          </w:rPr>
          <w:t>2.2</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REPORT OF NON-IOC BODIES</w:t>
        </w:r>
        <w:r>
          <w:rPr>
            <w:noProof/>
            <w:webHidden/>
          </w:rPr>
          <w:tab/>
        </w:r>
        <w:r>
          <w:rPr>
            <w:noProof/>
            <w:webHidden/>
          </w:rPr>
          <w:fldChar w:fldCharType="begin"/>
        </w:r>
        <w:r>
          <w:rPr>
            <w:noProof/>
            <w:webHidden/>
          </w:rPr>
          <w:instrText xml:space="preserve"> PAGEREF _Toc195258099 \h </w:instrText>
        </w:r>
        <w:r>
          <w:rPr>
            <w:noProof/>
            <w:webHidden/>
          </w:rPr>
        </w:r>
        <w:r>
          <w:rPr>
            <w:noProof/>
            <w:webHidden/>
          </w:rPr>
          <w:fldChar w:fldCharType="separate"/>
        </w:r>
        <w:r w:rsidR="00D164C8">
          <w:rPr>
            <w:noProof/>
            <w:webHidden/>
          </w:rPr>
          <w:t>12</w:t>
        </w:r>
        <w:r>
          <w:rPr>
            <w:noProof/>
            <w:webHidden/>
          </w:rPr>
          <w:fldChar w:fldCharType="end"/>
        </w:r>
      </w:hyperlink>
    </w:p>
    <w:p w14:paraId="4322F39F" w14:textId="4AF2B164" w:rsidR="000A6FDF" w:rsidRDefault="000A6FDF">
      <w:pPr>
        <w:pStyle w:val="TOC1"/>
        <w:tabs>
          <w:tab w:val="left" w:pos="880"/>
        </w:tabs>
        <w:rPr>
          <w:rFonts w:asciiTheme="minorHAnsi" w:eastAsiaTheme="minorEastAsia" w:hAnsiTheme="minorHAnsi" w:cstheme="minorBidi"/>
          <w:b w:val="0"/>
          <w:caps w:val="0"/>
          <w:noProof/>
          <w:snapToGrid/>
          <w:kern w:val="2"/>
          <w:lang w:val="fr-FR"/>
          <w14:ligatures w14:val="standardContextual"/>
        </w:rPr>
      </w:pPr>
      <w:hyperlink w:anchor="_Toc195258100" w:history="1">
        <w:r w:rsidRPr="00744E81">
          <w:rPr>
            <w:rStyle w:val="Hyperlink"/>
            <w:noProof/>
            <w:lang w:val="en-US"/>
          </w:rPr>
          <w:t>2.2.1</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lang w:val="en-US"/>
          </w:rPr>
          <w:t>World Tsunami Awareness Day (UNDRR)</w:t>
        </w:r>
        <w:r>
          <w:rPr>
            <w:noProof/>
            <w:webHidden/>
          </w:rPr>
          <w:tab/>
        </w:r>
        <w:r>
          <w:rPr>
            <w:noProof/>
            <w:webHidden/>
          </w:rPr>
          <w:fldChar w:fldCharType="begin"/>
        </w:r>
        <w:r>
          <w:rPr>
            <w:noProof/>
            <w:webHidden/>
          </w:rPr>
          <w:instrText xml:space="preserve"> PAGEREF _Toc195258100 \h </w:instrText>
        </w:r>
        <w:r>
          <w:rPr>
            <w:noProof/>
            <w:webHidden/>
          </w:rPr>
        </w:r>
        <w:r>
          <w:rPr>
            <w:noProof/>
            <w:webHidden/>
          </w:rPr>
          <w:fldChar w:fldCharType="separate"/>
        </w:r>
        <w:r w:rsidR="00D164C8">
          <w:rPr>
            <w:noProof/>
            <w:webHidden/>
          </w:rPr>
          <w:t>12</w:t>
        </w:r>
        <w:r>
          <w:rPr>
            <w:noProof/>
            <w:webHidden/>
          </w:rPr>
          <w:fldChar w:fldCharType="end"/>
        </w:r>
      </w:hyperlink>
    </w:p>
    <w:p w14:paraId="2EE8E05F" w14:textId="310A0D23" w:rsidR="000A6FDF" w:rsidRDefault="000A6FDF">
      <w:pPr>
        <w:pStyle w:val="TOC1"/>
        <w:tabs>
          <w:tab w:val="left" w:pos="880"/>
        </w:tabs>
        <w:rPr>
          <w:rFonts w:asciiTheme="minorHAnsi" w:eastAsiaTheme="minorEastAsia" w:hAnsiTheme="minorHAnsi" w:cstheme="minorBidi"/>
          <w:b w:val="0"/>
          <w:caps w:val="0"/>
          <w:noProof/>
          <w:snapToGrid/>
          <w:kern w:val="2"/>
          <w:lang w:val="fr-FR"/>
          <w14:ligatures w14:val="standardContextual"/>
        </w:rPr>
      </w:pPr>
      <w:hyperlink w:anchor="_Toc195258101" w:history="1">
        <w:r w:rsidRPr="00744E81">
          <w:rPr>
            <w:rStyle w:val="Hyperlink"/>
            <w:noProof/>
            <w:lang w:val="en-US"/>
          </w:rPr>
          <w:t>2.2.2</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lang w:val="en-US"/>
          </w:rPr>
          <w:t>World Meteorological Organization (WMO)</w:t>
        </w:r>
        <w:r>
          <w:rPr>
            <w:noProof/>
            <w:webHidden/>
          </w:rPr>
          <w:tab/>
        </w:r>
        <w:r>
          <w:rPr>
            <w:noProof/>
            <w:webHidden/>
          </w:rPr>
          <w:fldChar w:fldCharType="begin"/>
        </w:r>
        <w:r>
          <w:rPr>
            <w:noProof/>
            <w:webHidden/>
          </w:rPr>
          <w:instrText xml:space="preserve"> PAGEREF _Toc195258101 \h </w:instrText>
        </w:r>
        <w:r>
          <w:rPr>
            <w:noProof/>
            <w:webHidden/>
          </w:rPr>
        </w:r>
        <w:r>
          <w:rPr>
            <w:noProof/>
            <w:webHidden/>
          </w:rPr>
          <w:fldChar w:fldCharType="separate"/>
        </w:r>
        <w:r w:rsidR="00D164C8">
          <w:rPr>
            <w:noProof/>
            <w:webHidden/>
          </w:rPr>
          <w:t>12</w:t>
        </w:r>
        <w:r>
          <w:rPr>
            <w:noProof/>
            <w:webHidden/>
          </w:rPr>
          <w:fldChar w:fldCharType="end"/>
        </w:r>
      </w:hyperlink>
    </w:p>
    <w:p w14:paraId="36F46C89" w14:textId="530D0764" w:rsidR="000A6FDF" w:rsidRDefault="000A6FDF">
      <w:pPr>
        <w:pStyle w:val="TOC1"/>
        <w:tabs>
          <w:tab w:val="left" w:pos="880"/>
        </w:tabs>
        <w:rPr>
          <w:rFonts w:asciiTheme="minorHAnsi" w:eastAsiaTheme="minorEastAsia" w:hAnsiTheme="minorHAnsi" w:cstheme="minorBidi"/>
          <w:b w:val="0"/>
          <w:caps w:val="0"/>
          <w:noProof/>
          <w:snapToGrid/>
          <w:kern w:val="2"/>
          <w:lang w:val="fr-FR"/>
          <w14:ligatures w14:val="standardContextual"/>
        </w:rPr>
      </w:pPr>
      <w:hyperlink w:anchor="_Toc195258102" w:history="1">
        <w:r w:rsidRPr="00744E81">
          <w:rPr>
            <w:rStyle w:val="Hyperlink"/>
            <w:noProof/>
            <w:lang w:val="en-US"/>
          </w:rPr>
          <w:t>2.2.3</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lang w:val="en-US"/>
          </w:rPr>
          <w:t>International Union of Geodesy and Geophysics (IUGG)</w:t>
        </w:r>
        <w:r w:rsidRPr="00744E81">
          <w:rPr>
            <w:rStyle w:val="Hyperlink"/>
            <w:noProof/>
            <w:kern w:val="28"/>
            <w:lang w:val="en-US"/>
          </w:rPr>
          <w:t xml:space="preserve"> </w:t>
        </w:r>
        <w:r w:rsidRPr="00744E81">
          <w:rPr>
            <w:rStyle w:val="Hyperlink"/>
            <w:noProof/>
            <w:lang w:val="en-US"/>
          </w:rPr>
          <w:t>Joint Tsunami Commission (JTC)</w:t>
        </w:r>
        <w:r>
          <w:rPr>
            <w:noProof/>
            <w:webHidden/>
          </w:rPr>
          <w:tab/>
        </w:r>
        <w:r>
          <w:rPr>
            <w:noProof/>
            <w:webHidden/>
          </w:rPr>
          <w:fldChar w:fldCharType="begin"/>
        </w:r>
        <w:r>
          <w:rPr>
            <w:noProof/>
            <w:webHidden/>
          </w:rPr>
          <w:instrText xml:space="preserve"> PAGEREF _Toc195258102 \h </w:instrText>
        </w:r>
        <w:r>
          <w:rPr>
            <w:noProof/>
            <w:webHidden/>
          </w:rPr>
        </w:r>
        <w:r>
          <w:rPr>
            <w:noProof/>
            <w:webHidden/>
          </w:rPr>
          <w:fldChar w:fldCharType="separate"/>
        </w:r>
        <w:r w:rsidR="00D164C8">
          <w:rPr>
            <w:noProof/>
            <w:webHidden/>
          </w:rPr>
          <w:t>13</w:t>
        </w:r>
        <w:r>
          <w:rPr>
            <w:noProof/>
            <w:webHidden/>
          </w:rPr>
          <w:fldChar w:fldCharType="end"/>
        </w:r>
      </w:hyperlink>
    </w:p>
    <w:p w14:paraId="59F49D4F" w14:textId="0DD6F8AB" w:rsidR="000A6FDF" w:rsidRDefault="000A6FDF">
      <w:pPr>
        <w:pStyle w:val="TOC1"/>
        <w:tabs>
          <w:tab w:val="left" w:pos="880"/>
        </w:tabs>
        <w:rPr>
          <w:rFonts w:asciiTheme="minorHAnsi" w:eastAsiaTheme="minorEastAsia" w:hAnsiTheme="minorHAnsi" w:cstheme="minorBidi"/>
          <w:b w:val="0"/>
          <w:caps w:val="0"/>
          <w:noProof/>
          <w:snapToGrid/>
          <w:kern w:val="2"/>
          <w:lang w:val="fr-FR"/>
          <w14:ligatures w14:val="standardContextual"/>
        </w:rPr>
      </w:pPr>
      <w:hyperlink w:anchor="_Toc195258103" w:history="1">
        <w:r w:rsidRPr="00744E81">
          <w:rPr>
            <w:rStyle w:val="Hyperlink"/>
            <w:noProof/>
            <w:lang w:val="en-US"/>
          </w:rPr>
          <w:t>2.2.4</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lang w:val="en-US"/>
          </w:rPr>
          <w:t>Joint Task Force (JTF) on SMART Cables</w:t>
        </w:r>
        <w:r>
          <w:rPr>
            <w:noProof/>
            <w:webHidden/>
          </w:rPr>
          <w:tab/>
        </w:r>
        <w:r>
          <w:rPr>
            <w:noProof/>
            <w:webHidden/>
          </w:rPr>
          <w:fldChar w:fldCharType="begin"/>
        </w:r>
        <w:r>
          <w:rPr>
            <w:noProof/>
            <w:webHidden/>
          </w:rPr>
          <w:instrText xml:space="preserve"> PAGEREF _Toc195258103 \h </w:instrText>
        </w:r>
        <w:r>
          <w:rPr>
            <w:noProof/>
            <w:webHidden/>
          </w:rPr>
        </w:r>
        <w:r>
          <w:rPr>
            <w:noProof/>
            <w:webHidden/>
          </w:rPr>
          <w:fldChar w:fldCharType="separate"/>
        </w:r>
        <w:r w:rsidR="00D164C8">
          <w:rPr>
            <w:noProof/>
            <w:webHidden/>
          </w:rPr>
          <w:t>13</w:t>
        </w:r>
        <w:r>
          <w:rPr>
            <w:noProof/>
            <w:webHidden/>
          </w:rPr>
          <w:fldChar w:fldCharType="end"/>
        </w:r>
      </w:hyperlink>
    </w:p>
    <w:p w14:paraId="1843BBDD" w14:textId="72577117" w:rsidR="000A6FDF" w:rsidRDefault="000A6FDF">
      <w:pPr>
        <w:pStyle w:val="TOC1"/>
        <w:tabs>
          <w:tab w:val="left" w:pos="706"/>
        </w:tabs>
        <w:rPr>
          <w:rFonts w:asciiTheme="minorHAnsi" w:eastAsiaTheme="minorEastAsia" w:hAnsiTheme="minorHAnsi" w:cstheme="minorBidi"/>
          <w:b w:val="0"/>
          <w:caps w:val="0"/>
          <w:noProof/>
          <w:snapToGrid/>
          <w:kern w:val="2"/>
          <w:lang w:val="fr-FR"/>
          <w14:ligatures w14:val="standardContextual"/>
        </w:rPr>
      </w:pPr>
      <w:hyperlink w:anchor="_Toc195258104" w:history="1">
        <w:r w:rsidRPr="00744E81">
          <w:rPr>
            <w:rStyle w:val="Hyperlink"/>
            <w:noProof/>
          </w:rPr>
          <w:t>3.</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rPr>
          <w:t>REVIEW OF PROGRESS</w:t>
        </w:r>
        <w:r>
          <w:rPr>
            <w:noProof/>
            <w:webHidden/>
          </w:rPr>
          <w:tab/>
        </w:r>
        <w:r>
          <w:rPr>
            <w:noProof/>
            <w:webHidden/>
          </w:rPr>
          <w:fldChar w:fldCharType="begin"/>
        </w:r>
        <w:r>
          <w:rPr>
            <w:noProof/>
            <w:webHidden/>
          </w:rPr>
          <w:instrText xml:space="preserve"> PAGEREF _Toc195258104 \h </w:instrText>
        </w:r>
        <w:r>
          <w:rPr>
            <w:noProof/>
            <w:webHidden/>
          </w:rPr>
        </w:r>
        <w:r>
          <w:rPr>
            <w:noProof/>
            <w:webHidden/>
          </w:rPr>
          <w:fldChar w:fldCharType="separate"/>
        </w:r>
        <w:r w:rsidR="00D164C8">
          <w:rPr>
            <w:noProof/>
            <w:webHidden/>
          </w:rPr>
          <w:t>13</w:t>
        </w:r>
        <w:r>
          <w:rPr>
            <w:noProof/>
            <w:webHidden/>
          </w:rPr>
          <w:fldChar w:fldCharType="end"/>
        </w:r>
      </w:hyperlink>
    </w:p>
    <w:p w14:paraId="798AD0CB" w14:textId="6AA73450"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105" w:history="1">
        <w:r w:rsidRPr="00744E81">
          <w:rPr>
            <w:rStyle w:val="Hyperlink"/>
            <w:noProof/>
          </w:rPr>
          <w:t>3.1</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STATUS OF IMPLEMENTATION OF DECISION IOC- EC-57/3.2.1</w:t>
        </w:r>
        <w:r>
          <w:rPr>
            <w:noProof/>
            <w:webHidden/>
          </w:rPr>
          <w:tab/>
        </w:r>
        <w:r>
          <w:rPr>
            <w:noProof/>
            <w:webHidden/>
          </w:rPr>
          <w:fldChar w:fldCharType="begin"/>
        </w:r>
        <w:r>
          <w:rPr>
            <w:noProof/>
            <w:webHidden/>
          </w:rPr>
          <w:instrText xml:space="preserve"> PAGEREF _Toc195258105 \h </w:instrText>
        </w:r>
        <w:r>
          <w:rPr>
            <w:noProof/>
            <w:webHidden/>
          </w:rPr>
        </w:r>
        <w:r>
          <w:rPr>
            <w:noProof/>
            <w:webHidden/>
          </w:rPr>
          <w:fldChar w:fldCharType="separate"/>
        </w:r>
        <w:r w:rsidR="00D164C8">
          <w:rPr>
            <w:noProof/>
            <w:webHidden/>
          </w:rPr>
          <w:t>13</w:t>
        </w:r>
        <w:r>
          <w:rPr>
            <w:noProof/>
            <w:webHidden/>
          </w:rPr>
          <w:fldChar w:fldCharType="end"/>
        </w:r>
      </w:hyperlink>
    </w:p>
    <w:p w14:paraId="5D78EED6" w14:textId="21BC093B" w:rsidR="000A6FDF" w:rsidRDefault="000A6FDF">
      <w:pPr>
        <w:pStyle w:val="TOC1"/>
        <w:tabs>
          <w:tab w:val="left" w:pos="706"/>
        </w:tabs>
        <w:rPr>
          <w:rFonts w:asciiTheme="minorHAnsi" w:eastAsiaTheme="minorEastAsia" w:hAnsiTheme="minorHAnsi" w:cstheme="minorBidi"/>
          <w:b w:val="0"/>
          <w:caps w:val="0"/>
          <w:noProof/>
          <w:snapToGrid/>
          <w:kern w:val="2"/>
          <w:lang w:val="fr-FR"/>
          <w14:ligatures w14:val="standardContextual"/>
        </w:rPr>
      </w:pPr>
      <w:hyperlink w:anchor="_Toc195258106" w:history="1">
        <w:r w:rsidRPr="00744E81">
          <w:rPr>
            <w:rStyle w:val="Hyperlink"/>
            <w:noProof/>
          </w:rPr>
          <w:t>4.</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rPr>
          <w:t>REPORTS OF THE INTER-ICG TASK TEAMS</w:t>
        </w:r>
        <w:r>
          <w:rPr>
            <w:noProof/>
            <w:webHidden/>
          </w:rPr>
          <w:tab/>
        </w:r>
        <w:r>
          <w:rPr>
            <w:noProof/>
            <w:webHidden/>
          </w:rPr>
          <w:fldChar w:fldCharType="begin"/>
        </w:r>
        <w:r>
          <w:rPr>
            <w:noProof/>
            <w:webHidden/>
          </w:rPr>
          <w:instrText xml:space="preserve"> PAGEREF _Toc195258106 \h </w:instrText>
        </w:r>
        <w:r>
          <w:rPr>
            <w:noProof/>
            <w:webHidden/>
          </w:rPr>
        </w:r>
        <w:r>
          <w:rPr>
            <w:noProof/>
            <w:webHidden/>
          </w:rPr>
          <w:fldChar w:fldCharType="separate"/>
        </w:r>
        <w:r w:rsidR="00D164C8">
          <w:rPr>
            <w:noProof/>
            <w:webHidden/>
          </w:rPr>
          <w:t>13</w:t>
        </w:r>
        <w:r>
          <w:rPr>
            <w:noProof/>
            <w:webHidden/>
          </w:rPr>
          <w:fldChar w:fldCharType="end"/>
        </w:r>
      </w:hyperlink>
    </w:p>
    <w:p w14:paraId="036F6196" w14:textId="1860F538"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107" w:history="1">
        <w:r w:rsidRPr="00744E81">
          <w:rPr>
            <w:rStyle w:val="Hyperlink"/>
            <w:noProof/>
          </w:rPr>
          <w:t>4.1</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INTER-ICG TASK TEAM ON DISASTER MANAGEMENT AND PREPAREDNESS (TT-DMP)</w:t>
        </w:r>
        <w:r>
          <w:rPr>
            <w:noProof/>
            <w:webHidden/>
          </w:rPr>
          <w:tab/>
        </w:r>
        <w:r>
          <w:rPr>
            <w:noProof/>
            <w:webHidden/>
          </w:rPr>
          <w:fldChar w:fldCharType="begin"/>
        </w:r>
        <w:r>
          <w:rPr>
            <w:noProof/>
            <w:webHidden/>
          </w:rPr>
          <w:instrText xml:space="preserve"> PAGEREF _Toc195258107 \h </w:instrText>
        </w:r>
        <w:r>
          <w:rPr>
            <w:noProof/>
            <w:webHidden/>
          </w:rPr>
        </w:r>
        <w:r>
          <w:rPr>
            <w:noProof/>
            <w:webHidden/>
          </w:rPr>
          <w:fldChar w:fldCharType="separate"/>
        </w:r>
        <w:r w:rsidR="00D164C8">
          <w:rPr>
            <w:noProof/>
            <w:webHidden/>
          </w:rPr>
          <w:t>13</w:t>
        </w:r>
        <w:r>
          <w:rPr>
            <w:noProof/>
            <w:webHidden/>
          </w:rPr>
          <w:fldChar w:fldCharType="end"/>
        </w:r>
      </w:hyperlink>
    </w:p>
    <w:p w14:paraId="62FF62CD" w14:textId="40359D9A"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108" w:history="1">
        <w:r w:rsidRPr="00744E81">
          <w:rPr>
            <w:rStyle w:val="Hyperlink"/>
            <w:noProof/>
          </w:rPr>
          <w:t>4.2</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INTER-ICG TASK TEAM ON TSUNAMI WATCH OPERATIONS</w:t>
        </w:r>
        <w:r>
          <w:rPr>
            <w:noProof/>
            <w:webHidden/>
          </w:rPr>
          <w:tab/>
        </w:r>
        <w:r>
          <w:rPr>
            <w:noProof/>
            <w:webHidden/>
          </w:rPr>
          <w:fldChar w:fldCharType="begin"/>
        </w:r>
        <w:r>
          <w:rPr>
            <w:noProof/>
            <w:webHidden/>
          </w:rPr>
          <w:instrText xml:space="preserve"> PAGEREF _Toc195258108 \h </w:instrText>
        </w:r>
        <w:r>
          <w:rPr>
            <w:noProof/>
            <w:webHidden/>
          </w:rPr>
        </w:r>
        <w:r>
          <w:rPr>
            <w:noProof/>
            <w:webHidden/>
          </w:rPr>
          <w:fldChar w:fldCharType="separate"/>
        </w:r>
        <w:r w:rsidR="00D164C8">
          <w:rPr>
            <w:noProof/>
            <w:webHidden/>
          </w:rPr>
          <w:t>13</w:t>
        </w:r>
        <w:r>
          <w:rPr>
            <w:noProof/>
            <w:webHidden/>
          </w:rPr>
          <w:fldChar w:fldCharType="end"/>
        </w:r>
      </w:hyperlink>
    </w:p>
    <w:p w14:paraId="7A7E2BDC" w14:textId="1B53F868" w:rsidR="000A6FDF" w:rsidRDefault="000A6FDF">
      <w:pPr>
        <w:pStyle w:val="TOC1"/>
        <w:tabs>
          <w:tab w:val="left" w:pos="706"/>
        </w:tabs>
        <w:rPr>
          <w:rFonts w:asciiTheme="minorHAnsi" w:eastAsiaTheme="minorEastAsia" w:hAnsiTheme="minorHAnsi" w:cstheme="minorBidi"/>
          <w:b w:val="0"/>
          <w:caps w:val="0"/>
          <w:noProof/>
          <w:snapToGrid/>
          <w:kern w:val="2"/>
          <w:lang w:val="fr-FR"/>
          <w14:ligatures w14:val="standardContextual"/>
        </w:rPr>
      </w:pPr>
      <w:hyperlink w:anchor="_Toc195258109" w:history="1">
        <w:r w:rsidRPr="00744E81">
          <w:rPr>
            <w:rStyle w:val="Hyperlink"/>
            <w:noProof/>
          </w:rPr>
          <w:t>5.</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rPr>
          <w:t>UN DECADE OF OCEAN SCIENCE FOR SUSTAINABLE DEVELOPMENT</w:t>
        </w:r>
        <w:r>
          <w:rPr>
            <w:noProof/>
            <w:webHidden/>
          </w:rPr>
          <w:tab/>
        </w:r>
        <w:r>
          <w:rPr>
            <w:noProof/>
            <w:webHidden/>
          </w:rPr>
          <w:fldChar w:fldCharType="begin"/>
        </w:r>
        <w:r>
          <w:rPr>
            <w:noProof/>
            <w:webHidden/>
          </w:rPr>
          <w:instrText xml:space="preserve"> PAGEREF _Toc195258109 \h </w:instrText>
        </w:r>
        <w:r>
          <w:rPr>
            <w:noProof/>
            <w:webHidden/>
          </w:rPr>
        </w:r>
        <w:r>
          <w:rPr>
            <w:noProof/>
            <w:webHidden/>
          </w:rPr>
          <w:fldChar w:fldCharType="separate"/>
        </w:r>
        <w:r w:rsidR="00D164C8">
          <w:rPr>
            <w:noProof/>
            <w:webHidden/>
          </w:rPr>
          <w:t>13</w:t>
        </w:r>
        <w:r>
          <w:rPr>
            <w:noProof/>
            <w:webHidden/>
          </w:rPr>
          <w:fldChar w:fldCharType="end"/>
        </w:r>
      </w:hyperlink>
    </w:p>
    <w:p w14:paraId="55658B82" w14:textId="40C5E535"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110" w:history="1">
        <w:r w:rsidRPr="00744E81">
          <w:rPr>
            <w:rStyle w:val="Hyperlink"/>
            <w:noProof/>
          </w:rPr>
          <w:t>5.1</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REPORT ON THE OCEAN DECADE TSUNAMI PROGRAMME SCIENTIFIC COMMITEE (ODTP-SC)</w:t>
        </w:r>
        <w:r>
          <w:rPr>
            <w:noProof/>
            <w:webHidden/>
          </w:rPr>
          <w:tab/>
        </w:r>
        <w:r>
          <w:rPr>
            <w:noProof/>
            <w:webHidden/>
          </w:rPr>
          <w:fldChar w:fldCharType="begin"/>
        </w:r>
        <w:r>
          <w:rPr>
            <w:noProof/>
            <w:webHidden/>
          </w:rPr>
          <w:instrText xml:space="preserve"> PAGEREF _Toc195258110 \h </w:instrText>
        </w:r>
        <w:r>
          <w:rPr>
            <w:noProof/>
            <w:webHidden/>
          </w:rPr>
        </w:r>
        <w:r>
          <w:rPr>
            <w:noProof/>
            <w:webHidden/>
          </w:rPr>
          <w:fldChar w:fldCharType="separate"/>
        </w:r>
        <w:r w:rsidR="00D164C8">
          <w:rPr>
            <w:noProof/>
            <w:webHidden/>
          </w:rPr>
          <w:t>14</w:t>
        </w:r>
        <w:r>
          <w:rPr>
            <w:noProof/>
            <w:webHidden/>
          </w:rPr>
          <w:fldChar w:fldCharType="end"/>
        </w:r>
      </w:hyperlink>
    </w:p>
    <w:p w14:paraId="33A5EC58" w14:textId="065D5B6D"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hyperlink w:anchor="_Toc195258111" w:history="1">
        <w:r w:rsidRPr="00744E81">
          <w:rPr>
            <w:rStyle w:val="Hyperlink"/>
            <w:noProof/>
          </w:rPr>
          <w:t>5.2</w:t>
        </w:r>
        <w:r>
          <w:rPr>
            <w:rFonts w:asciiTheme="minorHAnsi" w:eastAsiaTheme="minorEastAsia" w:hAnsiTheme="minorHAnsi" w:cstheme="minorBidi"/>
            <w:caps w:val="0"/>
            <w:noProof/>
            <w:snapToGrid/>
            <w:kern w:val="2"/>
            <w:sz w:val="24"/>
            <w:lang w:val="fr-FR"/>
            <w14:ligatures w14:val="standardContextual"/>
          </w:rPr>
          <w:tab/>
        </w:r>
        <w:r w:rsidRPr="00744E81">
          <w:rPr>
            <w:rStyle w:val="Hyperlink"/>
            <w:noProof/>
          </w:rPr>
          <w:t>REPORT ON THE PROGRESS OF THE TSUNAMI READY COALITION</w:t>
        </w:r>
        <w:r>
          <w:rPr>
            <w:noProof/>
            <w:webHidden/>
          </w:rPr>
          <w:tab/>
        </w:r>
        <w:r>
          <w:rPr>
            <w:noProof/>
            <w:webHidden/>
          </w:rPr>
          <w:fldChar w:fldCharType="begin"/>
        </w:r>
        <w:r>
          <w:rPr>
            <w:noProof/>
            <w:webHidden/>
          </w:rPr>
          <w:instrText xml:space="preserve"> PAGEREF _Toc195258111 \h </w:instrText>
        </w:r>
        <w:r>
          <w:rPr>
            <w:noProof/>
            <w:webHidden/>
          </w:rPr>
        </w:r>
        <w:r>
          <w:rPr>
            <w:noProof/>
            <w:webHidden/>
          </w:rPr>
          <w:fldChar w:fldCharType="separate"/>
        </w:r>
        <w:r w:rsidR="00D164C8">
          <w:rPr>
            <w:noProof/>
            <w:webHidden/>
          </w:rPr>
          <w:t>14</w:t>
        </w:r>
        <w:r>
          <w:rPr>
            <w:noProof/>
            <w:webHidden/>
          </w:rPr>
          <w:fldChar w:fldCharType="end"/>
        </w:r>
      </w:hyperlink>
    </w:p>
    <w:p w14:paraId="7F68B7F1" w14:textId="5FC6610A" w:rsidR="000A6FDF" w:rsidRDefault="000A6FDF">
      <w:pPr>
        <w:pStyle w:val="TOC1"/>
        <w:tabs>
          <w:tab w:val="left" w:pos="706"/>
        </w:tabs>
        <w:rPr>
          <w:rFonts w:asciiTheme="minorHAnsi" w:eastAsiaTheme="minorEastAsia" w:hAnsiTheme="minorHAnsi" w:cstheme="minorBidi"/>
          <w:b w:val="0"/>
          <w:caps w:val="0"/>
          <w:noProof/>
          <w:snapToGrid/>
          <w:kern w:val="2"/>
          <w:lang w:val="fr-FR"/>
          <w14:ligatures w14:val="standardContextual"/>
        </w:rPr>
      </w:pPr>
      <w:hyperlink w:anchor="_Toc195258112" w:history="1">
        <w:r w:rsidRPr="00744E81">
          <w:rPr>
            <w:rStyle w:val="Hyperlink"/>
            <w:noProof/>
          </w:rPr>
          <w:t>6.</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rPr>
          <w:t>OTHER ISSUES</w:t>
        </w:r>
        <w:r>
          <w:rPr>
            <w:noProof/>
            <w:webHidden/>
          </w:rPr>
          <w:tab/>
        </w:r>
        <w:r>
          <w:rPr>
            <w:noProof/>
            <w:webHidden/>
          </w:rPr>
          <w:fldChar w:fldCharType="begin"/>
        </w:r>
        <w:r>
          <w:rPr>
            <w:noProof/>
            <w:webHidden/>
          </w:rPr>
          <w:instrText xml:space="preserve"> PAGEREF _Toc195258112 \h </w:instrText>
        </w:r>
        <w:r>
          <w:rPr>
            <w:noProof/>
            <w:webHidden/>
          </w:rPr>
        </w:r>
        <w:r>
          <w:rPr>
            <w:noProof/>
            <w:webHidden/>
          </w:rPr>
          <w:fldChar w:fldCharType="separate"/>
        </w:r>
        <w:r w:rsidR="00D164C8">
          <w:rPr>
            <w:noProof/>
            <w:webHidden/>
          </w:rPr>
          <w:t>14</w:t>
        </w:r>
        <w:r>
          <w:rPr>
            <w:noProof/>
            <w:webHidden/>
          </w:rPr>
          <w:fldChar w:fldCharType="end"/>
        </w:r>
      </w:hyperlink>
    </w:p>
    <w:p w14:paraId="6F659FCB" w14:textId="5AA4E70A" w:rsidR="000A6FDF" w:rsidRDefault="000A6FDF">
      <w:pPr>
        <w:pStyle w:val="TOC1"/>
        <w:tabs>
          <w:tab w:val="left" w:pos="706"/>
        </w:tabs>
        <w:rPr>
          <w:rFonts w:asciiTheme="minorHAnsi" w:eastAsiaTheme="minorEastAsia" w:hAnsiTheme="minorHAnsi" w:cstheme="minorBidi"/>
          <w:b w:val="0"/>
          <w:caps w:val="0"/>
          <w:noProof/>
          <w:snapToGrid/>
          <w:kern w:val="2"/>
          <w:lang w:val="fr-FR"/>
          <w14:ligatures w14:val="standardContextual"/>
        </w:rPr>
      </w:pPr>
      <w:hyperlink w:anchor="_Toc195258113" w:history="1">
        <w:r w:rsidRPr="00744E81">
          <w:rPr>
            <w:rStyle w:val="Hyperlink"/>
            <w:noProof/>
          </w:rPr>
          <w:t>7.</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rPr>
          <w:t>DATE AND PLACE OF THE NEXT MEETING</w:t>
        </w:r>
        <w:r>
          <w:rPr>
            <w:noProof/>
            <w:webHidden/>
          </w:rPr>
          <w:tab/>
        </w:r>
        <w:r>
          <w:rPr>
            <w:noProof/>
            <w:webHidden/>
          </w:rPr>
          <w:fldChar w:fldCharType="begin"/>
        </w:r>
        <w:r>
          <w:rPr>
            <w:noProof/>
            <w:webHidden/>
          </w:rPr>
          <w:instrText xml:space="preserve"> PAGEREF _Toc195258113 \h </w:instrText>
        </w:r>
        <w:r>
          <w:rPr>
            <w:noProof/>
            <w:webHidden/>
          </w:rPr>
        </w:r>
        <w:r>
          <w:rPr>
            <w:noProof/>
            <w:webHidden/>
          </w:rPr>
          <w:fldChar w:fldCharType="separate"/>
        </w:r>
        <w:r w:rsidR="00D164C8">
          <w:rPr>
            <w:noProof/>
            <w:webHidden/>
          </w:rPr>
          <w:t>14</w:t>
        </w:r>
        <w:r>
          <w:rPr>
            <w:noProof/>
            <w:webHidden/>
          </w:rPr>
          <w:fldChar w:fldCharType="end"/>
        </w:r>
      </w:hyperlink>
    </w:p>
    <w:p w14:paraId="28B029B5" w14:textId="2D6CCF08" w:rsidR="000A6FDF" w:rsidRDefault="000A6FDF">
      <w:pPr>
        <w:pStyle w:val="TOC1"/>
        <w:tabs>
          <w:tab w:val="left" w:pos="706"/>
        </w:tabs>
        <w:rPr>
          <w:rFonts w:asciiTheme="minorHAnsi" w:eastAsiaTheme="minorEastAsia" w:hAnsiTheme="minorHAnsi" w:cstheme="minorBidi"/>
          <w:b w:val="0"/>
          <w:caps w:val="0"/>
          <w:noProof/>
          <w:snapToGrid/>
          <w:kern w:val="2"/>
          <w:lang w:val="fr-FR"/>
          <w14:ligatures w14:val="standardContextual"/>
        </w:rPr>
      </w:pPr>
      <w:hyperlink w:anchor="_Toc195258114" w:history="1">
        <w:r w:rsidRPr="00744E81">
          <w:rPr>
            <w:rStyle w:val="Hyperlink"/>
            <w:noProof/>
          </w:rPr>
          <w:t>8.</w:t>
        </w:r>
        <w:r>
          <w:rPr>
            <w:rFonts w:asciiTheme="minorHAnsi" w:eastAsiaTheme="minorEastAsia" w:hAnsiTheme="minorHAnsi" w:cstheme="minorBidi"/>
            <w:b w:val="0"/>
            <w:caps w:val="0"/>
            <w:noProof/>
            <w:snapToGrid/>
            <w:kern w:val="2"/>
            <w:lang w:val="fr-FR"/>
            <w14:ligatures w14:val="standardContextual"/>
          </w:rPr>
          <w:tab/>
        </w:r>
        <w:r w:rsidRPr="00744E81">
          <w:rPr>
            <w:rStyle w:val="Hyperlink"/>
            <w:noProof/>
          </w:rPr>
          <w:t>CLOSURE OF MEETING</w:t>
        </w:r>
        <w:r>
          <w:rPr>
            <w:noProof/>
            <w:webHidden/>
          </w:rPr>
          <w:tab/>
        </w:r>
        <w:r>
          <w:rPr>
            <w:noProof/>
            <w:webHidden/>
          </w:rPr>
          <w:fldChar w:fldCharType="begin"/>
        </w:r>
        <w:r>
          <w:rPr>
            <w:noProof/>
            <w:webHidden/>
          </w:rPr>
          <w:instrText xml:space="preserve"> PAGEREF _Toc195258114 \h </w:instrText>
        </w:r>
        <w:r>
          <w:rPr>
            <w:noProof/>
            <w:webHidden/>
          </w:rPr>
        </w:r>
        <w:r>
          <w:rPr>
            <w:noProof/>
            <w:webHidden/>
          </w:rPr>
          <w:fldChar w:fldCharType="separate"/>
        </w:r>
        <w:r w:rsidR="00D164C8">
          <w:rPr>
            <w:noProof/>
            <w:webHidden/>
          </w:rPr>
          <w:t>14</w:t>
        </w:r>
        <w:r>
          <w:rPr>
            <w:noProof/>
            <w:webHidden/>
          </w:rPr>
          <w:fldChar w:fldCharType="end"/>
        </w:r>
      </w:hyperlink>
    </w:p>
    <w:p w14:paraId="626C2FF6" w14:textId="1BAC7C6E" w:rsidR="000A6FDF" w:rsidRDefault="000A6FDF">
      <w:pPr>
        <w:pStyle w:val="TOC2"/>
        <w:rPr>
          <w:rFonts w:asciiTheme="minorHAnsi" w:eastAsiaTheme="minorEastAsia" w:hAnsiTheme="minorHAnsi" w:cstheme="minorBidi"/>
          <w:caps w:val="0"/>
          <w:noProof/>
          <w:snapToGrid/>
          <w:kern w:val="2"/>
          <w:sz w:val="24"/>
          <w:lang w:val="fr-FR"/>
          <w14:ligatures w14:val="standardContextual"/>
        </w:rPr>
      </w:pPr>
    </w:p>
    <w:p w14:paraId="4CD8B3B8" w14:textId="38FCE523" w:rsidR="00DC4C26" w:rsidRPr="004766A7" w:rsidRDefault="00DC4C26" w:rsidP="002E193D">
      <w:pPr>
        <w:pStyle w:val="TOC2"/>
        <w:spacing w:after="0"/>
        <w:ind w:left="0" w:firstLine="0"/>
        <w:rPr>
          <w:rStyle w:val="Hyperlink"/>
          <w:rFonts w:cs="Arial"/>
          <w:caps w:val="0"/>
          <w:noProof/>
          <w:color w:val="auto"/>
          <w:szCs w:val="22"/>
        </w:rPr>
      </w:pPr>
      <w:r w:rsidRPr="00D62542">
        <w:rPr>
          <w:rFonts w:cs="Arial"/>
          <w:szCs w:val="22"/>
        </w:rPr>
        <w:lastRenderedPageBreak/>
        <w:fldChar w:fldCharType="end"/>
      </w:r>
      <w:r w:rsidRPr="00D62542">
        <w:rPr>
          <w:rFonts w:cs="Arial"/>
          <w:b/>
          <w:noProof/>
          <w:szCs w:val="22"/>
        </w:rPr>
        <w:fldChar w:fldCharType="begin"/>
      </w:r>
      <w:r w:rsidRPr="0011561B">
        <w:rPr>
          <w:rFonts w:cs="Arial"/>
          <w:noProof/>
          <w:szCs w:val="22"/>
        </w:rPr>
        <w:instrText xml:space="preserve"> HYPERLINK \l "_Toc37340304" </w:instrText>
      </w:r>
      <w:r w:rsidRPr="00D62542">
        <w:rPr>
          <w:rFonts w:cs="Arial"/>
          <w:b/>
          <w:noProof/>
          <w:szCs w:val="22"/>
        </w:rPr>
      </w:r>
      <w:r w:rsidRPr="00D62542">
        <w:rPr>
          <w:rFonts w:cs="Arial"/>
          <w:b/>
          <w:noProof/>
          <w:szCs w:val="22"/>
        </w:rPr>
        <w:fldChar w:fldCharType="separate"/>
      </w:r>
      <w:r w:rsidRPr="004766A7">
        <w:rPr>
          <w:rStyle w:val="Hyperlink"/>
          <w:rFonts w:cs="Arial"/>
          <w:noProof/>
          <w:color w:val="auto"/>
          <w:szCs w:val="22"/>
        </w:rPr>
        <w:t>ANNEXES</w:t>
      </w:r>
    </w:p>
    <w:p w14:paraId="307384D8" w14:textId="77777777" w:rsidR="00DC4C26" w:rsidRPr="004766A7" w:rsidRDefault="00DC4C26" w:rsidP="00DC4C26">
      <w:pPr>
        <w:pStyle w:val="TOC1"/>
        <w:ind w:left="709" w:hanging="709"/>
        <w:rPr>
          <w:rStyle w:val="Hyperlink"/>
          <w:color w:val="auto"/>
        </w:rPr>
      </w:pPr>
      <w:r w:rsidRPr="004766A7">
        <w:rPr>
          <w:rStyle w:val="Hyperlink"/>
          <w:rFonts w:cs="Arial"/>
          <w:b w:val="0"/>
          <w:noProof/>
          <w:color w:val="auto"/>
          <w:szCs w:val="22"/>
        </w:rPr>
        <w:t>I</w:t>
      </w:r>
      <w:r w:rsidRPr="00D62542">
        <w:rPr>
          <w:rFonts w:ascii="Arial" w:hAnsi="Arial" w:cs="Arial"/>
          <w:b w:val="0"/>
          <w:noProof/>
          <w:webHidden/>
          <w:sz w:val="22"/>
          <w:szCs w:val="22"/>
        </w:rPr>
        <w:t>.</w:t>
      </w:r>
      <w:r w:rsidRPr="00D62542">
        <w:rPr>
          <w:rFonts w:ascii="Arial" w:hAnsi="Arial" w:cs="Arial"/>
          <w:b w:val="0"/>
          <w:noProof/>
          <w:sz w:val="22"/>
          <w:szCs w:val="22"/>
        </w:rPr>
        <w:fldChar w:fldCharType="end"/>
      </w:r>
      <w:hyperlink w:anchor="A1" w:history="1">
        <w:r w:rsidRPr="004766A7">
          <w:rPr>
            <w:rStyle w:val="Hyperlink"/>
            <w:rFonts w:cs="Arial"/>
            <w:b w:val="0"/>
            <w:noProof/>
            <w:color w:val="auto"/>
            <w:szCs w:val="22"/>
          </w:rPr>
          <w:tab/>
          <w:t>AGEN</w:t>
        </w:r>
        <w:r w:rsidRPr="004766A7">
          <w:rPr>
            <w:rStyle w:val="Hyperlink"/>
            <w:rFonts w:cs="Arial"/>
            <w:b w:val="0"/>
            <w:noProof/>
            <w:color w:val="auto"/>
            <w:szCs w:val="22"/>
          </w:rPr>
          <w:t>D</w:t>
        </w:r>
        <w:r w:rsidRPr="004766A7">
          <w:rPr>
            <w:rStyle w:val="Hyperlink"/>
            <w:rFonts w:cs="Arial"/>
            <w:b w:val="0"/>
            <w:noProof/>
            <w:color w:val="auto"/>
            <w:szCs w:val="22"/>
          </w:rPr>
          <w:t>A</w:t>
        </w:r>
      </w:hyperlink>
    </w:p>
    <w:p w14:paraId="5ABC2BA2" w14:textId="77777777" w:rsidR="00DC4C26" w:rsidRPr="004766A7" w:rsidRDefault="00DC4C26" w:rsidP="00DC4C26">
      <w:pPr>
        <w:pStyle w:val="TOC1"/>
        <w:ind w:left="709" w:hanging="709"/>
        <w:rPr>
          <w:rStyle w:val="Hyperlink"/>
          <w:rFonts w:cs="Arial"/>
          <w:noProof/>
          <w:color w:val="auto"/>
          <w:szCs w:val="22"/>
        </w:rPr>
      </w:pPr>
      <w:hyperlink w:anchor="_Toc37340306" w:history="1">
        <w:r w:rsidRPr="004766A7">
          <w:rPr>
            <w:rStyle w:val="Hyperlink"/>
            <w:rFonts w:cs="Arial"/>
            <w:b w:val="0"/>
            <w:noProof/>
            <w:color w:val="auto"/>
            <w:szCs w:val="22"/>
          </w:rPr>
          <w:t>II.</w:t>
        </w:r>
        <w:r w:rsidRPr="004766A7">
          <w:rPr>
            <w:rStyle w:val="Hyperlink"/>
            <w:rFonts w:cs="Arial"/>
            <w:b w:val="0"/>
            <w:noProof/>
            <w:webHidden/>
            <w:color w:val="auto"/>
            <w:szCs w:val="22"/>
          </w:rPr>
          <w:tab/>
        </w:r>
      </w:hyperlink>
      <w:hyperlink w:anchor="A2" w:history="1">
        <w:r w:rsidRPr="004766A7">
          <w:rPr>
            <w:rStyle w:val="Hyperlink"/>
            <w:rFonts w:cs="Arial"/>
            <w:b w:val="0"/>
            <w:noProof/>
            <w:color w:val="auto"/>
            <w:szCs w:val="22"/>
          </w:rPr>
          <w:t>DECISIONS AND RECOMMENDATIONS</w:t>
        </w:r>
      </w:hyperlink>
    </w:p>
    <w:p w14:paraId="7FE2C588" w14:textId="77777777" w:rsidR="00DC4C26" w:rsidRPr="004766A7" w:rsidRDefault="00DC4C26" w:rsidP="00DC4C26">
      <w:pPr>
        <w:pStyle w:val="TOC1"/>
        <w:ind w:left="709" w:hanging="709"/>
        <w:rPr>
          <w:rStyle w:val="Hyperlink"/>
          <w:rFonts w:cs="Arial"/>
          <w:noProof/>
          <w:color w:val="auto"/>
          <w:szCs w:val="22"/>
        </w:rPr>
      </w:pPr>
      <w:hyperlink w:anchor="_Toc37340308" w:history="1">
        <w:r w:rsidRPr="004766A7">
          <w:rPr>
            <w:rStyle w:val="Hyperlink"/>
            <w:rFonts w:cs="Arial"/>
            <w:b w:val="0"/>
            <w:noProof/>
            <w:color w:val="auto"/>
            <w:szCs w:val="22"/>
          </w:rPr>
          <w:t>III.</w:t>
        </w:r>
        <w:r w:rsidRPr="004766A7">
          <w:rPr>
            <w:rStyle w:val="Hyperlink"/>
            <w:rFonts w:cs="Arial"/>
            <w:b w:val="0"/>
            <w:noProof/>
            <w:webHidden/>
            <w:color w:val="auto"/>
            <w:szCs w:val="22"/>
          </w:rPr>
          <w:tab/>
        </w:r>
      </w:hyperlink>
      <w:hyperlink w:anchor="A3" w:history="1">
        <w:r w:rsidRPr="004766A7">
          <w:rPr>
            <w:rStyle w:val="Hyperlink"/>
            <w:rFonts w:cs="Arial"/>
            <w:b w:val="0"/>
            <w:noProof/>
            <w:color w:val="auto"/>
            <w:szCs w:val="22"/>
          </w:rPr>
          <w:t>REPORT OF THE TOWS-WG INTER-ICG TASK TEAM</w:t>
        </w:r>
        <w:r w:rsidRPr="004766A7">
          <w:rPr>
            <w:rStyle w:val="Hyperlink"/>
            <w:rFonts w:cs="Arial"/>
            <w:b w:val="0"/>
            <w:noProof/>
            <w:color w:val="auto"/>
            <w:szCs w:val="22"/>
          </w:rPr>
          <w:br/>
          <w:t>ON DISASTER MANAGEMENT AND PREPAREDNESS</w:t>
        </w:r>
      </w:hyperlink>
    </w:p>
    <w:p w14:paraId="39C0F0E3" w14:textId="62F11DCA" w:rsidR="00DC4C26" w:rsidRDefault="00DC4C26" w:rsidP="00DC4C26">
      <w:pPr>
        <w:pStyle w:val="TOC1"/>
        <w:ind w:left="709" w:hanging="709"/>
      </w:pPr>
      <w:hyperlink w:anchor="_Toc37340310" w:history="1">
        <w:r w:rsidRPr="004766A7">
          <w:rPr>
            <w:rStyle w:val="Hyperlink"/>
            <w:rFonts w:cs="Arial"/>
            <w:b w:val="0"/>
            <w:noProof/>
            <w:color w:val="auto"/>
            <w:szCs w:val="22"/>
          </w:rPr>
          <w:t>IV.</w:t>
        </w:r>
        <w:r w:rsidRPr="004766A7">
          <w:rPr>
            <w:rStyle w:val="Hyperlink"/>
            <w:rFonts w:cs="Arial"/>
            <w:b w:val="0"/>
            <w:noProof/>
            <w:webHidden/>
            <w:color w:val="auto"/>
            <w:szCs w:val="22"/>
          </w:rPr>
          <w:tab/>
        </w:r>
      </w:hyperlink>
      <w:hyperlink w:anchor="A4" w:history="1">
        <w:r w:rsidR="005F625D" w:rsidRPr="00991BD2">
          <w:rPr>
            <w:rStyle w:val="Hyperlink"/>
            <w:rFonts w:cs="Arial"/>
            <w:b w:val="0"/>
            <w:noProof/>
            <w:szCs w:val="22"/>
          </w:rPr>
          <w:t xml:space="preserve">REPORT OF THE JOINT SESSION OF THE TASK TEAMS ON TSUNAMI WATCH OPERATIONS AND </w:t>
        </w:r>
        <w:r w:rsidR="005F625D" w:rsidRPr="00991BD2">
          <w:rPr>
            <w:rStyle w:val="Hyperlink"/>
            <w:rFonts w:cs="Arial"/>
            <w:b w:val="0"/>
            <w:noProof/>
            <w:szCs w:val="22"/>
          </w:rPr>
          <w:t>D</w:t>
        </w:r>
        <w:r w:rsidR="005F625D" w:rsidRPr="00991BD2">
          <w:rPr>
            <w:rStyle w:val="Hyperlink"/>
            <w:rFonts w:cs="Arial"/>
            <w:b w:val="0"/>
            <w:noProof/>
            <w:szCs w:val="22"/>
          </w:rPr>
          <w:t>ISASTER MANAGEMENT AND PREPAREDNESS</w:t>
        </w:r>
      </w:hyperlink>
    </w:p>
    <w:p w14:paraId="7BFF5089" w14:textId="12C32F84" w:rsidR="00284A72" w:rsidRPr="004766A7" w:rsidRDefault="00284A72" w:rsidP="005F625D">
      <w:pPr>
        <w:pStyle w:val="TOC1"/>
        <w:ind w:left="709" w:hanging="709"/>
        <w:rPr>
          <w:rStyle w:val="Hyperlink"/>
          <w:rFonts w:cs="Arial"/>
          <w:noProof/>
          <w:color w:val="auto"/>
          <w:szCs w:val="22"/>
        </w:rPr>
      </w:pPr>
      <w:hyperlink w:anchor="_Toc37340312" w:history="1">
        <w:r w:rsidRPr="004766A7">
          <w:rPr>
            <w:rStyle w:val="Hyperlink"/>
            <w:rFonts w:cs="Arial"/>
            <w:b w:val="0"/>
            <w:noProof/>
            <w:color w:val="auto"/>
            <w:szCs w:val="22"/>
          </w:rPr>
          <w:t>V</w:t>
        </w:r>
        <w:r w:rsidRPr="004766A7">
          <w:rPr>
            <w:rStyle w:val="Hyperlink"/>
            <w:rFonts w:cs="Arial"/>
            <w:b w:val="0"/>
            <w:noProof/>
            <w:webHidden/>
            <w:color w:val="auto"/>
            <w:szCs w:val="22"/>
          </w:rPr>
          <w:t>.</w:t>
        </w:r>
      </w:hyperlink>
      <w:r w:rsidRPr="004766A7">
        <w:rPr>
          <w:rStyle w:val="Hyperlink"/>
          <w:rFonts w:cs="Arial"/>
          <w:b w:val="0"/>
          <w:noProof/>
          <w:color w:val="auto"/>
          <w:szCs w:val="22"/>
        </w:rPr>
        <w:tab/>
      </w:r>
      <w:bookmarkStart w:id="38" w:name="_Hlk195893851"/>
      <w:r w:rsidR="00991BD2">
        <w:rPr>
          <w:rStyle w:val="Hyperlink"/>
          <w:rFonts w:cs="Arial"/>
          <w:b w:val="0"/>
          <w:noProof/>
          <w:color w:val="auto"/>
          <w:szCs w:val="22"/>
        </w:rPr>
        <w:fldChar w:fldCharType="begin"/>
      </w:r>
      <w:r w:rsidR="00991BD2">
        <w:rPr>
          <w:rStyle w:val="Hyperlink"/>
          <w:rFonts w:cs="Arial"/>
          <w:b w:val="0"/>
          <w:noProof/>
          <w:color w:val="auto"/>
          <w:szCs w:val="22"/>
        </w:rPr>
        <w:instrText>HYPERLINK  \l "A5"</w:instrText>
      </w:r>
      <w:r w:rsidR="00991BD2">
        <w:rPr>
          <w:rStyle w:val="Hyperlink"/>
          <w:rFonts w:cs="Arial"/>
          <w:b w:val="0"/>
          <w:noProof/>
          <w:color w:val="auto"/>
          <w:szCs w:val="22"/>
        </w:rPr>
      </w:r>
      <w:r w:rsidR="00991BD2">
        <w:rPr>
          <w:rStyle w:val="Hyperlink"/>
          <w:rFonts w:cs="Arial"/>
          <w:b w:val="0"/>
          <w:noProof/>
          <w:color w:val="auto"/>
          <w:szCs w:val="22"/>
        </w:rPr>
        <w:fldChar w:fldCharType="separate"/>
      </w:r>
      <w:r w:rsidR="005F625D" w:rsidRPr="00991BD2">
        <w:rPr>
          <w:rStyle w:val="Hyperlink"/>
          <w:rFonts w:cs="Arial"/>
          <w:b w:val="0"/>
          <w:noProof/>
          <w:szCs w:val="22"/>
        </w:rPr>
        <w:t>REPORT OF THE TOWS-WG INTER-ICG TASK TEAM  ON TSUNAMI WATCH OPERATIOns</w:t>
      </w:r>
      <w:r w:rsidR="00991BD2">
        <w:rPr>
          <w:rStyle w:val="Hyperlink"/>
          <w:rFonts w:cs="Arial"/>
          <w:b w:val="0"/>
          <w:noProof/>
          <w:color w:val="auto"/>
          <w:szCs w:val="22"/>
        </w:rPr>
        <w:fldChar w:fldCharType="end"/>
      </w:r>
    </w:p>
    <w:bookmarkEnd w:id="38"/>
    <w:p w14:paraId="39E5FF52" w14:textId="51B204D1" w:rsidR="00DC4C26" w:rsidRPr="004766A7" w:rsidRDefault="00DC4C26" w:rsidP="00DC4C26">
      <w:pPr>
        <w:pStyle w:val="TOC1"/>
        <w:ind w:left="709" w:hanging="709"/>
        <w:rPr>
          <w:rStyle w:val="Hyperlink"/>
          <w:rFonts w:cs="Arial"/>
          <w:noProof/>
          <w:color w:val="auto"/>
          <w:szCs w:val="22"/>
        </w:rPr>
      </w:pPr>
      <w:r>
        <w:fldChar w:fldCharType="begin"/>
      </w:r>
      <w:r>
        <w:instrText>HYPERLINK \l "_Toc37340312"</w:instrText>
      </w:r>
      <w:r>
        <w:fldChar w:fldCharType="separate"/>
      </w:r>
      <w:r w:rsidRPr="004766A7">
        <w:rPr>
          <w:rStyle w:val="Hyperlink"/>
          <w:rFonts w:cs="Arial"/>
          <w:b w:val="0"/>
          <w:noProof/>
          <w:color w:val="auto"/>
          <w:szCs w:val="22"/>
        </w:rPr>
        <w:t>V</w:t>
      </w:r>
      <w:r w:rsidR="00284A72">
        <w:rPr>
          <w:rStyle w:val="Hyperlink"/>
          <w:rFonts w:cs="Arial"/>
          <w:b w:val="0"/>
          <w:noProof/>
          <w:color w:val="auto"/>
          <w:szCs w:val="22"/>
        </w:rPr>
        <w:t>I</w:t>
      </w:r>
      <w:r w:rsidRPr="004766A7">
        <w:rPr>
          <w:rStyle w:val="Hyperlink"/>
          <w:rFonts w:cs="Arial"/>
          <w:b w:val="0"/>
          <w:noProof/>
          <w:webHidden/>
          <w:color w:val="auto"/>
          <w:szCs w:val="22"/>
        </w:rPr>
        <w:t>.</w:t>
      </w:r>
      <w:r>
        <w:fldChar w:fldCharType="end"/>
      </w:r>
      <w:r w:rsidRPr="004766A7">
        <w:rPr>
          <w:rStyle w:val="Hyperlink"/>
          <w:rFonts w:cs="Arial"/>
          <w:b w:val="0"/>
          <w:noProof/>
          <w:color w:val="auto"/>
          <w:szCs w:val="22"/>
        </w:rPr>
        <w:tab/>
      </w:r>
      <w:hyperlink w:anchor="A6" w:history="1">
        <w:r w:rsidRPr="004766A7">
          <w:rPr>
            <w:rStyle w:val="Hyperlink"/>
            <w:rFonts w:cs="Arial"/>
            <w:b w:val="0"/>
            <w:noProof/>
            <w:color w:val="auto"/>
            <w:szCs w:val="22"/>
          </w:rPr>
          <w:t>LIST OF PARTICIPANTS</w:t>
        </w:r>
      </w:hyperlink>
    </w:p>
    <w:p w14:paraId="4780B1DF" w14:textId="5EDB28BB" w:rsidR="00DC4C26" w:rsidRPr="004766A7" w:rsidRDefault="00DC4C26" w:rsidP="00DC4C26">
      <w:pPr>
        <w:pStyle w:val="TOC1"/>
        <w:tabs>
          <w:tab w:val="left" w:pos="709"/>
        </w:tabs>
        <w:ind w:left="709" w:hanging="709"/>
        <w:rPr>
          <w:rStyle w:val="Hyperlink"/>
          <w:rFonts w:cs="Arial"/>
          <w:noProof/>
          <w:color w:val="auto"/>
          <w:szCs w:val="22"/>
        </w:rPr>
      </w:pPr>
      <w:hyperlink w:anchor="_Toc37340314" w:history="1">
        <w:r w:rsidRPr="004766A7">
          <w:rPr>
            <w:rStyle w:val="Hyperlink"/>
            <w:rFonts w:cs="Arial"/>
            <w:b w:val="0"/>
            <w:noProof/>
            <w:color w:val="auto"/>
            <w:szCs w:val="22"/>
          </w:rPr>
          <w:t>VI</w:t>
        </w:r>
        <w:r w:rsidR="00284A72">
          <w:rPr>
            <w:rStyle w:val="Hyperlink"/>
            <w:rFonts w:cs="Arial"/>
            <w:b w:val="0"/>
            <w:noProof/>
            <w:color w:val="auto"/>
            <w:szCs w:val="22"/>
          </w:rPr>
          <w:t>I</w:t>
        </w:r>
        <w:r w:rsidRPr="004766A7">
          <w:rPr>
            <w:rStyle w:val="Hyperlink"/>
            <w:rFonts w:cs="Arial"/>
            <w:b w:val="0"/>
            <w:noProof/>
            <w:color w:val="auto"/>
            <w:szCs w:val="22"/>
          </w:rPr>
          <w:t>.</w:t>
        </w:r>
        <w:r w:rsidRPr="004766A7">
          <w:rPr>
            <w:rStyle w:val="Hyperlink"/>
            <w:rFonts w:cs="Arial"/>
            <w:b w:val="0"/>
            <w:noProof/>
            <w:webHidden/>
            <w:color w:val="auto"/>
            <w:szCs w:val="22"/>
          </w:rPr>
          <w:tab/>
        </w:r>
      </w:hyperlink>
      <w:hyperlink w:anchor="A7" w:history="1">
        <w:r w:rsidRPr="00B6277E">
          <w:rPr>
            <w:rStyle w:val="Hyperlink"/>
            <w:rFonts w:cs="Arial"/>
            <w:b w:val="0"/>
            <w:noProof/>
            <w:szCs w:val="22"/>
          </w:rPr>
          <w:t>LIST OF ACRONYMS</w:t>
        </w:r>
      </w:hyperlink>
    </w:p>
    <w:p w14:paraId="2F34A3FC" w14:textId="77777777" w:rsidR="00DC4C26" w:rsidRPr="008127F7" w:rsidRDefault="00DC4C26" w:rsidP="00507DE9">
      <w:pPr>
        <w:pStyle w:val="Heading1"/>
        <w:rPr>
          <w:lang w:val="en-US"/>
        </w:rPr>
      </w:pPr>
      <w:r w:rsidRPr="008127F7">
        <w:rPr>
          <w:lang w:val="en-US"/>
        </w:rPr>
        <w:br w:type="page"/>
      </w:r>
      <w:bookmarkStart w:id="39" w:name="_Toc196819794"/>
      <w:bookmarkStart w:id="40" w:name="_Toc196819915"/>
      <w:bookmarkStart w:id="41" w:name="_Toc201727984"/>
      <w:bookmarkStart w:id="42" w:name="_Toc288835146"/>
      <w:bookmarkStart w:id="43" w:name="_Toc295114622"/>
      <w:bookmarkStart w:id="44" w:name="_Toc195258088"/>
      <w:r w:rsidRPr="008127F7">
        <w:rPr>
          <w:lang w:val="en-US"/>
        </w:rPr>
        <w:lastRenderedPageBreak/>
        <w:t>Executive Summary</w:t>
      </w:r>
      <w:bookmarkEnd w:id="39"/>
      <w:bookmarkEnd w:id="40"/>
      <w:bookmarkEnd w:id="41"/>
      <w:bookmarkEnd w:id="42"/>
      <w:bookmarkEnd w:id="43"/>
      <w:bookmarkEnd w:id="44"/>
    </w:p>
    <w:p w14:paraId="4C581853" w14:textId="237C222B" w:rsidR="00706AC6" w:rsidRPr="00706AC6" w:rsidRDefault="00706AC6" w:rsidP="00706AC6">
      <w:pPr>
        <w:spacing w:after="240"/>
        <w:jc w:val="both"/>
        <w:rPr>
          <w:rFonts w:ascii="Arial" w:eastAsia="Arial" w:hAnsi="Arial" w:cs="Arial"/>
          <w:sz w:val="22"/>
          <w:szCs w:val="22"/>
        </w:rPr>
      </w:pPr>
      <w:bookmarkStart w:id="45" w:name="_Toc196727150"/>
      <w:bookmarkStart w:id="46" w:name="OLE_LINK5"/>
      <w:bookmarkStart w:id="47" w:name="OLE_LINK6"/>
      <w:r w:rsidRPr="00706AC6">
        <w:rPr>
          <w:rFonts w:ascii="Arial" w:eastAsia="Arial" w:hAnsi="Arial" w:cs="Arial"/>
          <w:sz w:val="22"/>
          <w:szCs w:val="22"/>
        </w:rPr>
        <w:t xml:space="preserve">The Eighteenth Meeting of the Working Group on Tsunamis and Other Hazards Related to Sea-Level Warning and Mitigation Systems (TOWS-WG-XVI) was held in hybrid format (in-person and online), during 24-25 February 2025 under the Chairpersonship of Mr Amr </w:t>
      </w:r>
      <w:r w:rsidR="000218D0">
        <w:rPr>
          <w:rFonts w:ascii="Arial" w:eastAsia="Arial" w:hAnsi="Arial" w:cs="Arial"/>
          <w:sz w:val="22"/>
          <w:szCs w:val="22"/>
        </w:rPr>
        <w:t xml:space="preserve">Zakaria </w:t>
      </w:r>
      <w:r w:rsidRPr="00706AC6">
        <w:rPr>
          <w:rFonts w:ascii="Arial" w:eastAsia="Arial" w:hAnsi="Arial" w:cs="Arial"/>
          <w:sz w:val="22"/>
          <w:szCs w:val="22"/>
        </w:rPr>
        <w:t>Hamouda (IOC Vice-Chair). The meeting evaluated the progress made in respect to the IOC Assembly Decision A-32/4.3.1. and the Decision IOC Executive Council Decision EC-57/3.2.1.</w:t>
      </w:r>
    </w:p>
    <w:p w14:paraId="6AAA10E6" w14:textId="77777777" w:rsidR="00706AC6" w:rsidRPr="00706AC6" w:rsidRDefault="00706AC6" w:rsidP="00706AC6">
      <w:pPr>
        <w:spacing w:after="240"/>
        <w:jc w:val="both"/>
        <w:rPr>
          <w:rFonts w:ascii="Arial" w:eastAsia="Arial" w:hAnsi="Arial" w:cs="Arial"/>
          <w:sz w:val="22"/>
          <w:szCs w:val="22"/>
        </w:rPr>
      </w:pPr>
      <w:r w:rsidRPr="00706AC6">
        <w:rPr>
          <w:rFonts w:ascii="Arial" w:eastAsia="Arial" w:hAnsi="Arial" w:cs="Arial"/>
          <w:b/>
          <w:sz w:val="22"/>
          <w:szCs w:val="22"/>
        </w:rPr>
        <w:t>The Group</w:t>
      </w:r>
      <w:r w:rsidRPr="00706AC6">
        <w:rPr>
          <w:rFonts w:ascii="Arial" w:eastAsia="Arial" w:hAnsi="Arial" w:cs="Arial"/>
          <w:sz w:val="22"/>
          <w:szCs w:val="22"/>
        </w:rPr>
        <w:t xml:space="preserve"> </w:t>
      </w:r>
      <w:r w:rsidRPr="00706AC6">
        <w:rPr>
          <w:rFonts w:ascii="Arial" w:eastAsia="Arial" w:hAnsi="Arial" w:cs="Arial"/>
          <w:b/>
          <w:sz w:val="22"/>
          <w:szCs w:val="22"/>
        </w:rPr>
        <w:t>reviewed</w:t>
      </w:r>
      <w:r w:rsidRPr="00706AC6">
        <w:rPr>
          <w:rFonts w:ascii="Arial" w:eastAsia="Arial" w:hAnsi="Arial" w:cs="Arial"/>
          <w:sz w:val="22"/>
          <w:szCs w:val="22"/>
        </w:rPr>
        <w:t xml:space="preserve"> reports by the IOC Intergovernmental Coordination Groups (ICGs), the Ocean Decade Tsunami Programme Scientific Committee (ODTP-SC) as well as the Task Team on Disaster Management and Preparedness (TT-DMP) and Task Team on Tsunami Watch Operations (TT-TWO) reports.</w:t>
      </w:r>
    </w:p>
    <w:p w14:paraId="19574536" w14:textId="77777777" w:rsidR="00706AC6" w:rsidRPr="00706AC6" w:rsidRDefault="00706AC6" w:rsidP="00706AC6">
      <w:pPr>
        <w:spacing w:after="240"/>
        <w:jc w:val="both"/>
        <w:rPr>
          <w:rFonts w:ascii="Arial" w:eastAsia="Arial" w:hAnsi="Arial" w:cs="Arial"/>
          <w:sz w:val="22"/>
          <w:szCs w:val="22"/>
        </w:rPr>
      </w:pPr>
      <w:r w:rsidRPr="00706AC6">
        <w:rPr>
          <w:rFonts w:ascii="Arial" w:eastAsia="Arial" w:hAnsi="Arial" w:cs="Arial"/>
          <w:b/>
          <w:sz w:val="22"/>
          <w:szCs w:val="22"/>
        </w:rPr>
        <w:t>The Group noted</w:t>
      </w:r>
      <w:r w:rsidRPr="00706AC6">
        <w:rPr>
          <w:rFonts w:ascii="Arial" w:eastAsia="Arial" w:hAnsi="Arial" w:cs="Arial"/>
          <w:sz w:val="22"/>
          <w:szCs w:val="22"/>
        </w:rPr>
        <w:t xml:space="preserve"> </w:t>
      </w:r>
      <w:r w:rsidRPr="00706AC6">
        <w:rPr>
          <w:rFonts w:ascii="Arial" w:eastAsia="Arial" w:hAnsi="Arial" w:cs="Arial"/>
          <w:b/>
          <w:bCs/>
          <w:sz w:val="22"/>
          <w:szCs w:val="22"/>
        </w:rPr>
        <w:t>with appreciation</w:t>
      </w:r>
      <w:r w:rsidRPr="00706AC6">
        <w:rPr>
          <w:rFonts w:ascii="Arial" w:eastAsia="Arial" w:hAnsi="Arial" w:cs="Arial"/>
          <w:sz w:val="22"/>
          <w:szCs w:val="22"/>
        </w:rPr>
        <w:t xml:space="preserve"> the progress made during the intersessional period, including:</w:t>
      </w:r>
    </w:p>
    <w:p w14:paraId="4406F38C"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Coordination of the Wave exercises </w:t>
      </w:r>
      <w:proofErr w:type="spellStart"/>
      <w:r w:rsidRPr="00706AC6">
        <w:rPr>
          <w:rFonts w:ascii="Arial" w:hAnsi="Arial" w:cs="Arial"/>
          <w:sz w:val="22"/>
          <w:szCs w:val="22"/>
        </w:rPr>
        <w:t>PacWave</w:t>
      </w:r>
      <w:proofErr w:type="spellEnd"/>
      <w:r w:rsidRPr="00706AC6">
        <w:rPr>
          <w:rFonts w:ascii="Arial" w:hAnsi="Arial" w:cs="Arial"/>
          <w:sz w:val="22"/>
          <w:szCs w:val="22"/>
        </w:rPr>
        <w:t xml:space="preserve"> 24 (September to November 2024), the CARIBEWAVE 24 (21 March 2024), the </w:t>
      </w:r>
      <w:proofErr w:type="spellStart"/>
      <w:r w:rsidRPr="00706AC6">
        <w:rPr>
          <w:rFonts w:ascii="Arial" w:hAnsi="Arial" w:cs="Arial"/>
          <w:sz w:val="22"/>
          <w:szCs w:val="22"/>
        </w:rPr>
        <w:t>NEAMWave</w:t>
      </w:r>
      <w:proofErr w:type="spellEnd"/>
      <w:r w:rsidRPr="00706AC6">
        <w:rPr>
          <w:rFonts w:ascii="Arial" w:hAnsi="Arial" w:cs="Arial"/>
          <w:sz w:val="22"/>
          <w:szCs w:val="22"/>
        </w:rPr>
        <w:t xml:space="preserve"> 23 (6–7 November 2023) and the IOWave23 (4-25 October 2023</w:t>
      </w:r>
      <w:proofErr w:type="gramStart"/>
      <w:r w:rsidRPr="00706AC6">
        <w:rPr>
          <w:rFonts w:ascii="Arial" w:hAnsi="Arial" w:cs="Arial"/>
          <w:sz w:val="22"/>
          <w:szCs w:val="22"/>
        </w:rPr>
        <w:t>);</w:t>
      </w:r>
      <w:proofErr w:type="gramEnd"/>
    </w:p>
    <w:p w14:paraId="59BA0DE9"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the continuous engagement of the TT-TWO in developing specialized TSP bulletins for the maritime community in consultation with the International Hydrographic Organisation (IHO) Sub-Committee on the World-Wide Navigational Warning Service (WWNWS-SC</w:t>
      </w:r>
      <w:proofErr w:type="gramStart"/>
      <w:r w:rsidRPr="00706AC6">
        <w:rPr>
          <w:rFonts w:ascii="Arial" w:hAnsi="Arial" w:cs="Arial"/>
          <w:sz w:val="22"/>
          <w:szCs w:val="22"/>
        </w:rPr>
        <w:t>);</w:t>
      </w:r>
      <w:proofErr w:type="gramEnd"/>
    </w:p>
    <w:p w14:paraId="51B48B7F"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the ongoing project of the Atlantic CAM </w:t>
      </w:r>
      <w:r w:rsidRPr="00706AC6">
        <w:rPr>
          <w:rFonts w:ascii="Arial" w:hAnsi="Arial" w:cs="Arial"/>
          <w:sz w:val="22"/>
          <w:szCs w:val="22"/>
          <w:lang w:val="en-US"/>
        </w:rPr>
        <w:t xml:space="preserve">Science Monitoring </w:t>
      </w:r>
      <w:proofErr w:type="gramStart"/>
      <w:r w:rsidRPr="00706AC6">
        <w:rPr>
          <w:rFonts w:ascii="Arial" w:hAnsi="Arial" w:cs="Arial"/>
          <w:sz w:val="22"/>
          <w:szCs w:val="22"/>
          <w:lang w:val="en-US"/>
        </w:rPr>
        <w:t>And</w:t>
      </w:r>
      <w:proofErr w:type="gramEnd"/>
      <w:r w:rsidRPr="00706AC6">
        <w:rPr>
          <w:rFonts w:ascii="Arial" w:hAnsi="Arial" w:cs="Arial"/>
          <w:sz w:val="22"/>
          <w:szCs w:val="22"/>
          <w:lang w:val="en-US"/>
        </w:rPr>
        <w:t xml:space="preserve"> Reliable Telecommunications (</w:t>
      </w:r>
      <w:r w:rsidRPr="00706AC6">
        <w:rPr>
          <w:rFonts w:ascii="Arial" w:hAnsi="Arial" w:cs="Arial"/>
          <w:sz w:val="22"/>
          <w:szCs w:val="22"/>
        </w:rPr>
        <w:t xml:space="preserve">SMART) Subsea cable off Portugal, TAM </w:t>
      </w:r>
      <w:proofErr w:type="spellStart"/>
      <w:r w:rsidRPr="00706AC6">
        <w:rPr>
          <w:rFonts w:ascii="Arial" w:hAnsi="Arial" w:cs="Arial"/>
          <w:sz w:val="22"/>
          <w:szCs w:val="22"/>
        </w:rPr>
        <w:t>TAM</w:t>
      </w:r>
      <w:proofErr w:type="spellEnd"/>
      <w:r w:rsidRPr="00706AC6">
        <w:rPr>
          <w:rFonts w:ascii="Arial" w:hAnsi="Arial" w:cs="Arial"/>
          <w:sz w:val="22"/>
          <w:szCs w:val="22"/>
        </w:rPr>
        <w:t xml:space="preserve"> SMART cable between New Caledonia and Vanuatu, undersea cable installations being deployed and planned by Indonesia and India, the deployment of the Western Ionian Sea Infrastructure in 2023 in the Mediterranean. </w:t>
      </w:r>
    </w:p>
    <w:p w14:paraId="1658578A"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the number of Member States and communities joining the UNESCO-IOC Tsunami Ready Recognition Programme, with 100 communities from 31 countries already recognized, of which 15 are </w:t>
      </w:r>
      <w:proofErr w:type="gramStart"/>
      <w:r w:rsidRPr="00706AC6">
        <w:rPr>
          <w:rFonts w:ascii="Arial" w:hAnsi="Arial" w:cs="Arial"/>
          <w:sz w:val="22"/>
          <w:szCs w:val="22"/>
        </w:rPr>
        <w:t>SIDS;</w:t>
      </w:r>
      <w:proofErr w:type="gramEnd"/>
      <w:r w:rsidRPr="00706AC6">
        <w:rPr>
          <w:rFonts w:ascii="Arial" w:hAnsi="Arial" w:cs="Arial"/>
          <w:sz w:val="22"/>
          <w:szCs w:val="22"/>
        </w:rPr>
        <w:t xml:space="preserve"> </w:t>
      </w:r>
    </w:p>
    <w:p w14:paraId="5622F8C9"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publication of the Reports “</w:t>
      </w:r>
      <w:r w:rsidRPr="00706AC6">
        <w:rPr>
          <w:rFonts w:ascii="Arial" w:hAnsi="Arial" w:cs="Arial"/>
          <w:i/>
          <w:iCs/>
          <w:sz w:val="22"/>
          <w:szCs w:val="22"/>
        </w:rPr>
        <w:t>Monitoring and Warning for Tsunamis Generated by Volcanoes.</w:t>
      </w:r>
      <w:r w:rsidRPr="00706AC6">
        <w:rPr>
          <w:rFonts w:ascii="Arial" w:hAnsi="Arial" w:cs="Arial"/>
          <w:sz w:val="22"/>
          <w:szCs w:val="22"/>
        </w:rPr>
        <w:t xml:space="preserve"> 2024. Paris, UNESCO. (</w:t>
      </w:r>
      <w:hyperlink r:id="rId13" w:history="1">
        <w:r w:rsidRPr="00706AC6">
          <w:rPr>
            <w:rFonts w:ascii="Arial" w:hAnsi="Arial" w:cs="Arial"/>
            <w:color w:val="0000FF"/>
            <w:sz w:val="22"/>
            <w:szCs w:val="22"/>
            <w:u w:val="single"/>
          </w:rPr>
          <w:t>IOC Technical Series No.183</w:t>
        </w:r>
      </w:hyperlink>
      <w:r w:rsidRPr="00706AC6">
        <w:rPr>
          <w:rFonts w:ascii="Arial" w:hAnsi="Arial" w:cs="Arial"/>
          <w:sz w:val="22"/>
          <w:szCs w:val="22"/>
        </w:rPr>
        <w:t>) and “</w:t>
      </w:r>
      <w:r w:rsidRPr="00706AC6">
        <w:rPr>
          <w:rFonts w:ascii="Arial" w:hAnsi="Arial" w:cs="Arial"/>
          <w:i/>
          <w:iCs/>
          <w:sz w:val="22"/>
          <w:szCs w:val="22"/>
        </w:rPr>
        <w:t>Meteotsunamis: definition, detection and alerting services investigation</w:t>
      </w:r>
      <w:r w:rsidRPr="00706AC6">
        <w:rPr>
          <w:rFonts w:ascii="Arial" w:hAnsi="Arial" w:cs="Arial"/>
          <w:sz w:val="22"/>
          <w:szCs w:val="22"/>
        </w:rPr>
        <w:t>”.2025. Paris, UNESCO. (</w:t>
      </w:r>
      <w:hyperlink r:id="rId14" w:history="1">
        <w:r w:rsidRPr="00706AC6">
          <w:rPr>
            <w:rFonts w:ascii="Arial" w:hAnsi="Arial" w:cs="Arial"/>
            <w:color w:val="0000FF"/>
            <w:sz w:val="22"/>
            <w:szCs w:val="22"/>
            <w:u w:val="single"/>
          </w:rPr>
          <w:t>IOC Technical Series No.200)</w:t>
        </w:r>
      </w:hyperlink>
      <w:r w:rsidRPr="00706AC6">
        <w:rPr>
          <w:rFonts w:ascii="Calibri" w:eastAsia="DengXian" w:hAnsi="Calibri" w:cs="Arial"/>
          <w:snapToGrid/>
          <w:sz w:val="22"/>
          <w:szCs w:val="22"/>
          <w:lang w:val="en-US"/>
        </w:rPr>
        <w:t xml:space="preserve">, </w:t>
      </w:r>
      <w:r w:rsidRPr="00706AC6">
        <w:rPr>
          <w:rFonts w:ascii="Arial" w:hAnsi="Arial" w:cs="Arial"/>
          <w:sz w:val="22"/>
          <w:szCs w:val="22"/>
        </w:rPr>
        <w:t>and the Summary Statement from the 2nd UNESCO-IOC Global Tsunami Symposium on Two Decades After 2004 Indian Ocean Tsunami: Reflection and Way Forward, Banda Aceh, 11–14 November 2024. Paris. UNESCO (</w:t>
      </w:r>
      <w:hyperlink r:id="rId15" w:history="1">
        <w:r w:rsidRPr="00706AC6">
          <w:rPr>
            <w:rFonts w:ascii="Arial" w:hAnsi="Arial" w:cs="Arial"/>
            <w:color w:val="0000FF"/>
            <w:sz w:val="22"/>
            <w:szCs w:val="22"/>
            <w:u w:val="single"/>
          </w:rPr>
          <w:t>IOC Brochure 2025-1</w:t>
        </w:r>
      </w:hyperlink>
      <w:r w:rsidRPr="00706AC6">
        <w:rPr>
          <w:rFonts w:ascii="Arial" w:hAnsi="Arial" w:cs="Arial"/>
          <w:sz w:val="22"/>
          <w:szCs w:val="22"/>
        </w:rPr>
        <w:t>)</w:t>
      </w:r>
    </w:p>
    <w:p w14:paraId="16AF24F1" w14:textId="77777777" w:rsidR="00706AC6" w:rsidRPr="00706AC6" w:rsidRDefault="00706AC6" w:rsidP="00706AC6">
      <w:pPr>
        <w:numPr>
          <w:ilvl w:val="0"/>
          <w:numId w:val="53"/>
        </w:numPr>
        <w:snapToGrid/>
        <w:spacing w:after="240" w:line="259" w:lineRule="auto"/>
        <w:ind w:left="567" w:hanging="567"/>
        <w:jc w:val="both"/>
        <w:rPr>
          <w:rFonts w:ascii="Arial" w:hAnsi="Arial" w:cs="Arial"/>
          <w:bCs/>
          <w:sz w:val="22"/>
          <w:szCs w:val="22"/>
        </w:rPr>
      </w:pPr>
      <w:r w:rsidRPr="00706AC6">
        <w:rPr>
          <w:rFonts w:ascii="Arial" w:hAnsi="Arial" w:cs="Arial"/>
          <w:bCs/>
          <w:sz w:val="22"/>
          <w:szCs w:val="22"/>
        </w:rPr>
        <w:t xml:space="preserve">Launch of the UNESCO-IOC Tsunami Awareness and Tsunami Ready online trainings through the </w:t>
      </w:r>
      <w:hyperlink r:id="rId16" w:history="1">
        <w:r w:rsidRPr="00706AC6">
          <w:rPr>
            <w:rFonts w:ascii="Arial" w:hAnsi="Arial" w:cs="Arial"/>
            <w:bCs/>
            <w:color w:val="0000FF"/>
            <w:sz w:val="22"/>
            <w:szCs w:val="22"/>
            <w:u w:val="single"/>
          </w:rPr>
          <w:t>Ocean Teacher Global Academy</w:t>
        </w:r>
      </w:hyperlink>
      <w:r w:rsidRPr="00706AC6">
        <w:rPr>
          <w:rFonts w:ascii="Arial" w:hAnsi="Arial" w:cs="Arial"/>
          <w:bCs/>
          <w:sz w:val="22"/>
          <w:szCs w:val="22"/>
        </w:rPr>
        <w:t xml:space="preserve"> (OTGA) platform.</w:t>
      </w:r>
    </w:p>
    <w:p w14:paraId="5828F6EF" w14:textId="77777777" w:rsidR="00706AC6" w:rsidRPr="00706AC6" w:rsidRDefault="00706AC6" w:rsidP="00706AC6">
      <w:pPr>
        <w:numPr>
          <w:ilvl w:val="0"/>
          <w:numId w:val="53"/>
        </w:numPr>
        <w:snapToGrid/>
        <w:spacing w:after="240" w:line="259" w:lineRule="auto"/>
        <w:ind w:left="562" w:hanging="562"/>
        <w:jc w:val="both"/>
        <w:rPr>
          <w:rFonts w:ascii="Arial" w:hAnsi="Arial" w:cs="Arial"/>
          <w:bCs/>
          <w:sz w:val="22"/>
          <w:szCs w:val="22"/>
          <w:lang w:val="en-US"/>
        </w:rPr>
      </w:pPr>
      <w:r w:rsidRPr="00706AC6">
        <w:rPr>
          <w:rFonts w:ascii="Arial" w:hAnsi="Arial" w:cs="Arial"/>
          <w:bCs/>
          <w:sz w:val="22"/>
          <w:szCs w:val="22"/>
          <w:lang w:val="en-US"/>
        </w:rPr>
        <w:t xml:space="preserve">the </w:t>
      </w:r>
      <w:hyperlink r:id="rId17" w:history="1">
        <w:r w:rsidRPr="00706AC6">
          <w:rPr>
            <w:rFonts w:ascii="Arial" w:hAnsi="Arial" w:cs="Arial"/>
            <w:bCs/>
            <w:color w:val="0000FF"/>
            <w:sz w:val="22"/>
            <w:szCs w:val="22"/>
            <w:u w:val="single"/>
            <w:lang w:val="en-US"/>
          </w:rPr>
          <w:t>Tsunami: Sea Change for Resilience</w:t>
        </w:r>
      </w:hyperlink>
      <w:r w:rsidRPr="00706AC6">
        <w:rPr>
          <w:rFonts w:ascii="Arial" w:hAnsi="Arial" w:cs="Arial"/>
          <w:bCs/>
          <w:sz w:val="22"/>
          <w:szCs w:val="22"/>
          <w:lang w:val="en-US"/>
        </w:rPr>
        <w:t xml:space="preserve">, exhibition prepared in partnership with the United Nations Office for Disaster Risk Reduction (UNDRR) and Nautilus, featuring portraits by Matt Porteous and inspiring stories together with the historical and contemporary artworks which commemorate the 20th anniversary of the 2004 Indian Ocean Tsunami; organization of the </w:t>
      </w:r>
      <w:hyperlink r:id="rId18" w:history="1">
        <w:r w:rsidRPr="00706AC6">
          <w:rPr>
            <w:rFonts w:ascii="Arial" w:eastAsia="DengXian" w:hAnsi="Arial" w:cs="Arial"/>
            <w:snapToGrid/>
            <w:color w:val="0000FF"/>
            <w:sz w:val="22"/>
            <w:szCs w:val="22"/>
            <w:u w:val="single"/>
          </w:rPr>
          <w:t>20th Anniversary of the 2004 Indian Ocean Tsunami Commemoration Event</w:t>
        </w:r>
      </w:hyperlink>
      <w:r w:rsidRPr="00706AC6">
        <w:rPr>
          <w:rFonts w:ascii="Arial" w:eastAsia="DengXian" w:hAnsi="Arial" w:cs="Arial"/>
          <w:snapToGrid/>
          <w:sz w:val="22"/>
          <w:szCs w:val="22"/>
        </w:rPr>
        <w:t xml:space="preserve"> at the UNESCO Headquarters on 26 November 2024 to reflect </w:t>
      </w:r>
      <w:r w:rsidRPr="00706AC6">
        <w:rPr>
          <w:rFonts w:ascii="Arial" w:eastAsia="DengXian" w:hAnsi="Arial" w:cs="Arial"/>
          <w:snapToGrid/>
          <w:sz w:val="22"/>
          <w:szCs w:val="22"/>
        </w:rPr>
        <w:lastRenderedPageBreak/>
        <w:t>on resilience, honour those affected, and reaffirm our commitment to disaster preparedness;</w:t>
      </w:r>
      <w:r w:rsidRPr="00706AC6">
        <w:rPr>
          <w:rFonts w:ascii="Arial" w:hAnsi="Arial" w:cs="Arial"/>
          <w:bCs/>
          <w:sz w:val="22"/>
          <w:szCs w:val="22"/>
          <w:lang w:val="en-US"/>
        </w:rPr>
        <w:t xml:space="preserve"> </w:t>
      </w:r>
    </w:p>
    <w:p w14:paraId="3696104F" w14:textId="77777777" w:rsidR="00706AC6" w:rsidRPr="00706AC6" w:rsidRDefault="00706AC6" w:rsidP="00706AC6">
      <w:pPr>
        <w:spacing w:after="240"/>
        <w:jc w:val="both"/>
        <w:rPr>
          <w:rFonts w:ascii="Arial" w:hAnsi="Arial" w:cs="Arial"/>
          <w:bCs/>
          <w:sz w:val="22"/>
          <w:szCs w:val="22"/>
          <w:lang w:val="en-US"/>
        </w:rPr>
      </w:pPr>
      <w:r w:rsidRPr="00706AC6">
        <w:rPr>
          <w:rFonts w:ascii="Arial" w:eastAsia="Arial" w:hAnsi="Arial" w:cs="Arial"/>
          <w:b/>
          <w:bCs/>
          <w:snapToGrid/>
          <w:sz w:val="22"/>
          <w:szCs w:val="22"/>
        </w:rPr>
        <w:t xml:space="preserve">The Group accepted  </w:t>
      </w:r>
      <w:r w:rsidRPr="00706AC6">
        <w:rPr>
          <w:rFonts w:ascii="Arial" w:eastAsia="Arial" w:hAnsi="Arial" w:cs="Arial"/>
          <w:snapToGrid/>
          <w:sz w:val="22"/>
          <w:szCs w:val="22"/>
        </w:rPr>
        <w:t>the invitation by UNDRR to</w:t>
      </w:r>
      <w:r w:rsidRPr="00706AC6">
        <w:rPr>
          <w:rFonts w:ascii="Arial" w:eastAsia="Arial" w:hAnsi="Arial" w:cs="Arial"/>
          <w:b/>
          <w:bCs/>
          <w:snapToGrid/>
          <w:sz w:val="22"/>
          <w:szCs w:val="22"/>
        </w:rPr>
        <w:t xml:space="preserve"> </w:t>
      </w:r>
      <w:r w:rsidRPr="00706AC6">
        <w:rPr>
          <w:rFonts w:ascii="Arial" w:eastAsia="Arial" w:hAnsi="Arial" w:cs="Arial"/>
          <w:snapToGrid/>
          <w:sz w:val="22"/>
          <w:szCs w:val="22"/>
        </w:rPr>
        <w:t>co-develop the  World Tsunami Awareness Day 2025 Theme connecting the Tsunami Ready Recognition Programme, the Making Cities Resilient Program and</w:t>
      </w:r>
      <w:r w:rsidRPr="00706AC6">
        <w:rPr>
          <w:rFonts w:ascii="Arial" w:eastAsia="Arial" w:hAnsi="Arial" w:cs="Arial"/>
          <w:b/>
          <w:bCs/>
          <w:snapToGrid/>
          <w:sz w:val="22"/>
          <w:szCs w:val="22"/>
        </w:rPr>
        <w:t xml:space="preserve"> </w:t>
      </w:r>
      <w:r w:rsidRPr="00706AC6">
        <w:rPr>
          <w:rFonts w:ascii="Arial" w:hAnsi="Arial" w:cs="Arial"/>
          <w:bCs/>
          <w:sz w:val="22"/>
          <w:szCs w:val="22"/>
          <w:lang w:val="en-US"/>
        </w:rPr>
        <w:t xml:space="preserve">the </w:t>
      </w:r>
      <w:hyperlink r:id="rId19" w:history="1">
        <w:r w:rsidRPr="00706AC6">
          <w:rPr>
            <w:rFonts w:ascii="Arial" w:hAnsi="Arial" w:cs="Arial"/>
            <w:bCs/>
            <w:color w:val="0000FF"/>
            <w:sz w:val="22"/>
            <w:szCs w:val="22"/>
            <w:u w:val="single"/>
            <w:lang w:val="en-US"/>
          </w:rPr>
          <w:t>#GetToHighGround</w:t>
        </w:r>
      </w:hyperlink>
      <w:r w:rsidRPr="00706AC6">
        <w:rPr>
          <w:rFonts w:ascii="Arial" w:hAnsi="Arial" w:cs="Arial"/>
          <w:bCs/>
          <w:sz w:val="22"/>
          <w:szCs w:val="22"/>
          <w:lang w:val="en-US"/>
        </w:rPr>
        <w:t xml:space="preserve"> and </w:t>
      </w:r>
      <w:r w:rsidRPr="00706AC6">
        <w:rPr>
          <w:rFonts w:ascii="Arial" w:hAnsi="Arial" w:cs="Arial"/>
          <w:bCs/>
          <w:color w:val="0000FF"/>
          <w:sz w:val="22"/>
          <w:szCs w:val="22"/>
          <w:lang w:val="en-US"/>
        </w:rPr>
        <w:t>#TsunamiReady</w:t>
      </w:r>
      <w:r w:rsidRPr="00706AC6">
        <w:rPr>
          <w:rFonts w:ascii="Arial" w:hAnsi="Arial" w:cs="Arial"/>
          <w:bCs/>
          <w:sz w:val="22"/>
          <w:szCs w:val="22"/>
          <w:lang w:val="en-US"/>
        </w:rPr>
        <w:t xml:space="preserve"> hashtags to engage citizens on tsunami awareness;</w:t>
      </w:r>
    </w:p>
    <w:p w14:paraId="35FC663D" w14:textId="77777777" w:rsidR="00706AC6" w:rsidRPr="00706AC6" w:rsidRDefault="00706AC6" w:rsidP="00706AC6">
      <w:pPr>
        <w:spacing w:after="240"/>
        <w:jc w:val="both"/>
        <w:rPr>
          <w:rFonts w:ascii="Arial" w:eastAsia="Arial" w:hAnsi="Arial" w:cs="Arial"/>
          <w:sz w:val="22"/>
          <w:szCs w:val="22"/>
        </w:rPr>
      </w:pPr>
      <w:r w:rsidRPr="00706AC6">
        <w:rPr>
          <w:rFonts w:ascii="Arial" w:eastAsia="Arial" w:hAnsi="Arial" w:cs="Arial"/>
          <w:b/>
          <w:bCs/>
          <w:snapToGrid/>
          <w:sz w:val="22"/>
          <w:szCs w:val="22"/>
        </w:rPr>
        <w:t xml:space="preserve">The Group </w:t>
      </w:r>
      <w:r w:rsidRPr="00706AC6">
        <w:rPr>
          <w:rFonts w:ascii="Arial" w:eastAsia="Arial" w:hAnsi="Arial" w:cs="Arial"/>
          <w:b/>
          <w:bCs/>
          <w:sz w:val="22"/>
          <w:szCs w:val="22"/>
        </w:rPr>
        <w:t>appreciated</w:t>
      </w:r>
      <w:r w:rsidRPr="00706AC6">
        <w:rPr>
          <w:rFonts w:ascii="Arial" w:eastAsia="Arial" w:hAnsi="Arial" w:cs="Arial"/>
          <w:sz w:val="22"/>
          <w:szCs w:val="22"/>
        </w:rPr>
        <w:t xml:space="preserve"> the development of Inclusive SOP and Inclusive Warning Tools for disabled children in Indonesia and the Caribbean, r</w:t>
      </w:r>
      <w:r w:rsidRPr="00706AC6">
        <w:rPr>
          <w:rFonts w:ascii="Arial" w:eastAsia="Arial" w:hAnsi="Arial" w:cs="Arial"/>
          <w:b/>
          <w:bCs/>
          <w:sz w:val="22"/>
          <w:szCs w:val="22"/>
        </w:rPr>
        <w:t>ecommended</w:t>
      </w:r>
      <w:r w:rsidRPr="00706AC6">
        <w:rPr>
          <w:rFonts w:ascii="Arial" w:eastAsia="Arial" w:hAnsi="Arial" w:cs="Arial"/>
          <w:sz w:val="22"/>
          <w:szCs w:val="22"/>
        </w:rPr>
        <w:t xml:space="preserve"> the Indonesian inclusive SOPs to be translated to English and </w:t>
      </w:r>
      <w:r w:rsidRPr="00706AC6">
        <w:rPr>
          <w:rFonts w:ascii="Arial" w:eastAsia="Arial" w:hAnsi="Arial" w:cs="Arial"/>
          <w:b/>
          <w:bCs/>
          <w:sz w:val="22"/>
          <w:szCs w:val="22"/>
        </w:rPr>
        <w:t xml:space="preserve">encouraged </w:t>
      </w:r>
      <w:r w:rsidRPr="00706AC6">
        <w:rPr>
          <w:rFonts w:ascii="Arial" w:eastAsia="Arial" w:hAnsi="Arial" w:cs="Arial"/>
          <w:sz w:val="22"/>
          <w:szCs w:val="22"/>
        </w:rPr>
        <w:t>further development of inclusive SOP as official guidelines of UNESCO IOC.</w:t>
      </w:r>
    </w:p>
    <w:p w14:paraId="2EEB0D33" w14:textId="77777777" w:rsidR="00706AC6" w:rsidRPr="00706AC6" w:rsidRDefault="00706AC6" w:rsidP="00706AC6">
      <w:pPr>
        <w:tabs>
          <w:tab w:val="clear" w:pos="709"/>
        </w:tabs>
        <w:snapToGrid/>
        <w:spacing w:after="240" w:line="259" w:lineRule="auto"/>
        <w:jc w:val="both"/>
        <w:rPr>
          <w:rFonts w:ascii="Arial" w:eastAsia="DengXian" w:hAnsi="Arial" w:cs="Arial"/>
          <w:snapToGrid/>
          <w:sz w:val="22"/>
          <w:szCs w:val="22"/>
          <w:lang w:val="en-US"/>
        </w:rPr>
      </w:pPr>
      <w:r w:rsidRPr="00706AC6">
        <w:rPr>
          <w:rFonts w:ascii="Arial" w:eastAsia="Arial" w:hAnsi="Arial" w:cs="Arial"/>
          <w:b/>
          <w:bCs/>
          <w:snapToGrid/>
          <w:sz w:val="22"/>
          <w:szCs w:val="22"/>
        </w:rPr>
        <w:t>The group noted</w:t>
      </w:r>
      <w:r w:rsidRPr="00706AC6">
        <w:rPr>
          <w:rFonts w:ascii="Arial" w:eastAsia="Arial" w:hAnsi="Arial" w:cs="Arial"/>
          <w:snapToGrid/>
          <w:sz w:val="22"/>
          <w:szCs w:val="22"/>
        </w:rPr>
        <w:t xml:space="preserve"> the revisions on the T</w:t>
      </w:r>
      <w:r w:rsidRPr="00706AC6">
        <w:rPr>
          <w:rFonts w:ascii="Arial" w:eastAsia="Arial" w:hAnsi="Arial" w:cs="Arial"/>
          <w:i/>
          <w:iCs/>
          <w:snapToGrid/>
          <w:sz w:val="22"/>
          <w:szCs w:val="22"/>
        </w:rPr>
        <w:t>sunami Watch Operations. Global Service Definition Document</w:t>
      </w:r>
      <w:r w:rsidRPr="00706AC6">
        <w:rPr>
          <w:rFonts w:ascii="Arial" w:eastAsia="Arial" w:hAnsi="Arial" w:cs="Arial"/>
          <w:snapToGrid/>
          <w:sz w:val="22"/>
          <w:szCs w:val="22"/>
        </w:rPr>
        <w:t xml:space="preserve">. </w:t>
      </w:r>
      <w:hyperlink r:id="rId20" w:history="1">
        <w:r w:rsidRPr="00706AC6">
          <w:rPr>
            <w:rFonts w:ascii="Arial" w:eastAsia="Arial" w:hAnsi="Arial" w:cs="Arial"/>
            <w:snapToGrid/>
            <w:color w:val="0000FF"/>
            <w:sz w:val="22"/>
            <w:szCs w:val="22"/>
            <w:u w:val="single"/>
          </w:rPr>
          <w:t>IOC Technical Series No. 130</w:t>
        </w:r>
      </w:hyperlink>
      <w:r w:rsidRPr="00706AC6">
        <w:rPr>
          <w:rFonts w:ascii="Arial" w:eastAsia="Arial" w:hAnsi="Arial" w:cs="Arial"/>
          <w:snapToGrid/>
          <w:sz w:val="22"/>
          <w:szCs w:val="22"/>
        </w:rPr>
        <w:t>. Paris: UNESCO. (English) and endorsed the publication of a revised version of the IOC Technical Series No 130, with the updates suggested by the TT-</w:t>
      </w:r>
      <w:proofErr w:type="gramStart"/>
      <w:r w:rsidRPr="00706AC6">
        <w:rPr>
          <w:rFonts w:ascii="Arial" w:eastAsia="Arial" w:hAnsi="Arial" w:cs="Arial"/>
          <w:snapToGrid/>
          <w:sz w:val="22"/>
          <w:szCs w:val="22"/>
        </w:rPr>
        <w:t>TWO;</w:t>
      </w:r>
      <w:proofErr w:type="gramEnd"/>
    </w:p>
    <w:p w14:paraId="0A662B9B" w14:textId="77777777" w:rsidR="00706AC6" w:rsidRPr="00706AC6" w:rsidRDefault="00706AC6" w:rsidP="00706AC6">
      <w:pPr>
        <w:spacing w:after="240"/>
        <w:jc w:val="both"/>
        <w:rPr>
          <w:rFonts w:ascii="Arial" w:hAnsi="Arial" w:cs="Arial"/>
          <w:sz w:val="22"/>
          <w:szCs w:val="22"/>
        </w:rPr>
      </w:pPr>
      <w:r w:rsidRPr="00706AC6">
        <w:rPr>
          <w:rFonts w:ascii="Arial" w:hAnsi="Arial" w:cs="Arial"/>
          <w:b/>
          <w:bCs/>
          <w:sz w:val="22"/>
          <w:szCs w:val="22"/>
        </w:rPr>
        <w:t>The group expressed its strong appreciation</w:t>
      </w:r>
      <w:r w:rsidRPr="00706AC6">
        <w:rPr>
          <w:rFonts w:ascii="Arial" w:hAnsi="Arial" w:cs="Arial"/>
          <w:sz w:val="22"/>
          <w:szCs w:val="22"/>
        </w:rPr>
        <w:t xml:space="preserve"> to the Government of Indonesia for having successfully co-hosted and organised the 2nd UNESCO-IOC Global Tsunami Symposium on Two Decades After 2004 Indian Ocean Tsunami: Reflection and Way Forward, Banda Aceh, 11–14 November </w:t>
      </w:r>
      <w:proofErr w:type="gramStart"/>
      <w:r w:rsidRPr="00706AC6">
        <w:rPr>
          <w:rFonts w:ascii="Arial" w:hAnsi="Arial" w:cs="Arial"/>
          <w:sz w:val="22"/>
          <w:szCs w:val="22"/>
        </w:rPr>
        <w:t>2024;</w:t>
      </w:r>
      <w:proofErr w:type="gramEnd"/>
    </w:p>
    <w:p w14:paraId="0CA39721" w14:textId="77777777" w:rsidR="00706AC6" w:rsidRPr="00706AC6" w:rsidRDefault="00706AC6" w:rsidP="00706AC6">
      <w:pPr>
        <w:spacing w:after="240"/>
        <w:jc w:val="both"/>
        <w:rPr>
          <w:rFonts w:ascii="Arial" w:eastAsia="Arial" w:hAnsi="Arial" w:cs="Arial"/>
          <w:sz w:val="22"/>
          <w:szCs w:val="22"/>
        </w:rPr>
      </w:pPr>
      <w:r w:rsidRPr="00706AC6">
        <w:rPr>
          <w:rFonts w:ascii="Arial" w:eastAsia="Arial" w:hAnsi="Arial" w:cs="Arial"/>
          <w:b/>
          <w:bCs/>
          <w:sz w:val="22"/>
          <w:szCs w:val="22"/>
        </w:rPr>
        <w:t>The Group recognized</w:t>
      </w:r>
      <w:r w:rsidRPr="00706AC6">
        <w:rPr>
          <w:rFonts w:ascii="Arial" w:eastAsia="Arial" w:hAnsi="Arial" w:cs="Arial"/>
          <w:sz w:val="22"/>
          <w:szCs w:val="22"/>
        </w:rPr>
        <w:t xml:space="preserve"> that the advancement of Common Alerting Protocols (CAP) implementation globally represents a significant milestone in the Early Warnings for All (EW4All) initiative, and the fact that CAP can be considered as the bridge connecting “observations, monitoring, analysis and forecasting” to “warning dissemination and communication”, and that WMO is able to provide any assistance that may be required in this regard;</w:t>
      </w:r>
    </w:p>
    <w:p w14:paraId="7AE97AD7" w14:textId="77777777" w:rsidR="00706AC6" w:rsidRPr="00706AC6" w:rsidRDefault="00706AC6" w:rsidP="00706AC6">
      <w:pPr>
        <w:spacing w:after="240"/>
        <w:jc w:val="both"/>
        <w:rPr>
          <w:rFonts w:ascii="Arial" w:eastAsia="Arial" w:hAnsi="Arial" w:cs="Arial"/>
          <w:sz w:val="22"/>
          <w:szCs w:val="22"/>
        </w:rPr>
      </w:pPr>
      <w:r w:rsidRPr="00706AC6">
        <w:rPr>
          <w:rFonts w:ascii="Arial" w:eastAsia="Arial" w:hAnsi="Arial" w:cs="Arial"/>
          <w:b/>
          <w:bCs/>
          <w:sz w:val="22"/>
          <w:szCs w:val="22"/>
        </w:rPr>
        <w:t>The Group instructed</w:t>
      </w:r>
      <w:r w:rsidRPr="00706AC6">
        <w:rPr>
          <w:rFonts w:ascii="Arial" w:eastAsia="Arial" w:hAnsi="Arial" w:cs="Arial"/>
          <w:sz w:val="22"/>
          <w:szCs w:val="22"/>
        </w:rPr>
        <w:t xml:space="preserve"> the TT-DMP to:</w:t>
      </w:r>
    </w:p>
    <w:p w14:paraId="6A1A9099" w14:textId="77777777" w:rsidR="00706AC6" w:rsidRPr="00706AC6" w:rsidRDefault="00706AC6" w:rsidP="00706AC6">
      <w:pPr>
        <w:numPr>
          <w:ilvl w:val="0"/>
          <w:numId w:val="56"/>
        </w:numPr>
        <w:tabs>
          <w:tab w:val="clear" w:pos="709"/>
        </w:tabs>
        <w:snapToGrid/>
        <w:spacing w:after="240" w:line="259" w:lineRule="auto"/>
        <w:jc w:val="both"/>
        <w:rPr>
          <w:rFonts w:ascii="Arial" w:eastAsia="Arial" w:hAnsi="Arial" w:cs="Arial"/>
          <w:sz w:val="22"/>
          <w:szCs w:val="22"/>
        </w:rPr>
      </w:pPr>
      <w:r w:rsidRPr="00706AC6">
        <w:rPr>
          <w:rFonts w:ascii="Arial" w:eastAsia="Times New Roman" w:hAnsi="Arial" w:cs="Arial"/>
          <w:snapToGrid/>
          <w:sz w:val="22"/>
          <w:szCs w:val="22"/>
          <w:lang w:val="en-US"/>
        </w:rPr>
        <w:t xml:space="preserve">Prepare a guideline for inclusive Standard Operating Procedures (SOP) building on the development of inclusive SOP and inclusive warning tools for disabled children in Indonesia and the </w:t>
      </w:r>
      <w:proofErr w:type="gramStart"/>
      <w:r w:rsidRPr="00706AC6">
        <w:rPr>
          <w:rFonts w:ascii="Arial" w:eastAsia="Times New Roman" w:hAnsi="Arial" w:cs="Arial"/>
          <w:snapToGrid/>
          <w:sz w:val="22"/>
          <w:szCs w:val="22"/>
          <w:lang w:val="en-US"/>
        </w:rPr>
        <w:t>Caribbean;</w:t>
      </w:r>
      <w:proofErr w:type="gramEnd"/>
      <w:r w:rsidRPr="00706AC6">
        <w:rPr>
          <w:rFonts w:ascii="Arial" w:eastAsia="Arial" w:hAnsi="Arial" w:cs="Arial"/>
          <w:sz w:val="22"/>
          <w:szCs w:val="22"/>
        </w:rPr>
        <w:t xml:space="preserve"> </w:t>
      </w:r>
    </w:p>
    <w:p w14:paraId="182A3F96" w14:textId="77777777" w:rsidR="00706AC6" w:rsidRPr="00706AC6" w:rsidRDefault="00706AC6" w:rsidP="00706AC6">
      <w:pPr>
        <w:spacing w:after="240"/>
        <w:jc w:val="both"/>
        <w:rPr>
          <w:rFonts w:ascii="Arial" w:eastAsia="Arial" w:hAnsi="Arial" w:cs="Arial"/>
          <w:sz w:val="22"/>
          <w:szCs w:val="22"/>
        </w:rPr>
      </w:pPr>
      <w:r w:rsidRPr="00706AC6">
        <w:rPr>
          <w:rFonts w:ascii="Arial" w:eastAsia="Arial" w:hAnsi="Arial" w:cs="Arial"/>
          <w:b/>
          <w:bCs/>
          <w:sz w:val="22"/>
          <w:szCs w:val="22"/>
        </w:rPr>
        <w:t>The Group instructed</w:t>
      </w:r>
      <w:r w:rsidRPr="00706AC6">
        <w:rPr>
          <w:rFonts w:ascii="Arial" w:eastAsia="Arial" w:hAnsi="Arial" w:cs="Arial"/>
          <w:sz w:val="22"/>
          <w:szCs w:val="22"/>
        </w:rPr>
        <w:t xml:space="preserve"> the TT-TWO to:</w:t>
      </w:r>
    </w:p>
    <w:p w14:paraId="27D61697" w14:textId="77777777" w:rsidR="00706AC6" w:rsidRPr="00706AC6" w:rsidRDefault="00706AC6" w:rsidP="00706AC6">
      <w:pPr>
        <w:numPr>
          <w:ilvl w:val="0"/>
          <w:numId w:val="57"/>
        </w:numPr>
        <w:tabs>
          <w:tab w:val="clear" w:pos="709"/>
        </w:tabs>
        <w:snapToGrid/>
        <w:spacing w:after="240" w:line="259" w:lineRule="auto"/>
        <w:contextualSpacing/>
        <w:jc w:val="both"/>
        <w:rPr>
          <w:rFonts w:ascii="Arial" w:eastAsia="Arial" w:hAnsi="Arial" w:cs="Arial"/>
          <w:bCs/>
          <w:sz w:val="22"/>
          <w:szCs w:val="22"/>
          <w:lang w:val="en-IN"/>
        </w:rPr>
      </w:pPr>
      <w:r w:rsidRPr="00706AC6">
        <w:rPr>
          <w:rFonts w:ascii="Arial" w:eastAsia="Arial" w:hAnsi="Arial" w:cs="Arial"/>
          <w:sz w:val="22"/>
          <w:szCs w:val="22"/>
        </w:rPr>
        <w:t xml:space="preserve">include tsunamis generated by the submarine and subaerial landslides in its work programme and engage with the landslide hazard and early-warning scientific and operational community to address the requirements of the first objective of the ODTP to develop the warning systems’ capability to issue actionable and timely tsunami warnings for tsunamis from all identified sources to 100 percent of coasts at </w:t>
      </w:r>
      <w:proofErr w:type="gramStart"/>
      <w:r w:rsidRPr="00706AC6">
        <w:rPr>
          <w:rFonts w:ascii="Arial" w:eastAsia="Arial" w:hAnsi="Arial" w:cs="Arial"/>
          <w:sz w:val="22"/>
          <w:szCs w:val="22"/>
        </w:rPr>
        <w:t>risk;</w:t>
      </w:r>
      <w:proofErr w:type="gramEnd"/>
    </w:p>
    <w:p w14:paraId="5B2D6211" w14:textId="77777777" w:rsidR="00706AC6" w:rsidRPr="00706AC6" w:rsidRDefault="00706AC6" w:rsidP="00706AC6">
      <w:pPr>
        <w:tabs>
          <w:tab w:val="clear" w:pos="709"/>
        </w:tabs>
        <w:snapToGrid/>
        <w:spacing w:after="160" w:line="259" w:lineRule="auto"/>
        <w:ind w:left="720"/>
        <w:contextualSpacing/>
        <w:rPr>
          <w:rFonts w:ascii="Arial" w:eastAsia="Arial" w:hAnsi="Arial" w:cs="Arial"/>
          <w:bCs/>
          <w:sz w:val="22"/>
          <w:szCs w:val="22"/>
          <w:lang w:val="en-IN"/>
        </w:rPr>
      </w:pPr>
    </w:p>
    <w:p w14:paraId="7717FD64" w14:textId="77777777" w:rsidR="00706AC6" w:rsidRPr="00706AC6" w:rsidRDefault="00706AC6" w:rsidP="00706AC6">
      <w:pPr>
        <w:numPr>
          <w:ilvl w:val="0"/>
          <w:numId w:val="57"/>
        </w:numPr>
        <w:tabs>
          <w:tab w:val="clear" w:pos="709"/>
        </w:tabs>
        <w:snapToGrid/>
        <w:spacing w:after="240" w:line="259" w:lineRule="auto"/>
        <w:contextualSpacing/>
        <w:jc w:val="both"/>
        <w:rPr>
          <w:rFonts w:ascii="Arial" w:eastAsia="Arial" w:hAnsi="Arial" w:cs="Arial"/>
          <w:bCs/>
          <w:sz w:val="22"/>
          <w:szCs w:val="22"/>
          <w:lang w:val="en-IN"/>
        </w:rPr>
      </w:pPr>
      <w:r w:rsidRPr="00706AC6">
        <w:rPr>
          <w:rFonts w:ascii="Arial" w:eastAsia="Arial" w:hAnsi="Arial" w:cs="Arial"/>
          <w:bCs/>
          <w:sz w:val="22"/>
          <w:szCs w:val="22"/>
          <w:lang w:val="en-IN"/>
        </w:rPr>
        <w:t xml:space="preserve">develop in collaboration with the WMO a global CAP template for TSPs to facilitate dissemination of bulletins from TSPs to NTWCs, between TSPs of different basins, and for public TSP bulletins, to be presented and approved by the TOWS-WG at its next </w:t>
      </w:r>
      <w:proofErr w:type="gramStart"/>
      <w:r w:rsidRPr="00706AC6">
        <w:rPr>
          <w:rFonts w:ascii="Arial" w:eastAsia="Arial" w:hAnsi="Arial" w:cs="Arial"/>
          <w:bCs/>
          <w:sz w:val="22"/>
          <w:szCs w:val="22"/>
          <w:lang w:val="en-IN"/>
        </w:rPr>
        <w:t>session;</w:t>
      </w:r>
      <w:proofErr w:type="gramEnd"/>
      <w:r w:rsidRPr="00706AC6">
        <w:rPr>
          <w:rFonts w:ascii="Arial" w:eastAsia="Arial" w:hAnsi="Arial" w:cs="Arial"/>
          <w:bCs/>
          <w:sz w:val="22"/>
          <w:szCs w:val="22"/>
          <w:lang w:val="en-IN"/>
        </w:rPr>
        <w:t xml:space="preserve"> </w:t>
      </w:r>
    </w:p>
    <w:p w14:paraId="6E60CFA6" w14:textId="77777777" w:rsidR="00706AC6" w:rsidRPr="00706AC6" w:rsidRDefault="00706AC6" w:rsidP="00706AC6">
      <w:pPr>
        <w:spacing w:after="240"/>
        <w:jc w:val="both"/>
        <w:rPr>
          <w:rFonts w:ascii="Arial" w:eastAsia="Arial" w:hAnsi="Arial" w:cs="Arial"/>
          <w:b/>
          <w:sz w:val="22"/>
          <w:szCs w:val="22"/>
        </w:rPr>
      </w:pPr>
    </w:p>
    <w:p w14:paraId="130B09EB" w14:textId="77777777" w:rsidR="00706AC6" w:rsidRPr="00706AC6" w:rsidRDefault="00706AC6" w:rsidP="00706AC6">
      <w:pPr>
        <w:spacing w:before="240" w:after="240"/>
        <w:jc w:val="both"/>
        <w:rPr>
          <w:rFonts w:ascii="Arial" w:hAnsi="Arial" w:cs="Arial"/>
          <w:sz w:val="22"/>
          <w:szCs w:val="22"/>
        </w:rPr>
      </w:pPr>
      <w:r w:rsidRPr="00706AC6">
        <w:rPr>
          <w:rFonts w:ascii="Arial" w:eastAsia="Arial" w:hAnsi="Arial" w:cs="Arial"/>
          <w:b/>
          <w:sz w:val="22"/>
          <w:szCs w:val="22"/>
        </w:rPr>
        <w:t>The Group recommended</w:t>
      </w:r>
      <w:r w:rsidRPr="00706AC6">
        <w:rPr>
          <w:rFonts w:ascii="Arial" w:eastAsia="Arial" w:hAnsi="Arial" w:cs="Arial"/>
          <w:sz w:val="22"/>
          <w:szCs w:val="22"/>
        </w:rPr>
        <w:t xml:space="preserve"> the IOC Assembly at its 33</w:t>
      </w:r>
      <w:r w:rsidRPr="00706AC6">
        <w:rPr>
          <w:rFonts w:ascii="Arial" w:eastAsia="Arial" w:hAnsi="Arial" w:cs="Arial"/>
          <w:sz w:val="22"/>
          <w:szCs w:val="22"/>
          <w:vertAlign w:val="superscript"/>
        </w:rPr>
        <w:t>rd</w:t>
      </w:r>
      <w:r w:rsidRPr="00706AC6">
        <w:rPr>
          <w:rFonts w:ascii="Arial" w:eastAsia="Arial" w:hAnsi="Arial" w:cs="Arial"/>
          <w:sz w:val="22"/>
          <w:szCs w:val="22"/>
        </w:rPr>
        <w:t xml:space="preserve"> Session in 2025 to </w:t>
      </w:r>
      <w:r w:rsidRPr="00706AC6">
        <w:rPr>
          <w:rFonts w:ascii="Arial" w:hAnsi="Arial" w:cs="Arial"/>
          <w:b/>
          <w:bCs/>
          <w:sz w:val="22"/>
          <w:szCs w:val="22"/>
        </w:rPr>
        <w:t xml:space="preserve">approve </w:t>
      </w:r>
      <w:r w:rsidRPr="00706AC6">
        <w:rPr>
          <w:rFonts w:ascii="Arial" w:hAnsi="Arial" w:cs="Arial"/>
          <w:sz w:val="22"/>
          <w:szCs w:val="22"/>
        </w:rPr>
        <w:t>the Tsunami Ready Coalition Implementation Plan as reviewed by the ODTP-SC and the TT-DMP and TT-TWO including:</w:t>
      </w:r>
    </w:p>
    <w:p w14:paraId="29884487" w14:textId="77777777" w:rsidR="00706AC6" w:rsidRPr="00706AC6" w:rsidRDefault="00706AC6" w:rsidP="00706AC6">
      <w:pPr>
        <w:numPr>
          <w:ilvl w:val="0"/>
          <w:numId w:val="181"/>
        </w:numPr>
        <w:tabs>
          <w:tab w:val="clear" w:pos="709"/>
        </w:tabs>
        <w:snapToGrid/>
        <w:spacing w:before="240" w:after="240" w:line="259" w:lineRule="auto"/>
        <w:contextualSpacing/>
        <w:jc w:val="both"/>
        <w:rPr>
          <w:rFonts w:ascii="Arial" w:hAnsi="Arial" w:cs="Arial"/>
          <w:sz w:val="22"/>
          <w:szCs w:val="22"/>
        </w:rPr>
      </w:pPr>
      <w:r w:rsidRPr="00706AC6">
        <w:rPr>
          <w:rFonts w:ascii="Arial" w:hAnsi="Arial" w:cs="Arial"/>
          <w:sz w:val="22"/>
          <w:szCs w:val="22"/>
        </w:rPr>
        <w:lastRenderedPageBreak/>
        <w:t>The Coalition mandate and terms of reference,</w:t>
      </w:r>
    </w:p>
    <w:p w14:paraId="6BB9C5CF" w14:textId="77777777" w:rsidR="00706AC6" w:rsidRPr="00706AC6" w:rsidRDefault="00706AC6" w:rsidP="00706AC6">
      <w:pPr>
        <w:numPr>
          <w:ilvl w:val="0"/>
          <w:numId w:val="181"/>
        </w:numPr>
        <w:tabs>
          <w:tab w:val="clear" w:pos="709"/>
        </w:tabs>
        <w:snapToGrid/>
        <w:spacing w:before="240" w:after="240" w:line="259" w:lineRule="auto"/>
        <w:contextualSpacing/>
        <w:jc w:val="both"/>
        <w:rPr>
          <w:rFonts w:ascii="Arial" w:hAnsi="Arial" w:cs="Arial"/>
          <w:sz w:val="22"/>
          <w:szCs w:val="22"/>
        </w:rPr>
      </w:pPr>
      <w:r w:rsidRPr="00706AC6">
        <w:rPr>
          <w:rFonts w:ascii="Arial" w:hAnsi="Arial" w:cs="Arial"/>
          <w:sz w:val="22"/>
          <w:szCs w:val="22"/>
        </w:rPr>
        <w:t>The Coalition structure, and</w:t>
      </w:r>
    </w:p>
    <w:p w14:paraId="50E67D13" w14:textId="77777777" w:rsidR="00706AC6" w:rsidRPr="00706AC6" w:rsidRDefault="00706AC6" w:rsidP="00706AC6">
      <w:pPr>
        <w:numPr>
          <w:ilvl w:val="0"/>
          <w:numId w:val="181"/>
        </w:numPr>
        <w:tabs>
          <w:tab w:val="clear" w:pos="709"/>
        </w:tabs>
        <w:snapToGrid/>
        <w:spacing w:before="240" w:after="240" w:line="259" w:lineRule="auto"/>
        <w:ind w:left="714" w:hanging="357"/>
        <w:contextualSpacing/>
        <w:jc w:val="both"/>
        <w:rPr>
          <w:rFonts w:ascii="Arial" w:hAnsi="Arial" w:cs="Arial"/>
          <w:sz w:val="22"/>
          <w:szCs w:val="22"/>
        </w:rPr>
      </w:pPr>
      <w:r w:rsidRPr="00706AC6">
        <w:rPr>
          <w:rFonts w:ascii="Arial" w:hAnsi="Arial" w:cs="Arial"/>
          <w:sz w:val="22"/>
          <w:szCs w:val="22"/>
        </w:rPr>
        <w:t>The identified key Coalition Partners.</w:t>
      </w:r>
    </w:p>
    <w:p w14:paraId="35592AE1" w14:textId="77777777" w:rsidR="00706AC6" w:rsidRPr="00706AC6" w:rsidRDefault="00706AC6" w:rsidP="00706AC6">
      <w:pPr>
        <w:spacing w:before="240" w:after="240"/>
        <w:jc w:val="both"/>
        <w:rPr>
          <w:rFonts w:ascii="Arial" w:eastAsia="Arial" w:hAnsi="Arial" w:cs="Arial"/>
          <w:b/>
          <w:sz w:val="22"/>
          <w:szCs w:val="22"/>
        </w:rPr>
      </w:pPr>
    </w:p>
    <w:p w14:paraId="38CEBF92" w14:textId="77777777" w:rsidR="00706AC6" w:rsidRPr="00706AC6" w:rsidRDefault="00706AC6" w:rsidP="00706AC6">
      <w:pPr>
        <w:spacing w:before="240" w:after="240"/>
        <w:jc w:val="both"/>
        <w:rPr>
          <w:rFonts w:ascii="Arial" w:eastAsia="Arial" w:hAnsi="Arial" w:cs="Arial"/>
          <w:sz w:val="22"/>
          <w:szCs w:val="22"/>
        </w:rPr>
      </w:pPr>
      <w:r w:rsidRPr="00706AC6">
        <w:rPr>
          <w:rFonts w:ascii="Arial" w:eastAsia="Arial" w:hAnsi="Arial" w:cs="Arial"/>
          <w:b/>
          <w:sz w:val="22"/>
          <w:szCs w:val="22"/>
        </w:rPr>
        <w:t>The Group recommended</w:t>
      </w:r>
      <w:r w:rsidRPr="00706AC6">
        <w:rPr>
          <w:rFonts w:ascii="Arial" w:eastAsia="Arial" w:hAnsi="Arial" w:cs="Arial"/>
          <w:sz w:val="22"/>
          <w:szCs w:val="22"/>
        </w:rPr>
        <w:t xml:space="preserve"> the IOC Assembly at its 33</w:t>
      </w:r>
      <w:r w:rsidRPr="00706AC6">
        <w:rPr>
          <w:rFonts w:ascii="Arial" w:eastAsia="Arial" w:hAnsi="Arial" w:cs="Arial"/>
          <w:sz w:val="22"/>
          <w:szCs w:val="22"/>
          <w:vertAlign w:val="superscript"/>
        </w:rPr>
        <w:t>rd</w:t>
      </w:r>
      <w:r w:rsidRPr="00706AC6">
        <w:rPr>
          <w:rFonts w:ascii="Arial" w:eastAsia="Arial" w:hAnsi="Arial" w:cs="Arial"/>
          <w:sz w:val="22"/>
          <w:szCs w:val="22"/>
        </w:rPr>
        <w:t xml:space="preserve"> session in 2025 instruct the regional ICGs:</w:t>
      </w:r>
    </w:p>
    <w:p w14:paraId="6E9828F7"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Establishing arrangements among Tsunami Service Providers (TSP) within each ICG to ensure that service provision is </w:t>
      </w:r>
      <w:proofErr w:type="gramStart"/>
      <w:r w:rsidRPr="00706AC6">
        <w:rPr>
          <w:rFonts w:ascii="Arial" w:hAnsi="Arial" w:cs="Arial"/>
          <w:sz w:val="22"/>
          <w:szCs w:val="22"/>
        </w:rPr>
        <w:t>ensured at all times</w:t>
      </w:r>
      <w:proofErr w:type="gramEnd"/>
      <w:r w:rsidRPr="00706AC6">
        <w:rPr>
          <w:rFonts w:ascii="Arial" w:hAnsi="Arial" w:cs="Arial"/>
          <w:sz w:val="22"/>
          <w:szCs w:val="22"/>
        </w:rPr>
        <w:t xml:space="preserve"> for the full Area of Service of the </w:t>
      </w:r>
      <w:proofErr w:type="gramStart"/>
      <w:r w:rsidRPr="00706AC6">
        <w:rPr>
          <w:rFonts w:ascii="Arial" w:hAnsi="Arial" w:cs="Arial"/>
          <w:sz w:val="22"/>
          <w:szCs w:val="22"/>
        </w:rPr>
        <w:t>ICG;</w:t>
      </w:r>
      <w:proofErr w:type="gramEnd"/>
    </w:p>
    <w:p w14:paraId="5E687F45"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to develop SOPs for volcanoes with a tsunamigenic potential within their Earthquake Source Zone (ESZ</w:t>
      </w:r>
      <w:proofErr w:type="gramStart"/>
      <w:r w:rsidRPr="00706AC6">
        <w:rPr>
          <w:rFonts w:ascii="Arial" w:hAnsi="Arial" w:cs="Arial"/>
          <w:sz w:val="22"/>
          <w:szCs w:val="22"/>
        </w:rPr>
        <w:t>);</w:t>
      </w:r>
      <w:proofErr w:type="gramEnd"/>
      <w:r w:rsidRPr="00706AC6">
        <w:rPr>
          <w:rFonts w:ascii="Arial" w:hAnsi="Arial" w:cs="Arial"/>
          <w:sz w:val="22"/>
          <w:szCs w:val="22"/>
        </w:rPr>
        <w:t xml:space="preserve"> </w:t>
      </w:r>
    </w:p>
    <w:p w14:paraId="69E75780"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that dissemination of the specialized TSP bulletins for the maritime community is tested in CARIBE-EWS, IOTWMS and NEAMTWS by at least one TSP either through the planned communication tests or tsunami </w:t>
      </w:r>
      <w:proofErr w:type="gramStart"/>
      <w:r w:rsidRPr="00706AC6">
        <w:rPr>
          <w:rFonts w:ascii="Arial" w:hAnsi="Arial" w:cs="Arial"/>
          <w:sz w:val="22"/>
          <w:szCs w:val="22"/>
        </w:rPr>
        <w:t>exercises;</w:t>
      </w:r>
      <w:proofErr w:type="gramEnd"/>
    </w:p>
    <w:p w14:paraId="6B14B6BE"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that full operational implementation of TSP bulletins for the maritime community by at least one TSP in each ICG takes place in </w:t>
      </w:r>
      <w:proofErr w:type="gramStart"/>
      <w:r w:rsidRPr="00706AC6">
        <w:rPr>
          <w:rFonts w:ascii="Arial" w:hAnsi="Arial" w:cs="Arial"/>
          <w:sz w:val="22"/>
          <w:szCs w:val="22"/>
        </w:rPr>
        <w:t>2025;</w:t>
      </w:r>
      <w:proofErr w:type="gramEnd"/>
    </w:p>
    <w:p w14:paraId="14B390C9" w14:textId="77777777" w:rsidR="00706AC6" w:rsidRPr="00706AC6" w:rsidRDefault="00706AC6" w:rsidP="00706AC6">
      <w:pPr>
        <w:spacing w:after="240"/>
        <w:jc w:val="both"/>
        <w:rPr>
          <w:rFonts w:ascii="Arial" w:eastAsia="Arial" w:hAnsi="Arial" w:cs="Arial"/>
          <w:sz w:val="22"/>
          <w:szCs w:val="22"/>
        </w:rPr>
      </w:pPr>
      <w:r w:rsidRPr="00706AC6">
        <w:rPr>
          <w:rFonts w:ascii="Arial" w:eastAsia="Arial" w:hAnsi="Arial" w:cs="Arial"/>
          <w:b/>
          <w:sz w:val="22"/>
          <w:szCs w:val="22"/>
        </w:rPr>
        <w:t>The Group recommended</w:t>
      </w:r>
      <w:r w:rsidRPr="00706AC6">
        <w:rPr>
          <w:rFonts w:ascii="Arial" w:eastAsia="Arial" w:hAnsi="Arial" w:cs="Arial"/>
          <w:sz w:val="22"/>
          <w:szCs w:val="22"/>
        </w:rPr>
        <w:t xml:space="preserve"> the IOC Assembly at its 33</w:t>
      </w:r>
      <w:r w:rsidRPr="00706AC6">
        <w:rPr>
          <w:rFonts w:ascii="Arial" w:eastAsia="Arial" w:hAnsi="Arial" w:cs="Arial"/>
          <w:sz w:val="22"/>
          <w:szCs w:val="22"/>
          <w:vertAlign w:val="superscript"/>
        </w:rPr>
        <w:t>rd</w:t>
      </w:r>
      <w:r w:rsidRPr="00706AC6">
        <w:rPr>
          <w:rFonts w:ascii="Arial" w:eastAsia="Arial" w:hAnsi="Arial" w:cs="Arial"/>
          <w:sz w:val="22"/>
          <w:szCs w:val="22"/>
        </w:rPr>
        <w:t xml:space="preserve"> session in 2025 recommend the regional ICGs:</w:t>
      </w:r>
    </w:p>
    <w:p w14:paraId="47C628F0"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To create relationships between National Meteorological and Hydrological Services (NMHS) and TSPs/NTWCs </w:t>
      </w:r>
      <w:proofErr w:type="gramStart"/>
      <w:r w:rsidRPr="00706AC6">
        <w:rPr>
          <w:rFonts w:ascii="Arial" w:hAnsi="Arial" w:cs="Arial"/>
          <w:sz w:val="22"/>
          <w:szCs w:val="22"/>
        </w:rPr>
        <w:t>in order to</w:t>
      </w:r>
      <w:proofErr w:type="gramEnd"/>
      <w:r w:rsidRPr="00706AC6">
        <w:rPr>
          <w:rFonts w:ascii="Arial" w:hAnsi="Arial" w:cs="Arial"/>
          <w:sz w:val="22"/>
          <w:szCs w:val="22"/>
        </w:rPr>
        <w:t xml:space="preserve"> ensure that tsunami-specific instrumentation including </w:t>
      </w:r>
      <w:proofErr w:type="spellStart"/>
      <w:r w:rsidRPr="00706AC6">
        <w:rPr>
          <w:rFonts w:ascii="Arial" w:hAnsi="Arial" w:cs="Arial"/>
          <w:sz w:val="22"/>
          <w:szCs w:val="22"/>
        </w:rPr>
        <w:t>Tsunameters</w:t>
      </w:r>
      <w:proofErr w:type="spellEnd"/>
      <w:r w:rsidRPr="00706AC6">
        <w:rPr>
          <w:rFonts w:ascii="Arial" w:hAnsi="Arial" w:cs="Arial"/>
          <w:sz w:val="22"/>
          <w:szCs w:val="22"/>
        </w:rPr>
        <w:t xml:space="preserve">/DART® and ocean cable systems are correctly monitored and utilized for detection of </w:t>
      </w:r>
      <w:proofErr w:type="gramStart"/>
      <w:r w:rsidRPr="00706AC6">
        <w:rPr>
          <w:rFonts w:ascii="Arial" w:hAnsi="Arial" w:cs="Arial"/>
          <w:sz w:val="22"/>
          <w:szCs w:val="22"/>
        </w:rPr>
        <w:t>meteotsunami;</w:t>
      </w:r>
      <w:proofErr w:type="gramEnd"/>
    </w:p>
    <w:p w14:paraId="181D68B0"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continuation of the investigation and the possibility to adopt tsunami forecasting methods, including probabilistic methodologies, toward impact-based forecasting, that could also assist post-disaster response, recovery and needs assessment </w:t>
      </w:r>
      <w:proofErr w:type="gramStart"/>
      <w:r w:rsidRPr="00706AC6">
        <w:rPr>
          <w:rFonts w:ascii="Arial" w:hAnsi="Arial" w:cs="Arial"/>
          <w:sz w:val="22"/>
          <w:szCs w:val="22"/>
        </w:rPr>
        <w:t>processes;</w:t>
      </w:r>
      <w:proofErr w:type="gramEnd"/>
    </w:p>
    <w:p w14:paraId="3B45F830"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to prioritize regional Tsunami Ready workshops or summits in 2025 and conduct further workshops or summits before </w:t>
      </w:r>
      <w:proofErr w:type="gramStart"/>
      <w:r w:rsidRPr="00706AC6">
        <w:rPr>
          <w:rFonts w:ascii="Arial" w:hAnsi="Arial" w:cs="Arial"/>
          <w:sz w:val="22"/>
          <w:szCs w:val="22"/>
        </w:rPr>
        <w:t>2030;</w:t>
      </w:r>
      <w:proofErr w:type="gramEnd"/>
    </w:p>
    <w:p w14:paraId="064F1186" w14:textId="77777777" w:rsidR="00706AC6" w:rsidRPr="00706AC6" w:rsidRDefault="00706AC6" w:rsidP="00706AC6">
      <w:pPr>
        <w:spacing w:after="240"/>
        <w:jc w:val="both"/>
        <w:rPr>
          <w:rFonts w:ascii="Arial" w:eastAsia="DengXian" w:hAnsi="Arial" w:cs="Arial"/>
          <w:snapToGrid/>
          <w:sz w:val="22"/>
          <w:szCs w:val="22"/>
          <w:lang w:val="en-US"/>
        </w:rPr>
      </w:pPr>
      <w:r w:rsidRPr="00706AC6">
        <w:rPr>
          <w:rFonts w:ascii="Arial" w:hAnsi="Arial" w:cs="Arial"/>
          <w:b/>
          <w:bCs/>
          <w:sz w:val="22"/>
          <w:szCs w:val="22"/>
        </w:rPr>
        <w:t>The Group recommended</w:t>
      </w:r>
      <w:r w:rsidRPr="00706AC6">
        <w:rPr>
          <w:rFonts w:ascii="Arial" w:hAnsi="Arial" w:cs="Arial"/>
          <w:sz w:val="22"/>
          <w:szCs w:val="22"/>
        </w:rPr>
        <w:t xml:space="preserve"> the IOC Assembly at its 33</w:t>
      </w:r>
      <w:r w:rsidRPr="00706AC6">
        <w:rPr>
          <w:rFonts w:ascii="Arial" w:hAnsi="Arial" w:cs="Arial"/>
          <w:sz w:val="22"/>
          <w:szCs w:val="22"/>
          <w:vertAlign w:val="superscript"/>
        </w:rPr>
        <w:t>rd</w:t>
      </w:r>
      <w:r w:rsidRPr="00706AC6">
        <w:rPr>
          <w:rFonts w:ascii="Arial" w:hAnsi="Arial" w:cs="Arial"/>
          <w:sz w:val="22"/>
          <w:szCs w:val="22"/>
        </w:rPr>
        <w:t xml:space="preserve"> session in 2025 to </w:t>
      </w:r>
      <w:r w:rsidRPr="00706AC6">
        <w:rPr>
          <w:rFonts w:ascii="Arial" w:hAnsi="Arial" w:cs="Arial"/>
          <w:b/>
          <w:bCs/>
          <w:sz w:val="22"/>
          <w:szCs w:val="22"/>
        </w:rPr>
        <w:t xml:space="preserve">request </w:t>
      </w:r>
      <w:r w:rsidRPr="00706AC6">
        <w:rPr>
          <w:rFonts w:ascii="Arial" w:hAnsi="Arial" w:cs="Arial"/>
          <w:sz w:val="22"/>
          <w:szCs w:val="22"/>
        </w:rPr>
        <w:t>the IOC</w:t>
      </w:r>
      <w:r w:rsidRPr="00706AC6">
        <w:rPr>
          <w:rFonts w:ascii="Calibri" w:eastAsia="DengXian" w:hAnsi="Calibri" w:cs="Arial"/>
          <w:snapToGrid/>
          <w:sz w:val="22"/>
          <w:szCs w:val="22"/>
          <w:lang w:val="en-US"/>
        </w:rPr>
        <w:t xml:space="preserve"> </w:t>
      </w:r>
      <w:r w:rsidRPr="00706AC6">
        <w:rPr>
          <w:rFonts w:ascii="Arial" w:hAnsi="Arial" w:cs="Arial"/>
          <w:sz w:val="22"/>
          <w:szCs w:val="22"/>
        </w:rPr>
        <w:t>Member States to prioritize installation/deployment of additional coastal tide gauges and tsunami detection/observation systems in regions under high tsunami risk with priority areas with known coverage gaps (in alphabetical order: Aegean Sea, Caribbean Sea (West, North and South-East), Indian Ocean (East and North), North Africa, Philippine Sea, Solomon Sea, South China Sea, Timor Sea, and Yellow Sea), to ensure tsunami detection and verification as early as possible;</w:t>
      </w:r>
    </w:p>
    <w:p w14:paraId="225FEB1E" w14:textId="77777777" w:rsidR="00706AC6" w:rsidRPr="00706AC6" w:rsidRDefault="00706AC6" w:rsidP="00706AC6">
      <w:pPr>
        <w:spacing w:after="240"/>
        <w:jc w:val="both"/>
        <w:rPr>
          <w:rFonts w:ascii="Arial" w:hAnsi="Arial" w:cs="Arial"/>
          <w:sz w:val="22"/>
          <w:szCs w:val="22"/>
          <w:lang w:val="en-US"/>
        </w:rPr>
      </w:pPr>
      <w:r w:rsidRPr="00706AC6">
        <w:rPr>
          <w:rFonts w:ascii="Arial" w:hAnsi="Arial" w:cs="Arial"/>
          <w:b/>
          <w:bCs/>
          <w:sz w:val="22"/>
          <w:szCs w:val="22"/>
        </w:rPr>
        <w:t xml:space="preserve">The Group </w:t>
      </w:r>
      <w:r w:rsidRPr="00706AC6">
        <w:rPr>
          <w:rFonts w:ascii="Arial" w:eastAsia="Arial" w:hAnsi="Arial" w:cs="Arial"/>
          <w:b/>
          <w:sz w:val="22"/>
          <w:szCs w:val="22"/>
        </w:rPr>
        <w:t xml:space="preserve">further </w:t>
      </w:r>
      <w:r w:rsidRPr="00706AC6">
        <w:rPr>
          <w:rFonts w:ascii="Arial" w:hAnsi="Arial" w:cs="Arial"/>
          <w:b/>
          <w:bCs/>
          <w:sz w:val="22"/>
          <w:szCs w:val="22"/>
        </w:rPr>
        <w:t xml:space="preserve">recommended </w:t>
      </w:r>
      <w:r w:rsidRPr="00706AC6">
        <w:rPr>
          <w:rFonts w:ascii="Arial" w:hAnsi="Arial" w:cs="Arial"/>
          <w:sz w:val="22"/>
          <w:szCs w:val="22"/>
        </w:rPr>
        <w:t>the IOC Assembly at its 33rd session in 2025 to encourage</w:t>
      </w:r>
      <w:r w:rsidRPr="00706AC6">
        <w:rPr>
          <w:rFonts w:ascii="Arial" w:hAnsi="Arial" w:cs="Arial"/>
          <w:sz w:val="22"/>
          <w:szCs w:val="22"/>
          <w:lang w:val="en-US"/>
        </w:rPr>
        <w:t xml:space="preserve"> the IOC Member States to</w:t>
      </w:r>
      <w:r w:rsidRPr="00706AC6">
        <w:rPr>
          <w:rFonts w:ascii="Calibri" w:eastAsia="DengXian" w:hAnsi="Calibri" w:cs="Arial"/>
          <w:snapToGrid/>
          <w:sz w:val="22"/>
          <w:szCs w:val="22"/>
          <w:lang w:val="en-US"/>
        </w:rPr>
        <w:t xml:space="preserve"> </w:t>
      </w:r>
      <w:r w:rsidRPr="00706AC6">
        <w:rPr>
          <w:rFonts w:ascii="Arial" w:hAnsi="Arial" w:cs="Arial"/>
          <w:sz w:val="22"/>
          <w:szCs w:val="22"/>
          <w:lang w:val="en-US"/>
        </w:rPr>
        <w:t xml:space="preserve">monitor the health of their sea level gauges that are used for detecting and monitoring tsunamis, to restore them as quickly as possible when they fail, add sea level gauges when possible and share their data in real time, in places identified by their ICG as gaps; </w:t>
      </w:r>
    </w:p>
    <w:p w14:paraId="54CBA288" w14:textId="77777777" w:rsidR="00706AC6" w:rsidRPr="00706AC6" w:rsidRDefault="00706AC6" w:rsidP="00706AC6">
      <w:pPr>
        <w:spacing w:after="240"/>
        <w:jc w:val="both"/>
        <w:rPr>
          <w:rFonts w:ascii="Arial" w:hAnsi="Arial" w:cs="Arial"/>
          <w:sz w:val="22"/>
          <w:szCs w:val="22"/>
          <w:lang w:val="en-US"/>
        </w:rPr>
      </w:pPr>
      <w:r w:rsidRPr="00706AC6">
        <w:rPr>
          <w:rFonts w:ascii="Arial" w:hAnsi="Arial" w:cs="Arial"/>
          <w:b/>
          <w:bCs/>
          <w:sz w:val="22"/>
          <w:szCs w:val="22"/>
          <w:lang w:val="en-US"/>
        </w:rPr>
        <w:t>The Group recommended</w:t>
      </w:r>
      <w:r w:rsidRPr="00706AC6">
        <w:rPr>
          <w:rFonts w:ascii="Arial" w:hAnsi="Arial" w:cs="Arial"/>
          <w:sz w:val="22"/>
          <w:szCs w:val="22"/>
          <w:lang w:val="en-US"/>
        </w:rPr>
        <w:t xml:space="preserve"> Member </w:t>
      </w:r>
      <w:proofErr w:type="gramStart"/>
      <w:r w:rsidRPr="00706AC6">
        <w:rPr>
          <w:rFonts w:ascii="Arial" w:hAnsi="Arial" w:cs="Arial"/>
          <w:sz w:val="22"/>
          <w:szCs w:val="22"/>
          <w:lang w:val="en-US"/>
        </w:rPr>
        <w:t>States to</w:t>
      </w:r>
      <w:proofErr w:type="gramEnd"/>
      <w:r w:rsidRPr="00706AC6">
        <w:rPr>
          <w:rFonts w:ascii="Arial" w:hAnsi="Arial" w:cs="Arial"/>
          <w:sz w:val="22"/>
          <w:szCs w:val="22"/>
          <w:lang w:val="en-US"/>
        </w:rPr>
        <w:t xml:space="preserve"> invest more in offshore seismic and sea-level detection and observation instrumentation, such as </w:t>
      </w:r>
      <w:proofErr w:type="spellStart"/>
      <w:r w:rsidRPr="00706AC6">
        <w:rPr>
          <w:rFonts w:ascii="Arial" w:hAnsi="Arial" w:cs="Arial"/>
          <w:sz w:val="22"/>
          <w:szCs w:val="22"/>
          <w:lang w:val="en-US"/>
        </w:rPr>
        <w:t>Tsunameter</w:t>
      </w:r>
      <w:proofErr w:type="spellEnd"/>
      <w:r w:rsidRPr="00706AC6">
        <w:rPr>
          <w:rFonts w:ascii="Arial" w:hAnsi="Arial" w:cs="Arial"/>
          <w:sz w:val="22"/>
          <w:szCs w:val="22"/>
          <w:lang w:val="en-US"/>
        </w:rPr>
        <w:t xml:space="preserve">/DART®/GPS buoys/cabled </w:t>
      </w:r>
      <w:r w:rsidRPr="00706AC6">
        <w:rPr>
          <w:rFonts w:ascii="Arial" w:hAnsi="Arial" w:cs="Arial"/>
          <w:sz w:val="22"/>
          <w:szCs w:val="22"/>
          <w:lang w:val="en-US"/>
        </w:rPr>
        <w:lastRenderedPageBreak/>
        <w:t xml:space="preserve">systems (e.g. SMART Cables), where possible, with multi-hazard observational capabilities, serving the needs of earthquake seismology, meteorology and </w:t>
      </w:r>
      <w:proofErr w:type="gramStart"/>
      <w:r w:rsidRPr="00706AC6">
        <w:rPr>
          <w:rFonts w:ascii="Arial" w:hAnsi="Arial" w:cs="Arial"/>
          <w:sz w:val="22"/>
          <w:szCs w:val="22"/>
          <w:lang w:val="en-US"/>
        </w:rPr>
        <w:t>oceanography;</w:t>
      </w:r>
      <w:proofErr w:type="gramEnd"/>
    </w:p>
    <w:p w14:paraId="232723EF" w14:textId="77777777" w:rsidR="00706AC6" w:rsidRPr="00706AC6" w:rsidRDefault="00706AC6" w:rsidP="00706AC6">
      <w:pPr>
        <w:spacing w:after="240"/>
        <w:jc w:val="both"/>
        <w:rPr>
          <w:rFonts w:ascii="Arial" w:eastAsia="DengXian" w:hAnsi="Arial" w:cs="Arial"/>
          <w:snapToGrid/>
          <w:sz w:val="22"/>
          <w:szCs w:val="22"/>
          <w:lang w:val="en-US"/>
        </w:rPr>
      </w:pPr>
      <w:r w:rsidRPr="00706AC6">
        <w:rPr>
          <w:rFonts w:ascii="Arial" w:hAnsi="Arial" w:cs="Arial"/>
          <w:b/>
          <w:bCs/>
          <w:sz w:val="22"/>
          <w:szCs w:val="22"/>
        </w:rPr>
        <w:t xml:space="preserve">The Group </w:t>
      </w:r>
      <w:r w:rsidRPr="00706AC6">
        <w:rPr>
          <w:rFonts w:ascii="Arial" w:eastAsia="Arial" w:hAnsi="Arial" w:cs="Arial"/>
          <w:b/>
          <w:sz w:val="22"/>
          <w:szCs w:val="22"/>
        </w:rPr>
        <w:t xml:space="preserve">further </w:t>
      </w:r>
      <w:r w:rsidRPr="00706AC6">
        <w:rPr>
          <w:rFonts w:ascii="Arial" w:hAnsi="Arial" w:cs="Arial"/>
          <w:b/>
          <w:bCs/>
          <w:sz w:val="22"/>
          <w:szCs w:val="22"/>
        </w:rPr>
        <w:t xml:space="preserve">recommended </w:t>
      </w:r>
      <w:r w:rsidRPr="00706AC6">
        <w:rPr>
          <w:rFonts w:ascii="Arial" w:hAnsi="Arial" w:cs="Arial"/>
          <w:sz w:val="22"/>
          <w:szCs w:val="22"/>
        </w:rPr>
        <w:t>the IOC Assembly at its 33</w:t>
      </w:r>
      <w:r w:rsidRPr="00706AC6">
        <w:rPr>
          <w:rFonts w:ascii="Arial" w:hAnsi="Arial" w:cs="Arial"/>
          <w:sz w:val="22"/>
          <w:szCs w:val="22"/>
          <w:vertAlign w:val="superscript"/>
        </w:rPr>
        <w:t>rd</w:t>
      </w:r>
      <w:r w:rsidRPr="00706AC6">
        <w:rPr>
          <w:rFonts w:ascii="Arial" w:hAnsi="Arial" w:cs="Arial"/>
          <w:sz w:val="22"/>
          <w:szCs w:val="22"/>
        </w:rPr>
        <w:t xml:space="preserve"> session in 2025 to encourage</w:t>
      </w:r>
      <w:r w:rsidRPr="00706AC6">
        <w:rPr>
          <w:rFonts w:ascii="Arial" w:hAnsi="Arial" w:cs="Arial"/>
          <w:sz w:val="22"/>
          <w:szCs w:val="22"/>
          <w:lang w:val="en-US"/>
        </w:rPr>
        <w:t xml:space="preserve"> Member States to provide voluntary financial contributions to the IOC special account and in-kind contributions to support the Ocean Decade Tsunami Programme, the IOC Tsunami Ready Recognition Programme and the Tsunami Ready Coalition. </w:t>
      </w:r>
    </w:p>
    <w:p w14:paraId="2F9A4A36" w14:textId="77777777" w:rsidR="00706AC6" w:rsidRPr="00706AC6" w:rsidRDefault="00706AC6" w:rsidP="00706AC6">
      <w:pPr>
        <w:spacing w:after="240"/>
        <w:jc w:val="both"/>
        <w:rPr>
          <w:rFonts w:ascii="Arial" w:hAnsi="Arial" w:cs="Arial"/>
          <w:sz w:val="22"/>
          <w:szCs w:val="22"/>
        </w:rPr>
      </w:pPr>
      <w:r w:rsidRPr="00706AC6">
        <w:rPr>
          <w:rFonts w:ascii="Arial" w:hAnsi="Arial" w:cs="Arial"/>
          <w:b/>
          <w:bCs/>
          <w:sz w:val="22"/>
          <w:szCs w:val="22"/>
        </w:rPr>
        <w:t>The Group recommended</w:t>
      </w:r>
      <w:r w:rsidRPr="00706AC6">
        <w:rPr>
          <w:rFonts w:ascii="Arial" w:hAnsi="Arial" w:cs="Arial"/>
          <w:sz w:val="22"/>
          <w:szCs w:val="22"/>
        </w:rPr>
        <w:t xml:space="preserve"> the IOC Assembly at its 33</w:t>
      </w:r>
      <w:r w:rsidRPr="00706AC6">
        <w:rPr>
          <w:rFonts w:ascii="Arial" w:hAnsi="Arial" w:cs="Arial"/>
          <w:sz w:val="22"/>
          <w:szCs w:val="22"/>
          <w:vertAlign w:val="superscript"/>
        </w:rPr>
        <w:t>rd</w:t>
      </w:r>
      <w:r w:rsidRPr="00706AC6">
        <w:rPr>
          <w:rFonts w:ascii="Arial" w:hAnsi="Arial" w:cs="Arial"/>
          <w:sz w:val="22"/>
          <w:szCs w:val="22"/>
        </w:rPr>
        <w:t xml:space="preserve"> session in 2025 to </w:t>
      </w:r>
      <w:r w:rsidRPr="00706AC6">
        <w:rPr>
          <w:rFonts w:ascii="Arial" w:hAnsi="Arial" w:cs="Arial"/>
          <w:b/>
          <w:bCs/>
          <w:sz w:val="22"/>
          <w:szCs w:val="22"/>
        </w:rPr>
        <w:t xml:space="preserve">request </w:t>
      </w:r>
      <w:r w:rsidRPr="00706AC6">
        <w:rPr>
          <w:rFonts w:ascii="Arial" w:hAnsi="Arial" w:cs="Arial"/>
          <w:sz w:val="22"/>
          <w:szCs w:val="22"/>
        </w:rPr>
        <w:t>the IOC Secretariat to:</w:t>
      </w:r>
    </w:p>
    <w:p w14:paraId="4D1DD0E8"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inform Member States on the </w:t>
      </w:r>
      <w:r w:rsidRPr="00706AC6">
        <w:rPr>
          <w:rFonts w:ascii="Arial" w:hAnsi="Arial" w:cs="Arial"/>
          <w:i/>
          <w:iCs/>
          <w:sz w:val="22"/>
          <w:szCs w:val="22"/>
        </w:rPr>
        <w:t>Tsunami Ready Toolkit</w:t>
      </w:r>
      <w:r w:rsidRPr="00706AC6">
        <w:rPr>
          <w:rFonts w:ascii="Arial" w:hAnsi="Arial" w:cs="Arial"/>
          <w:sz w:val="22"/>
          <w:szCs w:val="22"/>
        </w:rPr>
        <w:t xml:space="preserve"> availability via IOC Circular Letter to the Tsunami National Contacts, National Tsunami Ready Boards, and widely through the attaching this as an appendix of the </w:t>
      </w:r>
      <w:r w:rsidRPr="00706AC6">
        <w:rPr>
          <w:rFonts w:ascii="Arial" w:eastAsia="Arial" w:hAnsi="Arial" w:cs="Arial"/>
          <w:snapToGrid/>
          <w:sz w:val="22"/>
          <w:szCs w:val="22"/>
        </w:rPr>
        <w:t>UNESCO-IOC Standard Guidelines for the Tsunami Ready Recognition Programme (IOC MG 74</w:t>
      </w:r>
      <w:proofErr w:type="gramStart"/>
      <w:r w:rsidRPr="00706AC6">
        <w:rPr>
          <w:rFonts w:ascii="Arial" w:eastAsia="Arial" w:hAnsi="Arial" w:cs="Arial"/>
          <w:snapToGrid/>
          <w:sz w:val="22"/>
          <w:szCs w:val="22"/>
        </w:rPr>
        <w:t>)</w:t>
      </w:r>
      <w:r w:rsidRPr="00706AC6">
        <w:rPr>
          <w:rFonts w:ascii="Arial" w:hAnsi="Arial" w:cs="Arial"/>
          <w:sz w:val="22"/>
          <w:szCs w:val="22"/>
        </w:rPr>
        <w:t>;</w:t>
      </w:r>
      <w:proofErr w:type="gramEnd"/>
    </w:p>
    <w:p w14:paraId="0BE44594"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disseminate to the Member States the final version of the below basic tsunami warning product/template for use by the radio amateurs, as a </w:t>
      </w:r>
      <w:proofErr w:type="gramStart"/>
      <w:r w:rsidRPr="00706AC6">
        <w:rPr>
          <w:rFonts w:ascii="Arial" w:hAnsi="Arial" w:cs="Arial"/>
          <w:sz w:val="22"/>
          <w:szCs w:val="22"/>
        </w:rPr>
        <w:t>guidance;</w:t>
      </w:r>
      <w:proofErr w:type="gramEnd"/>
    </w:p>
    <w:p w14:paraId="4F4DE474" w14:textId="77777777" w:rsidR="00706AC6" w:rsidRPr="00706AC6" w:rsidRDefault="00706AC6" w:rsidP="00706AC6">
      <w:pPr>
        <w:spacing w:after="240"/>
        <w:jc w:val="right"/>
        <w:rPr>
          <w:rFonts w:ascii="Arial" w:hAnsi="Arial" w:cs="Arial"/>
          <w:sz w:val="22"/>
          <w:szCs w:val="22"/>
        </w:rPr>
      </w:pPr>
      <w:r w:rsidRPr="00706AC6">
        <w:rPr>
          <w:rFonts w:ascii="Arial" w:hAnsi="Arial" w:cs="Arial"/>
          <w:noProof/>
          <w:sz w:val="22"/>
          <w:szCs w:val="22"/>
        </w:rPr>
        <w:drawing>
          <wp:inline distT="0" distB="0" distL="0" distR="0" wp14:anchorId="2E96194B" wp14:editId="4F551382">
            <wp:extent cx="5232694" cy="557181"/>
            <wp:effectExtent l="0" t="0" r="6350" b="0"/>
            <wp:docPr id="819747446" name="Picture 1" descr="A black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96947" name="Picture 1" descr="A black background with red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9231" cy="563201"/>
                    </a:xfrm>
                    <a:prstGeom prst="rect">
                      <a:avLst/>
                    </a:prstGeom>
                    <a:noFill/>
                  </pic:spPr>
                </pic:pic>
              </a:graphicData>
            </a:graphic>
          </wp:inline>
        </w:drawing>
      </w:r>
    </w:p>
    <w:p w14:paraId="7A421DFD"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to finalize the Tsunami Ready Coalition Implementation Plan in consultation with the Tsunami Ready Coalition Chair the Coalition Partners, 'Ambassadors' or similar namesake, and Coalition Co-</w:t>
      </w:r>
      <w:proofErr w:type="gramStart"/>
      <w:r w:rsidRPr="00706AC6">
        <w:rPr>
          <w:rFonts w:ascii="Arial" w:hAnsi="Arial" w:cs="Arial"/>
          <w:sz w:val="22"/>
          <w:szCs w:val="22"/>
        </w:rPr>
        <w:t>Chair</w:t>
      </w:r>
      <w:r w:rsidRPr="00706AC6">
        <w:rPr>
          <w:rFonts w:ascii="Arial" w:eastAsia="Times New Roman" w:hAnsi="Arial" w:cs="Arial"/>
          <w:snapToGrid/>
          <w:sz w:val="22"/>
          <w:szCs w:val="22"/>
          <w:lang w:val="en-US"/>
        </w:rPr>
        <w:t>;</w:t>
      </w:r>
      <w:proofErr w:type="gramEnd"/>
    </w:p>
    <w:p w14:paraId="558569AC" w14:textId="77777777" w:rsidR="00706AC6" w:rsidRPr="00706AC6" w:rsidRDefault="00706AC6" w:rsidP="00706AC6">
      <w:pPr>
        <w:numPr>
          <w:ilvl w:val="0"/>
          <w:numId w:val="53"/>
        </w:numPr>
        <w:snapToGrid/>
        <w:spacing w:after="240" w:line="259" w:lineRule="auto"/>
        <w:ind w:left="567" w:hanging="567"/>
        <w:jc w:val="both"/>
        <w:rPr>
          <w:rFonts w:ascii="Arial" w:hAnsi="Arial" w:cs="Arial"/>
          <w:sz w:val="22"/>
          <w:szCs w:val="22"/>
        </w:rPr>
      </w:pPr>
      <w:r w:rsidRPr="00706AC6">
        <w:rPr>
          <w:rFonts w:ascii="Arial" w:hAnsi="Arial" w:cs="Arial"/>
          <w:sz w:val="22"/>
          <w:szCs w:val="22"/>
        </w:rPr>
        <w:t xml:space="preserve">extend invitations to the proposed Coalition Partners and 'Ambassadors' or similar namesake, and a Coalition Co-chair, and urgently address needed </w:t>
      </w:r>
      <w:proofErr w:type="gramStart"/>
      <w:r w:rsidRPr="00706AC6">
        <w:rPr>
          <w:rFonts w:ascii="Arial" w:hAnsi="Arial" w:cs="Arial"/>
          <w:sz w:val="22"/>
          <w:szCs w:val="22"/>
        </w:rPr>
        <w:t>resources;</w:t>
      </w:r>
      <w:proofErr w:type="gramEnd"/>
      <w:r w:rsidRPr="00706AC6">
        <w:rPr>
          <w:rFonts w:ascii="Arial" w:hAnsi="Arial" w:cs="Arial"/>
          <w:sz w:val="22"/>
          <w:szCs w:val="22"/>
        </w:rPr>
        <w:t> </w:t>
      </w:r>
    </w:p>
    <w:p w14:paraId="7A33C193" w14:textId="77777777" w:rsidR="00706AC6" w:rsidRPr="00706AC6" w:rsidRDefault="00706AC6" w:rsidP="00706AC6">
      <w:pPr>
        <w:spacing w:after="240"/>
        <w:jc w:val="both"/>
        <w:rPr>
          <w:rFonts w:ascii="Arial" w:eastAsia="DengXian" w:hAnsi="Arial" w:cs="Arial"/>
          <w:snapToGrid/>
          <w:sz w:val="22"/>
          <w:szCs w:val="22"/>
          <w:lang w:val="en-US"/>
        </w:rPr>
      </w:pPr>
      <w:r w:rsidRPr="00706AC6">
        <w:rPr>
          <w:rFonts w:ascii="Arial" w:hAnsi="Arial" w:cs="Arial"/>
          <w:b/>
          <w:bCs/>
          <w:sz w:val="22"/>
          <w:szCs w:val="22"/>
        </w:rPr>
        <w:t>The Group recommended</w:t>
      </w:r>
      <w:r w:rsidRPr="00706AC6">
        <w:rPr>
          <w:rFonts w:ascii="Arial" w:hAnsi="Arial" w:cs="Arial"/>
          <w:sz w:val="22"/>
          <w:szCs w:val="22"/>
        </w:rPr>
        <w:t xml:space="preserve"> the IOC Assembly at its 33</w:t>
      </w:r>
      <w:r w:rsidRPr="00706AC6">
        <w:rPr>
          <w:rFonts w:ascii="Arial" w:hAnsi="Arial" w:cs="Arial"/>
          <w:sz w:val="22"/>
          <w:szCs w:val="22"/>
          <w:vertAlign w:val="superscript"/>
        </w:rPr>
        <w:t>rd</w:t>
      </w:r>
      <w:r w:rsidRPr="00706AC6">
        <w:rPr>
          <w:rFonts w:ascii="Arial" w:hAnsi="Arial" w:cs="Arial"/>
          <w:sz w:val="22"/>
          <w:szCs w:val="22"/>
        </w:rPr>
        <w:t xml:space="preserve"> session in 2025 to extend the tenure of the</w:t>
      </w:r>
      <w:r w:rsidRPr="00706AC6">
        <w:rPr>
          <w:rFonts w:ascii="Calibri" w:eastAsia="DengXian" w:hAnsi="Calibri" w:cs="Arial"/>
          <w:snapToGrid/>
          <w:sz w:val="22"/>
          <w:szCs w:val="22"/>
          <w:lang w:val="en-US"/>
        </w:rPr>
        <w:t xml:space="preserve"> </w:t>
      </w:r>
      <w:r w:rsidRPr="00706AC6">
        <w:rPr>
          <w:rFonts w:ascii="Arial" w:hAnsi="Arial" w:cs="Arial"/>
          <w:sz w:val="22"/>
          <w:szCs w:val="22"/>
        </w:rPr>
        <w:t xml:space="preserve">Inter-ICG TT-DMP and TT-TWO and recommended the approval of updated Terms of Reference for the Task Team on Tsunami Disaster Management and Preparedness as included under </w:t>
      </w:r>
      <w:r w:rsidRPr="00706AC6">
        <w:rPr>
          <w:rFonts w:ascii="Arial" w:hAnsi="Arial" w:cs="Arial"/>
          <w:b/>
          <w:bCs/>
          <w:sz w:val="22"/>
          <w:szCs w:val="22"/>
        </w:rPr>
        <w:t xml:space="preserve">Appendix </w:t>
      </w:r>
      <w:proofErr w:type="gramStart"/>
      <w:r w:rsidRPr="00706AC6">
        <w:rPr>
          <w:rFonts w:ascii="Arial" w:hAnsi="Arial" w:cs="Arial"/>
          <w:b/>
          <w:bCs/>
          <w:sz w:val="22"/>
          <w:szCs w:val="22"/>
        </w:rPr>
        <w:t>1</w:t>
      </w:r>
      <w:r w:rsidRPr="00706AC6">
        <w:rPr>
          <w:rFonts w:ascii="Arial" w:hAnsi="Arial" w:cs="Arial"/>
          <w:sz w:val="22"/>
          <w:szCs w:val="22"/>
        </w:rPr>
        <w:t>;</w:t>
      </w:r>
      <w:proofErr w:type="gramEnd"/>
    </w:p>
    <w:p w14:paraId="50BD9BB8" w14:textId="77777777" w:rsidR="001C7442" w:rsidRPr="008066FC" w:rsidRDefault="001C7442" w:rsidP="002823FE">
      <w:pPr>
        <w:pStyle w:val="Header"/>
        <w:spacing w:after="240"/>
        <w:rPr>
          <w:rFonts w:ascii="Arial" w:hAnsi="Arial" w:cs="Arial"/>
          <w:b/>
          <w:bCs/>
          <w:szCs w:val="22"/>
          <w:u w:val="single"/>
          <w:lang w:val="en-US"/>
        </w:rPr>
      </w:pPr>
    </w:p>
    <w:p w14:paraId="6188C43F" w14:textId="77777777" w:rsidR="00241CD6" w:rsidRDefault="00241CD6">
      <w:pPr>
        <w:tabs>
          <w:tab w:val="clear" w:pos="709"/>
        </w:tabs>
        <w:snapToGrid/>
        <w:rPr>
          <w:rFonts w:ascii="Arial" w:hAnsi="Arial" w:cs="Arial"/>
          <w:b/>
          <w:sz w:val="22"/>
        </w:rPr>
      </w:pPr>
      <w:bookmarkStart w:id="48" w:name="_Toc201727988"/>
      <w:bookmarkStart w:id="49" w:name="_Toc288835147"/>
      <w:bookmarkEnd w:id="45"/>
      <w:bookmarkEnd w:id="46"/>
      <w:bookmarkEnd w:id="47"/>
      <w:r>
        <w:rPr>
          <w:rFonts w:ascii="Arial" w:hAnsi="Arial" w:cs="Arial"/>
          <w:b/>
          <w:sz w:val="22"/>
        </w:rPr>
        <w:br w:type="page"/>
      </w:r>
    </w:p>
    <w:p w14:paraId="462B3C0E" w14:textId="1D12490A" w:rsidR="000E59C8" w:rsidRPr="00F3040E" w:rsidRDefault="00D12B7C" w:rsidP="00507DE9">
      <w:pPr>
        <w:pStyle w:val="Heading1"/>
        <w:numPr>
          <w:ilvl w:val="0"/>
          <w:numId w:val="81"/>
        </w:numPr>
      </w:pPr>
      <w:bookmarkStart w:id="50" w:name="_Toc195258089"/>
      <w:r w:rsidRPr="00F3040E">
        <w:lastRenderedPageBreak/>
        <w:t>OPENING AND WELCOME</w:t>
      </w:r>
      <w:bookmarkEnd w:id="48"/>
      <w:bookmarkEnd w:id="49"/>
      <w:bookmarkEnd w:id="50"/>
    </w:p>
    <w:p w14:paraId="03ABCDC4" w14:textId="2C5667D6" w:rsidR="000E59C8" w:rsidRPr="00D62542" w:rsidRDefault="008052EC" w:rsidP="00507DE9">
      <w:pPr>
        <w:pStyle w:val="Heading2"/>
      </w:pPr>
      <w:bookmarkStart w:id="51" w:name="_Toc195258090"/>
      <w:bookmarkStart w:id="52" w:name="_Toc288835148"/>
      <w:r w:rsidRPr="00D62542">
        <w:t>OPENING</w:t>
      </w:r>
      <w:bookmarkEnd w:id="51"/>
      <w:r w:rsidRPr="00D62542">
        <w:t xml:space="preserve"> </w:t>
      </w:r>
      <w:bookmarkEnd w:id="52"/>
    </w:p>
    <w:p w14:paraId="5B3A2407" w14:textId="32D54587" w:rsidR="00CF2104" w:rsidRDefault="000D1067" w:rsidP="005606A4">
      <w:pPr>
        <w:pStyle w:val="ListParagraph1"/>
        <w:numPr>
          <w:ilvl w:val="0"/>
          <w:numId w:val="13"/>
        </w:numPr>
        <w:tabs>
          <w:tab w:val="left" w:pos="709"/>
        </w:tabs>
        <w:ind w:hanging="709"/>
      </w:pPr>
      <w:r>
        <w:tab/>
      </w:r>
      <w:r w:rsidR="00F56920">
        <w:t>The Chair</w:t>
      </w:r>
      <w:r w:rsidR="008C014F">
        <w:t>person</w:t>
      </w:r>
      <w:r w:rsidR="00F56920">
        <w:t xml:space="preserve">, </w:t>
      </w:r>
      <w:r w:rsidR="00EC1B50" w:rsidRPr="00EC1B50">
        <w:t>Prof. Amr Zakaria Hamouda</w:t>
      </w:r>
      <w:r w:rsidR="00503BF0">
        <w:t xml:space="preserve">, </w:t>
      </w:r>
      <w:r w:rsidR="00DE3679">
        <w:t>ope</w:t>
      </w:r>
      <w:r w:rsidR="00B346E4">
        <w:t>ned</w:t>
      </w:r>
      <w:r w:rsidR="00DE3679">
        <w:t xml:space="preserve"> the </w:t>
      </w:r>
      <w:r w:rsidR="00935811">
        <w:t>Eigh</w:t>
      </w:r>
      <w:r w:rsidR="00253164" w:rsidRPr="00253164">
        <w:t>teenth Meeting of the Working Group on Tsunamis and Other Hazards Related to Sea-Level Warning and Mitigation Systems (TOWS-WG-XV</w:t>
      </w:r>
      <w:r w:rsidR="00935811">
        <w:t>II</w:t>
      </w:r>
      <w:r w:rsidR="00253164" w:rsidRPr="00253164">
        <w:t xml:space="preserve">I) </w:t>
      </w:r>
      <w:r w:rsidR="00E46293">
        <w:t>and welcome</w:t>
      </w:r>
      <w:r w:rsidR="00B346E4">
        <w:t>d</w:t>
      </w:r>
      <w:r w:rsidR="00E46293">
        <w:t xml:space="preserve"> </w:t>
      </w:r>
      <w:r w:rsidR="00B73710">
        <w:t xml:space="preserve">the </w:t>
      </w:r>
      <w:r w:rsidR="00E46293">
        <w:t>participants</w:t>
      </w:r>
      <w:r w:rsidR="00503BF0">
        <w:t>.</w:t>
      </w:r>
      <w:r w:rsidR="00984D73" w:rsidRPr="004F2447">
        <w:rPr>
          <w:lang w:val="en-US"/>
        </w:rPr>
        <w:t xml:space="preserve"> </w:t>
      </w:r>
      <w:r w:rsidR="009C4C4B" w:rsidRPr="004F2447">
        <w:rPr>
          <w:lang w:val="en-US"/>
        </w:rPr>
        <w:t>In his opening remarks</w:t>
      </w:r>
      <w:r w:rsidR="00F8304A" w:rsidRPr="004F2447">
        <w:rPr>
          <w:lang w:val="en-US"/>
        </w:rPr>
        <w:t>,</w:t>
      </w:r>
      <w:r w:rsidR="009C4C4B" w:rsidRPr="004F2447">
        <w:rPr>
          <w:lang w:val="en-US"/>
        </w:rPr>
        <w:t xml:space="preserve"> h</w:t>
      </w:r>
      <w:r w:rsidR="00B73710" w:rsidRPr="004F2447">
        <w:rPr>
          <w:lang w:val="en-US"/>
        </w:rPr>
        <w:t xml:space="preserve">e </w:t>
      </w:r>
      <w:r w:rsidR="00B346E4">
        <w:t>recall</w:t>
      </w:r>
      <w:r w:rsidR="00F8304A">
        <w:t>ed</w:t>
      </w:r>
      <w:r w:rsidR="00B346E4">
        <w:t xml:space="preserve"> </w:t>
      </w:r>
      <w:r w:rsidR="002B010B" w:rsidRPr="004F2447">
        <w:rPr>
          <w:lang w:val="en-US"/>
        </w:rPr>
        <w:t xml:space="preserve">that </w:t>
      </w:r>
      <w:r w:rsidR="00935811" w:rsidRPr="00935811">
        <w:rPr>
          <w:lang w:val="en-US"/>
        </w:rPr>
        <w:t>he TOWS-WG will review over 2 days the work of the four intergovernmental coordination groups (Caribbean, Indian Ocean, Mediterranean and Northeastern Atlantic and Pacific regions), and the two specialized Task Teams, to advise the IOC Assembly on relevant items for discussion</w:t>
      </w:r>
      <w:r w:rsidR="003316A9" w:rsidRPr="005606A4">
        <w:rPr>
          <w:lang w:val="en-US"/>
        </w:rPr>
        <w:t>.</w:t>
      </w:r>
    </w:p>
    <w:p w14:paraId="766FFD78" w14:textId="6FE4EA62" w:rsidR="00935811" w:rsidRPr="002B6ED7" w:rsidRDefault="00CF2104" w:rsidP="002B6ED7">
      <w:pPr>
        <w:pStyle w:val="ListParagraph1"/>
        <w:numPr>
          <w:ilvl w:val="0"/>
          <w:numId w:val="13"/>
        </w:numPr>
        <w:tabs>
          <w:tab w:val="left" w:pos="709"/>
        </w:tabs>
        <w:ind w:hanging="709"/>
      </w:pPr>
      <w:r>
        <w:tab/>
      </w:r>
      <w:r w:rsidR="00FE0CBD" w:rsidRPr="002B6ED7">
        <w:t>Mr</w:t>
      </w:r>
      <w:r w:rsidR="00781368" w:rsidRPr="002B6ED7">
        <w:t> </w:t>
      </w:r>
      <w:r w:rsidR="00935811" w:rsidRPr="002B6ED7">
        <w:t>Vidar Helgesen</w:t>
      </w:r>
      <w:r w:rsidR="00195358" w:rsidRPr="002B6ED7">
        <w:t xml:space="preserve">, Executive Secretary of IOC, </w:t>
      </w:r>
      <w:r w:rsidR="000F3904" w:rsidRPr="002B6ED7">
        <w:t xml:space="preserve">also </w:t>
      </w:r>
      <w:r w:rsidR="002E6474" w:rsidRPr="002B6ED7">
        <w:t>provided welcoming remarks</w:t>
      </w:r>
      <w:r w:rsidR="008F3D40" w:rsidRPr="002B6ED7">
        <w:t xml:space="preserve">. Mr </w:t>
      </w:r>
      <w:r w:rsidR="00935811" w:rsidRPr="002B6ED7">
        <w:t>Helgesen</w:t>
      </w:r>
      <w:r w:rsidR="008F3D40" w:rsidRPr="002B6ED7">
        <w:t xml:space="preserve"> began by </w:t>
      </w:r>
      <w:r w:rsidR="00935811" w:rsidRPr="002B6ED7">
        <w:t xml:space="preserve">recognizing the progress made through the publication of two technical reports on volcano and meteotsunami generated tsunamis, according to the request of Member States, and noted impressive implication of Member States and communities joining the UNESCO-IOC Tsunami Ready Recognition Programme, with 100 communities from 31 countries already recognized, of which 15 </w:t>
      </w:r>
      <w:r w:rsidR="00D81AAA">
        <w:t>Small Island Development States (</w:t>
      </w:r>
      <w:r w:rsidR="00935811" w:rsidRPr="002B6ED7">
        <w:t>SIDS</w:t>
      </w:r>
      <w:r w:rsidR="00D81AAA">
        <w:t>)</w:t>
      </w:r>
      <w:r w:rsidR="00935811" w:rsidRPr="002B6ED7">
        <w:t>.</w:t>
      </w:r>
      <w:r w:rsidR="00935811" w:rsidRPr="00935811">
        <w:t xml:space="preserve"> </w:t>
      </w:r>
      <w:r w:rsidR="00935811">
        <w:t xml:space="preserve"> He also highlighted the </w:t>
      </w:r>
      <w:r w:rsidR="00935811" w:rsidRPr="00935811">
        <w:t>continue and improve cooperation with the United Nations Disaster Risk Reduction office (UNDRR) and the World Meteorological Organization (WMO) towards a fully comprehensive Multi-Hazard Early Warning for All</w:t>
      </w:r>
      <w:r w:rsidR="00935811">
        <w:t>.</w:t>
      </w:r>
    </w:p>
    <w:p w14:paraId="53FE6F35" w14:textId="5EBCCB46" w:rsidR="00935811" w:rsidRPr="00935811" w:rsidRDefault="00A10101" w:rsidP="002B6ED7">
      <w:pPr>
        <w:pStyle w:val="ListParagraph1"/>
        <w:numPr>
          <w:ilvl w:val="0"/>
          <w:numId w:val="13"/>
        </w:numPr>
        <w:tabs>
          <w:tab w:val="left" w:pos="709"/>
        </w:tabs>
        <w:ind w:hanging="709"/>
      </w:pPr>
      <w:bookmarkStart w:id="53" w:name="_Hlk194739962"/>
      <w:r>
        <w:tab/>
      </w:r>
      <w:r w:rsidR="00082DE8">
        <w:t xml:space="preserve">Mr </w:t>
      </w:r>
      <w:r w:rsidR="00935811">
        <w:t>Helgesen</w:t>
      </w:r>
      <w:r w:rsidR="00082DE8">
        <w:t xml:space="preserve"> </w:t>
      </w:r>
      <w:bookmarkEnd w:id="53"/>
      <w:r w:rsidR="00082DE8">
        <w:t xml:space="preserve">next drew attention to </w:t>
      </w:r>
      <w:r w:rsidR="00935811" w:rsidRPr="00935811">
        <w:t>the initial deployment of tsunami bulletins for the maritime community in consultation with the International Hydrographic Organization (IHO) Sub-Committee on the World-Wide Navigational Warning Service (WWNWS-SC)</w:t>
      </w:r>
      <w:r w:rsidR="00935811">
        <w:t>.</w:t>
      </w:r>
    </w:p>
    <w:p w14:paraId="0341F78B" w14:textId="5AD24AB7" w:rsidR="00935811" w:rsidRPr="00935811" w:rsidRDefault="00935811" w:rsidP="002B6ED7">
      <w:pPr>
        <w:pStyle w:val="ListParagraph1"/>
        <w:numPr>
          <w:ilvl w:val="0"/>
          <w:numId w:val="13"/>
        </w:numPr>
        <w:tabs>
          <w:tab w:val="left" w:pos="709"/>
        </w:tabs>
        <w:ind w:hanging="709"/>
      </w:pPr>
      <w:r w:rsidRPr="00935811">
        <w:tab/>
      </w:r>
      <w:r>
        <w:t xml:space="preserve">He noted that </w:t>
      </w:r>
      <w:r w:rsidRPr="00935811">
        <w:t>new challenges arise</w:t>
      </w:r>
      <w:r>
        <w:t xml:space="preserve"> including the</w:t>
      </w:r>
      <w:r w:rsidRPr="00935811">
        <w:t xml:space="preserve"> rise on risk of landslide generated tsunamis due to increased localized rainfall or glacial melting </w:t>
      </w:r>
      <w:proofErr w:type="gramStart"/>
      <w:r w:rsidRPr="00935811">
        <w:t>as a result of</w:t>
      </w:r>
      <w:proofErr w:type="gramEnd"/>
      <w:r w:rsidRPr="00935811">
        <w:t xml:space="preserve"> global warming/climate change</w:t>
      </w:r>
      <w:r w:rsidR="00D81AAA">
        <w:t>. He also noted</w:t>
      </w:r>
      <w:r w:rsidR="00D81AAA" w:rsidRPr="00935811">
        <w:t xml:space="preserve"> opportunities </w:t>
      </w:r>
      <w:r w:rsidR="00D81AAA">
        <w:t>including the use of</w:t>
      </w:r>
      <w:r>
        <w:t xml:space="preserve"> </w:t>
      </w:r>
      <w:r w:rsidRPr="00935811">
        <w:t>machine learning and IA as promising technologies to support early warning and community preparedness</w:t>
      </w:r>
      <w:r>
        <w:t>.</w:t>
      </w:r>
      <w:r w:rsidRPr="00935811">
        <w:t xml:space="preserve"> </w:t>
      </w:r>
    </w:p>
    <w:p w14:paraId="2FB3DF03" w14:textId="0E7B07D5" w:rsidR="00935811" w:rsidRPr="00935811" w:rsidRDefault="00935811" w:rsidP="002B6ED7">
      <w:pPr>
        <w:pStyle w:val="ListParagraph1"/>
        <w:numPr>
          <w:ilvl w:val="0"/>
          <w:numId w:val="13"/>
        </w:numPr>
        <w:tabs>
          <w:tab w:val="left" w:pos="709"/>
        </w:tabs>
        <w:ind w:hanging="709"/>
      </w:pPr>
      <w:r w:rsidRPr="00935811">
        <w:tab/>
      </w:r>
      <w:r>
        <w:t>He</w:t>
      </w:r>
      <w:r w:rsidRPr="00935811">
        <w:t xml:space="preserve"> recall</w:t>
      </w:r>
      <w:r>
        <w:t>ed that</w:t>
      </w:r>
      <w:r w:rsidRPr="00935811">
        <w:t xml:space="preserve"> </w:t>
      </w:r>
      <w:r>
        <w:t>UN Ocean Decade provides an opportunity for growth of ocean science related activities</w:t>
      </w:r>
      <w:r w:rsidRPr="00935811">
        <w:t xml:space="preserve"> and </w:t>
      </w:r>
      <w:r w:rsidR="002B6ED7">
        <w:t xml:space="preserve">underlined </w:t>
      </w:r>
      <w:r w:rsidRPr="00935811">
        <w:t xml:space="preserve">the need </w:t>
      </w:r>
      <w:r w:rsidR="002B6ED7">
        <w:t>for reinforced</w:t>
      </w:r>
      <w:r w:rsidRPr="00935811">
        <w:t xml:space="preserve"> multilateralism.</w:t>
      </w:r>
    </w:p>
    <w:p w14:paraId="227F358E" w14:textId="33A87DD4" w:rsidR="00935811" w:rsidRDefault="00935811" w:rsidP="002B6ED7">
      <w:pPr>
        <w:pStyle w:val="ListParagraph1"/>
        <w:numPr>
          <w:ilvl w:val="0"/>
          <w:numId w:val="13"/>
        </w:numPr>
        <w:tabs>
          <w:tab w:val="left" w:pos="709"/>
        </w:tabs>
        <w:ind w:hanging="709"/>
      </w:pPr>
      <w:r w:rsidRPr="00935811">
        <w:tab/>
        <w:t>In closing Mr Vidar Helgesen reported that the IOC team is currently considering how to expand early warnings to other IOC’s working fields, including H</w:t>
      </w:r>
      <w:r w:rsidR="00D81AAA">
        <w:t>armful Algal Blooms (H</w:t>
      </w:r>
      <w:r w:rsidRPr="00935811">
        <w:t>ABs</w:t>
      </w:r>
      <w:r w:rsidR="00D81AAA">
        <w:t>)</w:t>
      </w:r>
      <w:r w:rsidRPr="00935811">
        <w:t xml:space="preserve">, invasive species, biodiversity, </w:t>
      </w:r>
      <w:r w:rsidR="00D81AAA">
        <w:t xml:space="preserve">and </w:t>
      </w:r>
      <w:r w:rsidRPr="00935811">
        <w:t xml:space="preserve">heat waves. Member States would </w:t>
      </w:r>
      <w:r w:rsidR="002B6ED7">
        <w:t xml:space="preserve">surely build </w:t>
      </w:r>
      <w:r w:rsidRPr="00935811">
        <w:t xml:space="preserve">on the role and contributions of tsunami groups to establish EWS for other coastal hazards. </w:t>
      </w:r>
    </w:p>
    <w:p w14:paraId="1C0E2674" w14:textId="460E9423" w:rsidR="000E59C8" w:rsidRPr="000F357B" w:rsidRDefault="00A567E5" w:rsidP="002B6ED7">
      <w:pPr>
        <w:pStyle w:val="Heading2"/>
      </w:pPr>
      <w:r>
        <w:tab/>
      </w:r>
      <w:bookmarkStart w:id="54" w:name="_Toc418154716"/>
      <w:bookmarkStart w:id="55" w:name="_Toc288835149"/>
      <w:bookmarkStart w:id="56" w:name="_Toc195258091"/>
      <w:bookmarkEnd w:id="54"/>
      <w:r w:rsidR="00C16847" w:rsidRPr="00C16847">
        <w:t>ADOPTION</w:t>
      </w:r>
      <w:r w:rsidR="00C16847" w:rsidRPr="000F357B">
        <w:t xml:space="preserve"> OF AGENDA</w:t>
      </w:r>
      <w:bookmarkEnd w:id="55"/>
      <w:bookmarkEnd w:id="56"/>
    </w:p>
    <w:p w14:paraId="65E5FC1E" w14:textId="18A2CA35" w:rsidR="000E59C8" w:rsidRPr="00841AC7" w:rsidRDefault="000D1067" w:rsidP="00AA0A90">
      <w:pPr>
        <w:pStyle w:val="ListParagraph1"/>
        <w:numPr>
          <w:ilvl w:val="0"/>
          <w:numId w:val="13"/>
        </w:numPr>
        <w:tabs>
          <w:tab w:val="left" w:pos="709"/>
        </w:tabs>
        <w:ind w:hanging="709"/>
      </w:pPr>
      <w:r>
        <w:tab/>
      </w:r>
      <w:r w:rsidR="00A70FFC">
        <w:t xml:space="preserve">The agenda </w:t>
      </w:r>
      <w:r w:rsidR="00323935">
        <w:t>was adopted as</w:t>
      </w:r>
      <w:r w:rsidR="00A70FFC">
        <w:t xml:space="preserve"> given </w:t>
      </w:r>
      <w:r w:rsidR="00A70FFC" w:rsidRPr="00F3040E">
        <w:t>in Annex I</w:t>
      </w:r>
      <w:r w:rsidR="00AA0A90">
        <w:t xml:space="preserve">, </w:t>
      </w:r>
      <w:proofErr w:type="spellStart"/>
      <w:r w:rsidR="00AA0A90">
        <w:t>avalbale</w:t>
      </w:r>
      <w:proofErr w:type="spellEnd"/>
      <w:r w:rsidR="00AA0A90">
        <w:t xml:space="preserve"> also as </w:t>
      </w:r>
      <w:r w:rsidR="00AA0A90" w:rsidRPr="00AA0A90">
        <w:t xml:space="preserve">Annex I of </w:t>
      </w:r>
      <w:hyperlink r:id="rId22" w:history="1">
        <w:r w:rsidR="00AA0A90" w:rsidRPr="00AA0A90">
          <w:rPr>
            <w:rStyle w:val="Hyperlink"/>
          </w:rPr>
          <w:t>Circular Letter 3020</w:t>
        </w:r>
      </w:hyperlink>
      <w:r w:rsidR="00AA0A90">
        <w:t>.</w:t>
      </w:r>
    </w:p>
    <w:p w14:paraId="4305EBC8" w14:textId="5F10BB01" w:rsidR="000E59C8" w:rsidRPr="00FD3E77" w:rsidRDefault="00C16847" w:rsidP="002B6ED7">
      <w:pPr>
        <w:pStyle w:val="Heading2"/>
        <w:ind w:left="714" w:hanging="357"/>
      </w:pPr>
      <w:bookmarkStart w:id="57" w:name="_Toc288835150"/>
      <w:bookmarkStart w:id="58" w:name="_Toc390247899"/>
      <w:bookmarkStart w:id="59" w:name="_Toc195258092"/>
      <w:r w:rsidRPr="00C16847">
        <w:t>WORKING</w:t>
      </w:r>
      <w:r w:rsidRPr="00FD3E77">
        <w:t xml:space="preserve"> ARRANGEMENTS</w:t>
      </w:r>
      <w:bookmarkEnd w:id="57"/>
      <w:bookmarkEnd w:id="58"/>
      <w:bookmarkEnd w:id="59"/>
      <w:r w:rsidRPr="00FD3E77">
        <w:t xml:space="preserve"> </w:t>
      </w:r>
    </w:p>
    <w:p w14:paraId="55332C2D" w14:textId="4D7E4A23" w:rsidR="00F22F4E" w:rsidRDefault="000D1067" w:rsidP="002B6ED7">
      <w:pPr>
        <w:pStyle w:val="ListParagraph1"/>
        <w:numPr>
          <w:ilvl w:val="0"/>
          <w:numId w:val="13"/>
        </w:numPr>
        <w:tabs>
          <w:tab w:val="left" w:pos="709"/>
        </w:tabs>
        <w:ind w:hanging="709"/>
      </w:pPr>
      <w:r>
        <w:tab/>
      </w:r>
      <w:r w:rsidR="00D371DC">
        <w:t>T</w:t>
      </w:r>
      <w:r w:rsidR="00550582">
        <w:t>he T</w:t>
      </w:r>
      <w:r w:rsidR="00D371DC">
        <w:t xml:space="preserve">echnical Secretary, Mr Bernardo Aliaga, </w:t>
      </w:r>
      <w:r w:rsidR="00D371DC" w:rsidRPr="002B6ED7">
        <w:t>provided</w:t>
      </w:r>
      <w:r w:rsidR="00D371DC" w:rsidRPr="005E3274">
        <w:t xml:space="preserve"> an overview of logistic details for the meeting. All documents and presentations delivered at this meeting are available from the </w:t>
      </w:r>
      <w:r w:rsidR="00D371DC" w:rsidRPr="00BD6523">
        <w:t xml:space="preserve">following </w:t>
      </w:r>
      <w:r w:rsidR="0031152F" w:rsidRPr="005E3274">
        <w:t>website:</w:t>
      </w:r>
      <w:r w:rsidR="00F22F4E">
        <w:t xml:space="preserve"> </w:t>
      </w:r>
      <w:hyperlink r:id="rId23" w:history="1">
        <w:r w:rsidR="00AA0A90" w:rsidRPr="00FE17DB">
          <w:rPr>
            <w:rStyle w:val="Hyperlink"/>
          </w:rPr>
          <w:t>https://oceanexpert.org/event/4652</w:t>
        </w:r>
      </w:hyperlink>
      <w:r w:rsidR="00AA0A90">
        <w:t xml:space="preserve"> </w:t>
      </w:r>
      <w:r w:rsidR="00550582">
        <w:t>.</w:t>
      </w:r>
    </w:p>
    <w:p w14:paraId="27328FFE" w14:textId="09E7176C" w:rsidR="000E59C8" w:rsidRPr="00507DE9" w:rsidRDefault="00D12B7C" w:rsidP="00507DE9">
      <w:pPr>
        <w:pStyle w:val="Heading1"/>
      </w:pPr>
      <w:bookmarkStart w:id="60" w:name="_Toc288835151"/>
      <w:bookmarkStart w:id="61" w:name="_Toc390247900"/>
      <w:bookmarkStart w:id="62" w:name="_Toc195258093"/>
      <w:r w:rsidRPr="00507DE9">
        <w:t xml:space="preserve">REPORTS FROM </w:t>
      </w:r>
      <w:r w:rsidR="00F518C2" w:rsidRPr="00507DE9">
        <w:t xml:space="preserve">PARTICIPANT </w:t>
      </w:r>
      <w:bookmarkStart w:id="63" w:name="_Hlk64494362"/>
      <w:bookmarkEnd w:id="60"/>
      <w:bookmarkEnd w:id="61"/>
      <w:r w:rsidR="004218F1" w:rsidRPr="00507DE9">
        <w:t>BODIES</w:t>
      </w:r>
      <w:bookmarkEnd w:id="62"/>
      <w:bookmarkEnd w:id="63"/>
      <w:r w:rsidR="00CA2732" w:rsidRPr="00507DE9">
        <w:tab/>
      </w:r>
      <w:r w:rsidR="00CA2732" w:rsidRPr="00507DE9">
        <w:tab/>
      </w:r>
    </w:p>
    <w:p w14:paraId="59CACE5A" w14:textId="0D5CA7C2" w:rsidR="000E59C8" w:rsidRPr="00507DE9" w:rsidRDefault="008D7C3C" w:rsidP="00507DE9">
      <w:pPr>
        <w:pStyle w:val="Heading2"/>
      </w:pPr>
      <w:bookmarkStart w:id="64" w:name="_Toc288835152"/>
      <w:bookmarkStart w:id="65" w:name="_Ref327456099"/>
      <w:bookmarkStart w:id="66" w:name="_Toc390247901"/>
      <w:bookmarkStart w:id="67" w:name="_Toc195258094"/>
      <w:r w:rsidRPr="00507DE9">
        <w:lastRenderedPageBreak/>
        <w:t>REPORT FROM IOC BODIES</w:t>
      </w:r>
      <w:bookmarkEnd w:id="64"/>
      <w:bookmarkEnd w:id="65"/>
      <w:bookmarkEnd w:id="66"/>
      <w:bookmarkEnd w:id="67"/>
    </w:p>
    <w:p w14:paraId="545B2CAF" w14:textId="6EFB416F" w:rsidR="008D7C3C" w:rsidRPr="006109F7" w:rsidRDefault="008D7C3C" w:rsidP="00507DE9">
      <w:pPr>
        <w:pStyle w:val="Heading1"/>
        <w:numPr>
          <w:ilvl w:val="0"/>
          <w:numId w:val="0"/>
        </w:numPr>
        <w:ind w:left="720"/>
        <w:rPr>
          <w:lang w:val="en-US"/>
        </w:rPr>
      </w:pPr>
      <w:bookmarkStart w:id="68" w:name="_Toc195258095"/>
      <w:r w:rsidRPr="006109F7">
        <w:rPr>
          <w:lang w:val="en-US"/>
        </w:rPr>
        <w:t xml:space="preserve">2.1.1 </w:t>
      </w:r>
      <w:r w:rsidRPr="006109F7">
        <w:rPr>
          <w:lang w:val="en-US"/>
        </w:rPr>
        <w:tab/>
      </w:r>
      <w:r w:rsidR="001B5589" w:rsidRPr="006109F7">
        <w:rPr>
          <w:lang w:val="en-US"/>
        </w:rPr>
        <w:t>Tsunami and Other Coastal Hazards Warning System</w:t>
      </w:r>
      <w:r w:rsidR="00507DE9">
        <w:rPr>
          <w:lang w:val="en-US"/>
        </w:rPr>
        <w:t xml:space="preserve"> </w:t>
      </w:r>
      <w:r w:rsidR="001B5589" w:rsidRPr="006109F7">
        <w:rPr>
          <w:lang w:val="en-US"/>
        </w:rPr>
        <w:t xml:space="preserve">for the Caribbean and Adjacent Regions </w:t>
      </w:r>
      <w:r w:rsidRPr="006109F7">
        <w:rPr>
          <w:lang w:val="en-US"/>
        </w:rPr>
        <w:t>(CARIBE-EWS)</w:t>
      </w:r>
      <w:bookmarkEnd w:id="68"/>
      <w:r w:rsidRPr="006109F7">
        <w:rPr>
          <w:lang w:val="en-US"/>
        </w:rPr>
        <w:t xml:space="preserve"> </w:t>
      </w:r>
    </w:p>
    <w:p w14:paraId="297F8C78" w14:textId="4D16CBA5" w:rsidR="0006040F" w:rsidRPr="002B6ED7" w:rsidRDefault="000D1067" w:rsidP="005C3EA8">
      <w:pPr>
        <w:pStyle w:val="ListParagraph1"/>
        <w:numPr>
          <w:ilvl w:val="0"/>
          <w:numId w:val="13"/>
        </w:numPr>
        <w:tabs>
          <w:tab w:val="left" w:pos="709"/>
        </w:tabs>
        <w:ind w:hanging="709"/>
      </w:pPr>
      <w:bookmarkStart w:id="69" w:name="_Toc288835153"/>
      <w:bookmarkStart w:id="70" w:name="_Toc196727165"/>
      <w:bookmarkStart w:id="71" w:name="_Toc196733149"/>
      <w:bookmarkStart w:id="72" w:name="_Toc196733748"/>
      <w:bookmarkStart w:id="73" w:name="_Toc196816311"/>
      <w:bookmarkStart w:id="74" w:name="_Toc196819819"/>
      <w:bookmarkStart w:id="75" w:name="_Toc196819938"/>
      <w:bookmarkStart w:id="76" w:name="_Toc201728016"/>
      <w:bookmarkStart w:id="77" w:name="_Toc201728109"/>
      <w:bookmarkStart w:id="78" w:name="_Toc295114642"/>
      <w:bookmarkStart w:id="79" w:name="_Toc317041024"/>
      <w:bookmarkStart w:id="80" w:name="_Ref327455938"/>
      <w:bookmarkStart w:id="81" w:name="_Toc327477903"/>
      <w:bookmarkStart w:id="82" w:name="_Ref327477950"/>
      <w:bookmarkStart w:id="83" w:name="_Toc357081377"/>
      <w:bookmarkStart w:id="84" w:name="_Toc357508207"/>
      <w:bookmarkStart w:id="85" w:name="_Toc386101306"/>
      <w:bookmarkStart w:id="86" w:name="_Ref390166296"/>
      <w:bookmarkStart w:id="87" w:name="_Toc390247919"/>
      <w:r w:rsidRPr="002B6ED7">
        <w:tab/>
      </w:r>
      <w:r w:rsidR="005C3EA8" w:rsidRPr="005C3EA8">
        <w:t>Mr Gerard Metayer (Haiti), Chair of the Intergovernmental Coordination Group for the Tsunami and other Coastal Hazards Warning System for the Caribbean and Adjacent Regions (ICG/CARIBE-EWS)</w:t>
      </w:r>
      <w:r w:rsidR="00187474" w:rsidRPr="002B6ED7">
        <w:t xml:space="preserve">, </w:t>
      </w:r>
      <w:r w:rsidR="00CF1CD6" w:rsidRPr="002B6ED7">
        <w:t xml:space="preserve">presented the </w:t>
      </w:r>
      <w:hyperlink r:id="rId24" w:history="1">
        <w:r w:rsidR="005C3EA8" w:rsidRPr="005C3EA8">
          <w:rPr>
            <w:rStyle w:val="Hyperlink"/>
          </w:rPr>
          <w:t>report</w:t>
        </w:r>
      </w:hyperlink>
      <w:r w:rsidR="00CF1CD6" w:rsidRPr="002B6ED7">
        <w:t xml:space="preserve"> on this</w:t>
      </w:r>
      <w:r w:rsidR="00FF715B" w:rsidRPr="002B6ED7">
        <w:t xml:space="preserve"> item</w:t>
      </w:r>
      <w:r w:rsidR="00E628A8" w:rsidRPr="002B6ED7">
        <w:t xml:space="preserve"> (available as a </w:t>
      </w:r>
      <w:hyperlink r:id="rId25" w:history="1">
        <w:r w:rsidR="00E628A8" w:rsidRPr="002B6ED7">
          <w:t>presentation</w:t>
        </w:r>
      </w:hyperlink>
      <w:r w:rsidR="00E628A8" w:rsidRPr="002B6ED7">
        <w:t>)</w:t>
      </w:r>
      <w:r w:rsidR="00BA3D15" w:rsidRPr="002B6ED7">
        <w:t>.</w:t>
      </w:r>
    </w:p>
    <w:p w14:paraId="24C16F62" w14:textId="40ED171D" w:rsidR="005C3EA8" w:rsidRPr="005C3EA8" w:rsidRDefault="0006040F" w:rsidP="005C3EA8">
      <w:pPr>
        <w:pStyle w:val="ListParagraph1"/>
        <w:numPr>
          <w:ilvl w:val="0"/>
          <w:numId w:val="13"/>
        </w:numPr>
        <w:tabs>
          <w:tab w:val="left" w:pos="709"/>
        </w:tabs>
        <w:ind w:hanging="709"/>
      </w:pPr>
      <w:bookmarkStart w:id="88" w:name="_Hlk194781591"/>
      <w:r w:rsidRPr="002B6ED7">
        <w:tab/>
      </w:r>
      <w:bookmarkEnd w:id="88"/>
      <w:r w:rsidR="005C3EA8">
        <w:t xml:space="preserve">He reported on the outcomes of the </w:t>
      </w:r>
      <w:hyperlink r:id="rId26" w:history="1">
        <w:r w:rsidR="005C3EA8" w:rsidRPr="008C7D34">
          <w:rPr>
            <w:rStyle w:val="Hyperlink"/>
          </w:rPr>
          <w:t>Seventeenth session of the ICG/CARIBE EWS</w:t>
        </w:r>
      </w:hyperlink>
      <w:r w:rsidR="005501F5" w:rsidRPr="002B6ED7">
        <w:t>.</w:t>
      </w:r>
      <w:r w:rsidR="00DF6860" w:rsidRPr="002B6ED7">
        <w:t xml:space="preserve"> </w:t>
      </w:r>
      <w:r w:rsidR="005C3EA8">
        <w:t xml:space="preserve">Hosted by the Government of </w:t>
      </w:r>
      <w:r w:rsidR="005C3EA8" w:rsidRPr="005C3EA8">
        <w:t xml:space="preserve">Nicaragua, 6-9 </w:t>
      </w:r>
      <w:r w:rsidR="0006480C" w:rsidRPr="005C3EA8">
        <w:t>May</w:t>
      </w:r>
      <w:r w:rsidR="005C3EA8" w:rsidRPr="005C3EA8">
        <w:t xml:space="preserve"> 2024</w:t>
      </w:r>
      <w:r w:rsidR="005C3EA8">
        <w:t xml:space="preserve">, attended by </w:t>
      </w:r>
      <w:r w:rsidR="005C3EA8" w:rsidRPr="005C3EA8">
        <w:t>85 in-person &amp; virtual participants</w:t>
      </w:r>
      <w:r w:rsidR="005C3EA8">
        <w:t xml:space="preserve"> from </w:t>
      </w:r>
      <w:r w:rsidR="005C3EA8" w:rsidRPr="005C3EA8">
        <w:t>15</w:t>
      </w:r>
      <w:r w:rsidR="005C3EA8">
        <w:t xml:space="preserve"> </w:t>
      </w:r>
      <w:r w:rsidR="0006480C">
        <w:t>M</w:t>
      </w:r>
      <w:r w:rsidR="005C3EA8">
        <w:t xml:space="preserve">ember States and </w:t>
      </w:r>
      <w:proofErr w:type="spellStart"/>
      <w:r w:rsidR="005C3EA8">
        <w:t>Terriotories</w:t>
      </w:r>
      <w:proofErr w:type="spellEnd"/>
      <w:r w:rsidR="005C3EA8">
        <w:t xml:space="preserve"> and </w:t>
      </w:r>
      <w:r w:rsidR="005C3EA8" w:rsidRPr="005C3EA8">
        <w:t>3 Observers</w:t>
      </w:r>
      <w:r w:rsidR="005C3EA8">
        <w:t xml:space="preserve">. He noted that the session elected </w:t>
      </w:r>
      <w:r w:rsidR="005C3EA8" w:rsidRPr="005C3EA8">
        <w:t xml:space="preserve">Gérard </w:t>
      </w:r>
      <w:proofErr w:type="spellStart"/>
      <w:r w:rsidR="005C3EA8" w:rsidRPr="005C3EA8">
        <w:t>Métayer</w:t>
      </w:r>
      <w:proofErr w:type="spellEnd"/>
      <w:r w:rsidR="005C3EA8" w:rsidRPr="005C3EA8">
        <w:t xml:space="preserve"> (Haiti)</w:t>
      </w:r>
      <w:r w:rsidR="005C3EA8">
        <w:t xml:space="preserve"> as </w:t>
      </w:r>
      <w:r w:rsidR="005C3EA8" w:rsidRPr="005C3EA8">
        <w:t xml:space="preserve">Chair </w:t>
      </w:r>
      <w:r w:rsidR="005C3EA8">
        <w:t xml:space="preserve">and </w:t>
      </w:r>
      <w:r w:rsidR="005C3EA8" w:rsidRPr="005C3EA8">
        <w:rPr>
          <w:lang w:val="en-US"/>
        </w:rPr>
        <w:t>Ms Regina Browne (U</w:t>
      </w:r>
      <w:r w:rsidR="005C3EA8">
        <w:rPr>
          <w:lang w:val="en-US"/>
        </w:rPr>
        <w:t>nited States</w:t>
      </w:r>
      <w:r w:rsidR="0006480C">
        <w:rPr>
          <w:lang w:val="en-US"/>
        </w:rPr>
        <w:t xml:space="preserve"> Virgin Islands</w:t>
      </w:r>
      <w:r w:rsidR="005C3EA8">
        <w:rPr>
          <w:lang w:val="en-US"/>
        </w:rPr>
        <w:t>) Ms</w:t>
      </w:r>
      <w:r w:rsidR="005C3EA8" w:rsidRPr="005C3EA8">
        <w:rPr>
          <w:lang w:val="en-US"/>
        </w:rPr>
        <w:t xml:space="preserve"> Marie-Noëlle </w:t>
      </w:r>
      <w:proofErr w:type="spellStart"/>
      <w:r w:rsidR="005C3EA8" w:rsidRPr="005C3EA8">
        <w:rPr>
          <w:lang w:val="en-US"/>
        </w:rPr>
        <w:t>Raveau</w:t>
      </w:r>
      <w:proofErr w:type="spellEnd"/>
      <w:r w:rsidR="005C3EA8" w:rsidRPr="005C3EA8">
        <w:rPr>
          <w:lang w:val="en-US"/>
        </w:rPr>
        <w:t xml:space="preserve"> (France-Martinique</w:t>
      </w:r>
      <w:r w:rsidR="0006480C">
        <w:rPr>
          <w:lang w:val="en-US"/>
        </w:rPr>
        <w:t xml:space="preserve">) </w:t>
      </w:r>
      <w:r w:rsidR="005C3EA8" w:rsidRPr="005C3EA8">
        <w:rPr>
          <w:lang w:val="en-US"/>
        </w:rPr>
        <w:t xml:space="preserve">and </w:t>
      </w:r>
      <w:proofErr w:type="spellStart"/>
      <w:r w:rsidR="005C3EA8" w:rsidRPr="005C3EA8">
        <w:rPr>
          <w:lang w:val="en-US"/>
        </w:rPr>
        <w:t>Mr</w:t>
      </w:r>
      <w:proofErr w:type="spellEnd"/>
      <w:r w:rsidR="005C3EA8" w:rsidRPr="005C3EA8">
        <w:rPr>
          <w:lang w:val="en-US"/>
        </w:rPr>
        <w:t xml:space="preserve"> Anthony Murillo </w:t>
      </w:r>
      <w:r w:rsidR="005C3EA8" w:rsidRPr="005C3EA8">
        <w:t xml:space="preserve">(Costa Rica) </w:t>
      </w:r>
      <w:r w:rsidR="005C3EA8">
        <w:t xml:space="preserve">as </w:t>
      </w:r>
      <w:r w:rsidR="005C3EA8" w:rsidRPr="005C3EA8">
        <w:t>Vice Chairs</w:t>
      </w:r>
      <w:r w:rsidR="005C3EA8">
        <w:t>.</w:t>
      </w:r>
    </w:p>
    <w:p w14:paraId="7BD92C44" w14:textId="7A71D0FF" w:rsidR="00164E4A" w:rsidRPr="002B6ED7" w:rsidRDefault="0006480C" w:rsidP="00AF7142">
      <w:pPr>
        <w:pStyle w:val="ListParagraph1"/>
        <w:numPr>
          <w:ilvl w:val="0"/>
          <w:numId w:val="13"/>
        </w:numPr>
        <w:tabs>
          <w:tab w:val="left" w:pos="709"/>
        </w:tabs>
      </w:pPr>
      <w:r w:rsidRPr="002B6ED7">
        <w:tab/>
      </w:r>
      <w:r>
        <w:t>Mr Metayer</w:t>
      </w:r>
      <w:r w:rsidR="008E0C42" w:rsidRPr="002B6ED7">
        <w:t xml:space="preserve"> highlighted that</w:t>
      </w:r>
      <w:r>
        <w:t>,</w:t>
      </w:r>
      <w:r w:rsidR="008E0C42" w:rsidRPr="002B6ED7">
        <w:t xml:space="preserve"> </w:t>
      </w:r>
      <w:r>
        <w:t xml:space="preserve">as of June 2024, </w:t>
      </w:r>
      <w:r w:rsidRPr="0006480C">
        <w:t xml:space="preserve">21 </w:t>
      </w:r>
      <w:r>
        <w:t>c</w:t>
      </w:r>
      <w:r w:rsidRPr="0006480C">
        <w:t>ommunities</w:t>
      </w:r>
      <w:r>
        <w:t xml:space="preserve"> have been recognised</w:t>
      </w:r>
      <w:r w:rsidRPr="0006480C">
        <w:t xml:space="preserve"> UNESCO</w:t>
      </w:r>
      <w:r>
        <w:t>-</w:t>
      </w:r>
      <w:r w:rsidRPr="0006480C">
        <w:t>IOC Tsunami Ready</w:t>
      </w:r>
      <w:r>
        <w:t xml:space="preserve">, He also noted that there are </w:t>
      </w:r>
      <w:r w:rsidRPr="0006480C">
        <w:t xml:space="preserve">49 </w:t>
      </w:r>
      <w:r>
        <w:t>United States</w:t>
      </w:r>
      <w:r w:rsidRPr="0006480C">
        <w:t xml:space="preserve"> </w:t>
      </w:r>
      <w:proofErr w:type="spellStart"/>
      <w:r w:rsidRPr="0006480C">
        <w:t>TsunamiReady</w:t>
      </w:r>
      <w:proofErr w:type="spellEnd"/>
      <w:r w:rsidRPr="0006480C">
        <w:t xml:space="preserve"> communities</w:t>
      </w:r>
      <w:r>
        <w:t xml:space="preserve"> recognised </w:t>
      </w:r>
      <w:r w:rsidRPr="0006480C">
        <w:t xml:space="preserve">in Puerto Rico and </w:t>
      </w:r>
      <w:r>
        <w:t>the United States Virgin Islands</w:t>
      </w:r>
      <w:r w:rsidR="00BB3B10" w:rsidRPr="002B6ED7">
        <w:t>.</w:t>
      </w:r>
    </w:p>
    <w:p w14:paraId="33C8757E" w14:textId="53F607E6" w:rsidR="00DC6D60" w:rsidRPr="006109F7" w:rsidRDefault="00DC6D60" w:rsidP="002C08F7">
      <w:pPr>
        <w:pStyle w:val="Heading1"/>
        <w:numPr>
          <w:ilvl w:val="0"/>
          <w:numId w:val="0"/>
        </w:numPr>
        <w:ind w:left="720"/>
        <w:rPr>
          <w:lang w:val="en-US"/>
        </w:rPr>
      </w:pPr>
      <w:bookmarkStart w:id="89" w:name="_Toc195258096"/>
      <w:bookmarkStart w:id="90" w:name="_Hlk64970161"/>
      <w:r w:rsidRPr="006109F7">
        <w:rPr>
          <w:lang w:val="en-US"/>
        </w:rPr>
        <w:t>2.1.2</w:t>
      </w:r>
      <w:r w:rsidRPr="006109F7">
        <w:rPr>
          <w:lang w:val="en-US"/>
        </w:rPr>
        <w:tab/>
      </w:r>
      <w:r w:rsidR="001B5589" w:rsidRPr="006109F7">
        <w:rPr>
          <w:lang w:val="en-US"/>
        </w:rPr>
        <w:t xml:space="preserve">Indian Ocean Tsunami Warning and Mitigation System </w:t>
      </w:r>
      <w:r w:rsidRPr="006109F7">
        <w:rPr>
          <w:lang w:val="en-US"/>
        </w:rPr>
        <w:t>(IOTWMS</w:t>
      </w:r>
      <w:r w:rsidR="004D5321">
        <w:rPr>
          <w:lang w:val="en-US"/>
        </w:rPr>
        <w:t>)</w:t>
      </w:r>
      <w:bookmarkEnd w:id="89"/>
    </w:p>
    <w:p w14:paraId="51CA011A" w14:textId="538623CA" w:rsidR="00DC6D60" w:rsidRPr="00536144" w:rsidRDefault="0006480C" w:rsidP="0006480C">
      <w:pPr>
        <w:pStyle w:val="ListParagraph1"/>
        <w:numPr>
          <w:ilvl w:val="0"/>
          <w:numId w:val="13"/>
        </w:numPr>
        <w:tabs>
          <w:tab w:val="left" w:pos="709"/>
        </w:tabs>
        <w:ind w:hanging="709"/>
      </w:pPr>
      <w:r w:rsidRPr="002B6ED7">
        <w:tab/>
      </w:r>
      <w:r w:rsidR="007E4A87">
        <w:t xml:space="preserve">Mr </w:t>
      </w:r>
      <w:proofErr w:type="spellStart"/>
      <w:r w:rsidRPr="0006480C">
        <w:t>Pattabhi</w:t>
      </w:r>
      <w:proofErr w:type="spellEnd"/>
      <w:r w:rsidRPr="0006480C">
        <w:t xml:space="preserve"> Rama Rao </w:t>
      </w:r>
      <w:proofErr w:type="spellStart"/>
      <w:r w:rsidRPr="0006480C">
        <w:t>E</w:t>
      </w:r>
      <w:r>
        <w:t>luri</w:t>
      </w:r>
      <w:proofErr w:type="spellEnd"/>
      <w:r w:rsidRPr="0006480C">
        <w:t xml:space="preserve"> (India) Chair of the Intergovernmental Coordination Group for the Indian Ocean Tsunami Warning and Mitigation System (ICG/IOTWMS) </w:t>
      </w:r>
      <w:r w:rsidR="004D5321" w:rsidRPr="002B6ED7">
        <w:t xml:space="preserve">presented the </w:t>
      </w:r>
      <w:hyperlink r:id="rId27" w:history="1">
        <w:r w:rsidRPr="0006480C">
          <w:rPr>
            <w:rStyle w:val="Hyperlink"/>
          </w:rPr>
          <w:t>report</w:t>
        </w:r>
      </w:hyperlink>
      <w:r w:rsidRPr="0006480C">
        <w:t xml:space="preserve"> </w:t>
      </w:r>
      <w:r w:rsidR="004D5321" w:rsidRPr="002B6ED7">
        <w:t xml:space="preserve">on this agenda item (available as a </w:t>
      </w:r>
      <w:hyperlink r:id="rId28" w:history="1">
        <w:r w:rsidR="004D5321" w:rsidRPr="002B6ED7">
          <w:t>presentation</w:t>
        </w:r>
      </w:hyperlink>
      <w:r w:rsidR="004D5321" w:rsidRPr="002B6ED7">
        <w:t>).</w:t>
      </w:r>
    </w:p>
    <w:p w14:paraId="6787D27B" w14:textId="701B7519" w:rsidR="00CE63F1" w:rsidRDefault="00EB2D3B" w:rsidP="001678F2">
      <w:pPr>
        <w:pStyle w:val="ListParagraph1"/>
        <w:numPr>
          <w:ilvl w:val="0"/>
          <w:numId w:val="13"/>
        </w:numPr>
        <w:tabs>
          <w:tab w:val="left" w:pos="709"/>
        </w:tabs>
      </w:pPr>
      <w:bookmarkStart w:id="91" w:name="_Hlk194824036"/>
      <w:r w:rsidRPr="002B6ED7">
        <w:tab/>
      </w:r>
      <w:bookmarkEnd w:id="91"/>
      <w:r w:rsidR="00CE63F1">
        <w:t xml:space="preserve">Mr </w:t>
      </w:r>
      <w:proofErr w:type="spellStart"/>
      <w:r w:rsidR="00CE63F1">
        <w:t>Eluri</w:t>
      </w:r>
      <w:proofErr w:type="spellEnd"/>
      <w:r w:rsidR="00CE63F1">
        <w:t xml:space="preserve"> noted that in the context of </w:t>
      </w:r>
      <w:r w:rsidR="00CE63F1" w:rsidRPr="002B6ED7">
        <w:t>the 20th commemoration of the 2004 Indian Ocean Tsunami</w:t>
      </w:r>
      <w:r w:rsidR="00CE63F1">
        <w:t xml:space="preserve"> the</w:t>
      </w:r>
      <w:r w:rsidR="00CE63F1" w:rsidRPr="002B6ED7">
        <w:t xml:space="preserve"> ICG/IOTWMS </w:t>
      </w:r>
      <w:r w:rsidR="00CE63F1">
        <w:t xml:space="preserve">supported the </w:t>
      </w:r>
      <w:r w:rsidR="00CE63F1" w:rsidRPr="004C69F4">
        <w:t>UNESCO-IOC 2nd Global Tsunami Symposium, Banda Aceh, Indonesia (10-14 Nov 2024)</w:t>
      </w:r>
      <w:r w:rsidR="00CE63F1">
        <w:t xml:space="preserve"> and organised the </w:t>
      </w:r>
      <w:hyperlink r:id="rId29" w:history="1">
        <w:r w:rsidR="00CE63F1" w:rsidRPr="00CE63F1">
          <w:rPr>
            <w:rStyle w:val="Hyperlink"/>
          </w:rPr>
          <w:t>Fourteenth session of the CG/IOTWMS</w:t>
        </w:r>
      </w:hyperlink>
      <w:r w:rsidR="00CE63F1">
        <w:t>,</w:t>
      </w:r>
      <w:r w:rsidR="00CE63F1" w:rsidRPr="00CE63F1">
        <w:t xml:space="preserve"> 17 - 19 November 2024</w:t>
      </w:r>
      <w:r w:rsidR="00CE63F1">
        <w:t xml:space="preserve">, Banten, Indonesia, </w:t>
      </w:r>
      <w:r w:rsidR="00CE63F1" w:rsidRPr="00CE63F1">
        <w:t>attended by 77 delegates from 19 Indian Ocean Member States</w:t>
      </w:r>
      <w:r w:rsidR="00CE63F1">
        <w:t xml:space="preserve">, representatives of </w:t>
      </w:r>
      <w:r w:rsidR="00CE63F1" w:rsidRPr="00CE63F1">
        <w:t>UNESCAP, 6 invited experts and 16 observers.</w:t>
      </w:r>
      <w:r w:rsidR="00CE63F1">
        <w:t xml:space="preserve"> The meeting elected </w:t>
      </w:r>
      <w:r w:rsidR="00CE63F1" w:rsidRPr="00CE63F1">
        <w:t xml:space="preserve">Mr </w:t>
      </w:r>
      <w:proofErr w:type="spellStart"/>
      <w:r w:rsidR="00CE63F1" w:rsidRPr="00CE63F1">
        <w:t>Pattabhi</w:t>
      </w:r>
      <w:proofErr w:type="spellEnd"/>
      <w:r w:rsidR="00CE63F1" w:rsidRPr="00CE63F1">
        <w:t xml:space="preserve"> Rama Rao </w:t>
      </w:r>
      <w:proofErr w:type="spellStart"/>
      <w:r w:rsidR="00CE63F1" w:rsidRPr="00CE63F1">
        <w:t>Eluri</w:t>
      </w:r>
      <w:proofErr w:type="spellEnd"/>
      <w:r w:rsidR="00CE63F1" w:rsidRPr="00CE63F1">
        <w:t xml:space="preserve"> (India) as Chair, and Dr Yuelong Miao (Australia) and Dr Harkunti Pertiwi Rahayu (Indonesia) as Vice-chairs.</w:t>
      </w:r>
    </w:p>
    <w:p w14:paraId="42254027" w14:textId="5442825A" w:rsidR="0099769A" w:rsidRPr="002907F8" w:rsidRDefault="00CE63F1" w:rsidP="001678F2">
      <w:pPr>
        <w:pStyle w:val="ListParagraph1"/>
        <w:numPr>
          <w:ilvl w:val="0"/>
          <w:numId w:val="13"/>
        </w:numPr>
        <w:tabs>
          <w:tab w:val="left" w:pos="709"/>
        </w:tabs>
      </w:pPr>
      <w:r w:rsidRPr="002B6ED7">
        <w:tab/>
      </w:r>
      <w:r w:rsidR="00887B6D">
        <w:t>He</w:t>
      </w:r>
      <w:r w:rsidR="00EB2D3B" w:rsidRPr="002B6ED7">
        <w:t xml:space="preserve"> </w:t>
      </w:r>
      <w:r w:rsidR="00B14E83">
        <w:t>provided</w:t>
      </w:r>
      <w:r w:rsidR="00887B6D">
        <w:t xml:space="preserve"> status reports and </w:t>
      </w:r>
      <w:proofErr w:type="gramStart"/>
      <w:r w:rsidR="00B14E83">
        <w:t>future plans</w:t>
      </w:r>
      <w:proofErr w:type="gramEnd"/>
      <w:r w:rsidR="00B14E83" w:rsidRPr="00B14E83">
        <w:t xml:space="preserve"> </w:t>
      </w:r>
      <w:r w:rsidR="00B14E83">
        <w:t xml:space="preserve">of </w:t>
      </w:r>
      <w:proofErr w:type="spellStart"/>
      <w:r w:rsidR="00B14E83">
        <w:t>thr</w:t>
      </w:r>
      <w:proofErr w:type="spellEnd"/>
      <w:r w:rsidR="00B14E83">
        <w:t xml:space="preserve"> </w:t>
      </w:r>
      <w:r w:rsidR="00B14E83" w:rsidRPr="00DC6D60">
        <w:t xml:space="preserve">three operational </w:t>
      </w:r>
      <w:r w:rsidR="00B14E83">
        <w:t xml:space="preserve">Tsunami Service Providers (TSPs) hosted by </w:t>
      </w:r>
      <w:r w:rsidR="00B14E83" w:rsidRPr="00DC6D60">
        <w:t xml:space="preserve">Australia, India, and </w:t>
      </w:r>
      <w:r w:rsidR="00B14E83" w:rsidRPr="002B6ED7">
        <w:t>Indonesia</w:t>
      </w:r>
      <w:r w:rsidR="00B14E83">
        <w:t xml:space="preserve">, and noted that </w:t>
      </w:r>
      <w:r w:rsidR="00B14E83" w:rsidRPr="00B14E83">
        <w:t xml:space="preserve">36 </w:t>
      </w:r>
      <w:r w:rsidR="00B14E83">
        <w:t>n</w:t>
      </w:r>
      <w:r w:rsidR="00B14E83" w:rsidRPr="00B14E83">
        <w:t xml:space="preserve">ew communities of India </w:t>
      </w:r>
      <w:r w:rsidR="00B14E83">
        <w:t>(</w:t>
      </w:r>
      <w:r w:rsidR="00B14E83" w:rsidRPr="00B14E83">
        <w:t>24</w:t>
      </w:r>
      <w:r w:rsidR="00B14E83">
        <w:t>)</w:t>
      </w:r>
      <w:r w:rsidR="00B14E83" w:rsidRPr="00B14E83">
        <w:t xml:space="preserve"> and</w:t>
      </w:r>
      <w:r w:rsidR="00B14E83">
        <w:t xml:space="preserve"> </w:t>
      </w:r>
      <w:r w:rsidR="00B14E83" w:rsidRPr="00B14E83">
        <w:t xml:space="preserve">Indonesia </w:t>
      </w:r>
      <w:r w:rsidR="00B14E83">
        <w:t>(</w:t>
      </w:r>
      <w:r w:rsidR="00B14E83" w:rsidRPr="00B14E83">
        <w:t>12) were recognized as Tsunami</w:t>
      </w:r>
      <w:r w:rsidR="00B14E83">
        <w:t xml:space="preserve"> </w:t>
      </w:r>
      <w:r w:rsidR="00B14E83" w:rsidRPr="00B14E83">
        <w:t>Ready at the 2nd UNESCO-IOC Global Tsunami Symposium</w:t>
      </w:r>
      <w:r w:rsidR="00B14E83">
        <w:t>, to complete 48 Tsunami Ready communities recognised in the Indian Ocean.</w:t>
      </w:r>
    </w:p>
    <w:p w14:paraId="51101C8B" w14:textId="7948EA7C" w:rsidR="00685654" w:rsidRPr="002E7E76" w:rsidRDefault="002907F8" w:rsidP="00B14E83">
      <w:pPr>
        <w:pStyle w:val="ListParagraph1"/>
        <w:numPr>
          <w:ilvl w:val="0"/>
          <w:numId w:val="13"/>
        </w:numPr>
        <w:tabs>
          <w:tab w:val="left" w:pos="709"/>
        </w:tabs>
        <w:ind w:hanging="709"/>
      </w:pPr>
      <w:r>
        <w:tab/>
      </w:r>
      <w:r w:rsidR="00F2230E" w:rsidRPr="00923F0A">
        <w:t xml:space="preserve">He also </w:t>
      </w:r>
      <w:r w:rsidR="00B14E83">
        <w:t xml:space="preserve">reported on the activities of </w:t>
      </w:r>
      <w:r w:rsidR="0061057C">
        <w:t xml:space="preserve">the </w:t>
      </w:r>
      <w:r w:rsidR="00EE1EF1">
        <w:t xml:space="preserve">UNESCAP </w:t>
      </w:r>
      <w:r w:rsidR="00B14E83">
        <w:t>project on “</w:t>
      </w:r>
      <w:r w:rsidR="00B14E83" w:rsidRPr="00B14E83">
        <w:t>Strengthening tsunami warning in the North- West Indian Ocean through regional cooperation</w:t>
      </w:r>
      <w:r w:rsidR="00B14E83">
        <w:t>”</w:t>
      </w:r>
      <w:r w:rsidR="00EE1EF1">
        <w:t xml:space="preserve">, </w:t>
      </w:r>
      <w:r w:rsidR="00B14E83">
        <w:t>including a very significant work on capacity development</w:t>
      </w:r>
      <w:r w:rsidR="00685654" w:rsidRPr="002B6ED7">
        <w:t>.</w:t>
      </w:r>
    </w:p>
    <w:p w14:paraId="2041D6B7" w14:textId="47D2A5C6" w:rsidR="0002447C" w:rsidRPr="0002447C" w:rsidRDefault="002E7E76" w:rsidP="00AF08B2">
      <w:pPr>
        <w:pStyle w:val="ListParagraph1"/>
        <w:numPr>
          <w:ilvl w:val="0"/>
          <w:numId w:val="13"/>
        </w:numPr>
        <w:tabs>
          <w:tab w:val="left" w:pos="709"/>
        </w:tabs>
      </w:pPr>
      <w:r>
        <w:tab/>
      </w:r>
      <w:r w:rsidR="00B14E83">
        <w:t xml:space="preserve">He noted that </w:t>
      </w:r>
      <w:r w:rsidR="00B14E83" w:rsidRPr="00B14E83">
        <w:t xml:space="preserve">ICG/IOTWMS </w:t>
      </w:r>
      <w:r w:rsidR="004C69F4" w:rsidRPr="00B14E83">
        <w:t xml:space="preserve">conducted </w:t>
      </w:r>
      <w:r w:rsidR="004C69F4">
        <w:t>a</w:t>
      </w:r>
      <w:r w:rsidR="004C69F4" w:rsidRPr="00B14E83">
        <w:t xml:space="preserve"> 2024</w:t>
      </w:r>
      <w:r w:rsidR="00B14E83" w:rsidRPr="00B14E83">
        <w:t xml:space="preserve"> UNESCO-</w:t>
      </w:r>
      <w:r w:rsidR="004C69F4" w:rsidRPr="00B14E83">
        <w:t>IOC Capacity</w:t>
      </w:r>
      <w:r w:rsidR="00B14E83" w:rsidRPr="00B14E83">
        <w:t xml:space="preserve"> Assessment of Tsunami Preparedness in the Indian Ocean to track regional change and to identify gaps and challenges that could be addressed through future projects and activities</w:t>
      </w:r>
      <w:r w:rsidR="00B14E83">
        <w:t xml:space="preserve">.  </w:t>
      </w:r>
      <w:r w:rsidR="00B14E83" w:rsidRPr="00B14E83">
        <w:t xml:space="preserve">Survey responses from twenty-two (22) Member States </w:t>
      </w:r>
      <w:r w:rsidR="00B14E83">
        <w:t>were</w:t>
      </w:r>
      <w:r w:rsidR="00B14E83" w:rsidRPr="00B14E83">
        <w:t xml:space="preserve"> received.</w:t>
      </w:r>
      <w:r w:rsidR="00B14E83">
        <w:t xml:space="preserve"> </w:t>
      </w:r>
      <w:r w:rsidR="00B14E83" w:rsidRPr="00B14E83">
        <w:t xml:space="preserve">The University of Huddersfield analysed the data and compared </w:t>
      </w:r>
      <w:r w:rsidR="004C69F4">
        <w:t xml:space="preserve">it </w:t>
      </w:r>
      <w:r w:rsidR="00B14E83" w:rsidRPr="00B14E83">
        <w:t>with the results of the 2018 Assessment to produce a draft report</w:t>
      </w:r>
      <w:r w:rsidR="00B14E83">
        <w:t xml:space="preserve"> that was an input to the </w:t>
      </w:r>
      <w:r w:rsidR="00B14E83" w:rsidRPr="00B14E83">
        <w:t xml:space="preserve">Capacity Assessment Team meeting in Bangkok from 4–6 September </w:t>
      </w:r>
      <w:r w:rsidR="004C69F4">
        <w:t xml:space="preserve">2024, </w:t>
      </w:r>
      <w:r w:rsidR="00B14E83" w:rsidRPr="00B14E83">
        <w:t>supported by the ESCAP Tsunami Trust Fund and the Asian Development Bank.</w:t>
      </w:r>
    </w:p>
    <w:p w14:paraId="7FBB8137" w14:textId="143BC46D" w:rsidR="00994B9B" w:rsidRPr="006109F7" w:rsidRDefault="00E24587" w:rsidP="00A45607">
      <w:pPr>
        <w:pStyle w:val="Heading1"/>
        <w:numPr>
          <w:ilvl w:val="0"/>
          <w:numId w:val="0"/>
        </w:numPr>
        <w:ind w:left="720"/>
        <w:rPr>
          <w:lang w:val="en-US"/>
        </w:rPr>
      </w:pPr>
      <w:bookmarkStart w:id="92" w:name="_Toc195258097"/>
      <w:bookmarkEnd w:id="90"/>
      <w:r w:rsidRPr="006109F7">
        <w:rPr>
          <w:lang w:val="en-US"/>
        </w:rPr>
        <w:t xml:space="preserve">2.1.3 </w:t>
      </w:r>
      <w:r w:rsidRPr="006109F7">
        <w:rPr>
          <w:lang w:val="en-US"/>
        </w:rPr>
        <w:tab/>
      </w:r>
      <w:r w:rsidR="001B5589" w:rsidRPr="006109F7">
        <w:rPr>
          <w:lang w:val="en-US"/>
        </w:rPr>
        <w:t xml:space="preserve">Tsunami Early Warning and Mitigation System in the North-Eastern Atlantic, the Mediterranean and Connected Seas </w:t>
      </w:r>
      <w:r w:rsidRPr="006109F7">
        <w:rPr>
          <w:lang w:val="en-US"/>
        </w:rPr>
        <w:t>(NEAMTWS)</w:t>
      </w:r>
      <w:bookmarkEnd w:id="92"/>
    </w:p>
    <w:p w14:paraId="77E09093" w14:textId="5107409A" w:rsidR="00C84671" w:rsidRDefault="002A1091" w:rsidP="00D97572">
      <w:pPr>
        <w:pStyle w:val="ListParagraph1"/>
        <w:numPr>
          <w:ilvl w:val="0"/>
          <w:numId w:val="13"/>
        </w:numPr>
        <w:tabs>
          <w:tab w:val="left" w:pos="709"/>
        </w:tabs>
        <w:ind w:hanging="709"/>
      </w:pPr>
      <w:r w:rsidRPr="002B6ED7">
        <w:lastRenderedPageBreak/>
        <w:tab/>
      </w:r>
      <w:r w:rsidR="00D97572" w:rsidRPr="00D97572">
        <w:t>Mr Alessandro Amato (Italy), Chair of the Intergovernmental Coordination Group for Tsunami Early Warning and Mitigation System in the North-Eastern Atlantic, the Mediterranean and Connected Seas (ICG/NEAMTWS).</w:t>
      </w:r>
      <w:r w:rsidR="001750F2" w:rsidRPr="002B6ED7">
        <w:t xml:space="preserve"> </w:t>
      </w:r>
      <w:r w:rsidR="00D97572" w:rsidRPr="002B6ED7">
        <w:t>P</w:t>
      </w:r>
      <w:r w:rsidR="001750F2" w:rsidRPr="002B6ED7">
        <w:t>resented</w:t>
      </w:r>
      <w:r w:rsidR="00D97572">
        <w:t xml:space="preserve"> the</w:t>
      </w:r>
      <w:r w:rsidR="001750F2" w:rsidRPr="002B6ED7">
        <w:t xml:space="preserve"> </w:t>
      </w:r>
      <w:hyperlink r:id="rId30" w:history="1">
        <w:r w:rsidR="00D97572" w:rsidRPr="00D97572">
          <w:rPr>
            <w:rStyle w:val="Hyperlink"/>
            <w:lang w:val="en-US"/>
          </w:rPr>
          <w:t>report</w:t>
        </w:r>
      </w:hyperlink>
      <w:r w:rsidR="00D97572" w:rsidRPr="00D97572">
        <w:rPr>
          <w:lang w:val="en-US"/>
        </w:rPr>
        <w:t xml:space="preserve"> on this item</w:t>
      </w:r>
      <w:r w:rsidR="001750F2" w:rsidRPr="002B6ED7">
        <w:t xml:space="preserve"> (available as a </w:t>
      </w:r>
      <w:hyperlink r:id="rId31" w:history="1">
        <w:r w:rsidR="001750F2" w:rsidRPr="002B6ED7">
          <w:t>presentation</w:t>
        </w:r>
      </w:hyperlink>
      <w:r w:rsidR="001750F2" w:rsidRPr="002B6ED7">
        <w:t>)</w:t>
      </w:r>
      <w:r w:rsidR="00C84671" w:rsidRPr="00C84671">
        <w:t>.</w:t>
      </w:r>
    </w:p>
    <w:p w14:paraId="235E7233" w14:textId="2E41D197" w:rsidR="005D3C82" w:rsidRPr="002B6ED7" w:rsidRDefault="00524DE4" w:rsidP="002B6ED7">
      <w:pPr>
        <w:pStyle w:val="ListParagraph1"/>
        <w:numPr>
          <w:ilvl w:val="0"/>
          <w:numId w:val="13"/>
        </w:numPr>
        <w:tabs>
          <w:tab w:val="left" w:pos="709"/>
        </w:tabs>
        <w:ind w:hanging="709"/>
      </w:pPr>
      <w:r>
        <w:tab/>
      </w:r>
      <w:r w:rsidR="000E2ADB">
        <w:t>Mr Amato</w:t>
      </w:r>
      <w:r w:rsidR="00CC13EC">
        <w:t xml:space="preserve"> </w:t>
      </w:r>
      <w:r w:rsidR="000E2ADB">
        <w:t>reported on the outcomes of the</w:t>
      </w:r>
      <w:r w:rsidR="00300126">
        <w:t xml:space="preserve"> </w:t>
      </w:r>
      <w:hyperlink r:id="rId32" w:history="1">
        <w:r w:rsidR="000E2ADB" w:rsidRPr="00CE63F1">
          <w:rPr>
            <w:rStyle w:val="Hyperlink"/>
          </w:rPr>
          <w:t>Nineteenth Session</w:t>
        </w:r>
        <w:r w:rsidR="00300126" w:rsidRPr="00CE63F1">
          <w:rPr>
            <w:rStyle w:val="Hyperlink"/>
          </w:rPr>
          <w:t xml:space="preserve"> of ICG/NEAMTWS</w:t>
        </w:r>
      </w:hyperlink>
      <w:r w:rsidR="000E2ADB">
        <w:t>,</w:t>
      </w:r>
      <w:r w:rsidR="00300126">
        <w:t xml:space="preserve"> </w:t>
      </w:r>
      <w:r w:rsidR="000E2ADB" w:rsidRPr="000E2ADB">
        <w:t xml:space="preserve">27-29 November 2024, UNESCO Headquarters, Paris, France attended by 67 </w:t>
      </w:r>
      <w:r w:rsidR="000E2ADB">
        <w:t>participants</w:t>
      </w:r>
      <w:r w:rsidR="000E2ADB" w:rsidRPr="000E2ADB">
        <w:t>, including 5 online. Representatives from 17 Member States took part, including Tunisia and Algeria after a long absence. Additionally, two international organizations —DG ECHO and the Joint Research Center (JRC) of the European Commission</w:t>
      </w:r>
      <w:r w:rsidR="000E2ADB">
        <w:t xml:space="preserve"> were present</w:t>
      </w:r>
      <w:r w:rsidR="000E2ADB" w:rsidRPr="000E2ADB">
        <w:t>.</w:t>
      </w:r>
    </w:p>
    <w:p w14:paraId="6C934C84" w14:textId="6F809159" w:rsidR="00914A12" w:rsidRPr="00914A12" w:rsidRDefault="00F257DD" w:rsidP="00914A12">
      <w:pPr>
        <w:pStyle w:val="ListParagraph1"/>
        <w:numPr>
          <w:ilvl w:val="0"/>
          <w:numId w:val="13"/>
        </w:numPr>
      </w:pPr>
      <w:r>
        <w:tab/>
      </w:r>
      <w:r w:rsidR="000E2ADB">
        <w:t xml:space="preserve">He noted that </w:t>
      </w:r>
      <w:r w:rsidR="00A726DA">
        <w:t xml:space="preserve">the </w:t>
      </w:r>
      <w:r w:rsidR="00F33A67">
        <w:t>UNESCO/IOC</w:t>
      </w:r>
      <w:r w:rsidR="00B73F98" w:rsidRPr="00F079BD">
        <w:t xml:space="preserve"> European Union Directorate-General for European Civil Protection and Humanitarian Aid Operations (DG-ECHO) ‘</w:t>
      </w:r>
      <w:proofErr w:type="spellStart"/>
      <w:r w:rsidR="00B73F98" w:rsidRPr="00F079BD">
        <w:t>CoastWAVE</w:t>
      </w:r>
      <w:proofErr w:type="spellEnd"/>
      <w:r w:rsidR="00B73F98" w:rsidRPr="00F079BD">
        <w:t xml:space="preserve">’ </w:t>
      </w:r>
      <w:r w:rsidR="00914A12" w:rsidRPr="00F079BD">
        <w:t>project “</w:t>
      </w:r>
      <w:r w:rsidR="00B73F98" w:rsidRPr="00F079BD">
        <w:t>Strengthening the Resilience of Coastal Communities in the North-East Atlantic and Mediterranean Region to the Impact of Tsunamis and Other Sea Level Related Coastal Hazard</w:t>
      </w:r>
      <w:r w:rsidR="000E2ADB">
        <w:t xml:space="preserve">” had its final workshop </w:t>
      </w:r>
      <w:r w:rsidR="000E2ADB" w:rsidRPr="000E2ADB">
        <w:t>Alexandria, Egypt, 24-25 May 2024</w:t>
      </w:r>
      <w:r w:rsidR="00C6603E">
        <w:t>.</w:t>
      </w:r>
      <w:r w:rsidR="000E2ADB">
        <w:t xml:space="preserve"> </w:t>
      </w:r>
      <w:r w:rsidR="00914A12">
        <w:t xml:space="preserve">It will be followed </w:t>
      </w:r>
      <w:r w:rsidR="00EE3827">
        <w:t xml:space="preserve">by </w:t>
      </w:r>
      <w:r w:rsidR="00914A12" w:rsidRPr="00DC7698">
        <w:rPr>
          <w:lang w:val="en-US"/>
        </w:rPr>
        <w:t xml:space="preserve">Phase II of the new </w:t>
      </w:r>
      <w:proofErr w:type="spellStart"/>
      <w:r w:rsidR="00914A12" w:rsidRPr="00DC7698">
        <w:rPr>
          <w:lang w:val="en-US"/>
        </w:rPr>
        <w:t>CoastWAVE</w:t>
      </w:r>
      <w:proofErr w:type="spellEnd"/>
      <w:r w:rsidR="00914A12" w:rsidRPr="00DC7698">
        <w:rPr>
          <w:lang w:val="en-US"/>
        </w:rPr>
        <w:t xml:space="preserve"> Project (</w:t>
      </w:r>
      <w:proofErr w:type="spellStart"/>
      <w:r w:rsidR="00914A12" w:rsidRPr="00DC7698">
        <w:rPr>
          <w:lang w:val="en-US"/>
        </w:rPr>
        <w:t>CoastWAVE</w:t>
      </w:r>
      <w:proofErr w:type="spellEnd"/>
      <w:r w:rsidR="00914A12" w:rsidRPr="00DC7698">
        <w:rPr>
          <w:lang w:val="en-US"/>
        </w:rPr>
        <w:t xml:space="preserve"> 2.0) ‘Scaling-Up and Strengthening the Resilience of Coastal Communities in the NEAM</w:t>
      </w:r>
      <w:r w:rsidR="00EE3827" w:rsidRPr="00DC7698">
        <w:rPr>
          <w:lang w:val="en-US"/>
        </w:rPr>
        <w:t xml:space="preserve">, which has </w:t>
      </w:r>
      <w:r w:rsidR="00914A12" w:rsidRPr="00DC7698">
        <w:rPr>
          <w:lang w:val="en-US"/>
        </w:rPr>
        <w:t>its kick-off workshop on 6 November 2024</w:t>
      </w:r>
      <w:r w:rsidR="00EE3827">
        <w:t xml:space="preserve">. </w:t>
      </w:r>
    </w:p>
    <w:p w14:paraId="214AAAAE" w14:textId="27D076B3" w:rsidR="00685F31" w:rsidRPr="002B6ED7" w:rsidRDefault="00863289" w:rsidP="00914A12">
      <w:pPr>
        <w:pStyle w:val="ListParagraph1"/>
        <w:numPr>
          <w:ilvl w:val="0"/>
          <w:numId w:val="13"/>
        </w:numPr>
        <w:tabs>
          <w:tab w:val="left" w:pos="709"/>
        </w:tabs>
        <w:ind w:hanging="709"/>
      </w:pPr>
      <w:r w:rsidRPr="00685F31">
        <w:tab/>
      </w:r>
      <w:r w:rsidR="000E2ADB">
        <w:t xml:space="preserve">Mr Amato reported on </w:t>
      </w:r>
      <w:r w:rsidR="00914A12">
        <w:t xml:space="preserve">the </w:t>
      </w:r>
      <w:r w:rsidR="00914A12" w:rsidRPr="00914A12">
        <w:t>Stromboli Workshop, Organized by INGV, Italy</w:t>
      </w:r>
      <w:r w:rsidR="00914A12">
        <w:t xml:space="preserve">, </w:t>
      </w:r>
      <w:r w:rsidR="00914A12" w:rsidRPr="00914A12">
        <w:t>5-7 October 2024</w:t>
      </w:r>
      <w:r w:rsidR="001E07A6" w:rsidRPr="00E22275">
        <w:t>.</w:t>
      </w:r>
      <w:r w:rsidR="00685F31" w:rsidRPr="00E22275">
        <w:t xml:space="preserve"> </w:t>
      </w:r>
      <w:r w:rsidR="00914A12">
        <w:t>With 80 international experts, and</w:t>
      </w:r>
      <w:r w:rsidR="00914A12" w:rsidRPr="00914A12">
        <w:t xml:space="preserve"> focused on volcanic tsunami observations, </w:t>
      </w:r>
      <w:proofErr w:type="spellStart"/>
      <w:r w:rsidR="00914A12" w:rsidRPr="00914A12">
        <w:t>modeling</w:t>
      </w:r>
      <w:proofErr w:type="spellEnd"/>
      <w:r w:rsidR="00914A12" w:rsidRPr="00914A12">
        <w:t>, hazard assessment, and forecasting</w:t>
      </w:r>
      <w:r w:rsidR="00914A12">
        <w:t>.</w:t>
      </w:r>
    </w:p>
    <w:p w14:paraId="180468FD" w14:textId="697E097A" w:rsidR="00914A12" w:rsidRPr="00914A12" w:rsidRDefault="001B704A" w:rsidP="00914A12">
      <w:pPr>
        <w:pStyle w:val="ListParagraph1"/>
        <w:numPr>
          <w:ilvl w:val="0"/>
          <w:numId w:val="13"/>
        </w:numPr>
        <w:tabs>
          <w:tab w:val="left" w:pos="709"/>
        </w:tabs>
        <w:ind w:hanging="709"/>
        <w:rPr>
          <w:lang w:val="en-US"/>
        </w:rPr>
      </w:pPr>
      <w:r>
        <w:tab/>
      </w:r>
      <w:r w:rsidR="00914A12">
        <w:t>He highlighted the confirmed initiative of a n</w:t>
      </w:r>
      <w:r w:rsidR="00914A12" w:rsidRPr="00914A12">
        <w:t>ew Submarine Cable Ring connecting Portugal Mainland-Azores-Madeira</w:t>
      </w:r>
      <w:r w:rsidR="00914A12">
        <w:t xml:space="preserve"> (CAM), s</w:t>
      </w:r>
      <w:r w:rsidR="00914A12" w:rsidRPr="00914A12">
        <w:t>upported by Portugal</w:t>
      </w:r>
      <w:r w:rsidR="00914A12">
        <w:t>, and including observing systems that would support tsunami detection, and expected to be o</w:t>
      </w:r>
      <w:r w:rsidR="00914A12" w:rsidRPr="00914A12">
        <w:t xml:space="preserve">perational in </w:t>
      </w:r>
      <w:r w:rsidR="00914A12">
        <w:t xml:space="preserve">the </w:t>
      </w:r>
      <w:r w:rsidR="00914A12" w:rsidRPr="00914A12">
        <w:t>second half of 2026</w:t>
      </w:r>
      <w:r w:rsidR="00914A12">
        <w:t xml:space="preserve">. He also highlighted that </w:t>
      </w:r>
      <w:r w:rsidR="00914A12" w:rsidRPr="00914A12">
        <w:rPr>
          <w:lang w:val="en-US"/>
        </w:rPr>
        <w:t xml:space="preserve">2 tsunami buoys will be installed in the Ionian Sea in July 2025 </w:t>
      </w:r>
      <w:r w:rsidR="00914A12">
        <w:rPr>
          <w:lang w:val="en-US"/>
        </w:rPr>
        <w:t xml:space="preserve">by </w:t>
      </w:r>
      <w:r w:rsidR="00914A12" w:rsidRPr="00914A12">
        <w:rPr>
          <w:lang w:val="en-US"/>
        </w:rPr>
        <w:t xml:space="preserve">INGV </w:t>
      </w:r>
      <w:r w:rsidR="00914A12">
        <w:rPr>
          <w:lang w:val="en-US"/>
        </w:rPr>
        <w:t xml:space="preserve">and </w:t>
      </w:r>
      <w:r w:rsidR="00914A12" w:rsidRPr="00914A12">
        <w:rPr>
          <w:lang w:val="en-US"/>
        </w:rPr>
        <w:t>MSM-</w:t>
      </w:r>
      <w:proofErr w:type="spellStart"/>
      <w:r w:rsidR="00914A12" w:rsidRPr="00914A12">
        <w:rPr>
          <w:lang w:val="en-US"/>
        </w:rPr>
        <w:t>Sonardyne</w:t>
      </w:r>
      <w:proofErr w:type="spellEnd"/>
      <w:r w:rsidR="00914A12" w:rsidRPr="00914A12">
        <w:rPr>
          <w:lang w:val="en-US"/>
        </w:rPr>
        <w:t xml:space="preserve">), </w:t>
      </w:r>
      <w:proofErr w:type="gramStart"/>
      <w:r w:rsidR="00914A12" w:rsidRPr="00914A12">
        <w:rPr>
          <w:lang w:val="en-US"/>
        </w:rPr>
        <w:t>at</w:t>
      </w:r>
      <w:proofErr w:type="gramEnd"/>
      <w:r w:rsidR="00914A12" w:rsidRPr="00914A12">
        <w:rPr>
          <w:lang w:val="en-US"/>
        </w:rPr>
        <w:t xml:space="preserve"> 2000 and 3500 m depth</w:t>
      </w:r>
      <w:r w:rsidR="00914A12">
        <w:rPr>
          <w:lang w:val="en-US"/>
        </w:rPr>
        <w:t xml:space="preserve">. These will be the </w:t>
      </w:r>
      <w:r w:rsidR="00914A12" w:rsidRPr="00914A12">
        <w:rPr>
          <w:lang w:val="en-US"/>
        </w:rPr>
        <w:t xml:space="preserve">first </w:t>
      </w:r>
      <w:r w:rsidR="00914A12">
        <w:rPr>
          <w:lang w:val="en-US"/>
        </w:rPr>
        <w:t xml:space="preserve">tsunami buoys </w:t>
      </w:r>
      <w:r w:rsidR="00914A12" w:rsidRPr="00914A12">
        <w:rPr>
          <w:lang w:val="en-US"/>
        </w:rPr>
        <w:t xml:space="preserve">in </w:t>
      </w:r>
      <w:r w:rsidR="00914A12">
        <w:rPr>
          <w:lang w:val="en-US"/>
        </w:rPr>
        <w:t xml:space="preserve">the </w:t>
      </w:r>
      <w:r w:rsidR="00914A12" w:rsidRPr="00914A12">
        <w:rPr>
          <w:lang w:val="en-US"/>
        </w:rPr>
        <w:t>NEAM region</w:t>
      </w:r>
      <w:r w:rsidR="00914A12">
        <w:rPr>
          <w:lang w:val="en-US"/>
        </w:rPr>
        <w:t>.</w:t>
      </w:r>
    </w:p>
    <w:p w14:paraId="5DBD819C" w14:textId="59CD679D" w:rsidR="00E24587" w:rsidRPr="00411533" w:rsidRDefault="00E24587" w:rsidP="00507DE9">
      <w:pPr>
        <w:pStyle w:val="Heading2"/>
        <w:numPr>
          <w:ilvl w:val="2"/>
          <w:numId w:val="18"/>
        </w:numPr>
        <w:rPr>
          <w:b/>
          <w:bCs w:val="0"/>
        </w:rPr>
      </w:pPr>
      <w:bookmarkStart w:id="93" w:name="_Hlk95813654"/>
      <w:r w:rsidRPr="00411533">
        <w:rPr>
          <w:b/>
          <w:bCs w:val="0"/>
        </w:rPr>
        <w:tab/>
      </w:r>
      <w:bookmarkStart w:id="94" w:name="_Toc195258098"/>
      <w:r w:rsidRPr="00411533">
        <w:rPr>
          <w:b/>
          <w:bCs w:val="0"/>
        </w:rPr>
        <w:t>Pacific Tsunami Warning and Mitigation System (PTWS)</w:t>
      </w:r>
      <w:bookmarkEnd w:id="94"/>
    </w:p>
    <w:p w14:paraId="3DF36B34" w14:textId="5A2DDE50" w:rsidR="007C6EFA" w:rsidRDefault="002A1091" w:rsidP="007C6EFA">
      <w:pPr>
        <w:numPr>
          <w:ilvl w:val="0"/>
          <w:numId w:val="15"/>
        </w:numPr>
        <w:tabs>
          <w:tab w:val="left" w:pos="1429"/>
        </w:tabs>
        <w:spacing w:after="240"/>
        <w:ind w:hanging="709"/>
        <w:jc w:val="both"/>
        <w:rPr>
          <w:rFonts w:ascii="Arial" w:eastAsia="Times New Roman" w:hAnsi="Arial" w:cs="Arial"/>
          <w:bCs/>
          <w:sz w:val="22"/>
          <w:szCs w:val="22"/>
        </w:rPr>
      </w:pPr>
      <w:bookmarkStart w:id="95" w:name="_Hlk64492236"/>
      <w:bookmarkEnd w:id="93"/>
      <w:r>
        <w:rPr>
          <w:rFonts w:ascii="Arial" w:eastAsia="Times New Roman" w:hAnsi="Arial" w:cs="Arial"/>
          <w:bCs/>
          <w:sz w:val="22"/>
          <w:szCs w:val="22"/>
        </w:rPr>
        <w:tab/>
      </w:r>
      <w:r w:rsidR="00F01DC2">
        <w:rPr>
          <w:rFonts w:ascii="Arial" w:eastAsia="Times New Roman" w:hAnsi="Arial" w:cs="Arial"/>
          <w:bCs/>
          <w:sz w:val="22"/>
          <w:szCs w:val="22"/>
        </w:rPr>
        <w:t>Mr Yuji Nishimae</w:t>
      </w:r>
      <w:r w:rsidR="00994B9B">
        <w:rPr>
          <w:rFonts w:ascii="Arial" w:eastAsia="Times New Roman" w:hAnsi="Arial" w:cs="Arial"/>
          <w:bCs/>
          <w:sz w:val="22"/>
          <w:szCs w:val="22"/>
        </w:rPr>
        <w:t xml:space="preserve"> (Japan)</w:t>
      </w:r>
      <w:r w:rsidR="00F01DC2">
        <w:rPr>
          <w:rFonts w:ascii="Arial" w:eastAsia="Times New Roman" w:hAnsi="Arial" w:cs="Arial"/>
          <w:bCs/>
          <w:sz w:val="22"/>
          <w:szCs w:val="22"/>
        </w:rPr>
        <w:t xml:space="preserve"> </w:t>
      </w:r>
      <w:r w:rsidR="00994B9B">
        <w:rPr>
          <w:rFonts w:ascii="Arial" w:eastAsia="Times New Roman" w:hAnsi="Arial" w:cs="Arial"/>
          <w:bCs/>
          <w:sz w:val="22"/>
          <w:szCs w:val="22"/>
        </w:rPr>
        <w:t xml:space="preserve">Chair of </w:t>
      </w:r>
      <w:r w:rsidR="00994B9B" w:rsidRPr="00F30CB9">
        <w:rPr>
          <w:rFonts w:ascii="Arial" w:eastAsia="Times New Roman" w:hAnsi="Arial" w:cs="Arial"/>
          <w:bCs/>
          <w:sz w:val="22"/>
          <w:szCs w:val="22"/>
        </w:rPr>
        <w:t>the Intergovernmental Coordination Group for the Pacific Tsunami Warning and Mitigation System (ICG/PTWS)</w:t>
      </w:r>
      <w:r w:rsidR="00801567">
        <w:rPr>
          <w:rFonts w:ascii="Arial" w:eastAsia="Times New Roman" w:hAnsi="Arial" w:cs="Arial"/>
          <w:bCs/>
          <w:sz w:val="22"/>
          <w:szCs w:val="22"/>
        </w:rPr>
        <w:t>,</w:t>
      </w:r>
      <w:r w:rsidR="00994B9B">
        <w:rPr>
          <w:rFonts w:ascii="Arial" w:eastAsia="Times New Roman" w:hAnsi="Arial" w:cs="Arial"/>
          <w:bCs/>
          <w:sz w:val="22"/>
          <w:szCs w:val="22"/>
        </w:rPr>
        <w:t xml:space="preserve"> </w:t>
      </w:r>
      <w:r w:rsidR="00F01DC2">
        <w:rPr>
          <w:rFonts w:ascii="Arial" w:eastAsia="Times New Roman" w:hAnsi="Arial" w:cs="Arial"/>
          <w:bCs/>
          <w:sz w:val="22"/>
          <w:szCs w:val="22"/>
        </w:rPr>
        <w:t>(Japan)</w:t>
      </w:r>
      <w:r w:rsidR="00801567">
        <w:rPr>
          <w:rFonts w:ascii="Arial" w:eastAsia="Times New Roman" w:hAnsi="Arial" w:cs="Arial"/>
          <w:bCs/>
          <w:sz w:val="22"/>
          <w:szCs w:val="22"/>
        </w:rPr>
        <w:t xml:space="preserve">, presented the report on </w:t>
      </w:r>
      <w:r w:rsidR="00D03913">
        <w:rPr>
          <w:rFonts w:ascii="Arial" w:eastAsia="Times New Roman" w:hAnsi="Arial" w:cs="Arial"/>
          <w:bCs/>
          <w:sz w:val="22"/>
          <w:szCs w:val="22"/>
        </w:rPr>
        <w:t>this item</w:t>
      </w:r>
      <w:r w:rsidR="00801567">
        <w:rPr>
          <w:rFonts w:ascii="Arial" w:eastAsia="Times New Roman" w:hAnsi="Arial" w:cs="Arial"/>
          <w:bCs/>
          <w:sz w:val="22"/>
          <w:szCs w:val="22"/>
        </w:rPr>
        <w:t xml:space="preserve"> (available as a </w:t>
      </w:r>
      <w:hyperlink r:id="rId33" w:history="1">
        <w:r w:rsidR="00801567" w:rsidRPr="008029E0">
          <w:rPr>
            <w:rStyle w:val="Hyperlink"/>
            <w:rFonts w:eastAsia="Times New Roman" w:cs="Arial"/>
            <w:bCs/>
            <w:szCs w:val="22"/>
          </w:rPr>
          <w:t>presentation</w:t>
        </w:r>
      </w:hyperlink>
      <w:r w:rsidR="00801567">
        <w:rPr>
          <w:rFonts w:ascii="Arial" w:eastAsia="Times New Roman" w:hAnsi="Arial" w:cs="Arial"/>
          <w:bCs/>
          <w:sz w:val="22"/>
          <w:szCs w:val="22"/>
        </w:rPr>
        <w:t>).</w:t>
      </w:r>
    </w:p>
    <w:p w14:paraId="4C6DE6D1" w14:textId="41B49836" w:rsidR="00170592" w:rsidRPr="002578B3" w:rsidRDefault="0020319A" w:rsidP="000D34D7">
      <w:pPr>
        <w:numPr>
          <w:ilvl w:val="0"/>
          <w:numId w:val="15"/>
        </w:numPr>
        <w:tabs>
          <w:tab w:val="left" w:pos="1429"/>
        </w:tabs>
        <w:spacing w:after="240"/>
        <w:jc w:val="both"/>
        <w:rPr>
          <w:rFonts w:ascii="Arial" w:eastAsia="Times New Roman" w:hAnsi="Arial" w:cs="Arial"/>
          <w:bCs/>
          <w:sz w:val="22"/>
          <w:szCs w:val="22"/>
        </w:rPr>
      </w:pPr>
      <w:r w:rsidRPr="002578B3">
        <w:rPr>
          <w:rFonts w:ascii="Arial" w:eastAsia="Times New Roman" w:hAnsi="Arial" w:cs="Arial"/>
          <w:bCs/>
          <w:sz w:val="22"/>
          <w:szCs w:val="22"/>
        </w:rPr>
        <w:tab/>
      </w:r>
      <w:r w:rsidR="007C6EFA" w:rsidRPr="002578B3">
        <w:rPr>
          <w:rFonts w:ascii="Arial" w:eastAsia="Times New Roman" w:hAnsi="Arial" w:cs="Arial"/>
          <w:bCs/>
          <w:sz w:val="22"/>
          <w:szCs w:val="22"/>
        </w:rPr>
        <w:t xml:space="preserve">Mr Nishimae </w:t>
      </w:r>
      <w:r w:rsidR="002578B3" w:rsidRPr="002578B3">
        <w:rPr>
          <w:rFonts w:ascii="Arial" w:eastAsia="Times New Roman" w:hAnsi="Arial" w:cs="Arial"/>
          <w:bCs/>
          <w:sz w:val="22"/>
          <w:szCs w:val="22"/>
        </w:rPr>
        <w:t>recalled that the</w:t>
      </w:r>
      <w:r w:rsidR="00A320A0" w:rsidRPr="002578B3">
        <w:rPr>
          <w:rFonts w:ascii="Arial" w:eastAsia="Times New Roman" w:hAnsi="Arial" w:cs="Arial"/>
          <w:bCs/>
          <w:sz w:val="22"/>
          <w:szCs w:val="22"/>
        </w:rPr>
        <w:t xml:space="preserve"> PTWS region</w:t>
      </w:r>
      <w:r w:rsidR="002578B3" w:rsidRPr="002578B3">
        <w:rPr>
          <w:rFonts w:ascii="Arial" w:eastAsia="Times New Roman" w:hAnsi="Arial" w:cs="Arial"/>
          <w:bCs/>
          <w:sz w:val="22"/>
          <w:szCs w:val="22"/>
        </w:rPr>
        <w:t xml:space="preserve"> is served by 4 Tsunami Service providers (TSP)</w:t>
      </w:r>
      <w:r w:rsidR="00A320A0" w:rsidRPr="002578B3">
        <w:rPr>
          <w:rFonts w:ascii="Arial" w:eastAsia="Times New Roman" w:hAnsi="Arial" w:cs="Arial"/>
          <w:bCs/>
          <w:sz w:val="22"/>
          <w:szCs w:val="22"/>
        </w:rPr>
        <w:t xml:space="preserve"> which include </w:t>
      </w:r>
      <w:r w:rsidR="000B0528" w:rsidRPr="002578B3">
        <w:rPr>
          <w:rFonts w:ascii="Arial" w:eastAsia="Times New Roman" w:hAnsi="Arial" w:cs="Arial"/>
          <w:bCs/>
          <w:sz w:val="22"/>
          <w:szCs w:val="22"/>
        </w:rPr>
        <w:t>the Pacific Tsunami Warning Center (</w:t>
      </w:r>
      <w:r w:rsidR="00A320A0" w:rsidRPr="002578B3">
        <w:rPr>
          <w:rFonts w:ascii="Arial" w:eastAsia="Times New Roman" w:hAnsi="Arial" w:cs="Arial"/>
          <w:bCs/>
          <w:sz w:val="22"/>
          <w:szCs w:val="22"/>
        </w:rPr>
        <w:t>PTWC</w:t>
      </w:r>
      <w:r w:rsidR="000B0528" w:rsidRPr="002578B3">
        <w:rPr>
          <w:rFonts w:ascii="Arial" w:eastAsia="Times New Roman" w:hAnsi="Arial" w:cs="Arial"/>
          <w:bCs/>
          <w:sz w:val="22"/>
          <w:szCs w:val="22"/>
        </w:rPr>
        <w:t>)</w:t>
      </w:r>
      <w:r w:rsidR="00A320A0" w:rsidRPr="002578B3">
        <w:rPr>
          <w:rFonts w:ascii="Arial" w:eastAsia="Times New Roman" w:hAnsi="Arial" w:cs="Arial"/>
          <w:bCs/>
          <w:sz w:val="22"/>
          <w:szCs w:val="22"/>
        </w:rPr>
        <w:t>,</w:t>
      </w:r>
      <w:r w:rsidR="000B0528" w:rsidRPr="002578B3">
        <w:rPr>
          <w:rFonts w:ascii="Arial" w:eastAsia="Times New Roman" w:hAnsi="Arial" w:cs="Arial"/>
          <w:bCs/>
          <w:sz w:val="22"/>
          <w:szCs w:val="22"/>
        </w:rPr>
        <w:t xml:space="preserve"> the Northwest </w:t>
      </w:r>
      <w:r w:rsidR="00030E8B" w:rsidRPr="002578B3">
        <w:rPr>
          <w:rFonts w:ascii="Arial" w:eastAsia="Times New Roman" w:hAnsi="Arial" w:cs="Arial"/>
          <w:bCs/>
          <w:sz w:val="22"/>
          <w:szCs w:val="22"/>
        </w:rPr>
        <w:t xml:space="preserve">Pacific </w:t>
      </w:r>
      <w:r w:rsidR="000B0528" w:rsidRPr="002578B3">
        <w:rPr>
          <w:rFonts w:ascii="Arial" w:eastAsia="Times New Roman" w:hAnsi="Arial" w:cs="Arial"/>
          <w:bCs/>
          <w:sz w:val="22"/>
          <w:szCs w:val="22"/>
        </w:rPr>
        <w:t xml:space="preserve">Tsunami </w:t>
      </w:r>
      <w:r w:rsidR="000977FE" w:rsidRPr="002578B3">
        <w:rPr>
          <w:rFonts w:ascii="Arial" w:eastAsia="Times New Roman" w:hAnsi="Arial" w:cs="Arial"/>
          <w:bCs/>
          <w:sz w:val="22"/>
          <w:szCs w:val="22"/>
        </w:rPr>
        <w:t>Advisory</w:t>
      </w:r>
      <w:r w:rsidR="000B0528" w:rsidRPr="002578B3">
        <w:rPr>
          <w:rFonts w:ascii="Arial" w:eastAsia="Times New Roman" w:hAnsi="Arial" w:cs="Arial"/>
          <w:bCs/>
          <w:sz w:val="22"/>
          <w:szCs w:val="22"/>
        </w:rPr>
        <w:t xml:space="preserve"> Centre (N</w:t>
      </w:r>
      <w:r w:rsidR="000977FE" w:rsidRPr="002578B3">
        <w:rPr>
          <w:rFonts w:ascii="Arial" w:eastAsia="Times New Roman" w:hAnsi="Arial" w:cs="Arial"/>
          <w:bCs/>
          <w:sz w:val="22"/>
          <w:szCs w:val="22"/>
        </w:rPr>
        <w:t>WPTAC),</w:t>
      </w:r>
      <w:r w:rsidR="001E4A8C" w:rsidRPr="002578B3">
        <w:rPr>
          <w:rFonts w:ascii="Arial" w:eastAsia="Times New Roman" w:hAnsi="Arial" w:cs="Arial"/>
          <w:bCs/>
          <w:sz w:val="22"/>
          <w:szCs w:val="22"/>
        </w:rPr>
        <w:t xml:space="preserve"> and</w:t>
      </w:r>
      <w:r w:rsidR="000977FE" w:rsidRPr="002578B3">
        <w:rPr>
          <w:rFonts w:ascii="Arial" w:eastAsia="Times New Roman" w:hAnsi="Arial" w:cs="Arial"/>
          <w:bCs/>
          <w:sz w:val="22"/>
          <w:szCs w:val="22"/>
        </w:rPr>
        <w:t xml:space="preserve"> the South China Sea Tsunami Advisory Center (</w:t>
      </w:r>
      <w:r w:rsidR="00674578" w:rsidRPr="002578B3">
        <w:rPr>
          <w:rFonts w:ascii="Arial" w:eastAsia="Times New Roman" w:hAnsi="Arial" w:cs="Arial"/>
          <w:bCs/>
          <w:sz w:val="22"/>
          <w:szCs w:val="22"/>
        </w:rPr>
        <w:t>SCSTAC</w:t>
      </w:r>
      <w:r w:rsidR="000977FE" w:rsidRPr="002578B3">
        <w:rPr>
          <w:rFonts w:ascii="Arial" w:eastAsia="Times New Roman" w:hAnsi="Arial" w:cs="Arial"/>
          <w:bCs/>
          <w:sz w:val="22"/>
          <w:szCs w:val="22"/>
        </w:rPr>
        <w:t>)</w:t>
      </w:r>
      <w:r w:rsidR="001E4A8C" w:rsidRPr="002578B3">
        <w:rPr>
          <w:rFonts w:ascii="Arial" w:eastAsia="Times New Roman" w:hAnsi="Arial" w:cs="Arial"/>
          <w:bCs/>
          <w:sz w:val="22"/>
          <w:szCs w:val="22"/>
        </w:rPr>
        <w:t xml:space="preserve">. He noted that </w:t>
      </w:r>
      <w:r w:rsidR="006375DF" w:rsidRPr="002578B3">
        <w:rPr>
          <w:rFonts w:ascii="Arial" w:eastAsia="Times New Roman" w:hAnsi="Arial" w:cs="Arial"/>
          <w:bCs/>
          <w:sz w:val="22"/>
          <w:szCs w:val="22"/>
        </w:rPr>
        <w:t>the Central America Tsunami Advisory Center (CATAC)</w:t>
      </w:r>
      <w:r w:rsidR="001E4A8C" w:rsidRPr="002578B3">
        <w:rPr>
          <w:rFonts w:ascii="Arial" w:eastAsia="Times New Roman" w:hAnsi="Arial" w:cs="Arial"/>
          <w:bCs/>
          <w:sz w:val="22"/>
          <w:szCs w:val="22"/>
        </w:rPr>
        <w:t xml:space="preserve"> </w:t>
      </w:r>
      <w:r w:rsidR="002578B3" w:rsidRPr="002578B3">
        <w:rPr>
          <w:rFonts w:ascii="Arial" w:eastAsia="Times New Roman" w:hAnsi="Arial" w:cs="Arial"/>
          <w:bCs/>
          <w:sz w:val="22"/>
          <w:szCs w:val="22"/>
        </w:rPr>
        <w:t>operated by Nicaragua is fully operated (24hours/7days) on the interim service</w:t>
      </w:r>
      <w:r w:rsidR="000C0A08" w:rsidRPr="002578B3">
        <w:rPr>
          <w:rFonts w:ascii="Arial" w:eastAsia="Times New Roman" w:hAnsi="Arial" w:cs="Arial"/>
          <w:bCs/>
          <w:sz w:val="22"/>
          <w:szCs w:val="22"/>
        </w:rPr>
        <w:t>.</w:t>
      </w:r>
    </w:p>
    <w:p w14:paraId="18F3B91B" w14:textId="15CA431E" w:rsidR="00E919FC" w:rsidRPr="001D2DB2" w:rsidRDefault="00667047" w:rsidP="001D2DB2">
      <w:pPr>
        <w:numPr>
          <w:ilvl w:val="0"/>
          <w:numId w:val="15"/>
        </w:numPr>
        <w:tabs>
          <w:tab w:val="left" w:pos="1429"/>
        </w:tabs>
        <w:spacing w:after="240"/>
        <w:ind w:hanging="709"/>
        <w:jc w:val="both"/>
        <w:rPr>
          <w:rFonts w:ascii="Arial" w:eastAsia="Times New Roman" w:hAnsi="Arial" w:cs="Arial"/>
          <w:bCs/>
          <w:sz w:val="22"/>
          <w:szCs w:val="22"/>
        </w:rPr>
      </w:pPr>
      <w:r w:rsidRPr="00170592">
        <w:rPr>
          <w:rFonts w:ascii="Arial" w:eastAsia="Times New Roman" w:hAnsi="Arial" w:cs="Arial"/>
          <w:bCs/>
          <w:sz w:val="22"/>
          <w:szCs w:val="22"/>
        </w:rPr>
        <w:tab/>
      </w:r>
      <w:r w:rsidR="00DE26E8">
        <w:rPr>
          <w:rFonts w:ascii="Arial" w:eastAsia="Times New Roman" w:hAnsi="Arial" w:cs="Arial"/>
          <w:bCs/>
          <w:sz w:val="22"/>
          <w:szCs w:val="22"/>
        </w:rPr>
        <w:t xml:space="preserve">On the official </w:t>
      </w:r>
      <w:proofErr w:type="spellStart"/>
      <w:r w:rsidR="00DE26E8">
        <w:rPr>
          <w:rFonts w:ascii="Arial" w:eastAsia="Times New Roman" w:hAnsi="Arial" w:cs="Arial"/>
          <w:bCs/>
          <w:sz w:val="22"/>
          <w:szCs w:val="22"/>
        </w:rPr>
        <w:t>starte</w:t>
      </w:r>
      <w:proofErr w:type="spellEnd"/>
      <w:r w:rsidR="00DE26E8">
        <w:rPr>
          <w:rFonts w:ascii="Arial" w:eastAsia="Times New Roman" w:hAnsi="Arial" w:cs="Arial"/>
          <w:bCs/>
          <w:sz w:val="22"/>
          <w:szCs w:val="22"/>
        </w:rPr>
        <w:t xml:space="preserve"> of </w:t>
      </w:r>
      <w:r w:rsidR="00DE26E8" w:rsidRPr="00DE26E8">
        <w:rPr>
          <w:rFonts w:ascii="Arial" w:eastAsia="Times New Roman" w:hAnsi="Arial" w:cs="Arial"/>
          <w:bCs/>
          <w:sz w:val="22"/>
          <w:szCs w:val="22"/>
        </w:rPr>
        <w:t xml:space="preserve">CATAC </w:t>
      </w:r>
      <w:r w:rsidRPr="00170592">
        <w:rPr>
          <w:rFonts w:ascii="Arial" w:eastAsia="Times New Roman" w:hAnsi="Arial" w:cs="Arial"/>
          <w:bCs/>
          <w:sz w:val="22"/>
          <w:szCs w:val="22"/>
        </w:rPr>
        <w:t xml:space="preserve">Mr Nishimae </w:t>
      </w:r>
      <w:r w:rsidR="00DE26E8">
        <w:rPr>
          <w:rFonts w:ascii="Arial" w:eastAsia="Times New Roman" w:hAnsi="Arial" w:cs="Arial"/>
          <w:bCs/>
          <w:sz w:val="22"/>
          <w:szCs w:val="22"/>
        </w:rPr>
        <w:t xml:space="preserve">recalled that the </w:t>
      </w:r>
      <w:r w:rsidR="00FE64EF" w:rsidRPr="00FE64EF">
        <w:rPr>
          <w:rFonts w:ascii="Arial" w:eastAsia="Times New Roman" w:hAnsi="Arial" w:cs="Arial"/>
          <w:bCs/>
          <w:sz w:val="22"/>
          <w:szCs w:val="22"/>
        </w:rPr>
        <w:t xml:space="preserve">Thirtieth </w:t>
      </w:r>
      <w:r w:rsidR="00FE64EF">
        <w:rPr>
          <w:rFonts w:ascii="Arial" w:eastAsia="Times New Roman" w:hAnsi="Arial" w:cs="Arial"/>
          <w:bCs/>
          <w:sz w:val="22"/>
          <w:szCs w:val="22"/>
        </w:rPr>
        <w:t>s</w:t>
      </w:r>
      <w:r w:rsidR="00FE64EF" w:rsidRPr="00FE64EF">
        <w:rPr>
          <w:rFonts w:ascii="Arial" w:eastAsia="Times New Roman" w:hAnsi="Arial" w:cs="Arial"/>
          <w:bCs/>
          <w:sz w:val="22"/>
          <w:szCs w:val="22"/>
        </w:rPr>
        <w:t>ession</w:t>
      </w:r>
      <w:r w:rsidR="00FE64EF">
        <w:rPr>
          <w:rFonts w:ascii="Arial" w:eastAsia="Times New Roman" w:hAnsi="Arial" w:cs="Arial"/>
          <w:bCs/>
          <w:sz w:val="22"/>
          <w:szCs w:val="22"/>
        </w:rPr>
        <w:t xml:space="preserve"> </w:t>
      </w:r>
      <w:r w:rsidR="00DE26E8">
        <w:rPr>
          <w:rFonts w:ascii="Arial" w:eastAsia="Times New Roman" w:hAnsi="Arial" w:cs="Arial"/>
          <w:bCs/>
          <w:sz w:val="22"/>
          <w:szCs w:val="22"/>
        </w:rPr>
        <w:t>of the ICG/PTWS de</w:t>
      </w:r>
      <w:r w:rsidR="00DE26E8" w:rsidRPr="00DE26E8">
        <w:rPr>
          <w:rFonts w:ascii="Arial" w:eastAsia="Times New Roman" w:hAnsi="Arial" w:cs="Arial"/>
          <w:bCs/>
          <w:sz w:val="22"/>
          <w:szCs w:val="22"/>
        </w:rPr>
        <w:t>cide</w:t>
      </w:r>
      <w:r w:rsidR="00DE26E8">
        <w:rPr>
          <w:rFonts w:ascii="Arial" w:eastAsia="Times New Roman" w:hAnsi="Arial" w:cs="Arial"/>
          <w:bCs/>
          <w:sz w:val="22"/>
          <w:szCs w:val="22"/>
        </w:rPr>
        <w:t>d</w:t>
      </w:r>
      <w:r w:rsidR="00DE26E8" w:rsidRPr="00DE26E8">
        <w:rPr>
          <w:rFonts w:ascii="Arial" w:eastAsia="Times New Roman" w:hAnsi="Arial" w:cs="Arial"/>
          <w:bCs/>
          <w:sz w:val="22"/>
          <w:szCs w:val="22"/>
        </w:rPr>
        <w:t xml:space="preserve"> to admit the start of the official full functional operations of CATAC, starting after the IOC </w:t>
      </w:r>
      <w:r w:rsidR="00DE26E8">
        <w:rPr>
          <w:rFonts w:ascii="Arial" w:eastAsia="Times New Roman" w:hAnsi="Arial" w:cs="Arial"/>
          <w:bCs/>
          <w:sz w:val="22"/>
          <w:szCs w:val="22"/>
        </w:rPr>
        <w:t>[57</w:t>
      </w:r>
      <w:r w:rsidR="00DE26E8" w:rsidRPr="00DE26E8">
        <w:rPr>
          <w:rFonts w:ascii="Arial" w:eastAsia="Times New Roman" w:hAnsi="Arial" w:cs="Arial"/>
          <w:bCs/>
          <w:sz w:val="22"/>
          <w:szCs w:val="22"/>
          <w:vertAlign w:val="superscript"/>
        </w:rPr>
        <w:t>th</w:t>
      </w:r>
      <w:r w:rsidR="00DE26E8">
        <w:rPr>
          <w:rFonts w:ascii="Arial" w:eastAsia="Times New Roman" w:hAnsi="Arial" w:cs="Arial"/>
          <w:bCs/>
          <w:sz w:val="22"/>
          <w:szCs w:val="22"/>
        </w:rPr>
        <w:t xml:space="preserve"> Executive Council] in</w:t>
      </w:r>
      <w:r w:rsidR="00DE26E8" w:rsidRPr="00DE26E8">
        <w:rPr>
          <w:rFonts w:ascii="Arial" w:eastAsia="Times New Roman" w:hAnsi="Arial" w:cs="Arial"/>
          <w:bCs/>
          <w:sz w:val="22"/>
          <w:szCs w:val="22"/>
        </w:rPr>
        <w:t xml:space="preserve"> 2024, with the specific starting date to be decided after the coordination with the ICG/CARIBE-EWS</w:t>
      </w:r>
      <w:r w:rsidR="004E749E" w:rsidRPr="001D2DB2">
        <w:rPr>
          <w:rFonts w:ascii="Arial" w:eastAsia="Times New Roman" w:hAnsi="Arial" w:cs="Arial"/>
          <w:bCs/>
          <w:sz w:val="22"/>
          <w:szCs w:val="22"/>
        </w:rPr>
        <w:t>.</w:t>
      </w:r>
      <w:bookmarkStart w:id="96" w:name="_Hlk64550104"/>
      <w:bookmarkEnd w:id="95"/>
    </w:p>
    <w:p w14:paraId="5FCAC146" w14:textId="72F5C0A2" w:rsidR="00E919FC" w:rsidRPr="00813559" w:rsidRDefault="005F1CAD" w:rsidP="00B13CBF">
      <w:pPr>
        <w:numPr>
          <w:ilvl w:val="0"/>
          <w:numId w:val="15"/>
        </w:numPr>
        <w:tabs>
          <w:tab w:val="left" w:pos="1429"/>
        </w:tabs>
        <w:spacing w:after="240"/>
        <w:jc w:val="both"/>
        <w:rPr>
          <w:rFonts w:ascii="Arial" w:eastAsia="Times New Roman" w:hAnsi="Arial" w:cs="Arial"/>
          <w:bCs/>
          <w:sz w:val="22"/>
          <w:szCs w:val="22"/>
        </w:rPr>
      </w:pPr>
      <w:r w:rsidRPr="00813559">
        <w:rPr>
          <w:rFonts w:ascii="Arial" w:eastAsia="Times New Roman" w:hAnsi="Arial" w:cs="Arial"/>
          <w:bCs/>
          <w:sz w:val="22"/>
          <w:szCs w:val="22"/>
        </w:rPr>
        <w:tab/>
        <w:t xml:space="preserve">Mr Nishimae spoke about the </w:t>
      </w:r>
      <w:r w:rsidR="00813559" w:rsidRPr="00813559">
        <w:rPr>
          <w:rFonts w:ascii="Arial" w:eastAsia="Times New Roman" w:hAnsi="Arial" w:cs="Arial"/>
          <w:bCs/>
          <w:sz w:val="22"/>
          <w:szCs w:val="22"/>
        </w:rPr>
        <w:t>ESCAP Tsunami Preparedness Capacity Assessment that will evaluate the existing capacity of the Pacific Tsunami Warning and Mitigation System (PTWS), identify specific gaps and capacity development requirements at regional and national levels for strengthening the technical and policy aspects of the tsunami warning and mitigation systems in the region and provide recommendations for the next strategic phase of ESCAP's Trust Fund for Tsunami Disaster and Climate Preparedness, aiming to address the identified gaps through regional cooperation and mainstreaming science.</w:t>
      </w:r>
    </w:p>
    <w:p w14:paraId="6E66974E" w14:textId="5E95C5DD" w:rsidR="00E919FC" w:rsidRPr="00813559" w:rsidRDefault="005F1CAD" w:rsidP="00871967">
      <w:pPr>
        <w:numPr>
          <w:ilvl w:val="0"/>
          <w:numId w:val="15"/>
        </w:numPr>
        <w:tabs>
          <w:tab w:val="left" w:pos="1429"/>
        </w:tabs>
        <w:spacing w:after="240"/>
        <w:jc w:val="both"/>
        <w:rPr>
          <w:rFonts w:ascii="Arial" w:eastAsia="Times New Roman" w:hAnsi="Arial" w:cs="Arial"/>
          <w:bCs/>
          <w:sz w:val="22"/>
          <w:szCs w:val="22"/>
        </w:rPr>
      </w:pPr>
      <w:r w:rsidRPr="00813559">
        <w:rPr>
          <w:rFonts w:ascii="Arial" w:eastAsia="Times New Roman" w:hAnsi="Arial" w:cs="Arial"/>
          <w:bCs/>
          <w:sz w:val="22"/>
          <w:szCs w:val="22"/>
        </w:rPr>
        <w:lastRenderedPageBreak/>
        <w:tab/>
      </w:r>
      <w:r w:rsidR="00183AB8" w:rsidRPr="00813559">
        <w:rPr>
          <w:rFonts w:ascii="Arial" w:eastAsia="Times New Roman" w:hAnsi="Arial" w:cs="Arial"/>
          <w:bCs/>
          <w:sz w:val="22"/>
          <w:szCs w:val="22"/>
        </w:rPr>
        <w:t>In closing</w:t>
      </w:r>
      <w:r w:rsidRPr="00813559">
        <w:rPr>
          <w:rFonts w:ascii="Arial" w:eastAsia="Times New Roman" w:hAnsi="Arial" w:cs="Arial"/>
          <w:bCs/>
          <w:sz w:val="22"/>
          <w:szCs w:val="22"/>
        </w:rPr>
        <w:t xml:space="preserve">, Mr Nishimae </w:t>
      </w:r>
      <w:r w:rsidR="00813559" w:rsidRPr="00813559">
        <w:rPr>
          <w:rFonts w:ascii="Arial" w:eastAsia="Times New Roman" w:hAnsi="Arial" w:cs="Arial"/>
          <w:bCs/>
          <w:sz w:val="22"/>
          <w:szCs w:val="22"/>
        </w:rPr>
        <w:t>indicated that the Thirty First session of the ICG/PTWS is scheduled on 8 – 11 April 2025, in Beijing, China</w:t>
      </w:r>
      <w:r w:rsidR="00813559">
        <w:rPr>
          <w:rFonts w:ascii="Arial" w:eastAsia="Times New Roman" w:hAnsi="Arial" w:cs="Arial"/>
          <w:bCs/>
          <w:sz w:val="22"/>
          <w:szCs w:val="22"/>
        </w:rPr>
        <w:t xml:space="preserve">, coinciding with the </w:t>
      </w:r>
      <w:r w:rsidR="00813559" w:rsidRPr="00813559">
        <w:rPr>
          <w:rFonts w:ascii="Arial" w:eastAsia="Times New Roman" w:hAnsi="Arial" w:cs="Arial"/>
          <w:bCs/>
          <w:sz w:val="22"/>
          <w:szCs w:val="22"/>
        </w:rPr>
        <w:t>60th Anniversary of the ICG/PTWS</w:t>
      </w:r>
      <w:r w:rsidR="00813559">
        <w:rPr>
          <w:rFonts w:ascii="Arial" w:eastAsia="Times New Roman" w:hAnsi="Arial" w:cs="Arial"/>
          <w:bCs/>
          <w:sz w:val="22"/>
          <w:szCs w:val="22"/>
        </w:rPr>
        <w:t>.</w:t>
      </w:r>
    </w:p>
    <w:p w14:paraId="5F4A4D19" w14:textId="488EFE0C" w:rsidR="00B36DA3" w:rsidRPr="00F30CB9" w:rsidRDefault="00B36DA3" w:rsidP="00507DE9">
      <w:pPr>
        <w:pStyle w:val="Heading2"/>
        <w:numPr>
          <w:ilvl w:val="1"/>
          <w:numId w:val="18"/>
        </w:numPr>
        <w:rPr>
          <w:caps/>
        </w:rPr>
      </w:pPr>
      <w:bookmarkStart w:id="97" w:name="_Toc195258099"/>
      <w:bookmarkEnd w:id="96"/>
      <w:r w:rsidRPr="00F30CB9">
        <w:t>REPORT OF NON-IOC BODIES</w:t>
      </w:r>
      <w:bookmarkEnd w:id="97"/>
      <w:r w:rsidR="000E78BF">
        <w:t xml:space="preserve"> </w:t>
      </w:r>
    </w:p>
    <w:p w14:paraId="4F473739" w14:textId="78B1F8B3" w:rsidR="00F967F3" w:rsidRDefault="006201C2" w:rsidP="00507DE9">
      <w:pPr>
        <w:pStyle w:val="Heading1"/>
        <w:numPr>
          <w:ilvl w:val="2"/>
          <w:numId w:val="20"/>
        </w:numPr>
        <w:rPr>
          <w:lang w:val="en-US"/>
        </w:rPr>
      </w:pPr>
      <w:bookmarkStart w:id="98" w:name="_2.2.1_World_Tsunami"/>
      <w:bookmarkStart w:id="99" w:name="_Toc195258100"/>
      <w:bookmarkEnd w:id="98"/>
      <w:r w:rsidRPr="006109F7">
        <w:rPr>
          <w:lang w:val="en-US"/>
        </w:rPr>
        <w:t xml:space="preserve">World Tsunami Awareness Day </w:t>
      </w:r>
      <w:r w:rsidR="00AE2EB5" w:rsidRPr="006109F7">
        <w:rPr>
          <w:lang w:val="en-US"/>
        </w:rPr>
        <w:t>(UN</w:t>
      </w:r>
      <w:r w:rsidR="008D7C3C" w:rsidRPr="006109F7">
        <w:rPr>
          <w:lang w:val="en-US"/>
        </w:rPr>
        <w:t>DR</w:t>
      </w:r>
      <w:r w:rsidR="00AE2EB5" w:rsidRPr="006109F7">
        <w:rPr>
          <w:lang w:val="en-US"/>
        </w:rPr>
        <w:t>R</w:t>
      </w:r>
      <w:r w:rsidR="008D7C3C" w:rsidRPr="006109F7">
        <w:rPr>
          <w:lang w:val="en-US"/>
        </w:rPr>
        <w:t>)</w:t>
      </w:r>
      <w:bookmarkEnd w:id="99"/>
    </w:p>
    <w:p w14:paraId="3FBBAF34" w14:textId="1FD7E35D" w:rsidR="00731DF3" w:rsidRPr="00731DF3" w:rsidRDefault="00731DF3" w:rsidP="00EC1B50">
      <w:pPr>
        <w:pStyle w:val="ListParagraph"/>
        <w:numPr>
          <w:ilvl w:val="0"/>
          <w:numId w:val="15"/>
        </w:numPr>
        <w:tabs>
          <w:tab w:val="left" w:pos="1429"/>
        </w:tabs>
        <w:spacing w:after="240"/>
        <w:ind w:hanging="706"/>
        <w:jc w:val="both"/>
        <w:rPr>
          <w:rFonts w:asciiTheme="minorBidi" w:eastAsia="Times New Roman" w:hAnsiTheme="minorBidi" w:cstheme="minorBidi"/>
          <w:sz w:val="22"/>
          <w:szCs w:val="22"/>
          <w:lang w:val="en-US"/>
        </w:rPr>
      </w:pPr>
      <w:r>
        <w:rPr>
          <w:rFonts w:asciiTheme="minorBidi" w:hAnsiTheme="minorBidi" w:cstheme="minorBidi"/>
          <w:sz w:val="22"/>
          <w:szCs w:val="22"/>
        </w:rPr>
        <w:tab/>
      </w:r>
      <w:r w:rsidR="00D03913" w:rsidRPr="00731DF3">
        <w:rPr>
          <w:rFonts w:asciiTheme="minorBidi" w:hAnsiTheme="minorBidi" w:cstheme="minorBidi"/>
          <w:sz w:val="22"/>
          <w:szCs w:val="22"/>
        </w:rPr>
        <w:t>M</w:t>
      </w:r>
      <w:r w:rsidR="00703EBA" w:rsidRPr="00731DF3">
        <w:rPr>
          <w:rFonts w:asciiTheme="minorBidi" w:hAnsiTheme="minorBidi" w:cstheme="minorBidi"/>
          <w:sz w:val="22"/>
          <w:szCs w:val="22"/>
        </w:rPr>
        <w:t xml:space="preserve">s </w:t>
      </w:r>
      <w:r w:rsidR="00A93035" w:rsidRPr="00A93035">
        <w:rPr>
          <w:rFonts w:asciiTheme="minorBidi" w:hAnsiTheme="minorBidi" w:cstheme="minorBidi"/>
          <w:sz w:val="22"/>
          <w:szCs w:val="22"/>
        </w:rPr>
        <w:t>Regina Khanbekova</w:t>
      </w:r>
      <w:r w:rsidR="00EC1B50">
        <w:rPr>
          <w:rFonts w:asciiTheme="minorBidi" w:hAnsiTheme="minorBidi" w:cstheme="minorBidi"/>
          <w:sz w:val="22"/>
          <w:szCs w:val="22"/>
        </w:rPr>
        <w:t>,</w:t>
      </w:r>
      <w:r w:rsidR="00EC1B50" w:rsidRPr="00EC1B50">
        <w:t xml:space="preserve"> </w:t>
      </w:r>
      <w:r w:rsidR="00EC1B50" w:rsidRPr="00EC1B50">
        <w:rPr>
          <w:rFonts w:asciiTheme="minorBidi" w:hAnsiTheme="minorBidi" w:cstheme="minorBidi"/>
          <w:sz w:val="22"/>
          <w:szCs w:val="22"/>
        </w:rPr>
        <w:t xml:space="preserve">Campaigns and Community, </w:t>
      </w:r>
      <w:r w:rsidR="00EC1B50" w:rsidRPr="00A93035">
        <w:rPr>
          <w:rFonts w:asciiTheme="minorBidi" w:hAnsiTheme="minorBidi" w:cstheme="minorBidi"/>
          <w:sz w:val="22"/>
          <w:szCs w:val="22"/>
        </w:rPr>
        <w:t>United Nations Office for Disaster Risk Reduction (</w:t>
      </w:r>
      <w:r w:rsidR="00EC1B50" w:rsidRPr="00EC1B50">
        <w:rPr>
          <w:rFonts w:asciiTheme="minorBidi" w:hAnsiTheme="minorBidi" w:cstheme="minorBidi"/>
          <w:sz w:val="22"/>
          <w:szCs w:val="22"/>
        </w:rPr>
        <w:t>UNDRR</w:t>
      </w:r>
      <w:r w:rsidR="00EC1B50">
        <w:rPr>
          <w:rFonts w:asciiTheme="minorBidi" w:hAnsiTheme="minorBidi" w:cstheme="minorBidi"/>
          <w:sz w:val="22"/>
          <w:szCs w:val="22"/>
        </w:rPr>
        <w:t>)</w:t>
      </w:r>
      <w:r w:rsidR="00A93035" w:rsidRPr="00A93035">
        <w:rPr>
          <w:rFonts w:asciiTheme="minorBidi" w:hAnsiTheme="minorBidi" w:cstheme="minorBidi"/>
          <w:sz w:val="22"/>
          <w:szCs w:val="22"/>
        </w:rPr>
        <w:t xml:space="preserve"> in person and Ms </w:t>
      </w:r>
      <w:r w:rsidR="00EC1B50">
        <w:rPr>
          <w:rFonts w:asciiTheme="minorBidi" w:hAnsiTheme="minorBidi" w:cstheme="minorBidi"/>
          <w:sz w:val="22"/>
          <w:szCs w:val="22"/>
        </w:rPr>
        <w:t>J</w:t>
      </w:r>
      <w:r w:rsidR="00A93035" w:rsidRPr="00A93035">
        <w:rPr>
          <w:rFonts w:asciiTheme="minorBidi" w:hAnsiTheme="minorBidi" w:cstheme="minorBidi"/>
          <w:sz w:val="22"/>
          <w:szCs w:val="22"/>
        </w:rPr>
        <w:t xml:space="preserve">eanette Elsworth </w:t>
      </w:r>
      <w:r w:rsidR="00A93035">
        <w:rPr>
          <w:rFonts w:asciiTheme="minorBidi" w:hAnsiTheme="minorBidi" w:cstheme="minorBidi"/>
          <w:sz w:val="22"/>
          <w:szCs w:val="22"/>
        </w:rPr>
        <w:t>-</w:t>
      </w:r>
      <w:r w:rsidR="00A93035" w:rsidRPr="00A93035">
        <w:rPr>
          <w:rFonts w:asciiTheme="minorBidi" w:hAnsiTheme="minorBidi" w:cstheme="minorBidi"/>
          <w:sz w:val="22"/>
          <w:szCs w:val="22"/>
        </w:rPr>
        <w:t>online</w:t>
      </w:r>
      <w:r w:rsidR="00A93035">
        <w:rPr>
          <w:rFonts w:asciiTheme="minorBidi" w:hAnsiTheme="minorBidi" w:cstheme="minorBidi"/>
          <w:sz w:val="22"/>
          <w:szCs w:val="22"/>
        </w:rPr>
        <w:t>-</w:t>
      </w:r>
      <w:r w:rsidR="00E73575" w:rsidRPr="00731DF3">
        <w:rPr>
          <w:rFonts w:asciiTheme="minorBidi" w:hAnsiTheme="minorBidi" w:cstheme="minorBidi"/>
          <w:sz w:val="22"/>
          <w:szCs w:val="22"/>
        </w:rPr>
        <w:t xml:space="preserve">, </w:t>
      </w:r>
      <w:r w:rsidR="00EC1B50">
        <w:rPr>
          <w:rFonts w:asciiTheme="minorBidi" w:hAnsiTheme="minorBidi" w:cstheme="minorBidi"/>
          <w:sz w:val="22"/>
          <w:szCs w:val="22"/>
        </w:rPr>
        <w:t xml:space="preserve">Head </w:t>
      </w:r>
      <w:r w:rsidR="00A93035" w:rsidRPr="00A93035">
        <w:rPr>
          <w:rFonts w:asciiTheme="minorBidi" w:hAnsiTheme="minorBidi" w:cstheme="minorBidi"/>
          <w:sz w:val="22"/>
          <w:szCs w:val="22"/>
        </w:rPr>
        <w:t>Communication, Advocacy and Knowledge Management Section, UNDRR</w:t>
      </w:r>
      <w:r w:rsidR="00DA57B5">
        <w:rPr>
          <w:rFonts w:asciiTheme="minorBidi" w:hAnsiTheme="minorBidi" w:cstheme="minorBidi"/>
          <w:sz w:val="22"/>
          <w:szCs w:val="22"/>
        </w:rPr>
        <w:t>,</w:t>
      </w:r>
      <w:r w:rsidR="002C3EDB" w:rsidRPr="00731DF3">
        <w:rPr>
          <w:rFonts w:asciiTheme="minorBidi" w:hAnsiTheme="minorBidi" w:cstheme="minorBidi"/>
          <w:sz w:val="22"/>
          <w:szCs w:val="22"/>
        </w:rPr>
        <w:t xml:space="preserve"> presented </w:t>
      </w:r>
      <w:r w:rsidR="00EC1B50">
        <w:rPr>
          <w:rFonts w:asciiTheme="minorBidi" w:hAnsiTheme="minorBidi" w:cstheme="minorBidi"/>
          <w:sz w:val="22"/>
          <w:szCs w:val="22"/>
        </w:rPr>
        <w:t xml:space="preserve">a </w:t>
      </w:r>
      <w:hyperlink r:id="rId34" w:history="1">
        <w:r w:rsidR="00A93035" w:rsidRPr="00A93035">
          <w:rPr>
            <w:rStyle w:val="Hyperlink"/>
            <w:rFonts w:asciiTheme="minorBidi" w:hAnsiTheme="minorBidi" w:cstheme="minorBidi"/>
            <w:szCs w:val="22"/>
          </w:rPr>
          <w:t>report</w:t>
        </w:r>
      </w:hyperlink>
      <w:r w:rsidR="00A93035" w:rsidRPr="00A93035">
        <w:rPr>
          <w:rFonts w:asciiTheme="minorBidi" w:hAnsiTheme="minorBidi" w:cstheme="minorBidi"/>
          <w:sz w:val="22"/>
          <w:szCs w:val="22"/>
        </w:rPr>
        <w:t xml:space="preserve"> on </w:t>
      </w:r>
      <w:proofErr w:type="spellStart"/>
      <w:r w:rsidR="002C3EDB" w:rsidRPr="00731DF3">
        <w:rPr>
          <w:rFonts w:asciiTheme="minorBidi" w:hAnsiTheme="minorBidi" w:cstheme="minorBidi"/>
          <w:sz w:val="22"/>
          <w:szCs w:val="22"/>
        </w:rPr>
        <w:t>on</w:t>
      </w:r>
      <w:proofErr w:type="spellEnd"/>
      <w:r w:rsidR="002C3EDB" w:rsidRPr="00731DF3">
        <w:rPr>
          <w:rFonts w:asciiTheme="minorBidi" w:hAnsiTheme="minorBidi" w:cstheme="minorBidi"/>
          <w:sz w:val="22"/>
          <w:szCs w:val="22"/>
        </w:rPr>
        <w:t xml:space="preserve"> this item (available as </w:t>
      </w:r>
      <w:r w:rsidR="00FE0DBF" w:rsidRPr="00731DF3">
        <w:rPr>
          <w:rFonts w:asciiTheme="minorBidi" w:hAnsiTheme="minorBidi" w:cstheme="minorBidi"/>
          <w:sz w:val="22"/>
          <w:szCs w:val="22"/>
        </w:rPr>
        <w:t xml:space="preserve">a </w:t>
      </w:r>
      <w:r w:rsidR="002C3EDB" w:rsidRPr="00A93035">
        <w:rPr>
          <w:rFonts w:asciiTheme="minorBidi" w:hAnsiTheme="minorBidi" w:cstheme="minorBidi"/>
          <w:sz w:val="22"/>
          <w:szCs w:val="22"/>
        </w:rPr>
        <w:t>presentation</w:t>
      </w:r>
      <w:r w:rsidR="002C3EDB" w:rsidRPr="00731DF3">
        <w:rPr>
          <w:rFonts w:asciiTheme="minorBidi" w:hAnsiTheme="minorBidi" w:cstheme="minorBidi"/>
          <w:sz w:val="22"/>
          <w:szCs w:val="22"/>
        </w:rPr>
        <w:t>).</w:t>
      </w:r>
    </w:p>
    <w:p w14:paraId="561D706E" w14:textId="77777777" w:rsidR="00EC1B50" w:rsidRPr="00EC1B50" w:rsidRDefault="00731DF3" w:rsidP="00EC1B50">
      <w:pPr>
        <w:pStyle w:val="ListParagraph"/>
        <w:numPr>
          <w:ilvl w:val="0"/>
          <w:numId w:val="15"/>
        </w:numPr>
        <w:tabs>
          <w:tab w:val="left" w:pos="1429"/>
        </w:tabs>
        <w:spacing w:after="240"/>
        <w:ind w:hanging="706"/>
        <w:jc w:val="both"/>
        <w:rPr>
          <w:rFonts w:asciiTheme="minorBidi" w:eastAsia="Times New Roman" w:hAnsiTheme="minorBidi" w:cstheme="minorBidi"/>
          <w:sz w:val="22"/>
          <w:szCs w:val="22"/>
          <w:lang w:val="en-US"/>
        </w:rPr>
      </w:pPr>
      <w:bookmarkStart w:id="100" w:name="_Hlk135860870"/>
      <w:r>
        <w:rPr>
          <w:rFonts w:asciiTheme="minorBidi" w:hAnsiTheme="minorBidi" w:cstheme="minorBidi"/>
          <w:sz w:val="22"/>
          <w:szCs w:val="22"/>
        </w:rPr>
        <w:tab/>
      </w:r>
      <w:bookmarkEnd w:id="100"/>
      <w:r w:rsidR="00EC1B50">
        <w:rPr>
          <w:rFonts w:asciiTheme="minorBidi" w:hAnsiTheme="minorBidi" w:cstheme="minorBidi"/>
          <w:sz w:val="22"/>
          <w:szCs w:val="22"/>
        </w:rPr>
        <w:t>They provided an o</w:t>
      </w:r>
      <w:r w:rsidR="00EC1B50" w:rsidRPr="00EC1B50">
        <w:rPr>
          <w:rFonts w:asciiTheme="minorBidi" w:hAnsiTheme="minorBidi" w:cstheme="minorBidi"/>
          <w:sz w:val="22"/>
          <w:szCs w:val="22"/>
        </w:rPr>
        <w:t xml:space="preserve">verview </w:t>
      </w:r>
      <w:r w:rsidR="00EC1B50">
        <w:rPr>
          <w:rFonts w:asciiTheme="minorBidi" w:hAnsiTheme="minorBidi" w:cstheme="minorBidi"/>
          <w:sz w:val="22"/>
          <w:szCs w:val="22"/>
        </w:rPr>
        <w:t xml:space="preserve">of the </w:t>
      </w:r>
      <w:r w:rsidR="00EC1B50" w:rsidRPr="00EC1B50">
        <w:rPr>
          <w:rFonts w:asciiTheme="minorBidi" w:hAnsiTheme="minorBidi" w:cstheme="minorBidi"/>
          <w:sz w:val="22"/>
          <w:szCs w:val="22"/>
        </w:rPr>
        <w:t>World Tsunami Awareness Day</w:t>
      </w:r>
      <w:r w:rsidR="00EC1B50">
        <w:rPr>
          <w:rFonts w:asciiTheme="minorBidi" w:hAnsiTheme="minorBidi" w:cstheme="minorBidi"/>
          <w:sz w:val="22"/>
          <w:szCs w:val="22"/>
        </w:rPr>
        <w:t xml:space="preserve"> 2024that continued to c</w:t>
      </w:r>
      <w:r w:rsidR="00EC1B50" w:rsidRPr="00EC1B50">
        <w:rPr>
          <w:rFonts w:asciiTheme="minorBidi" w:hAnsiTheme="minorBidi" w:cstheme="minorBidi"/>
          <w:sz w:val="22"/>
          <w:szCs w:val="22"/>
        </w:rPr>
        <w:t>onnect high level political support to real change making people safer</w:t>
      </w:r>
      <w:r w:rsidR="007043F7" w:rsidRPr="001F2ABB">
        <w:rPr>
          <w:rFonts w:ascii="Arial" w:hAnsi="Arial" w:cs="Arial"/>
          <w:bCs/>
          <w:sz w:val="22"/>
          <w:szCs w:val="22"/>
        </w:rPr>
        <w:t>.</w:t>
      </w:r>
      <w:r w:rsidR="00EC1B50">
        <w:rPr>
          <w:rFonts w:ascii="Arial" w:hAnsi="Arial" w:cs="Arial"/>
          <w:bCs/>
          <w:sz w:val="22"/>
          <w:szCs w:val="22"/>
        </w:rPr>
        <w:t xml:space="preserve"> They highlighted </w:t>
      </w:r>
      <w:proofErr w:type="spellStart"/>
      <w:r w:rsidR="00EC1B50">
        <w:rPr>
          <w:rFonts w:ascii="Arial" w:hAnsi="Arial" w:cs="Arial"/>
          <w:bCs/>
          <w:sz w:val="22"/>
          <w:szCs w:val="22"/>
        </w:rPr>
        <w:t>the</w:t>
      </w:r>
      <w:r w:rsidR="00EC1B50" w:rsidRPr="00EC1B50">
        <w:rPr>
          <w:rFonts w:ascii="Arial" w:hAnsi="Arial" w:cs="Arial"/>
          <w:bCs/>
          <w:sz w:val="22"/>
          <w:szCs w:val="22"/>
        </w:rPr>
        <w:t>Tsunami</w:t>
      </w:r>
      <w:proofErr w:type="spellEnd"/>
      <w:r w:rsidR="00EC1B50" w:rsidRPr="00EC1B50">
        <w:rPr>
          <w:rFonts w:ascii="Arial" w:hAnsi="Arial" w:cs="Arial"/>
          <w:bCs/>
          <w:sz w:val="22"/>
          <w:szCs w:val="22"/>
        </w:rPr>
        <w:t xml:space="preserve"> United project engaging </w:t>
      </w:r>
      <w:r w:rsidR="00EC1B50">
        <w:rPr>
          <w:rFonts w:ascii="Arial" w:hAnsi="Arial" w:cs="Arial"/>
          <w:bCs/>
          <w:sz w:val="22"/>
          <w:szCs w:val="22"/>
        </w:rPr>
        <w:t>with Indian Ocean</w:t>
      </w:r>
      <w:r w:rsidR="00EC1B50" w:rsidRPr="00EC1B50">
        <w:rPr>
          <w:rFonts w:ascii="Arial" w:hAnsi="Arial" w:cs="Arial"/>
          <w:bCs/>
          <w:sz w:val="22"/>
          <w:szCs w:val="22"/>
        </w:rPr>
        <w:t xml:space="preserve"> schools</w:t>
      </w:r>
      <w:r w:rsidR="00EC1B50">
        <w:rPr>
          <w:rFonts w:ascii="Arial" w:hAnsi="Arial" w:cs="Arial"/>
          <w:bCs/>
          <w:sz w:val="22"/>
          <w:szCs w:val="22"/>
        </w:rPr>
        <w:t xml:space="preserve">. And the </w:t>
      </w:r>
      <w:r w:rsidR="00EC1B50" w:rsidRPr="00EC1B50">
        <w:rPr>
          <w:rFonts w:ascii="Arial" w:hAnsi="Arial" w:cs="Arial"/>
          <w:bCs/>
          <w:sz w:val="22"/>
          <w:szCs w:val="22"/>
        </w:rPr>
        <w:t xml:space="preserve">#GetToHighGround </w:t>
      </w:r>
      <w:proofErr w:type="spellStart"/>
      <w:r w:rsidR="00EC1B50" w:rsidRPr="00EC1B50">
        <w:rPr>
          <w:rFonts w:ascii="Arial" w:hAnsi="Arial" w:cs="Arial"/>
          <w:bCs/>
          <w:sz w:val="22"/>
          <w:szCs w:val="22"/>
        </w:rPr>
        <w:t>Campaig</w:t>
      </w:r>
      <w:proofErr w:type="spellEnd"/>
      <w:r w:rsidR="00EC1B50">
        <w:rPr>
          <w:rFonts w:ascii="Arial" w:hAnsi="Arial" w:cs="Arial"/>
          <w:bCs/>
          <w:sz w:val="22"/>
          <w:szCs w:val="22"/>
        </w:rPr>
        <w:t>. Some achievements listed for 2024 are:</w:t>
      </w:r>
    </w:p>
    <w:p w14:paraId="4869E204" w14:textId="77777777" w:rsidR="00EC1B50" w:rsidRPr="00EC1B50" w:rsidRDefault="00EC1B50" w:rsidP="00EC1B50">
      <w:pPr>
        <w:pStyle w:val="ListParagraph"/>
        <w:numPr>
          <w:ilvl w:val="0"/>
          <w:numId w:val="98"/>
        </w:numPr>
        <w:tabs>
          <w:tab w:val="left" w:pos="1429"/>
        </w:tabs>
        <w:spacing w:after="240"/>
        <w:jc w:val="both"/>
        <w:rPr>
          <w:rFonts w:asciiTheme="minorBidi" w:eastAsia="Times New Roman" w:hAnsiTheme="minorBidi" w:cstheme="minorBidi"/>
          <w:sz w:val="22"/>
          <w:szCs w:val="22"/>
          <w:lang w:val="en-US"/>
        </w:rPr>
      </w:pPr>
      <w:r w:rsidRPr="00EC1B50">
        <w:rPr>
          <w:rFonts w:asciiTheme="minorBidi" w:eastAsia="Times New Roman" w:hAnsiTheme="minorBidi" w:cstheme="minorBidi"/>
          <w:sz w:val="22"/>
          <w:szCs w:val="22"/>
        </w:rPr>
        <w:t xml:space="preserve">Social media: </w:t>
      </w:r>
      <w:proofErr w:type="spellStart"/>
      <w:r w:rsidRPr="00EC1B50">
        <w:rPr>
          <w:rFonts w:asciiTheme="minorBidi" w:eastAsia="Times New Roman" w:hAnsiTheme="minorBidi" w:cstheme="minorBidi"/>
          <w:sz w:val="22"/>
          <w:szCs w:val="22"/>
        </w:rPr>
        <w:t>incl</w:t>
      </w:r>
      <w:proofErr w:type="spellEnd"/>
      <w:r w:rsidRPr="00EC1B50">
        <w:rPr>
          <w:rFonts w:asciiTheme="minorBidi" w:eastAsia="Times New Roman" w:hAnsiTheme="minorBidi" w:cstheme="minorBidi"/>
          <w:sz w:val="22"/>
          <w:szCs w:val="22"/>
        </w:rPr>
        <w:t xml:space="preserve"> website, customizable cards and 6 tsunami videos – </w:t>
      </w:r>
      <w:r w:rsidRPr="00EC1B50">
        <w:rPr>
          <w:rFonts w:asciiTheme="minorBidi" w:eastAsia="Times New Roman" w:hAnsiTheme="minorBidi" w:cstheme="minorBidi"/>
          <w:sz w:val="22"/>
          <w:szCs w:val="22"/>
          <w:lang w:val="en-US"/>
        </w:rPr>
        <w:t xml:space="preserve">social reach 1 million </w:t>
      </w:r>
    </w:p>
    <w:p w14:paraId="21107E1F" w14:textId="77777777" w:rsidR="00EC1B50" w:rsidRPr="00EC1B50" w:rsidRDefault="00EC1B50" w:rsidP="00EC1B50">
      <w:pPr>
        <w:pStyle w:val="ListParagraph"/>
        <w:numPr>
          <w:ilvl w:val="0"/>
          <w:numId w:val="98"/>
        </w:numPr>
        <w:tabs>
          <w:tab w:val="left" w:pos="1429"/>
        </w:tabs>
        <w:spacing w:after="240"/>
        <w:jc w:val="both"/>
        <w:rPr>
          <w:rFonts w:asciiTheme="minorBidi" w:eastAsia="Times New Roman" w:hAnsiTheme="minorBidi" w:cstheme="minorBidi"/>
          <w:sz w:val="22"/>
          <w:szCs w:val="22"/>
          <w:lang w:val="en-US"/>
        </w:rPr>
      </w:pPr>
      <w:r w:rsidRPr="00EC1B50">
        <w:rPr>
          <w:rFonts w:asciiTheme="minorBidi" w:eastAsia="Times New Roman" w:hAnsiTheme="minorBidi" w:cstheme="minorBidi"/>
          <w:sz w:val="22"/>
          <w:szCs w:val="22"/>
        </w:rPr>
        <w:t xml:space="preserve">Art Exhibition “Tsunami: Sea Change for Resilience” (Geneva, Paris, Manilla, New York) </w:t>
      </w:r>
    </w:p>
    <w:p w14:paraId="10C33226" w14:textId="77777777" w:rsidR="00EC1B50" w:rsidRPr="00EC1B50" w:rsidRDefault="00EC1B50" w:rsidP="00EC1B50">
      <w:pPr>
        <w:pStyle w:val="ListParagraph"/>
        <w:numPr>
          <w:ilvl w:val="0"/>
          <w:numId w:val="98"/>
        </w:numPr>
        <w:tabs>
          <w:tab w:val="left" w:pos="1429"/>
        </w:tabs>
        <w:spacing w:after="240"/>
        <w:jc w:val="both"/>
        <w:rPr>
          <w:rFonts w:asciiTheme="minorBidi" w:eastAsia="Times New Roman" w:hAnsiTheme="minorBidi" w:cstheme="minorBidi"/>
          <w:sz w:val="22"/>
          <w:szCs w:val="22"/>
          <w:lang w:val="en-US"/>
        </w:rPr>
      </w:pPr>
      <w:r w:rsidRPr="00EC1B50">
        <w:rPr>
          <w:rFonts w:asciiTheme="minorBidi" w:eastAsia="Times New Roman" w:hAnsiTheme="minorBidi" w:cstheme="minorBidi"/>
          <w:sz w:val="22"/>
          <w:szCs w:val="22"/>
        </w:rPr>
        <w:t xml:space="preserve">#GetToHighGround activation: </w:t>
      </w:r>
      <w:r w:rsidRPr="00EC1B50">
        <w:rPr>
          <w:rFonts w:asciiTheme="minorBidi" w:eastAsia="Times New Roman" w:hAnsiTheme="minorBidi" w:cstheme="minorBidi"/>
          <w:sz w:val="22"/>
          <w:szCs w:val="22"/>
          <w:lang w:val="en-US"/>
        </w:rPr>
        <w:t>issuing joint invitation call to the Member States and co-organizing the campaign activations, in 2024 in Banda Aceh, Indonesia in line with the UNESCO-IOC Global Tsunami Symposium: Reflection of the Two Decades of the Indian Ocean Tsunami 2004</w:t>
      </w:r>
    </w:p>
    <w:p w14:paraId="2B6788D7" w14:textId="77777777" w:rsidR="00EC1B50" w:rsidRPr="00EC1B50" w:rsidRDefault="00EC1B50" w:rsidP="00EC1B50">
      <w:pPr>
        <w:pStyle w:val="ListParagraph"/>
        <w:numPr>
          <w:ilvl w:val="0"/>
          <w:numId w:val="98"/>
        </w:numPr>
        <w:tabs>
          <w:tab w:val="left" w:pos="1429"/>
        </w:tabs>
        <w:spacing w:after="240"/>
        <w:jc w:val="both"/>
        <w:rPr>
          <w:rFonts w:asciiTheme="minorBidi" w:eastAsia="Times New Roman" w:hAnsiTheme="minorBidi" w:cstheme="minorBidi"/>
          <w:sz w:val="22"/>
          <w:szCs w:val="22"/>
          <w:lang w:val="en-US"/>
        </w:rPr>
      </w:pPr>
      <w:r w:rsidRPr="00EC1B50">
        <w:rPr>
          <w:rFonts w:asciiTheme="minorBidi" w:eastAsia="Times New Roman" w:hAnsiTheme="minorBidi" w:cstheme="minorBidi"/>
          <w:sz w:val="22"/>
          <w:szCs w:val="22"/>
          <w:lang w:val="en-US"/>
        </w:rPr>
        <w:t xml:space="preserve">Tsunami United Project: series of educational webinars on tsunami and DRR resilience for youth and children in the region of the Indian Ocean, engaging 19 countries, 59 schools, </w:t>
      </w:r>
      <w:proofErr w:type="gramStart"/>
      <w:r w:rsidRPr="00EC1B50">
        <w:rPr>
          <w:rFonts w:asciiTheme="minorBidi" w:eastAsia="Times New Roman" w:hAnsiTheme="minorBidi" w:cstheme="minorBidi"/>
          <w:sz w:val="22"/>
          <w:szCs w:val="22"/>
          <w:lang w:val="en-US"/>
        </w:rPr>
        <w:t>439  students</w:t>
      </w:r>
      <w:proofErr w:type="gramEnd"/>
      <w:r w:rsidRPr="00EC1B50">
        <w:rPr>
          <w:rFonts w:asciiTheme="minorBidi" w:eastAsia="Times New Roman" w:hAnsiTheme="minorBidi" w:cstheme="minorBidi"/>
          <w:sz w:val="22"/>
          <w:szCs w:val="22"/>
          <w:lang w:val="en-US"/>
        </w:rPr>
        <w:t>, teachers and administrators</w:t>
      </w:r>
    </w:p>
    <w:p w14:paraId="3DF959F3" w14:textId="77777777" w:rsidR="00EC1B50" w:rsidRPr="00EC1B50" w:rsidRDefault="00EC1B50" w:rsidP="00EC1B50">
      <w:pPr>
        <w:pStyle w:val="ListParagraph"/>
        <w:numPr>
          <w:ilvl w:val="0"/>
          <w:numId w:val="98"/>
        </w:numPr>
        <w:tabs>
          <w:tab w:val="left" w:pos="1429"/>
        </w:tabs>
        <w:spacing w:after="240"/>
        <w:jc w:val="both"/>
        <w:rPr>
          <w:rFonts w:asciiTheme="minorBidi" w:eastAsia="Times New Roman" w:hAnsiTheme="minorBidi" w:cstheme="minorBidi"/>
          <w:sz w:val="22"/>
          <w:szCs w:val="22"/>
          <w:lang w:val="en-US"/>
        </w:rPr>
      </w:pPr>
      <w:r w:rsidRPr="00EC1B50">
        <w:rPr>
          <w:rFonts w:asciiTheme="minorBidi" w:eastAsia="Times New Roman" w:hAnsiTheme="minorBidi" w:cstheme="minorBidi"/>
          <w:sz w:val="22"/>
          <w:szCs w:val="22"/>
          <w:lang w:val="en-US"/>
        </w:rPr>
        <w:t>High School Students Summit in Japan's Kumamoto prefecture on 23 and 24 October, 526 students</w:t>
      </w:r>
    </w:p>
    <w:p w14:paraId="775EE3CF" w14:textId="54895AA3" w:rsidR="00674498" w:rsidRPr="00674498" w:rsidRDefault="00821FAC" w:rsidP="00674498">
      <w:pPr>
        <w:pStyle w:val="ListParagraph"/>
        <w:numPr>
          <w:ilvl w:val="0"/>
          <w:numId w:val="15"/>
        </w:numPr>
        <w:tabs>
          <w:tab w:val="left" w:pos="1429"/>
        </w:tabs>
        <w:spacing w:after="240"/>
        <w:ind w:hanging="706"/>
        <w:jc w:val="both"/>
        <w:rPr>
          <w:rFonts w:asciiTheme="minorBidi" w:eastAsia="Times New Roman" w:hAnsiTheme="minorBidi" w:cstheme="minorBidi"/>
          <w:sz w:val="22"/>
          <w:szCs w:val="22"/>
          <w:lang w:val="en-US"/>
        </w:rPr>
      </w:pPr>
      <w:r>
        <w:rPr>
          <w:rFonts w:asciiTheme="minorBidi" w:eastAsia="Times New Roman" w:hAnsiTheme="minorBidi" w:cstheme="minorBidi"/>
          <w:sz w:val="22"/>
          <w:szCs w:val="22"/>
          <w:lang w:val="en-US"/>
        </w:rPr>
        <w:tab/>
      </w:r>
      <w:r w:rsidR="00674498">
        <w:rPr>
          <w:rFonts w:asciiTheme="minorBidi" w:eastAsia="Times New Roman" w:hAnsiTheme="minorBidi" w:cstheme="minorBidi"/>
          <w:sz w:val="22"/>
          <w:szCs w:val="22"/>
          <w:lang w:val="en-US"/>
        </w:rPr>
        <w:t xml:space="preserve">With respect to UNDRR and IOC joint activities for 2025, Ms </w:t>
      </w:r>
      <w:proofErr w:type="spellStart"/>
      <w:r w:rsidR="00674498">
        <w:rPr>
          <w:rFonts w:asciiTheme="minorBidi" w:eastAsia="Times New Roman" w:hAnsiTheme="minorBidi" w:cstheme="minorBidi"/>
          <w:sz w:val="22"/>
          <w:szCs w:val="22"/>
          <w:lang w:val="en-US"/>
        </w:rPr>
        <w:t>Khabenkova</w:t>
      </w:r>
      <w:proofErr w:type="spellEnd"/>
      <w:r w:rsidR="00674498">
        <w:rPr>
          <w:rFonts w:asciiTheme="minorBidi" w:eastAsia="Times New Roman" w:hAnsiTheme="minorBidi" w:cstheme="minorBidi"/>
          <w:sz w:val="22"/>
          <w:szCs w:val="22"/>
          <w:lang w:val="en-US"/>
        </w:rPr>
        <w:t xml:space="preserve"> reported that they would like to </w:t>
      </w:r>
      <w:proofErr w:type="spellStart"/>
      <w:proofErr w:type="gramStart"/>
      <w:r w:rsidR="00674498">
        <w:rPr>
          <w:rFonts w:asciiTheme="minorBidi" w:eastAsia="Times New Roman" w:hAnsiTheme="minorBidi" w:cstheme="minorBidi"/>
          <w:sz w:val="22"/>
          <w:szCs w:val="22"/>
          <w:lang w:val="en-US"/>
        </w:rPr>
        <w:t>suggest:the</w:t>
      </w:r>
      <w:proofErr w:type="spellEnd"/>
      <w:proofErr w:type="gramEnd"/>
      <w:r w:rsidR="00674498">
        <w:rPr>
          <w:rFonts w:asciiTheme="minorBidi" w:eastAsia="Times New Roman" w:hAnsiTheme="minorBidi" w:cstheme="minorBidi"/>
          <w:sz w:val="22"/>
          <w:szCs w:val="22"/>
          <w:lang w:val="en-US"/>
        </w:rPr>
        <w:t xml:space="preserve"> following lead subjects: </w:t>
      </w:r>
    </w:p>
    <w:p w14:paraId="0B4260FF" w14:textId="3B13C58F" w:rsidR="00674498" w:rsidRPr="00674498" w:rsidRDefault="00674498" w:rsidP="00674498">
      <w:pPr>
        <w:pStyle w:val="ListParagraph"/>
        <w:numPr>
          <w:ilvl w:val="0"/>
          <w:numId w:val="102"/>
        </w:numPr>
        <w:tabs>
          <w:tab w:val="left" w:pos="1429"/>
        </w:tabs>
        <w:spacing w:after="240"/>
        <w:jc w:val="both"/>
        <w:rPr>
          <w:rFonts w:asciiTheme="minorBidi" w:eastAsia="Times New Roman" w:hAnsiTheme="minorBidi" w:cstheme="minorBidi"/>
          <w:sz w:val="22"/>
          <w:szCs w:val="22"/>
          <w:lang w:val="en-US"/>
        </w:rPr>
      </w:pPr>
      <w:r w:rsidRPr="00674498">
        <w:rPr>
          <w:rFonts w:asciiTheme="minorBidi" w:eastAsia="Times New Roman" w:hAnsiTheme="minorBidi" w:cstheme="minorBidi"/>
          <w:sz w:val="22"/>
          <w:szCs w:val="22"/>
          <w:lang w:val="en-US"/>
        </w:rPr>
        <w:t>World Tsunami Awareness Day 2025 Theme Co-development</w:t>
      </w:r>
    </w:p>
    <w:p w14:paraId="0C8FC70B" w14:textId="77777777" w:rsidR="00674498" w:rsidRPr="00674498" w:rsidRDefault="00674498" w:rsidP="00674498">
      <w:pPr>
        <w:pStyle w:val="ListParagraph"/>
        <w:numPr>
          <w:ilvl w:val="0"/>
          <w:numId w:val="102"/>
        </w:numPr>
        <w:tabs>
          <w:tab w:val="left" w:pos="1429"/>
        </w:tabs>
        <w:spacing w:after="240"/>
        <w:jc w:val="both"/>
        <w:rPr>
          <w:rFonts w:asciiTheme="minorBidi" w:eastAsia="Times New Roman" w:hAnsiTheme="minorBidi" w:cstheme="minorBidi"/>
          <w:sz w:val="22"/>
          <w:szCs w:val="22"/>
          <w:lang w:val="en-US"/>
        </w:rPr>
      </w:pPr>
      <w:r w:rsidRPr="00674498">
        <w:rPr>
          <w:rFonts w:asciiTheme="minorBidi" w:eastAsia="Times New Roman" w:hAnsiTheme="minorBidi" w:cstheme="minorBidi"/>
          <w:sz w:val="22"/>
          <w:szCs w:val="22"/>
          <w:lang w:val="en-US"/>
        </w:rPr>
        <w:t>Tsunami Ready Programme + Get to High Ground Campaign</w:t>
      </w:r>
    </w:p>
    <w:p w14:paraId="02D3B183" w14:textId="77777777" w:rsidR="00674498" w:rsidRPr="00674498" w:rsidRDefault="00674498" w:rsidP="00674498">
      <w:pPr>
        <w:pStyle w:val="ListParagraph"/>
        <w:numPr>
          <w:ilvl w:val="0"/>
          <w:numId w:val="102"/>
        </w:numPr>
        <w:tabs>
          <w:tab w:val="left" w:pos="1429"/>
        </w:tabs>
        <w:spacing w:after="240"/>
        <w:jc w:val="both"/>
        <w:rPr>
          <w:rFonts w:asciiTheme="minorBidi" w:eastAsia="Times New Roman" w:hAnsiTheme="minorBidi" w:cstheme="minorBidi"/>
          <w:sz w:val="22"/>
          <w:szCs w:val="22"/>
          <w:lang w:val="fr-FR"/>
        </w:rPr>
      </w:pPr>
      <w:r w:rsidRPr="00674498">
        <w:rPr>
          <w:rFonts w:asciiTheme="minorBidi" w:eastAsia="Times New Roman" w:hAnsiTheme="minorBidi" w:cstheme="minorBidi"/>
          <w:sz w:val="22"/>
          <w:szCs w:val="22"/>
          <w:lang w:val="en-US"/>
        </w:rPr>
        <w:t>Making Cities Resilient Program</w:t>
      </w:r>
    </w:p>
    <w:p w14:paraId="03C50CC2" w14:textId="6ACA41C7" w:rsidR="008D757F" w:rsidRPr="00DF46FE" w:rsidRDefault="008D757F" w:rsidP="00743E9E">
      <w:pPr>
        <w:pStyle w:val="Heading1"/>
        <w:numPr>
          <w:ilvl w:val="0"/>
          <w:numId w:val="0"/>
        </w:numPr>
        <w:ind w:left="720"/>
        <w:rPr>
          <w:lang w:val="en-US"/>
        </w:rPr>
      </w:pPr>
      <w:bookmarkStart w:id="101" w:name="_Toc195258101"/>
      <w:r w:rsidRPr="00DF46FE">
        <w:rPr>
          <w:lang w:val="en-US"/>
        </w:rPr>
        <w:t>2.2.2</w:t>
      </w:r>
      <w:r w:rsidRPr="00DF46FE">
        <w:rPr>
          <w:lang w:val="en-US"/>
        </w:rPr>
        <w:tab/>
      </w:r>
      <w:r w:rsidR="006201C2" w:rsidRPr="00DF46FE">
        <w:rPr>
          <w:lang w:val="en-US"/>
        </w:rPr>
        <w:t xml:space="preserve">World Meteorological Organization </w:t>
      </w:r>
      <w:r w:rsidR="00235036" w:rsidRPr="00DF46FE">
        <w:rPr>
          <w:lang w:val="en-US"/>
        </w:rPr>
        <w:t>(WMO)</w:t>
      </w:r>
      <w:bookmarkEnd w:id="101"/>
    </w:p>
    <w:p w14:paraId="05472AF1" w14:textId="41D68555" w:rsidR="00674498" w:rsidRPr="00674498" w:rsidRDefault="002A1091" w:rsidP="00C30399">
      <w:pPr>
        <w:pStyle w:val="paragraph"/>
        <w:numPr>
          <w:ilvl w:val="0"/>
          <w:numId w:val="13"/>
        </w:numPr>
        <w:tabs>
          <w:tab w:val="left" w:pos="709"/>
        </w:tabs>
        <w:rPr>
          <w:rFonts w:ascii="Arial" w:hAnsi="Arial" w:cs="Arial"/>
          <w:bCs w:val="0"/>
          <w:sz w:val="22"/>
          <w:szCs w:val="22"/>
          <w:lang w:val="en-US"/>
        </w:rPr>
      </w:pPr>
      <w:r w:rsidRPr="00674498">
        <w:rPr>
          <w:rFonts w:ascii="Arial" w:hAnsi="Arial" w:cs="Arial"/>
          <w:bCs w:val="0"/>
          <w:sz w:val="22"/>
          <w:szCs w:val="22"/>
        </w:rPr>
        <w:tab/>
      </w:r>
      <w:r w:rsidR="006F23F8" w:rsidRPr="00674498">
        <w:rPr>
          <w:rFonts w:ascii="Arial" w:hAnsi="Arial" w:cs="Arial"/>
          <w:bCs w:val="0"/>
          <w:sz w:val="22"/>
          <w:szCs w:val="22"/>
        </w:rPr>
        <w:t xml:space="preserve">Mr David Wyatt </w:t>
      </w:r>
      <w:r w:rsidR="008E1B7D" w:rsidRPr="00674498">
        <w:rPr>
          <w:rFonts w:ascii="Arial" w:hAnsi="Arial" w:cs="Arial"/>
          <w:bCs w:val="0"/>
          <w:sz w:val="22"/>
          <w:szCs w:val="22"/>
        </w:rPr>
        <w:t>presented</w:t>
      </w:r>
      <w:r w:rsidR="006F23F8" w:rsidRPr="00674498">
        <w:rPr>
          <w:rFonts w:ascii="Arial" w:hAnsi="Arial" w:cs="Arial"/>
          <w:bCs w:val="0"/>
          <w:sz w:val="22"/>
          <w:szCs w:val="22"/>
        </w:rPr>
        <w:t xml:space="preserve"> a</w:t>
      </w:r>
      <w:r w:rsidR="008E1B7D" w:rsidRPr="00674498">
        <w:rPr>
          <w:rFonts w:ascii="Arial" w:hAnsi="Arial" w:cs="Arial"/>
          <w:bCs w:val="0"/>
          <w:sz w:val="22"/>
          <w:szCs w:val="22"/>
        </w:rPr>
        <w:t xml:space="preserve"> </w:t>
      </w:r>
      <w:hyperlink r:id="rId35" w:history="1">
        <w:r w:rsidR="006F23F8" w:rsidRPr="00674498">
          <w:rPr>
            <w:rStyle w:val="Hyperlink"/>
            <w:rFonts w:cs="Arial"/>
            <w:bCs w:val="0"/>
            <w:szCs w:val="22"/>
          </w:rPr>
          <w:t>report</w:t>
        </w:r>
      </w:hyperlink>
      <w:r w:rsidR="006F23F8" w:rsidRPr="00674498">
        <w:rPr>
          <w:rFonts w:ascii="Arial" w:hAnsi="Arial" w:cs="Arial"/>
          <w:bCs w:val="0"/>
          <w:sz w:val="22"/>
          <w:szCs w:val="22"/>
        </w:rPr>
        <w:t xml:space="preserve"> </w:t>
      </w:r>
      <w:r w:rsidR="008E1B7D" w:rsidRPr="00674498">
        <w:rPr>
          <w:rFonts w:ascii="Arial" w:hAnsi="Arial" w:cs="Arial"/>
          <w:bCs w:val="0"/>
          <w:sz w:val="22"/>
          <w:szCs w:val="22"/>
        </w:rPr>
        <w:t>on this item (available as a presentation).</w:t>
      </w:r>
      <w:r w:rsidR="00674498" w:rsidRPr="00674498">
        <w:rPr>
          <w:rFonts w:ascii="Arial" w:hAnsi="Arial" w:cs="Arial"/>
          <w:bCs w:val="0"/>
          <w:sz w:val="22"/>
          <w:szCs w:val="22"/>
        </w:rPr>
        <w:t xml:space="preserve"> He reported that WMO has got n</w:t>
      </w:r>
      <w:proofErr w:type="spellStart"/>
      <w:r w:rsidR="00674498" w:rsidRPr="00674498">
        <w:rPr>
          <w:rFonts w:ascii="Arial" w:hAnsi="Arial" w:cs="Arial"/>
          <w:bCs w:val="0"/>
          <w:sz w:val="22"/>
          <w:szCs w:val="22"/>
          <w:lang w:val="en-US"/>
        </w:rPr>
        <w:t>ew</w:t>
      </w:r>
      <w:proofErr w:type="spellEnd"/>
      <w:r w:rsidR="00674498" w:rsidRPr="00674498">
        <w:rPr>
          <w:rFonts w:ascii="Arial" w:hAnsi="Arial" w:cs="Arial"/>
          <w:bCs w:val="0"/>
          <w:sz w:val="22"/>
          <w:szCs w:val="22"/>
          <w:lang w:val="en-US"/>
        </w:rPr>
        <w:t xml:space="preserve"> Executive Management for the period 2024 to 2027 and it will be celebrating its </w:t>
      </w:r>
      <w:r w:rsidR="00674498" w:rsidRPr="00674498">
        <w:rPr>
          <w:rFonts w:ascii="Arial" w:hAnsi="Arial" w:cs="Arial"/>
          <w:bCs w:val="0"/>
          <w:sz w:val="22"/>
          <w:szCs w:val="22"/>
        </w:rPr>
        <w:t>75</w:t>
      </w:r>
      <w:r w:rsidR="00674498" w:rsidRPr="00674498">
        <w:rPr>
          <w:rFonts w:ascii="Arial" w:hAnsi="Arial" w:cs="Arial"/>
          <w:bCs w:val="0"/>
          <w:sz w:val="22"/>
          <w:szCs w:val="22"/>
          <w:vertAlign w:val="superscript"/>
        </w:rPr>
        <w:t>th</w:t>
      </w:r>
      <w:r w:rsidR="00674498" w:rsidRPr="00674498">
        <w:rPr>
          <w:rFonts w:ascii="Arial" w:hAnsi="Arial" w:cs="Arial"/>
          <w:bCs w:val="0"/>
          <w:sz w:val="22"/>
          <w:szCs w:val="22"/>
        </w:rPr>
        <w:t xml:space="preserve"> Anniversary in 2025.</w:t>
      </w:r>
    </w:p>
    <w:p w14:paraId="750B58E7" w14:textId="2ADC9E6F" w:rsidR="008147FA" w:rsidRPr="008147FA" w:rsidRDefault="00674498" w:rsidP="00315BBB">
      <w:pPr>
        <w:pStyle w:val="paragraph"/>
        <w:numPr>
          <w:ilvl w:val="0"/>
          <w:numId w:val="13"/>
        </w:numPr>
        <w:tabs>
          <w:tab w:val="clear" w:pos="1429"/>
          <w:tab w:val="left" w:pos="709"/>
        </w:tabs>
        <w:spacing w:before="0" w:beforeAutospacing="0"/>
        <w:rPr>
          <w:rFonts w:ascii="Arial" w:eastAsia="SimSun" w:hAnsi="Arial" w:cs="Arial"/>
          <w:sz w:val="22"/>
          <w:szCs w:val="22"/>
          <w:lang w:val="en-US" w:eastAsia="zh-CN"/>
        </w:rPr>
      </w:pPr>
      <w:r w:rsidRPr="008147FA">
        <w:rPr>
          <w:rFonts w:ascii="Arial" w:hAnsi="Arial" w:cs="Arial"/>
          <w:bCs w:val="0"/>
          <w:sz w:val="22"/>
          <w:szCs w:val="22"/>
        </w:rPr>
        <w:t xml:space="preserve">Mr Wyat then informed </w:t>
      </w:r>
      <w:r w:rsidR="008147FA" w:rsidRPr="008147FA">
        <w:rPr>
          <w:rFonts w:ascii="Arial" w:hAnsi="Arial" w:cs="Arial"/>
          <w:bCs w:val="0"/>
          <w:sz w:val="22"/>
          <w:szCs w:val="22"/>
        </w:rPr>
        <w:t xml:space="preserve">the group </w:t>
      </w:r>
      <w:r w:rsidRPr="008147FA">
        <w:rPr>
          <w:rFonts w:ascii="Arial" w:hAnsi="Arial" w:cs="Arial"/>
          <w:bCs w:val="0"/>
          <w:sz w:val="22"/>
          <w:szCs w:val="22"/>
        </w:rPr>
        <w:t xml:space="preserve">about </w:t>
      </w:r>
      <w:r w:rsidR="008147FA" w:rsidRPr="008147FA">
        <w:rPr>
          <w:rFonts w:ascii="Arial" w:hAnsi="Arial" w:cs="Arial"/>
          <w:bCs w:val="0"/>
          <w:sz w:val="22"/>
          <w:szCs w:val="22"/>
        </w:rPr>
        <w:t>the s</w:t>
      </w:r>
      <w:r w:rsidRPr="008147FA">
        <w:rPr>
          <w:rFonts w:ascii="Arial" w:hAnsi="Arial" w:cs="Arial"/>
          <w:sz w:val="22"/>
          <w:szCs w:val="22"/>
        </w:rPr>
        <w:t>econd WMO-IMO Symposium on Extreme Maritime Weather (London, UK, 23-26 Sept. 2024)</w:t>
      </w:r>
      <w:r w:rsidR="008147FA" w:rsidRPr="008147FA">
        <w:rPr>
          <w:rFonts w:ascii="Arial" w:hAnsi="Arial" w:cs="Arial"/>
          <w:sz w:val="22"/>
          <w:szCs w:val="22"/>
        </w:rPr>
        <w:t xml:space="preserve">, the </w:t>
      </w:r>
      <w:r w:rsidR="008147FA" w:rsidRPr="008147FA">
        <w:rPr>
          <w:rFonts w:ascii="Arial" w:hAnsi="Arial" w:cs="Arial"/>
          <w:sz w:val="22"/>
          <w:szCs w:val="22"/>
          <w:lang w:val="en-US"/>
        </w:rPr>
        <w:t xml:space="preserve">WMO Integrated Processing and Prediction System (WIPPS) </w:t>
      </w:r>
      <w:r w:rsidR="008147FA" w:rsidRPr="008147FA">
        <w:rPr>
          <w:rFonts w:ascii="Arial" w:hAnsi="Arial" w:cs="Arial"/>
          <w:sz w:val="22"/>
          <w:szCs w:val="22"/>
        </w:rPr>
        <w:t xml:space="preserve">Compliance review </w:t>
      </w:r>
      <w:r w:rsidR="008147FA" w:rsidRPr="008147FA">
        <w:rPr>
          <w:rFonts w:ascii="Arial" w:hAnsi="Arial" w:cs="Arial"/>
          <w:sz w:val="22"/>
          <w:szCs w:val="22"/>
          <w:lang w:val="en-US"/>
        </w:rPr>
        <w:t xml:space="preserve">Overview, the </w:t>
      </w:r>
      <w:r w:rsidR="008147FA" w:rsidRPr="008147FA">
        <w:rPr>
          <w:rFonts w:ascii="Arial" w:hAnsi="Arial" w:cs="Arial"/>
          <w:sz w:val="22"/>
          <w:szCs w:val="22"/>
        </w:rPr>
        <w:t xml:space="preserve">Early Warnings for All (EW4All) </w:t>
      </w:r>
      <w:r w:rsidR="008147FA" w:rsidRPr="008147FA">
        <w:rPr>
          <w:rFonts w:ascii="Arial" w:hAnsi="Arial" w:cs="Arial"/>
          <w:sz w:val="22"/>
          <w:szCs w:val="22"/>
        </w:rPr>
        <w:lastRenderedPageBreak/>
        <w:t xml:space="preserve">recent developments, and the </w:t>
      </w:r>
      <w:r w:rsidR="008147FA" w:rsidRPr="008147FA">
        <w:rPr>
          <w:rFonts w:ascii="Arial" w:eastAsia="SimSun" w:hAnsi="Arial" w:cs="Arial"/>
          <w:sz w:val="22"/>
          <w:szCs w:val="22"/>
          <w:lang w:val="en-US" w:eastAsia="zh-CN"/>
        </w:rPr>
        <w:t>K</w:t>
      </w:r>
      <w:proofErr w:type="spellStart"/>
      <w:r w:rsidR="008147FA" w:rsidRPr="008147FA">
        <w:rPr>
          <w:rFonts w:ascii="Arial" w:eastAsia="SimSun" w:hAnsi="Arial" w:cs="Arial"/>
          <w:sz w:val="22"/>
          <w:szCs w:val="22"/>
          <w:lang w:eastAsia="zh-CN"/>
        </w:rPr>
        <w:t>ey</w:t>
      </w:r>
      <w:proofErr w:type="spellEnd"/>
      <w:r w:rsidR="008147FA" w:rsidRPr="008147FA">
        <w:rPr>
          <w:rFonts w:ascii="Arial" w:eastAsia="SimSun" w:hAnsi="Arial" w:cs="Arial"/>
          <w:sz w:val="22"/>
          <w:szCs w:val="22"/>
          <w:lang w:eastAsia="zh-CN"/>
        </w:rPr>
        <w:t xml:space="preserve"> Events</w:t>
      </w:r>
      <w:r w:rsidR="008147FA" w:rsidRPr="008147FA">
        <w:rPr>
          <w:rFonts w:ascii="Arial" w:eastAsia="SimSun" w:hAnsi="Arial" w:cs="Arial"/>
          <w:sz w:val="22"/>
          <w:szCs w:val="22"/>
          <w:lang w:val="en-US" w:eastAsia="zh-CN"/>
        </w:rPr>
        <w:t xml:space="preserve"> ahead </w:t>
      </w:r>
      <w:proofErr w:type="spellStart"/>
      <w:r w:rsidR="008147FA" w:rsidRPr="008147FA">
        <w:rPr>
          <w:rFonts w:ascii="Arial" w:hAnsi="Arial" w:cs="Arial"/>
          <w:sz w:val="22"/>
          <w:szCs w:val="22"/>
          <w:lang w:val="en-US"/>
        </w:rPr>
        <w:t>incklhding</w:t>
      </w:r>
      <w:proofErr w:type="spellEnd"/>
      <w:r w:rsidR="008147FA" w:rsidRPr="008147FA">
        <w:rPr>
          <w:rFonts w:ascii="Arial" w:hAnsi="Arial" w:cs="Arial"/>
          <w:sz w:val="22"/>
          <w:szCs w:val="22"/>
          <w:lang w:val="en-US"/>
        </w:rPr>
        <w:t xml:space="preserve"> the Executive Council 79, Geneva, 16-20 June 2025</w:t>
      </w:r>
    </w:p>
    <w:p w14:paraId="7DDE674E" w14:textId="012B4154" w:rsidR="00EB6355" w:rsidRPr="00DF46FE" w:rsidRDefault="00EB6355" w:rsidP="006F23F8">
      <w:pPr>
        <w:pStyle w:val="Heading1"/>
        <w:numPr>
          <w:ilvl w:val="0"/>
          <w:numId w:val="0"/>
        </w:numPr>
        <w:ind w:left="720"/>
        <w:rPr>
          <w:lang w:val="en-US"/>
        </w:rPr>
      </w:pPr>
      <w:bookmarkStart w:id="102" w:name="_Toc195258102"/>
      <w:r w:rsidRPr="00DF46FE">
        <w:rPr>
          <w:lang w:val="en-US"/>
        </w:rPr>
        <w:t>2.2.</w:t>
      </w:r>
      <w:r w:rsidR="00A87B3D">
        <w:rPr>
          <w:lang w:val="en-US"/>
        </w:rPr>
        <w:t>3</w:t>
      </w:r>
      <w:r w:rsidRPr="00DF46FE">
        <w:rPr>
          <w:lang w:val="en-US"/>
        </w:rPr>
        <w:tab/>
      </w:r>
      <w:r w:rsidR="00567972" w:rsidRPr="00567972">
        <w:rPr>
          <w:lang w:val="en-US"/>
        </w:rPr>
        <w:t xml:space="preserve">International Union of Geodesy and Geophysics </w:t>
      </w:r>
      <w:r w:rsidR="00567972">
        <w:rPr>
          <w:lang w:val="en-US"/>
        </w:rPr>
        <w:t>(</w:t>
      </w:r>
      <w:r w:rsidR="000E5294">
        <w:rPr>
          <w:lang w:val="en-US"/>
        </w:rPr>
        <w:t>IUGG</w:t>
      </w:r>
      <w:r w:rsidR="00567972">
        <w:rPr>
          <w:lang w:val="en-US"/>
        </w:rPr>
        <w:t>)</w:t>
      </w:r>
      <w:r w:rsidR="006F23F8" w:rsidRPr="006F23F8">
        <w:rPr>
          <w:rFonts w:cs="Times New Roman"/>
          <w:kern w:val="28"/>
          <w:lang w:val="en-US"/>
        </w:rPr>
        <w:t xml:space="preserve"> </w:t>
      </w:r>
      <w:r w:rsidR="006F23F8" w:rsidRPr="006F23F8">
        <w:rPr>
          <w:lang w:val="en-US"/>
        </w:rPr>
        <w:t>Joint Tsunami Commission</w:t>
      </w:r>
      <w:r w:rsidR="00654B11">
        <w:rPr>
          <w:lang w:val="en-US"/>
        </w:rPr>
        <w:t xml:space="preserve"> (JTC)</w:t>
      </w:r>
      <w:bookmarkEnd w:id="102"/>
    </w:p>
    <w:p w14:paraId="41ECAD87" w14:textId="2CD05304" w:rsidR="000E5294" w:rsidRDefault="00F16FEE" w:rsidP="002B6ED7">
      <w:pPr>
        <w:pStyle w:val="paragraph"/>
        <w:numPr>
          <w:ilvl w:val="0"/>
          <w:numId w:val="13"/>
        </w:numPr>
        <w:tabs>
          <w:tab w:val="clear" w:pos="1429"/>
          <w:tab w:val="left" w:pos="709"/>
        </w:tabs>
        <w:spacing w:before="0" w:beforeAutospacing="0"/>
        <w:rPr>
          <w:rFonts w:ascii="Arial" w:hAnsi="Arial" w:cs="Arial"/>
          <w:sz w:val="22"/>
          <w:szCs w:val="22"/>
          <w:lang w:val="en-US"/>
        </w:rPr>
      </w:pPr>
      <w:bookmarkStart w:id="103" w:name="_Hlk64493328"/>
      <w:r>
        <w:rPr>
          <w:rFonts w:ascii="Arial" w:hAnsi="Arial" w:cs="Arial"/>
          <w:sz w:val="22"/>
          <w:szCs w:val="22"/>
          <w:lang w:val="en-US"/>
        </w:rPr>
        <w:tab/>
      </w:r>
      <w:r w:rsidR="007E4A87">
        <w:rPr>
          <w:rFonts w:ascii="Arial" w:hAnsi="Arial" w:cs="Arial"/>
          <w:sz w:val="22"/>
          <w:szCs w:val="22"/>
          <w:lang w:val="en-US"/>
        </w:rPr>
        <w:t>Ms Laura</w:t>
      </w:r>
      <w:r w:rsidR="000E5294" w:rsidRPr="00290A38">
        <w:rPr>
          <w:rFonts w:ascii="Arial" w:hAnsi="Arial" w:cs="Arial"/>
          <w:sz w:val="22"/>
          <w:szCs w:val="22"/>
          <w:lang w:val="en-US"/>
        </w:rPr>
        <w:t xml:space="preserve"> Kong (USA, ITIC)</w:t>
      </w:r>
      <w:r w:rsidR="00290A38" w:rsidRPr="00290A38">
        <w:rPr>
          <w:rFonts w:ascii="Arial" w:hAnsi="Arial" w:cs="Arial"/>
          <w:sz w:val="22"/>
          <w:szCs w:val="22"/>
          <w:lang w:val="en-US"/>
        </w:rPr>
        <w:t xml:space="preserve"> presented </w:t>
      </w:r>
      <w:bookmarkStart w:id="104" w:name="_Hlk194947134"/>
      <w:r w:rsidR="00290A38" w:rsidRPr="00290A38">
        <w:rPr>
          <w:rFonts w:ascii="Arial" w:hAnsi="Arial" w:cs="Arial"/>
          <w:sz w:val="22"/>
          <w:szCs w:val="22"/>
          <w:lang w:val="en-US"/>
        </w:rPr>
        <w:t>t</w:t>
      </w:r>
      <w:r w:rsidR="00290A38">
        <w:rPr>
          <w:rFonts w:ascii="Arial" w:hAnsi="Arial" w:cs="Arial"/>
          <w:sz w:val="22"/>
          <w:szCs w:val="22"/>
          <w:lang w:val="en-US"/>
        </w:rPr>
        <w:t xml:space="preserve">he report on this </w:t>
      </w:r>
      <w:proofErr w:type="gramStart"/>
      <w:r w:rsidR="00290A38">
        <w:rPr>
          <w:rFonts w:ascii="Arial" w:hAnsi="Arial" w:cs="Arial"/>
          <w:sz w:val="22"/>
          <w:szCs w:val="22"/>
          <w:lang w:val="en-US"/>
        </w:rPr>
        <w:t>item</w:t>
      </w:r>
      <w:proofErr w:type="gramEnd"/>
      <w:r>
        <w:rPr>
          <w:rFonts w:ascii="Arial" w:hAnsi="Arial" w:cs="Arial"/>
          <w:sz w:val="22"/>
          <w:szCs w:val="22"/>
          <w:lang w:val="en-US"/>
        </w:rPr>
        <w:t xml:space="preserve"> (available as a </w:t>
      </w:r>
      <w:hyperlink r:id="rId36" w:history="1">
        <w:r w:rsidRPr="00C25668">
          <w:rPr>
            <w:rStyle w:val="Hyperlink"/>
            <w:rFonts w:cs="Arial"/>
            <w:szCs w:val="22"/>
            <w:lang w:val="en-US"/>
          </w:rPr>
          <w:t>presentation</w:t>
        </w:r>
      </w:hyperlink>
      <w:r>
        <w:rPr>
          <w:rFonts w:ascii="Arial" w:hAnsi="Arial" w:cs="Arial"/>
          <w:sz w:val="22"/>
          <w:szCs w:val="22"/>
          <w:lang w:val="en-US"/>
        </w:rPr>
        <w:t>).</w:t>
      </w:r>
    </w:p>
    <w:bookmarkEnd w:id="104"/>
    <w:p w14:paraId="51673A8A" w14:textId="08B6BF6B" w:rsidR="00754CBD" w:rsidRDefault="00F16FEE" w:rsidP="008147FA">
      <w:pPr>
        <w:pStyle w:val="paragraph"/>
        <w:numPr>
          <w:ilvl w:val="0"/>
          <w:numId w:val="13"/>
        </w:numPr>
        <w:tabs>
          <w:tab w:val="clear" w:pos="1429"/>
          <w:tab w:val="left" w:pos="709"/>
        </w:tabs>
        <w:spacing w:before="0" w:beforeAutospacing="0"/>
        <w:rPr>
          <w:rFonts w:ascii="Arial" w:hAnsi="Arial" w:cs="Arial"/>
          <w:sz w:val="22"/>
          <w:szCs w:val="22"/>
          <w:lang w:val="en-US"/>
        </w:rPr>
      </w:pPr>
      <w:r>
        <w:rPr>
          <w:rFonts w:ascii="Arial" w:hAnsi="Arial" w:cs="Arial"/>
          <w:sz w:val="22"/>
          <w:szCs w:val="22"/>
          <w:lang w:val="en-US"/>
        </w:rPr>
        <w:tab/>
      </w:r>
      <w:r w:rsidR="007E4A87">
        <w:rPr>
          <w:rFonts w:ascii="Arial" w:hAnsi="Arial" w:cs="Arial"/>
          <w:sz w:val="22"/>
          <w:szCs w:val="22"/>
          <w:lang w:val="en-US"/>
        </w:rPr>
        <w:t>Ms Kong</w:t>
      </w:r>
      <w:r w:rsidR="00AF53B8">
        <w:rPr>
          <w:rFonts w:ascii="Arial" w:hAnsi="Arial" w:cs="Arial"/>
          <w:sz w:val="22"/>
          <w:szCs w:val="22"/>
          <w:lang w:val="en-US"/>
        </w:rPr>
        <w:t xml:space="preserve"> </w:t>
      </w:r>
      <w:r w:rsidR="008147FA">
        <w:rPr>
          <w:rFonts w:ascii="Arial" w:hAnsi="Arial" w:cs="Arial"/>
          <w:sz w:val="22"/>
          <w:szCs w:val="22"/>
          <w:lang w:val="en-US"/>
        </w:rPr>
        <w:t xml:space="preserve">recalled the several ongoing cooperation initiatives between IOC and JTC including during the </w:t>
      </w:r>
      <w:r w:rsidR="008147FA" w:rsidRPr="008147FA">
        <w:rPr>
          <w:rFonts w:ascii="Arial" w:hAnsi="Arial" w:cs="Arial"/>
          <w:sz w:val="22"/>
          <w:szCs w:val="22"/>
          <w:lang w:val="en-US"/>
        </w:rPr>
        <w:t>2nd Global Tsunami Symposium</w:t>
      </w:r>
      <w:r w:rsidR="008147FA">
        <w:rPr>
          <w:rFonts w:ascii="Arial" w:hAnsi="Arial" w:cs="Arial"/>
          <w:sz w:val="22"/>
          <w:szCs w:val="22"/>
          <w:lang w:val="en-US"/>
        </w:rPr>
        <w:t xml:space="preserve"> </w:t>
      </w:r>
      <w:r w:rsidR="008147FA" w:rsidRPr="008147FA">
        <w:rPr>
          <w:rFonts w:ascii="Arial" w:hAnsi="Arial" w:cs="Arial"/>
          <w:sz w:val="22"/>
          <w:szCs w:val="22"/>
          <w:lang w:val="en-US"/>
        </w:rPr>
        <w:t>2024</w:t>
      </w:r>
      <w:r w:rsidR="008147FA">
        <w:rPr>
          <w:rFonts w:ascii="Arial" w:hAnsi="Arial" w:cs="Arial"/>
          <w:sz w:val="22"/>
          <w:szCs w:val="22"/>
          <w:lang w:val="en-US"/>
        </w:rPr>
        <w:t xml:space="preserve">, which </w:t>
      </w:r>
      <w:proofErr w:type="spellStart"/>
      <w:r w:rsidR="008147FA">
        <w:rPr>
          <w:rFonts w:ascii="Arial" w:hAnsi="Arial" w:cs="Arial"/>
          <w:sz w:val="22"/>
          <w:szCs w:val="22"/>
          <w:lang w:val="en-US"/>
        </w:rPr>
        <w:t>incouded</w:t>
      </w:r>
      <w:proofErr w:type="spellEnd"/>
      <w:r w:rsidR="008147FA">
        <w:rPr>
          <w:rFonts w:ascii="Arial" w:hAnsi="Arial" w:cs="Arial"/>
          <w:sz w:val="22"/>
          <w:szCs w:val="22"/>
          <w:lang w:val="en-US"/>
        </w:rPr>
        <w:t xml:space="preserve"> a </w:t>
      </w:r>
      <w:r w:rsidR="008147FA" w:rsidRPr="008147FA">
        <w:rPr>
          <w:rFonts w:ascii="Arial" w:hAnsi="Arial" w:cs="Arial"/>
          <w:sz w:val="22"/>
          <w:szCs w:val="22"/>
          <w:lang w:val="en-US"/>
        </w:rPr>
        <w:t xml:space="preserve">JTC IUGG Special </w:t>
      </w:r>
      <w:proofErr w:type="spellStart"/>
      <w:r w:rsidR="008147FA" w:rsidRPr="008147FA">
        <w:rPr>
          <w:rFonts w:ascii="Arial" w:hAnsi="Arial" w:cs="Arial"/>
          <w:sz w:val="22"/>
          <w:szCs w:val="22"/>
          <w:lang w:val="en-US"/>
        </w:rPr>
        <w:t>Session</w:t>
      </w:r>
      <w:r w:rsidR="008147FA">
        <w:rPr>
          <w:rFonts w:ascii="Arial" w:hAnsi="Arial" w:cs="Arial"/>
          <w:sz w:val="22"/>
          <w:szCs w:val="22"/>
          <w:lang w:val="en-US"/>
        </w:rPr>
        <w:t>on</w:t>
      </w:r>
      <w:proofErr w:type="spellEnd"/>
      <w:r w:rsidR="008147FA" w:rsidRPr="008147FA">
        <w:rPr>
          <w:rFonts w:ascii="Arial" w:hAnsi="Arial" w:cs="Arial"/>
          <w:sz w:val="22"/>
          <w:szCs w:val="22"/>
          <w:lang w:val="en-US"/>
        </w:rPr>
        <w:t xml:space="preserve">- 9 Nov 2024, </w:t>
      </w:r>
      <w:r w:rsidR="008147FA">
        <w:rPr>
          <w:rFonts w:ascii="Arial" w:hAnsi="Arial" w:cs="Arial"/>
          <w:sz w:val="22"/>
          <w:szCs w:val="22"/>
          <w:lang w:val="en-US"/>
        </w:rPr>
        <w:t xml:space="preserve">in Banda Aceh, Indonesia. </w:t>
      </w:r>
      <w:r w:rsidR="00654B11">
        <w:rPr>
          <w:rFonts w:ascii="Arial" w:hAnsi="Arial" w:cs="Arial"/>
          <w:sz w:val="22"/>
          <w:szCs w:val="22"/>
          <w:lang w:val="en-US"/>
        </w:rPr>
        <w:t>Also,</w:t>
      </w:r>
      <w:r w:rsidR="008147FA">
        <w:rPr>
          <w:rFonts w:ascii="Arial" w:hAnsi="Arial" w:cs="Arial"/>
          <w:sz w:val="22"/>
          <w:szCs w:val="22"/>
          <w:lang w:val="en-US"/>
        </w:rPr>
        <w:t xml:space="preserve"> the work on the </w:t>
      </w:r>
      <w:r w:rsidR="008147FA" w:rsidRPr="008147FA">
        <w:rPr>
          <w:rFonts w:ascii="Arial" w:hAnsi="Arial" w:cs="Arial"/>
          <w:sz w:val="22"/>
          <w:szCs w:val="22"/>
          <w:lang w:val="en-US"/>
        </w:rPr>
        <w:t>Tsunami Glossary 2025</w:t>
      </w:r>
      <w:r w:rsidR="008147FA">
        <w:rPr>
          <w:rFonts w:ascii="Arial" w:hAnsi="Arial" w:cs="Arial"/>
          <w:sz w:val="22"/>
          <w:szCs w:val="22"/>
          <w:lang w:val="en-US"/>
        </w:rPr>
        <w:t xml:space="preserve">, and the participation of JTC members in several Working Groups and Task teams of IOC and WMO, as well as in the Ocean Decade Tsunami </w:t>
      </w:r>
      <w:proofErr w:type="spellStart"/>
      <w:r w:rsidR="008147FA">
        <w:rPr>
          <w:rFonts w:ascii="Arial" w:hAnsi="Arial" w:cs="Arial"/>
          <w:sz w:val="22"/>
          <w:szCs w:val="22"/>
          <w:lang w:val="en-US"/>
        </w:rPr>
        <w:t>programme</w:t>
      </w:r>
      <w:proofErr w:type="spellEnd"/>
      <w:r w:rsidR="008147FA">
        <w:rPr>
          <w:rFonts w:ascii="Arial" w:hAnsi="Arial" w:cs="Arial"/>
          <w:sz w:val="22"/>
          <w:szCs w:val="22"/>
          <w:lang w:val="en-US"/>
        </w:rPr>
        <w:t xml:space="preserve"> Scientific Committee (ODTP-SC). She noted that at the kind invitation of the Government of India, the Indian National </w:t>
      </w:r>
      <w:r w:rsidR="00654B11">
        <w:rPr>
          <w:rFonts w:ascii="Arial" w:hAnsi="Arial" w:cs="Arial"/>
          <w:sz w:val="22"/>
          <w:szCs w:val="22"/>
          <w:lang w:val="en-US"/>
        </w:rPr>
        <w:t>Centre</w:t>
      </w:r>
      <w:r w:rsidR="008147FA">
        <w:rPr>
          <w:rFonts w:ascii="Arial" w:hAnsi="Arial" w:cs="Arial"/>
          <w:sz w:val="22"/>
          <w:szCs w:val="22"/>
          <w:lang w:val="en-US"/>
        </w:rPr>
        <w:t xml:space="preserve"> </w:t>
      </w:r>
      <w:r w:rsidR="00654B11">
        <w:rPr>
          <w:rFonts w:ascii="Arial" w:hAnsi="Arial" w:cs="Arial"/>
          <w:sz w:val="22"/>
          <w:szCs w:val="22"/>
          <w:lang w:val="en-US"/>
        </w:rPr>
        <w:t>for Oceanography</w:t>
      </w:r>
      <w:r w:rsidR="008147FA">
        <w:rPr>
          <w:rFonts w:ascii="Arial" w:hAnsi="Arial" w:cs="Arial"/>
          <w:sz w:val="22"/>
          <w:szCs w:val="22"/>
          <w:lang w:val="en-US"/>
        </w:rPr>
        <w:t xml:space="preserve"> (INCOIS) will be hosting the </w:t>
      </w:r>
      <w:r w:rsidR="00654B11">
        <w:rPr>
          <w:rFonts w:ascii="Arial" w:hAnsi="Arial" w:cs="Arial"/>
          <w:sz w:val="22"/>
          <w:szCs w:val="22"/>
          <w:lang w:val="en-US"/>
        </w:rPr>
        <w:t xml:space="preserve">JTC organized </w:t>
      </w:r>
      <w:r w:rsidR="008147FA">
        <w:rPr>
          <w:rFonts w:ascii="Arial" w:hAnsi="Arial" w:cs="Arial"/>
          <w:sz w:val="22"/>
          <w:szCs w:val="22"/>
          <w:lang w:val="en-US"/>
        </w:rPr>
        <w:t>International Tsunami Symposium in November 2025.</w:t>
      </w:r>
    </w:p>
    <w:p w14:paraId="1C523620" w14:textId="1203B08A" w:rsidR="00AB441C" w:rsidRPr="00DF46FE" w:rsidRDefault="00AB441C" w:rsidP="00E15450">
      <w:pPr>
        <w:pStyle w:val="Heading1"/>
        <w:numPr>
          <w:ilvl w:val="0"/>
          <w:numId w:val="0"/>
        </w:numPr>
        <w:ind w:left="720"/>
        <w:rPr>
          <w:lang w:val="en-US"/>
        </w:rPr>
      </w:pPr>
      <w:bookmarkStart w:id="105" w:name="_Toc195258103"/>
      <w:r w:rsidRPr="00DF46FE">
        <w:rPr>
          <w:lang w:val="en-US"/>
        </w:rPr>
        <w:t>2.2.</w:t>
      </w:r>
      <w:r>
        <w:rPr>
          <w:lang w:val="en-US"/>
        </w:rPr>
        <w:t>4</w:t>
      </w:r>
      <w:r w:rsidRPr="00DF46FE">
        <w:rPr>
          <w:lang w:val="en-US"/>
        </w:rPr>
        <w:tab/>
      </w:r>
      <w:r w:rsidR="006F23F8">
        <w:rPr>
          <w:lang w:val="en-US"/>
        </w:rPr>
        <w:t>Joint Task Force (J</w:t>
      </w:r>
      <w:r w:rsidR="006F23F8" w:rsidRPr="006F23F8">
        <w:rPr>
          <w:lang w:val="en-US"/>
        </w:rPr>
        <w:t>TF</w:t>
      </w:r>
      <w:r w:rsidR="006F23F8">
        <w:rPr>
          <w:lang w:val="en-US"/>
        </w:rPr>
        <w:t xml:space="preserve">) on </w:t>
      </w:r>
      <w:r w:rsidR="006F23F8" w:rsidRPr="006F23F8">
        <w:rPr>
          <w:lang w:val="en-US"/>
        </w:rPr>
        <w:t>SMART Cables</w:t>
      </w:r>
      <w:bookmarkEnd w:id="105"/>
    </w:p>
    <w:bookmarkEnd w:id="103"/>
    <w:p w14:paraId="038CA612" w14:textId="39413637" w:rsidR="00654B11" w:rsidRDefault="00F26536" w:rsidP="00654B11">
      <w:pPr>
        <w:pStyle w:val="paragraph"/>
        <w:numPr>
          <w:ilvl w:val="0"/>
          <w:numId w:val="13"/>
        </w:numPr>
        <w:tabs>
          <w:tab w:val="clear" w:pos="1429"/>
          <w:tab w:val="left" w:pos="709"/>
        </w:tabs>
        <w:spacing w:before="0" w:beforeAutospacing="0"/>
        <w:rPr>
          <w:rFonts w:ascii="Arial" w:hAnsi="Arial" w:cs="Arial"/>
          <w:sz w:val="22"/>
          <w:szCs w:val="22"/>
          <w:lang w:val="en-US"/>
        </w:rPr>
      </w:pPr>
      <w:r>
        <w:rPr>
          <w:rFonts w:ascii="Arial" w:hAnsi="Arial" w:cs="Arial"/>
          <w:sz w:val="22"/>
          <w:szCs w:val="22"/>
          <w:lang w:val="en-US"/>
        </w:rPr>
        <w:tab/>
      </w:r>
      <w:proofErr w:type="spellStart"/>
      <w:r w:rsidR="006F23F8">
        <w:rPr>
          <w:rFonts w:ascii="Arial" w:hAnsi="Arial" w:cs="Arial"/>
          <w:bCs w:val="0"/>
          <w:sz w:val="22"/>
          <w:szCs w:val="22"/>
          <w:lang w:val="en-US"/>
        </w:rPr>
        <w:t>M</w:t>
      </w:r>
      <w:r w:rsidR="006F23F8" w:rsidRPr="006F23F8">
        <w:rPr>
          <w:rFonts w:ascii="Arial" w:hAnsi="Arial" w:cs="Arial"/>
          <w:bCs w:val="0"/>
          <w:sz w:val="22"/>
          <w:szCs w:val="22"/>
          <w:lang w:val="en-US"/>
        </w:rPr>
        <w:t>r</w:t>
      </w:r>
      <w:proofErr w:type="spellEnd"/>
      <w:r w:rsidR="006F23F8" w:rsidRPr="006F23F8">
        <w:rPr>
          <w:rFonts w:ascii="Arial" w:hAnsi="Arial" w:cs="Arial"/>
          <w:bCs w:val="0"/>
          <w:sz w:val="22"/>
          <w:szCs w:val="22"/>
          <w:lang w:val="en-US"/>
        </w:rPr>
        <w:t xml:space="preserve"> Juan Jose Dañobeitia</w:t>
      </w:r>
      <w:r w:rsidR="00654B11">
        <w:rPr>
          <w:rFonts w:ascii="Arial" w:hAnsi="Arial" w:cs="Arial"/>
          <w:bCs w:val="0"/>
          <w:sz w:val="22"/>
          <w:szCs w:val="22"/>
          <w:lang w:val="en-US"/>
        </w:rPr>
        <w:t xml:space="preserve"> presented </w:t>
      </w:r>
      <w:r w:rsidR="00654B11" w:rsidRPr="00290A38">
        <w:rPr>
          <w:rFonts w:ascii="Arial" w:hAnsi="Arial" w:cs="Arial"/>
          <w:sz w:val="22"/>
          <w:szCs w:val="22"/>
          <w:lang w:val="en-US"/>
        </w:rPr>
        <w:t>t</w:t>
      </w:r>
      <w:r w:rsidR="00654B11">
        <w:rPr>
          <w:rFonts w:ascii="Arial" w:hAnsi="Arial" w:cs="Arial"/>
          <w:sz w:val="22"/>
          <w:szCs w:val="22"/>
          <w:lang w:val="en-US"/>
        </w:rPr>
        <w:t xml:space="preserve">he report on this item (available as a </w:t>
      </w:r>
      <w:hyperlink r:id="rId37" w:history="1">
        <w:r w:rsidR="00654B11" w:rsidRPr="00C25668">
          <w:rPr>
            <w:rStyle w:val="Hyperlink"/>
            <w:rFonts w:cs="Arial"/>
            <w:szCs w:val="22"/>
            <w:lang w:val="en-US"/>
          </w:rPr>
          <w:t>presentation</w:t>
        </w:r>
      </w:hyperlink>
      <w:r w:rsidR="00654B11">
        <w:rPr>
          <w:rFonts w:ascii="Arial" w:hAnsi="Arial" w:cs="Arial"/>
          <w:sz w:val="22"/>
          <w:szCs w:val="22"/>
          <w:lang w:val="en-US"/>
        </w:rPr>
        <w:t>).</w:t>
      </w:r>
    </w:p>
    <w:p w14:paraId="4DD25D4A" w14:textId="24BFF987" w:rsidR="00F967F3" w:rsidRPr="00F967F3" w:rsidRDefault="00654B11" w:rsidP="00CB07EA">
      <w:pPr>
        <w:pStyle w:val="Heading1"/>
        <w:numPr>
          <w:ilvl w:val="0"/>
          <w:numId w:val="81"/>
        </w:numPr>
      </w:pPr>
      <w:r w:rsidRPr="00CB07EA">
        <w:t xml:space="preserve"> </w:t>
      </w:r>
      <w:bookmarkStart w:id="106" w:name="_Toc195258104"/>
      <w:r w:rsidR="00CB07EA" w:rsidRPr="004766A7">
        <w:t>REVIEW</w:t>
      </w:r>
      <w:r w:rsidR="00B36DA3" w:rsidRPr="004766A7">
        <w:t xml:space="preserve"> OF PROGRESS</w:t>
      </w:r>
      <w:bookmarkEnd w:id="106"/>
      <w:r w:rsidR="00F967F3">
        <w:t xml:space="preserve"> </w:t>
      </w:r>
    </w:p>
    <w:p w14:paraId="57A52391" w14:textId="6D400296" w:rsidR="00B36DA3" w:rsidRPr="00CB07EA" w:rsidRDefault="00B36DA3" w:rsidP="00CB07EA">
      <w:pPr>
        <w:pStyle w:val="Heading2"/>
        <w:numPr>
          <w:ilvl w:val="1"/>
          <w:numId w:val="81"/>
        </w:numPr>
      </w:pPr>
      <w:bookmarkStart w:id="107" w:name="_STATUS_OF_IMPLEMENTATION"/>
      <w:bookmarkStart w:id="108" w:name="_Toc195258105"/>
      <w:bookmarkEnd w:id="107"/>
      <w:r w:rsidRPr="00CB07EA">
        <w:t xml:space="preserve">STATUS OF </w:t>
      </w:r>
      <w:r w:rsidR="003938C3" w:rsidRPr="00CB07EA">
        <w:t xml:space="preserve">IMPLEMENTATION OF </w:t>
      </w:r>
      <w:r w:rsidR="001047FB" w:rsidRPr="00CB07EA">
        <w:t>DECISION IOC-</w:t>
      </w:r>
      <w:r w:rsidR="00654B11" w:rsidRPr="00CB07EA">
        <w:t xml:space="preserve"> EC-57/3.2.1</w:t>
      </w:r>
      <w:bookmarkEnd w:id="108"/>
    </w:p>
    <w:p w14:paraId="7552539B" w14:textId="1036F2FE" w:rsidR="00296859" w:rsidRDefault="002A1091" w:rsidP="002B6ED7">
      <w:pPr>
        <w:pStyle w:val="paragraph"/>
        <w:numPr>
          <w:ilvl w:val="0"/>
          <w:numId w:val="13"/>
        </w:numPr>
        <w:tabs>
          <w:tab w:val="clear" w:pos="1429"/>
          <w:tab w:val="left" w:pos="709"/>
        </w:tabs>
        <w:spacing w:before="0" w:beforeAutospacing="0"/>
        <w:rPr>
          <w:rFonts w:ascii="Arial" w:hAnsi="Arial" w:cs="Arial"/>
          <w:bCs w:val="0"/>
          <w:snapToGrid/>
          <w:sz w:val="22"/>
          <w:szCs w:val="22"/>
        </w:rPr>
      </w:pPr>
      <w:r>
        <w:rPr>
          <w:rFonts w:ascii="Arial" w:hAnsi="Arial" w:cs="Arial"/>
          <w:bCs w:val="0"/>
          <w:snapToGrid/>
          <w:sz w:val="22"/>
          <w:szCs w:val="22"/>
        </w:rPr>
        <w:tab/>
      </w:r>
      <w:r w:rsidR="00FE0CBD">
        <w:rPr>
          <w:rFonts w:ascii="Arial" w:hAnsi="Arial" w:cs="Arial"/>
          <w:bCs w:val="0"/>
          <w:snapToGrid/>
          <w:sz w:val="22"/>
          <w:szCs w:val="22"/>
        </w:rPr>
        <w:t>Mr</w:t>
      </w:r>
      <w:r w:rsidR="00312FC7">
        <w:rPr>
          <w:rFonts w:ascii="Arial" w:hAnsi="Arial" w:cs="Arial"/>
          <w:bCs w:val="0"/>
          <w:snapToGrid/>
          <w:sz w:val="22"/>
          <w:szCs w:val="22"/>
        </w:rPr>
        <w:t> </w:t>
      </w:r>
      <w:r w:rsidR="00936B18">
        <w:rPr>
          <w:rFonts w:ascii="Arial" w:hAnsi="Arial" w:cs="Arial"/>
          <w:bCs w:val="0"/>
          <w:snapToGrid/>
          <w:sz w:val="22"/>
          <w:szCs w:val="22"/>
        </w:rPr>
        <w:t xml:space="preserve">Bernardo Aliaga </w:t>
      </w:r>
      <w:r w:rsidR="00296859" w:rsidRPr="00296859">
        <w:rPr>
          <w:rFonts w:ascii="Arial" w:hAnsi="Arial" w:cs="Arial"/>
          <w:bCs w:val="0"/>
          <w:snapToGrid/>
          <w:sz w:val="22"/>
          <w:szCs w:val="22"/>
        </w:rPr>
        <w:t>report</w:t>
      </w:r>
      <w:r w:rsidR="00D977DC">
        <w:rPr>
          <w:rFonts w:ascii="Arial" w:hAnsi="Arial" w:cs="Arial"/>
          <w:bCs w:val="0"/>
          <w:snapToGrid/>
          <w:sz w:val="22"/>
          <w:szCs w:val="22"/>
        </w:rPr>
        <w:t>ed</w:t>
      </w:r>
      <w:r w:rsidR="00296859" w:rsidRPr="00296859">
        <w:rPr>
          <w:rFonts w:ascii="Arial" w:hAnsi="Arial" w:cs="Arial"/>
          <w:bCs w:val="0"/>
          <w:snapToGrid/>
          <w:sz w:val="22"/>
          <w:szCs w:val="22"/>
        </w:rPr>
        <w:t xml:space="preserve"> on Decisions adopted at the </w:t>
      </w:r>
      <w:r w:rsidR="00654B11">
        <w:rPr>
          <w:rFonts w:ascii="Arial" w:hAnsi="Arial" w:cs="Arial"/>
          <w:bCs w:val="0"/>
          <w:snapToGrid/>
          <w:sz w:val="22"/>
          <w:szCs w:val="22"/>
        </w:rPr>
        <w:t>57</w:t>
      </w:r>
      <w:r w:rsidR="00654B11" w:rsidRPr="00654B11">
        <w:rPr>
          <w:rFonts w:ascii="Arial" w:hAnsi="Arial" w:cs="Arial"/>
          <w:bCs w:val="0"/>
          <w:snapToGrid/>
          <w:sz w:val="22"/>
          <w:szCs w:val="22"/>
          <w:vertAlign w:val="superscript"/>
        </w:rPr>
        <w:t>th</w:t>
      </w:r>
      <w:r w:rsidR="00654B11">
        <w:rPr>
          <w:rFonts w:ascii="Arial" w:hAnsi="Arial" w:cs="Arial"/>
          <w:bCs w:val="0"/>
          <w:snapToGrid/>
          <w:sz w:val="22"/>
          <w:szCs w:val="22"/>
        </w:rPr>
        <w:t xml:space="preserve"> session of the IOC Executive </w:t>
      </w:r>
      <w:proofErr w:type="spellStart"/>
      <w:r w:rsidR="00654B11">
        <w:rPr>
          <w:rFonts w:ascii="Arial" w:hAnsi="Arial" w:cs="Arial"/>
          <w:bCs w:val="0"/>
          <w:snapToGrid/>
          <w:sz w:val="22"/>
          <w:szCs w:val="22"/>
        </w:rPr>
        <w:t>Coundil</w:t>
      </w:r>
      <w:proofErr w:type="spellEnd"/>
      <w:r w:rsidR="00654B11">
        <w:rPr>
          <w:rFonts w:ascii="Arial" w:hAnsi="Arial" w:cs="Arial"/>
          <w:bCs w:val="0"/>
          <w:snapToGrid/>
          <w:sz w:val="22"/>
          <w:szCs w:val="22"/>
        </w:rPr>
        <w:t xml:space="preserve"> </w:t>
      </w:r>
      <w:r w:rsidR="00296859">
        <w:rPr>
          <w:rFonts w:ascii="Arial" w:hAnsi="Arial" w:cs="Arial"/>
          <w:bCs w:val="0"/>
          <w:snapToGrid/>
          <w:sz w:val="22"/>
          <w:szCs w:val="22"/>
        </w:rPr>
        <w:t>(</w:t>
      </w:r>
      <w:r w:rsidR="00654B11">
        <w:rPr>
          <w:rFonts w:ascii="Arial" w:hAnsi="Arial" w:cs="Arial"/>
          <w:bCs w:val="0"/>
          <w:snapToGrid/>
          <w:sz w:val="22"/>
          <w:szCs w:val="22"/>
        </w:rPr>
        <w:t xml:space="preserve">25-28 </w:t>
      </w:r>
      <w:r w:rsidR="00296859">
        <w:rPr>
          <w:rFonts w:ascii="Arial" w:hAnsi="Arial" w:cs="Arial"/>
          <w:bCs w:val="0"/>
          <w:snapToGrid/>
          <w:sz w:val="22"/>
          <w:szCs w:val="22"/>
        </w:rPr>
        <w:t xml:space="preserve">June </w:t>
      </w:r>
      <w:r w:rsidR="00296859" w:rsidRPr="003270F1">
        <w:rPr>
          <w:rFonts w:ascii="Arial" w:hAnsi="Arial" w:cs="Arial"/>
          <w:bCs w:val="0"/>
          <w:snapToGrid/>
          <w:sz w:val="22"/>
          <w:szCs w:val="22"/>
        </w:rPr>
        <w:t>20</w:t>
      </w:r>
      <w:r w:rsidR="00703EBA" w:rsidRPr="003270F1">
        <w:rPr>
          <w:rFonts w:ascii="Arial" w:hAnsi="Arial" w:cs="Arial"/>
          <w:bCs w:val="0"/>
          <w:snapToGrid/>
          <w:sz w:val="22"/>
          <w:szCs w:val="22"/>
        </w:rPr>
        <w:t>2</w:t>
      </w:r>
      <w:r w:rsidR="00654B11">
        <w:rPr>
          <w:rFonts w:ascii="Arial" w:hAnsi="Arial" w:cs="Arial"/>
          <w:bCs w:val="0"/>
          <w:snapToGrid/>
          <w:sz w:val="22"/>
          <w:szCs w:val="22"/>
        </w:rPr>
        <w:t>4</w:t>
      </w:r>
      <w:r w:rsidR="00703EBA" w:rsidRPr="00296859">
        <w:rPr>
          <w:rFonts w:ascii="Arial" w:hAnsi="Arial" w:cs="Arial"/>
          <w:bCs w:val="0"/>
          <w:snapToGrid/>
          <w:sz w:val="22"/>
          <w:szCs w:val="22"/>
        </w:rPr>
        <w:t>)</w:t>
      </w:r>
      <w:r w:rsidR="00654B11">
        <w:rPr>
          <w:rFonts w:ascii="Arial" w:hAnsi="Arial" w:cs="Arial"/>
          <w:bCs w:val="0"/>
          <w:snapToGrid/>
          <w:sz w:val="22"/>
          <w:szCs w:val="22"/>
        </w:rPr>
        <w:t xml:space="preserve">, </w:t>
      </w:r>
      <w:r w:rsidR="00073FB6">
        <w:rPr>
          <w:rFonts w:ascii="Arial" w:hAnsi="Arial" w:cs="Arial"/>
          <w:bCs w:val="0"/>
          <w:snapToGrid/>
          <w:sz w:val="22"/>
          <w:szCs w:val="22"/>
        </w:rPr>
        <w:t>the</w:t>
      </w:r>
      <w:r w:rsidR="00C3028C">
        <w:rPr>
          <w:rFonts w:ascii="Arial" w:hAnsi="Arial" w:cs="Arial"/>
          <w:bCs w:val="0"/>
          <w:snapToGrid/>
          <w:sz w:val="22"/>
          <w:szCs w:val="22"/>
        </w:rPr>
        <w:t xml:space="preserve"> status of </w:t>
      </w:r>
      <w:r w:rsidR="00C3028C" w:rsidRPr="00B80039">
        <w:rPr>
          <w:rFonts w:ascii="Arial" w:hAnsi="Arial" w:cs="Arial"/>
          <w:bCs w:val="0"/>
          <w:snapToGrid/>
          <w:sz w:val="22"/>
          <w:szCs w:val="22"/>
        </w:rPr>
        <w:t xml:space="preserve">implementation of </w:t>
      </w:r>
      <w:r w:rsidR="00994B9B" w:rsidRPr="00B80039">
        <w:rPr>
          <w:rFonts w:ascii="Arial" w:hAnsi="Arial" w:cs="Arial"/>
          <w:bCs w:val="0"/>
          <w:snapToGrid/>
          <w:sz w:val="22"/>
          <w:szCs w:val="22"/>
        </w:rPr>
        <w:t>the TOWS-XV</w:t>
      </w:r>
      <w:r w:rsidR="00654B11">
        <w:rPr>
          <w:rFonts w:ascii="Arial" w:hAnsi="Arial" w:cs="Arial"/>
          <w:bCs w:val="0"/>
          <w:snapToGrid/>
          <w:sz w:val="22"/>
          <w:szCs w:val="22"/>
        </w:rPr>
        <w:t>I</w:t>
      </w:r>
      <w:r w:rsidR="00C3028C" w:rsidRPr="00B80039">
        <w:rPr>
          <w:rFonts w:ascii="Arial" w:hAnsi="Arial" w:cs="Arial"/>
          <w:bCs w:val="0"/>
          <w:snapToGrid/>
          <w:sz w:val="22"/>
          <w:szCs w:val="22"/>
        </w:rPr>
        <w:t xml:space="preserve"> decisions and recommendations</w:t>
      </w:r>
      <w:r w:rsidR="00733E87">
        <w:rPr>
          <w:rFonts w:ascii="Arial" w:hAnsi="Arial" w:cs="Arial"/>
          <w:bCs w:val="0"/>
          <w:snapToGrid/>
          <w:sz w:val="22"/>
          <w:szCs w:val="22"/>
        </w:rPr>
        <w:t>,</w:t>
      </w:r>
      <w:r w:rsidR="00654B11">
        <w:rPr>
          <w:rFonts w:ascii="Arial" w:hAnsi="Arial" w:cs="Arial"/>
          <w:bCs w:val="0"/>
          <w:snapToGrid/>
          <w:sz w:val="22"/>
          <w:szCs w:val="22"/>
        </w:rPr>
        <w:t xml:space="preserve"> and provided an update of the status of implementation of </w:t>
      </w:r>
      <w:r w:rsidR="00654B11" w:rsidRPr="00654B11">
        <w:rPr>
          <w:rFonts w:ascii="Arial" w:hAnsi="Arial" w:cs="Arial"/>
          <w:bCs w:val="0"/>
          <w:snapToGrid/>
          <w:sz w:val="22"/>
          <w:szCs w:val="22"/>
        </w:rPr>
        <w:t>Decision A-32/4.3.1</w:t>
      </w:r>
      <w:r w:rsidR="00073FB6" w:rsidRPr="00B80039">
        <w:rPr>
          <w:rFonts w:ascii="Arial" w:hAnsi="Arial" w:cs="Arial"/>
          <w:bCs w:val="0"/>
          <w:snapToGrid/>
          <w:sz w:val="22"/>
          <w:szCs w:val="22"/>
        </w:rPr>
        <w:t xml:space="preserve"> (available as a </w:t>
      </w:r>
      <w:hyperlink r:id="rId38" w:history="1">
        <w:r w:rsidR="00073FB6" w:rsidRPr="00B80039">
          <w:rPr>
            <w:rStyle w:val="Hyperlink"/>
            <w:rFonts w:cs="Arial"/>
            <w:bCs w:val="0"/>
            <w:snapToGrid/>
            <w:szCs w:val="22"/>
          </w:rPr>
          <w:t>document</w:t>
        </w:r>
      </w:hyperlink>
      <w:r w:rsidR="00073FB6" w:rsidRPr="00B80039">
        <w:rPr>
          <w:rFonts w:ascii="Arial" w:hAnsi="Arial" w:cs="Arial"/>
          <w:bCs w:val="0"/>
          <w:snapToGrid/>
          <w:sz w:val="22"/>
          <w:szCs w:val="22"/>
        </w:rPr>
        <w:t>).</w:t>
      </w:r>
    </w:p>
    <w:p w14:paraId="53AA6B65" w14:textId="52C88597" w:rsidR="00E06697" w:rsidRPr="00E06697" w:rsidRDefault="003E614F" w:rsidP="00CB07EA">
      <w:pPr>
        <w:pStyle w:val="Heading1"/>
        <w:numPr>
          <w:ilvl w:val="0"/>
          <w:numId w:val="81"/>
        </w:numPr>
      </w:pPr>
      <w:r w:rsidRPr="00CB07EA">
        <w:tab/>
      </w:r>
      <w:bookmarkStart w:id="109" w:name="_Toc195258106"/>
      <w:bookmarkStart w:id="110" w:name="_Toc288835155"/>
      <w:bookmarkStart w:id="111" w:name="_Ref327466471"/>
      <w:bookmarkStart w:id="112" w:name="_Toc390247911"/>
      <w:bookmarkEnd w:id="69"/>
      <w:r w:rsidR="00B36DA3" w:rsidRPr="004766A7">
        <w:t>REPORTS OF THE INTER-ICG TASK TEAM</w:t>
      </w:r>
      <w:r w:rsidR="006E604F">
        <w:t>S</w:t>
      </w:r>
      <w:bookmarkEnd w:id="109"/>
    </w:p>
    <w:p w14:paraId="50E59529" w14:textId="487058BD" w:rsidR="00B36DA3" w:rsidRPr="00CB07EA" w:rsidRDefault="00B36DA3" w:rsidP="00CB07EA">
      <w:pPr>
        <w:pStyle w:val="Heading2"/>
        <w:numPr>
          <w:ilvl w:val="1"/>
          <w:numId w:val="81"/>
        </w:numPr>
      </w:pPr>
      <w:bookmarkStart w:id="113" w:name="_Toc195258107"/>
      <w:bookmarkEnd w:id="110"/>
      <w:bookmarkEnd w:id="111"/>
      <w:bookmarkEnd w:id="112"/>
      <w:r w:rsidRPr="00F30CB9">
        <w:t>INTER-ICG TASK TEAM ON DISASTER MANAGEMENT AND PREPAREDNESS</w:t>
      </w:r>
      <w:r w:rsidR="00147C98">
        <w:t xml:space="preserve"> (TT-DMP)</w:t>
      </w:r>
      <w:bookmarkEnd w:id="113"/>
      <w:r w:rsidRPr="00F30CB9">
        <w:t xml:space="preserve"> </w:t>
      </w:r>
    </w:p>
    <w:p w14:paraId="580B6C37" w14:textId="4C5DD6AC" w:rsidR="009D76D8" w:rsidRDefault="002A1091" w:rsidP="00654B11">
      <w:pPr>
        <w:pStyle w:val="paragraph"/>
        <w:numPr>
          <w:ilvl w:val="0"/>
          <w:numId w:val="13"/>
        </w:numPr>
        <w:tabs>
          <w:tab w:val="clear" w:pos="1429"/>
          <w:tab w:val="left" w:pos="709"/>
        </w:tabs>
        <w:spacing w:before="0" w:beforeAutospacing="0"/>
        <w:rPr>
          <w:rFonts w:ascii="Arial" w:hAnsi="Arial" w:cs="Arial"/>
          <w:sz w:val="22"/>
          <w:szCs w:val="22"/>
        </w:rPr>
      </w:pPr>
      <w:r>
        <w:rPr>
          <w:rFonts w:ascii="Arial" w:hAnsi="Arial" w:cs="Arial"/>
          <w:sz w:val="22"/>
          <w:szCs w:val="22"/>
        </w:rPr>
        <w:tab/>
      </w:r>
      <w:r w:rsidR="00B664E4">
        <w:rPr>
          <w:rFonts w:ascii="Arial" w:hAnsi="Arial" w:cs="Arial"/>
          <w:sz w:val="22"/>
          <w:szCs w:val="22"/>
        </w:rPr>
        <w:t>Ms Harkunti</w:t>
      </w:r>
      <w:r w:rsidR="00F967F3">
        <w:rPr>
          <w:rFonts w:ascii="Arial" w:hAnsi="Arial" w:cs="Arial"/>
          <w:sz w:val="22"/>
          <w:szCs w:val="22"/>
        </w:rPr>
        <w:t xml:space="preserve"> Rahayu</w:t>
      </w:r>
      <w:r w:rsidR="00936B18">
        <w:rPr>
          <w:rFonts w:ascii="Arial" w:hAnsi="Arial" w:cs="Arial"/>
          <w:bCs w:val="0"/>
          <w:sz w:val="22"/>
          <w:szCs w:val="22"/>
          <w:lang w:val="en-US"/>
        </w:rPr>
        <w:t>, C</w:t>
      </w:r>
      <w:r w:rsidR="00025C65">
        <w:rPr>
          <w:rFonts w:ascii="Arial" w:hAnsi="Arial" w:cs="Arial"/>
          <w:bCs w:val="0"/>
          <w:sz w:val="22"/>
          <w:szCs w:val="22"/>
          <w:lang w:val="en-US"/>
        </w:rPr>
        <w:t>ha</w:t>
      </w:r>
      <w:r w:rsidR="00936B18">
        <w:rPr>
          <w:rFonts w:ascii="Arial" w:hAnsi="Arial" w:cs="Arial"/>
          <w:bCs w:val="0"/>
          <w:sz w:val="22"/>
          <w:szCs w:val="22"/>
          <w:lang w:val="en-US"/>
        </w:rPr>
        <w:t>ir of the</w:t>
      </w:r>
      <w:r w:rsidR="00FE3E9D">
        <w:rPr>
          <w:rFonts w:ascii="Arial" w:hAnsi="Arial" w:cs="Arial"/>
          <w:sz w:val="22"/>
          <w:szCs w:val="22"/>
        </w:rPr>
        <w:t xml:space="preserve"> </w:t>
      </w:r>
      <w:r w:rsidR="00A5477F" w:rsidRPr="00A5477F">
        <w:rPr>
          <w:rFonts w:ascii="Arial" w:hAnsi="Arial" w:cs="Arial"/>
          <w:sz w:val="22"/>
          <w:szCs w:val="22"/>
        </w:rPr>
        <w:t>Inter-ICG Task Team on Disaster Management and Preparedness</w:t>
      </w:r>
      <w:r w:rsidR="009D76D8">
        <w:rPr>
          <w:rFonts w:ascii="Arial" w:hAnsi="Arial" w:cs="Arial"/>
          <w:sz w:val="22"/>
          <w:szCs w:val="22"/>
        </w:rPr>
        <w:t xml:space="preserve">, </w:t>
      </w:r>
      <w:r w:rsidR="00936B18" w:rsidRPr="00A5477F">
        <w:rPr>
          <w:rFonts w:ascii="Arial" w:hAnsi="Arial" w:cs="Arial"/>
          <w:sz w:val="22"/>
          <w:szCs w:val="22"/>
        </w:rPr>
        <w:t>report</w:t>
      </w:r>
      <w:r w:rsidR="009D76D8">
        <w:rPr>
          <w:rFonts w:ascii="Arial" w:hAnsi="Arial" w:cs="Arial"/>
          <w:sz w:val="22"/>
          <w:szCs w:val="22"/>
        </w:rPr>
        <w:t>ed</w:t>
      </w:r>
      <w:r w:rsidR="00936B18" w:rsidRPr="00A5477F">
        <w:rPr>
          <w:rFonts w:ascii="Arial" w:hAnsi="Arial" w:cs="Arial"/>
          <w:sz w:val="22"/>
          <w:szCs w:val="22"/>
        </w:rPr>
        <w:t xml:space="preserve"> on the </w:t>
      </w:r>
      <w:r w:rsidR="009D76D8" w:rsidRPr="009D76D8">
        <w:rPr>
          <w:rFonts w:ascii="Arial" w:hAnsi="Arial" w:cs="Arial"/>
          <w:sz w:val="22"/>
          <w:szCs w:val="22"/>
        </w:rPr>
        <w:t>outcome</w:t>
      </w:r>
      <w:r w:rsidR="009D76D8">
        <w:rPr>
          <w:rFonts w:ascii="Arial" w:hAnsi="Arial" w:cs="Arial"/>
          <w:sz w:val="22"/>
          <w:szCs w:val="22"/>
        </w:rPr>
        <w:t>s</w:t>
      </w:r>
      <w:r w:rsidR="009D76D8" w:rsidRPr="009D76D8">
        <w:rPr>
          <w:rFonts w:ascii="Arial" w:hAnsi="Arial" w:cs="Arial"/>
          <w:sz w:val="22"/>
          <w:szCs w:val="22"/>
        </w:rPr>
        <w:t xml:space="preserve"> of TT-DMP </w:t>
      </w:r>
      <w:r w:rsidR="009D76D8" w:rsidRPr="00A5477F">
        <w:rPr>
          <w:rFonts w:ascii="Arial" w:hAnsi="Arial" w:cs="Arial"/>
          <w:sz w:val="22"/>
          <w:szCs w:val="22"/>
        </w:rPr>
        <w:t xml:space="preserve">which met on </w:t>
      </w:r>
      <w:r w:rsidR="00654B11" w:rsidRPr="00654B11">
        <w:rPr>
          <w:rFonts w:ascii="Arial" w:hAnsi="Arial" w:cs="Arial"/>
          <w:sz w:val="22"/>
          <w:szCs w:val="22"/>
        </w:rPr>
        <w:t>23-24 February 2025</w:t>
      </w:r>
      <w:r w:rsidR="009D76D8">
        <w:rPr>
          <w:rFonts w:ascii="Arial" w:hAnsi="Arial" w:cs="Arial"/>
          <w:sz w:val="22"/>
          <w:szCs w:val="22"/>
        </w:rPr>
        <w:t>.</w:t>
      </w:r>
      <w:r w:rsidR="009D76D8" w:rsidRPr="009D76D8">
        <w:rPr>
          <w:rFonts w:ascii="Arial" w:hAnsi="Arial" w:cs="Arial"/>
          <w:sz w:val="22"/>
          <w:szCs w:val="22"/>
        </w:rPr>
        <w:t xml:space="preserve"> </w:t>
      </w:r>
      <w:r w:rsidR="00147C98">
        <w:rPr>
          <w:rFonts w:ascii="Arial" w:hAnsi="Arial" w:cs="Arial"/>
          <w:sz w:val="22"/>
          <w:szCs w:val="22"/>
        </w:rPr>
        <w:t xml:space="preserve">Her report is available as a </w:t>
      </w:r>
      <w:hyperlink r:id="rId39" w:history="1">
        <w:r w:rsidR="00147C98" w:rsidRPr="00147C98">
          <w:rPr>
            <w:rStyle w:val="Hyperlink"/>
            <w:rFonts w:cs="Arial"/>
            <w:szCs w:val="22"/>
          </w:rPr>
          <w:t>presentation</w:t>
        </w:r>
      </w:hyperlink>
      <w:r w:rsidR="00147C98">
        <w:rPr>
          <w:rFonts w:ascii="Arial" w:hAnsi="Arial" w:cs="Arial"/>
          <w:sz w:val="22"/>
          <w:szCs w:val="22"/>
        </w:rPr>
        <w:t xml:space="preserve">. </w:t>
      </w:r>
      <w:r w:rsidR="009D76D8" w:rsidRPr="009D76D8">
        <w:rPr>
          <w:rFonts w:ascii="Arial" w:hAnsi="Arial" w:cs="Arial"/>
          <w:sz w:val="22"/>
          <w:szCs w:val="22"/>
        </w:rPr>
        <w:t xml:space="preserve">The full summary of the Task Team meeting and its recommendations are provided in </w:t>
      </w:r>
      <w:r w:rsidR="009D76D8" w:rsidRPr="002F253E">
        <w:rPr>
          <w:rFonts w:ascii="Arial" w:hAnsi="Arial" w:cs="Arial"/>
          <w:sz w:val="22"/>
          <w:szCs w:val="22"/>
        </w:rPr>
        <w:t xml:space="preserve">Annex </w:t>
      </w:r>
      <w:r w:rsidR="002F253E">
        <w:rPr>
          <w:rFonts w:ascii="Arial" w:hAnsi="Arial" w:cs="Arial"/>
          <w:sz w:val="22"/>
          <w:szCs w:val="22"/>
        </w:rPr>
        <w:t>III</w:t>
      </w:r>
      <w:r w:rsidR="009D76D8" w:rsidRPr="009D76D8">
        <w:rPr>
          <w:rFonts w:ascii="Arial" w:hAnsi="Arial" w:cs="Arial"/>
          <w:sz w:val="22"/>
          <w:szCs w:val="22"/>
        </w:rPr>
        <w:t xml:space="preserve"> of this report.</w:t>
      </w:r>
    </w:p>
    <w:p w14:paraId="6FA1D101" w14:textId="7F387AD9" w:rsidR="00B36DA3" w:rsidRPr="00CB07EA" w:rsidRDefault="00B36DA3" w:rsidP="00CB07EA">
      <w:pPr>
        <w:pStyle w:val="Heading2"/>
        <w:numPr>
          <w:ilvl w:val="1"/>
          <w:numId w:val="81"/>
        </w:numPr>
      </w:pPr>
      <w:bookmarkStart w:id="114" w:name="_Toc195258108"/>
      <w:bookmarkStart w:id="115" w:name="_Toc390247913"/>
      <w:bookmarkStart w:id="116" w:name="_Hlk95753573"/>
      <w:r w:rsidRPr="00EF0E4C">
        <w:t>INTER-ICG TASK TEAM ON TSUNAMI WATCH OPERATIONS</w:t>
      </w:r>
      <w:bookmarkEnd w:id="114"/>
      <w:r w:rsidRPr="00EF0E4C">
        <w:t xml:space="preserve"> </w:t>
      </w:r>
      <w:r w:rsidR="000A6FDF">
        <w:t>(TT-TWO)</w:t>
      </w:r>
    </w:p>
    <w:bookmarkEnd w:id="115"/>
    <w:p w14:paraId="2DDBF90B" w14:textId="337A7044" w:rsidR="00B31620" w:rsidRDefault="002A1091" w:rsidP="00CB07EA">
      <w:pPr>
        <w:pStyle w:val="paragraph"/>
        <w:numPr>
          <w:ilvl w:val="0"/>
          <w:numId w:val="13"/>
        </w:numPr>
        <w:tabs>
          <w:tab w:val="clear" w:pos="1429"/>
          <w:tab w:val="left" w:pos="709"/>
        </w:tabs>
        <w:spacing w:before="0" w:beforeAutospacing="0"/>
        <w:rPr>
          <w:rFonts w:ascii="Arial" w:hAnsi="Arial" w:cs="Arial"/>
          <w:sz w:val="22"/>
          <w:szCs w:val="22"/>
        </w:rPr>
      </w:pPr>
      <w:r w:rsidRPr="00EF0E4C">
        <w:rPr>
          <w:rFonts w:ascii="Arial" w:hAnsi="Arial" w:cs="Arial"/>
          <w:sz w:val="22"/>
          <w:szCs w:val="22"/>
        </w:rPr>
        <w:tab/>
      </w:r>
      <w:r w:rsidR="00FE0CBD" w:rsidRPr="00EF0E4C">
        <w:rPr>
          <w:rFonts w:ascii="Arial" w:hAnsi="Arial" w:cs="Arial"/>
          <w:sz w:val="22"/>
          <w:szCs w:val="22"/>
        </w:rPr>
        <w:t xml:space="preserve">Mr </w:t>
      </w:r>
      <w:r w:rsidR="00B664E4">
        <w:rPr>
          <w:rFonts w:ascii="Arial" w:hAnsi="Arial" w:cs="Arial"/>
          <w:sz w:val="22"/>
          <w:szCs w:val="22"/>
        </w:rPr>
        <w:t>Yuji Nishimae,</w:t>
      </w:r>
      <w:r w:rsidR="00BF3B75" w:rsidRPr="00EF0E4C">
        <w:rPr>
          <w:rFonts w:ascii="Arial" w:hAnsi="Arial" w:cs="Arial"/>
          <w:sz w:val="22"/>
          <w:szCs w:val="22"/>
        </w:rPr>
        <w:t xml:space="preserve"> </w:t>
      </w:r>
      <w:r w:rsidR="00025C65" w:rsidRPr="00025C65">
        <w:rPr>
          <w:rFonts w:ascii="Arial" w:hAnsi="Arial" w:cs="Arial"/>
          <w:sz w:val="22"/>
          <w:szCs w:val="22"/>
          <w:lang w:val="en-US"/>
        </w:rPr>
        <w:t xml:space="preserve">Chair of the </w:t>
      </w:r>
      <w:r w:rsidR="00BF3B75" w:rsidRPr="00EF0E4C">
        <w:rPr>
          <w:rFonts w:ascii="Arial" w:hAnsi="Arial" w:cs="Arial"/>
          <w:sz w:val="22"/>
          <w:szCs w:val="22"/>
        </w:rPr>
        <w:t>Inter-ICG Task Team on Tsunami Watch Operations</w:t>
      </w:r>
      <w:r w:rsidR="009D76D8">
        <w:rPr>
          <w:rFonts w:ascii="Arial" w:hAnsi="Arial" w:cs="Arial"/>
          <w:sz w:val="22"/>
          <w:szCs w:val="22"/>
        </w:rPr>
        <w:t>, reported on the outcomes of TT-TWO which m</w:t>
      </w:r>
      <w:r w:rsidR="00BF3B75" w:rsidRPr="00EF0E4C">
        <w:rPr>
          <w:rFonts w:ascii="Arial" w:hAnsi="Arial" w:cs="Arial"/>
          <w:sz w:val="22"/>
          <w:szCs w:val="22"/>
        </w:rPr>
        <w:t xml:space="preserve">et </w:t>
      </w:r>
      <w:r w:rsidR="00025C65" w:rsidRPr="00A5477F">
        <w:rPr>
          <w:rFonts w:ascii="Arial" w:hAnsi="Arial" w:cs="Arial"/>
          <w:sz w:val="22"/>
          <w:szCs w:val="22"/>
        </w:rPr>
        <w:t xml:space="preserve">on </w:t>
      </w:r>
      <w:r w:rsidR="00CB07EA" w:rsidRPr="00CB07EA">
        <w:rPr>
          <w:rFonts w:ascii="Arial" w:hAnsi="Arial" w:cs="Arial"/>
          <w:sz w:val="22"/>
          <w:szCs w:val="22"/>
        </w:rPr>
        <w:t>24 - 25 February 2025</w:t>
      </w:r>
      <w:r w:rsidR="009D76D8">
        <w:rPr>
          <w:rFonts w:ascii="Arial" w:hAnsi="Arial" w:cs="Arial"/>
          <w:sz w:val="22"/>
          <w:szCs w:val="22"/>
        </w:rPr>
        <w:t>.</w:t>
      </w:r>
      <w:r w:rsidR="00BF3B75" w:rsidRPr="00EF0E4C">
        <w:rPr>
          <w:rFonts w:ascii="Arial" w:hAnsi="Arial" w:cs="Arial"/>
          <w:sz w:val="22"/>
          <w:szCs w:val="22"/>
        </w:rPr>
        <w:t xml:space="preserve"> </w:t>
      </w:r>
      <w:r w:rsidR="00147C98">
        <w:rPr>
          <w:rFonts w:ascii="Arial" w:hAnsi="Arial" w:cs="Arial"/>
          <w:sz w:val="22"/>
          <w:szCs w:val="22"/>
        </w:rPr>
        <w:t xml:space="preserve">His report is available as a </w:t>
      </w:r>
      <w:hyperlink r:id="rId40" w:history="1">
        <w:r w:rsidR="00147C98" w:rsidRPr="00CB07EA">
          <w:rPr>
            <w:rStyle w:val="Hyperlink"/>
            <w:rFonts w:cs="Arial"/>
            <w:szCs w:val="22"/>
          </w:rPr>
          <w:t>presentation</w:t>
        </w:r>
      </w:hyperlink>
      <w:r w:rsidR="00147C98">
        <w:rPr>
          <w:rFonts w:ascii="Arial" w:hAnsi="Arial" w:cs="Arial"/>
          <w:sz w:val="22"/>
          <w:szCs w:val="22"/>
        </w:rPr>
        <w:t xml:space="preserve">. </w:t>
      </w:r>
      <w:r w:rsidR="00904FB8" w:rsidRPr="009D76D8">
        <w:rPr>
          <w:rFonts w:ascii="Arial" w:hAnsi="Arial" w:cs="Arial"/>
          <w:sz w:val="22"/>
          <w:szCs w:val="22"/>
        </w:rPr>
        <w:t xml:space="preserve">The full summary of the Task Team meeting and its recommendations are </w:t>
      </w:r>
      <w:r w:rsidR="00904FB8" w:rsidRPr="00147C98">
        <w:rPr>
          <w:rFonts w:ascii="Arial" w:hAnsi="Arial" w:cs="Arial"/>
          <w:sz w:val="22"/>
          <w:szCs w:val="22"/>
        </w:rPr>
        <w:t xml:space="preserve">provided in Annex </w:t>
      </w:r>
      <w:r w:rsidR="00147C98" w:rsidRPr="00147C98">
        <w:rPr>
          <w:rFonts w:ascii="Arial" w:hAnsi="Arial" w:cs="Arial"/>
          <w:sz w:val="22"/>
          <w:szCs w:val="22"/>
        </w:rPr>
        <w:t>IV</w:t>
      </w:r>
      <w:r w:rsidR="00904FB8" w:rsidRPr="009D76D8">
        <w:rPr>
          <w:rFonts w:ascii="Arial" w:hAnsi="Arial" w:cs="Arial"/>
          <w:sz w:val="22"/>
          <w:szCs w:val="22"/>
        </w:rPr>
        <w:t xml:space="preserve"> of this report.</w:t>
      </w:r>
    </w:p>
    <w:p w14:paraId="6AEDE134" w14:textId="4D249764" w:rsidR="001047FB" w:rsidRPr="00E15F18" w:rsidRDefault="001047FB" w:rsidP="00CB07EA">
      <w:pPr>
        <w:pStyle w:val="Heading1"/>
        <w:numPr>
          <w:ilvl w:val="0"/>
          <w:numId w:val="81"/>
        </w:numPr>
      </w:pPr>
      <w:bookmarkStart w:id="117" w:name="_Toc195258109"/>
      <w:bookmarkEnd w:id="116"/>
      <w:r w:rsidRPr="004766A7">
        <w:t xml:space="preserve">UN DECADE OF OCEAN SCIENCE FOR SUSTAINABLE </w:t>
      </w:r>
      <w:bookmarkStart w:id="118" w:name="_Hlk96082791"/>
      <w:r w:rsidRPr="004766A7">
        <w:t>DEVELOPMENT</w:t>
      </w:r>
      <w:bookmarkEnd w:id="117"/>
    </w:p>
    <w:bookmarkEnd w:id="118"/>
    <w:p w14:paraId="30455FD3" w14:textId="23318304" w:rsidR="00E35257" w:rsidRPr="00B664E4" w:rsidRDefault="002A1091" w:rsidP="00CB07EA">
      <w:pPr>
        <w:pStyle w:val="Heading2"/>
        <w:numPr>
          <w:ilvl w:val="1"/>
          <w:numId w:val="81"/>
        </w:numPr>
      </w:pPr>
      <w:r w:rsidRPr="00B664E4">
        <w:lastRenderedPageBreak/>
        <w:tab/>
      </w:r>
      <w:bookmarkStart w:id="119" w:name="_Toc195258110"/>
      <w:r w:rsidR="006F23F8">
        <w:t>REPORT ON</w:t>
      </w:r>
      <w:r w:rsidR="00B664E4">
        <w:t xml:space="preserve"> </w:t>
      </w:r>
      <w:r w:rsidR="006F23F8" w:rsidRPr="006F23F8">
        <w:t>THE OCEAN DECADE TSUNAMI PROGRAMME SCIENTIFIC COMMITEE (ODTP-SC)</w:t>
      </w:r>
      <w:bookmarkEnd w:id="119"/>
    </w:p>
    <w:p w14:paraId="22762F17" w14:textId="11342F8F" w:rsidR="006F23F8" w:rsidRDefault="008B5E3D" w:rsidP="001824C0">
      <w:pPr>
        <w:pStyle w:val="paragraph"/>
        <w:numPr>
          <w:ilvl w:val="0"/>
          <w:numId w:val="13"/>
        </w:numPr>
        <w:tabs>
          <w:tab w:val="clear" w:pos="1429"/>
          <w:tab w:val="left" w:pos="709"/>
        </w:tabs>
        <w:spacing w:before="0" w:beforeAutospacing="0"/>
        <w:rPr>
          <w:rFonts w:ascii="Arial" w:hAnsi="Arial" w:cs="Arial"/>
          <w:sz w:val="22"/>
          <w:szCs w:val="22"/>
        </w:rPr>
      </w:pPr>
      <w:r w:rsidRPr="006F23F8">
        <w:rPr>
          <w:rFonts w:ascii="Arial" w:hAnsi="Arial" w:cs="Arial"/>
          <w:sz w:val="22"/>
          <w:szCs w:val="22"/>
        </w:rPr>
        <w:tab/>
      </w:r>
      <w:r w:rsidR="006F23F8">
        <w:rPr>
          <w:rFonts w:ascii="Arial" w:hAnsi="Arial" w:cs="Arial"/>
          <w:sz w:val="22"/>
          <w:szCs w:val="22"/>
        </w:rPr>
        <w:t>Ms</w:t>
      </w:r>
      <w:r w:rsidR="006F23F8" w:rsidRPr="006F23F8">
        <w:rPr>
          <w:rFonts w:ascii="Arial" w:hAnsi="Arial" w:cs="Arial"/>
          <w:sz w:val="22"/>
          <w:szCs w:val="22"/>
        </w:rPr>
        <w:t xml:space="preserve"> Silvia Chacon (Costa Rica) Chair (</w:t>
      </w:r>
      <w:proofErr w:type="spellStart"/>
      <w:r w:rsidR="006F23F8" w:rsidRPr="006F23F8">
        <w:rPr>
          <w:rFonts w:ascii="Arial" w:hAnsi="Arial" w:cs="Arial"/>
          <w:sz w:val="22"/>
          <w:szCs w:val="22"/>
        </w:rPr>
        <w:t>a.i.</w:t>
      </w:r>
      <w:proofErr w:type="spellEnd"/>
      <w:r w:rsidR="006F23F8" w:rsidRPr="006F23F8">
        <w:rPr>
          <w:rFonts w:ascii="Arial" w:hAnsi="Arial" w:cs="Arial"/>
          <w:sz w:val="22"/>
          <w:szCs w:val="22"/>
        </w:rPr>
        <w:t>) of the Scientific Committee report</w:t>
      </w:r>
      <w:r w:rsidR="00CB07EA">
        <w:rPr>
          <w:rFonts w:ascii="Arial" w:hAnsi="Arial" w:cs="Arial"/>
          <w:sz w:val="22"/>
          <w:szCs w:val="22"/>
        </w:rPr>
        <w:t>ed on</w:t>
      </w:r>
      <w:r w:rsidR="006F23F8" w:rsidRPr="006F23F8">
        <w:rPr>
          <w:rFonts w:ascii="Arial" w:hAnsi="Arial" w:cs="Arial"/>
          <w:sz w:val="22"/>
          <w:szCs w:val="22"/>
        </w:rPr>
        <w:t xml:space="preserve"> the </w:t>
      </w:r>
      <w:hyperlink r:id="rId41" w:history="1">
        <w:r w:rsidR="00CB07EA" w:rsidRPr="00CB07EA">
          <w:rPr>
            <w:rStyle w:val="Hyperlink"/>
            <w:rFonts w:cs="Arial"/>
            <w:szCs w:val="22"/>
          </w:rPr>
          <w:t>Fifth Meeting of the ODTP-SC</w:t>
        </w:r>
      </w:hyperlink>
      <w:r w:rsidR="00CB07EA">
        <w:rPr>
          <w:rFonts w:ascii="Arial" w:hAnsi="Arial" w:cs="Arial"/>
          <w:sz w:val="22"/>
          <w:szCs w:val="22"/>
        </w:rPr>
        <w:t>,</w:t>
      </w:r>
      <w:r w:rsidR="00CB07EA" w:rsidRPr="00CB07EA">
        <w:rPr>
          <w:rFonts w:ascii="Arial" w:hAnsi="Arial" w:cs="Arial"/>
          <w:sz w:val="22"/>
          <w:szCs w:val="22"/>
        </w:rPr>
        <w:t xml:space="preserve"> 16–17 January 2025  Paris, France</w:t>
      </w:r>
      <w:r w:rsidR="00CB07EA">
        <w:rPr>
          <w:rFonts w:ascii="Arial" w:hAnsi="Arial" w:cs="Arial"/>
          <w:sz w:val="22"/>
          <w:szCs w:val="22"/>
        </w:rPr>
        <w:t xml:space="preserve">. Her report is also available as a </w:t>
      </w:r>
      <w:hyperlink r:id="rId42" w:history="1">
        <w:r w:rsidR="00CB07EA" w:rsidRPr="00CB07EA">
          <w:rPr>
            <w:rStyle w:val="Hyperlink"/>
            <w:rFonts w:cs="Arial"/>
            <w:szCs w:val="22"/>
          </w:rPr>
          <w:t>presentation</w:t>
        </w:r>
      </w:hyperlink>
      <w:r w:rsidR="00CB07EA">
        <w:rPr>
          <w:rFonts w:ascii="Arial" w:hAnsi="Arial" w:cs="Arial"/>
          <w:sz w:val="22"/>
          <w:szCs w:val="22"/>
        </w:rPr>
        <w:t>.</w:t>
      </w:r>
    </w:p>
    <w:p w14:paraId="683147F4" w14:textId="1A113EEB" w:rsidR="0016254C" w:rsidRPr="00CB07EA" w:rsidRDefault="008A681F" w:rsidP="00CB07EA">
      <w:pPr>
        <w:pStyle w:val="Heading2"/>
        <w:numPr>
          <w:ilvl w:val="1"/>
          <w:numId w:val="81"/>
        </w:numPr>
      </w:pPr>
      <w:r w:rsidRPr="006F23F8">
        <w:tab/>
      </w:r>
      <w:r w:rsidR="007319C5" w:rsidRPr="00CB07EA">
        <w:tab/>
      </w:r>
      <w:bookmarkStart w:id="120" w:name="_Toc195258111"/>
      <w:r w:rsidR="00B664E4" w:rsidRPr="00CB07EA">
        <w:t xml:space="preserve">REPORT ON THE PROGRESS OF </w:t>
      </w:r>
      <w:r w:rsidR="0016254C" w:rsidRPr="00CB07EA">
        <w:t>THE TSUNAMI READY COALITION</w:t>
      </w:r>
      <w:bookmarkEnd w:id="120"/>
    </w:p>
    <w:p w14:paraId="4A5E6C4D" w14:textId="615459A9" w:rsidR="00290074" w:rsidRPr="006F23F8" w:rsidRDefault="006A5CEF" w:rsidP="006F23F8">
      <w:pPr>
        <w:pStyle w:val="paragraph"/>
        <w:numPr>
          <w:ilvl w:val="0"/>
          <w:numId w:val="13"/>
        </w:numPr>
        <w:tabs>
          <w:tab w:val="clear" w:pos="1429"/>
          <w:tab w:val="left" w:pos="709"/>
        </w:tabs>
        <w:spacing w:before="0" w:beforeAutospacing="0"/>
        <w:rPr>
          <w:rFonts w:ascii="Arial" w:hAnsi="Arial" w:cs="Arial"/>
          <w:b/>
          <w:caps/>
          <w:kern w:val="28"/>
          <w:sz w:val="22"/>
          <w:szCs w:val="22"/>
          <w:lang w:val="en-US"/>
        </w:rPr>
      </w:pPr>
      <w:r w:rsidRPr="006F23F8">
        <w:rPr>
          <w:rFonts w:ascii="Arial" w:hAnsi="Arial" w:cs="Arial"/>
          <w:sz w:val="22"/>
          <w:szCs w:val="22"/>
        </w:rPr>
        <w:tab/>
      </w:r>
      <w:r w:rsidR="00826F44" w:rsidRPr="006F23F8">
        <w:rPr>
          <w:rFonts w:ascii="Arial" w:hAnsi="Arial" w:cs="Arial"/>
          <w:sz w:val="22"/>
          <w:szCs w:val="22"/>
        </w:rPr>
        <w:tab/>
      </w:r>
      <w:r w:rsidR="007E4A87" w:rsidRPr="006F23F8">
        <w:rPr>
          <w:rFonts w:ascii="Arial" w:hAnsi="Arial" w:cs="Arial"/>
          <w:sz w:val="22"/>
          <w:szCs w:val="22"/>
          <w:lang w:val="en-US"/>
        </w:rPr>
        <w:t>Ms Laura</w:t>
      </w:r>
      <w:r w:rsidR="00826F44" w:rsidRPr="006F23F8">
        <w:rPr>
          <w:rFonts w:ascii="Arial" w:hAnsi="Arial" w:cs="Arial"/>
          <w:sz w:val="22"/>
          <w:szCs w:val="22"/>
          <w:lang w:val="en-US"/>
        </w:rPr>
        <w:t xml:space="preserve"> Kong (USA, ITIC)</w:t>
      </w:r>
      <w:r w:rsidR="006F23F8">
        <w:rPr>
          <w:rFonts w:ascii="Arial" w:hAnsi="Arial" w:cs="Arial"/>
          <w:sz w:val="22"/>
          <w:szCs w:val="22"/>
          <w:lang w:val="en-US"/>
        </w:rPr>
        <w:t>,</w:t>
      </w:r>
      <w:r w:rsidR="006F23F8" w:rsidRPr="006F23F8">
        <w:rPr>
          <w:rFonts w:ascii="Arial" w:hAnsi="Arial" w:cs="Arial"/>
          <w:sz w:val="22"/>
          <w:szCs w:val="22"/>
        </w:rPr>
        <w:t xml:space="preserve"> Chair of the TR Coalition for the period of 2023-2024 report</w:t>
      </w:r>
      <w:r w:rsidR="006F23F8">
        <w:rPr>
          <w:rFonts w:ascii="Arial" w:hAnsi="Arial" w:cs="Arial"/>
          <w:sz w:val="22"/>
          <w:szCs w:val="22"/>
        </w:rPr>
        <w:t>ed</w:t>
      </w:r>
      <w:r w:rsidR="006F23F8" w:rsidRPr="006F23F8">
        <w:rPr>
          <w:rFonts w:ascii="Arial" w:hAnsi="Arial" w:cs="Arial"/>
          <w:sz w:val="22"/>
          <w:szCs w:val="22"/>
        </w:rPr>
        <w:t xml:space="preserve"> on </w:t>
      </w:r>
      <w:r w:rsidR="00733E87" w:rsidRPr="006F23F8">
        <w:rPr>
          <w:rFonts w:ascii="Arial" w:hAnsi="Arial" w:cs="Arial"/>
          <w:sz w:val="22"/>
          <w:szCs w:val="22"/>
        </w:rPr>
        <w:t>the proposed</w:t>
      </w:r>
      <w:r w:rsidR="006F23F8" w:rsidRPr="006F23F8">
        <w:rPr>
          <w:rFonts w:ascii="Arial" w:hAnsi="Arial" w:cs="Arial"/>
          <w:sz w:val="22"/>
          <w:szCs w:val="22"/>
        </w:rPr>
        <w:t xml:space="preserve"> </w:t>
      </w:r>
      <w:hyperlink r:id="rId43" w:history="1">
        <w:r w:rsidR="006F23F8" w:rsidRPr="006F23F8">
          <w:rPr>
            <w:rStyle w:val="Hyperlink"/>
            <w:rFonts w:cs="Arial"/>
            <w:szCs w:val="22"/>
          </w:rPr>
          <w:t>Implementation Plan for the Tsunami Ready Coalition</w:t>
        </w:r>
      </w:hyperlink>
      <w:r w:rsidR="006F23F8" w:rsidRPr="006F23F8">
        <w:rPr>
          <w:rFonts w:ascii="Arial" w:hAnsi="Arial" w:cs="Arial"/>
          <w:sz w:val="22"/>
          <w:szCs w:val="22"/>
        </w:rPr>
        <w:t>.</w:t>
      </w:r>
      <w:r w:rsidR="009F3C08" w:rsidRPr="006F23F8">
        <w:rPr>
          <w:rFonts w:ascii="Arial" w:hAnsi="Arial" w:cs="Arial"/>
          <w:sz w:val="22"/>
          <w:szCs w:val="22"/>
          <w:lang w:val="en-US"/>
        </w:rPr>
        <w:t>.</w:t>
      </w:r>
    </w:p>
    <w:p w14:paraId="11F5C6F3" w14:textId="5CF479FE" w:rsidR="00D17DDE" w:rsidRPr="00733E87" w:rsidRDefault="00C761D0" w:rsidP="00733E87">
      <w:pPr>
        <w:pStyle w:val="paragraph"/>
        <w:numPr>
          <w:ilvl w:val="0"/>
          <w:numId w:val="13"/>
        </w:numPr>
        <w:tabs>
          <w:tab w:val="clear" w:pos="1429"/>
          <w:tab w:val="left" w:pos="709"/>
        </w:tabs>
        <w:spacing w:before="0" w:beforeAutospacing="0"/>
        <w:rPr>
          <w:rFonts w:ascii="Arial" w:hAnsi="Arial" w:cs="Arial"/>
          <w:b/>
          <w:caps/>
          <w:kern w:val="28"/>
          <w:sz w:val="22"/>
          <w:szCs w:val="22"/>
          <w:lang w:val="en-US"/>
        </w:rPr>
      </w:pPr>
      <w:r w:rsidRPr="00733E87">
        <w:rPr>
          <w:rFonts w:ascii="Arial" w:hAnsi="Arial" w:cs="Arial"/>
          <w:sz w:val="22"/>
          <w:szCs w:val="22"/>
          <w:lang w:val="en-US"/>
        </w:rPr>
        <w:tab/>
      </w:r>
      <w:r w:rsidR="000D0E47" w:rsidRPr="00733E87">
        <w:rPr>
          <w:rFonts w:ascii="Arial" w:hAnsi="Arial" w:cs="Arial"/>
          <w:sz w:val="22"/>
          <w:szCs w:val="22"/>
          <w:lang w:val="en-US"/>
        </w:rPr>
        <w:tab/>
      </w:r>
      <w:r w:rsidR="007E4A87" w:rsidRPr="00733E87">
        <w:rPr>
          <w:rFonts w:ascii="Arial" w:hAnsi="Arial" w:cs="Arial"/>
          <w:sz w:val="22"/>
          <w:szCs w:val="22"/>
          <w:lang w:val="en-US"/>
        </w:rPr>
        <w:t>Ms Kong</w:t>
      </w:r>
      <w:r w:rsidR="007A275B" w:rsidRPr="00733E87">
        <w:rPr>
          <w:rFonts w:ascii="Arial" w:hAnsi="Arial" w:cs="Arial"/>
          <w:sz w:val="22"/>
          <w:szCs w:val="22"/>
          <w:lang w:val="en-US"/>
        </w:rPr>
        <w:t xml:space="preserve"> importantly drew attention to the fact that the Tsunami Ready Coalition will </w:t>
      </w:r>
      <w:r w:rsidR="007A275B" w:rsidRPr="00733E87">
        <w:rPr>
          <w:rFonts w:ascii="Arial" w:hAnsi="Arial" w:cs="Arial"/>
          <w:i/>
          <w:iCs/>
          <w:sz w:val="22"/>
          <w:szCs w:val="22"/>
          <w:lang w:val="en-US"/>
        </w:rPr>
        <w:t>not</w:t>
      </w:r>
      <w:r w:rsidR="007A275B" w:rsidRPr="00733E87">
        <w:rPr>
          <w:rFonts w:ascii="Arial" w:hAnsi="Arial" w:cs="Arial"/>
          <w:sz w:val="22"/>
          <w:szCs w:val="22"/>
          <w:lang w:val="en-US"/>
        </w:rPr>
        <w:t xml:space="preserve"> have a programmatic role with regards to Tsunami Ready; indeed, </w:t>
      </w:r>
      <w:r w:rsidR="000D0E47" w:rsidRPr="00733E87">
        <w:rPr>
          <w:rFonts w:ascii="Arial" w:hAnsi="Arial" w:cs="Arial"/>
          <w:sz w:val="22"/>
          <w:szCs w:val="22"/>
          <w:lang w:val="en-US"/>
        </w:rPr>
        <w:t xml:space="preserve">the mandate for implementation of Tsunami Ready will remain the mandate and responsibility of the TT-DMP and respective ICGs. </w:t>
      </w:r>
    </w:p>
    <w:p w14:paraId="508465EF" w14:textId="6EEB37C3" w:rsidR="009F3BDB" w:rsidRPr="009F3BDB" w:rsidRDefault="003B3345" w:rsidP="002B6ED7">
      <w:pPr>
        <w:pStyle w:val="paragraph"/>
        <w:numPr>
          <w:ilvl w:val="0"/>
          <w:numId w:val="13"/>
        </w:numPr>
        <w:tabs>
          <w:tab w:val="clear" w:pos="1429"/>
          <w:tab w:val="left" w:pos="709"/>
        </w:tabs>
        <w:spacing w:before="0" w:beforeAutospacing="0"/>
        <w:rPr>
          <w:rFonts w:ascii="Arial" w:hAnsi="Arial" w:cs="Arial"/>
          <w:sz w:val="22"/>
          <w:szCs w:val="22"/>
        </w:rPr>
      </w:pPr>
      <w:r>
        <w:rPr>
          <w:rFonts w:ascii="Arial" w:hAnsi="Arial" w:cs="Arial"/>
          <w:sz w:val="22"/>
          <w:szCs w:val="22"/>
          <w:lang w:val="en-US"/>
        </w:rPr>
        <w:tab/>
      </w:r>
      <w:r w:rsidR="009F3BDB" w:rsidRPr="009F3BDB">
        <w:rPr>
          <w:rFonts w:ascii="Arial" w:hAnsi="Arial" w:cs="Arial"/>
          <w:b/>
          <w:bCs w:val="0"/>
          <w:sz w:val="22"/>
          <w:szCs w:val="22"/>
        </w:rPr>
        <w:t>The Group decided</w:t>
      </w:r>
      <w:r w:rsidR="009F3BDB" w:rsidRPr="009F3BDB">
        <w:rPr>
          <w:rFonts w:ascii="Arial" w:hAnsi="Arial" w:cs="Arial"/>
          <w:sz w:val="22"/>
          <w:szCs w:val="22"/>
        </w:rPr>
        <w:t xml:space="preserve"> that the Chair of the Tsunami Ready Coalition Ms Laura Kong, would propose a governing structure for the Tsunami Ready Coalition to the TOWS-WG-XVII (February 2024).</w:t>
      </w:r>
    </w:p>
    <w:p w14:paraId="1C5BB97B" w14:textId="77433421" w:rsidR="00811AC6" w:rsidRPr="00CB07EA" w:rsidRDefault="0031152F" w:rsidP="00CB07EA">
      <w:pPr>
        <w:pStyle w:val="Heading1"/>
        <w:numPr>
          <w:ilvl w:val="0"/>
          <w:numId w:val="81"/>
        </w:numPr>
      </w:pPr>
      <w:bookmarkStart w:id="121" w:name="_Toc390247916"/>
      <w:bookmarkStart w:id="122" w:name="_Toc195258112"/>
      <w:r w:rsidRPr="00811AC6">
        <w:t>OTHER ISSUES</w:t>
      </w:r>
      <w:bookmarkStart w:id="123" w:name="_Toc201728014"/>
      <w:bookmarkStart w:id="124" w:name="_Toc288835163"/>
      <w:bookmarkStart w:id="125" w:name="_Toc390247917"/>
      <w:bookmarkEnd w:id="121"/>
      <w:bookmarkEnd w:id="122"/>
      <w:r w:rsidR="00DE2CD9" w:rsidRPr="00811AC6">
        <w:t xml:space="preserve"> </w:t>
      </w:r>
      <w:r w:rsidR="00811AC6" w:rsidRPr="00811AC6">
        <w:t xml:space="preserve"> </w:t>
      </w:r>
    </w:p>
    <w:p w14:paraId="0CAD7F6C" w14:textId="172648CE" w:rsidR="00997979" w:rsidRPr="00EA50E6" w:rsidRDefault="00BF27E0" w:rsidP="002B6ED7">
      <w:pPr>
        <w:pStyle w:val="paragraph"/>
        <w:numPr>
          <w:ilvl w:val="0"/>
          <w:numId w:val="13"/>
        </w:numPr>
        <w:tabs>
          <w:tab w:val="clear" w:pos="1429"/>
          <w:tab w:val="left" w:pos="709"/>
        </w:tabs>
        <w:spacing w:before="0" w:beforeAutospacing="0"/>
        <w:rPr>
          <w:rFonts w:ascii="Arial" w:hAnsi="Arial" w:cs="Arial"/>
          <w:sz w:val="22"/>
          <w:szCs w:val="22"/>
        </w:rPr>
      </w:pPr>
      <w:r>
        <w:rPr>
          <w:rFonts w:ascii="Arial" w:hAnsi="Arial" w:cs="Arial"/>
          <w:color w:val="000000"/>
          <w:sz w:val="22"/>
          <w:szCs w:val="22"/>
        </w:rPr>
        <w:tab/>
      </w:r>
      <w:r w:rsidR="00223889" w:rsidRPr="00EA50E6">
        <w:rPr>
          <w:rFonts w:ascii="Arial" w:hAnsi="Arial" w:cs="Arial"/>
          <w:color w:val="000000"/>
          <w:sz w:val="22"/>
          <w:szCs w:val="22"/>
        </w:rPr>
        <w:t xml:space="preserve">No other issues </w:t>
      </w:r>
      <w:r w:rsidR="007459B2" w:rsidRPr="00EA50E6">
        <w:rPr>
          <w:rFonts w:ascii="Arial" w:hAnsi="Arial" w:cs="Arial"/>
          <w:color w:val="000000"/>
          <w:sz w:val="22"/>
          <w:szCs w:val="22"/>
        </w:rPr>
        <w:t>were reported</w:t>
      </w:r>
      <w:r w:rsidR="00223889" w:rsidRPr="00EA50E6">
        <w:rPr>
          <w:rFonts w:ascii="Arial" w:hAnsi="Arial" w:cs="Arial"/>
          <w:color w:val="000000"/>
          <w:sz w:val="22"/>
          <w:szCs w:val="22"/>
        </w:rPr>
        <w:t>.</w:t>
      </w:r>
    </w:p>
    <w:p w14:paraId="76FE1AE9" w14:textId="77777777" w:rsidR="0031152F" w:rsidRPr="004766A7" w:rsidRDefault="00D12B7C" w:rsidP="00CB07EA">
      <w:pPr>
        <w:pStyle w:val="Heading1"/>
        <w:numPr>
          <w:ilvl w:val="0"/>
          <w:numId w:val="81"/>
        </w:numPr>
      </w:pPr>
      <w:bookmarkStart w:id="126" w:name="_Toc195258113"/>
      <w:r w:rsidRPr="004766A7">
        <w:t>DATE AND PLACE OF THE NEXT MEETING</w:t>
      </w:r>
      <w:bookmarkEnd w:id="123"/>
      <w:bookmarkEnd w:id="124"/>
      <w:bookmarkEnd w:id="125"/>
      <w:bookmarkEnd w:id="126"/>
    </w:p>
    <w:p w14:paraId="4731327D" w14:textId="02A0BA20" w:rsidR="00401726" w:rsidRPr="00B80DAD" w:rsidRDefault="00BF27E0" w:rsidP="002B6ED7">
      <w:pPr>
        <w:pStyle w:val="paragraph"/>
        <w:numPr>
          <w:ilvl w:val="0"/>
          <w:numId w:val="13"/>
        </w:numPr>
        <w:tabs>
          <w:tab w:val="clear" w:pos="1429"/>
          <w:tab w:val="left" w:pos="709"/>
        </w:tabs>
        <w:spacing w:before="0" w:beforeAutospacing="0"/>
        <w:rPr>
          <w:rFonts w:ascii="Arial" w:hAnsi="Arial" w:cs="Arial"/>
          <w:snapToGrid/>
          <w:sz w:val="22"/>
          <w:szCs w:val="22"/>
          <w:lang w:eastAsia="zh-CN"/>
        </w:rPr>
      </w:pPr>
      <w:r>
        <w:rPr>
          <w:rFonts w:ascii="Arial" w:hAnsi="Arial" w:cs="Arial"/>
          <w:bCs w:val="0"/>
          <w:sz w:val="22"/>
          <w:szCs w:val="22"/>
          <w:lang w:val="en-US"/>
        </w:rPr>
        <w:tab/>
      </w:r>
      <w:r w:rsidR="000B5497" w:rsidRPr="00B80DAD">
        <w:rPr>
          <w:rFonts w:ascii="Arial" w:hAnsi="Arial" w:cs="Arial"/>
          <w:bCs w:val="0"/>
          <w:sz w:val="22"/>
          <w:szCs w:val="22"/>
          <w:lang w:val="en-US"/>
        </w:rPr>
        <w:t>The</w:t>
      </w:r>
      <w:r w:rsidR="000B5497" w:rsidRPr="00B80DAD">
        <w:rPr>
          <w:rFonts w:ascii="Arial" w:hAnsi="Arial" w:cs="Arial"/>
          <w:snapToGrid/>
          <w:sz w:val="22"/>
          <w:szCs w:val="22"/>
          <w:lang w:eastAsia="zh-CN"/>
        </w:rPr>
        <w:t xml:space="preserve"> Chair and Techn</w:t>
      </w:r>
      <w:r w:rsidR="000219F0" w:rsidRPr="00B80DAD">
        <w:rPr>
          <w:rFonts w:ascii="Arial" w:hAnsi="Arial" w:cs="Arial"/>
          <w:snapToGrid/>
          <w:sz w:val="22"/>
          <w:szCs w:val="22"/>
          <w:lang w:eastAsia="zh-CN"/>
        </w:rPr>
        <w:t>ic</w:t>
      </w:r>
      <w:r w:rsidR="000B5497" w:rsidRPr="00B80DAD">
        <w:rPr>
          <w:rFonts w:ascii="Arial" w:hAnsi="Arial" w:cs="Arial"/>
          <w:snapToGrid/>
          <w:sz w:val="22"/>
          <w:szCs w:val="22"/>
          <w:lang w:eastAsia="zh-CN"/>
        </w:rPr>
        <w:t xml:space="preserve">al Secretary </w:t>
      </w:r>
      <w:r w:rsidR="003B3345">
        <w:rPr>
          <w:rFonts w:ascii="Arial" w:hAnsi="Arial" w:cs="Arial"/>
          <w:snapToGrid/>
          <w:sz w:val="22"/>
          <w:szCs w:val="22"/>
          <w:lang w:eastAsia="zh-CN"/>
        </w:rPr>
        <w:t>proposed</w:t>
      </w:r>
      <w:r w:rsidR="007C35AD" w:rsidRPr="00B80DAD">
        <w:rPr>
          <w:rFonts w:ascii="Arial" w:hAnsi="Arial" w:cs="Arial"/>
          <w:snapToGrid/>
          <w:sz w:val="22"/>
          <w:szCs w:val="22"/>
          <w:lang w:eastAsia="zh-CN"/>
        </w:rPr>
        <w:t xml:space="preserve"> </w:t>
      </w:r>
      <w:r w:rsidR="0040662A" w:rsidRPr="00B80DAD">
        <w:rPr>
          <w:rFonts w:ascii="Arial" w:hAnsi="Arial" w:cs="Arial"/>
          <w:snapToGrid/>
          <w:sz w:val="22"/>
          <w:szCs w:val="22"/>
          <w:lang w:eastAsia="zh-CN"/>
        </w:rPr>
        <w:t xml:space="preserve">the date of </w:t>
      </w:r>
      <w:r w:rsidR="004674A1" w:rsidRPr="00B80DAD">
        <w:rPr>
          <w:rFonts w:ascii="Arial" w:hAnsi="Arial" w:cs="Arial"/>
          <w:snapToGrid/>
          <w:sz w:val="22"/>
          <w:szCs w:val="22"/>
          <w:lang w:eastAsia="zh-CN"/>
        </w:rPr>
        <w:t>TOWS-WG-</w:t>
      </w:r>
      <w:r w:rsidR="0086236D" w:rsidRPr="00B80DAD">
        <w:rPr>
          <w:rFonts w:ascii="Arial" w:hAnsi="Arial" w:cs="Arial"/>
          <w:snapToGrid/>
          <w:sz w:val="22"/>
          <w:szCs w:val="22"/>
          <w:lang w:eastAsia="zh-CN"/>
        </w:rPr>
        <w:t>X</w:t>
      </w:r>
      <w:r w:rsidR="003835A0" w:rsidRPr="00B80DAD">
        <w:rPr>
          <w:rFonts w:ascii="Arial" w:hAnsi="Arial" w:cs="Arial"/>
          <w:snapToGrid/>
          <w:sz w:val="22"/>
          <w:szCs w:val="22"/>
          <w:lang w:eastAsia="zh-CN"/>
        </w:rPr>
        <w:t>I</w:t>
      </w:r>
      <w:r w:rsidR="003B3345">
        <w:rPr>
          <w:rFonts w:ascii="Arial" w:hAnsi="Arial" w:cs="Arial"/>
          <w:snapToGrid/>
          <w:sz w:val="22"/>
          <w:szCs w:val="22"/>
          <w:lang w:eastAsia="zh-CN"/>
        </w:rPr>
        <w:t>X</w:t>
      </w:r>
      <w:r w:rsidR="004674A1" w:rsidRPr="00B80DAD">
        <w:rPr>
          <w:rFonts w:ascii="Arial" w:hAnsi="Arial" w:cs="Arial"/>
          <w:snapToGrid/>
          <w:sz w:val="22"/>
          <w:szCs w:val="22"/>
          <w:lang w:eastAsia="zh-CN"/>
        </w:rPr>
        <w:t xml:space="preserve"> </w:t>
      </w:r>
      <w:r w:rsidR="00401726" w:rsidRPr="00B80DAD">
        <w:rPr>
          <w:rFonts w:ascii="Arial" w:hAnsi="Arial" w:cs="Arial"/>
          <w:snapToGrid/>
          <w:sz w:val="22"/>
          <w:szCs w:val="22"/>
          <w:lang w:eastAsia="zh-CN"/>
        </w:rPr>
        <w:t>to be</w:t>
      </w:r>
      <w:r w:rsidR="004674A1" w:rsidRPr="00B80DAD">
        <w:rPr>
          <w:rFonts w:ascii="Arial" w:hAnsi="Arial" w:cs="Arial"/>
          <w:snapToGrid/>
          <w:sz w:val="22"/>
          <w:szCs w:val="22"/>
          <w:lang w:eastAsia="zh-CN"/>
        </w:rPr>
        <w:t xml:space="preserve"> </w:t>
      </w:r>
      <w:r w:rsidR="00C3028C" w:rsidRPr="00B80DAD">
        <w:rPr>
          <w:rFonts w:ascii="Arial" w:hAnsi="Arial" w:cs="Arial"/>
          <w:snapToGrid/>
          <w:sz w:val="22"/>
          <w:szCs w:val="22"/>
          <w:lang w:eastAsia="zh-CN"/>
        </w:rPr>
        <w:t>during</w:t>
      </w:r>
      <w:r w:rsidR="004674A1" w:rsidRPr="00B80DAD">
        <w:rPr>
          <w:rFonts w:ascii="Arial" w:hAnsi="Arial" w:cs="Arial"/>
          <w:snapToGrid/>
          <w:sz w:val="22"/>
          <w:szCs w:val="22"/>
          <w:lang w:eastAsia="zh-CN"/>
        </w:rPr>
        <w:t xml:space="preserve"> </w:t>
      </w:r>
      <w:r w:rsidR="00733E87">
        <w:rPr>
          <w:rFonts w:ascii="Arial" w:hAnsi="Arial" w:cs="Arial"/>
          <w:snapToGrid/>
          <w:sz w:val="22"/>
          <w:szCs w:val="22"/>
          <w:lang w:eastAsia="zh-CN"/>
        </w:rPr>
        <w:t xml:space="preserve">the </w:t>
      </w:r>
      <w:r w:rsidR="003B3345" w:rsidRPr="003B3345">
        <w:rPr>
          <w:rFonts w:ascii="Arial" w:hAnsi="Arial" w:cs="Arial"/>
          <w:snapToGrid/>
          <w:sz w:val="22"/>
          <w:szCs w:val="22"/>
          <w:lang w:eastAsia="zh-CN"/>
        </w:rPr>
        <w:t>week of February 16-20, 2026</w:t>
      </w:r>
      <w:r w:rsidR="00401726" w:rsidRPr="00B80DAD">
        <w:rPr>
          <w:rFonts w:ascii="Arial" w:hAnsi="Arial" w:cs="Arial"/>
          <w:snapToGrid/>
          <w:sz w:val="22"/>
          <w:szCs w:val="22"/>
          <w:lang w:eastAsia="zh-CN"/>
        </w:rPr>
        <w:t>, with specific dates to be confirmed by the Secretariat through a Circular Letter.</w:t>
      </w:r>
    </w:p>
    <w:p w14:paraId="061F75E9" w14:textId="77777777" w:rsidR="0031152F" w:rsidRPr="004766A7" w:rsidRDefault="0031152F" w:rsidP="00CB07EA">
      <w:pPr>
        <w:pStyle w:val="Heading1"/>
        <w:numPr>
          <w:ilvl w:val="0"/>
          <w:numId w:val="81"/>
        </w:numPr>
      </w:pPr>
      <w:bookmarkStart w:id="127" w:name="_Toc201728015"/>
      <w:bookmarkStart w:id="128" w:name="_Toc288835164"/>
      <w:bookmarkStart w:id="129" w:name="_Toc195258114"/>
      <w:r w:rsidRPr="004766A7">
        <w:t>CLOSURE OF MEETING</w:t>
      </w:r>
      <w:bookmarkEnd w:id="127"/>
      <w:bookmarkEnd w:id="128"/>
      <w:bookmarkEnd w:id="129"/>
    </w:p>
    <w:p w14:paraId="1B2EBA6A" w14:textId="77777777" w:rsidR="009F077A" w:rsidRDefault="00081BA4" w:rsidP="00F86463">
      <w:pPr>
        <w:pStyle w:val="paragraph"/>
        <w:numPr>
          <w:ilvl w:val="0"/>
          <w:numId w:val="13"/>
        </w:numPr>
        <w:tabs>
          <w:tab w:val="clear" w:pos="1429"/>
          <w:tab w:val="left" w:pos="709"/>
        </w:tabs>
        <w:spacing w:before="0" w:beforeAutospacing="0"/>
        <w:rPr>
          <w:rFonts w:ascii="Arial" w:eastAsia="Arial" w:hAnsi="Arial" w:cs="Arial"/>
          <w:sz w:val="22"/>
          <w:szCs w:val="22"/>
        </w:rPr>
        <w:sectPr w:rsidR="009F077A" w:rsidSect="009F077A">
          <w:headerReference w:type="even" r:id="rId44"/>
          <w:headerReference w:type="default" r:id="rId45"/>
          <w:footerReference w:type="default" r:id="rId46"/>
          <w:type w:val="oddPage"/>
          <w:pgSz w:w="11906" w:h="16838"/>
          <w:pgMar w:top="1440" w:right="1440" w:bottom="1440" w:left="1440" w:header="708" w:footer="708" w:gutter="0"/>
          <w:pgNumType w:start="2"/>
          <w:cols w:space="720"/>
        </w:sectPr>
      </w:pPr>
      <w:r w:rsidRPr="00733E87">
        <w:rPr>
          <w:rFonts w:ascii="Arial" w:hAnsi="Arial" w:cs="Arial"/>
          <w:sz w:val="22"/>
          <w:szCs w:val="22"/>
        </w:rPr>
        <w:tab/>
      </w:r>
      <w:r w:rsidR="009313E0" w:rsidRPr="00733E87">
        <w:rPr>
          <w:rFonts w:ascii="Arial" w:hAnsi="Arial" w:cs="Arial"/>
          <w:sz w:val="22"/>
          <w:szCs w:val="22"/>
        </w:rPr>
        <w:tab/>
      </w:r>
      <w:r w:rsidR="00B32DB2" w:rsidRPr="00733E87">
        <w:rPr>
          <w:rFonts w:ascii="Arial" w:hAnsi="Arial" w:cs="Arial"/>
          <w:bCs w:val="0"/>
          <w:sz w:val="22"/>
          <w:szCs w:val="22"/>
          <w:lang w:val="en-US"/>
        </w:rPr>
        <w:t>The</w:t>
      </w:r>
      <w:r w:rsidR="00B32DB2" w:rsidRPr="00733E87">
        <w:rPr>
          <w:rFonts w:ascii="Arial" w:hAnsi="Arial" w:cs="Arial"/>
          <w:snapToGrid/>
          <w:sz w:val="22"/>
          <w:szCs w:val="22"/>
          <w:lang w:eastAsia="zh-CN"/>
        </w:rPr>
        <w:t xml:space="preserve"> </w:t>
      </w:r>
      <w:r w:rsidR="003B3345" w:rsidRPr="00733E87">
        <w:rPr>
          <w:rFonts w:ascii="Arial" w:hAnsi="Arial" w:cs="Arial"/>
          <w:snapToGrid/>
          <w:sz w:val="22"/>
          <w:szCs w:val="22"/>
          <w:lang w:eastAsia="zh-CN"/>
        </w:rPr>
        <w:t>Eight</w:t>
      </w:r>
      <w:r w:rsidR="00DE6330" w:rsidRPr="00733E87">
        <w:rPr>
          <w:rFonts w:ascii="Arial" w:hAnsi="Arial" w:cs="Arial"/>
          <w:snapToGrid/>
          <w:sz w:val="22"/>
          <w:szCs w:val="22"/>
          <w:lang w:eastAsia="zh-CN"/>
        </w:rPr>
        <w:t xml:space="preserve">eenth </w:t>
      </w:r>
      <w:r w:rsidR="00844B1E" w:rsidRPr="00733E87">
        <w:rPr>
          <w:rFonts w:ascii="Arial" w:hAnsi="Arial" w:cs="Arial"/>
          <w:snapToGrid/>
          <w:sz w:val="22"/>
          <w:szCs w:val="22"/>
          <w:lang w:eastAsia="zh-CN"/>
        </w:rPr>
        <w:t xml:space="preserve">meeting of </w:t>
      </w:r>
      <w:r w:rsidR="007E3D7A" w:rsidRPr="00733E87">
        <w:rPr>
          <w:rFonts w:ascii="Arial" w:hAnsi="Arial" w:cs="Arial"/>
          <w:snapToGrid/>
          <w:sz w:val="22"/>
          <w:szCs w:val="22"/>
          <w:lang w:eastAsia="zh-CN"/>
        </w:rPr>
        <w:t>TOWS-WG</w:t>
      </w:r>
      <w:r w:rsidR="009313E0" w:rsidRPr="00733E87">
        <w:rPr>
          <w:rFonts w:ascii="Arial" w:hAnsi="Arial" w:cs="Arial"/>
          <w:snapToGrid/>
          <w:sz w:val="22"/>
          <w:szCs w:val="22"/>
          <w:lang w:eastAsia="zh-CN"/>
        </w:rPr>
        <w:t xml:space="preserve"> in Paris, France, was </w:t>
      </w:r>
      <w:r w:rsidR="00B32DB2" w:rsidRPr="00733E87">
        <w:rPr>
          <w:rFonts w:ascii="Arial" w:hAnsi="Arial" w:cs="Arial"/>
          <w:snapToGrid/>
          <w:sz w:val="22"/>
          <w:szCs w:val="22"/>
          <w:lang w:eastAsia="zh-CN"/>
        </w:rPr>
        <w:t>close</w:t>
      </w:r>
      <w:r w:rsidR="00DE2451" w:rsidRPr="00733E87">
        <w:rPr>
          <w:rFonts w:ascii="Arial" w:hAnsi="Arial" w:cs="Arial"/>
          <w:snapToGrid/>
          <w:sz w:val="22"/>
          <w:szCs w:val="22"/>
          <w:lang w:eastAsia="zh-CN"/>
        </w:rPr>
        <w:t>d</w:t>
      </w:r>
      <w:r w:rsidR="00B32DB2" w:rsidRPr="00733E87">
        <w:rPr>
          <w:rFonts w:ascii="Arial" w:hAnsi="Arial" w:cs="Arial"/>
          <w:snapToGrid/>
          <w:sz w:val="22"/>
          <w:szCs w:val="22"/>
          <w:lang w:eastAsia="zh-CN"/>
        </w:rPr>
        <w:t xml:space="preserve"> a</w:t>
      </w:r>
      <w:r w:rsidR="007E3D7A" w:rsidRPr="00733E87">
        <w:rPr>
          <w:rFonts w:ascii="Arial" w:hAnsi="Arial" w:cs="Arial"/>
          <w:snapToGrid/>
          <w:sz w:val="22"/>
          <w:szCs w:val="22"/>
          <w:lang w:eastAsia="zh-CN"/>
        </w:rPr>
        <w:t>t</w:t>
      </w:r>
      <w:r w:rsidR="00B32DB2" w:rsidRPr="00733E87">
        <w:rPr>
          <w:rFonts w:ascii="Arial" w:hAnsi="Arial" w:cs="Arial"/>
          <w:snapToGrid/>
          <w:sz w:val="22"/>
          <w:szCs w:val="22"/>
          <w:lang w:eastAsia="zh-CN"/>
        </w:rPr>
        <w:t xml:space="preserve"> </w:t>
      </w:r>
      <w:r w:rsidR="00DE2451" w:rsidRPr="00733E87">
        <w:rPr>
          <w:rFonts w:ascii="Arial" w:hAnsi="Arial" w:cs="Arial"/>
          <w:snapToGrid/>
          <w:sz w:val="22"/>
          <w:szCs w:val="22"/>
          <w:lang w:eastAsia="zh-CN"/>
        </w:rPr>
        <w:t>1</w:t>
      </w:r>
      <w:r w:rsidR="003B3345" w:rsidRPr="00733E87">
        <w:rPr>
          <w:rFonts w:ascii="Arial" w:hAnsi="Arial" w:cs="Arial"/>
          <w:snapToGrid/>
          <w:sz w:val="22"/>
          <w:szCs w:val="22"/>
          <w:lang w:eastAsia="zh-CN"/>
        </w:rPr>
        <w:t>2</w:t>
      </w:r>
      <w:r w:rsidR="007319C5" w:rsidRPr="00733E87">
        <w:rPr>
          <w:rFonts w:ascii="Arial" w:hAnsi="Arial" w:cs="Arial"/>
          <w:snapToGrid/>
          <w:sz w:val="22"/>
          <w:szCs w:val="22"/>
          <w:lang w:eastAsia="zh-CN"/>
        </w:rPr>
        <w:t>:</w:t>
      </w:r>
      <w:r w:rsidR="003B3345" w:rsidRPr="00733E87">
        <w:rPr>
          <w:rFonts w:ascii="Arial" w:hAnsi="Arial" w:cs="Arial"/>
          <w:snapToGrid/>
          <w:sz w:val="22"/>
          <w:szCs w:val="22"/>
          <w:lang w:eastAsia="zh-CN"/>
        </w:rPr>
        <w:t>0</w:t>
      </w:r>
      <w:r w:rsidR="005078A9" w:rsidRPr="00733E87">
        <w:rPr>
          <w:rFonts w:ascii="Arial" w:hAnsi="Arial" w:cs="Arial"/>
          <w:snapToGrid/>
          <w:sz w:val="22"/>
          <w:szCs w:val="22"/>
          <w:lang w:eastAsia="zh-CN"/>
        </w:rPr>
        <w:t>0</w:t>
      </w:r>
      <w:r w:rsidR="007319C5" w:rsidRPr="00733E87">
        <w:rPr>
          <w:rFonts w:ascii="Arial" w:hAnsi="Arial" w:cs="Arial"/>
          <w:snapToGrid/>
          <w:sz w:val="22"/>
          <w:szCs w:val="22"/>
          <w:lang w:eastAsia="zh-CN"/>
        </w:rPr>
        <w:t xml:space="preserve"> </w:t>
      </w:r>
      <w:r w:rsidR="003835A0" w:rsidRPr="00733E87">
        <w:rPr>
          <w:rFonts w:ascii="Arial" w:hAnsi="Arial" w:cs="Arial"/>
          <w:snapToGrid/>
          <w:sz w:val="22"/>
          <w:szCs w:val="22"/>
          <w:lang w:eastAsia="zh-CN"/>
        </w:rPr>
        <w:t>CET</w:t>
      </w:r>
      <w:r w:rsidR="00F77E74" w:rsidRPr="00733E87">
        <w:rPr>
          <w:rFonts w:ascii="Arial" w:hAnsi="Arial" w:cs="Arial"/>
          <w:snapToGrid/>
          <w:sz w:val="22"/>
          <w:szCs w:val="22"/>
          <w:lang w:eastAsia="zh-CN"/>
        </w:rPr>
        <w:t xml:space="preserve"> on </w:t>
      </w:r>
      <w:r w:rsidR="003B3345" w:rsidRPr="00733E87">
        <w:rPr>
          <w:rFonts w:ascii="Arial" w:hAnsi="Arial" w:cs="Arial"/>
          <w:snapToGrid/>
          <w:sz w:val="22"/>
          <w:szCs w:val="22"/>
          <w:lang w:eastAsia="zh-CN"/>
        </w:rPr>
        <w:t>25</w:t>
      </w:r>
      <w:r w:rsidR="00DE2451" w:rsidRPr="00733E87">
        <w:rPr>
          <w:rFonts w:ascii="Arial" w:hAnsi="Arial" w:cs="Arial"/>
          <w:snapToGrid/>
          <w:sz w:val="22"/>
          <w:szCs w:val="22"/>
          <w:vertAlign w:val="superscript"/>
          <w:lang w:eastAsia="zh-CN"/>
        </w:rPr>
        <w:t xml:space="preserve"> </w:t>
      </w:r>
      <w:r w:rsidR="003B3345" w:rsidRPr="00733E87">
        <w:rPr>
          <w:rFonts w:ascii="Arial" w:hAnsi="Arial" w:cs="Arial"/>
          <w:snapToGrid/>
          <w:sz w:val="22"/>
          <w:szCs w:val="22"/>
          <w:lang w:eastAsia="zh-CN"/>
        </w:rPr>
        <w:t>February</w:t>
      </w:r>
      <w:r w:rsidR="003835A0" w:rsidRPr="00733E87">
        <w:rPr>
          <w:rFonts w:ascii="Arial" w:hAnsi="Arial" w:cs="Arial"/>
          <w:snapToGrid/>
          <w:sz w:val="22"/>
          <w:szCs w:val="22"/>
          <w:lang w:eastAsia="zh-CN"/>
        </w:rPr>
        <w:t xml:space="preserve"> 20</w:t>
      </w:r>
      <w:bookmarkStart w:id="130" w:name="_Toc418154738"/>
      <w:bookmarkStart w:id="131" w:name="_Ref418536508"/>
      <w:bookmarkStart w:id="132" w:name="_Toc420496193"/>
      <w:r w:rsidR="003B3345" w:rsidRPr="00733E87">
        <w:rPr>
          <w:rFonts w:ascii="Arial" w:hAnsi="Arial" w:cs="Arial"/>
          <w:snapToGrid/>
          <w:sz w:val="22"/>
          <w:szCs w:val="22"/>
          <w:lang w:eastAsia="zh-CN"/>
        </w:rPr>
        <w:t>25</w:t>
      </w:r>
      <w:r w:rsidRPr="00733E87">
        <w:rPr>
          <w:rFonts w:ascii="Arial" w:hAnsi="Arial" w:cs="Arial"/>
          <w:snapToGrid/>
          <w:sz w:val="22"/>
          <w:szCs w:val="22"/>
          <w:lang w:eastAsia="zh-CN"/>
        </w:rPr>
        <w:t>.</w:t>
      </w:r>
      <w:bookmarkStart w:id="133" w:name="_ANNEX_I"/>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130"/>
      <w:bookmarkEnd w:id="131"/>
      <w:bookmarkEnd w:id="132"/>
      <w:bookmarkEnd w:id="133"/>
      <w:r w:rsidR="00E65820" w:rsidRPr="00733E87">
        <w:rPr>
          <w:rFonts w:ascii="Arial" w:eastAsia="Arial" w:hAnsi="Arial" w:cs="Arial"/>
          <w:sz w:val="22"/>
          <w:szCs w:val="22"/>
        </w:rPr>
        <w:br w:type="page"/>
      </w:r>
    </w:p>
    <w:p w14:paraId="0AED0033" w14:textId="77777777" w:rsidR="0061308E" w:rsidRPr="009F077A" w:rsidRDefault="0061308E" w:rsidP="0061308E">
      <w:pPr>
        <w:spacing w:after="240"/>
        <w:jc w:val="center"/>
        <w:rPr>
          <w:rFonts w:cs="Arial"/>
        </w:rPr>
      </w:pPr>
      <w:bookmarkStart w:id="134" w:name="_Toc41491010"/>
      <w:bookmarkStart w:id="135" w:name="A1"/>
      <w:r w:rsidRPr="009F077A">
        <w:rPr>
          <w:rFonts w:ascii="Arial" w:hAnsi="Arial" w:cs="Arial"/>
          <w:b/>
        </w:rPr>
        <w:lastRenderedPageBreak/>
        <w:t>ANNEX I</w:t>
      </w:r>
      <w:bookmarkEnd w:id="134"/>
      <w:bookmarkEnd w:id="135"/>
    </w:p>
    <w:p w14:paraId="412D69FC" w14:textId="77777777" w:rsidR="0061308E" w:rsidRPr="009F077A" w:rsidRDefault="0061308E" w:rsidP="0061308E">
      <w:pPr>
        <w:spacing w:after="240"/>
        <w:jc w:val="center"/>
        <w:rPr>
          <w:rFonts w:ascii="Arial" w:hAnsi="Arial" w:cs="Arial"/>
        </w:rPr>
      </w:pPr>
      <w:bookmarkStart w:id="136" w:name="_Toc196727166"/>
      <w:bookmarkStart w:id="137" w:name="_Toc196733150"/>
      <w:bookmarkStart w:id="138" w:name="_Toc196733749"/>
      <w:bookmarkStart w:id="139" w:name="_Toc196734180"/>
      <w:bookmarkStart w:id="140" w:name="_Toc196816312"/>
      <w:bookmarkStart w:id="141" w:name="_Toc196819820"/>
      <w:bookmarkStart w:id="142" w:name="_Toc196819939"/>
      <w:bookmarkStart w:id="143" w:name="_Toc201728017"/>
      <w:bookmarkStart w:id="144" w:name="_Toc201728110"/>
      <w:bookmarkStart w:id="145" w:name="_Toc357081378"/>
      <w:bookmarkStart w:id="146" w:name="_Toc357508208"/>
      <w:bookmarkStart w:id="147" w:name="_Toc386101307"/>
      <w:bookmarkStart w:id="148" w:name="_Ref388268703"/>
      <w:bookmarkStart w:id="149" w:name="_Toc390247920"/>
      <w:bookmarkStart w:id="150" w:name="_Toc418154739"/>
      <w:bookmarkStart w:id="151" w:name="_Toc420496194"/>
      <w:bookmarkStart w:id="152" w:name="_Toc41491011"/>
      <w:r w:rsidRPr="009F077A">
        <w:rPr>
          <w:rFonts w:ascii="Arial" w:hAnsi="Arial" w:cs="Arial"/>
        </w:rPr>
        <w:t>AGENDA</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B07DFDB" w14:textId="77777777" w:rsidR="003C1C44" w:rsidRPr="009F077A" w:rsidRDefault="003C1C44" w:rsidP="000D0E47">
      <w:pPr>
        <w:widowControl w:val="0"/>
        <w:numPr>
          <w:ilvl w:val="0"/>
          <w:numId w:val="21"/>
        </w:numPr>
        <w:tabs>
          <w:tab w:val="left" w:pos="567"/>
          <w:tab w:val="left" w:pos="1235"/>
          <w:tab w:val="left" w:pos="1236"/>
        </w:tabs>
        <w:autoSpaceDE w:val="0"/>
        <w:autoSpaceDN w:val="0"/>
        <w:spacing w:before="196"/>
        <w:rPr>
          <w:rFonts w:asciiTheme="minorBidi" w:hAnsiTheme="minorBidi"/>
          <w:b/>
          <w:noProof/>
          <w:lang w:val="en-US"/>
        </w:rPr>
      </w:pPr>
      <w:r w:rsidRPr="009F077A">
        <w:rPr>
          <w:rFonts w:asciiTheme="minorBidi" w:hAnsiTheme="minorBidi"/>
          <w:b/>
          <w:noProof/>
          <w:lang w:val="en-US"/>
        </w:rPr>
        <w:t xml:space="preserve">OPENING </w:t>
      </w:r>
      <w:r w:rsidRPr="009F077A">
        <w:rPr>
          <w:rFonts w:asciiTheme="minorBidi" w:hAnsiTheme="minorBidi"/>
          <w:b/>
          <w:noProof/>
          <w:spacing w:val="-3"/>
          <w:lang w:val="en-US"/>
        </w:rPr>
        <w:t>AND</w:t>
      </w:r>
      <w:r w:rsidRPr="009F077A">
        <w:rPr>
          <w:rFonts w:asciiTheme="minorBidi" w:hAnsiTheme="minorBidi"/>
          <w:b/>
          <w:noProof/>
          <w:spacing w:val="2"/>
          <w:lang w:val="en-US"/>
        </w:rPr>
        <w:t xml:space="preserve"> </w:t>
      </w:r>
      <w:r w:rsidRPr="009F077A">
        <w:rPr>
          <w:rFonts w:asciiTheme="minorBidi" w:hAnsiTheme="minorBidi"/>
          <w:b/>
          <w:noProof/>
          <w:lang w:val="en-US"/>
        </w:rPr>
        <w:t>WELCOME</w:t>
      </w:r>
    </w:p>
    <w:p w14:paraId="5823B404" w14:textId="77777777" w:rsidR="003C1C44" w:rsidRPr="009F077A" w:rsidRDefault="003C1C44" w:rsidP="000D0E47">
      <w:pPr>
        <w:widowControl w:val="0"/>
        <w:numPr>
          <w:ilvl w:val="1"/>
          <w:numId w:val="21"/>
        </w:numPr>
        <w:tabs>
          <w:tab w:val="left" w:pos="567"/>
          <w:tab w:val="left" w:pos="1799"/>
          <w:tab w:val="left" w:pos="1800"/>
        </w:tabs>
        <w:autoSpaceDE w:val="0"/>
        <w:autoSpaceDN w:val="0"/>
        <w:spacing w:before="122"/>
        <w:ind w:hanging="541"/>
        <w:rPr>
          <w:rFonts w:asciiTheme="minorBidi" w:hAnsiTheme="minorBidi"/>
          <w:noProof/>
          <w:lang w:val="en-US"/>
        </w:rPr>
      </w:pPr>
      <w:r w:rsidRPr="009F077A">
        <w:rPr>
          <w:rFonts w:asciiTheme="minorBidi" w:hAnsiTheme="minorBidi"/>
          <w:noProof/>
          <w:lang w:val="en-US"/>
        </w:rPr>
        <w:t>OPENING</w:t>
      </w:r>
    </w:p>
    <w:p w14:paraId="6CBDE706" w14:textId="77777777" w:rsidR="003C1C44" w:rsidRPr="009F077A" w:rsidRDefault="003C1C44" w:rsidP="000D0E47">
      <w:pPr>
        <w:widowControl w:val="0"/>
        <w:numPr>
          <w:ilvl w:val="1"/>
          <w:numId w:val="21"/>
        </w:numPr>
        <w:tabs>
          <w:tab w:val="left" w:pos="567"/>
          <w:tab w:val="left" w:pos="1799"/>
          <w:tab w:val="left" w:pos="1800"/>
        </w:tabs>
        <w:autoSpaceDE w:val="0"/>
        <w:autoSpaceDN w:val="0"/>
        <w:spacing w:before="121"/>
        <w:ind w:hanging="541"/>
        <w:rPr>
          <w:rFonts w:asciiTheme="minorBidi" w:hAnsiTheme="minorBidi"/>
          <w:noProof/>
          <w:lang w:val="en-US"/>
        </w:rPr>
      </w:pPr>
      <w:r w:rsidRPr="009F077A">
        <w:rPr>
          <w:rFonts w:asciiTheme="minorBidi" w:hAnsiTheme="minorBidi"/>
          <w:noProof/>
          <w:lang w:val="en-US"/>
        </w:rPr>
        <w:t>ADOPTION OF</w:t>
      </w:r>
      <w:r w:rsidRPr="009F077A">
        <w:rPr>
          <w:rFonts w:asciiTheme="minorBidi" w:hAnsiTheme="minorBidi"/>
          <w:noProof/>
          <w:spacing w:val="-6"/>
          <w:lang w:val="en-US"/>
        </w:rPr>
        <w:t xml:space="preserve"> </w:t>
      </w:r>
      <w:r w:rsidRPr="009F077A">
        <w:rPr>
          <w:rFonts w:asciiTheme="minorBidi" w:hAnsiTheme="minorBidi"/>
          <w:noProof/>
          <w:lang w:val="en-US"/>
        </w:rPr>
        <w:t>AGENDA</w:t>
      </w:r>
    </w:p>
    <w:p w14:paraId="4C54CEC2" w14:textId="77777777" w:rsidR="003C1C44" w:rsidRPr="009F077A" w:rsidRDefault="003C1C44" w:rsidP="000D0E47">
      <w:pPr>
        <w:widowControl w:val="0"/>
        <w:numPr>
          <w:ilvl w:val="1"/>
          <w:numId w:val="21"/>
        </w:numPr>
        <w:tabs>
          <w:tab w:val="left" w:pos="567"/>
          <w:tab w:val="left" w:pos="1799"/>
          <w:tab w:val="left" w:pos="1800"/>
        </w:tabs>
        <w:autoSpaceDE w:val="0"/>
        <w:autoSpaceDN w:val="0"/>
        <w:spacing w:before="119"/>
        <w:ind w:hanging="541"/>
        <w:rPr>
          <w:rFonts w:asciiTheme="minorBidi" w:hAnsiTheme="minorBidi"/>
          <w:noProof/>
          <w:lang w:val="en-US"/>
        </w:rPr>
      </w:pPr>
      <w:r w:rsidRPr="009F077A">
        <w:rPr>
          <w:rFonts w:asciiTheme="minorBidi" w:hAnsiTheme="minorBidi"/>
          <w:noProof/>
          <w:lang w:val="en-US"/>
        </w:rPr>
        <w:t>WORKING</w:t>
      </w:r>
      <w:r w:rsidRPr="009F077A">
        <w:rPr>
          <w:rFonts w:asciiTheme="minorBidi" w:hAnsiTheme="minorBidi"/>
          <w:noProof/>
          <w:spacing w:val="1"/>
          <w:lang w:val="en-US"/>
        </w:rPr>
        <w:t xml:space="preserve"> </w:t>
      </w:r>
      <w:r w:rsidRPr="009F077A">
        <w:rPr>
          <w:rFonts w:asciiTheme="minorBidi" w:hAnsiTheme="minorBidi"/>
          <w:noProof/>
          <w:lang w:val="en-US"/>
        </w:rPr>
        <w:t>ARRANGEMENTS</w:t>
      </w:r>
    </w:p>
    <w:p w14:paraId="6C8CD2CC" w14:textId="77777777" w:rsidR="003C1C44" w:rsidRPr="009F077A" w:rsidRDefault="003C1C44" w:rsidP="003C1C44">
      <w:pPr>
        <w:spacing w:before="60"/>
        <w:ind w:right="-68"/>
        <w:rPr>
          <w:rFonts w:asciiTheme="minorBidi" w:hAnsiTheme="minorBidi"/>
          <w:b/>
          <w:bCs/>
          <w:lang w:val="ru-RU"/>
        </w:rPr>
      </w:pPr>
    </w:p>
    <w:p w14:paraId="717FD2A5" w14:textId="77777777" w:rsidR="003C1C44" w:rsidRPr="009F077A" w:rsidRDefault="003C1C44" w:rsidP="000D0E47">
      <w:pPr>
        <w:widowControl w:val="0"/>
        <w:numPr>
          <w:ilvl w:val="0"/>
          <w:numId w:val="21"/>
        </w:numPr>
        <w:tabs>
          <w:tab w:val="clear" w:pos="709"/>
          <w:tab w:val="left" w:pos="567"/>
          <w:tab w:val="left" w:pos="1235"/>
          <w:tab w:val="left" w:pos="1236"/>
        </w:tabs>
        <w:autoSpaceDE w:val="0"/>
        <w:autoSpaceDN w:val="0"/>
        <w:spacing w:before="196"/>
        <w:rPr>
          <w:rFonts w:asciiTheme="minorBidi" w:hAnsiTheme="minorBidi"/>
          <w:b/>
          <w:noProof/>
          <w:lang w:val="en-US"/>
        </w:rPr>
      </w:pPr>
      <w:r w:rsidRPr="009F077A">
        <w:rPr>
          <w:rFonts w:asciiTheme="minorBidi" w:hAnsiTheme="minorBidi"/>
          <w:b/>
          <w:noProof/>
          <w:lang w:val="en-US"/>
        </w:rPr>
        <w:t>REPORTS FROM PARTICIPANT BODIES</w:t>
      </w:r>
    </w:p>
    <w:p w14:paraId="4FC0EB91" w14:textId="77777777" w:rsidR="003C1C44" w:rsidRPr="009F077A" w:rsidRDefault="003C1C44" w:rsidP="000D0E47">
      <w:pPr>
        <w:widowControl w:val="0"/>
        <w:numPr>
          <w:ilvl w:val="1"/>
          <w:numId w:val="21"/>
        </w:numPr>
        <w:tabs>
          <w:tab w:val="left" w:pos="567"/>
          <w:tab w:val="left" w:pos="1799"/>
          <w:tab w:val="left" w:pos="1800"/>
        </w:tabs>
        <w:autoSpaceDE w:val="0"/>
        <w:autoSpaceDN w:val="0"/>
        <w:spacing w:before="122"/>
        <w:ind w:hanging="541"/>
        <w:rPr>
          <w:rFonts w:asciiTheme="minorBidi" w:hAnsiTheme="minorBidi"/>
          <w:noProof/>
          <w:lang w:val="en-US"/>
        </w:rPr>
      </w:pPr>
      <w:r w:rsidRPr="009F077A">
        <w:rPr>
          <w:rFonts w:asciiTheme="minorBidi" w:hAnsiTheme="minorBidi"/>
          <w:noProof/>
          <w:lang w:val="en-US"/>
        </w:rPr>
        <w:t>REPORT FROM IOC</w:t>
      </w:r>
      <w:r w:rsidRPr="009F077A">
        <w:rPr>
          <w:rFonts w:asciiTheme="minorBidi" w:hAnsiTheme="minorBidi"/>
          <w:noProof/>
          <w:spacing w:val="-7"/>
          <w:lang w:val="en-US"/>
        </w:rPr>
        <w:t xml:space="preserve"> </w:t>
      </w:r>
      <w:r w:rsidRPr="009F077A">
        <w:rPr>
          <w:rFonts w:asciiTheme="minorBidi" w:hAnsiTheme="minorBidi"/>
          <w:noProof/>
          <w:lang w:val="en-US"/>
        </w:rPr>
        <w:t>BODIES</w:t>
      </w:r>
    </w:p>
    <w:p w14:paraId="3719FB9C" w14:textId="77777777" w:rsidR="003C1C44" w:rsidRPr="009F077A" w:rsidRDefault="003C1C44" w:rsidP="000D0E47">
      <w:pPr>
        <w:widowControl w:val="0"/>
        <w:numPr>
          <w:ilvl w:val="1"/>
          <w:numId w:val="21"/>
        </w:numPr>
        <w:tabs>
          <w:tab w:val="left" w:pos="567"/>
          <w:tab w:val="left" w:pos="1799"/>
          <w:tab w:val="left" w:pos="1800"/>
        </w:tabs>
        <w:autoSpaceDE w:val="0"/>
        <w:autoSpaceDN w:val="0"/>
        <w:spacing w:before="121"/>
        <w:ind w:hanging="541"/>
        <w:rPr>
          <w:rFonts w:asciiTheme="minorBidi" w:hAnsiTheme="minorBidi"/>
          <w:noProof/>
          <w:lang w:val="en-US"/>
        </w:rPr>
      </w:pPr>
      <w:r w:rsidRPr="009F077A">
        <w:rPr>
          <w:rFonts w:asciiTheme="minorBidi" w:hAnsiTheme="minorBidi"/>
          <w:noProof/>
          <w:lang w:val="en-US"/>
        </w:rPr>
        <w:t>REPORT OF NON-IOC</w:t>
      </w:r>
      <w:r w:rsidRPr="009F077A">
        <w:rPr>
          <w:rFonts w:asciiTheme="minorBidi" w:hAnsiTheme="minorBidi"/>
          <w:noProof/>
          <w:spacing w:val="-6"/>
          <w:lang w:val="en-US"/>
        </w:rPr>
        <w:t xml:space="preserve"> </w:t>
      </w:r>
      <w:r w:rsidRPr="009F077A">
        <w:rPr>
          <w:rFonts w:asciiTheme="minorBidi" w:hAnsiTheme="minorBidi"/>
          <w:noProof/>
          <w:lang w:val="en-US"/>
        </w:rPr>
        <w:t>BODIES</w:t>
      </w:r>
    </w:p>
    <w:p w14:paraId="7AD652A8" w14:textId="77777777" w:rsidR="003C1C44" w:rsidRPr="009F077A" w:rsidRDefault="003C1C44" w:rsidP="000D0E47">
      <w:pPr>
        <w:widowControl w:val="0"/>
        <w:numPr>
          <w:ilvl w:val="2"/>
          <w:numId w:val="21"/>
        </w:numPr>
        <w:tabs>
          <w:tab w:val="left" w:pos="567"/>
          <w:tab w:val="left" w:pos="2529"/>
          <w:tab w:val="left" w:pos="2530"/>
        </w:tabs>
        <w:autoSpaceDE w:val="0"/>
        <w:autoSpaceDN w:val="0"/>
        <w:spacing w:before="119"/>
        <w:rPr>
          <w:rFonts w:asciiTheme="minorBidi" w:hAnsiTheme="minorBidi"/>
          <w:noProof/>
          <w:lang w:val="en-US"/>
        </w:rPr>
      </w:pPr>
      <w:r w:rsidRPr="009F077A">
        <w:rPr>
          <w:rFonts w:asciiTheme="minorBidi" w:hAnsiTheme="minorBidi"/>
          <w:noProof/>
          <w:lang w:val="en-US"/>
        </w:rPr>
        <w:t>World Tsunami Awareness Day</w:t>
      </w:r>
      <w:r w:rsidRPr="009F077A">
        <w:rPr>
          <w:rFonts w:asciiTheme="minorBidi" w:hAnsiTheme="minorBidi"/>
          <w:noProof/>
          <w:spacing w:val="-5"/>
          <w:lang w:val="en-US"/>
        </w:rPr>
        <w:t xml:space="preserve"> </w:t>
      </w:r>
      <w:r w:rsidRPr="009F077A">
        <w:rPr>
          <w:rFonts w:asciiTheme="minorBidi" w:hAnsiTheme="minorBidi"/>
          <w:noProof/>
          <w:lang w:val="en-US"/>
        </w:rPr>
        <w:t>(UNDRR)</w:t>
      </w:r>
    </w:p>
    <w:p w14:paraId="0B2DDFB6" w14:textId="12DA6BA6" w:rsidR="003C1C44" w:rsidRPr="009F077A" w:rsidRDefault="003C1C44" w:rsidP="000D0E47">
      <w:pPr>
        <w:widowControl w:val="0"/>
        <w:numPr>
          <w:ilvl w:val="2"/>
          <w:numId w:val="21"/>
        </w:numPr>
        <w:tabs>
          <w:tab w:val="left" w:pos="567"/>
          <w:tab w:val="left" w:pos="2529"/>
          <w:tab w:val="left" w:pos="2530"/>
        </w:tabs>
        <w:autoSpaceDE w:val="0"/>
        <w:autoSpaceDN w:val="0"/>
        <w:spacing w:before="119"/>
        <w:rPr>
          <w:rFonts w:asciiTheme="minorBidi" w:hAnsiTheme="minorBidi"/>
          <w:noProof/>
          <w:lang w:val="en-US"/>
        </w:rPr>
      </w:pPr>
      <w:r w:rsidRPr="009F077A">
        <w:rPr>
          <w:rFonts w:asciiTheme="minorBidi" w:hAnsiTheme="minorBidi"/>
          <w:noProof/>
          <w:lang w:val="en-US"/>
        </w:rPr>
        <w:t>World Meteorlogical Organization (WMO)</w:t>
      </w:r>
    </w:p>
    <w:p w14:paraId="60608BA8" w14:textId="694445E7" w:rsidR="006946D0" w:rsidRPr="009F077A" w:rsidRDefault="00733E87" w:rsidP="000D0E47">
      <w:pPr>
        <w:widowControl w:val="0"/>
        <w:numPr>
          <w:ilvl w:val="2"/>
          <w:numId w:val="21"/>
        </w:numPr>
        <w:tabs>
          <w:tab w:val="left" w:pos="567"/>
          <w:tab w:val="left" w:pos="2529"/>
          <w:tab w:val="left" w:pos="2530"/>
        </w:tabs>
        <w:autoSpaceDE w:val="0"/>
        <w:autoSpaceDN w:val="0"/>
        <w:spacing w:before="119"/>
        <w:rPr>
          <w:rFonts w:asciiTheme="minorBidi" w:hAnsiTheme="minorBidi"/>
          <w:noProof/>
          <w:lang w:val="en-US"/>
        </w:rPr>
      </w:pPr>
      <w:r w:rsidRPr="009F077A">
        <w:rPr>
          <w:rFonts w:asciiTheme="minorBidi" w:hAnsiTheme="minorBidi"/>
          <w:noProof/>
          <w:lang w:val="en-US"/>
        </w:rPr>
        <w:t>International Union of Geodesy and Geophysics (IUGG) Joint Tsunami Commission (JTC)</w:t>
      </w:r>
    </w:p>
    <w:p w14:paraId="18A571B3" w14:textId="62319AB5" w:rsidR="006946D0" w:rsidRPr="009F077A" w:rsidRDefault="00733E87" w:rsidP="000D0E47">
      <w:pPr>
        <w:widowControl w:val="0"/>
        <w:numPr>
          <w:ilvl w:val="2"/>
          <w:numId w:val="21"/>
        </w:numPr>
        <w:tabs>
          <w:tab w:val="left" w:pos="567"/>
          <w:tab w:val="left" w:pos="2529"/>
          <w:tab w:val="left" w:pos="2530"/>
        </w:tabs>
        <w:autoSpaceDE w:val="0"/>
        <w:autoSpaceDN w:val="0"/>
        <w:spacing w:before="119"/>
        <w:rPr>
          <w:rFonts w:asciiTheme="minorBidi" w:hAnsiTheme="minorBidi"/>
          <w:noProof/>
          <w:lang w:val="en-US"/>
        </w:rPr>
      </w:pPr>
      <w:r w:rsidRPr="009F077A">
        <w:rPr>
          <w:rFonts w:asciiTheme="minorBidi" w:hAnsiTheme="minorBidi"/>
          <w:noProof/>
          <w:lang w:val="en-US"/>
        </w:rPr>
        <w:t>Joint Task Force (JTF) on SMART Cables</w:t>
      </w:r>
      <w:r w:rsidR="006946D0" w:rsidRPr="009F077A">
        <w:rPr>
          <w:rFonts w:asciiTheme="minorBidi" w:hAnsiTheme="minorBidi"/>
          <w:noProof/>
          <w:lang w:val="en-US"/>
        </w:rPr>
        <w:t>)</w:t>
      </w:r>
    </w:p>
    <w:p w14:paraId="79EBF326" w14:textId="77777777" w:rsidR="003C1C44" w:rsidRPr="009F077A" w:rsidRDefault="003C1C44" w:rsidP="003C1C44">
      <w:pPr>
        <w:spacing w:before="3"/>
        <w:ind w:right="-68"/>
        <w:rPr>
          <w:rFonts w:asciiTheme="minorBidi" w:hAnsiTheme="minorBidi"/>
          <w:b/>
          <w:bCs/>
          <w:lang w:val="en-US"/>
        </w:rPr>
      </w:pPr>
    </w:p>
    <w:p w14:paraId="6BDBF52F" w14:textId="77777777" w:rsidR="003C1C44" w:rsidRPr="009F077A" w:rsidRDefault="003C1C44" w:rsidP="000D0E47">
      <w:pPr>
        <w:widowControl w:val="0"/>
        <w:numPr>
          <w:ilvl w:val="0"/>
          <w:numId w:val="21"/>
        </w:numPr>
        <w:tabs>
          <w:tab w:val="clear" w:pos="709"/>
          <w:tab w:val="left" w:pos="567"/>
          <w:tab w:val="left" w:pos="1235"/>
          <w:tab w:val="left" w:pos="1236"/>
        </w:tabs>
        <w:autoSpaceDE w:val="0"/>
        <w:autoSpaceDN w:val="0"/>
        <w:spacing w:before="196"/>
        <w:rPr>
          <w:rFonts w:asciiTheme="minorBidi" w:hAnsiTheme="minorBidi"/>
          <w:b/>
          <w:noProof/>
          <w:lang w:val="en-US"/>
        </w:rPr>
      </w:pPr>
      <w:r w:rsidRPr="009F077A">
        <w:rPr>
          <w:rFonts w:asciiTheme="minorBidi" w:hAnsiTheme="minorBidi"/>
          <w:b/>
          <w:noProof/>
          <w:lang w:val="en-US"/>
        </w:rPr>
        <w:t>REVIEW OF PROGRESS</w:t>
      </w:r>
    </w:p>
    <w:p w14:paraId="7059F9FE" w14:textId="403DD23D" w:rsidR="003C1C44" w:rsidRPr="009F077A" w:rsidRDefault="003C1C44" w:rsidP="000D0E47">
      <w:pPr>
        <w:widowControl w:val="0"/>
        <w:numPr>
          <w:ilvl w:val="1"/>
          <w:numId w:val="21"/>
        </w:numPr>
        <w:tabs>
          <w:tab w:val="left" w:pos="567"/>
          <w:tab w:val="left" w:pos="1799"/>
          <w:tab w:val="left" w:pos="1800"/>
        </w:tabs>
        <w:autoSpaceDE w:val="0"/>
        <w:autoSpaceDN w:val="0"/>
        <w:spacing w:before="122"/>
        <w:ind w:hanging="541"/>
        <w:rPr>
          <w:rFonts w:asciiTheme="minorBidi" w:hAnsiTheme="minorBidi"/>
          <w:noProof/>
          <w:lang w:val="en-US"/>
        </w:rPr>
      </w:pPr>
      <w:r w:rsidRPr="009F077A">
        <w:rPr>
          <w:rFonts w:asciiTheme="minorBidi" w:hAnsiTheme="minorBidi"/>
          <w:noProof/>
          <w:lang w:val="en-US"/>
        </w:rPr>
        <w:t>STATUS OF IMPLEMENTATION OF IOC DECISION</w:t>
      </w:r>
      <w:r w:rsidRPr="009F077A">
        <w:rPr>
          <w:rFonts w:asciiTheme="minorBidi" w:hAnsiTheme="minorBidi"/>
          <w:noProof/>
          <w:spacing w:val="-11"/>
          <w:lang w:val="en-US"/>
        </w:rPr>
        <w:t xml:space="preserve"> </w:t>
      </w:r>
      <w:r w:rsidR="002B73CF" w:rsidRPr="009F077A">
        <w:rPr>
          <w:rFonts w:asciiTheme="minorBidi" w:hAnsiTheme="minorBidi"/>
          <w:noProof/>
          <w:lang w:val="en-US"/>
        </w:rPr>
        <w:t>EC</w:t>
      </w:r>
      <w:r w:rsidRPr="009F077A">
        <w:rPr>
          <w:rFonts w:asciiTheme="minorBidi" w:hAnsiTheme="minorBidi"/>
          <w:noProof/>
          <w:lang w:val="en-US"/>
        </w:rPr>
        <w:t>-</w:t>
      </w:r>
      <w:r w:rsidR="002B73CF" w:rsidRPr="009F077A">
        <w:rPr>
          <w:rFonts w:asciiTheme="minorBidi" w:hAnsiTheme="minorBidi"/>
          <w:noProof/>
          <w:lang w:val="en-US"/>
        </w:rPr>
        <w:t>57</w:t>
      </w:r>
      <w:r w:rsidRPr="009F077A">
        <w:rPr>
          <w:rFonts w:asciiTheme="minorBidi" w:hAnsiTheme="minorBidi"/>
          <w:noProof/>
          <w:lang w:val="en-US"/>
        </w:rPr>
        <w:t>/</w:t>
      </w:r>
      <w:r w:rsidR="002B73CF" w:rsidRPr="009F077A">
        <w:rPr>
          <w:rFonts w:asciiTheme="minorBidi" w:hAnsiTheme="minorBidi"/>
          <w:noProof/>
          <w:lang w:val="en-US"/>
        </w:rPr>
        <w:t>3</w:t>
      </w:r>
      <w:r w:rsidRPr="009F077A">
        <w:rPr>
          <w:rFonts w:asciiTheme="minorBidi" w:hAnsiTheme="minorBidi"/>
          <w:noProof/>
          <w:lang w:val="en-US"/>
        </w:rPr>
        <w:t>.</w:t>
      </w:r>
      <w:r w:rsidR="002B73CF" w:rsidRPr="009F077A">
        <w:rPr>
          <w:rFonts w:asciiTheme="minorBidi" w:hAnsiTheme="minorBidi"/>
          <w:noProof/>
          <w:lang w:val="en-US"/>
        </w:rPr>
        <w:t>2</w:t>
      </w:r>
      <w:r w:rsidRPr="009F077A">
        <w:rPr>
          <w:rFonts w:asciiTheme="minorBidi" w:hAnsiTheme="minorBidi"/>
          <w:noProof/>
          <w:lang w:val="en-US"/>
        </w:rPr>
        <w:t>.1</w:t>
      </w:r>
    </w:p>
    <w:p w14:paraId="46D87118" w14:textId="77777777" w:rsidR="003C1C44" w:rsidRPr="009F077A" w:rsidRDefault="003C1C44" w:rsidP="003C1C44">
      <w:pPr>
        <w:widowControl w:val="0"/>
        <w:tabs>
          <w:tab w:val="left" w:pos="1235"/>
          <w:tab w:val="left" w:pos="1236"/>
        </w:tabs>
        <w:autoSpaceDE w:val="0"/>
        <w:autoSpaceDN w:val="0"/>
        <w:ind w:left="1236"/>
        <w:rPr>
          <w:rFonts w:asciiTheme="minorBidi" w:hAnsiTheme="minorBidi"/>
          <w:b/>
          <w:noProof/>
          <w:lang w:val="en-US"/>
        </w:rPr>
      </w:pPr>
    </w:p>
    <w:p w14:paraId="78778E3E" w14:textId="77777777" w:rsidR="003C1C44" w:rsidRPr="009F077A" w:rsidRDefault="003C1C44" w:rsidP="000D0E47">
      <w:pPr>
        <w:widowControl w:val="0"/>
        <w:numPr>
          <w:ilvl w:val="0"/>
          <w:numId w:val="21"/>
        </w:numPr>
        <w:tabs>
          <w:tab w:val="clear" w:pos="709"/>
          <w:tab w:val="left" w:pos="567"/>
          <w:tab w:val="left" w:pos="1235"/>
          <w:tab w:val="left" w:pos="1236"/>
        </w:tabs>
        <w:autoSpaceDE w:val="0"/>
        <w:autoSpaceDN w:val="0"/>
        <w:spacing w:before="196"/>
        <w:rPr>
          <w:rFonts w:asciiTheme="minorBidi" w:hAnsiTheme="minorBidi"/>
          <w:b/>
          <w:noProof/>
          <w:lang w:val="en-US"/>
        </w:rPr>
      </w:pPr>
      <w:r w:rsidRPr="009F077A">
        <w:rPr>
          <w:rFonts w:asciiTheme="minorBidi" w:hAnsiTheme="minorBidi"/>
          <w:b/>
          <w:noProof/>
          <w:lang w:val="en-US"/>
        </w:rPr>
        <w:t>REPORTS OF THE INTER-ICG TASK TEAMS</w:t>
      </w:r>
    </w:p>
    <w:p w14:paraId="1D98C947" w14:textId="77777777" w:rsidR="003C1C44" w:rsidRPr="009F077A" w:rsidRDefault="003C1C44" w:rsidP="00B141B8">
      <w:pPr>
        <w:widowControl w:val="0"/>
        <w:numPr>
          <w:ilvl w:val="1"/>
          <w:numId w:val="21"/>
        </w:numPr>
        <w:tabs>
          <w:tab w:val="left" w:pos="567"/>
          <w:tab w:val="left" w:pos="1799"/>
          <w:tab w:val="left" w:pos="1800"/>
        </w:tabs>
        <w:autoSpaceDE w:val="0"/>
        <w:autoSpaceDN w:val="0"/>
        <w:spacing w:before="121"/>
        <w:ind w:right="662"/>
        <w:rPr>
          <w:rFonts w:asciiTheme="minorBidi" w:hAnsiTheme="minorBidi"/>
          <w:noProof/>
          <w:lang w:val="en-US"/>
        </w:rPr>
      </w:pPr>
      <w:r w:rsidRPr="009F077A">
        <w:rPr>
          <w:rFonts w:asciiTheme="minorBidi" w:hAnsiTheme="minorBidi"/>
          <w:noProof/>
          <w:lang w:val="en-US"/>
        </w:rPr>
        <w:t>INTER-ICG TASK TEAM ON DISASTER MANAGEMENT AND</w:t>
      </w:r>
      <w:r w:rsidRPr="009F077A">
        <w:rPr>
          <w:rFonts w:asciiTheme="minorBidi" w:hAnsiTheme="minorBidi"/>
          <w:noProof/>
          <w:spacing w:val="-1"/>
          <w:lang w:val="en-US"/>
        </w:rPr>
        <w:t xml:space="preserve"> </w:t>
      </w:r>
      <w:r w:rsidRPr="009F077A">
        <w:rPr>
          <w:rFonts w:asciiTheme="minorBidi" w:hAnsiTheme="minorBidi"/>
          <w:noProof/>
          <w:lang w:val="en-US"/>
        </w:rPr>
        <w:t>PREPAREDNESS</w:t>
      </w:r>
    </w:p>
    <w:p w14:paraId="096E59E0" w14:textId="77777777" w:rsidR="003C1C44" w:rsidRPr="009F077A" w:rsidRDefault="003C1C44" w:rsidP="00B141B8">
      <w:pPr>
        <w:widowControl w:val="0"/>
        <w:numPr>
          <w:ilvl w:val="1"/>
          <w:numId w:val="21"/>
        </w:numPr>
        <w:tabs>
          <w:tab w:val="left" w:pos="567"/>
          <w:tab w:val="left" w:pos="1799"/>
          <w:tab w:val="left" w:pos="1800"/>
        </w:tabs>
        <w:autoSpaceDE w:val="0"/>
        <w:autoSpaceDN w:val="0"/>
        <w:spacing w:before="121"/>
        <w:ind w:right="662" w:hanging="541"/>
        <w:rPr>
          <w:rFonts w:asciiTheme="minorBidi" w:hAnsiTheme="minorBidi"/>
          <w:noProof/>
          <w:lang w:val="en-US"/>
        </w:rPr>
      </w:pPr>
      <w:r w:rsidRPr="009F077A">
        <w:rPr>
          <w:rFonts w:asciiTheme="minorBidi" w:hAnsiTheme="minorBidi"/>
          <w:noProof/>
          <w:lang w:val="en-US"/>
        </w:rPr>
        <w:t>INTER-ICG TASK TEAM ON TSUNAMI WATCH</w:t>
      </w:r>
      <w:r w:rsidRPr="009F077A">
        <w:rPr>
          <w:rFonts w:asciiTheme="minorBidi" w:hAnsiTheme="minorBidi"/>
          <w:noProof/>
          <w:spacing w:val="-17"/>
          <w:lang w:val="en-US"/>
        </w:rPr>
        <w:t xml:space="preserve"> </w:t>
      </w:r>
      <w:r w:rsidRPr="009F077A">
        <w:rPr>
          <w:rFonts w:asciiTheme="minorBidi" w:hAnsiTheme="minorBidi"/>
          <w:noProof/>
          <w:lang w:val="en-US"/>
        </w:rPr>
        <w:t>OPERATIONS</w:t>
      </w:r>
    </w:p>
    <w:p w14:paraId="697A98E0" w14:textId="77777777" w:rsidR="003C1C44" w:rsidRPr="009F077A" w:rsidRDefault="003C1C44" w:rsidP="003C1C44">
      <w:pPr>
        <w:spacing w:before="3"/>
        <w:ind w:right="-68"/>
        <w:rPr>
          <w:rFonts w:asciiTheme="minorBidi" w:hAnsiTheme="minorBidi"/>
          <w:b/>
          <w:bCs/>
          <w:lang w:val="en-US"/>
        </w:rPr>
      </w:pPr>
    </w:p>
    <w:p w14:paraId="1F47B38D" w14:textId="77777777" w:rsidR="003C1C44" w:rsidRPr="009F077A" w:rsidRDefault="003C1C44" w:rsidP="000D0E47">
      <w:pPr>
        <w:widowControl w:val="0"/>
        <w:numPr>
          <w:ilvl w:val="0"/>
          <w:numId w:val="21"/>
        </w:numPr>
        <w:tabs>
          <w:tab w:val="clear" w:pos="709"/>
          <w:tab w:val="left" w:pos="567"/>
          <w:tab w:val="left" w:pos="1235"/>
          <w:tab w:val="left" w:pos="1236"/>
        </w:tabs>
        <w:autoSpaceDE w:val="0"/>
        <w:autoSpaceDN w:val="0"/>
        <w:spacing w:before="196"/>
        <w:rPr>
          <w:rFonts w:asciiTheme="minorBidi" w:hAnsiTheme="minorBidi"/>
          <w:b/>
          <w:noProof/>
          <w:lang w:val="es-ES"/>
        </w:rPr>
      </w:pPr>
      <w:r w:rsidRPr="009F077A">
        <w:rPr>
          <w:rFonts w:asciiTheme="minorBidi" w:hAnsiTheme="minorBidi"/>
          <w:b/>
          <w:noProof/>
          <w:lang w:val="en-US"/>
        </w:rPr>
        <w:t>UN OCEAN DECADE TSUNAMI PROGRAMME</w:t>
      </w:r>
    </w:p>
    <w:p w14:paraId="06F34544" w14:textId="256BB90D" w:rsidR="002B73CF" w:rsidRPr="009F077A" w:rsidRDefault="002B73CF" w:rsidP="002B73CF">
      <w:pPr>
        <w:widowControl w:val="0"/>
        <w:numPr>
          <w:ilvl w:val="1"/>
          <w:numId w:val="21"/>
        </w:numPr>
        <w:tabs>
          <w:tab w:val="left" w:pos="567"/>
          <w:tab w:val="left" w:pos="1799"/>
          <w:tab w:val="left" w:pos="1800"/>
        </w:tabs>
        <w:autoSpaceDE w:val="0"/>
        <w:autoSpaceDN w:val="0"/>
        <w:spacing w:before="121"/>
        <w:ind w:right="237"/>
        <w:rPr>
          <w:rFonts w:asciiTheme="minorBidi" w:hAnsiTheme="minorBidi"/>
          <w:noProof/>
          <w:lang w:val="en-US"/>
        </w:rPr>
      </w:pPr>
      <w:r w:rsidRPr="009F077A">
        <w:rPr>
          <w:rFonts w:asciiTheme="minorBidi" w:hAnsiTheme="minorBidi"/>
          <w:noProof/>
          <w:lang w:val="en-US"/>
        </w:rPr>
        <w:t>REPORT OF THE OCEAN DECADE TSUNAMI PROGRAMME SCIENTIFIC COMMITEE (ODTP-SC)</w:t>
      </w:r>
    </w:p>
    <w:p w14:paraId="3DB4E9CA" w14:textId="77777777" w:rsidR="002B73CF" w:rsidRPr="009F077A" w:rsidRDefault="002B73CF" w:rsidP="002B73CF">
      <w:pPr>
        <w:widowControl w:val="0"/>
        <w:numPr>
          <w:ilvl w:val="1"/>
          <w:numId w:val="21"/>
        </w:numPr>
        <w:tabs>
          <w:tab w:val="left" w:pos="567"/>
          <w:tab w:val="left" w:pos="1799"/>
          <w:tab w:val="left" w:pos="1800"/>
        </w:tabs>
        <w:autoSpaceDE w:val="0"/>
        <w:autoSpaceDN w:val="0"/>
        <w:spacing w:before="121"/>
        <w:ind w:right="237"/>
        <w:rPr>
          <w:rFonts w:asciiTheme="minorBidi" w:hAnsiTheme="minorBidi"/>
          <w:noProof/>
          <w:lang w:val="en-US"/>
        </w:rPr>
      </w:pPr>
      <w:r w:rsidRPr="009F077A">
        <w:rPr>
          <w:rFonts w:asciiTheme="minorBidi" w:hAnsiTheme="minorBidi"/>
          <w:noProof/>
          <w:lang w:val="en-US"/>
        </w:rPr>
        <w:t xml:space="preserve">PROGRESS REPORT OF THE SPECIAL TSUNAMI COALITION </w:t>
      </w:r>
    </w:p>
    <w:p w14:paraId="6079CB0A" w14:textId="77777777" w:rsidR="002B73CF" w:rsidRPr="009F077A" w:rsidRDefault="002B73CF" w:rsidP="002B73CF">
      <w:pPr>
        <w:widowControl w:val="0"/>
        <w:numPr>
          <w:ilvl w:val="1"/>
          <w:numId w:val="21"/>
        </w:numPr>
        <w:tabs>
          <w:tab w:val="left" w:pos="567"/>
          <w:tab w:val="left" w:pos="1799"/>
          <w:tab w:val="left" w:pos="1800"/>
        </w:tabs>
        <w:autoSpaceDE w:val="0"/>
        <w:autoSpaceDN w:val="0"/>
        <w:spacing w:before="121"/>
        <w:ind w:right="237"/>
        <w:rPr>
          <w:rFonts w:asciiTheme="minorBidi" w:hAnsiTheme="minorBidi"/>
          <w:noProof/>
          <w:lang w:val="en-US"/>
        </w:rPr>
      </w:pPr>
      <w:r w:rsidRPr="009F077A">
        <w:rPr>
          <w:rFonts w:asciiTheme="minorBidi" w:hAnsiTheme="minorBidi"/>
          <w:noProof/>
          <w:lang w:val="en-US"/>
        </w:rPr>
        <w:t>REPORT OF THE 2ND IOC UNESCO SCIENCE SYMPOSIUM ON ADVANCES IN TSUNAMI WARNING TO ENHANCE COMMUNITY RESPONSES</w:t>
      </w:r>
    </w:p>
    <w:p w14:paraId="684F833B" w14:textId="77777777" w:rsidR="002B73CF" w:rsidRPr="009F077A" w:rsidRDefault="002B73CF" w:rsidP="003C1C44">
      <w:pPr>
        <w:spacing w:before="9"/>
        <w:ind w:right="-68"/>
        <w:rPr>
          <w:rFonts w:asciiTheme="minorBidi" w:hAnsiTheme="minorBidi"/>
          <w:bCs/>
          <w:lang w:val="en-US"/>
        </w:rPr>
      </w:pPr>
    </w:p>
    <w:p w14:paraId="09927A3A" w14:textId="77777777" w:rsidR="003C1C44" w:rsidRPr="009F077A" w:rsidRDefault="003C1C44" w:rsidP="000D0E47">
      <w:pPr>
        <w:widowControl w:val="0"/>
        <w:numPr>
          <w:ilvl w:val="0"/>
          <w:numId w:val="21"/>
        </w:numPr>
        <w:tabs>
          <w:tab w:val="clear" w:pos="709"/>
          <w:tab w:val="left" w:pos="567"/>
          <w:tab w:val="left" w:pos="1235"/>
          <w:tab w:val="left" w:pos="1236"/>
        </w:tabs>
        <w:autoSpaceDE w:val="0"/>
        <w:autoSpaceDN w:val="0"/>
        <w:rPr>
          <w:rFonts w:asciiTheme="minorBidi" w:hAnsiTheme="minorBidi"/>
          <w:b/>
          <w:noProof/>
          <w:lang w:val="en-US"/>
        </w:rPr>
      </w:pPr>
      <w:r w:rsidRPr="009F077A">
        <w:rPr>
          <w:rFonts w:asciiTheme="minorBidi" w:hAnsiTheme="minorBidi"/>
          <w:b/>
          <w:noProof/>
          <w:lang w:val="en-US"/>
        </w:rPr>
        <w:t>OTHER</w:t>
      </w:r>
      <w:r w:rsidRPr="009F077A">
        <w:rPr>
          <w:rFonts w:asciiTheme="minorBidi" w:hAnsiTheme="minorBidi"/>
          <w:b/>
          <w:noProof/>
          <w:spacing w:val="-1"/>
          <w:lang w:val="en-US"/>
        </w:rPr>
        <w:t xml:space="preserve"> </w:t>
      </w:r>
      <w:r w:rsidRPr="009F077A">
        <w:rPr>
          <w:rFonts w:asciiTheme="minorBidi" w:hAnsiTheme="minorBidi"/>
          <w:b/>
          <w:noProof/>
          <w:lang w:val="en-US"/>
        </w:rPr>
        <w:t>ISSUES</w:t>
      </w:r>
    </w:p>
    <w:p w14:paraId="5367AFE0" w14:textId="77777777" w:rsidR="003C1C44" w:rsidRPr="009F077A" w:rsidRDefault="003C1C44" w:rsidP="003C1C44">
      <w:pPr>
        <w:spacing w:before="60"/>
        <w:ind w:right="-68"/>
        <w:rPr>
          <w:rFonts w:asciiTheme="minorBidi" w:hAnsiTheme="minorBidi"/>
          <w:bCs/>
          <w:lang w:val="ru-RU"/>
        </w:rPr>
      </w:pPr>
    </w:p>
    <w:p w14:paraId="4BD3160A" w14:textId="77777777" w:rsidR="003C1C44" w:rsidRPr="009F077A" w:rsidRDefault="003C1C44" w:rsidP="000D0E47">
      <w:pPr>
        <w:widowControl w:val="0"/>
        <w:numPr>
          <w:ilvl w:val="0"/>
          <w:numId w:val="21"/>
        </w:numPr>
        <w:tabs>
          <w:tab w:val="clear" w:pos="709"/>
          <w:tab w:val="left" w:pos="567"/>
          <w:tab w:val="left" w:pos="1235"/>
          <w:tab w:val="left" w:pos="1236"/>
        </w:tabs>
        <w:autoSpaceDE w:val="0"/>
        <w:autoSpaceDN w:val="0"/>
        <w:rPr>
          <w:rFonts w:asciiTheme="minorBidi" w:hAnsiTheme="minorBidi"/>
          <w:b/>
          <w:noProof/>
          <w:lang w:val="en-US"/>
        </w:rPr>
      </w:pPr>
      <w:r w:rsidRPr="009F077A">
        <w:rPr>
          <w:rFonts w:asciiTheme="minorBidi" w:hAnsiTheme="minorBidi"/>
          <w:b/>
          <w:noProof/>
          <w:lang w:val="en-US"/>
        </w:rPr>
        <w:t>DATE AND PLACE OF THE NEXT</w:t>
      </w:r>
      <w:r w:rsidRPr="009F077A">
        <w:rPr>
          <w:rFonts w:asciiTheme="minorBidi" w:hAnsiTheme="minorBidi"/>
          <w:b/>
          <w:noProof/>
          <w:spacing w:val="-2"/>
          <w:lang w:val="en-US"/>
        </w:rPr>
        <w:t xml:space="preserve"> </w:t>
      </w:r>
      <w:r w:rsidRPr="009F077A">
        <w:rPr>
          <w:rFonts w:asciiTheme="minorBidi" w:hAnsiTheme="minorBidi"/>
          <w:b/>
          <w:noProof/>
          <w:lang w:val="en-US"/>
        </w:rPr>
        <w:t>MEETING</w:t>
      </w:r>
    </w:p>
    <w:p w14:paraId="7C016C86" w14:textId="77777777" w:rsidR="003C1C44" w:rsidRPr="009F077A" w:rsidRDefault="003C1C44" w:rsidP="003C1C44">
      <w:pPr>
        <w:spacing w:before="9"/>
        <w:ind w:right="-68"/>
        <w:rPr>
          <w:rFonts w:asciiTheme="minorBidi" w:hAnsiTheme="minorBidi"/>
          <w:bCs/>
          <w:lang w:val="en-US"/>
        </w:rPr>
      </w:pPr>
    </w:p>
    <w:p w14:paraId="4F4A2263" w14:textId="77777777" w:rsidR="005B175C" w:rsidRDefault="003C1C44" w:rsidP="002B19F5">
      <w:pPr>
        <w:widowControl w:val="0"/>
        <w:numPr>
          <w:ilvl w:val="0"/>
          <w:numId w:val="21"/>
        </w:numPr>
        <w:tabs>
          <w:tab w:val="clear" w:pos="709"/>
          <w:tab w:val="left" w:pos="567"/>
          <w:tab w:val="left" w:pos="1235"/>
          <w:tab w:val="left" w:pos="1236"/>
        </w:tabs>
        <w:autoSpaceDE w:val="0"/>
        <w:autoSpaceDN w:val="0"/>
        <w:snapToGrid/>
        <w:rPr>
          <w:rFonts w:ascii="Arial" w:eastAsia="Arial" w:hAnsi="Arial" w:cs="Arial"/>
        </w:rPr>
        <w:sectPr w:rsidR="005B175C" w:rsidSect="009F077A">
          <w:headerReference w:type="default" r:id="rId47"/>
          <w:pgSz w:w="11906" w:h="16838"/>
          <w:pgMar w:top="1440" w:right="1440" w:bottom="1440" w:left="1440" w:header="708" w:footer="708" w:gutter="0"/>
          <w:pgNumType w:start="1"/>
          <w:cols w:space="720"/>
        </w:sectPr>
      </w:pPr>
      <w:r w:rsidRPr="005B175C">
        <w:rPr>
          <w:rFonts w:asciiTheme="minorBidi" w:hAnsiTheme="minorBidi"/>
          <w:b/>
          <w:noProof/>
          <w:lang w:val="en-US"/>
        </w:rPr>
        <w:t>CLOSURE</w:t>
      </w:r>
      <w:r w:rsidR="0061308E" w:rsidRPr="005B175C">
        <w:rPr>
          <w:rFonts w:ascii="Arial" w:eastAsia="Arial" w:hAnsi="Arial" w:cs="Arial"/>
        </w:rPr>
        <w:br w:type="page"/>
      </w:r>
    </w:p>
    <w:p w14:paraId="57803EF0" w14:textId="66FE9294" w:rsidR="0061308E" w:rsidRPr="005B175C" w:rsidRDefault="0061308E" w:rsidP="002B19F5">
      <w:pPr>
        <w:widowControl w:val="0"/>
        <w:numPr>
          <w:ilvl w:val="0"/>
          <w:numId w:val="21"/>
        </w:numPr>
        <w:tabs>
          <w:tab w:val="clear" w:pos="709"/>
          <w:tab w:val="left" w:pos="567"/>
          <w:tab w:val="left" w:pos="1235"/>
          <w:tab w:val="left" w:pos="1236"/>
        </w:tabs>
        <w:autoSpaceDE w:val="0"/>
        <w:autoSpaceDN w:val="0"/>
        <w:snapToGrid/>
        <w:rPr>
          <w:rFonts w:ascii="Arial" w:eastAsia="Arial" w:hAnsi="Arial" w:cs="Arial"/>
        </w:rPr>
      </w:pPr>
    </w:p>
    <w:p w14:paraId="6CA9F388" w14:textId="77777777" w:rsidR="00E5415B" w:rsidRPr="004766A7" w:rsidRDefault="00E5415B" w:rsidP="00E5415B">
      <w:pPr>
        <w:spacing w:after="240"/>
        <w:jc w:val="center"/>
        <w:rPr>
          <w:rFonts w:cs="Arial"/>
        </w:rPr>
      </w:pPr>
      <w:bookmarkStart w:id="153" w:name="_Ref357075190"/>
      <w:bookmarkStart w:id="154" w:name="_Toc357081379"/>
      <w:bookmarkStart w:id="155" w:name="_Toc357508209"/>
      <w:bookmarkStart w:id="156" w:name="_Toc386101308"/>
      <w:bookmarkStart w:id="157" w:name="_Toc390247921"/>
      <w:bookmarkStart w:id="158" w:name="_Toc418154740"/>
      <w:bookmarkStart w:id="159" w:name="_Toc420496195"/>
      <w:bookmarkStart w:id="160" w:name="_Toc41491012"/>
      <w:bookmarkStart w:id="161" w:name="A2"/>
      <w:r w:rsidRPr="004766A7">
        <w:rPr>
          <w:rFonts w:ascii="Arial" w:hAnsi="Arial" w:cs="Arial"/>
          <w:sz w:val="22"/>
        </w:rPr>
        <w:t>ANNEX II</w:t>
      </w:r>
      <w:bookmarkEnd w:id="153"/>
      <w:bookmarkEnd w:id="154"/>
      <w:bookmarkEnd w:id="155"/>
      <w:bookmarkEnd w:id="156"/>
      <w:bookmarkEnd w:id="157"/>
      <w:bookmarkEnd w:id="158"/>
      <w:bookmarkEnd w:id="159"/>
      <w:bookmarkEnd w:id="160"/>
      <w:bookmarkEnd w:id="161"/>
    </w:p>
    <w:p w14:paraId="4EF08731" w14:textId="77777777" w:rsidR="00E5415B" w:rsidRPr="006946D0" w:rsidRDefault="00E5415B" w:rsidP="00E5415B">
      <w:pPr>
        <w:spacing w:after="360"/>
        <w:jc w:val="center"/>
        <w:rPr>
          <w:rFonts w:cs="Arial"/>
          <w:bCs/>
        </w:rPr>
      </w:pPr>
      <w:bookmarkStart w:id="162" w:name="_Ref386183336"/>
      <w:bookmarkStart w:id="163" w:name="_Toc390247922"/>
      <w:bookmarkStart w:id="164" w:name="_Toc418154741"/>
      <w:bookmarkStart w:id="165" w:name="_Toc420496196"/>
      <w:bookmarkStart w:id="166" w:name="_Toc41491013"/>
      <w:r w:rsidRPr="006946D0">
        <w:rPr>
          <w:rFonts w:ascii="Arial" w:hAnsi="Arial" w:cs="Arial"/>
          <w:bCs/>
          <w:sz w:val="22"/>
        </w:rPr>
        <w:t>DECISIONS AND RECOMMENDATIONS</w:t>
      </w:r>
      <w:bookmarkEnd w:id="162"/>
      <w:bookmarkEnd w:id="163"/>
      <w:bookmarkEnd w:id="164"/>
      <w:bookmarkEnd w:id="165"/>
      <w:bookmarkEnd w:id="166"/>
    </w:p>
    <w:p w14:paraId="78B076F1"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sz w:val="22"/>
          <w:szCs w:val="22"/>
        </w:rPr>
        <w:t>The Eighteenth Meeting of the Working Group on Tsunamis and Other Hazards Related to Sea-Level Warning and Mitigation Systems (TOWS-WG-XVI) was held in hybrid format (in-person and online), during 24-25 February 2025 under the Chairpersonship of Mr Amr Hamouda (IOC Vice-Chair). The meeting evaluated the progress made in respect to the IOC Decision A-32/4.3.1. of the IOC Assembly at its Thirty second session (21 – 30 June 2023, Paris) and the Decision IOC EC-57/3.2.1 at its 57</w:t>
      </w:r>
      <w:r w:rsidRPr="00F22FA8">
        <w:rPr>
          <w:rFonts w:ascii="Arial" w:eastAsia="Arial" w:hAnsi="Arial" w:cs="Arial"/>
          <w:sz w:val="22"/>
          <w:szCs w:val="22"/>
          <w:vertAlign w:val="superscript"/>
        </w:rPr>
        <w:t>th</w:t>
      </w:r>
      <w:r w:rsidRPr="00F22FA8">
        <w:rPr>
          <w:rFonts w:ascii="Arial" w:eastAsia="Arial" w:hAnsi="Arial" w:cs="Arial"/>
          <w:sz w:val="22"/>
          <w:szCs w:val="22"/>
        </w:rPr>
        <w:t xml:space="preserve"> Session (25 – 28 June 2024).</w:t>
      </w:r>
    </w:p>
    <w:p w14:paraId="24CFEAF9" w14:textId="77777777" w:rsidR="00F22FA8" w:rsidRPr="00F22FA8" w:rsidRDefault="00F22FA8" w:rsidP="00F22FA8">
      <w:pPr>
        <w:spacing w:after="240"/>
        <w:jc w:val="both"/>
        <w:rPr>
          <w:rFonts w:ascii="Arial" w:eastAsia="Arial" w:hAnsi="Arial" w:cs="Arial"/>
          <w:sz w:val="22"/>
          <w:szCs w:val="22"/>
        </w:rPr>
      </w:pPr>
      <w:bookmarkStart w:id="167" w:name="_gjdgxs" w:colFirst="0" w:colLast="0"/>
      <w:bookmarkStart w:id="168" w:name="_xcs51xxmizzy" w:colFirst="0" w:colLast="0"/>
      <w:bookmarkStart w:id="169" w:name="_xgf2prjzfqfr" w:colFirst="0" w:colLast="0"/>
      <w:bookmarkEnd w:id="167"/>
      <w:bookmarkEnd w:id="168"/>
      <w:bookmarkEnd w:id="169"/>
      <w:r w:rsidRPr="00F22FA8">
        <w:rPr>
          <w:rFonts w:ascii="Arial" w:eastAsia="Arial" w:hAnsi="Arial" w:cs="Arial"/>
          <w:b/>
          <w:sz w:val="22"/>
          <w:szCs w:val="22"/>
        </w:rPr>
        <w:t>The Group</w:t>
      </w:r>
      <w:r w:rsidRPr="00F22FA8">
        <w:rPr>
          <w:rFonts w:ascii="Arial" w:eastAsia="Arial" w:hAnsi="Arial" w:cs="Arial"/>
          <w:sz w:val="22"/>
          <w:szCs w:val="22"/>
        </w:rPr>
        <w:t xml:space="preserve"> </w:t>
      </w:r>
      <w:r w:rsidRPr="00F22FA8">
        <w:rPr>
          <w:rFonts w:ascii="Arial" w:eastAsia="Arial" w:hAnsi="Arial" w:cs="Arial"/>
          <w:b/>
          <w:sz w:val="22"/>
          <w:szCs w:val="22"/>
        </w:rPr>
        <w:t>reviewed</w:t>
      </w:r>
      <w:r w:rsidRPr="00F22FA8">
        <w:rPr>
          <w:rFonts w:ascii="Arial" w:eastAsia="Arial" w:hAnsi="Arial" w:cs="Arial"/>
          <w:sz w:val="22"/>
          <w:szCs w:val="22"/>
        </w:rPr>
        <w:t xml:space="preserve"> reports by the IOC Intergovernmental Coordination Groups (ICGs) as well as its own Task Team on Disaster Management and Preparedness (TT DMP) and Task Team on Tsunami Watch Operations (TT TWO).</w:t>
      </w:r>
    </w:p>
    <w:p w14:paraId="577609D4"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sz w:val="22"/>
          <w:szCs w:val="22"/>
        </w:rPr>
        <w:t>The Group noted</w:t>
      </w:r>
      <w:r w:rsidRPr="00F22FA8">
        <w:rPr>
          <w:rFonts w:ascii="Arial" w:eastAsia="Arial" w:hAnsi="Arial" w:cs="Arial"/>
          <w:sz w:val="22"/>
          <w:szCs w:val="22"/>
        </w:rPr>
        <w:t xml:space="preserve"> </w:t>
      </w:r>
      <w:r w:rsidRPr="00F22FA8">
        <w:rPr>
          <w:rFonts w:ascii="Arial" w:eastAsia="Arial" w:hAnsi="Arial" w:cs="Arial"/>
          <w:b/>
          <w:bCs/>
          <w:sz w:val="22"/>
          <w:szCs w:val="22"/>
        </w:rPr>
        <w:t>with appreciation</w:t>
      </w:r>
      <w:r w:rsidRPr="00F22FA8">
        <w:rPr>
          <w:rFonts w:ascii="Arial" w:eastAsia="Arial" w:hAnsi="Arial" w:cs="Arial"/>
          <w:sz w:val="22"/>
          <w:szCs w:val="22"/>
        </w:rPr>
        <w:t xml:space="preserve"> the progress made during the intersessional period, including:</w:t>
      </w:r>
    </w:p>
    <w:p w14:paraId="6663ECC5"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Coordination of the Wave exercises: the </w:t>
      </w:r>
      <w:proofErr w:type="spellStart"/>
      <w:r w:rsidRPr="00F22FA8">
        <w:rPr>
          <w:rFonts w:ascii="Arial" w:hAnsi="Arial" w:cs="Arial"/>
          <w:sz w:val="22"/>
          <w:szCs w:val="22"/>
        </w:rPr>
        <w:t>PacWave</w:t>
      </w:r>
      <w:proofErr w:type="spellEnd"/>
      <w:r w:rsidRPr="00F22FA8">
        <w:rPr>
          <w:rFonts w:ascii="Arial" w:hAnsi="Arial" w:cs="Arial"/>
          <w:sz w:val="22"/>
          <w:szCs w:val="22"/>
        </w:rPr>
        <w:t xml:space="preserve"> 24 (September to November 2024), the CARIBEWAVE 24 (21 March 2024), the </w:t>
      </w:r>
      <w:proofErr w:type="spellStart"/>
      <w:r w:rsidRPr="00F22FA8">
        <w:rPr>
          <w:rFonts w:ascii="Arial" w:hAnsi="Arial" w:cs="Arial"/>
          <w:sz w:val="22"/>
          <w:szCs w:val="22"/>
        </w:rPr>
        <w:t>NEAMWave</w:t>
      </w:r>
      <w:proofErr w:type="spellEnd"/>
      <w:r w:rsidRPr="00F22FA8">
        <w:rPr>
          <w:rFonts w:ascii="Arial" w:hAnsi="Arial" w:cs="Arial"/>
          <w:sz w:val="22"/>
          <w:szCs w:val="22"/>
        </w:rPr>
        <w:t xml:space="preserve"> 23 (6–7 November 2023) and the IOWave23 (4-25 October 2023</w:t>
      </w:r>
      <w:proofErr w:type="gramStart"/>
      <w:r w:rsidRPr="00F22FA8">
        <w:rPr>
          <w:rFonts w:ascii="Arial" w:hAnsi="Arial" w:cs="Arial"/>
          <w:sz w:val="22"/>
          <w:szCs w:val="22"/>
        </w:rPr>
        <w:t>);</w:t>
      </w:r>
      <w:proofErr w:type="gramEnd"/>
    </w:p>
    <w:p w14:paraId="227F2AD8"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ICG/NEAMTWS investigation and possible adoption of the tsunami probabilistic forecasting method by TSPs in NEAMTWS, which may represent an improvement over the method in use with the goal of quantifying uncertainty and reducing false alarms, particularly the forecasting methods that consider tsunami numerical modelling and uncertainty </w:t>
      </w:r>
      <w:proofErr w:type="gramStart"/>
      <w:r w:rsidRPr="00F22FA8">
        <w:rPr>
          <w:rFonts w:ascii="Arial" w:hAnsi="Arial" w:cs="Arial"/>
          <w:sz w:val="22"/>
          <w:szCs w:val="22"/>
        </w:rPr>
        <w:t>quantification;</w:t>
      </w:r>
      <w:proofErr w:type="gramEnd"/>
    </w:p>
    <w:p w14:paraId="039B5BD1"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the ICG/NEAMTWS XIX agreement to adopt the threat levels according to the revised draft version of the </w:t>
      </w:r>
      <w:r w:rsidRPr="00F22FA8">
        <w:rPr>
          <w:rFonts w:ascii="Arial" w:eastAsia="Arial" w:hAnsi="Arial" w:cs="Arial"/>
          <w:snapToGrid/>
          <w:sz w:val="22"/>
          <w:szCs w:val="22"/>
        </w:rPr>
        <w:t>T</w:t>
      </w:r>
      <w:r w:rsidRPr="00F22FA8">
        <w:rPr>
          <w:rFonts w:ascii="Arial" w:eastAsia="Arial" w:hAnsi="Arial" w:cs="Arial"/>
          <w:i/>
          <w:iCs/>
          <w:snapToGrid/>
          <w:sz w:val="22"/>
          <w:szCs w:val="22"/>
        </w:rPr>
        <w:t>sunami Watch Operations. Global Service Definition Document</w:t>
      </w:r>
      <w:r w:rsidRPr="00F22FA8">
        <w:rPr>
          <w:rFonts w:ascii="Arial" w:eastAsia="Arial" w:hAnsi="Arial" w:cs="Arial"/>
          <w:snapToGrid/>
          <w:sz w:val="22"/>
          <w:szCs w:val="22"/>
        </w:rPr>
        <w:t xml:space="preserve">. </w:t>
      </w:r>
      <w:hyperlink r:id="rId48" w:history="1">
        <w:r w:rsidRPr="00F22FA8">
          <w:rPr>
            <w:rFonts w:ascii="Arial" w:eastAsia="Arial" w:hAnsi="Arial" w:cs="Arial"/>
            <w:snapToGrid/>
            <w:color w:val="0000FF"/>
            <w:sz w:val="22"/>
            <w:szCs w:val="22"/>
            <w:u w:val="single"/>
          </w:rPr>
          <w:t>IOC Technical Series No. 130</w:t>
        </w:r>
      </w:hyperlink>
      <w:r w:rsidRPr="00F22FA8">
        <w:rPr>
          <w:rFonts w:ascii="Arial" w:eastAsia="Arial" w:hAnsi="Arial" w:cs="Arial"/>
          <w:snapToGrid/>
          <w:sz w:val="22"/>
          <w:szCs w:val="22"/>
        </w:rPr>
        <w:t>. Paris: UNESCO. (English)</w:t>
      </w:r>
      <w:r w:rsidRPr="00F22FA8">
        <w:rPr>
          <w:rFonts w:ascii="Arial" w:hAnsi="Arial" w:cs="Arial"/>
          <w:sz w:val="22"/>
          <w:szCs w:val="22"/>
        </w:rPr>
        <w:t xml:space="preserve"> and that preparation of a template for the implementation of these threat levels by the NEAMTWS </w:t>
      </w:r>
      <w:proofErr w:type="gramStart"/>
      <w:r w:rsidRPr="00F22FA8">
        <w:rPr>
          <w:rFonts w:ascii="Arial" w:hAnsi="Arial" w:cs="Arial"/>
          <w:sz w:val="22"/>
          <w:szCs w:val="22"/>
        </w:rPr>
        <w:t>TSPs;</w:t>
      </w:r>
      <w:proofErr w:type="gramEnd"/>
    </w:p>
    <w:p w14:paraId="7A1E0F01"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Dissemination of </w:t>
      </w:r>
      <w:hyperlink r:id="rId49" w:history="1">
        <w:r w:rsidRPr="00F22FA8">
          <w:rPr>
            <w:rFonts w:ascii="Arial" w:hAnsi="Arial" w:cs="Arial"/>
            <w:color w:val="0000FF"/>
            <w:sz w:val="22"/>
            <w:szCs w:val="22"/>
            <w:u w:val="single"/>
          </w:rPr>
          <w:t>CL-3006</w:t>
        </w:r>
      </w:hyperlink>
      <w:r w:rsidRPr="00F22FA8">
        <w:rPr>
          <w:rFonts w:ascii="Arial" w:hAnsi="Arial" w:cs="Arial"/>
          <w:sz w:val="22"/>
          <w:szCs w:val="22"/>
        </w:rPr>
        <w:t xml:space="preserve"> on “</w:t>
      </w:r>
      <w:r w:rsidRPr="00F22FA8">
        <w:rPr>
          <w:rFonts w:ascii="Arial" w:hAnsi="Arial" w:cs="Arial"/>
          <w:i/>
          <w:iCs/>
          <w:sz w:val="22"/>
          <w:szCs w:val="22"/>
        </w:rPr>
        <w:t>Cessation of fax transmissions of tsunami information products by Tsunami Service Providers by 31 March 2025</w:t>
      </w:r>
      <w:r w:rsidRPr="00F22FA8">
        <w:rPr>
          <w:rFonts w:ascii="Arial" w:hAnsi="Arial" w:cs="Arial"/>
          <w:sz w:val="22"/>
          <w:szCs w:val="22"/>
        </w:rPr>
        <w:t>”.</w:t>
      </w:r>
    </w:p>
    <w:p w14:paraId="6E328E66"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That fax transmissions of tsunami information products by Tsunami Service Providers (TSP) will end by 31 March 2025, except for those Member States who requested the continuation of this service, for which individual arrangements between the concerned Member States and respective TSP(s) will be established </w:t>
      </w:r>
      <w:proofErr w:type="gramStart"/>
      <w:r w:rsidRPr="00F22FA8">
        <w:rPr>
          <w:rFonts w:ascii="Arial" w:hAnsi="Arial" w:cs="Arial"/>
          <w:sz w:val="22"/>
          <w:szCs w:val="22"/>
        </w:rPr>
        <w:t>bilaterally;</w:t>
      </w:r>
      <w:proofErr w:type="gramEnd"/>
    </w:p>
    <w:p w14:paraId="248DD4C5"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the continuous engagement of the TT-TWO in developing specialized TSP bulletins for the maritime community in consultation with the International Hydrographic Organisation (IHO) Sub-Committee on the World-Wide Navigational Warning Service (WWNWS-SC</w:t>
      </w:r>
      <w:proofErr w:type="gramStart"/>
      <w:r w:rsidRPr="00F22FA8">
        <w:rPr>
          <w:rFonts w:ascii="Arial" w:hAnsi="Arial" w:cs="Arial"/>
          <w:sz w:val="22"/>
          <w:szCs w:val="22"/>
        </w:rPr>
        <w:t>);</w:t>
      </w:r>
      <w:proofErr w:type="gramEnd"/>
    </w:p>
    <w:p w14:paraId="70284AD4"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the trial transmission of a test message from the PTWC to the NAVAREA coordinators directly or through the NTWCs as part of PTWS Exercise Pacific Wave 2024 on 5 November </w:t>
      </w:r>
      <w:proofErr w:type="gramStart"/>
      <w:r w:rsidRPr="00F22FA8">
        <w:rPr>
          <w:rFonts w:ascii="Arial" w:hAnsi="Arial" w:cs="Arial"/>
          <w:sz w:val="22"/>
          <w:szCs w:val="22"/>
        </w:rPr>
        <w:t>2024;</w:t>
      </w:r>
      <w:proofErr w:type="gramEnd"/>
    </w:p>
    <w:p w14:paraId="54CB88DF"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that JATWC (Australia), ITEWC (India) as TSPs of the IOTWMS have developed the required capabilities, which will be tested during the next communication tests scheduled, </w:t>
      </w:r>
      <w:r w:rsidRPr="00F22FA8">
        <w:rPr>
          <w:rFonts w:ascii="Arial" w:hAnsi="Arial" w:cs="Arial"/>
          <w:sz w:val="22"/>
          <w:szCs w:val="22"/>
        </w:rPr>
        <w:lastRenderedPageBreak/>
        <w:t xml:space="preserve">while CENALT (France) as TSP of NEAMTWS aims at testing a maritime product during next </w:t>
      </w:r>
      <w:proofErr w:type="spellStart"/>
      <w:r w:rsidRPr="00F22FA8">
        <w:rPr>
          <w:rFonts w:ascii="Arial" w:hAnsi="Arial" w:cs="Arial"/>
          <w:sz w:val="22"/>
          <w:szCs w:val="22"/>
        </w:rPr>
        <w:t>NEAMWave</w:t>
      </w:r>
      <w:proofErr w:type="spellEnd"/>
      <w:r w:rsidRPr="00F22FA8">
        <w:rPr>
          <w:rFonts w:ascii="Arial" w:hAnsi="Arial" w:cs="Arial"/>
          <w:sz w:val="22"/>
          <w:szCs w:val="22"/>
        </w:rPr>
        <w:t xml:space="preserve"> in the Atlantic </w:t>
      </w:r>
      <w:proofErr w:type="gramStart"/>
      <w:r w:rsidRPr="00F22FA8">
        <w:rPr>
          <w:rFonts w:ascii="Arial" w:hAnsi="Arial" w:cs="Arial"/>
          <w:sz w:val="22"/>
          <w:szCs w:val="22"/>
        </w:rPr>
        <w:t>scenario;</w:t>
      </w:r>
      <w:proofErr w:type="gramEnd"/>
    </w:p>
    <w:p w14:paraId="1F4EB58B"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the ongoing project of the Atlantic CAM </w:t>
      </w:r>
      <w:r w:rsidRPr="00F22FA8">
        <w:rPr>
          <w:rFonts w:ascii="Arial" w:hAnsi="Arial" w:cs="Arial"/>
          <w:sz w:val="22"/>
          <w:szCs w:val="22"/>
          <w:lang w:val="en-US"/>
        </w:rPr>
        <w:t xml:space="preserve">Science Monitoring </w:t>
      </w:r>
      <w:proofErr w:type="gramStart"/>
      <w:r w:rsidRPr="00F22FA8">
        <w:rPr>
          <w:rFonts w:ascii="Arial" w:hAnsi="Arial" w:cs="Arial"/>
          <w:sz w:val="22"/>
          <w:szCs w:val="22"/>
          <w:lang w:val="en-US"/>
        </w:rPr>
        <w:t>And</w:t>
      </w:r>
      <w:proofErr w:type="gramEnd"/>
      <w:r w:rsidRPr="00F22FA8">
        <w:rPr>
          <w:rFonts w:ascii="Arial" w:hAnsi="Arial" w:cs="Arial"/>
          <w:sz w:val="22"/>
          <w:szCs w:val="22"/>
          <w:lang w:val="en-US"/>
        </w:rPr>
        <w:t xml:space="preserve"> Reliable Telecommunications (</w:t>
      </w:r>
      <w:r w:rsidRPr="00F22FA8">
        <w:rPr>
          <w:rFonts w:ascii="Arial" w:hAnsi="Arial" w:cs="Arial"/>
          <w:sz w:val="22"/>
          <w:szCs w:val="22"/>
        </w:rPr>
        <w:t xml:space="preserve">SMART) Subsea cable off Portugal, TAM </w:t>
      </w:r>
      <w:proofErr w:type="spellStart"/>
      <w:r w:rsidRPr="00F22FA8">
        <w:rPr>
          <w:rFonts w:ascii="Arial" w:hAnsi="Arial" w:cs="Arial"/>
          <w:sz w:val="22"/>
          <w:szCs w:val="22"/>
        </w:rPr>
        <w:t>TAM</w:t>
      </w:r>
      <w:proofErr w:type="spellEnd"/>
      <w:r w:rsidRPr="00F22FA8">
        <w:rPr>
          <w:rFonts w:ascii="Arial" w:hAnsi="Arial" w:cs="Arial"/>
          <w:sz w:val="22"/>
          <w:szCs w:val="22"/>
        </w:rPr>
        <w:t xml:space="preserve"> SMART cable between New Caledonia and Vanuatu, undersea cable installations being deployed and planned by Indonesia and India, the deployment of the Western Ionian Sea Infrastructure in 2023 in the Mediterranean. </w:t>
      </w:r>
    </w:p>
    <w:p w14:paraId="299769DE"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the plans for deployment of 2 tsunami buoys in the Ionian Sea during Summer </w:t>
      </w:r>
      <w:proofErr w:type="gramStart"/>
      <w:r w:rsidRPr="00F22FA8">
        <w:rPr>
          <w:rFonts w:ascii="Arial" w:hAnsi="Arial" w:cs="Arial"/>
          <w:sz w:val="22"/>
          <w:szCs w:val="22"/>
        </w:rPr>
        <w:t>2025;</w:t>
      </w:r>
      <w:proofErr w:type="gramEnd"/>
    </w:p>
    <w:p w14:paraId="30C5315B" w14:textId="3BB6EE29"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the number of Member States and communities joining the UNESCO-IOC Tsunami Ready Recognition Programme, with 100 communities from </w:t>
      </w:r>
      <w:r w:rsidR="00856929">
        <w:rPr>
          <w:rFonts w:ascii="Arial" w:hAnsi="Arial" w:cs="Arial"/>
          <w:sz w:val="22"/>
          <w:szCs w:val="22"/>
        </w:rPr>
        <w:t>31</w:t>
      </w:r>
      <w:r w:rsidRPr="00F22FA8">
        <w:rPr>
          <w:rFonts w:ascii="Arial" w:hAnsi="Arial" w:cs="Arial"/>
          <w:sz w:val="22"/>
          <w:szCs w:val="22"/>
        </w:rPr>
        <w:t xml:space="preserve"> countries already recognized, of which 15 are </w:t>
      </w:r>
      <w:proofErr w:type="gramStart"/>
      <w:r w:rsidRPr="00F22FA8">
        <w:rPr>
          <w:rFonts w:ascii="Arial" w:hAnsi="Arial" w:cs="Arial"/>
          <w:sz w:val="22"/>
          <w:szCs w:val="22"/>
        </w:rPr>
        <w:t>SIDS;</w:t>
      </w:r>
      <w:proofErr w:type="gramEnd"/>
      <w:r w:rsidRPr="00F22FA8">
        <w:rPr>
          <w:rFonts w:ascii="Arial" w:hAnsi="Arial" w:cs="Arial"/>
          <w:sz w:val="22"/>
          <w:szCs w:val="22"/>
        </w:rPr>
        <w:t xml:space="preserve"> </w:t>
      </w:r>
    </w:p>
    <w:p w14:paraId="18034362"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establishing the Tsunami Ready Equivalency for the PTWS by developing a draft guidance using the Tsunami Ready indicators as a </w:t>
      </w:r>
      <w:proofErr w:type="gramStart"/>
      <w:r w:rsidRPr="00F22FA8">
        <w:rPr>
          <w:rFonts w:ascii="Arial" w:hAnsi="Arial" w:cs="Arial"/>
          <w:sz w:val="22"/>
          <w:szCs w:val="22"/>
        </w:rPr>
        <w:t>foundation;</w:t>
      </w:r>
      <w:proofErr w:type="gramEnd"/>
    </w:p>
    <w:p w14:paraId="503CB97A"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bookmarkStart w:id="170" w:name="_Hlk191327666"/>
      <w:r w:rsidRPr="00F22FA8">
        <w:rPr>
          <w:rFonts w:ascii="Arial" w:hAnsi="Arial" w:cs="Arial"/>
          <w:sz w:val="22"/>
          <w:szCs w:val="22"/>
        </w:rPr>
        <w:t>Publication of the Report “</w:t>
      </w:r>
      <w:r w:rsidRPr="00F22FA8">
        <w:rPr>
          <w:rFonts w:ascii="Arial" w:hAnsi="Arial" w:cs="Arial"/>
          <w:i/>
          <w:iCs/>
          <w:sz w:val="22"/>
          <w:szCs w:val="22"/>
        </w:rPr>
        <w:t>Monitoring and Warning for Tsunamis Generated by Volcanoes</w:t>
      </w:r>
      <w:r w:rsidRPr="00F22FA8">
        <w:rPr>
          <w:rFonts w:ascii="Arial" w:hAnsi="Arial" w:cs="Arial"/>
          <w:sz w:val="22"/>
          <w:szCs w:val="22"/>
        </w:rPr>
        <w:t>. 2024. Paris, UNESCO. (</w:t>
      </w:r>
      <w:hyperlink r:id="rId50" w:history="1">
        <w:r w:rsidRPr="00F22FA8">
          <w:rPr>
            <w:rFonts w:ascii="Arial" w:hAnsi="Arial" w:cs="Arial"/>
            <w:color w:val="0000FF"/>
            <w:sz w:val="22"/>
            <w:szCs w:val="22"/>
            <w:u w:val="single"/>
          </w:rPr>
          <w:t>IOC Technical Series No.183</w:t>
        </w:r>
      </w:hyperlink>
      <w:r w:rsidRPr="00F22FA8">
        <w:rPr>
          <w:rFonts w:ascii="Arial" w:hAnsi="Arial" w:cs="Arial"/>
          <w:sz w:val="22"/>
          <w:szCs w:val="22"/>
        </w:rPr>
        <w:t>)</w:t>
      </w:r>
    </w:p>
    <w:p w14:paraId="44A463F9"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Dissemination of </w:t>
      </w:r>
      <w:hyperlink r:id="rId51" w:history="1">
        <w:r w:rsidRPr="00F22FA8">
          <w:rPr>
            <w:rFonts w:ascii="Arial" w:hAnsi="Arial" w:cs="Arial"/>
            <w:color w:val="0000FF"/>
            <w:sz w:val="22"/>
            <w:szCs w:val="22"/>
            <w:u w:val="single"/>
          </w:rPr>
          <w:t>CL-3029</w:t>
        </w:r>
      </w:hyperlink>
      <w:r w:rsidRPr="00F22FA8">
        <w:rPr>
          <w:rFonts w:ascii="Arial" w:hAnsi="Arial" w:cs="Arial"/>
          <w:sz w:val="22"/>
          <w:szCs w:val="22"/>
        </w:rPr>
        <w:t xml:space="preserve"> on the “IOC report on </w:t>
      </w:r>
      <w:r w:rsidRPr="00F22FA8">
        <w:rPr>
          <w:rFonts w:ascii="Arial" w:hAnsi="Arial" w:cs="Arial"/>
          <w:i/>
          <w:iCs/>
          <w:sz w:val="22"/>
          <w:szCs w:val="22"/>
        </w:rPr>
        <w:t>‘Monitoring and warning for tsunamis generated by volcanoes” and online webinar programme on this issue”</w:t>
      </w:r>
      <w:r w:rsidRPr="00F22FA8">
        <w:rPr>
          <w:rFonts w:ascii="Calibri" w:eastAsia="DengXian" w:hAnsi="Calibri" w:cs="Arial"/>
          <w:snapToGrid/>
          <w:sz w:val="22"/>
          <w:szCs w:val="22"/>
          <w:lang w:val="en-US"/>
        </w:rPr>
        <w:t xml:space="preserve"> </w:t>
      </w:r>
      <w:r w:rsidRPr="00F22FA8">
        <w:rPr>
          <w:rFonts w:ascii="Arial" w:hAnsi="Arial" w:cs="Arial"/>
          <w:sz w:val="22"/>
          <w:szCs w:val="22"/>
        </w:rPr>
        <w:t xml:space="preserve">involving relevant Volcano Observatories and Volcanic Ash Advisory Centres (VAACs) to: </w:t>
      </w:r>
    </w:p>
    <w:p w14:paraId="719C1B73" w14:textId="77777777" w:rsidR="00F22FA8" w:rsidRPr="00F22FA8" w:rsidRDefault="00F22FA8" w:rsidP="00F22FA8">
      <w:pPr>
        <w:numPr>
          <w:ilvl w:val="1"/>
          <w:numId w:val="53"/>
        </w:numPr>
        <w:tabs>
          <w:tab w:val="clear" w:pos="709"/>
        </w:tabs>
        <w:snapToGrid/>
        <w:spacing w:after="240" w:line="259" w:lineRule="auto"/>
        <w:ind w:left="993"/>
        <w:jc w:val="both"/>
        <w:rPr>
          <w:rFonts w:ascii="Arial" w:hAnsi="Arial" w:cs="Arial"/>
          <w:sz w:val="22"/>
          <w:szCs w:val="22"/>
        </w:rPr>
      </w:pPr>
      <w:r w:rsidRPr="00F22FA8">
        <w:rPr>
          <w:rFonts w:ascii="Arial" w:hAnsi="Arial" w:cs="Arial"/>
          <w:sz w:val="22"/>
          <w:szCs w:val="22"/>
        </w:rPr>
        <w:t> brief on the report on ‘</w:t>
      </w:r>
      <w:r w:rsidRPr="00F22FA8">
        <w:rPr>
          <w:rFonts w:ascii="Arial" w:hAnsi="Arial" w:cs="Arial"/>
          <w:i/>
          <w:iCs/>
          <w:sz w:val="22"/>
          <w:szCs w:val="22"/>
        </w:rPr>
        <w:t>Monitoring and warning for tsunamis generated by volcanoes</w:t>
      </w:r>
      <w:r w:rsidRPr="00F22FA8">
        <w:rPr>
          <w:rFonts w:ascii="Arial" w:hAnsi="Arial" w:cs="Arial"/>
          <w:sz w:val="22"/>
          <w:szCs w:val="22"/>
        </w:rPr>
        <w:t>’ (</w:t>
      </w:r>
      <w:hyperlink r:id="rId52" w:history="1">
        <w:r w:rsidRPr="00F22FA8">
          <w:rPr>
            <w:rFonts w:ascii="Arial" w:hAnsi="Arial" w:cs="Arial"/>
            <w:color w:val="0000FF"/>
            <w:sz w:val="22"/>
            <w:szCs w:val="22"/>
            <w:u w:val="single"/>
          </w:rPr>
          <w:t>IOC Technical Series No.183</w:t>
        </w:r>
      </w:hyperlink>
      <w:r w:rsidRPr="00F22FA8">
        <w:rPr>
          <w:rFonts w:ascii="Arial" w:hAnsi="Arial" w:cs="Arial"/>
          <w:sz w:val="22"/>
          <w:szCs w:val="22"/>
        </w:rPr>
        <w:t xml:space="preserve">) and its recommendations, </w:t>
      </w:r>
    </w:p>
    <w:p w14:paraId="0CD5FC5F" w14:textId="77777777" w:rsidR="00F22FA8" w:rsidRPr="00F22FA8" w:rsidRDefault="00F22FA8" w:rsidP="00F22FA8">
      <w:pPr>
        <w:numPr>
          <w:ilvl w:val="1"/>
          <w:numId w:val="53"/>
        </w:numPr>
        <w:tabs>
          <w:tab w:val="clear" w:pos="709"/>
        </w:tabs>
        <w:snapToGrid/>
        <w:spacing w:after="240" w:line="259" w:lineRule="auto"/>
        <w:ind w:left="993"/>
        <w:jc w:val="both"/>
        <w:rPr>
          <w:rFonts w:ascii="Arial" w:hAnsi="Arial" w:cs="Arial"/>
          <w:sz w:val="22"/>
          <w:szCs w:val="22"/>
        </w:rPr>
      </w:pPr>
      <w:r w:rsidRPr="00F22FA8">
        <w:rPr>
          <w:rFonts w:ascii="Arial" w:hAnsi="Arial" w:cs="Arial"/>
          <w:sz w:val="22"/>
          <w:szCs w:val="22"/>
        </w:rPr>
        <w:t xml:space="preserve">highlight this hazard that may make Member States vulnerable, </w:t>
      </w:r>
    </w:p>
    <w:p w14:paraId="083F8A14" w14:textId="77777777" w:rsidR="00F22FA8" w:rsidRPr="00F22FA8" w:rsidRDefault="00F22FA8" w:rsidP="00F22FA8">
      <w:pPr>
        <w:numPr>
          <w:ilvl w:val="1"/>
          <w:numId w:val="53"/>
        </w:numPr>
        <w:tabs>
          <w:tab w:val="clear" w:pos="709"/>
        </w:tabs>
        <w:snapToGrid/>
        <w:spacing w:after="240" w:line="259" w:lineRule="auto"/>
        <w:ind w:left="993"/>
        <w:jc w:val="both"/>
        <w:rPr>
          <w:rFonts w:ascii="Arial" w:hAnsi="Arial" w:cs="Arial"/>
          <w:sz w:val="22"/>
          <w:szCs w:val="22"/>
        </w:rPr>
      </w:pPr>
      <w:r w:rsidRPr="00F22FA8">
        <w:rPr>
          <w:rFonts w:ascii="Arial" w:hAnsi="Arial" w:cs="Arial"/>
          <w:sz w:val="22"/>
          <w:szCs w:val="22"/>
        </w:rPr>
        <w:t xml:space="preserve">initiate the desirable partnerships between National Tsunami Warning Centres (NTWC), Volcano Observatories and Volcanic Ash Advisory </w:t>
      </w:r>
      <w:proofErr w:type="spellStart"/>
      <w:r w:rsidRPr="00F22FA8">
        <w:rPr>
          <w:rFonts w:ascii="Arial" w:hAnsi="Arial" w:cs="Arial"/>
          <w:sz w:val="22"/>
          <w:szCs w:val="22"/>
        </w:rPr>
        <w:t>Centers</w:t>
      </w:r>
      <w:proofErr w:type="spellEnd"/>
      <w:r w:rsidRPr="00F22FA8">
        <w:rPr>
          <w:rFonts w:ascii="Arial" w:hAnsi="Arial" w:cs="Arial"/>
          <w:sz w:val="22"/>
          <w:szCs w:val="22"/>
        </w:rPr>
        <w:t xml:space="preserve"> (VAACs), </w:t>
      </w:r>
    </w:p>
    <w:p w14:paraId="08A0D246" w14:textId="77777777" w:rsidR="00F22FA8" w:rsidRPr="00F22FA8" w:rsidRDefault="00F22FA8" w:rsidP="00F22FA8">
      <w:pPr>
        <w:numPr>
          <w:ilvl w:val="1"/>
          <w:numId w:val="53"/>
        </w:numPr>
        <w:tabs>
          <w:tab w:val="clear" w:pos="709"/>
        </w:tabs>
        <w:snapToGrid/>
        <w:spacing w:after="240" w:line="259" w:lineRule="auto"/>
        <w:ind w:left="993"/>
        <w:jc w:val="both"/>
        <w:rPr>
          <w:rFonts w:ascii="Arial" w:hAnsi="Arial" w:cs="Arial"/>
          <w:sz w:val="22"/>
          <w:szCs w:val="22"/>
        </w:rPr>
      </w:pPr>
      <w:r w:rsidRPr="00F22FA8">
        <w:rPr>
          <w:rFonts w:ascii="Arial" w:hAnsi="Arial" w:cs="Arial"/>
          <w:sz w:val="22"/>
          <w:szCs w:val="22"/>
        </w:rPr>
        <w:t>initiate consideration of whether TSPs may also need to provide services where tsunami generated by volcanoes may impact Member States.</w:t>
      </w:r>
    </w:p>
    <w:p w14:paraId="1CAF72F7"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Publication of the Report “Meteotsunamis: definition, detection and alerting services investigation”.2025. Paris, UNESCO. (</w:t>
      </w:r>
      <w:hyperlink r:id="rId53" w:history="1">
        <w:r w:rsidRPr="00F22FA8">
          <w:rPr>
            <w:rFonts w:ascii="Arial" w:hAnsi="Arial" w:cs="Arial"/>
            <w:color w:val="0000FF"/>
            <w:sz w:val="22"/>
            <w:szCs w:val="22"/>
            <w:u w:val="single"/>
          </w:rPr>
          <w:t>IOC Technical Series No.200)</w:t>
        </w:r>
      </w:hyperlink>
    </w:p>
    <w:p w14:paraId="11DA35AA"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Publication of the Summary Statement from 2nd UNESCO-IOC Global Tsunami Symposium on Two Decades After 2004 Indian Ocean Tsunami: Reflection and Way Forward, Banda Aceh, 11–14 November 2024. Paris. UNESCO (</w:t>
      </w:r>
      <w:hyperlink r:id="rId54" w:history="1">
        <w:r w:rsidRPr="00F22FA8">
          <w:rPr>
            <w:rFonts w:ascii="Arial" w:hAnsi="Arial" w:cs="Arial"/>
            <w:color w:val="0000FF"/>
            <w:sz w:val="22"/>
            <w:szCs w:val="22"/>
            <w:u w:val="single"/>
          </w:rPr>
          <w:t>IOC Brochure 2025-1</w:t>
        </w:r>
      </w:hyperlink>
      <w:r w:rsidRPr="00F22FA8">
        <w:rPr>
          <w:rFonts w:ascii="Arial" w:hAnsi="Arial" w:cs="Arial"/>
          <w:sz w:val="22"/>
          <w:szCs w:val="22"/>
        </w:rPr>
        <w:t>)</w:t>
      </w:r>
    </w:p>
    <w:bookmarkEnd w:id="170"/>
    <w:p w14:paraId="7B497C9E" w14:textId="77777777" w:rsidR="00F22FA8" w:rsidRPr="00F22FA8" w:rsidRDefault="00F22FA8" w:rsidP="00F22FA8">
      <w:pPr>
        <w:numPr>
          <w:ilvl w:val="0"/>
          <w:numId w:val="53"/>
        </w:numPr>
        <w:snapToGrid/>
        <w:spacing w:after="240" w:line="259" w:lineRule="auto"/>
        <w:ind w:left="567" w:hanging="567"/>
        <w:jc w:val="both"/>
        <w:rPr>
          <w:rFonts w:ascii="Arial" w:hAnsi="Arial" w:cs="Arial"/>
          <w:bCs/>
          <w:sz w:val="22"/>
          <w:szCs w:val="22"/>
        </w:rPr>
      </w:pPr>
      <w:r w:rsidRPr="00F22FA8">
        <w:rPr>
          <w:rFonts w:ascii="Arial" w:hAnsi="Arial" w:cs="Arial"/>
          <w:bCs/>
          <w:sz w:val="22"/>
          <w:szCs w:val="22"/>
        </w:rPr>
        <w:t xml:space="preserve">Launch of the UNESCO-IOC Tsunami Awareness and Tsunami Ready online trainings through the </w:t>
      </w:r>
      <w:hyperlink r:id="rId55" w:history="1">
        <w:r w:rsidRPr="00F22FA8">
          <w:rPr>
            <w:rFonts w:ascii="Arial" w:hAnsi="Arial" w:cs="Arial"/>
            <w:bCs/>
            <w:color w:val="0000FF"/>
            <w:sz w:val="22"/>
            <w:szCs w:val="22"/>
            <w:u w:val="single"/>
          </w:rPr>
          <w:t>Ocean Teacher Global Academy</w:t>
        </w:r>
      </w:hyperlink>
      <w:r w:rsidRPr="00F22FA8">
        <w:rPr>
          <w:rFonts w:ascii="Arial" w:hAnsi="Arial" w:cs="Arial"/>
          <w:bCs/>
          <w:sz w:val="22"/>
          <w:szCs w:val="22"/>
        </w:rPr>
        <w:t xml:space="preserve"> (OTGA) platform.</w:t>
      </w:r>
    </w:p>
    <w:p w14:paraId="4D3EACA3" w14:textId="77777777" w:rsidR="00F22FA8" w:rsidRPr="00F22FA8" w:rsidRDefault="00F22FA8" w:rsidP="00F22FA8">
      <w:pPr>
        <w:numPr>
          <w:ilvl w:val="0"/>
          <w:numId w:val="53"/>
        </w:numPr>
        <w:snapToGrid/>
        <w:spacing w:after="240" w:line="259" w:lineRule="auto"/>
        <w:ind w:left="567" w:hanging="567"/>
        <w:jc w:val="both"/>
        <w:rPr>
          <w:rFonts w:ascii="Arial" w:hAnsi="Arial" w:cs="Arial"/>
          <w:bCs/>
          <w:sz w:val="22"/>
          <w:szCs w:val="22"/>
        </w:rPr>
      </w:pPr>
      <w:r w:rsidRPr="00F22FA8">
        <w:rPr>
          <w:rFonts w:ascii="Arial" w:hAnsi="Arial" w:cs="Arial"/>
          <w:bCs/>
          <w:sz w:val="22"/>
          <w:szCs w:val="22"/>
        </w:rPr>
        <w:t xml:space="preserve">PTWS under the leadership of the ITIC to develop the Tsunami Warning Center Minimum Staff Competencies Training Course, which will consist of Tsunami and Earthquake Science, Tsunami Warning Center Operations, and National Training Modules, all to be enabled under the IOC’s </w:t>
      </w:r>
      <w:proofErr w:type="gramStart"/>
      <w:r w:rsidRPr="00F22FA8">
        <w:rPr>
          <w:rFonts w:ascii="Arial" w:hAnsi="Arial" w:cs="Arial"/>
          <w:bCs/>
          <w:sz w:val="22"/>
          <w:szCs w:val="22"/>
        </w:rPr>
        <w:t>OTGA;</w:t>
      </w:r>
      <w:proofErr w:type="gramEnd"/>
    </w:p>
    <w:p w14:paraId="7871D123" w14:textId="77777777" w:rsidR="00F22FA8" w:rsidRPr="00F22FA8" w:rsidRDefault="00F22FA8" w:rsidP="00F22FA8">
      <w:pPr>
        <w:numPr>
          <w:ilvl w:val="0"/>
          <w:numId w:val="53"/>
        </w:numPr>
        <w:snapToGrid/>
        <w:spacing w:after="240" w:line="259" w:lineRule="auto"/>
        <w:ind w:left="567" w:hanging="567"/>
        <w:jc w:val="both"/>
        <w:rPr>
          <w:rFonts w:ascii="Arial" w:hAnsi="Arial" w:cs="Arial"/>
          <w:bCs/>
          <w:sz w:val="22"/>
          <w:szCs w:val="22"/>
        </w:rPr>
      </w:pPr>
      <w:r w:rsidRPr="00F22FA8">
        <w:rPr>
          <w:rFonts w:ascii="Arial" w:hAnsi="Arial" w:cs="Arial"/>
          <w:bCs/>
          <w:sz w:val="22"/>
          <w:szCs w:val="22"/>
        </w:rPr>
        <w:lastRenderedPageBreak/>
        <w:t>the work commissioned by the IOC/TSR on a Methodological Protocol for Mapping, Identifying and Estimating Administrative Units (“communities”) eligible for the TRRP and assess the level of risk of each community in the Caribbean Basin and its wider application in other ocean basins/</w:t>
      </w:r>
      <w:proofErr w:type="gramStart"/>
      <w:r w:rsidRPr="00F22FA8">
        <w:rPr>
          <w:rFonts w:ascii="Arial" w:hAnsi="Arial" w:cs="Arial"/>
          <w:bCs/>
          <w:sz w:val="22"/>
          <w:szCs w:val="22"/>
        </w:rPr>
        <w:t>ICGs;</w:t>
      </w:r>
      <w:proofErr w:type="gramEnd"/>
    </w:p>
    <w:p w14:paraId="41712972" w14:textId="77777777" w:rsidR="00F22FA8" w:rsidRPr="00F22FA8" w:rsidRDefault="00F22FA8" w:rsidP="00F22FA8">
      <w:pPr>
        <w:numPr>
          <w:ilvl w:val="0"/>
          <w:numId w:val="53"/>
        </w:numPr>
        <w:snapToGrid/>
        <w:spacing w:after="240" w:line="259" w:lineRule="auto"/>
        <w:ind w:left="562" w:hanging="562"/>
        <w:jc w:val="both"/>
        <w:rPr>
          <w:rFonts w:ascii="Arial" w:hAnsi="Arial" w:cs="Arial"/>
          <w:bCs/>
          <w:sz w:val="22"/>
          <w:szCs w:val="22"/>
          <w:lang w:val="en-US"/>
        </w:rPr>
      </w:pPr>
      <w:r w:rsidRPr="00F22FA8">
        <w:rPr>
          <w:rFonts w:ascii="Arial" w:hAnsi="Arial" w:cs="Arial"/>
          <w:bCs/>
          <w:sz w:val="22"/>
          <w:szCs w:val="22"/>
          <w:lang w:val="en-US"/>
        </w:rPr>
        <w:t xml:space="preserve">Activities undertaken by the respective regions for </w:t>
      </w:r>
      <w:hyperlink r:id="rId56" w:history="1">
        <w:r w:rsidRPr="00F22FA8">
          <w:rPr>
            <w:rFonts w:ascii="Arial" w:hAnsi="Arial" w:cs="Arial"/>
            <w:bCs/>
            <w:color w:val="0000FF"/>
            <w:sz w:val="22"/>
            <w:szCs w:val="22"/>
            <w:u w:val="single"/>
            <w:lang w:val="en-US"/>
          </w:rPr>
          <w:t>World Tsunami Awareness Day</w:t>
        </w:r>
      </w:hyperlink>
      <w:r w:rsidRPr="00F22FA8">
        <w:rPr>
          <w:rFonts w:ascii="Arial" w:hAnsi="Arial" w:cs="Arial"/>
          <w:bCs/>
          <w:sz w:val="22"/>
          <w:szCs w:val="22"/>
          <w:lang w:val="en-US"/>
        </w:rPr>
        <w:t xml:space="preserve"> (WTAD) 2024, the strong engagement in the </w:t>
      </w:r>
      <w:hyperlink r:id="rId57" w:history="1">
        <w:r w:rsidRPr="00F22FA8">
          <w:rPr>
            <w:rFonts w:ascii="Arial" w:hAnsi="Arial" w:cs="Arial"/>
            <w:bCs/>
            <w:color w:val="0000FF"/>
            <w:sz w:val="22"/>
            <w:szCs w:val="22"/>
            <w:u w:val="single"/>
            <w:lang w:val="en-US"/>
          </w:rPr>
          <w:t>#GetToHighGround</w:t>
        </w:r>
      </w:hyperlink>
      <w:r w:rsidRPr="00F22FA8">
        <w:rPr>
          <w:rFonts w:ascii="Arial" w:hAnsi="Arial" w:cs="Arial"/>
          <w:bCs/>
          <w:sz w:val="22"/>
          <w:szCs w:val="22"/>
          <w:lang w:val="en-US"/>
        </w:rPr>
        <w:t xml:space="preserve"> Initiative, the </w:t>
      </w:r>
      <w:hyperlink r:id="rId58" w:history="1">
        <w:r w:rsidRPr="00F22FA8">
          <w:rPr>
            <w:rFonts w:ascii="Arial" w:hAnsi="Arial" w:cs="Arial"/>
            <w:bCs/>
            <w:color w:val="0000FF"/>
            <w:sz w:val="22"/>
            <w:szCs w:val="22"/>
            <w:u w:val="single"/>
            <w:lang w:val="en-US"/>
          </w:rPr>
          <w:t>Tsunami: Sea Change for Resilience</w:t>
        </w:r>
      </w:hyperlink>
      <w:r w:rsidRPr="00F22FA8">
        <w:rPr>
          <w:rFonts w:ascii="Arial" w:hAnsi="Arial" w:cs="Arial"/>
          <w:bCs/>
          <w:sz w:val="22"/>
          <w:szCs w:val="22"/>
          <w:lang w:val="en-US"/>
        </w:rPr>
        <w:t xml:space="preserve">, exhibition prepared in partnership with the United Nations Office for Disaster Risk Reduction (UNDRR) and Nautilus, featuring portraits by Matt Porteous and inspiring stories together with the historical and contemporary artworks which commemorate the 20th anniversary of the 2004 Indian Ocean Tsunami; organization of the </w:t>
      </w:r>
      <w:hyperlink r:id="rId59" w:history="1">
        <w:r w:rsidRPr="00F22FA8">
          <w:rPr>
            <w:rFonts w:ascii="Arial" w:eastAsia="DengXian" w:hAnsi="Arial" w:cs="Arial"/>
            <w:snapToGrid/>
            <w:color w:val="0000FF"/>
            <w:sz w:val="22"/>
            <w:szCs w:val="22"/>
            <w:u w:val="single"/>
          </w:rPr>
          <w:t>20th Anniversary of the 2004 Indian Ocean Tsunami Commemoration Event</w:t>
        </w:r>
      </w:hyperlink>
      <w:r w:rsidRPr="00F22FA8">
        <w:rPr>
          <w:rFonts w:ascii="Arial" w:eastAsia="DengXian" w:hAnsi="Arial" w:cs="Arial"/>
          <w:snapToGrid/>
          <w:sz w:val="22"/>
          <w:szCs w:val="22"/>
        </w:rPr>
        <w:t xml:space="preserve"> at the UNESCO Headquarters on 26 November 2024 to reflect on resilience, honour those affected, and reaffirm our commitment to disaster preparedness;</w:t>
      </w:r>
      <w:r w:rsidRPr="00F22FA8">
        <w:rPr>
          <w:rFonts w:ascii="Arial" w:hAnsi="Arial" w:cs="Arial"/>
          <w:bCs/>
          <w:sz w:val="22"/>
          <w:szCs w:val="22"/>
          <w:lang w:val="en-US"/>
        </w:rPr>
        <w:t xml:space="preserve"> </w:t>
      </w:r>
    </w:p>
    <w:p w14:paraId="2D4FCC76" w14:textId="77777777" w:rsidR="00F22FA8" w:rsidRPr="00F22FA8" w:rsidRDefault="00F22FA8" w:rsidP="00F22FA8">
      <w:pPr>
        <w:numPr>
          <w:ilvl w:val="0"/>
          <w:numId w:val="53"/>
        </w:numPr>
        <w:snapToGrid/>
        <w:spacing w:after="240" w:line="259" w:lineRule="auto"/>
        <w:ind w:left="567" w:hanging="567"/>
        <w:jc w:val="both"/>
        <w:rPr>
          <w:rFonts w:ascii="Arial" w:hAnsi="Arial" w:cs="Arial"/>
          <w:bCs/>
          <w:sz w:val="22"/>
          <w:szCs w:val="22"/>
          <w:lang w:val="en-US"/>
        </w:rPr>
      </w:pPr>
      <w:r w:rsidRPr="00F22FA8">
        <w:rPr>
          <w:rFonts w:ascii="Arial" w:hAnsi="Arial" w:cs="Arial"/>
          <w:bCs/>
          <w:sz w:val="22"/>
          <w:szCs w:val="22"/>
          <w:lang w:val="en-US"/>
        </w:rPr>
        <w:t xml:space="preserve">in developing a comprehensive Ocean Decade Tsunami Programme Research Development and Implementation (ODTP–RDI) Performance Monitoring and Tracking Tool with clear SMART (Specific, Measurable, Achievable, Relevant, and Time-bound) indicators and </w:t>
      </w:r>
      <w:proofErr w:type="gramStart"/>
      <w:r w:rsidRPr="00F22FA8">
        <w:rPr>
          <w:rFonts w:ascii="Arial" w:hAnsi="Arial" w:cs="Arial"/>
          <w:bCs/>
          <w:sz w:val="22"/>
          <w:szCs w:val="22"/>
          <w:lang w:val="en-US"/>
        </w:rPr>
        <w:t>actions;</w:t>
      </w:r>
      <w:proofErr w:type="gramEnd"/>
    </w:p>
    <w:p w14:paraId="6963A0BC" w14:textId="77777777" w:rsidR="00F22FA8" w:rsidRPr="00F22FA8" w:rsidRDefault="00F22FA8" w:rsidP="00F22FA8">
      <w:pPr>
        <w:numPr>
          <w:ilvl w:val="0"/>
          <w:numId w:val="53"/>
        </w:numPr>
        <w:snapToGrid/>
        <w:spacing w:after="240" w:line="259" w:lineRule="auto"/>
        <w:ind w:left="567" w:hanging="567"/>
        <w:jc w:val="both"/>
        <w:rPr>
          <w:rFonts w:ascii="Arial" w:hAnsi="Arial" w:cs="Arial"/>
          <w:bCs/>
          <w:sz w:val="22"/>
          <w:szCs w:val="22"/>
          <w:lang w:val="en-US"/>
        </w:rPr>
      </w:pPr>
      <w:r w:rsidRPr="00F22FA8">
        <w:rPr>
          <w:rFonts w:ascii="Arial" w:hAnsi="Arial" w:cs="Arial"/>
          <w:bCs/>
          <w:sz w:val="22"/>
          <w:szCs w:val="22"/>
          <w:lang w:val="en-US"/>
        </w:rPr>
        <w:t xml:space="preserve">the development of the Tsunami Ready </w:t>
      </w:r>
      <w:proofErr w:type="gramStart"/>
      <w:r w:rsidRPr="00F22FA8">
        <w:rPr>
          <w:rFonts w:ascii="Arial" w:hAnsi="Arial" w:cs="Arial"/>
          <w:bCs/>
          <w:sz w:val="22"/>
          <w:szCs w:val="22"/>
          <w:lang w:val="en-US"/>
        </w:rPr>
        <w:t>toolkit;</w:t>
      </w:r>
      <w:proofErr w:type="gramEnd"/>
    </w:p>
    <w:p w14:paraId="2E1A2C48" w14:textId="77777777" w:rsidR="00F22FA8" w:rsidRPr="00F22FA8" w:rsidRDefault="00F22FA8" w:rsidP="00F22FA8">
      <w:pPr>
        <w:spacing w:after="240"/>
        <w:jc w:val="both"/>
        <w:rPr>
          <w:rFonts w:ascii="Arial" w:eastAsia="Arial" w:hAnsi="Arial" w:cs="Arial"/>
          <w:snapToGrid/>
          <w:sz w:val="22"/>
          <w:szCs w:val="22"/>
        </w:rPr>
      </w:pPr>
      <w:r w:rsidRPr="00F22FA8">
        <w:rPr>
          <w:rFonts w:ascii="Arial" w:eastAsia="Arial" w:hAnsi="Arial" w:cs="Arial"/>
          <w:b/>
          <w:bCs/>
          <w:snapToGrid/>
          <w:sz w:val="22"/>
          <w:szCs w:val="22"/>
        </w:rPr>
        <w:t xml:space="preserve">The Group recommended </w:t>
      </w:r>
      <w:r w:rsidRPr="00F22FA8">
        <w:rPr>
          <w:rFonts w:ascii="Arial" w:eastAsia="Arial" w:hAnsi="Arial" w:cs="Arial"/>
          <w:snapToGrid/>
          <w:sz w:val="22"/>
          <w:szCs w:val="22"/>
        </w:rPr>
        <w:t xml:space="preserve">to perform a scientific peer review on the Methodology for Estimating Eligibility for TRR and Assessment of Tsunami Risk at Community Level to ensure the indices developed are accepted as a scientifically credible methodology and endorsed by ICGs </w:t>
      </w:r>
      <w:proofErr w:type="gramStart"/>
      <w:r w:rsidRPr="00F22FA8">
        <w:rPr>
          <w:rFonts w:ascii="Arial" w:eastAsia="Arial" w:hAnsi="Arial" w:cs="Arial"/>
          <w:snapToGrid/>
          <w:sz w:val="22"/>
          <w:szCs w:val="22"/>
        </w:rPr>
        <w:t xml:space="preserve">and </w:t>
      </w:r>
      <w:r w:rsidRPr="00F22FA8">
        <w:rPr>
          <w:rFonts w:ascii="Arial" w:eastAsia="Arial" w:hAnsi="Arial" w:cs="Arial"/>
          <w:b/>
          <w:bCs/>
          <w:snapToGrid/>
          <w:sz w:val="22"/>
          <w:szCs w:val="22"/>
        </w:rPr>
        <w:t>also</w:t>
      </w:r>
      <w:proofErr w:type="gramEnd"/>
      <w:r w:rsidRPr="00F22FA8">
        <w:rPr>
          <w:rFonts w:ascii="Arial" w:eastAsia="Arial" w:hAnsi="Arial" w:cs="Arial"/>
          <w:b/>
          <w:bCs/>
          <w:snapToGrid/>
          <w:sz w:val="22"/>
          <w:szCs w:val="22"/>
        </w:rPr>
        <w:t xml:space="preserve"> recommended</w:t>
      </w:r>
      <w:r w:rsidRPr="00F22FA8">
        <w:rPr>
          <w:rFonts w:ascii="Arial" w:eastAsia="Arial" w:hAnsi="Arial" w:cs="Arial"/>
          <w:snapToGrid/>
          <w:sz w:val="22"/>
          <w:szCs w:val="22"/>
        </w:rPr>
        <w:t xml:space="preserve"> the secretariat to prepare an IOC Technical Series document on the Methodology for Estimating Eligibility for TRR and assessment of tsunami risk at community </w:t>
      </w:r>
      <w:proofErr w:type="gramStart"/>
      <w:r w:rsidRPr="00F22FA8">
        <w:rPr>
          <w:rFonts w:ascii="Arial" w:eastAsia="Arial" w:hAnsi="Arial" w:cs="Arial"/>
          <w:snapToGrid/>
          <w:sz w:val="22"/>
          <w:szCs w:val="22"/>
        </w:rPr>
        <w:t>level;</w:t>
      </w:r>
      <w:proofErr w:type="gramEnd"/>
    </w:p>
    <w:p w14:paraId="3D2193C8" w14:textId="77777777" w:rsidR="00F22FA8" w:rsidRPr="00F22FA8" w:rsidRDefault="00F22FA8" w:rsidP="00F22FA8">
      <w:pPr>
        <w:spacing w:after="240"/>
        <w:jc w:val="both"/>
        <w:rPr>
          <w:rFonts w:ascii="Arial" w:eastAsia="Arial" w:hAnsi="Arial" w:cs="Arial"/>
          <w:snapToGrid/>
          <w:sz w:val="22"/>
          <w:szCs w:val="22"/>
        </w:rPr>
      </w:pPr>
      <w:r w:rsidRPr="00F22FA8">
        <w:rPr>
          <w:rFonts w:ascii="Arial" w:eastAsia="Arial" w:hAnsi="Arial" w:cs="Arial"/>
          <w:b/>
          <w:bCs/>
          <w:snapToGrid/>
          <w:sz w:val="22"/>
          <w:szCs w:val="22"/>
        </w:rPr>
        <w:t>The Group approved</w:t>
      </w:r>
      <w:r w:rsidRPr="00F22FA8">
        <w:rPr>
          <w:rFonts w:ascii="Arial" w:eastAsia="Arial" w:hAnsi="Arial" w:cs="Arial"/>
          <w:snapToGrid/>
          <w:sz w:val="22"/>
          <w:szCs w:val="22"/>
        </w:rPr>
        <w:t xml:space="preserve"> the </w:t>
      </w:r>
      <w:r w:rsidRPr="00F22FA8">
        <w:rPr>
          <w:rFonts w:ascii="Arial" w:eastAsia="Arial" w:hAnsi="Arial" w:cs="Arial"/>
          <w:i/>
          <w:iCs/>
          <w:snapToGrid/>
          <w:sz w:val="22"/>
          <w:szCs w:val="22"/>
        </w:rPr>
        <w:t>Tsunami Ready Toolkit</w:t>
      </w:r>
      <w:r w:rsidRPr="00F22FA8">
        <w:rPr>
          <w:rFonts w:ascii="Arial" w:eastAsia="Arial" w:hAnsi="Arial" w:cs="Arial"/>
          <w:snapToGrid/>
          <w:sz w:val="22"/>
          <w:szCs w:val="22"/>
        </w:rPr>
        <w:t>, including an updated application form, workflow and recognition procedures with sample communication templates, folder and file naming conventions certificate and signage samples, renewal procedures, community definition and guidance, to be finalized by Tsunami Information Centres (TIC) and included as appendices to the UNESCO-IOC Standard Guidelines for the Tsunami Ready Recognition Programme (IOC MG 74) or sharing with the ICGs;</w:t>
      </w:r>
    </w:p>
    <w:p w14:paraId="4C2F4063" w14:textId="77777777" w:rsidR="00F22FA8" w:rsidRPr="00F22FA8" w:rsidRDefault="00F22FA8" w:rsidP="00F22FA8">
      <w:pPr>
        <w:spacing w:after="240"/>
        <w:jc w:val="both"/>
        <w:rPr>
          <w:rFonts w:ascii="Arial" w:eastAsia="Arial" w:hAnsi="Arial" w:cs="Arial"/>
          <w:snapToGrid/>
          <w:sz w:val="22"/>
          <w:szCs w:val="22"/>
        </w:rPr>
      </w:pPr>
      <w:r w:rsidRPr="00F22FA8">
        <w:rPr>
          <w:rFonts w:ascii="Arial" w:eastAsia="Arial" w:hAnsi="Arial" w:cs="Arial"/>
          <w:b/>
          <w:bCs/>
          <w:snapToGrid/>
          <w:sz w:val="22"/>
          <w:szCs w:val="22"/>
        </w:rPr>
        <w:t>The Group requested</w:t>
      </w:r>
      <w:r w:rsidRPr="00F22FA8">
        <w:rPr>
          <w:rFonts w:ascii="Arial" w:eastAsia="Arial" w:hAnsi="Arial" w:cs="Arial"/>
          <w:snapToGrid/>
          <w:sz w:val="22"/>
          <w:szCs w:val="22"/>
        </w:rPr>
        <w:t xml:space="preserve"> that Tsunami Information Centres (TIC) continue developing additional tools for the Tsunami Ready Toolkit, including:</w:t>
      </w:r>
    </w:p>
    <w:p w14:paraId="4BC602E9" w14:textId="77777777" w:rsidR="00F22FA8" w:rsidRPr="00F22FA8" w:rsidRDefault="00F22FA8" w:rsidP="00F22FA8">
      <w:pPr>
        <w:numPr>
          <w:ilvl w:val="0"/>
          <w:numId w:val="182"/>
        </w:numPr>
        <w:tabs>
          <w:tab w:val="clear" w:pos="709"/>
        </w:tabs>
        <w:snapToGrid/>
        <w:spacing w:after="240" w:line="259" w:lineRule="auto"/>
        <w:contextualSpacing/>
        <w:jc w:val="both"/>
        <w:rPr>
          <w:rFonts w:ascii="Arial" w:eastAsia="Arial" w:hAnsi="Arial" w:cs="Arial"/>
          <w:snapToGrid/>
          <w:sz w:val="22"/>
          <w:szCs w:val="22"/>
        </w:rPr>
      </w:pPr>
      <w:r w:rsidRPr="00F22FA8">
        <w:rPr>
          <w:rFonts w:ascii="Arial" w:eastAsia="Arial" w:hAnsi="Arial" w:cs="Arial"/>
          <w:snapToGrid/>
          <w:sz w:val="22"/>
          <w:szCs w:val="22"/>
        </w:rPr>
        <w:t>Application Form in official UN languages</w:t>
      </w:r>
    </w:p>
    <w:p w14:paraId="066A8289" w14:textId="77777777" w:rsidR="00F22FA8" w:rsidRPr="00F22FA8" w:rsidRDefault="00F22FA8" w:rsidP="00F22FA8">
      <w:pPr>
        <w:numPr>
          <w:ilvl w:val="0"/>
          <w:numId w:val="182"/>
        </w:numPr>
        <w:tabs>
          <w:tab w:val="clear" w:pos="709"/>
        </w:tabs>
        <w:snapToGrid/>
        <w:spacing w:after="240" w:line="259" w:lineRule="auto"/>
        <w:contextualSpacing/>
        <w:jc w:val="both"/>
        <w:rPr>
          <w:rFonts w:ascii="Arial" w:eastAsia="Arial" w:hAnsi="Arial" w:cs="Arial"/>
          <w:snapToGrid/>
          <w:sz w:val="22"/>
          <w:szCs w:val="22"/>
        </w:rPr>
      </w:pPr>
      <w:r w:rsidRPr="00F22FA8">
        <w:rPr>
          <w:rFonts w:ascii="Arial" w:eastAsia="Arial" w:hAnsi="Arial" w:cs="Arial"/>
          <w:snapToGrid/>
          <w:sz w:val="22"/>
          <w:szCs w:val="22"/>
        </w:rPr>
        <w:t>More efficient submission procedures</w:t>
      </w:r>
    </w:p>
    <w:p w14:paraId="3F1E65BC" w14:textId="77777777" w:rsidR="00F22FA8" w:rsidRPr="00F22FA8" w:rsidRDefault="00F22FA8" w:rsidP="00F22FA8">
      <w:pPr>
        <w:numPr>
          <w:ilvl w:val="0"/>
          <w:numId w:val="182"/>
        </w:numPr>
        <w:tabs>
          <w:tab w:val="clear" w:pos="709"/>
        </w:tabs>
        <w:snapToGrid/>
        <w:spacing w:after="240" w:line="259" w:lineRule="auto"/>
        <w:contextualSpacing/>
        <w:jc w:val="both"/>
        <w:rPr>
          <w:rFonts w:ascii="Arial" w:eastAsia="Arial" w:hAnsi="Arial" w:cs="Arial"/>
          <w:snapToGrid/>
          <w:sz w:val="22"/>
          <w:szCs w:val="22"/>
        </w:rPr>
      </w:pPr>
      <w:r w:rsidRPr="00F22FA8">
        <w:rPr>
          <w:rFonts w:ascii="Arial" w:eastAsia="Arial" w:hAnsi="Arial" w:cs="Arial"/>
          <w:snapToGrid/>
          <w:sz w:val="22"/>
          <w:szCs w:val="22"/>
        </w:rPr>
        <w:t>Tsunami Ready Training providing detailed implementation guidance</w:t>
      </w:r>
    </w:p>
    <w:p w14:paraId="0C31BE55" w14:textId="77777777" w:rsidR="00F22FA8" w:rsidRPr="00F22FA8" w:rsidRDefault="00F22FA8" w:rsidP="00F22FA8">
      <w:pPr>
        <w:spacing w:after="240"/>
        <w:jc w:val="both"/>
        <w:rPr>
          <w:rFonts w:ascii="Arial" w:hAnsi="Arial" w:cs="Arial"/>
          <w:bCs/>
          <w:sz w:val="22"/>
          <w:szCs w:val="22"/>
          <w:lang w:val="en-US"/>
        </w:rPr>
      </w:pPr>
      <w:r w:rsidRPr="00F22FA8">
        <w:rPr>
          <w:rFonts w:ascii="Arial" w:eastAsia="Arial" w:hAnsi="Arial" w:cs="Arial"/>
          <w:b/>
          <w:bCs/>
          <w:snapToGrid/>
          <w:sz w:val="22"/>
          <w:szCs w:val="22"/>
        </w:rPr>
        <w:t xml:space="preserve">The Group accepted  </w:t>
      </w:r>
      <w:r w:rsidRPr="00F22FA8">
        <w:rPr>
          <w:rFonts w:ascii="Arial" w:eastAsia="Arial" w:hAnsi="Arial" w:cs="Arial"/>
          <w:snapToGrid/>
          <w:sz w:val="22"/>
          <w:szCs w:val="22"/>
        </w:rPr>
        <w:t>the invitation by UNDRR to</w:t>
      </w:r>
      <w:r w:rsidRPr="00F22FA8">
        <w:rPr>
          <w:rFonts w:ascii="Arial" w:eastAsia="Arial" w:hAnsi="Arial" w:cs="Arial"/>
          <w:b/>
          <w:bCs/>
          <w:snapToGrid/>
          <w:sz w:val="22"/>
          <w:szCs w:val="22"/>
        </w:rPr>
        <w:t xml:space="preserve"> </w:t>
      </w:r>
      <w:r w:rsidRPr="00F22FA8">
        <w:rPr>
          <w:rFonts w:ascii="Arial" w:eastAsia="Arial" w:hAnsi="Arial" w:cs="Arial"/>
          <w:snapToGrid/>
          <w:sz w:val="22"/>
          <w:szCs w:val="22"/>
        </w:rPr>
        <w:t>co-develop the  World Tsunami Awareness Day 2025 Theme connecting the Tsunami Ready Recognition Programme, the Making Cities Resilient Program and</w:t>
      </w:r>
      <w:r w:rsidRPr="00F22FA8">
        <w:rPr>
          <w:rFonts w:ascii="Arial" w:eastAsia="Arial" w:hAnsi="Arial" w:cs="Arial"/>
          <w:b/>
          <w:bCs/>
          <w:snapToGrid/>
          <w:sz w:val="22"/>
          <w:szCs w:val="22"/>
        </w:rPr>
        <w:t xml:space="preserve"> </w:t>
      </w:r>
      <w:r w:rsidRPr="00F22FA8">
        <w:rPr>
          <w:rFonts w:ascii="Arial" w:hAnsi="Arial" w:cs="Arial"/>
          <w:bCs/>
          <w:sz w:val="22"/>
          <w:szCs w:val="22"/>
          <w:lang w:val="en-US"/>
        </w:rPr>
        <w:t xml:space="preserve">the </w:t>
      </w:r>
      <w:hyperlink r:id="rId60" w:history="1">
        <w:r w:rsidRPr="00F22FA8">
          <w:rPr>
            <w:rFonts w:ascii="Arial" w:hAnsi="Arial" w:cs="Arial"/>
            <w:bCs/>
            <w:color w:val="0000FF"/>
            <w:sz w:val="22"/>
            <w:szCs w:val="22"/>
            <w:u w:val="single"/>
            <w:lang w:val="en-US"/>
          </w:rPr>
          <w:t>#GetToHighGround</w:t>
        </w:r>
      </w:hyperlink>
      <w:r w:rsidRPr="00F22FA8">
        <w:rPr>
          <w:rFonts w:ascii="Arial" w:hAnsi="Arial" w:cs="Arial"/>
          <w:bCs/>
          <w:sz w:val="22"/>
          <w:szCs w:val="22"/>
          <w:lang w:val="en-US"/>
        </w:rPr>
        <w:t xml:space="preserve"> and </w:t>
      </w:r>
      <w:r w:rsidRPr="00F22FA8">
        <w:rPr>
          <w:rFonts w:ascii="Arial" w:hAnsi="Arial" w:cs="Arial"/>
          <w:bCs/>
          <w:color w:val="0000FF"/>
          <w:sz w:val="22"/>
          <w:szCs w:val="22"/>
          <w:lang w:val="en-US"/>
        </w:rPr>
        <w:t>#TsunamiReady</w:t>
      </w:r>
      <w:r w:rsidRPr="00F22FA8">
        <w:rPr>
          <w:rFonts w:ascii="Arial" w:hAnsi="Arial" w:cs="Arial"/>
          <w:bCs/>
          <w:sz w:val="22"/>
          <w:szCs w:val="22"/>
          <w:lang w:val="en-US"/>
        </w:rPr>
        <w:t xml:space="preserve"> hashtags to engage citizens on tsunami awareness;</w:t>
      </w:r>
    </w:p>
    <w:p w14:paraId="6B5F7EF8"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bCs/>
          <w:snapToGrid/>
          <w:sz w:val="22"/>
          <w:szCs w:val="22"/>
        </w:rPr>
        <w:t xml:space="preserve">The Group </w:t>
      </w:r>
      <w:r w:rsidRPr="00F22FA8">
        <w:rPr>
          <w:rFonts w:ascii="Arial" w:eastAsia="Arial" w:hAnsi="Arial" w:cs="Arial"/>
          <w:b/>
          <w:bCs/>
          <w:sz w:val="22"/>
          <w:szCs w:val="22"/>
        </w:rPr>
        <w:t>appreciated</w:t>
      </w:r>
      <w:r w:rsidRPr="00F22FA8">
        <w:rPr>
          <w:rFonts w:ascii="Arial" w:eastAsia="Arial" w:hAnsi="Arial" w:cs="Arial"/>
          <w:sz w:val="22"/>
          <w:szCs w:val="22"/>
        </w:rPr>
        <w:t xml:space="preserve"> the development of Inclusive SOP and Inclusive Warning Tools for disabled children in Indonesia and the Caribbean, r</w:t>
      </w:r>
      <w:r w:rsidRPr="00F22FA8">
        <w:rPr>
          <w:rFonts w:ascii="Arial" w:eastAsia="Arial" w:hAnsi="Arial" w:cs="Arial"/>
          <w:b/>
          <w:bCs/>
          <w:sz w:val="22"/>
          <w:szCs w:val="22"/>
        </w:rPr>
        <w:t>ecommended</w:t>
      </w:r>
      <w:r w:rsidRPr="00F22FA8">
        <w:rPr>
          <w:rFonts w:ascii="Arial" w:eastAsia="Arial" w:hAnsi="Arial" w:cs="Arial"/>
          <w:sz w:val="22"/>
          <w:szCs w:val="22"/>
        </w:rPr>
        <w:t xml:space="preserve"> the Indonesian inclusive SOPs to be translated to English and </w:t>
      </w:r>
      <w:r w:rsidRPr="00F22FA8">
        <w:rPr>
          <w:rFonts w:ascii="Arial" w:eastAsia="Arial" w:hAnsi="Arial" w:cs="Arial"/>
          <w:b/>
          <w:bCs/>
          <w:sz w:val="22"/>
          <w:szCs w:val="22"/>
        </w:rPr>
        <w:t xml:space="preserve">encouraged </w:t>
      </w:r>
      <w:r w:rsidRPr="00F22FA8">
        <w:rPr>
          <w:rFonts w:ascii="Arial" w:eastAsia="Arial" w:hAnsi="Arial" w:cs="Arial"/>
          <w:sz w:val="22"/>
          <w:szCs w:val="22"/>
        </w:rPr>
        <w:t>further development of inclusive SOP as official guidelines of UNESCO IOC.</w:t>
      </w:r>
    </w:p>
    <w:p w14:paraId="4996E3DC" w14:textId="77777777" w:rsidR="00F22FA8" w:rsidRPr="00F22FA8" w:rsidRDefault="00F22FA8" w:rsidP="00F22FA8">
      <w:pPr>
        <w:tabs>
          <w:tab w:val="clear" w:pos="709"/>
        </w:tabs>
        <w:snapToGrid/>
        <w:spacing w:after="240" w:line="259" w:lineRule="auto"/>
        <w:jc w:val="both"/>
        <w:rPr>
          <w:rFonts w:ascii="Arial" w:eastAsia="DengXian" w:hAnsi="Arial" w:cs="Arial"/>
          <w:snapToGrid/>
          <w:sz w:val="22"/>
          <w:szCs w:val="22"/>
          <w:lang w:val="en-US"/>
        </w:rPr>
      </w:pPr>
      <w:r w:rsidRPr="00F22FA8">
        <w:rPr>
          <w:rFonts w:ascii="Arial" w:eastAsia="Arial" w:hAnsi="Arial" w:cs="Arial"/>
          <w:b/>
          <w:bCs/>
          <w:snapToGrid/>
          <w:sz w:val="22"/>
          <w:szCs w:val="22"/>
        </w:rPr>
        <w:lastRenderedPageBreak/>
        <w:t>The group noted</w:t>
      </w:r>
      <w:r w:rsidRPr="00F22FA8">
        <w:rPr>
          <w:rFonts w:ascii="Arial" w:eastAsia="Arial" w:hAnsi="Arial" w:cs="Arial"/>
          <w:snapToGrid/>
          <w:sz w:val="22"/>
          <w:szCs w:val="22"/>
        </w:rPr>
        <w:t xml:space="preserve"> the revisions on the T</w:t>
      </w:r>
      <w:r w:rsidRPr="00F22FA8">
        <w:rPr>
          <w:rFonts w:ascii="Arial" w:eastAsia="Arial" w:hAnsi="Arial" w:cs="Arial"/>
          <w:i/>
          <w:iCs/>
          <w:snapToGrid/>
          <w:sz w:val="22"/>
          <w:szCs w:val="22"/>
        </w:rPr>
        <w:t>sunami Watch Operations. Global Service Definition Document</w:t>
      </w:r>
      <w:r w:rsidRPr="00F22FA8">
        <w:rPr>
          <w:rFonts w:ascii="Arial" w:eastAsia="Arial" w:hAnsi="Arial" w:cs="Arial"/>
          <w:snapToGrid/>
          <w:sz w:val="22"/>
          <w:szCs w:val="22"/>
        </w:rPr>
        <w:t xml:space="preserve">. </w:t>
      </w:r>
      <w:hyperlink r:id="rId61" w:history="1">
        <w:r w:rsidRPr="00F22FA8">
          <w:rPr>
            <w:rFonts w:ascii="Arial" w:eastAsia="Arial" w:hAnsi="Arial" w:cs="Arial"/>
            <w:snapToGrid/>
            <w:color w:val="0000FF"/>
            <w:sz w:val="22"/>
            <w:szCs w:val="22"/>
            <w:u w:val="single"/>
          </w:rPr>
          <w:t>IOC Technical Series No. 130</w:t>
        </w:r>
      </w:hyperlink>
      <w:r w:rsidRPr="00F22FA8">
        <w:rPr>
          <w:rFonts w:ascii="Arial" w:eastAsia="Arial" w:hAnsi="Arial" w:cs="Arial"/>
          <w:snapToGrid/>
          <w:sz w:val="22"/>
          <w:szCs w:val="22"/>
        </w:rPr>
        <w:t>. Paris: UNESCO. (English) and endorsed the publication of a revised version of the IOC Technical Series No 130, with the updates suggested by the TT-</w:t>
      </w:r>
      <w:proofErr w:type="gramStart"/>
      <w:r w:rsidRPr="00F22FA8">
        <w:rPr>
          <w:rFonts w:ascii="Arial" w:eastAsia="Arial" w:hAnsi="Arial" w:cs="Arial"/>
          <w:snapToGrid/>
          <w:sz w:val="22"/>
          <w:szCs w:val="22"/>
        </w:rPr>
        <w:t>TWO;</w:t>
      </w:r>
      <w:proofErr w:type="gramEnd"/>
    </w:p>
    <w:p w14:paraId="3CB03AD3" w14:textId="77777777" w:rsidR="00F22FA8" w:rsidRPr="00F22FA8" w:rsidRDefault="00F22FA8" w:rsidP="00F22FA8">
      <w:pPr>
        <w:spacing w:after="240"/>
        <w:jc w:val="both"/>
        <w:rPr>
          <w:rFonts w:ascii="Arial" w:hAnsi="Arial" w:cs="Arial"/>
          <w:sz w:val="22"/>
          <w:szCs w:val="22"/>
        </w:rPr>
      </w:pPr>
      <w:r w:rsidRPr="00F22FA8">
        <w:rPr>
          <w:rFonts w:ascii="Arial" w:hAnsi="Arial" w:cs="Arial"/>
          <w:b/>
          <w:bCs/>
          <w:sz w:val="22"/>
          <w:szCs w:val="22"/>
        </w:rPr>
        <w:t>The group expressed its strong appreciation</w:t>
      </w:r>
      <w:r w:rsidRPr="00F22FA8">
        <w:rPr>
          <w:rFonts w:ascii="Arial" w:hAnsi="Arial" w:cs="Arial"/>
          <w:sz w:val="22"/>
          <w:szCs w:val="22"/>
        </w:rPr>
        <w:t xml:space="preserve"> to the Government of Indonesia for having successfully co-hosted and organised the 2nd UNESCO-IOC Global Tsunami Symposium on Two Decades After 2004 Indian Ocean Tsunami: Reflection and Way Forward, Banda Aceh, 11–14 November </w:t>
      </w:r>
      <w:proofErr w:type="gramStart"/>
      <w:r w:rsidRPr="00F22FA8">
        <w:rPr>
          <w:rFonts w:ascii="Arial" w:hAnsi="Arial" w:cs="Arial"/>
          <w:sz w:val="22"/>
          <w:szCs w:val="22"/>
        </w:rPr>
        <w:t>2024;</w:t>
      </w:r>
      <w:proofErr w:type="gramEnd"/>
    </w:p>
    <w:p w14:paraId="4FCD8A91" w14:textId="77777777" w:rsidR="00F22FA8" w:rsidRPr="00F22FA8" w:rsidRDefault="00F22FA8" w:rsidP="00F22FA8">
      <w:pPr>
        <w:spacing w:after="240"/>
        <w:jc w:val="both"/>
        <w:rPr>
          <w:rFonts w:ascii="Arial" w:hAnsi="Arial" w:cs="Arial"/>
          <w:sz w:val="22"/>
          <w:szCs w:val="22"/>
        </w:rPr>
      </w:pPr>
      <w:r w:rsidRPr="00F22FA8">
        <w:rPr>
          <w:rFonts w:ascii="Arial" w:eastAsia="Times New Roman" w:hAnsi="Arial" w:cs="Arial"/>
          <w:b/>
          <w:bCs/>
          <w:snapToGrid/>
          <w:sz w:val="22"/>
          <w:szCs w:val="22"/>
          <w:lang w:val="en-US"/>
        </w:rPr>
        <w:t>The Group appreciated</w:t>
      </w:r>
      <w:r w:rsidRPr="00F22FA8">
        <w:rPr>
          <w:rFonts w:ascii="Arial" w:hAnsi="Arial" w:cs="Arial"/>
          <w:b/>
          <w:bCs/>
          <w:sz w:val="22"/>
          <w:szCs w:val="22"/>
        </w:rPr>
        <w:t xml:space="preserve"> and thanked</w:t>
      </w:r>
      <w:r w:rsidRPr="00F22FA8">
        <w:rPr>
          <w:rFonts w:ascii="Arial" w:hAnsi="Arial" w:cs="Arial"/>
          <w:sz w:val="22"/>
          <w:szCs w:val="22"/>
        </w:rPr>
        <w:t xml:space="preserve"> Prof. Harkunti Pertiwi Rahayu, Research Center for Disaster Mitigation, Institute of Technology Bandung, Indonesia, for her outstanding leadership in coordinating and organizing the 2nd UNESCO-IOC Global Tsunami </w:t>
      </w:r>
      <w:proofErr w:type="gramStart"/>
      <w:r w:rsidRPr="00F22FA8">
        <w:rPr>
          <w:rFonts w:ascii="Arial" w:hAnsi="Arial" w:cs="Arial"/>
          <w:sz w:val="22"/>
          <w:szCs w:val="22"/>
        </w:rPr>
        <w:t>Symposium;</w:t>
      </w:r>
      <w:proofErr w:type="gramEnd"/>
    </w:p>
    <w:p w14:paraId="1B49B552" w14:textId="77777777" w:rsidR="00F22FA8" w:rsidRPr="00F22FA8" w:rsidRDefault="00F22FA8" w:rsidP="00F22FA8">
      <w:pPr>
        <w:spacing w:after="240"/>
        <w:jc w:val="both"/>
        <w:rPr>
          <w:rFonts w:ascii="Arial" w:hAnsi="Arial" w:cs="Arial"/>
          <w:sz w:val="22"/>
          <w:szCs w:val="22"/>
        </w:rPr>
      </w:pPr>
    </w:p>
    <w:p w14:paraId="75BDB9B1" w14:textId="77777777" w:rsidR="00F22FA8" w:rsidRPr="00F22FA8" w:rsidRDefault="00F22FA8" w:rsidP="00F22FA8">
      <w:pPr>
        <w:spacing w:after="240"/>
        <w:jc w:val="both"/>
        <w:rPr>
          <w:rFonts w:ascii="Arial" w:eastAsia="Arial" w:hAnsi="Arial" w:cs="Arial"/>
          <w:b/>
          <w:sz w:val="22"/>
          <w:szCs w:val="22"/>
        </w:rPr>
      </w:pPr>
      <w:r w:rsidRPr="00F22FA8">
        <w:rPr>
          <w:rFonts w:ascii="Arial" w:eastAsia="Arial" w:hAnsi="Arial" w:cs="Arial"/>
          <w:b/>
          <w:sz w:val="22"/>
          <w:szCs w:val="22"/>
          <w:lang w:val="en-US"/>
        </w:rPr>
        <w:t xml:space="preserve">The Group appreciated </w:t>
      </w:r>
      <w:r w:rsidRPr="00F22FA8">
        <w:rPr>
          <w:rFonts w:ascii="Arial" w:eastAsia="Arial" w:hAnsi="Arial" w:cs="Arial"/>
          <w:snapToGrid/>
          <w:sz w:val="22"/>
          <w:szCs w:val="22"/>
        </w:rPr>
        <w:t xml:space="preserve">the contribution of United States COMET Program to develop </w:t>
      </w:r>
      <w:proofErr w:type="spellStart"/>
      <w:r w:rsidRPr="00F22FA8">
        <w:rPr>
          <w:rFonts w:ascii="Arial" w:eastAsia="Arial" w:hAnsi="Arial" w:cs="Arial"/>
          <w:snapToGrid/>
          <w:sz w:val="22"/>
          <w:szCs w:val="22"/>
        </w:rPr>
        <w:t>MetED</w:t>
      </w:r>
      <w:proofErr w:type="spellEnd"/>
      <w:r w:rsidRPr="00F22FA8">
        <w:rPr>
          <w:rFonts w:ascii="Arial" w:eastAsia="Arial" w:hAnsi="Arial" w:cs="Arial"/>
          <w:snapToGrid/>
          <w:sz w:val="22"/>
          <w:szCs w:val="22"/>
        </w:rPr>
        <w:t xml:space="preserve"> training modules for the Tsunami Warning Center Minimum Staff Competencies Training Course, including ongoing work on updating the COMET “Tsunamis” and ‘Communicating and Understanding Tsunami Risks using IOC PTWS Tsunami Service Provider Products” </w:t>
      </w:r>
      <w:proofErr w:type="gramStart"/>
      <w:r w:rsidRPr="00F22FA8">
        <w:rPr>
          <w:rFonts w:ascii="Arial" w:eastAsia="Arial" w:hAnsi="Arial" w:cs="Arial"/>
          <w:snapToGrid/>
          <w:sz w:val="22"/>
          <w:szCs w:val="22"/>
        </w:rPr>
        <w:t>module</w:t>
      </w:r>
      <w:r w:rsidRPr="00F22FA8">
        <w:rPr>
          <w:rFonts w:ascii="Arial" w:eastAsia="Arial" w:hAnsi="Arial" w:cs="Arial"/>
          <w:b/>
          <w:sz w:val="22"/>
          <w:szCs w:val="22"/>
        </w:rPr>
        <w:t>;</w:t>
      </w:r>
      <w:proofErr w:type="gramEnd"/>
    </w:p>
    <w:p w14:paraId="0A89B044"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bCs/>
          <w:sz w:val="22"/>
          <w:szCs w:val="22"/>
        </w:rPr>
        <w:t>The Group</w:t>
      </w:r>
      <w:r w:rsidRPr="00F22FA8">
        <w:rPr>
          <w:rFonts w:ascii="Arial" w:eastAsia="Arial" w:hAnsi="Arial" w:cs="Arial"/>
          <w:sz w:val="22"/>
          <w:szCs w:val="22"/>
        </w:rPr>
        <w:t xml:space="preserve"> </w:t>
      </w:r>
      <w:r w:rsidRPr="00F22FA8">
        <w:rPr>
          <w:rFonts w:ascii="Arial" w:eastAsia="Arial" w:hAnsi="Arial" w:cs="Arial"/>
          <w:b/>
          <w:sz w:val="22"/>
          <w:szCs w:val="22"/>
        </w:rPr>
        <w:t xml:space="preserve">instructed </w:t>
      </w:r>
      <w:r w:rsidRPr="00F22FA8">
        <w:rPr>
          <w:rFonts w:ascii="Arial" w:eastAsia="Arial" w:hAnsi="Arial" w:cs="Arial"/>
          <w:bCs/>
          <w:sz w:val="22"/>
          <w:szCs w:val="22"/>
        </w:rPr>
        <w:t>bot</w:t>
      </w:r>
      <w:r w:rsidRPr="00F22FA8">
        <w:rPr>
          <w:rFonts w:ascii="Arial" w:eastAsia="Arial" w:hAnsi="Arial" w:cs="Arial"/>
          <w:sz w:val="22"/>
          <w:szCs w:val="22"/>
        </w:rPr>
        <w:t xml:space="preserve">h TOWS-WG Task Teams to develop a standard reporting template for all ICGs, providing granularity on the number of participants to Wave Exercises with respect to the type of activity they participated during an exercise, which would allow inter-ICG </w:t>
      </w:r>
      <w:proofErr w:type="gramStart"/>
      <w:r w:rsidRPr="00F22FA8">
        <w:rPr>
          <w:rFonts w:ascii="Arial" w:eastAsia="Arial" w:hAnsi="Arial" w:cs="Arial"/>
          <w:sz w:val="22"/>
          <w:szCs w:val="22"/>
        </w:rPr>
        <w:t>comparison;</w:t>
      </w:r>
      <w:proofErr w:type="gramEnd"/>
    </w:p>
    <w:p w14:paraId="5F3BE902"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bCs/>
          <w:sz w:val="22"/>
          <w:szCs w:val="22"/>
        </w:rPr>
        <w:t xml:space="preserve">The Group further instructed </w:t>
      </w:r>
      <w:r w:rsidRPr="00F22FA8">
        <w:rPr>
          <w:rFonts w:ascii="Arial" w:eastAsia="Arial" w:hAnsi="Arial" w:cs="Arial"/>
          <w:sz w:val="22"/>
          <w:szCs w:val="22"/>
        </w:rPr>
        <w:t xml:space="preserve">both TOWS-WG Task Teams to review the IOC Tsunami Post-Event Assessment process and questionnaire (IOC/TOWS-WG-VIII/3, APPENDIX V, Morioka, Japan, 12–13 March 2015) considering its use in the past decade, and consideration of other post-event processes undertaken for smaller events that did not meet the post-event assessment </w:t>
      </w:r>
      <w:proofErr w:type="gramStart"/>
      <w:r w:rsidRPr="00F22FA8">
        <w:rPr>
          <w:rFonts w:ascii="Arial" w:eastAsia="Arial" w:hAnsi="Arial" w:cs="Arial"/>
          <w:sz w:val="22"/>
          <w:szCs w:val="22"/>
        </w:rPr>
        <w:t>threshold;</w:t>
      </w:r>
      <w:proofErr w:type="gramEnd"/>
    </w:p>
    <w:p w14:paraId="1866D66F"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bCs/>
          <w:sz w:val="22"/>
          <w:szCs w:val="22"/>
        </w:rPr>
        <w:t>The Group recalled</w:t>
      </w:r>
      <w:r w:rsidRPr="00F22FA8">
        <w:rPr>
          <w:rFonts w:ascii="Arial" w:eastAsia="Arial" w:hAnsi="Arial" w:cs="Arial"/>
          <w:sz w:val="22"/>
          <w:szCs w:val="22"/>
        </w:rPr>
        <w:t xml:space="preserve"> that the Common Alerting Protocol (CAP) is the international standard format for emergency alerting and public warning, designed for all hazards, which can be used for exchanging multi-hazard emergency alerts and public warnings over all kinds of information and communications </w:t>
      </w:r>
      <w:proofErr w:type="gramStart"/>
      <w:r w:rsidRPr="00F22FA8">
        <w:rPr>
          <w:rFonts w:ascii="Arial" w:eastAsia="Arial" w:hAnsi="Arial" w:cs="Arial"/>
          <w:sz w:val="22"/>
          <w:szCs w:val="22"/>
        </w:rPr>
        <w:t>technology;</w:t>
      </w:r>
      <w:proofErr w:type="gramEnd"/>
    </w:p>
    <w:p w14:paraId="3C3D1899"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bCs/>
          <w:sz w:val="22"/>
          <w:szCs w:val="22"/>
        </w:rPr>
        <w:t>The Group also noted</w:t>
      </w:r>
      <w:r w:rsidRPr="00F22FA8">
        <w:rPr>
          <w:rFonts w:ascii="Arial" w:eastAsia="Arial" w:hAnsi="Arial" w:cs="Arial"/>
          <w:sz w:val="22"/>
          <w:szCs w:val="22"/>
        </w:rPr>
        <w:t xml:space="preserve"> that CAP is now widely used in EWS and 91% of the world’s population lives in a country that is implementing </w:t>
      </w:r>
      <w:proofErr w:type="gramStart"/>
      <w:r w:rsidRPr="00F22FA8">
        <w:rPr>
          <w:rFonts w:ascii="Arial" w:eastAsia="Arial" w:hAnsi="Arial" w:cs="Arial"/>
          <w:sz w:val="22"/>
          <w:szCs w:val="22"/>
        </w:rPr>
        <w:t>CAP;</w:t>
      </w:r>
      <w:proofErr w:type="gramEnd"/>
      <w:r w:rsidRPr="00F22FA8">
        <w:rPr>
          <w:rFonts w:ascii="Arial" w:eastAsia="Arial" w:hAnsi="Arial" w:cs="Arial"/>
          <w:sz w:val="22"/>
          <w:szCs w:val="22"/>
        </w:rPr>
        <w:t xml:space="preserve"> </w:t>
      </w:r>
    </w:p>
    <w:p w14:paraId="0EE568DF"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bCs/>
          <w:sz w:val="22"/>
          <w:szCs w:val="22"/>
        </w:rPr>
        <w:t>The Group recognized</w:t>
      </w:r>
      <w:r w:rsidRPr="00F22FA8">
        <w:rPr>
          <w:rFonts w:ascii="Arial" w:eastAsia="Arial" w:hAnsi="Arial" w:cs="Arial"/>
          <w:sz w:val="22"/>
          <w:szCs w:val="22"/>
        </w:rPr>
        <w:t xml:space="preserve"> that the advancement of CAP implementation globally represents a significant milestone in the Early Warnings for All (EW4All) initiative, and the fact that CAP can be considered as the bridge connecting “observations, monitoring, analysis and forecasting” to “warning dissemination and communication”, and that WMO is able to provide any assistance that may be required in this </w:t>
      </w:r>
      <w:proofErr w:type="gramStart"/>
      <w:r w:rsidRPr="00F22FA8">
        <w:rPr>
          <w:rFonts w:ascii="Arial" w:eastAsia="Arial" w:hAnsi="Arial" w:cs="Arial"/>
          <w:sz w:val="22"/>
          <w:szCs w:val="22"/>
        </w:rPr>
        <w:t>regard;</w:t>
      </w:r>
      <w:proofErr w:type="gramEnd"/>
    </w:p>
    <w:p w14:paraId="11F4EAD6"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bCs/>
          <w:sz w:val="22"/>
          <w:szCs w:val="22"/>
        </w:rPr>
        <w:t>The Group further instructed</w:t>
      </w:r>
      <w:r w:rsidRPr="00F22FA8">
        <w:rPr>
          <w:rFonts w:ascii="Arial" w:eastAsia="Arial" w:hAnsi="Arial" w:cs="Arial"/>
          <w:sz w:val="22"/>
          <w:szCs w:val="22"/>
        </w:rPr>
        <w:t xml:space="preserve"> the TT-DMP to:</w:t>
      </w:r>
    </w:p>
    <w:p w14:paraId="7BE1D394" w14:textId="77777777" w:rsidR="00F22FA8" w:rsidRPr="00F22FA8" w:rsidRDefault="00F22FA8" w:rsidP="00F22FA8">
      <w:pPr>
        <w:numPr>
          <w:ilvl w:val="0"/>
          <w:numId w:val="56"/>
        </w:numPr>
        <w:tabs>
          <w:tab w:val="clear" w:pos="709"/>
        </w:tabs>
        <w:snapToGrid/>
        <w:spacing w:after="240" w:line="259" w:lineRule="auto"/>
        <w:jc w:val="both"/>
        <w:rPr>
          <w:rFonts w:ascii="Arial" w:eastAsia="Arial" w:hAnsi="Arial" w:cs="Arial"/>
          <w:sz w:val="22"/>
          <w:szCs w:val="22"/>
        </w:rPr>
      </w:pPr>
      <w:r w:rsidRPr="00F22FA8">
        <w:rPr>
          <w:rFonts w:ascii="Arial" w:eastAsia="Times New Roman" w:hAnsi="Arial" w:cs="Arial"/>
          <w:snapToGrid/>
          <w:sz w:val="22"/>
          <w:szCs w:val="22"/>
          <w:lang w:val="en-US"/>
        </w:rPr>
        <w:t xml:space="preserve">Prepare a guideline for inclusive Standard Operating Procedures (SOP) building on the development of inclusive SOP and inclusive warning tools for disabled children in Indonesia and the </w:t>
      </w:r>
      <w:proofErr w:type="gramStart"/>
      <w:r w:rsidRPr="00F22FA8">
        <w:rPr>
          <w:rFonts w:ascii="Arial" w:eastAsia="Times New Roman" w:hAnsi="Arial" w:cs="Arial"/>
          <w:snapToGrid/>
          <w:sz w:val="22"/>
          <w:szCs w:val="22"/>
          <w:lang w:val="en-US"/>
        </w:rPr>
        <w:t>Caribbean;</w:t>
      </w:r>
      <w:proofErr w:type="gramEnd"/>
      <w:r w:rsidRPr="00F22FA8">
        <w:rPr>
          <w:rFonts w:ascii="Arial" w:eastAsia="Arial" w:hAnsi="Arial" w:cs="Arial"/>
          <w:sz w:val="22"/>
          <w:szCs w:val="22"/>
        </w:rPr>
        <w:t xml:space="preserve"> </w:t>
      </w:r>
    </w:p>
    <w:p w14:paraId="217ECBAE" w14:textId="77777777" w:rsidR="00F22FA8" w:rsidRPr="00F22FA8" w:rsidRDefault="00F22FA8" w:rsidP="00F22FA8">
      <w:pPr>
        <w:numPr>
          <w:ilvl w:val="0"/>
          <w:numId w:val="56"/>
        </w:numPr>
        <w:tabs>
          <w:tab w:val="clear" w:pos="709"/>
        </w:tabs>
        <w:snapToGrid/>
        <w:spacing w:after="240" w:line="259" w:lineRule="auto"/>
        <w:jc w:val="both"/>
        <w:rPr>
          <w:rFonts w:ascii="Arial" w:eastAsia="Times New Roman" w:hAnsi="Arial" w:cs="Arial"/>
          <w:snapToGrid/>
          <w:sz w:val="22"/>
          <w:szCs w:val="22"/>
          <w:lang w:val="en-US"/>
        </w:rPr>
      </w:pPr>
      <w:r w:rsidRPr="00F22FA8">
        <w:rPr>
          <w:rFonts w:ascii="Arial" w:eastAsia="Times New Roman" w:hAnsi="Arial" w:cs="Arial"/>
          <w:snapToGrid/>
          <w:sz w:val="22"/>
          <w:szCs w:val="22"/>
          <w:lang w:val="en-US"/>
        </w:rPr>
        <w:t xml:space="preserve">to organize a TT DMP meeting ahead of the TOWS TTs and TOWS WG meetings by the end of October 2025 to review actions and define agenda for the February 2026 meeting </w:t>
      </w:r>
      <w:r w:rsidRPr="00F22FA8">
        <w:rPr>
          <w:rFonts w:ascii="Arial" w:eastAsia="Times New Roman" w:hAnsi="Arial" w:cs="Arial"/>
          <w:snapToGrid/>
          <w:sz w:val="22"/>
          <w:szCs w:val="22"/>
          <w:lang w:val="en-US"/>
        </w:rPr>
        <w:lastRenderedPageBreak/>
        <w:t xml:space="preserve">and organize, online or in person meetings to discuss focus topics addressing key agenda </w:t>
      </w:r>
      <w:proofErr w:type="gramStart"/>
      <w:r w:rsidRPr="00F22FA8">
        <w:rPr>
          <w:rFonts w:ascii="Arial" w:eastAsia="Times New Roman" w:hAnsi="Arial" w:cs="Arial"/>
          <w:snapToGrid/>
          <w:sz w:val="22"/>
          <w:szCs w:val="22"/>
          <w:lang w:val="en-US"/>
        </w:rPr>
        <w:t>items;</w:t>
      </w:r>
      <w:proofErr w:type="gramEnd"/>
    </w:p>
    <w:p w14:paraId="18588FE1"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bCs/>
          <w:sz w:val="22"/>
          <w:szCs w:val="22"/>
        </w:rPr>
        <w:t>The Group further instructed</w:t>
      </w:r>
      <w:r w:rsidRPr="00F22FA8">
        <w:rPr>
          <w:rFonts w:ascii="Arial" w:eastAsia="Arial" w:hAnsi="Arial" w:cs="Arial"/>
          <w:sz w:val="22"/>
          <w:szCs w:val="22"/>
        </w:rPr>
        <w:t xml:space="preserve"> the TT-TWO to:</w:t>
      </w:r>
    </w:p>
    <w:p w14:paraId="18947106" w14:textId="77777777" w:rsidR="00F22FA8" w:rsidRPr="00F22FA8" w:rsidRDefault="00F22FA8" w:rsidP="00F22FA8">
      <w:pPr>
        <w:numPr>
          <w:ilvl w:val="0"/>
          <w:numId w:val="57"/>
        </w:numPr>
        <w:tabs>
          <w:tab w:val="clear" w:pos="709"/>
        </w:tabs>
        <w:snapToGrid/>
        <w:spacing w:after="240" w:line="259" w:lineRule="auto"/>
        <w:contextualSpacing/>
        <w:jc w:val="both"/>
        <w:rPr>
          <w:rFonts w:ascii="Arial" w:eastAsia="Arial" w:hAnsi="Arial" w:cs="Arial"/>
          <w:bCs/>
          <w:sz w:val="22"/>
          <w:szCs w:val="22"/>
          <w:lang w:val="en-IN"/>
        </w:rPr>
      </w:pPr>
      <w:r w:rsidRPr="00F22FA8">
        <w:rPr>
          <w:rFonts w:ascii="Arial" w:eastAsia="Arial" w:hAnsi="Arial" w:cs="Arial"/>
          <w:sz w:val="22"/>
          <w:szCs w:val="22"/>
        </w:rPr>
        <w:t xml:space="preserve">include tsunamis generated by the submarine and subaerial landslides in its work programme and engage with the landslide hazard and early-warning scientific and operational community to address the requirements of the first objective of the ODTP to develop the warning systems’ capability to issue actionable and timely tsunami warnings for tsunamis from all identified sources to 100 percent of coasts at </w:t>
      </w:r>
      <w:proofErr w:type="gramStart"/>
      <w:r w:rsidRPr="00F22FA8">
        <w:rPr>
          <w:rFonts w:ascii="Arial" w:eastAsia="Arial" w:hAnsi="Arial" w:cs="Arial"/>
          <w:sz w:val="22"/>
          <w:szCs w:val="22"/>
        </w:rPr>
        <w:t>risk;</w:t>
      </w:r>
      <w:proofErr w:type="gramEnd"/>
    </w:p>
    <w:p w14:paraId="11C0B532" w14:textId="77777777" w:rsidR="00F22FA8" w:rsidRPr="00F22FA8" w:rsidRDefault="00F22FA8" w:rsidP="00F22FA8">
      <w:pPr>
        <w:spacing w:after="240"/>
        <w:ind w:left="360"/>
        <w:contextualSpacing/>
        <w:jc w:val="both"/>
        <w:rPr>
          <w:rFonts w:ascii="Arial" w:eastAsia="Arial" w:hAnsi="Arial" w:cs="Arial"/>
          <w:bCs/>
          <w:sz w:val="22"/>
          <w:szCs w:val="22"/>
          <w:lang w:val="en-IN"/>
        </w:rPr>
      </w:pPr>
    </w:p>
    <w:p w14:paraId="28F3F39E" w14:textId="77777777" w:rsidR="00F22FA8" w:rsidRPr="00F22FA8" w:rsidRDefault="00F22FA8" w:rsidP="00F22FA8">
      <w:pPr>
        <w:numPr>
          <w:ilvl w:val="0"/>
          <w:numId w:val="57"/>
        </w:numPr>
        <w:tabs>
          <w:tab w:val="clear" w:pos="709"/>
        </w:tabs>
        <w:snapToGrid/>
        <w:spacing w:after="240" w:line="259" w:lineRule="auto"/>
        <w:contextualSpacing/>
        <w:jc w:val="both"/>
        <w:rPr>
          <w:rFonts w:ascii="Arial" w:eastAsia="Arial" w:hAnsi="Arial" w:cs="Arial"/>
          <w:bCs/>
          <w:sz w:val="22"/>
          <w:szCs w:val="22"/>
          <w:lang w:val="en-IN"/>
        </w:rPr>
      </w:pPr>
      <w:r w:rsidRPr="00F22FA8">
        <w:rPr>
          <w:rFonts w:ascii="Arial" w:eastAsia="Arial" w:hAnsi="Arial" w:cs="Arial"/>
          <w:bCs/>
          <w:sz w:val="22"/>
          <w:szCs w:val="22"/>
          <w:lang w:val="en-IN"/>
        </w:rPr>
        <w:t xml:space="preserve">investigate the status of the TSP service provisions in in the boundary of IOTWMS and PTWS that are currently outside of the framework of the IOC coordinated tsunami warning </w:t>
      </w:r>
      <w:proofErr w:type="gramStart"/>
      <w:r w:rsidRPr="00F22FA8">
        <w:rPr>
          <w:rFonts w:ascii="Arial" w:eastAsia="Arial" w:hAnsi="Arial" w:cs="Arial"/>
          <w:bCs/>
          <w:sz w:val="22"/>
          <w:szCs w:val="22"/>
          <w:lang w:val="en-IN"/>
        </w:rPr>
        <w:t>systems;</w:t>
      </w:r>
      <w:proofErr w:type="gramEnd"/>
    </w:p>
    <w:p w14:paraId="31D5AD92" w14:textId="77777777" w:rsidR="00F22FA8" w:rsidRPr="00F22FA8" w:rsidRDefault="00F22FA8" w:rsidP="00F22FA8">
      <w:pPr>
        <w:tabs>
          <w:tab w:val="clear" w:pos="709"/>
        </w:tabs>
        <w:snapToGrid/>
        <w:spacing w:after="160" w:line="259" w:lineRule="auto"/>
        <w:ind w:left="720"/>
        <w:contextualSpacing/>
        <w:rPr>
          <w:rFonts w:ascii="Arial" w:eastAsia="Arial" w:hAnsi="Arial" w:cs="Arial"/>
          <w:bCs/>
          <w:sz w:val="22"/>
          <w:szCs w:val="22"/>
          <w:lang w:val="en-IN"/>
        </w:rPr>
      </w:pPr>
    </w:p>
    <w:p w14:paraId="6D708437" w14:textId="77777777" w:rsidR="00F22FA8" w:rsidRPr="00F22FA8" w:rsidRDefault="00F22FA8" w:rsidP="00F22FA8">
      <w:pPr>
        <w:numPr>
          <w:ilvl w:val="0"/>
          <w:numId w:val="57"/>
        </w:numPr>
        <w:tabs>
          <w:tab w:val="clear" w:pos="709"/>
        </w:tabs>
        <w:snapToGrid/>
        <w:spacing w:after="240" w:line="259" w:lineRule="auto"/>
        <w:contextualSpacing/>
        <w:jc w:val="both"/>
        <w:rPr>
          <w:rFonts w:ascii="Arial" w:eastAsia="Arial" w:hAnsi="Arial" w:cs="Arial"/>
          <w:bCs/>
          <w:sz w:val="22"/>
          <w:szCs w:val="22"/>
          <w:lang w:val="en-IN"/>
        </w:rPr>
      </w:pPr>
      <w:r w:rsidRPr="00F22FA8">
        <w:rPr>
          <w:rFonts w:ascii="Arial" w:eastAsia="Arial" w:hAnsi="Arial" w:cs="Arial"/>
          <w:bCs/>
          <w:sz w:val="22"/>
          <w:szCs w:val="22"/>
          <w:lang w:val="en-IN"/>
        </w:rPr>
        <w:t xml:space="preserve">conduct and present to TOWS-WG at its next session the result of a study on which areas met the Ocean Decade Tsunami Programme (ODTP) requirement of tsunami confirmation within 10 minutes or less of origin for the most at-risk coastlines, with reference to the sea-level stations available in the IOC’s Sea Level Station Monitoring </w:t>
      </w:r>
      <w:proofErr w:type="gramStart"/>
      <w:r w:rsidRPr="00F22FA8">
        <w:rPr>
          <w:rFonts w:ascii="Arial" w:eastAsia="Arial" w:hAnsi="Arial" w:cs="Arial"/>
          <w:bCs/>
          <w:sz w:val="22"/>
          <w:szCs w:val="22"/>
          <w:lang w:val="en-IN"/>
        </w:rPr>
        <w:t>Facility;</w:t>
      </w:r>
      <w:proofErr w:type="gramEnd"/>
    </w:p>
    <w:p w14:paraId="108D2B71" w14:textId="77777777" w:rsidR="00F22FA8" w:rsidRPr="00F22FA8" w:rsidRDefault="00F22FA8" w:rsidP="00F22FA8">
      <w:pPr>
        <w:spacing w:after="240"/>
        <w:ind w:left="360"/>
        <w:contextualSpacing/>
        <w:jc w:val="both"/>
        <w:rPr>
          <w:rFonts w:ascii="Arial" w:eastAsia="Arial" w:hAnsi="Arial" w:cs="Arial"/>
          <w:bCs/>
          <w:sz w:val="22"/>
          <w:szCs w:val="22"/>
          <w:lang w:val="en-IN"/>
        </w:rPr>
      </w:pPr>
    </w:p>
    <w:p w14:paraId="12C85277" w14:textId="77777777" w:rsidR="00F22FA8" w:rsidRPr="00F22FA8" w:rsidRDefault="00F22FA8" w:rsidP="00F22FA8">
      <w:pPr>
        <w:numPr>
          <w:ilvl w:val="0"/>
          <w:numId w:val="57"/>
        </w:numPr>
        <w:tabs>
          <w:tab w:val="clear" w:pos="709"/>
        </w:tabs>
        <w:snapToGrid/>
        <w:spacing w:after="240" w:line="259" w:lineRule="auto"/>
        <w:contextualSpacing/>
        <w:jc w:val="both"/>
        <w:rPr>
          <w:rFonts w:ascii="Arial" w:eastAsia="Arial" w:hAnsi="Arial" w:cs="Arial"/>
          <w:bCs/>
          <w:sz w:val="22"/>
          <w:szCs w:val="22"/>
          <w:lang w:val="en-IN"/>
        </w:rPr>
      </w:pPr>
      <w:r w:rsidRPr="00F22FA8">
        <w:rPr>
          <w:rFonts w:ascii="Arial" w:eastAsia="Arial" w:hAnsi="Arial" w:cs="Arial"/>
          <w:bCs/>
          <w:sz w:val="22"/>
          <w:szCs w:val="22"/>
          <w:lang w:val="en-IN"/>
        </w:rPr>
        <w:t xml:space="preserve">also include in the above study an indicative assessment on possible locations of the future sea-level station monitoring installations to ensure that this requirement is </w:t>
      </w:r>
      <w:proofErr w:type="gramStart"/>
      <w:r w:rsidRPr="00F22FA8">
        <w:rPr>
          <w:rFonts w:ascii="Arial" w:eastAsia="Arial" w:hAnsi="Arial" w:cs="Arial"/>
          <w:bCs/>
          <w:sz w:val="22"/>
          <w:szCs w:val="22"/>
          <w:lang w:val="en-IN"/>
        </w:rPr>
        <w:t>met;</w:t>
      </w:r>
      <w:proofErr w:type="gramEnd"/>
    </w:p>
    <w:p w14:paraId="2A104C7D" w14:textId="77777777" w:rsidR="00F22FA8" w:rsidRPr="00F22FA8" w:rsidRDefault="00F22FA8" w:rsidP="00F22FA8">
      <w:pPr>
        <w:spacing w:after="240"/>
        <w:ind w:left="360"/>
        <w:contextualSpacing/>
        <w:jc w:val="both"/>
        <w:rPr>
          <w:rFonts w:ascii="Arial" w:eastAsia="Arial" w:hAnsi="Arial" w:cs="Arial"/>
          <w:bCs/>
          <w:sz w:val="22"/>
          <w:szCs w:val="22"/>
          <w:lang w:val="en-IN"/>
        </w:rPr>
      </w:pPr>
    </w:p>
    <w:p w14:paraId="4E532629" w14:textId="77777777" w:rsidR="00F22FA8" w:rsidRPr="00F22FA8" w:rsidRDefault="00F22FA8" w:rsidP="00F22FA8">
      <w:pPr>
        <w:numPr>
          <w:ilvl w:val="0"/>
          <w:numId w:val="57"/>
        </w:numPr>
        <w:tabs>
          <w:tab w:val="clear" w:pos="709"/>
        </w:tabs>
        <w:snapToGrid/>
        <w:spacing w:after="240" w:line="259" w:lineRule="auto"/>
        <w:contextualSpacing/>
        <w:jc w:val="both"/>
        <w:rPr>
          <w:rFonts w:ascii="Arial" w:eastAsia="Arial" w:hAnsi="Arial" w:cs="Arial"/>
          <w:bCs/>
          <w:sz w:val="22"/>
          <w:szCs w:val="22"/>
          <w:lang w:val="en-IN"/>
        </w:rPr>
      </w:pPr>
      <w:r w:rsidRPr="00F22FA8">
        <w:rPr>
          <w:rFonts w:ascii="Arial" w:eastAsia="Arial" w:hAnsi="Arial" w:cs="Arial"/>
          <w:bCs/>
          <w:sz w:val="22"/>
          <w:szCs w:val="22"/>
          <w:lang w:val="en-IN"/>
        </w:rPr>
        <w:t xml:space="preserve">develop in collaboration with the WMO a global CAP template for TSPs to facilitate dissemination of bulletins from TSPs to NTWCs, between TSPs of different basins, and for public TSP bulletins, to be presented and approved by the TOWS-WG at its next </w:t>
      </w:r>
      <w:proofErr w:type="gramStart"/>
      <w:r w:rsidRPr="00F22FA8">
        <w:rPr>
          <w:rFonts w:ascii="Arial" w:eastAsia="Arial" w:hAnsi="Arial" w:cs="Arial"/>
          <w:bCs/>
          <w:sz w:val="22"/>
          <w:szCs w:val="22"/>
          <w:lang w:val="en-IN"/>
        </w:rPr>
        <w:t>session;</w:t>
      </w:r>
      <w:proofErr w:type="gramEnd"/>
      <w:r w:rsidRPr="00F22FA8">
        <w:rPr>
          <w:rFonts w:ascii="Arial" w:eastAsia="Arial" w:hAnsi="Arial" w:cs="Arial"/>
          <w:bCs/>
          <w:sz w:val="22"/>
          <w:szCs w:val="22"/>
          <w:lang w:val="en-IN"/>
        </w:rPr>
        <w:t xml:space="preserve"> </w:t>
      </w:r>
    </w:p>
    <w:p w14:paraId="66EBC90F" w14:textId="77777777" w:rsidR="00F22FA8" w:rsidRPr="00F22FA8" w:rsidRDefault="00F22FA8" w:rsidP="00F22FA8">
      <w:pPr>
        <w:spacing w:after="240"/>
        <w:jc w:val="both"/>
        <w:rPr>
          <w:rFonts w:ascii="Arial" w:eastAsia="Arial" w:hAnsi="Arial" w:cs="Arial"/>
          <w:bCs/>
          <w:sz w:val="22"/>
          <w:szCs w:val="22"/>
        </w:rPr>
      </w:pPr>
      <w:bookmarkStart w:id="171" w:name="_Hlk128689899"/>
      <w:r w:rsidRPr="00F22FA8">
        <w:rPr>
          <w:rFonts w:ascii="Arial" w:eastAsia="Arial" w:hAnsi="Arial" w:cs="Arial"/>
          <w:b/>
          <w:sz w:val="22"/>
          <w:szCs w:val="22"/>
        </w:rPr>
        <w:t xml:space="preserve">The Group welcomed </w:t>
      </w:r>
      <w:r w:rsidRPr="00F22FA8">
        <w:rPr>
          <w:rFonts w:ascii="Arial" w:eastAsia="Arial" w:hAnsi="Arial" w:cs="Arial"/>
          <w:bCs/>
          <w:sz w:val="22"/>
          <w:szCs w:val="22"/>
        </w:rPr>
        <w:t xml:space="preserve">the continuing collaboration with the International Union of Geodesy and Geophysics (IUGG) and </w:t>
      </w:r>
      <w:r w:rsidRPr="00F22FA8">
        <w:rPr>
          <w:rFonts w:ascii="Arial" w:eastAsia="Arial" w:hAnsi="Arial" w:cs="Arial"/>
          <w:b/>
          <w:sz w:val="22"/>
          <w:szCs w:val="22"/>
        </w:rPr>
        <w:t xml:space="preserve">appreciated </w:t>
      </w:r>
      <w:r w:rsidRPr="00F22FA8">
        <w:rPr>
          <w:rFonts w:ascii="Arial" w:eastAsia="Arial" w:hAnsi="Arial" w:cs="Arial"/>
          <w:bCs/>
          <w:sz w:val="22"/>
          <w:szCs w:val="22"/>
        </w:rPr>
        <w:t xml:space="preserve">the IUGG's contributions to tsunami science and preparedness, working with the IOC, and especially its role in the 2nd UNESCO-IOC Global Tsunami Symposium, major conferences, research on the 2022 Tonga Volcanic Eruption, and key initiatives like the UN Ocean Decade Tsunami Programme, and IOC publications on Tsunamis Generated by Volcanoes, Meteotsunamis, and the Tsunami Glossary 2025; </w:t>
      </w:r>
    </w:p>
    <w:p w14:paraId="0E790600" w14:textId="062B19A7" w:rsidR="00F22FA8" w:rsidRDefault="00F22FA8" w:rsidP="00D13C07">
      <w:pPr>
        <w:spacing w:after="240"/>
        <w:jc w:val="both"/>
        <w:rPr>
          <w:rFonts w:ascii="Arial" w:eastAsia="Arial" w:hAnsi="Arial" w:cs="Arial"/>
          <w:b/>
          <w:sz w:val="22"/>
          <w:szCs w:val="22"/>
        </w:rPr>
      </w:pPr>
      <w:r w:rsidRPr="00F22FA8">
        <w:rPr>
          <w:rFonts w:ascii="Arial" w:eastAsia="Arial" w:hAnsi="Arial" w:cs="Arial"/>
          <w:b/>
          <w:sz w:val="22"/>
          <w:szCs w:val="22"/>
        </w:rPr>
        <w:t xml:space="preserve">The Group noted </w:t>
      </w:r>
      <w:r w:rsidRPr="00F22FA8">
        <w:rPr>
          <w:rFonts w:ascii="Arial" w:eastAsia="Arial" w:hAnsi="Arial" w:cs="Arial"/>
          <w:bCs/>
          <w:sz w:val="22"/>
          <w:szCs w:val="22"/>
        </w:rPr>
        <w:t>progress reported by the Scientific Committee of the Ocean Decade Tsunami Programme (ODTP-SC) at its 5</w:t>
      </w:r>
      <w:r w:rsidRPr="00F22FA8">
        <w:rPr>
          <w:rFonts w:ascii="Arial" w:eastAsia="Arial" w:hAnsi="Arial" w:cs="Arial"/>
          <w:bCs/>
          <w:sz w:val="22"/>
          <w:szCs w:val="22"/>
          <w:vertAlign w:val="superscript"/>
        </w:rPr>
        <w:t>th</w:t>
      </w:r>
      <w:r w:rsidRPr="00F22FA8">
        <w:rPr>
          <w:rFonts w:ascii="Arial" w:eastAsia="Arial" w:hAnsi="Arial" w:cs="Arial"/>
          <w:bCs/>
          <w:sz w:val="22"/>
          <w:szCs w:val="22"/>
        </w:rPr>
        <w:t xml:space="preserve"> session on January 16-17, 2025, and </w:t>
      </w:r>
      <w:r w:rsidRPr="00F22FA8">
        <w:rPr>
          <w:rFonts w:ascii="Arial" w:eastAsia="Arial" w:hAnsi="Arial" w:cs="Arial"/>
          <w:b/>
          <w:sz w:val="22"/>
          <w:szCs w:val="22"/>
        </w:rPr>
        <w:t>also noted</w:t>
      </w:r>
      <w:r w:rsidRPr="00F22FA8">
        <w:rPr>
          <w:rFonts w:ascii="Arial" w:eastAsia="Arial" w:hAnsi="Arial" w:cs="Arial"/>
          <w:bCs/>
          <w:sz w:val="22"/>
          <w:szCs w:val="22"/>
        </w:rPr>
        <w:t xml:space="preserve"> the proposal for hosting a first ODTP Conference for 2025 in Hyderabad, alongside</w:t>
      </w:r>
      <w:r w:rsidR="00D13C07">
        <w:rPr>
          <w:rFonts w:ascii="Arial" w:eastAsia="Arial" w:hAnsi="Arial" w:cs="Arial"/>
          <w:bCs/>
          <w:sz w:val="22"/>
          <w:szCs w:val="22"/>
        </w:rPr>
        <w:t xml:space="preserve"> the</w:t>
      </w:r>
      <w:r w:rsidRPr="00F22FA8">
        <w:rPr>
          <w:rFonts w:ascii="Arial" w:eastAsia="Arial" w:hAnsi="Arial" w:cs="Arial"/>
          <w:bCs/>
          <w:sz w:val="22"/>
          <w:szCs w:val="22"/>
        </w:rPr>
        <w:t xml:space="preserve"> </w:t>
      </w:r>
      <w:r w:rsidR="00D13C07" w:rsidRPr="00D13C07">
        <w:rPr>
          <w:rFonts w:ascii="Arial" w:eastAsia="Arial" w:hAnsi="Arial" w:cs="Arial"/>
          <w:bCs/>
          <w:sz w:val="22"/>
          <w:szCs w:val="22"/>
        </w:rPr>
        <w:t>IASPO/IASPEI/IAVCEI Joint Tsunami Commission (JTC) International Tsunami Symposium (ITS), India, 12-14 Nov. 2025</w:t>
      </w:r>
      <w:r w:rsidRPr="00F22FA8">
        <w:rPr>
          <w:rFonts w:ascii="Arial" w:eastAsia="Arial" w:hAnsi="Arial" w:cs="Arial"/>
          <w:bCs/>
          <w:sz w:val="22"/>
          <w:szCs w:val="22"/>
        </w:rPr>
        <w:t xml:space="preserve">hosted by INCOIS; </w:t>
      </w:r>
      <w:r w:rsidR="00D13C07">
        <w:rPr>
          <w:rFonts w:ascii="Arial" w:eastAsia="Arial" w:hAnsi="Arial" w:cs="Arial"/>
          <w:bCs/>
          <w:sz w:val="22"/>
          <w:szCs w:val="22"/>
        </w:rPr>
        <w:t xml:space="preserve"> It further noted the proposal to organise two webinars on the ODTP objectives during</w:t>
      </w:r>
      <w:r w:rsidRPr="00F22FA8">
        <w:rPr>
          <w:rFonts w:ascii="Arial" w:eastAsia="Arial" w:hAnsi="Arial" w:cs="Arial"/>
          <w:bCs/>
          <w:sz w:val="22"/>
          <w:szCs w:val="22"/>
          <w:lang w:val="en-US"/>
        </w:rPr>
        <w:t xml:space="preserve"> 2025</w:t>
      </w:r>
      <w:r w:rsidR="00D13C07">
        <w:rPr>
          <w:rFonts w:ascii="Arial" w:eastAsia="Arial" w:hAnsi="Arial" w:cs="Arial"/>
          <w:bCs/>
          <w:sz w:val="22"/>
          <w:szCs w:val="22"/>
          <w:lang w:val="en-US"/>
        </w:rPr>
        <w:t>;</w:t>
      </w:r>
    </w:p>
    <w:p w14:paraId="5837C0C9" w14:textId="4CD124AE" w:rsidR="00F22FA8" w:rsidRPr="00F22FA8" w:rsidRDefault="00F22FA8" w:rsidP="00F22FA8">
      <w:pPr>
        <w:spacing w:before="240" w:after="240"/>
        <w:jc w:val="both"/>
        <w:rPr>
          <w:rFonts w:ascii="Arial" w:hAnsi="Arial" w:cs="Arial"/>
          <w:sz w:val="22"/>
          <w:szCs w:val="22"/>
        </w:rPr>
      </w:pPr>
      <w:r w:rsidRPr="00F22FA8">
        <w:rPr>
          <w:rFonts w:ascii="Arial" w:eastAsia="Arial" w:hAnsi="Arial" w:cs="Arial"/>
          <w:b/>
          <w:sz w:val="22"/>
          <w:szCs w:val="22"/>
        </w:rPr>
        <w:t>The Group recommended</w:t>
      </w:r>
      <w:r w:rsidRPr="00F22FA8">
        <w:rPr>
          <w:rFonts w:ascii="Arial" w:eastAsia="Arial" w:hAnsi="Arial" w:cs="Arial"/>
          <w:sz w:val="22"/>
          <w:szCs w:val="22"/>
        </w:rPr>
        <w:t xml:space="preserve"> the IOC Assembly at its 33</w:t>
      </w:r>
      <w:r w:rsidRPr="00F22FA8">
        <w:rPr>
          <w:rFonts w:ascii="Arial" w:eastAsia="Arial" w:hAnsi="Arial" w:cs="Arial"/>
          <w:sz w:val="22"/>
          <w:szCs w:val="22"/>
          <w:vertAlign w:val="superscript"/>
        </w:rPr>
        <w:t>rd</w:t>
      </w:r>
      <w:r w:rsidRPr="00F22FA8">
        <w:rPr>
          <w:rFonts w:ascii="Arial" w:eastAsia="Arial" w:hAnsi="Arial" w:cs="Arial"/>
          <w:sz w:val="22"/>
          <w:szCs w:val="22"/>
        </w:rPr>
        <w:t xml:space="preserve"> Session in 2025 to </w:t>
      </w:r>
      <w:r w:rsidRPr="00F22FA8">
        <w:rPr>
          <w:rFonts w:ascii="Arial" w:hAnsi="Arial" w:cs="Arial"/>
          <w:b/>
          <w:bCs/>
          <w:sz w:val="22"/>
          <w:szCs w:val="22"/>
        </w:rPr>
        <w:t xml:space="preserve">approve </w:t>
      </w:r>
      <w:r w:rsidRPr="00F22FA8">
        <w:rPr>
          <w:rFonts w:ascii="Arial" w:hAnsi="Arial" w:cs="Arial"/>
          <w:sz w:val="22"/>
          <w:szCs w:val="22"/>
        </w:rPr>
        <w:t>the Tsunami Ready Coalition Implementation Plan as reviewed by the ODTP-SC and the TT DMP and TT TWO including:</w:t>
      </w:r>
    </w:p>
    <w:p w14:paraId="6DEBBEC7" w14:textId="77777777" w:rsidR="00F22FA8" w:rsidRPr="00F22FA8" w:rsidRDefault="00F22FA8" w:rsidP="00F22FA8">
      <w:pPr>
        <w:numPr>
          <w:ilvl w:val="0"/>
          <w:numId w:val="181"/>
        </w:numPr>
        <w:tabs>
          <w:tab w:val="clear" w:pos="709"/>
        </w:tabs>
        <w:snapToGrid/>
        <w:spacing w:before="240" w:after="240" w:line="259" w:lineRule="auto"/>
        <w:contextualSpacing/>
        <w:jc w:val="both"/>
        <w:rPr>
          <w:rFonts w:ascii="Arial" w:hAnsi="Arial" w:cs="Arial"/>
          <w:sz w:val="22"/>
          <w:szCs w:val="22"/>
        </w:rPr>
      </w:pPr>
      <w:r w:rsidRPr="00F22FA8">
        <w:rPr>
          <w:rFonts w:ascii="Arial" w:hAnsi="Arial" w:cs="Arial"/>
          <w:sz w:val="22"/>
          <w:szCs w:val="22"/>
        </w:rPr>
        <w:t>The Coalition mandate and terms of reference,</w:t>
      </w:r>
    </w:p>
    <w:p w14:paraId="0802B761" w14:textId="77777777" w:rsidR="00F22FA8" w:rsidRPr="00F22FA8" w:rsidRDefault="00F22FA8" w:rsidP="00F22FA8">
      <w:pPr>
        <w:numPr>
          <w:ilvl w:val="0"/>
          <w:numId w:val="181"/>
        </w:numPr>
        <w:tabs>
          <w:tab w:val="clear" w:pos="709"/>
        </w:tabs>
        <w:snapToGrid/>
        <w:spacing w:before="240" w:after="240" w:line="259" w:lineRule="auto"/>
        <w:contextualSpacing/>
        <w:jc w:val="both"/>
        <w:rPr>
          <w:rFonts w:ascii="Arial" w:hAnsi="Arial" w:cs="Arial"/>
          <w:sz w:val="22"/>
          <w:szCs w:val="22"/>
        </w:rPr>
      </w:pPr>
      <w:r w:rsidRPr="00F22FA8">
        <w:rPr>
          <w:rFonts w:ascii="Arial" w:hAnsi="Arial" w:cs="Arial"/>
          <w:sz w:val="22"/>
          <w:szCs w:val="22"/>
        </w:rPr>
        <w:t>The Coalition structure, and</w:t>
      </w:r>
    </w:p>
    <w:p w14:paraId="6B41CB0B" w14:textId="77777777" w:rsidR="00F22FA8" w:rsidRPr="00F22FA8" w:rsidRDefault="00F22FA8" w:rsidP="00F22FA8">
      <w:pPr>
        <w:numPr>
          <w:ilvl w:val="0"/>
          <w:numId w:val="181"/>
        </w:numPr>
        <w:tabs>
          <w:tab w:val="clear" w:pos="709"/>
        </w:tabs>
        <w:snapToGrid/>
        <w:spacing w:before="240" w:after="240" w:line="259" w:lineRule="auto"/>
        <w:ind w:left="714" w:hanging="357"/>
        <w:contextualSpacing/>
        <w:jc w:val="both"/>
        <w:rPr>
          <w:rFonts w:ascii="Arial" w:hAnsi="Arial" w:cs="Arial"/>
          <w:sz w:val="22"/>
          <w:szCs w:val="22"/>
        </w:rPr>
      </w:pPr>
      <w:r w:rsidRPr="00F22FA8">
        <w:rPr>
          <w:rFonts w:ascii="Arial" w:hAnsi="Arial" w:cs="Arial"/>
          <w:sz w:val="22"/>
          <w:szCs w:val="22"/>
        </w:rPr>
        <w:t>The identified key Coalition Partners.</w:t>
      </w:r>
    </w:p>
    <w:p w14:paraId="007745DE" w14:textId="77777777" w:rsidR="00F22FA8" w:rsidRDefault="00F22FA8" w:rsidP="00F22FA8">
      <w:pPr>
        <w:spacing w:before="240" w:after="240"/>
        <w:jc w:val="both"/>
        <w:rPr>
          <w:rFonts w:ascii="Arial" w:eastAsia="Arial" w:hAnsi="Arial" w:cs="Arial"/>
          <w:b/>
          <w:sz w:val="22"/>
          <w:szCs w:val="22"/>
        </w:rPr>
      </w:pPr>
    </w:p>
    <w:p w14:paraId="561757C9" w14:textId="53E7D8DC" w:rsidR="00F22FA8" w:rsidRPr="00F22FA8" w:rsidRDefault="00F22FA8" w:rsidP="00F22FA8">
      <w:pPr>
        <w:spacing w:before="240" w:after="240"/>
        <w:jc w:val="both"/>
        <w:rPr>
          <w:rFonts w:ascii="Arial" w:eastAsia="Arial" w:hAnsi="Arial" w:cs="Arial"/>
          <w:sz w:val="22"/>
          <w:szCs w:val="22"/>
        </w:rPr>
      </w:pPr>
      <w:r w:rsidRPr="00F22FA8">
        <w:rPr>
          <w:rFonts w:ascii="Arial" w:eastAsia="Arial" w:hAnsi="Arial" w:cs="Arial"/>
          <w:b/>
          <w:sz w:val="22"/>
          <w:szCs w:val="22"/>
        </w:rPr>
        <w:t>The Group recommended</w:t>
      </w:r>
      <w:r w:rsidRPr="00F22FA8">
        <w:rPr>
          <w:rFonts w:ascii="Arial" w:eastAsia="Arial" w:hAnsi="Arial" w:cs="Arial"/>
          <w:sz w:val="22"/>
          <w:szCs w:val="22"/>
        </w:rPr>
        <w:t xml:space="preserve"> the IOC Assembly at its 33</w:t>
      </w:r>
      <w:r w:rsidRPr="00F22FA8">
        <w:rPr>
          <w:rFonts w:ascii="Arial" w:eastAsia="Arial" w:hAnsi="Arial" w:cs="Arial"/>
          <w:sz w:val="22"/>
          <w:szCs w:val="22"/>
          <w:vertAlign w:val="superscript"/>
        </w:rPr>
        <w:t>rd</w:t>
      </w:r>
      <w:r w:rsidRPr="00F22FA8">
        <w:rPr>
          <w:rFonts w:ascii="Arial" w:eastAsia="Arial" w:hAnsi="Arial" w:cs="Arial"/>
          <w:sz w:val="22"/>
          <w:szCs w:val="22"/>
        </w:rPr>
        <w:t xml:space="preserve"> session in 2025 instruct the regional ICGs:</w:t>
      </w:r>
    </w:p>
    <w:bookmarkEnd w:id="171"/>
    <w:p w14:paraId="588F9E59"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lastRenderedPageBreak/>
        <w:t xml:space="preserve">To develop and adopt a harmonized set of Key Performance Indicators (KPI) based on the harmonised set of Global Key Performance Indicators (GKPI), to support consistent and effective global </w:t>
      </w:r>
      <w:proofErr w:type="gramStart"/>
      <w:r w:rsidRPr="00F22FA8">
        <w:rPr>
          <w:rFonts w:ascii="Arial" w:hAnsi="Arial" w:cs="Arial"/>
          <w:sz w:val="22"/>
          <w:szCs w:val="22"/>
        </w:rPr>
        <w:t>reporting;</w:t>
      </w:r>
      <w:proofErr w:type="gramEnd"/>
      <w:r w:rsidRPr="00F22FA8">
        <w:rPr>
          <w:rFonts w:ascii="Arial" w:hAnsi="Arial" w:cs="Arial"/>
          <w:sz w:val="22"/>
          <w:szCs w:val="22"/>
        </w:rPr>
        <w:t xml:space="preserve"> </w:t>
      </w:r>
    </w:p>
    <w:p w14:paraId="18BA9E7E"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Establishing arrangements among Tsunami Service Providers (TSP) within each ICG to ensure that service provision is </w:t>
      </w:r>
      <w:proofErr w:type="gramStart"/>
      <w:r w:rsidRPr="00F22FA8">
        <w:rPr>
          <w:rFonts w:ascii="Arial" w:hAnsi="Arial" w:cs="Arial"/>
          <w:sz w:val="22"/>
          <w:szCs w:val="22"/>
        </w:rPr>
        <w:t>ensured at all times</w:t>
      </w:r>
      <w:proofErr w:type="gramEnd"/>
      <w:r w:rsidRPr="00F22FA8">
        <w:rPr>
          <w:rFonts w:ascii="Arial" w:hAnsi="Arial" w:cs="Arial"/>
          <w:sz w:val="22"/>
          <w:szCs w:val="22"/>
        </w:rPr>
        <w:t xml:space="preserve"> for the full Area of Service of the </w:t>
      </w:r>
      <w:proofErr w:type="gramStart"/>
      <w:r w:rsidRPr="00F22FA8">
        <w:rPr>
          <w:rFonts w:ascii="Arial" w:hAnsi="Arial" w:cs="Arial"/>
          <w:sz w:val="22"/>
          <w:szCs w:val="22"/>
        </w:rPr>
        <w:t>ICG;</w:t>
      </w:r>
      <w:proofErr w:type="gramEnd"/>
    </w:p>
    <w:p w14:paraId="4A5EF94D"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to develop SOPs for volcanoes with a tsunamigenic potential within their Earthquake Source Zone (ESZ</w:t>
      </w:r>
      <w:proofErr w:type="gramStart"/>
      <w:r w:rsidRPr="00F22FA8">
        <w:rPr>
          <w:rFonts w:ascii="Arial" w:hAnsi="Arial" w:cs="Arial"/>
          <w:sz w:val="22"/>
          <w:szCs w:val="22"/>
        </w:rPr>
        <w:t>);</w:t>
      </w:r>
      <w:proofErr w:type="gramEnd"/>
      <w:r w:rsidRPr="00F22FA8">
        <w:rPr>
          <w:rFonts w:ascii="Arial" w:hAnsi="Arial" w:cs="Arial"/>
          <w:sz w:val="22"/>
          <w:szCs w:val="22"/>
        </w:rPr>
        <w:t xml:space="preserve"> </w:t>
      </w:r>
    </w:p>
    <w:p w14:paraId="388EDB49"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that dissemination of the specialized TSP bulletins for the maritime community is tested in CARIBE-EWS, IOTWMS and NEAMTWS by at least one TSP either through the planned communication tests or tsunami </w:t>
      </w:r>
      <w:proofErr w:type="gramStart"/>
      <w:r w:rsidRPr="00F22FA8">
        <w:rPr>
          <w:rFonts w:ascii="Arial" w:hAnsi="Arial" w:cs="Arial"/>
          <w:sz w:val="22"/>
          <w:szCs w:val="22"/>
        </w:rPr>
        <w:t>exercises;</w:t>
      </w:r>
      <w:proofErr w:type="gramEnd"/>
    </w:p>
    <w:p w14:paraId="5B7F50F7"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that full operational implementation of TSP bulletins for the maritime community by at least one TSP in each ICG takes place in </w:t>
      </w:r>
      <w:proofErr w:type="gramStart"/>
      <w:r w:rsidRPr="00F22FA8">
        <w:rPr>
          <w:rFonts w:ascii="Arial" w:hAnsi="Arial" w:cs="Arial"/>
          <w:sz w:val="22"/>
          <w:szCs w:val="22"/>
        </w:rPr>
        <w:t>2025;</w:t>
      </w:r>
      <w:proofErr w:type="gramEnd"/>
    </w:p>
    <w:p w14:paraId="3E51FE94" w14:textId="77777777" w:rsidR="00F22FA8" w:rsidRPr="00F22FA8" w:rsidRDefault="00F22FA8" w:rsidP="00F22FA8">
      <w:pPr>
        <w:spacing w:after="240"/>
        <w:jc w:val="both"/>
        <w:rPr>
          <w:rFonts w:ascii="Arial" w:eastAsia="Arial" w:hAnsi="Arial" w:cs="Arial"/>
          <w:sz w:val="22"/>
          <w:szCs w:val="22"/>
        </w:rPr>
      </w:pPr>
      <w:r w:rsidRPr="00F22FA8">
        <w:rPr>
          <w:rFonts w:ascii="Arial" w:eastAsia="Arial" w:hAnsi="Arial" w:cs="Arial"/>
          <w:b/>
          <w:sz w:val="22"/>
          <w:szCs w:val="22"/>
        </w:rPr>
        <w:t>The Group recommended</w:t>
      </w:r>
      <w:r w:rsidRPr="00F22FA8">
        <w:rPr>
          <w:rFonts w:ascii="Arial" w:eastAsia="Arial" w:hAnsi="Arial" w:cs="Arial"/>
          <w:sz w:val="22"/>
          <w:szCs w:val="22"/>
        </w:rPr>
        <w:t xml:space="preserve"> the IOC Assembly at its 33</w:t>
      </w:r>
      <w:r w:rsidRPr="00F22FA8">
        <w:rPr>
          <w:rFonts w:ascii="Arial" w:eastAsia="Arial" w:hAnsi="Arial" w:cs="Arial"/>
          <w:sz w:val="22"/>
          <w:szCs w:val="22"/>
          <w:vertAlign w:val="superscript"/>
        </w:rPr>
        <w:t>rd</w:t>
      </w:r>
      <w:r w:rsidRPr="00F22FA8">
        <w:rPr>
          <w:rFonts w:ascii="Arial" w:eastAsia="Arial" w:hAnsi="Arial" w:cs="Arial"/>
          <w:sz w:val="22"/>
          <w:szCs w:val="22"/>
        </w:rPr>
        <w:t xml:space="preserve"> session in 2025 recommend the regional ICGs:</w:t>
      </w:r>
    </w:p>
    <w:p w14:paraId="6AA04E5A"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To create relationships between National Meteorological and Hydrological Services (NMHS) and TSPs/NTWCs </w:t>
      </w:r>
      <w:proofErr w:type="gramStart"/>
      <w:r w:rsidRPr="00F22FA8">
        <w:rPr>
          <w:rFonts w:ascii="Arial" w:hAnsi="Arial" w:cs="Arial"/>
          <w:sz w:val="22"/>
          <w:szCs w:val="22"/>
        </w:rPr>
        <w:t>in order to</w:t>
      </w:r>
      <w:proofErr w:type="gramEnd"/>
      <w:r w:rsidRPr="00F22FA8">
        <w:rPr>
          <w:rFonts w:ascii="Arial" w:hAnsi="Arial" w:cs="Arial"/>
          <w:sz w:val="22"/>
          <w:szCs w:val="22"/>
        </w:rPr>
        <w:t xml:space="preserve"> ensure that tsunami-specific instrumentation including </w:t>
      </w:r>
      <w:proofErr w:type="spellStart"/>
      <w:r w:rsidRPr="00F22FA8">
        <w:rPr>
          <w:rFonts w:ascii="Arial" w:hAnsi="Arial" w:cs="Arial"/>
          <w:sz w:val="22"/>
          <w:szCs w:val="22"/>
        </w:rPr>
        <w:t>Tsunameters</w:t>
      </w:r>
      <w:proofErr w:type="spellEnd"/>
      <w:r w:rsidRPr="00F22FA8">
        <w:rPr>
          <w:rFonts w:ascii="Arial" w:hAnsi="Arial" w:cs="Arial"/>
          <w:sz w:val="22"/>
          <w:szCs w:val="22"/>
        </w:rPr>
        <w:t xml:space="preserve">/DART® and ocean cable systems are correctly monitored and utilized for detection of </w:t>
      </w:r>
      <w:proofErr w:type="gramStart"/>
      <w:r w:rsidRPr="00F22FA8">
        <w:rPr>
          <w:rFonts w:ascii="Arial" w:hAnsi="Arial" w:cs="Arial"/>
          <w:sz w:val="22"/>
          <w:szCs w:val="22"/>
        </w:rPr>
        <w:t>meteotsunami;</w:t>
      </w:r>
      <w:proofErr w:type="gramEnd"/>
    </w:p>
    <w:p w14:paraId="22EAC3B0"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continuation of the investigation and the possibility to adopt tsunami forecasting methods, including probabilistic methodologies, toward impact-based forecasting, that could also assist post-disaster response, recovery and needs assessment </w:t>
      </w:r>
      <w:proofErr w:type="gramStart"/>
      <w:r w:rsidRPr="00F22FA8">
        <w:rPr>
          <w:rFonts w:ascii="Arial" w:hAnsi="Arial" w:cs="Arial"/>
          <w:sz w:val="22"/>
          <w:szCs w:val="22"/>
        </w:rPr>
        <w:t>processes;</w:t>
      </w:r>
      <w:proofErr w:type="gramEnd"/>
    </w:p>
    <w:p w14:paraId="23620D7B"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to prioritize regional Tsunami Ready workshops or summits in 2025 and conduct further workshops or summits before </w:t>
      </w:r>
      <w:proofErr w:type="gramStart"/>
      <w:r w:rsidRPr="00F22FA8">
        <w:rPr>
          <w:rFonts w:ascii="Arial" w:hAnsi="Arial" w:cs="Arial"/>
          <w:sz w:val="22"/>
          <w:szCs w:val="22"/>
        </w:rPr>
        <w:t>2030;</w:t>
      </w:r>
      <w:proofErr w:type="gramEnd"/>
    </w:p>
    <w:p w14:paraId="03ABF9A9" w14:textId="77777777" w:rsidR="00F22FA8" w:rsidRPr="00F22FA8" w:rsidRDefault="00F22FA8" w:rsidP="00F22FA8">
      <w:pPr>
        <w:spacing w:after="240"/>
        <w:jc w:val="both"/>
        <w:rPr>
          <w:rFonts w:ascii="Arial" w:eastAsia="DengXian" w:hAnsi="Arial" w:cs="Arial"/>
          <w:snapToGrid/>
          <w:sz w:val="22"/>
          <w:szCs w:val="22"/>
          <w:lang w:val="en-US"/>
        </w:rPr>
      </w:pPr>
      <w:r w:rsidRPr="00F22FA8">
        <w:rPr>
          <w:rFonts w:ascii="Arial" w:hAnsi="Arial" w:cs="Arial"/>
          <w:b/>
          <w:bCs/>
          <w:sz w:val="22"/>
          <w:szCs w:val="22"/>
        </w:rPr>
        <w:t>The Group recommended</w:t>
      </w:r>
      <w:r w:rsidRPr="00F22FA8">
        <w:rPr>
          <w:rFonts w:ascii="Arial" w:hAnsi="Arial" w:cs="Arial"/>
          <w:sz w:val="22"/>
          <w:szCs w:val="22"/>
        </w:rPr>
        <w:t xml:space="preserve"> the IOC Assembly </w:t>
      </w:r>
      <w:bookmarkStart w:id="172" w:name="_Hlk191363767"/>
      <w:r w:rsidRPr="00F22FA8">
        <w:rPr>
          <w:rFonts w:ascii="Arial" w:hAnsi="Arial" w:cs="Arial"/>
          <w:sz w:val="22"/>
          <w:szCs w:val="22"/>
        </w:rPr>
        <w:t>at its 33</w:t>
      </w:r>
      <w:r w:rsidRPr="00F22FA8">
        <w:rPr>
          <w:rFonts w:ascii="Arial" w:hAnsi="Arial" w:cs="Arial"/>
          <w:sz w:val="22"/>
          <w:szCs w:val="22"/>
          <w:vertAlign w:val="superscript"/>
        </w:rPr>
        <w:t>rd</w:t>
      </w:r>
      <w:r w:rsidRPr="00F22FA8">
        <w:rPr>
          <w:rFonts w:ascii="Arial" w:hAnsi="Arial" w:cs="Arial"/>
          <w:sz w:val="22"/>
          <w:szCs w:val="22"/>
        </w:rPr>
        <w:t xml:space="preserve"> session in 2025 </w:t>
      </w:r>
      <w:bookmarkEnd w:id="172"/>
      <w:r w:rsidRPr="00F22FA8">
        <w:rPr>
          <w:rFonts w:ascii="Arial" w:hAnsi="Arial" w:cs="Arial"/>
          <w:sz w:val="22"/>
          <w:szCs w:val="22"/>
        </w:rPr>
        <w:t xml:space="preserve">to </w:t>
      </w:r>
      <w:r w:rsidRPr="00F22FA8">
        <w:rPr>
          <w:rFonts w:ascii="Arial" w:hAnsi="Arial" w:cs="Arial"/>
          <w:b/>
          <w:bCs/>
          <w:sz w:val="22"/>
          <w:szCs w:val="22"/>
        </w:rPr>
        <w:t xml:space="preserve">request </w:t>
      </w:r>
      <w:r w:rsidRPr="00F22FA8">
        <w:rPr>
          <w:rFonts w:ascii="Arial" w:hAnsi="Arial" w:cs="Arial"/>
          <w:sz w:val="22"/>
          <w:szCs w:val="22"/>
        </w:rPr>
        <w:t>the IOC</w:t>
      </w:r>
      <w:r w:rsidRPr="00F22FA8">
        <w:rPr>
          <w:rFonts w:ascii="Calibri" w:eastAsia="DengXian" w:hAnsi="Calibri" w:cs="Arial"/>
          <w:snapToGrid/>
          <w:sz w:val="22"/>
          <w:szCs w:val="22"/>
          <w:lang w:val="en-US"/>
        </w:rPr>
        <w:t xml:space="preserve"> </w:t>
      </w:r>
      <w:r w:rsidRPr="00F22FA8">
        <w:rPr>
          <w:rFonts w:ascii="Arial" w:hAnsi="Arial" w:cs="Arial"/>
          <w:sz w:val="22"/>
          <w:szCs w:val="22"/>
        </w:rPr>
        <w:t>Member States to prioritize installation/deployment of additional coastal tide gauges and tsunami detection/observation systems in regions under high tsunami risk with priority areas with known coverage gaps (in alphabetical order: Aegean Sea, Caribbean Sea (West, North and South-East), Indian Ocean (East and North), North Africa, Philippine Sea, Solomon Sea, South China Sea, Timor Sea, and Yellow Sea), to ensure tsunami detection and verification as early as possible;</w:t>
      </w:r>
    </w:p>
    <w:p w14:paraId="779570ED" w14:textId="77777777" w:rsidR="00F22FA8" w:rsidRPr="00F22FA8" w:rsidRDefault="00F22FA8" w:rsidP="00F22FA8">
      <w:pPr>
        <w:spacing w:after="240"/>
        <w:jc w:val="both"/>
        <w:rPr>
          <w:rFonts w:ascii="Arial" w:hAnsi="Arial" w:cs="Arial"/>
          <w:sz w:val="22"/>
          <w:szCs w:val="22"/>
          <w:lang w:val="en-US"/>
        </w:rPr>
      </w:pPr>
      <w:bookmarkStart w:id="173" w:name="_Hlk191330080"/>
      <w:r w:rsidRPr="00F22FA8">
        <w:rPr>
          <w:rFonts w:ascii="Arial" w:hAnsi="Arial" w:cs="Arial"/>
          <w:b/>
          <w:bCs/>
          <w:sz w:val="22"/>
          <w:szCs w:val="22"/>
        </w:rPr>
        <w:t xml:space="preserve">The Group </w:t>
      </w:r>
      <w:r w:rsidRPr="00F22FA8">
        <w:rPr>
          <w:rFonts w:ascii="Arial" w:eastAsia="Arial" w:hAnsi="Arial" w:cs="Arial"/>
          <w:b/>
          <w:sz w:val="22"/>
          <w:szCs w:val="22"/>
        </w:rPr>
        <w:t xml:space="preserve">further </w:t>
      </w:r>
      <w:r w:rsidRPr="00F22FA8">
        <w:rPr>
          <w:rFonts w:ascii="Arial" w:hAnsi="Arial" w:cs="Arial"/>
          <w:b/>
          <w:bCs/>
          <w:sz w:val="22"/>
          <w:szCs w:val="22"/>
        </w:rPr>
        <w:t xml:space="preserve">recommended </w:t>
      </w:r>
      <w:r w:rsidRPr="00F22FA8">
        <w:rPr>
          <w:rFonts w:ascii="Arial" w:hAnsi="Arial" w:cs="Arial"/>
          <w:sz w:val="22"/>
          <w:szCs w:val="22"/>
        </w:rPr>
        <w:t xml:space="preserve">the IOC Assembly at its 33rd session in 2025 </w:t>
      </w:r>
      <w:bookmarkEnd w:id="173"/>
      <w:r w:rsidRPr="00F22FA8">
        <w:rPr>
          <w:rFonts w:ascii="Arial" w:hAnsi="Arial" w:cs="Arial"/>
          <w:sz w:val="22"/>
          <w:szCs w:val="22"/>
        </w:rPr>
        <w:t>to encourage</w:t>
      </w:r>
      <w:r w:rsidRPr="00F22FA8">
        <w:rPr>
          <w:rFonts w:ascii="Arial" w:hAnsi="Arial" w:cs="Arial"/>
          <w:sz w:val="22"/>
          <w:szCs w:val="22"/>
          <w:lang w:val="en-US"/>
        </w:rPr>
        <w:t xml:space="preserve"> the IOC Member States to</w:t>
      </w:r>
      <w:r w:rsidRPr="00F22FA8">
        <w:rPr>
          <w:rFonts w:ascii="Calibri" w:eastAsia="DengXian" w:hAnsi="Calibri" w:cs="Arial"/>
          <w:snapToGrid/>
          <w:sz w:val="22"/>
          <w:szCs w:val="22"/>
          <w:lang w:val="en-US"/>
        </w:rPr>
        <w:t xml:space="preserve"> </w:t>
      </w:r>
      <w:r w:rsidRPr="00F22FA8">
        <w:rPr>
          <w:rFonts w:ascii="Arial" w:hAnsi="Arial" w:cs="Arial"/>
          <w:sz w:val="22"/>
          <w:szCs w:val="22"/>
          <w:lang w:val="en-US"/>
        </w:rPr>
        <w:t xml:space="preserve">monitor the health of their sea level gauges that are used for detecting and monitoring tsunamis, to restore them as quickly as possible when they fail, add sea level gauges when possible and share their data in real time, in places identified by their ICG as gaps; </w:t>
      </w:r>
    </w:p>
    <w:p w14:paraId="3B1A3E91" w14:textId="77777777" w:rsidR="00F22FA8" w:rsidRPr="00F22FA8" w:rsidRDefault="00F22FA8" w:rsidP="00F22FA8">
      <w:pPr>
        <w:spacing w:after="240"/>
        <w:jc w:val="both"/>
        <w:rPr>
          <w:rFonts w:ascii="Arial" w:hAnsi="Arial" w:cs="Arial"/>
          <w:sz w:val="22"/>
          <w:szCs w:val="22"/>
          <w:lang w:val="en-US"/>
        </w:rPr>
      </w:pPr>
      <w:r w:rsidRPr="00F22FA8">
        <w:rPr>
          <w:rFonts w:ascii="Arial" w:hAnsi="Arial" w:cs="Arial"/>
          <w:b/>
          <w:bCs/>
          <w:sz w:val="22"/>
          <w:szCs w:val="22"/>
          <w:lang w:val="en-US"/>
        </w:rPr>
        <w:t>The Group recommended</w:t>
      </w:r>
      <w:r w:rsidRPr="00F22FA8">
        <w:rPr>
          <w:rFonts w:ascii="Arial" w:hAnsi="Arial" w:cs="Arial"/>
          <w:sz w:val="22"/>
          <w:szCs w:val="22"/>
          <w:lang w:val="en-US"/>
        </w:rPr>
        <w:t xml:space="preserve"> Member States to consider deployment of sea level gauges close to each identified volcano with tsunamigenic potential, with real-time continuous data transmission and 1 sec sampling - 1cm accuracy for automatic detection </w:t>
      </w:r>
      <w:proofErr w:type="gramStart"/>
      <w:r w:rsidRPr="00F22FA8">
        <w:rPr>
          <w:rFonts w:ascii="Arial" w:hAnsi="Arial" w:cs="Arial"/>
          <w:sz w:val="22"/>
          <w:szCs w:val="22"/>
          <w:lang w:val="en-US"/>
        </w:rPr>
        <w:t>purposes;</w:t>
      </w:r>
      <w:proofErr w:type="gramEnd"/>
    </w:p>
    <w:p w14:paraId="78DF0DEC" w14:textId="77777777" w:rsidR="00F22FA8" w:rsidRPr="00F22FA8" w:rsidRDefault="00F22FA8" w:rsidP="00F22FA8">
      <w:pPr>
        <w:spacing w:after="240"/>
        <w:jc w:val="both"/>
        <w:rPr>
          <w:rFonts w:ascii="Arial" w:hAnsi="Arial" w:cs="Arial"/>
          <w:sz w:val="22"/>
          <w:szCs w:val="22"/>
          <w:lang w:val="en-US"/>
        </w:rPr>
      </w:pPr>
      <w:r w:rsidRPr="00F22FA8">
        <w:rPr>
          <w:rFonts w:ascii="Arial" w:hAnsi="Arial" w:cs="Arial"/>
          <w:b/>
          <w:bCs/>
          <w:sz w:val="22"/>
          <w:szCs w:val="22"/>
          <w:lang w:val="en-US"/>
        </w:rPr>
        <w:t>The Group further recommended</w:t>
      </w:r>
      <w:r w:rsidRPr="00F22FA8">
        <w:rPr>
          <w:rFonts w:ascii="Arial" w:hAnsi="Arial" w:cs="Arial"/>
          <w:sz w:val="22"/>
          <w:szCs w:val="22"/>
          <w:lang w:val="en-US"/>
        </w:rPr>
        <w:t xml:space="preserve"> Member States to invest more in offshore seismic and sea-level detection and observation instrumentation, such as </w:t>
      </w:r>
      <w:proofErr w:type="spellStart"/>
      <w:r w:rsidRPr="00F22FA8">
        <w:rPr>
          <w:rFonts w:ascii="Arial" w:hAnsi="Arial" w:cs="Arial"/>
          <w:sz w:val="22"/>
          <w:szCs w:val="22"/>
          <w:lang w:val="en-US"/>
        </w:rPr>
        <w:t>Tsunameter</w:t>
      </w:r>
      <w:proofErr w:type="spellEnd"/>
      <w:r w:rsidRPr="00F22FA8">
        <w:rPr>
          <w:rFonts w:ascii="Arial" w:hAnsi="Arial" w:cs="Arial"/>
          <w:sz w:val="22"/>
          <w:szCs w:val="22"/>
          <w:lang w:val="en-US"/>
        </w:rPr>
        <w:t xml:space="preserve">/DART®/GPS </w:t>
      </w:r>
      <w:r w:rsidRPr="00F22FA8">
        <w:rPr>
          <w:rFonts w:ascii="Arial" w:hAnsi="Arial" w:cs="Arial"/>
          <w:sz w:val="22"/>
          <w:szCs w:val="22"/>
          <w:lang w:val="en-US"/>
        </w:rPr>
        <w:lastRenderedPageBreak/>
        <w:t xml:space="preserve">buoys/cabled systems (e.g. SMART Cables), where possible, with multi-hazard observational capabilities, serving the needs of earthquake seismology, meteorology and </w:t>
      </w:r>
      <w:proofErr w:type="gramStart"/>
      <w:r w:rsidRPr="00F22FA8">
        <w:rPr>
          <w:rFonts w:ascii="Arial" w:hAnsi="Arial" w:cs="Arial"/>
          <w:sz w:val="22"/>
          <w:szCs w:val="22"/>
          <w:lang w:val="en-US"/>
        </w:rPr>
        <w:t>oceanography;</w:t>
      </w:r>
      <w:proofErr w:type="gramEnd"/>
    </w:p>
    <w:p w14:paraId="2026215B" w14:textId="77777777" w:rsidR="00F22FA8" w:rsidRPr="00F22FA8" w:rsidRDefault="00F22FA8" w:rsidP="00F22FA8">
      <w:pPr>
        <w:spacing w:after="240"/>
        <w:jc w:val="both"/>
        <w:rPr>
          <w:rFonts w:ascii="Arial" w:hAnsi="Arial" w:cs="Arial"/>
          <w:sz w:val="22"/>
          <w:szCs w:val="22"/>
          <w:lang w:val="en-US"/>
        </w:rPr>
      </w:pPr>
      <w:r w:rsidRPr="00F22FA8">
        <w:rPr>
          <w:rFonts w:ascii="Arial" w:hAnsi="Arial" w:cs="Arial"/>
          <w:b/>
          <w:bCs/>
          <w:sz w:val="22"/>
          <w:szCs w:val="22"/>
          <w:lang w:val="en-US"/>
        </w:rPr>
        <w:t>The Group also recommended</w:t>
      </w:r>
      <w:r w:rsidRPr="00F22FA8">
        <w:rPr>
          <w:rFonts w:ascii="Arial" w:hAnsi="Arial" w:cs="Arial"/>
          <w:sz w:val="22"/>
          <w:szCs w:val="22"/>
          <w:lang w:val="en-US"/>
        </w:rPr>
        <w:t xml:space="preserve"> Member States NTWCs to work with national and local emergency management authorities to define the criteria for and institutions in charge of issuing the </w:t>
      </w:r>
      <w:r w:rsidRPr="00F22FA8">
        <w:rPr>
          <w:rFonts w:ascii="Arial" w:hAnsi="Arial" w:cs="Arial"/>
          <w:b/>
          <w:bCs/>
          <w:sz w:val="22"/>
          <w:szCs w:val="22"/>
          <w:lang w:val="en-US"/>
        </w:rPr>
        <w:t>All-Clear message</w:t>
      </w:r>
      <w:r w:rsidRPr="00F22FA8">
        <w:rPr>
          <w:rFonts w:ascii="Arial" w:hAnsi="Arial" w:cs="Arial"/>
          <w:sz w:val="22"/>
          <w:szCs w:val="22"/>
          <w:lang w:val="en-US"/>
        </w:rPr>
        <w:t xml:space="preserve">, as recommended also in the </w:t>
      </w:r>
      <w:r w:rsidRPr="00F22FA8">
        <w:rPr>
          <w:rFonts w:ascii="Arial" w:eastAsia="Arial" w:hAnsi="Arial" w:cs="Arial"/>
          <w:snapToGrid/>
          <w:sz w:val="22"/>
          <w:szCs w:val="22"/>
        </w:rPr>
        <w:t>T</w:t>
      </w:r>
      <w:r w:rsidRPr="00F22FA8">
        <w:rPr>
          <w:rFonts w:ascii="Arial" w:eastAsia="Arial" w:hAnsi="Arial" w:cs="Arial"/>
          <w:i/>
          <w:iCs/>
          <w:snapToGrid/>
          <w:sz w:val="22"/>
          <w:szCs w:val="22"/>
        </w:rPr>
        <w:t>sunami Watch Operations. Global Service Definition Document</w:t>
      </w:r>
      <w:r w:rsidRPr="00F22FA8">
        <w:rPr>
          <w:rFonts w:ascii="Arial" w:eastAsia="Arial" w:hAnsi="Arial" w:cs="Arial"/>
          <w:snapToGrid/>
          <w:sz w:val="22"/>
          <w:szCs w:val="22"/>
        </w:rPr>
        <w:t xml:space="preserve">. </w:t>
      </w:r>
      <w:hyperlink r:id="rId62" w:history="1">
        <w:r w:rsidRPr="00F22FA8">
          <w:rPr>
            <w:rFonts w:ascii="Arial" w:eastAsia="Arial" w:hAnsi="Arial" w:cs="Arial"/>
            <w:snapToGrid/>
            <w:color w:val="0000FF"/>
            <w:sz w:val="22"/>
            <w:szCs w:val="22"/>
            <w:u w:val="single"/>
          </w:rPr>
          <w:t>IOC Technical Series No. 130</w:t>
        </w:r>
      </w:hyperlink>
      <w:r w:rsidRPr="00F22FA8">
        <w:rPr>
          <w:rFonts w:ascii="Arial" w:eastAsia="Arial" w:hAnsi="Arial" w:cs="Arial"/>
          <w:snapToGrid/>
          <w:sz w:val="22"/>
          <w:szCs w:val="22"/>
        </w:rPr>
        <w:t xml:space="preserve">. Paris: UNESCO. (English) and Plans and Procedures for Tsunami Warning and Emergency Management. Paris, Intergovernmental Oceanographic Commission of UNESCO 2017. (IOC Manuals and Guides No.76) and include this in the respective awareness </w:t>
      </w:r>
      <w:proofErr w:type="gramStart"/>
      <w:r w:rsidRPr="00F22FA8">
        <w:rPr>
          <w:rFonts w:ascii="Arial" w:eastAsia="Arial" w:hAnsi="Arial" w:cs="Arial"/>
          <w:snapToGrid/>
          <w:sz w:val="22"/>
          <w:szCs w:val="22"/>
        </w:rPr>
        <w:t>activities</w:t>
      </w:r>
      <w:r w:rsidRPr="00F22FA8">
        <w:rPr>
          <w:rFonts w:ascii="Arial" w:hAnsi="Arial" w:cs="Arial"/>
          <w:sz w:val="22"/>
          <w:szCs w:val="22"/>
          <w:lang w:val="en-US"/>
        </w:rPr>
        <w:t>;</w:t>
      </w:r>
      <w:proofErr w:type="gramEnd"/>
      <w:r w:rsidRPr="00F22FA8">
        <w:rPr>
          <w:rFonts w:ascii="Arial" w:hAnsi="Arial" w:cs="Arial"/>
          <w:sz w:val="22"/>
          <w:szCs w:val="22"/>
          <w:lang w:val="en-US"/>
        </w:rPr>
        <w:t xml:space="preserve"> </w:t>
      </w:r>
    </w:p>
    <w:p w14:paraId="71DA5508" w14:textId="77777777" w:rsidR="00F22FA8" w:rsidRPr="00F22FA8" w:rsidRDefault="00F22FA8" w:rsidP="00F22FA8">
      <w:pPr>
        <w:spacing w:after="240"/>
        <w:jc w:val="both"/>
        <w:rPr>
          <w:rFonts w:ascii="Arial" w:eastAsia="DengXian" w:hAnsi="Arial" w:cs="Arial"/>
          <w:snapToGrid/>
          <w:sz w:val="22"/>
          <w:szCs w:val="22"/>
          <w:lang w:val="en-US"/>
        </w:rPr>
      </w:pPr>
      <w:r w:rsidRPr="00F22FA8">
        <w:rPr>
          <w:rFonts w:ascii="Arial" w:hAnsi="Arial" w:cs="Arial"/>
          <w:b/>
          <w:bCs/>
          <w:sz w:val="22"/>
          <w:szCs w:val="22"/>
        </w:rPr>
        <w:t xml:space="preserve">The Group </w:t>
      </w:r>
      <w:r w:rsidRPr="00F22FA8">
        <w:rPr>
          <w:rFonts w:ascii="Arial" w:eastAsia="Arial" w:hAnsi="Arial" w:cs="Arial"/>
          <w:b/>
          <w:sz w:val="22"/>
          <w:szCs w:val="22"/>
        </w:rPr>
        <w:t xml:space="preserve">further </w:t>
      </w:r>
      <w:r w:rsidRPr="00F22FA8">
        <w:rPr>
          <w:rFonts w:ascii="Arial" w:hAnsi="Arial" w:cs="Arial"/>
          <w:b/>
          <w:bCs/>
          <w:sz w:val="22"/>
          <w:szCs w:val="22"/>
        </w:rPr>
        <w:t xml:space="preserve">recommended </w:t>
      </w:r>
      <w:r w:rsidRPr="00F22FA8">
        <w:rPr>
          <w:rFonts w:ascii="Arial" w:hAnsi="Arial" w:cs="Arial"/>
          <w:sz w:val="22"/>
          <w:szCs w:val="22"/>
        </w:rPr>
        <w:t>the IOC Assembly at its 33</w:t>
      </w:r>
      <w:r w:rsidRPr="00F22FA8">
        <w:rPr>
          <w:rFonts w:ascii="Arial" w:hAnsi="Arial" w:cs="Arial"/>
          <w:sz w:val="22"/>
          <w:szCs w:val="22"/>
          <w:vertAlign w:val="superscript"/>
        </w:rPr>
        <w:t>rd</w:t>
      </w:r>
      <w:r w:rsidRPr="00F22FA8">
        <w:rPr>
          <w:rFonts w:ascii="Arial" w:hAnsi="Arial" w:cs="Arial"/>
          <w:sz w:val="22"/>
          <w:szCs w:val="22"/>
        </w:rPr>
        <w:t xml:space="preserve"> session in 2025 to encourage</w:t>
      </w:r>
      <w:r w:rsidRPr="00F22FA8">
        <w:rPr>
          <w:rFonts w:ascii="Arial" w:hAnsi="Arial" w:cs="Arial"/>
          <w:sz w:val="22"/>
          <w:szCs w:val="22"/>
          <w:lang w:val="en-US"/>
        </w:rPr>
        <w:t xml:space="preserve"> Member States to provide voluntary financial contributions to the IOC special account and in-kind contributions to support the Ocean Decade Tsunami Programme, the IOC Tsunami Ready Recognition Programme and the Tsunami Ready Coalition. </w:t>
      </w:r>
    </w:p>
    <w:p w14:paraId="5FFCFDDA" w14:textId="77777777" w:rsidR="00F22FA8" w:rsidRPr="00F22FA8" w:rsidRDefault="00F22FA8" w:rsidP="00F22FA8">
      <w:pPr>
        <w:spacing w:after="240"/>
        <w:jc w:val="both"/>
        <w:rPr>
          <w:rFonts w:ascii="Arial" w:hAnsi="Arial" w:cs="Arial"/>
          <w:sz w:val="22"/>
          <w:szCs w:val="22"/>
        </w:rPr>
      </w:pPr>
      <w:r w:rsidRPr="00F22FA8">
        <w:rPr>
          <w:rFonts w:ascii="Arial" w:hAnsi="Arial" w:cs="Arial"/>
          <w:b/>
          <w:bCs/>
          <w:sz w:val="22"/>
          <w:szCs w:val="22"/>
        </w:rPr>
        <w:t>The Group recommended</w:t>
      </w:r>
      <w:r w:rsidRPr="00F22FA8">
        <w:rPr>
          <w:rFonts w:ascii="Arial" w:hAnsi="Arial" w:cs="Arial"/>
          <w:sz w:val="22"/>
          <w:szCs w:val="22"/>
        </w:rPr>
        <w:t xml:space="preserve"> the IOC Assembly at its 33</w:t>
      </w:r>
      <w:r w:rsidRPr="00F22FA8">
        <w:rPr>
          <w:rFonts w:ascii="Arial" w:hAnsi="Arial" w:cs="Arial"/>
          <w:sz w:val="22"/>
          <w:szCs w:val="22"/>
          <w:vertAlign w:val="superscript"/>
        </w:rPr>
        <w:t>rd</w:t>
      </w:r>
      <w:r w:rsidRPr="00F22FA8">
        <w:rPr>
          <w:rFonts w:ascii="Arial" w:hAnsi="Arial" w:cs="Arial"/>
          <w:sz w:val="22"/>
          <w:szCs w:val="22"/>
        </w:rPr>
        <w:t xml:space="preserve"> session in 2025 to </w:t>
      </w:r>
      <w:r w:rsidRPr="00F22FA8">
        <w:rPr>
          <w:rFonts w:ascii="Arial" w:hAnsi="Arial" w:cs="Arial"/>
          <w:b/>
          <w:bCs/>
          <w:sz w:val="22"/>
          <w:szCs w:val="22"/>
        </w:rPr>
        <w:t xml:space="preserve">request </w:t>
      </w:r>
      <w:r w:rsidRPr="00F22FA8">
        <w:rPr>
          <w:rFonts w:ascii="Arial" w:hAnsi="Arial" w:cs="Arial"/>
          <w:sz w:val="22"/>
          <w:szCs w:val="22"/>
        </w:rPr>
        <w:t>the IOC Secretariat to:</w:t>
      </w:r>
    </w:p>
    <w:p w14:paraId="07A38E68"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prepare a standard and improved methodology of collecting TNC/TWFP/NTWC contact information, in close collaboration with the TT-TWO and TT-DMP, and present its work at the next Joint TT-DMP and TT-TWO </w:t>
      </w:r>
      <w:proofErr w:type="gramStart"/>
      <w:r w:rsidRPr="00F22FA8">
        <w:rPr>
          <w:rFonts w:ascii="Arial" w:hAnsi="Arial" w:cs="Arial"/>
          <w:sz w:val="22"/>
          <w:szCs w:val="22"/>
        </w:rPr>
        <w:t>Meeting;</w:t>
      </w:r>
      <w:proofErr w:type="gramEnd"/>
    </w:p>
    <w:p w14:paraId="289AE913"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inform Member States on the </w:t>
      </w:r>
      <w:r w:rsidRPr="00F22FA8">
        <w:rPr>
          <w:rFonts w:ascii="Arial" w:hAnsi="Arial" w:cs="Arial"/>
          <w:i/>
          <w:iCs/>
          <w:sz w:val="22"/>
          <w:szCs w:val="22"/>
        </w:rPr>
        <w:t>Tsunami Ready Toolkit</w:t>
      </w:r>
      <w:r w:rsidRPr="00F22FA8">
        <w:rPr>
          <w:rFonts w:ascii="Arial" w:hAnsi="Arial" w:cs="Arial"/>
          <w:sz w:val="22"/>
          <w:szCs w:val="22"/>
        </w:rPr>
        <w:t xml:space="preserve"> availability via IOC Circular Letter to the Tsunami National Contacts, National Tsunami Ready Boards, and widely through the attaching this as an appendix of the </w:t>
      </w:r>
      <w:r w:rsidRPr="00F22FA8">
        <w:rPr>
          <w:rFonts w:ascii="Arial" w:eastAsia="Arial" w:hAnsi="Arial" w:cs="Arial"/>
          <w:snapToGrid/>
          <w:sz w:val="22"/>
          <w:szCs w:val="22"/>
        </w:rPr>
        <w:t>UNESCO-IOC Standard Guidelines for the Tsunami Ready Recognition Programme (IOC MG 74</w:t>
      </w:r>
      <w:proofErr w:type="gramStart"/>
      <w:r w:rsidRPr="00F22FA8">
        <w:rPr>
          <w:rFonts w:ascii="Arial" w:eastAsia="Arial" w:hAnsi="Arial" w:cs="Arial"/>
          <w:snapToGrid/>
          <w:sz w:val="22"/>
          <w:szCs w:val="22"/>
        </w:rPr>
        <w:t>)</w:t>
      </w:r>
      <w:r w:rsidRPr="00F22FA8">
        <w:rPr>
          <w:rFonts w:ascii="Arial" w:hAnsi="Arial" w:cs="Arial"/>
          <w:sz w:val="22"/>
          <w:szCs w:val="22"/>
        </w:rPr>
        <w:t>;</w:t>
      </w:r>
      <w:proofErr w:type="gramEnd"/>
    </w:p>
    <w:p w14:paraId="59EC47B5"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disseminate to the Member States the final version of the below basic tsunami warning product/template for use by the radio amateurs, as a </w:t>
      </w:r>
      <w:proofErr w:type="gramStart"/>
      <w:r w:rsidRPr="00F22FA8">
        <w:rPr>
          <w:rFonts w:ascii="Arial" w:hAnsi="Arial" w:cs="Arial"/>
          <w:sz w:val="22"/>
          <w:szCs w:val="22"/>
        </w:rPr>
        <w:t>guidance;</w:t>
      </w:r>
      <w:proofErr w:type="gramEnd"/>
    </w:p>
    <w:p w14:paraId="5887C15F" w14:textId="77777777" w:rsidR="00F22FA8" w:rsidRPr="00F22FA8" w:rsidRDefault="00F22FA8" w:rsidP="00F22FA8">
      <w:pPr>
        <w:spacing w:after="240"/>
        <w:jc w:val="right"/>
        <w:rPr>
          <w:rFonts w:ascii="Arial" w:hAnsi="Arial" w:cs="Arial"/>
          <w:sz w:val="22"/>
          <w:szCs w:val="22"/>
        </w:rPr>
      </w:pPr>
      <w:r w:rsidRPr="00F22FA8">
        <w:rPr>
          <w:rFonts w:ascii="Arial" w:hAnsi="Arial" w:cs="Arial"/>
          <w:noProof/>
          <w:sz w:val="22"/>
          <w:szCs w:val="22"/>
        </w:rPr>
        <w:drawing>
          <wp:inline distT="0" distB="0" distL="0" distR="0" wp14:anchorId="5F371411" wp14:editId="2F01B3C5">
            <wp:extent cx="5232694" cy="557181"/>
            <wp:effectExtent l="0" t="0" r="6350" b="0"/>
            <wp:docPr id="666896947" name="Picture 1" descr="A black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96947" name="Picture 1" descr="A black background with red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9231" cy="563201"/>
                    </a:xfrm>
                    <a:prstGeom prst="rect">
                      <a:avLst/>
                    </a:prstGeom>
                    <a:noFill/>
                  </pic:spPr>
                </pic:pic>
              </a:graphicData>
            </a:graphic>
          </wp:inline>
        </w:drawing>
      </w:r>
    </w:p>
    <w:p w14:paraId="6B123273"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to finalize the Tsunami Ready Coalition Implementation Plan in consultation with the Tsunami Ready Coalition Chair the Coalition Partners, 'Ambassadors' or similar namesake, and Coalition Co-</w:t>
      </w:r>
      <w:proofErr w:type="gramStart"/>
      <w:r w:rsidRPr="00F22FA8">
        <w:rPr>
          <w:rFonts w:ascii="Arial" w:hAnsi="Arial" w:cs="Arial"/>
          <w:sz w:val="22"/>
          <w:szCs w:val="22"/>
        </w:rPr>
        <w:t>Chair</w:t>
      </w:r>
      <w:r w:rsidRPr="00F22FA8">
        <w:rPr>
          <w:rFonts w:ascii="Arial" w:eastAsia="Times New Roman" w:hAnsi="Arial" w:cs="Arial"/>
          <w:snapToGrid/>
          <w:sz w:val="22"/>
          <w:szCs w:val="22"/>
          <w:lang w:val="en-US"/>
        </w:rPr>
        <w:t>;</w:t>
      </w:r>
      <w:proofErr w:type="gramEnd"/>
    </w:p>
    <w:p w14:paraId="342656EC" w14:textId="77777777" w:rsidR="00F22FA8" w:rsidRPr="00F22FA8" w:rsidRDefault="00F22FA8" w:rsidP="00F22FA8">
      <w:pPr>
        <w:numPr>
          <w:ilvl w:val="0"/>
          <w:numId w:val="53"/>
        </w:numPr>
        <w:snapToGrid/>
        <w:spacing w:after="240" w:line="259" w:lineRule="auto"/>
        <w:ind w:left="567" w:hanging="567"/>
        <w:jc w:val="both"/>
        <w:rPr>
          <w:rFonts w:ascii="Arial" w:hAnsi="Arial" w:cs="Arial"/>
          <w:sz w:val="22"/>
          <w:szCs w:val="22"/>
        </w:rPr>
      </w:pPr>
      <w:r w:rsidRPr="00F22FA8">
        <w:rPr>
          <w:rFonts w:ascii="Arial" w:hAnsi="Arial" w:cs="Arial"/>
          <w:sz w:val="22"/>
          <w:szCs w:val="22"/>
        </w:rPr>
        <w:t xml:space="preserve">extend invitations to the proposed Coalition Partners and 'Ambassadors' or similar namesake, and a Coalition Co-chair, and urgently address needed </w:t>
      </w:r>
      <w:proofErr w:type="gramStart"/>
      <w:r w:rsidRPr="00F22FA8">
        <w:rPr>
          <w:rFonts w:ascii="Arial" w:hAnsi="Arial" w:cs="Arial"/>
          <w:sz w:val="22"/>
          <w:szCs w:val="22"/>
        </w:rPr>
        <w:t>resources;</w:t>
      </w:r>
      <w:proofErr w:type="gramEnd"/>
      <w:r w:rsidRPr="00F22FA8">
        <w:rPr>
          <w:rFonts w:ascii="Arial" w:hAnsi="Arial" w:cs="Arial"/>
          <w:sz w:val="22"/>
          <w:szCs w:val="22"/>
        </w:rPr>
        <w:t> </w:t>
      </w:r>
    </w:p>
    <w:p w14:paraId="094689AB" w14:textId="77777777" w:rsidR="00F22FA8" w:rsidRPr="00F22FA8" w:rsidRDefault="00F22FA8" w:rsidP="00F22FA8">
      <w:pPr>
        <w:spacing w:after="240"/>
        <w:jc w:val="both"/>
        <w:rPr>
          <w:rFonts w:ascii="Arial" w:eastAsia="DengXian" w:hAnsi="Arial" w:cs="Arial"/>
          <w:snapToGrid/>
          <w:sz w:val="22"/>
          <w:szCs w:val="22"/>
          <w:lang w:val="en-US"/>
        </w:rPr>
      </w:pPr>
      <w:r w:rsidRPr="00F22FA8">
        <w:rPr>
          <w:rFonts w:ascii="Arial" w:hAnsi="Arial" w:cs="Arial"/>
          <w:b/>
          <w:bCs/>
          <w:sz w:val="22"/>
          <w:szCs w:val="22"/>
        </w:rPr>
        <w:t>The Group recommended</w:t>
      </w:r>
      <w:r w:rsidRPr="00F22FA8">
        <w:rPr>
          <w:rFonts w:ascii="Arial" w:hAnsi="Arial" w:cs="Arial"/>
          <w:sz w:val="22"/>
          <w:szCs w:val="22"/>
        </w:rPr>
        <w:t xml:space="preserve"> the IOC Assembly at its 33</w:t>
      </w:r>
      <w:r w:rsidRPr="00F22FA8">
        <w:rPr>
          <w:rFonts w:ascii="Arial" w:hAnsi="Arial" w:cs="Arial"/>
          <w:sz w:val="22"/>
          <w:szCs w:val="22"/>
          <w:vertAlign w:val="superscript"/>
        </w:rPr>
        <w:t>rd</w:t>
      </w:r>
      <w:r w:rsidRPr="00F22FA8">
        <w:rPr>
          <w:rFonts w:ascii="Arial" w:hAnsi="Arial" w:cs="Arial"/>
          <w:sz w:val="22"/>
          <w:szCs w:val="22"/>
        </w:rPr>
        <w:t xml:space="preserve"> session in 2025 to extend the tenure of the</w:t>
      </w:r>
      <w:r w:rsidRPr="00F22FA8">
        <w:rPr>
          <w:rFonts w:ascii="Calibri" w:eastAsia="DengXian" w:hAnsi="Calibri" w:cs="Arial"/>
          <w:snapToGrid/>
          <w:sz w:val="22"/>
          <w:szCs w:val="22"/>
          <w:lang w:val="en-US"/>
        </w:rPr>
        <w:t xml:space="preserve"> </w:t>
      </w:r>
      <w:r w:rsidRPr="00F22FA8">
        <w:rPr>
          <w:rFonts w:ascii="Arial" w:hAnsi="Arial" w:cs="Arial"/>
          <w:sz w:val="22"/>
          <w:szCs w:val="22"/>
        </w:rPr>
        <w:t xml:space="preserve">Inter-ICG TT-DMP and TT-TWO and recommended the approval of updated Terms of Reference for the Task Team on Tsunami Disaster Management and Preparedness as included under </w:t>
      </w:r>
      <w:r w:rsidRPr="00F22FA8">
        <w:rPr>
          <w:rFonts w:ascii="Arial" w:hAnsi="Arial" w:cs="Arial"/>
          <w:b/>
          <w:bCs/>
          <w:sz w:val="22"/>
          <w:szCs w:val="22"/>
        </w:rPr>
        <w:t xml:space="preserve">Appendix </w:t>
      </w:r>
      <w:proofErr w:type="gramStart"/>
      <w:r w:rsidRPr="00F22FA8">
        <w:rPr>
          <w:rFonts w:ascii="Arial" w:hAnsi="Arial" w:cs="Arial"/>
          <w:b/>
          <w:bCs/>
          <w:sz w:val="22"/>
          <w:szCs w:val="22"/>
        </w:rPr>
        <w:t>1</w:t>
      </w:r>
      <w:r w:rsidRPr="00F22FA8">
        <w:rPr>
          <w:rFonts w:ascii="Arial" w:hAnsi="Arial" w:cs="Arial"/>
          <w:sz w:val="22"/>
          <w:szCs w:val="22"/>
        </w:rPr>
        <w:t>;</w:t>
      </w:r>
      <w:proofErr w:type="gramEnd"/>
    </w:p>
    <w:p w14:paraId="3DE514DB" w14:textId="77777777" w:rsidR="00F22FA8" w:rsidRPr="00F22FA8" w:rsidRDefault="00F22FA8" w:rsidP="00F22FA8">
      <w:pPr>
        <w:spacing w:after="240"/>
        <w:jc w:val="center"/>
        <w:rPr>
          <w:rFonts w:ascii="Arial" w:eastAsia="Arial" w:hAnsi="Arial" w:cs="Arial"/>
          <w:b/>
          <w:bCs/>
          <w:sz w:val="22"/>
          <w:szCs w:val="22"/>
        </w:rPr>
      </w:pPr>
    </w:p>
    <w:p w14:paraId="185DD8EC" w14:textId="77777777" w:rsidR="00F22FA8" w:rsidRPr="00F22FA8" w:rsidRDefault="00F22FA8" w:rsidP="00F22FA8">
      <w:pPr>
        <w:spacing w:after="240"/>
        <w:jc w:val="center"/>
        <w:rPr>
          <w:rFonts w:ascii="Arial" w:eastAsia="Arial" w:hAnsi="Arial" w:cs="Arial"/>
          <w:b/>
          <w:bCs/>
          <w:sz w:val="22"/>
          <w:szCs w:val="22"/>
        </w:rPr>
      </w:pPr>
      <w:r w:rsidRPr="00F22FA8">
        <w:rPr>
          <w:rFonts w:ascii="Arial" w:eastAsia="Arial" w:hAnsi="Arial" w:cs="Arial"/>
          <w:b/>
          <w:bCs/>
          <w:sz w:val="22"/>
          <w:szCs w:val="22"/>
        </w:rPr>
        <w:t>Appendix 1</w:t>
      </w:r>
    </w:p>
    <w:p w14:paraId="63579486" w14:textId="77777777" w:rsidR="00F22FA8" w:rsidRPr="00F22FA8" w:rsidRDefault="00F22FA8" w:rsidP="00F22FA8">
      <w:pPr>
        <w:spacing w:after="240"/>
        <w:jc w:val="center"/>
        <w:rPr>
          <w:rFonts w:ascii="Arial" w:hAnsi="Arial" w:cs="Arial"/>
          <w:sz w:val="22"/>
          <w:szCs w:val="22"/>
        </w:rPr>
      </w:pPr>
      <w:r w:rsidRPr="00F22FA8">
        <w:rPr>
          <w:rFonts w:ascii="Arial" w:eastAsia="Arial" w:hAnsi="Arial" w:cs="Arial"/>
          <w:b/>
          <w:bCs/>
          <w:sz w:val="22"/>
          <w:szCs w:val="22"/>
        </w:rPr>
        <w:t>Revised Terms of Reference of the TT DMP</w:t>
      </w:r>
    </w:p>
    <w:p w14:paraId="31E9BAC3" w14:textId="77777777" w:rsidR="00F22FA8" w:rsidRPr="00F22FA8" w:rsidRDefault="00F22FA8" w:rsidP="00F22FA8">
      <w:pPr>
        <w:numPr>
          <w:ilvl w:val="0"/>
          <w:numId w:val="180"/>
        </w:numPr>
        <w:snapToGrid/>
        <w:spacing w:after="240" w:line="259" w:lineRule="auto"/>
        <w:jc w:val="both"/>
        <w:rPr>
          <w:rFonts w:ascii="Arial" w:hAnsi="Arial" w:cs="Arial"/>
          <w:sz w:val="22"/>
          <w:szCs w:val="22"/>
          <w:lang w:val="en-US"/>
        </w:rPr>
      </w:pPr>
      <w:r w:rsidRPr="00F22FA8">
        <w:rPr>
          <w:rFonts w:ascii="Arial" w:hAnsi="Arial" w:cs="Arial"/>
          <w:sz w:val="22"/>
          <w:szCs w:val="22"/>
          <w:lang w:val="en-ID"/>
        </w:rPr>
        <w:lastRenderedPageBreak/>
        <w:t>Facilitate in collaboration with key international stakeholders and organizations (such as</w:t>
      </w:r>
      <w:hyperlink r:id="rId63" w:history="1">
        <w:r w:rsidRPr="00F22FA8">
          <w:rPr>
            <w:rFonts w:ascii="Arial" w:hAnsi="Arial" w:cs="Arial"/>
            <w:color w:val="0000FF"/>
            <w:sz w:val="22"/>
            <w:szCs w:val="22"/>
            <w:u w:val="single"/>
            <w:lang w:val="en-ID"/>
          </w:rPr>
          <w:t xml:space="preserve"> </w:t>
        </w:r>
      </w:hyperlink>
      <w:hyperlink r:id="rId64" w:history="1">
        <w:r w:rsidRPr="00F22FA8">
          <w:rPr>
            <w:rFonts w:ascii="Arial" w:hAnsi="Arial" w:cs="Arial"/>
            <w:color w:val="0000FF"/>
            <w:sz w:val="22"/>
            <w:szCs w:val="22"/>
            <w:u w:val="single"/>
            <w:lang w:val="en-ID"/>
          </w:rPr>
          <w:t>UNDRR, IFRC, UNDP, WMO, etc</w:t>
        </w:r>
      </w:hyperlink>
      <w:r w:rsidRPr="00F22FA8">
        <w:rPr>
          <w:rFonts w:ascii="Arial" w:hAnsi="Arial" w:cs="Arial"/>
          <w:color w:val="0000FF"/>
          <w:sz w:val="22"/>
          <w:szCs w:val="22"/>
          <w:u w:val="single"/>
          <w:lang w:val="en-ID"/>
        </w:rPr>
        <w:t>.</w:t>
      </w:r>
      <w:r w:rsidRPr="00F22FA8">
        <w:rPr>
          <w:rFonts w:ascii="Arial" w:hAnsi="Arial" w:cs="Arial"/>
          <w:sz w:val="22"/>
          <w:szCs w:val="22"/>
          <w:lang w:val="en-ID"/>
        </w:rPr>
        <w:t>), or initiatives (such as the Tsunami Ready Coalition, Coastal Inundation Forecasting Initiative etc.) the exchange of experiences and information on  preparedness and mitigation  actions, education/awareness, and other matters related to disaster management and preparedness for tsunamis and other coastal sea level related hazards; </w:t>
      </w:r>
    </w:p>
    <w:p w14:paraId="6EAE9BC3" w14:textId="77777777" w:rsidR="00F22FA8" w:rsidRPr="00F22FA8" w:rsidRDefault="00F22FA8" w:rsidP="00F22FA8">
      <w:pPr>
        <w:numPr>
          <w:ilvl w:val="0"/>
          <w:numId w:val="180"/>
        </w:numPr>
        <w:snapToGrid/>
        <w:spacing w:after="240" w:line="259" w:lineRule="auto"/>
        <w:jc w:val="both"/>
        <w:rPr>
          <w:rFonts w:ascii="Arial" w:hAnsi="Arial" w:cs="Arial"/>
          <w:sz w:val="22"/>
          <w:szCs w:val="22"/>
          <w:lang w:val="en-US"/>
        </w:rPr>
      </w:pPr>
      <w:r w:rsidRPr="00F22FA8">
        <w:rPr>
          <w:rFonts w:ascii="Arial" w:hAnsi="Arial" w:cs="Arial"/>
          <w:sz w:val="22"/>
          <w:szCs w:val="22"/>
          <w:lang w:val="en-ID"/>
        </w:rPr>
        <w:t xml:space="preserve">Promote and facilitate the implementation of Tsunami Ready Recognition Programme, and similar initiatives, as well as related capacity development efforts, specifically targeting SIDS and </w:t>
      </w:r>
      <w:proofErr w:type="gramStart"/>
      <w:r w:rsidRPr="00F22FA8">
        <w:rPr>
          <w:rFonts w:ascii="Arial" w:hAnsi="Arial" w:cs="Arial"/>
          <w:sz w:val="22"/>
          <w:szCs w:val="22"/>
          <w:lang w:val="en-ID"/>
        </w:rPr>
        <w:t>LDCs;</w:t>
      </w:r>
      <w:proofErr w:type="gramEnd"/>
    </w:p>
    <w:p w14:paraId="3B9A6846" w14:textId="77777777" w:rsidR="00F22FA8" w:rsidRPr="00F22FA8" w:rsidRDefault="00F22FA8" w:rsidP="00F22FA8">
      <w:pPr>
        <w:numPr>
          <w:ilvl w:val="0"/>
          <w:numId w:val="180"/>
        </w:numPr>
        <w:snapToGrid/>
        <w:spacing w:after="240" w:line="259" w:lineRule="auto"/>
        <w:jc w:val="both"/>
        <w:rPr>
          <w:rFonts w:ascii="Arial" w:hAnsi="Arial" w:cs="Arial"/>
          <w:sz w:val="22"/>
          <w:szCs w:val="22"/>
          <w:lang w:val="en-US"/>
        </w:rPr>
      </w:pPr>
      <w:r w:rsidRPr="00F22FA8">
        <w:rPr>
          <w:rFonts w:ascii="Arial" w:hAnsi="Arial" w:cs="Arial"/>
          <w:sz w:val="22"/>
          <w:szCs w:val="22"/>
          <w:lang w:val="en-ID"/>
        </w:rPr>
        <w:t xml:space="preserve"> Promote preparedness to build resilient coastal communities through education and awareness products and </w:t>
      </w:r>
      <w:proofErr w:type="gramStart"/>
      <w:r w:rsidRPr="00F22FA8">
        <w:rPr>
          <w:rFonts w:ascii="Arial" w:hAnsi="Arial" w:cs="Arial"/>
          <w:sz w:val="22"/>
          <w:szCs w:val="22"/>
          <w:lang w:val="en-ID"/>
        </w:rPr>
        <w:t>campaigns;.</w:t>
      </w:r>
      <w:proofErr w:type="gramEnd"/>
    </w:p>
    <w:p w14:paraId="2D9F1694" w14:textId="77777777" w:rsidR="00F22FA8" w:rsidRPr="00F22FA8" w:rsidRDefault="00F22FA8" w:rsidP="00F22FA8">
      <w:pPr>
        <w:numPr>
          <w:ilvl w:val="0"/>
          <w:numId w:val="180"/>
        </w:numPr>
        <w:snapToGrid/>
        <w:spacing w:after="240" w:line="259" w:lineRule="auto"/>
        <w:jc w:val="both"/>
        <w:rPr>
          <w:rFonts w:ascii="Arial" w:hAnsi="Arial" w:cs="Arial"/>
          <w:sz w:val="22"/>
          <w:szCs w:val="22"/>
          <w:lang w:val="en-US"/>
        </w:rPr>
      </w:pPr>
      <w:r w:rsidRPr="00F22FA8">
        <w:rPr>
          <w:rFonts w:ascii="Arial" w:hAnsi="Arial" w:cs="Arial"/>
          <w:sz w:val="22"/>
          <w:szCs w:val="22"/>
          <w:lang w:val="en-ID"/>
        </w:rPr>
        <w:t xml:space="preserve"> Facilitate capacity development and training across ICGs to strengthen emergency response capabilities of Member States and their Disaster Management </w:t>
      </w:r>
      <w:proofErr w:type="gramStart"/>
      <w:r w:rsidRPr="00F22FA8">
        <w:rPr>
          <w:rFonts w:ascii="Arial" w:hAnsi="Arial" w:cs="Arial"/>
          <w:sz w:val="22"/>
          <w:szCs w:val="22"/>
          <w:lang w:val="en-ID"/>
        </w:rPr>
        <w:t>Offices;</w:t>
      </w:r>
      <w:proofErr w:type="gramEnd"/>
    </w:p>
    <w:p w14:paraId="4B31FABD" w14:textId="77777777" w:rsidR="00F22FA8" w:rsidRPr="00F22FA8" w:rsidRDefault="00F22FA8" w:rsidP="00F22FA8">
      <w:pPr>
        <w:numPr>
          <w:ilvl w:val="0"/>
          <w:numId w:val="180"/>
        </w:numPr>
        <w:snapToGrid/>
        <w:spacing w:after="240" w:line="259" w:lineRule="auto"/>
        <w:jc w:val="both"/>
        <w:rPr>
          <w:rFonts w:ascii="Arial" w:hAnsi="Arial" w:cs="Arial"/>
          <w:sz w:val="22"/>
          <w:szCs w:val="22"/>
          <w:lang w:val="en-US"/>
        </w:rPr>
      </w:pPr>
      <w:r w:rsidRPr="00F22FA8">
        <w:rPr>
          <w:rFonts w:ascii="Arial" w:hAnsi="Arial" w:cs="Arial"/>
          <w:sz w:val="22"/>
          <w:szCs w:val="22"/>
          <w:lang w:val="en-ID"/>
        </w:rPr>
        <w:t xml:space="preserve"> Promote existing and encourage the development of preparedness programmes and assessment tools, and synergies with other initiatives (e.g. resilient cities, safe schools etc) that have been successful in one regional Tsunami Warning and Mitigation Systems as </w:t>
      </w:r>
      <w:proofErr w:type="gramStart"/>
      <w:r w:rsidRPr="00F22FA8">
        <w:rPr>
          <w:rFonts w:ascii="Arial" w:hAnsi="Arial" w:cs="Arial"/>
          <w:sz w:val="22"/>
          <w:szCs w:val="22"/>
          <w:lang w:val="en-ID"/>
        </w:rPr>
        <w:t>appropriate;</w:t>
      </w:r>
      <w:proofErr w:type="gramEnd"/>
    </w:p>
    <w:p w14:paraId="576D0FBB" w14:textId="77777777" w:rsidR="00F22FA8" w:rsidRPr="00F22FA8" w:rsidRDefault="00F22FA8" w:rsidP="00F22FA8">
      <w:pPr>
        <w:numPr>
          <w:ilvl w:val="0"/>
          <w:numId w:val="180"/>
        </w:numPr>
        <w:snapToGrid/>
        <w:spacing w:after="240" w:line="259" w:lineRule="auto"/>
        <w:jc w:val="both"/>
        <w:rPr>
          <w:rFonts w:ascii="Arial" w:hAnsi="Arial" w:cs="Arial"/>
          <w:sz w:val="22"/>
          <w:szCs w:val="22"/>
          <w:lang w:val="en-US"/>
        </w:rPr>
      </w:pPr>
      <w:r w:rsidRPr="00F22FA8">
        <w:rPr>
          <w:rFonts w:ascii="Arial" w:hAnsi="Arial" w:cs="Arial"/>
          <w:sz w:val="22"/>
          <w:szCs w:val="22"/>
          <w:lang w:val="en-ID"/>
        </w:rPr>
        <w:t xml:space="preserve"> Facilitate the coordination of the TICs of the ICGs and reinforce their ability to serve as a clearinghouse for the development of educational and preparedness products, and capacity development and </w:t>
      </w:r>
      <w:proofErr w:type="gramStart"/>
      <w:r w:rsidRPr="00F22FA8">
        <w:rPr>
          <w:rFonts w:ascii="Arial" w:hAnsi="Arial" w:cs="Arial"/>
          <w:sz w:val="22"/>
          <w:szCs w:val="22"/>
          <w:lang w:val="en-ID"/>
        </w:rPr>
        <w:t>training;</w:t>
      </w:r>
      <w:proofErr w:type="gramEnd"/>
    </w:p>
    <w:p w14:paraId="0E01686E" w14:textId="77777777" w:rsidR="00F22FA8" w:rsidRPr="00F22FA8" w:rsidRDefault="00F22FA8" w:rsidP="00F22FA8">
      <w:pPr>
        <w:numPr>
          <w:ilvl w:val="0"/>
          <w:numId w:val="180"/>
        </w:numPr>
        <w:snapToGrid/>
        <w:spacing w:after="240" w:line="259" w:lineRule="auto"/>
        <w:jc w:val="both"/>
        <w:rPr>
          <w:rFonts w:ascii="Arial" w:hAnsi="Arial" w:cs="Arial"/>
          <w:sz w:val="22"/>
          <w:szCs w:val="22"/>
          <w:lang w:val="en-US"/>
        </w:rPr>
      </w:pPr>
      <w:r w:rsidRPr="00F22FA8">
        <w:rPr>
          <w:rFonts w:ascii="Arial" w:hAnsi="Arial" w:cs="Arial"/>
          <w:sz w:val="22"/>
          <w:szCs w:val="22"/>
          <w:lang w:val="en-ID"/>
        </w:rPr>
        <w:t> Report to the TOWS–WG.</w:t>
      </w:r>
    </w:p>
    <w:p w14:paraId="67100239" w14:textId="77777777" w:rsidR="00F22FA8" w:rsidRPr="00F22FA8" w:rsidRDefault="00F22FA8" w:rsidP="00F22FA8">
      <w:pPr>
        <w:spacing w:after="240"/>
        <w:jc w:val="both"/>
        <w:rPr>
          <w:rFonts w:ascii="Arial" w:hAnsi="Arial" w:cs="Arial"/>
          <w:sz w:val="22"/>
          <w:szCs w:val="22"/>
          <w:lang w:val="en-US"/>
        </w:rPr>
      </w:pPr>
      <w:r w:rsidRPr="00F22FA8">
        <w:rPr>
          <w:rFonts w:ascii="Arial" w:hAnsi="Arial" w:cs="Arial"/>
          <w:sz w:val="22"/>
          <w:szCs w:val="22"/>
          <w:lang w:val="en-ID"/>
        </w:rPr>
        <w:t>The representatives to the Inter-ICG Task Team on Disaster Management and Preparedness shall be nominated by their respective ICG Chairpersons. The membership shall consist of two representatives from each ICG, one of which may represent the ICG’s Tsunami Information Center. The IOC Chair will appoint the Chair of the Task Team.</w:t>
      </w:r>
    </w:p>
    <w:p w14:paraId="18A02D34" w14:textId="6C3242BC" w:rsidR="0089058C" w:rsidRPr="00E846D8" w:rsidRDefault="0089058C" w:rsidP="00F22FA8">
      <w:pPr>
        <w:spacing w:after="240"/>
        <w:jc w:val="both"/>
        <w:rPr>
          <w:rFonts w:asciiTheme="minorBidi" w:eastAsia="Arial" w:hAnsiTheme="minorBidi" w:cstheme="minorBidi"/>
          <w:sz w:val="22"/>
          <w:szCs w:val="22"/>
          <w:lang w:val="en-IN"/>
        </w:rPr>
      </w:pPr>
      <w:r w:rsidRPr="00E846D8">
        <w:rPr>
          <w:rFonts w:asciiTheme="minorBidi" w:hAnsiTheme="minorBidi" w:cstheme="minorBidi"/>
          <w:sz w:val="22"/>
          <w:szCs w:val="22"/>
          <w:lang w:val="en-US"/>
        </w:rPr>
        <w:t>.</w:t>
      </w:r>
    </w:p>
    <w:p w14:paraId="22850550" w14:textId="77777777" w:rsidR="006946D0" w:rsidRDefault="006946D0" w:rsidP="006946D0">
      <w:pPr>
        <w:tabs>
          <w:tab w:val="clear" w:pos="709"/>
        </w:tabs>
        <w:snapToGrid/>
        <w:rPr>
          <w:rFonts w:ascii="Arial" w:hAnsi="Arial" w:cs="Arial"/>
          <w:sz w:val="22"/>
        </w:rPr>
        <w:sectPr w:rsidR="006946D0" w:rsidSect="005B175C">
          <w:headerReference w:type="default" r:id="rId65"/>
          <w:pgSz w:w="11906" w:h="16838"/>
          <w:pgMar w:top="1440" w:right="1440" w:bottom="1440" w:left="1440" w:header="708" w:footer="708" w:gutter="0"/>
          <w:pgNumType w:start="1"/>
          <w:cols w:space="720"/>
          <w:docGrid w:linePitch="326"/>
        </w:sectPr>
      </w:pPr>
      <w:bookmarkStart w:id="174" w:name="_Toc418154744"/>
      <w:bookmarkStart w:id="175" w:name="_Ref418541980"/>
      <w:bookmarkStart w:id="176" w:name="_Toc420496199"/>
      <w:bookmarkStart w:id="177" w:name="_Toc41491014"/>
    </w:p>
    <w:p w14:paraId="1F27022A" w14:textId="64299817" w:rsidR="00232346" w:rsidRDefault="00232346" w:rsidP="006946D0">
      <w:pPr>
        <w:tabs>
          <w:tab w:val="clear" w:pos="709"/>
        </w:tabs>
        <w:snapToGrid/>
        <w:jc w:val="center"/>
        <w:rPr>
          <w:rFonts w:ascii="Arial" w:hAnsi="Arial" w:cs="Arial"/>
          <w:sz w:val="22"/>
        </w:rPr>
      </w:pPr>
      <w:bookmarkStart w:id="178" w:name="A3"/>
      <w:r w:rsidRPr="004766A7">
        <w:rPr>
          <w:rFonts w:ascii="Arial" w:hAnsi="Arial" w:cs="Arial"/>
          <w:sz w:val="22"/>
        </w:rPr>
        <w:lastRenderedPageBreak/>
        <w:t>ANNEX I</w:t>
      </w:r>
      <w:bookmarkEnd w:id="174"/>
      <w:bookmarkEnd w:id="175"/>
      <w:bookmarkEnd w:id="176"/>
      <w:r w:rsidRPr="004766A7">
        <w:rPr>
          <w:rFonts w:ascii="Arial" w:hAnsi="Arial" w:cs="Arial"/>
          <w:sz w:val="22"/>
        </w:rPr>
        <w:t>II</w:t>
      </w:r>
      <w:bookmarkEnd w:id="177"/>
      <w:bookmarkEnd w:id="178"/>
    </w:p>
    <w:p w14:paraId="2ABC95E1" w14:textId="77777777" w:rsidR="006946D0" w:rsidRPr="006946D0" w:rsidRDefault="006946D0" w:rsidP="006946D0">
      <w:pPr>
        <w:tabs>
          <w:tab w:val="clear" w:pos="709"/>
        </w:tabs>
        <w:snapToGrid/>
        <w:jc w:val="center"/>
        <w:rPr>
          <w:rFonts w:asciiTheme="minorBidi" w:eastAsia="Arial" w:hAnsiTheme="minorBidi" w:cstheme="minorBidi"/>
          <w:sz w:val="22"/>
          <w:szCs w:val="22"/>
        </w:rPr>
      </w:pPr>
    </w:p>
    <w:p w14:paraId="0F155954" w14:textId="77777777" w:rsidR="00733E87" w:rsidRPr="00733E87" w:rsidRDefault="00232346" w:rsidP="00733E87">
      <w:pPr>
        <w:spacing w:after="120"/>
        <w:jc w:val="center"/>
        <w:rPr>
          <w:rFonts w:ascii="Arial" w:hAnsi="Arial" w:cs="Arial"/>
          <w:b/>
          <w:sz w:val="22"/>
        </w:rPr>
      </w:pPr>
      <w:bookmarkStart w:id="179" w:name="_Ref416968350"/>
      <w:bookmarkStart w:id="180" w:name="_Toc418154745"/>
      <w:bookmarkStart w:id="181" w:name="_Toc420496200"/>
      <w:bookmarkStart w:id="182" w:name="_Toc41491015"/>
      <w:r w:rsidRPr="004766A7">
        <w:rPr>
          <w:rFonts w:ascii="Arial" w:hAnsi="Arial" w:cs="Arial"/>
          <w:b/>
          <w:sz w:val="22"/>
        </w:rPr>
        <w:t xml:space="preserve">REPORT OF THE </w:t>
      </w:r>
      <w:bookmarkEnd w:id="179"/>
      <w:bookmarkEnd w:id="180"/>
      <w:bookmarkEnd w:id="181"/>
      <w:bookmarkEnd w:id="182"/>
      <w:r w:rsidR="00733E87" w:rsidRPr="00733E87">
        <w:rPr>
          <w:rFonts w:ascii="Arial" w:hAnsi="Arial" w:cs="Arial"/>
          <w:b/>
          <w:sz w:val="22"/>
        </w:rPr>
        <w:t>MEETING OF THE INTER-ICG TASK TEAM ON DISASTER MANAGEMENT AND PREPAREDNESS</w:t>
      </w:r>
    </w:p>
    <w:p w14:paraId="4110921B" w14:textId="77777777" w:rsidR="00733E87" w:rsidRPr="00733E87" w:rsidRDefault="00733E87" w:rsidP="00733E87">
      <w:pPr>
        <w:spacing w:after="120"/>
        <w:jc w:val="center"/>
        <w:rPr>
          <w:rFonts w:ascii="Arial" w:hAnsi="Arial" w:cs="Arial"/>
          <w:b/>
          <w:sz w:val="22"/>
        </w:rPr>
      </w:pPr>
    </w:p>
    <w:p w14:paraId="368AC94B" w14:textId="750EFE5A" w:rsidR="00232346" w:rsidRPr="004766A7" w:rsidRDefault="00733E87" w:rsidP="00733E87">
      <w:pPr>
        <w:spacing w:after="120"/>
        <w:jc w:val="center"/>
        <w:rPr>
          <w:rFonts w:cs="Arial"/>
        </w:rPr>
      </w:pPr>
      <w:r w:rsidRPr="00733E87">
        <w:rPr>
          <w:rFonts w:ascii="Arial" w:hAnsi="Arial" w:cs="Arial"/>
          <w:b/>
          <w:sz w:val="22"/>
        </w:rPr>
        <w:t>21</w:t>
      </w:r>
      <w:r>
        <w:rPr>
          <w:rFonts w:ascii="Arial" w:hAnsi="Arial" w:cs="Arial"/>
          <w:b/>
          <w:sz w:val="22"/>
        </w:rPr>
        <w:t xml:space="preserve">-22 </w:t>
      </w:r>
      <w:r w:rsidRPr="00733E87">
        <w:rPr>
          <w:rFonts w:ascii="Arial" w:hAnsi="Arial" w:cs="Arial"/>
          <w:b/>
          <w:sz w:val="22"/>
        </w:rPr>
        <w:t>February 2025</w:t>
      </w:r>
    </w:p>
    <w:p w14:paraId="05591964" w14:textId="665335E5" w:rsidR="00232346" w:rsidRDefault="00232346" w:rsidP="00232346">
      <w:pPr>
        <w:spacing w:after="240"/>
        <w:jc w:val="center"/>
        <w:rPr>
          <w:rFonts w:ascii="Arial" w:hAnsi="Arial" w:cs="Arial"/>
          <w:color w:val="000000"/>
          <w:sz w:val="22"/>
          <w:szCs w:val="22"/>
        </w:rPr>
      </w:pPr>
      <w:r>
        <w:rPr>
          <w:rFonts w:ascii="Arial" w:hAnsi="Arial" w:cs="Arial"/>
          <w:color w:val="000000"/>
          <w:sz w:val="22"/>
          <w:szCs w:val="22"/>
        </w:rPr>
        <w:t>Paris, France</w:t>
      </w:r>
    </w:p>
    <w:p w14:paraId="32CF4E72" w14:textId="77777777" w:rsidR="007E2D80" w:rsidRDefault="007E2D80" w:rsidP="007E2D80">
      <w:pPr>
        <w:rPr>
          <w:rFonts w:ascii="Arial" w:eastAsia="Arial" w:hAnsi="Arial" w:cs="Arial"/>
          <w:b/>
          <w:sz w:val="28"/>
          <w:szCs w:val="28"/>
        </w:rPr>
      </w:pPr>
    </w:p>
    <w:tbl>
      <w:tblPr>
        <w:tblW w:w="10305"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325"/>
      </w:tblGrid>
      <w:tr w:rsidR="007E2D80" w14:paraId="5C4C0AFD" w14:textId="77777777" w:rsidTr="00DA5D95">
        <w:tc>
          <w:tcPr>
            <w:tcW w:w="1980" w:type="dxa"/>
            <w:shd w:val="clear" w:color="auto" w:fill="auto"/>
          </w:tcPr>
          <w:p w14:paraId="560132D2" w14:textId="77777777" w:rsidR="007E2D80" w:rsidRDefault="007E2D80" w:rsidP="00DA5D95">
            <w:pPr>
              <w:jc w:val="center"/>
              <w:rPr>
                <w:rFonts w:ascii="Arial" w:eastAsia="Arial" w:hAnsi="Arial" w:cs="Arial"/>
                <w:b/>
                <w:sz w:val="28"/>
                <w:szCs w:val="28"/>
              </w:rPr>
            </w:pPr>
            <w:r>
              <w:rPr>
                <w:rFonts w:ascii="Arial" w:eastAsia="Arial" w:hAnsi="Arial" w:cs="Arial"/>
                <w:b/>
                <w:noProof/>
                <w:sz w:val="28"/>
                <w:szCs w:val="28"/>
                <w:lang w:eastAsia="en-US"/>
              </w:rPr>
              <w:drawing>
                <wp:inline distT="0" distB="0" distL="0" distR="0" wp14:anchorId="4ED17567" wp14:editId="5491DC50">
                  <wp:extent cx="1149350" cy="107505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6"/>
                          <a:srcRect/>
                          <a:stretch>
                            <a:fillRect/>
                          </a:stretch>
                        </pic:blipFill>
                        <pic:spPr>
                          <a:xfrm>
                            <a:off x="0" y="0"/>
                            <a:ext cx="1149350" cy="1075055"/>
                          </a:xfrm>
                          <a:prstGeom prst="rect">
                            <a:avLst/>
                          </a:prstGeom>
                          <a:ln/>
                        </pic:spPr>
                      </pic:pic>
                    </a:graphicData>
                  </a:graphic>
                </wp:inline>
              </w:drawing>
            </w:r>
          </w:p>
        </w:tc>
        <w:tc>
          <w:tcPr>
            <w:tcW w:w="8325" w:type="dxa"/>
            <w:shd w:val="clear" w:color="auto" w:fill="auto"/>
          </w:tcPr>
          <w:p w14:paraId="0707801A" w14:textId="77777777" w:rsidR="007E2D80" w:rsidRDefault="007E2D80" w:rsidP="00DA5D95">
            <w:pPr>
              <w:ind w:left="-427"/>
              <w:jc w:val="center"/>
              <w:rPr>
                <w:rFonts w:ascii="Arial" w:eastAsia="Arial" w:hAnsi="Arial" w:cs="Arial"/>
                <w:b/>
                <w:sz w:val="28"/>
                <w:szCs w:val="28"/>
              </w:rPr>
            </w:pPr>
            <w:r>
              <w:rPr>
                <w:rFonts w:ascii="Arial" w:eastAsia="Arial" w:hAnsi="Arial" w:cs="Arial"/>
                <w:b/>
                <w:sz w:val="28"/>
                <w:szCs w:val="28"/>
              </w:rPr>
              <w:t>MEETING OF THE INTER-ICG TASK TEAM ON DISASTER MANAGEMENT AND PREPAREDNESS</w:t>
            </w:r>
          </w:p>
          <w:p w14:paraId="45CA28CE" w14:textId="77777777" w:rsidR="007E2D80" w:rsidRDefault="007E2D80" w:rsidP="00DA5D95">
            <w:pPr>
              <w:ind w:left="-427"/>
              <w:jc w:val="center"/>
              <w:rPr>
                <w:rFonts w:ascii="Arial" w:eastAsia="Arial" w:hAnsi="Arial" w:cs="Arial"/>
              </w:rPr>
            </w:pPr>
          </w:p>
          <w:p w14:paraId="778C4BFC" w14:textId="77777777" w:rsidR="007E2D80" w:rsidRDefault="007E2D80" w:rsidP="00DA5D95">
            <w:pPr>
              <w:ind w:left="-427"/>
              <w:jc w:val="center"/>
              <w:rPr>
                <w:rFonts w:ascii="Arial" w:eastAsia="Arial" w:hAnsi="Arial" w:cs="Arial"/>
                <w:b/>
              </w:rPr>
            </w:pPr>
            <w:r w:rsidRPr="00733E87">
              <w:rPr>
                <w:rFonts w:ascii="Arial" w:eastAsia="Arial" w:hAnsi="Arial" w:cs="Arial"/>
                <w:b/>
                <w:sz w:val="22"/>
                <w:szCs w:val="22"/>
              </w:rPr>
              <w:t>INTERGOVERNMENTAL OCEANOGRAPHIC COMMISSION (IOC)- UNESCO</w:t>
            </w:r>
          </w:p>
        </w:tc>
      </w:tr>
      <w:tr w:rsidR="007E2D80" w14:paraId="2320298C" w14:textId="77777777" w:rsidTr="00DA5D95">
        <w:tc>
          <w:tcPr>
            <w:tcW w:w="1980" w:type="dxa"/>
            <w:shd w:val="clear" w:color="auto" w:fill="auto"/>
          </w:tcPr>
          <w:p w14:paraId="6C4E8345" w14:textId="77777777" w:rsidR="007E2D80" w:rsidRDefault="007E2D80" w:rsidP="00DA5D95">
            <w:pPr>
              <w:jc w:val="center"/>
              <w:rPr>
                <w:rFonts w:ascii="Arial" w:eastAsia="Arial" w:hAnsi="Arial" w:cs="Arial"/>
                <w:b/>
                <w:sz w:val="28"/>
                <w:szCs w:val="28"/>
              </w:rPr>
            </w:pPr>
          </w:p>
        </w:tc>
        <w:tc>
          <w:tcPr>
            <w:tcW w:w="8325" w:type="dxa"/>
            <w:shd w:val="clear" w:color="auto" w:fill="auto"/>
          </w:tcPr>
          <w:p w14:paraId="1B0ED578" w14:textId="401E6F19" w:rsidR="007E2D80" w:rsidRDefault="007E2D80" w:rsidP="00DA5D95">
            <w:pPr>
              <w:ind w:left="-1136"/>
              <w:jc w:val="center"/>
              <w:rPr>
                <w:rFonts w:ascii="Arial" w:eastAsia="Arial" w:hAnsi="Arial" w:cs="Arial"/>
                <w:b/>
                <w:sz w:val="28"/>
                <w:szCs w:val="28"/>
              </w:rPr>
            </w:pPr>
            <w:r>
              <w:rPr>
                <w:rFonts w:ascii="Arial" w:eastAsia="Arial" w:hAnsi="Arial" w:cs="Arial"/>
                <w:color w:val="808080"/>
              </w:rPr>
              <w:t>2</w:t>
            </w:r>
            <w:r w:rsidR="00733E87">
              <w:rPr>
                <w:rFonts w:ascii="Arial" w:eastAsia="Arial" w:hAnsi="Arial" w:cs="Arial"/>
                <w:color w:val="808080"/>
              </w:rPr>
              <w:t>1</w:t>
            </w:r>
            <w:r>
              <w:rPr>
                <w:rFonts w:ascii="Arial" w:eastAsia="Arial" w:hAnsi="Arial" w:cs="Arial"/>
                <w:color w:val="808080"/>
              </w:rPr>
              <w:t xml:space="preserve"> - 2</w:t>
            </w:r>
            <w:r w:rsidR="00733E87">
              <w:rPr>
                <w:rFonts w:ascii="Arial" w:eastAsia="Arial" w:hAnsi="Arial" w:cs="Arial"/>
                <w:color w:val="808080"/>
              </w:rPr>
              <w:t>2</w:t>
            </w:r>
            <w:r>
              <w:rPr>
                <w:rFonts w:ascii="Arial" w:eastAsia="Arial" w:hAnsi="Arial" w:cs="Arial"/>
                <w:color w:val="808080"/>
              </w:rPr>
              <w:t xml:space="preserve"> February 202</w:t>
            </w:r>
            <w:r w:rsidR="00733E87">
              <w:rPr>
                <w:rFonts w:ascii="Arial" w:eastAsia="Arial" w:hAnsi="Arial" w:cs="Arial"/>
                <w:color w:val="808080"/>
              </w:rPr>
              <w:t>5</w:t>
            </w:r>
            <w:r>
              <w:rPr>
                <w:rFonts w:ascii="Arial" w:eastAsia="Arial" w:hAnsi="Arial" w:cs="Arial"/>
                <w:color w:val="808080"/>
              </w:rPr>
              <w:t xml:space="preserve"> </w:t>
            </w:r>
          </w:p>
        </w:tc>
      </w:tr>
    </w:tbl>
    <w:p w14:paraId="23E6A83E" w14:textId="77777777" w:rsidR="007E2D80" w:rsidRDefault="007E2D80" w:rsidP="007E2D80">
      <w:pPr>
        <w:widowControl w:val="0"/>
        <w:spacing w:before="240"/>
        <w:jc w:val="center"/>
        <w:rPr>
          <w:rFonts w:ascii="Arial" w:eastAsia="Arial" w:hAnsi="Arial" w:cs="Arial"/>
          <w:b/>
        </w:rPr>
      </w:pPr>
      <w:r>
        <w:rPr>
          <w:rFonts w:ascii="Arial" w:eastAsia="Arial" w:hAnsi="Arial" w:cs="Arial"/>
          <w:b/>
        </w:rPr>
        <w:t xml:space="preserve">TOWS Task Team on Disaster Management and Preparedness (TT-DMP) </w:t>
      </w:r>
      <w:r>
        <w:rPr>
          <w:rFonts w:ascii="Arial" w:eastAsia="Arial" w:hAnsi="Arial" w:cs="Arial"/>
          <w:b/>
        </w:rPr>
        <w:br/>
        <w:t>Members and Observers</w:t>
      </w:r>
    </w:p>
    <w:p w14:paraId="62D117D5" w14:textId="77777777" w:rsidR="007E2D80" w:rsidRDefault="007E2D80" w:rsidP="007E2D80">
      <w:pPr>
        <w:widowControl w:val="0"/>
        <w:spacing w:before="240"/>
        <w:jc w:val="center"/>
        <w:rPr>
          <w:rFonts w:ascii="Arial" w:eastAsia="Arial" w:hAnsi="Arial" w:cs="Arial"/>
          <w:b/>
        </w:rPr>
      </w:pPr>
    </w:p>
    <w:p w14:paraId="0F8159CA" w14:textId="77777777" w:rsidR="007E2D80" w:rsidRDefault="007E2D80" w:rsidP="007E2D80">
      <w:pPr>
        <w:widowControl w:val="0"/>
        <w:ind w:right="98"/>
        <w:rPr>
          <w:rFonts w:ascii="Arial" w:eastAsia="Arial" w:hAnsi="Arial" w:cs="Arial"/>
          <w:sz w:val="20"/>
          <w:szCs w:val="20"/>
        </w:rPr>
      </w:pPr>
    </w:p>
    <w:p w14:paraId="705E62C3" w14:textId="77777777" w:rsidR="007E2D80" w:rsidRDefault="007E2D80" w:rsidP="007E2D80">
      <w:pPr>
        <w:widowControl w:val="0"/>
        <w:ind w:right="98"/>
        <w:rPr>
          <w:rFonts w:ascii="Arial" w:eastAsia="Arial" w:hAnsi="Arial" w:cs="Arial"/>
          <w:sz w:val="20"/>
          <w:szCs w:val="20"/>
        </w:rPr>
      </w:pPr>
    </w:p>
    <w:p w14:paraId="397EB168" w14:textId="77777777" w:rsidR="00733E87" w:rsidRPr="00733E87" w:rsidRDefault="00733E87" w:rsidP="00733E87">
      <w:pPr>
        <w:keepNext/>
        <w:keepLines/>
        <w:pBdr>
          <w:top w:val="nil"/>
          <w:left w:val="nil"/>
          <w:bottom w:val="nil"/>
          <w:right w:val="nil"/>
          <w:between w:val="nil"/>
        </w:pBdr>
        <w:tabs>
          <w:tab w:val="clear" w:pos="709"/>
        </w:tabs>
        <w:snapToGrid/>
        <w:spacing w:before="240" w:line="259" w:lineRule="auto"/>
        <w:rPr>
          <w:rFonts w:ascii="Play" w:eastAsia="Play" w:hAnsi="Play" w:cs="Play"/>
          <w:snapToGrid/>
          <w:color w:val="0F4761"/>
          <w:sz w:val="32"/>
          <w:szCs w:val="32"/>
          <w:lang w:val="en-US"/>
        </w:rPr>
      </w:pPr>
      <w:r w:rsidRPr="00733E87">
        <w:rPr>
          <w:rFonts w:ascii="Play" w:eastAsia="Play" w:hAnsi="Play" w:cs="Play"/>
          <w:snapToGrid/>
          <w:color w:val="0F4761"/>
          <w:sz w:val="32"/>
          <w:szCs w:val="32"/>
          <w:lang w:val="en-US"/>
        </w:rPr>
        <w:t>Contents</w:t>
      </w:r>
    </w:p>
    <w:sdt>
      <w:sdtPr>
        <w:rPr>
          <w:rFonts w:ascii="Aptos" w:eastAsia="Aptos" w:hAnsi="Aptos" w:cs="Aptos"/>
          <w:snapToGrid/>
          <w:lang w:val="en-US"/>
        </w:rPr>
        <w:id w:val="-531039986"/>
        <w:docPartObj>
          <w:docPartGallery w:val="Table of Contents"/>
          <w:docPartUnique/>
        </w:docPartObj>
      </w:sdtPr>
      <w:sdtContent>
        <w:p w14:paraId="4C68A731" w14:textId="77777777" w:rsidR="00733E87" w:rsidRPr="00733E87" w:rsidRDefault="00733E87" w:rsidP="00733E87">
          <w:pPr>
            <w:tabs>
              <w:tab w:val="right" w:pos="9350"/>
            </w:tabs>
            <w:snapToGrid/>
            <w:spacing w:after="100" w:line="278" w:lineRule="auto"/>
            <w:rPr>
              <w:rFonts w:ascii="Cambria" w:hAnsi="Cambria" w:cs="Arial"/>
              <w:noProof/>
              <w:snapToGrid/>
              <w:kern w:val="2"/>
              <w:lang w:val="en-US"/>
              <w14:ligatures w14:val="standardContextual"/>
            </w:rPr>
          </w:pPr>
          <w:r w:rsidRPr="00733E87">
            <w:rPr>
              <w:rFonts w:ascii="Aptos" w:eastAsia="Aptos" w:hAnsi="Aptos" w:cs="Aptos"/>
              <w:snapToGrid/>
              <w:lang w:val="en-US"/>
            </w:rPr>
            <w:fldChar w:fldCharType="begin"/>
          </w:r>
          <w:r w:rsidRPr="00733E87">
            <w:rPr>
              <w:rFonts w:ascii="Aptos" w:eastAsia="Aptos" w:hAnsi="Aptos" w:cs="Aptos"/>
              <w:snapToGrid/>
              <w:lang w:val="en-US"/>
            </w:rPr>
            <w:instrText xml:space="preserve"> TOC \h \u \z \t "Heading 1,1,Heading 2,2,Heading 3,3,"</w:instrText>
          </w:r>
          <w:r w:rsidRPr="00733E87">
            <w:rPr>
              <w:rFonts w:ascii="Aptos" w:eastAsia="Aptos" w:hAnsi="Aptos" w:cs="Aptos"/>
              <w:snapToGrid/>
              <w:lang w:val="en-US"/>
            </w:rPr>
            <w:fldChar w:fldCharType="separate"/>
          </w:r>
          <w:hyperlink w:anchor="_Toc193832074" w:history="1">
            <w:r w:rsidRPr="00733E87">
              <w:rPr>
                <w:rFonts w:ascii="Aptos" w:eastAsia="Aptos" w:hAnsi="Aptos" w:cs="Aptos"/>
                <w:noProof/>
                <w:snapToGrid/>
                <w:color w:val="0000FF"/>
                <w:u w:val="single"/>
                <w:lang w:val="en-US"/>
              </w:rPr>
              <w:t>1.0</w:t>
            </w:r>
            <w:r w:rsidRPr="00733E87">
              <w:rPr>
                <w:rFonts w:ascii="Cambria" w:hAnsi="Cambria" w:cs="Arial"/>
                <w:noProof/>
                <w:snapToGrid/>
                <w:kern w:val="2"/>
                <w:lang w:val="en-US"/>
                <w14:ligatures w14:val="standardContextual"/>
              </w:rPr>
              <w:tab/>
            </w:r>
            <w:r w:rsidRPr="00733E87">
              <w:rPr>
                <w:rFonts w:ascii="Aptos" w:eastAsia="Aptos" w:hAnsi="Aptos" w:cs="Aptos"/>
                <w:noProof/>
                <w:snapToGrid/>
                <w:color w:val="0000FF"/>
                <w:u w:val="single"/>
                <w:lang w:val="en-US"/>
              </w:rPr>
              <w:t>SESSION ORGANISATION</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_Toc193832074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3</w:t>
            </w:r>
            <w:r w:rsidRPr="00733E87">
              <w:rPr>
                <w:rFonts w:ascii="Aptos" w:eastAsia="Aptos" w:hAnsi="Aptos" w:cs="Aptos"/>
                <w:noProof/>
                <w:snapToGrid/>
                <w:webHidden/>
                <w:lang w:val="en-US"/>
              </w:rPr>
              <w:fldChar w:fldCharType="end"/>
            </w:r>
          </w:hyperlink>
        </w:p>
        <w:p w14:paraId="65E2D66B" w14:textId="77777777" w:rsidR="00733E87" w:rsidRPr="00733E87" w:rsidRDefault="00733E87" w:rsidP="00733E87">
          <w:pPr>
            <w:tabs>
              <w:tab w:val="right" w:pos="9350"/>
            </w:tabs>
            <w:snapToGrid/>
            <w:spacing w:after="100" w:line="278" w:lineRule="auto"/>
            <w:rPr>
              <w:rFonts w:ascii="Cambria" w:hAnsi="Cambria" w:cs="Arial"/>
              <w:noProof/>
              <w:snapToGrid/>
              <w:kern w:val="2"/>
              <w:lang w:val="en-US"/>
              <w14:ligatures w14:val="standardContextual"/>
            </w:rPr>
          </w:pPr>
          <w:hyperlink w:anchor="_Toc193832075" w:history="1">
            <w:r w:rsidRPr="00733E87">
              <w:rPr>
                <w:rFonts w:ascii="Aptos" w:eastAsia="Aptos" w:hAnsi="Aptos" w:cs="Aptos"/>
                <w:noProof/>
                <w:snapToGrid/>
                <w:color w:val="0000FF"/>
                <w:u w:val="single"/>
                <w:lang w:val="en-US"/>
              </w:rPr>
              <w:t>2.0</w:t>
            </w:r>
            <w:r w:rsidRPr="00733E87">
              <w:rPr>
                <w:rFonts w:ascii="Cambria" w:hAnsi="Cambria" w:cs="Arial"/>
                <w:noProof/>
                <w:snapToGrid/>
                <w:kern w:val="2"/>
                <w:lang w:val="en-US"/>
                <w14:ligatures w14:val="standardContextual"/>
              </w:rPr>
              <w:tab/>
            </w:r>
            <w:r w:rsidRPr="00733E87">
              <w:rPr>
                <w:rFonts w:ascii="Aptos" w:eastAsia="Aptos" w:hAnsi="Aptos" w:cs="Aptos"/>
                <w:noProof/>
                <w:snapToGrid/>
                <w:color w:val="0000FF"/>
                <w:u w:val="single"/>
                <w:lang w:val="en-US"/>
              </w:rPr>
              <w:t>DISCUSS OUTCOMES OF THE JOINT MEETING WITH TT TWO</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_Toc193832075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3</w:t>
            </w:r>
            <w:r w:rsidRPr="00733E87">
              <w:rPr>
                <w:rFonts w:ascii="Aptos" w:eastAsia="Aptos" w:hAnsi="Aptos" w:cs="Aptos"/>
                <w:noProof/>
                <w:snapToGrid/>
                <w:webHidden/>
                <w:lang w:val="en-US"/>
              </w:rPr>
              <w:fldChar w:fldCharType="end"/>
            </w:r>
          </w:hyperlink>
        </w:p>
        <w:p w14:paraId="4A48BBFC" w14:textId="77777777" w:rsidR="00733E87" w:rsidRPr="00733E87" w:rsidRDefault="00733E87" w:rsidP="00733E87">
          <w:pPr>
            <w:tabs>
              <w:tab w:val="clear" w:pos="709"/>
              <w:tab w:val="right" w:pos="9350"/>
            </w:tabs>
            <w:snapToGrid/>
            <w:spacing w:after="100" w:line="278" w:lineRule="auto"/>
            <w:rPr>
              <w:rFonts w:ascii="Cambria" w:hAnsi="Cambria" w:cs="Arial"/>
              <w:noProof/>
              <w:snapToGrid/>
              <w:kern w:val="2"/>
              <w:lang w:val="en-US"/>
              <w14:ligatures w14:val="standardContextual"/>
            </w:rPr>
          </w:pPr>
          <w:hyperlink w:anchor="_Toc193832076" w:history="1">
            <w:r w:rsidRPr="00733E87">
              <w:rPr>
                <w:rFonts w:ascii="Aptos" w:eastAsia="Aptos" w:hAnsi="Aptos" w:cs="Aptos"/>
                <w:noProof/>
                <w:snapToGrid/>
                <w:color w:val="0000FF"/>
                <w:u w:val="single"/>
                <w:lang w:val="en-US"/>
              </w:rPr>
              <w:t>3.0 REVIEW KEY ACTION ITEMS (MAIN ISSUES)</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_Toc193832076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4</w:t>
            </w:r>
            <w:r w:rsidRPr="00733E87">
              <w:rPr>
                <w:rFonts w:ascii="Aptos" w:eastAsia="Aptos" w:hAnsi="Aptos" w:cs="Aptos"/>
                <w:noProof/>
                <w:snapToGrid/>
                <w:webHidden/>
                <w:lang w:val="en-US"/>
              </w:rPr>
              <w:fldChar w:fldCharType="end"/>
            </w:r>
          </w:hyperlink>
        </w:p>
        <w:p w14:paraId="636088B6" w14:textId="77777777" w:rsidR="00733E87" w:rsidRPr="00733E87" w:rsidRDefault="00733E87" w:rsidP="00733E87">
          <w:pPr>
            <w:tabs>
              <w:tab w:val="clear" w:pos="709"/>
              <w:tab w:val="right" w:pos="9350"/>
            </w:tabs>
            <w:snapToGrid/>
            <w:spacing w:after="100" w:line="278" w:lineRule="auto"/>
            <w:rPr>
              <w:rFonts w:ascii="Cambria" w:hAnsi="Cambria" w:cs="Arial"/>
              <w:noProof/>
              <w:snapToGrid/>
              <w:kern w:val="2"/>
              <w:lang w:val="en-US"/>
              <w14:ligatures w14:val="standardContextual"/>
            </w:rPr>
          </w:pPr>
          <w:hyperlink w:anchor="_Toc193832077" w:history="1">
            <w:r w:rsidRPr="00733E87">
              <w:rPr>
                <w:rFonts w:ascii="Aptos" w:eastAsia="Aptos" w:hAnsi="Aptos" w:cs="Aptos"/>
                <w:noProof/>
                <w:snapToGrid/>
                <w:color w:val="0000FF"/>
                <w:u w:val="single"/>
                <w:lang w:val="en-US"/>
              </w:rPr>
              <w:t>4.0 TSUNAMI READY</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_Toc193832077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4</w:t>
            </w:r>
            <w:r w:rsidRPr="00733E87">
              <w:rPr>
                <w:rFonts w:ascii="Aptos" w:eastAsia="Aptos" w:hAnsi="Aptos" w:cs="Aptos"/>
                <w:noProof/>
                <w:snapToGrid/>
                <w:webHidden/>
                <w:lang w:val="en-US"/>
              </w:rPr>
              <w:fldChar w:fldCharType="end"/>
            </w:r>
          </w:hyperlink>
        </w:p>
        <w:p w14:paraId="0969A9FA" w14:textId="77777777" w:rsidR="00733E87" w:rsidRPr="00733E87" w:rsidRDefault="00733E87" w:rsidP="00733E87">
          <w:pPr>
            <w:tabs>
              <w:tab w:val="clear" w:pos="709"/>
              <w:tab w:val="right" w:pos="9350"/>
            </w:tabs>
            <w:snapToGrid/>
            <w:spacing w:after="100" w:line="278" w:lineRule="auto"/>
            <w:ind w:left="240"/>
            <w:rPr>
              <w:rFonts w:ascii="Cambria" w:hAnsi="Cambria" w:cs="Arial"/>
              <w:noProof/>
              <w:snapToGrid/>
              <w:kern w:val="2"/>
              <w:lang w:val="en-US"/>
              <w14:ligatures w14:val="standardContextual"/>
            </w:rPr>
          </w:pPr>
          <w:hyperlink w:anchor="_Toc193832078" w:history="1">
            <w:r w:rsidRPr="00733E87">
              <w:rPr>
                <w:rFonts w:ascii="Aptos" w:eastAsia="Aptos" w:hAnsi="Aptos" w:cs="Aptos"/>
                <w:noProof/>
                <w:snapToGrid/>
                <w:color w:val="0000FF"/>
                <w:u w:val="single"/>
                <w:lang w:val="en-US"/>
              </w:rPr>
              <w:t>4.1 Tsunami Ready Implementation Status</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_Toc193832078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4</w:t>
            </w:r>
            <w:r w:rsidRPr="00733E87">
              <w:rPr>
                <w:rFonts w:ascii="Aptos" w:eastAsia="Aptos" w:hAnsi="Aptos" w:cs="Aptos"/>
                <w:noProof/>
                <w:snapToGrid/>
                <w:webHidden/>
                <w:lang w:val="en-US"/>
              </w:rPr>
              <w:fldChar w:fldCharType="end"/>
            </w:r>
          </w:hyperlink>
        </w:p>
        <w:p w14:paraId="35AA98F6" w14:textId="77777777" w:rsidR="00733E87" w:rsidRPr="00733E87" w:rsidRDefault="00733E87" w:rsidP="00733E87">
          <w:pPr>
            <w:tabs>
              <w:tab w:val="clear" w:pos="709"/>
              <w:tab w:val="right" w:pos="9350"/>
            </w:tabs>
            <w:snapToGrid/>
            <w:spacing w:after="100" w:line="278" w:lineRule="auto"/>
            <w:ind w:left="240"/>
            <w:rPr>
              <w:rFonts w:ascii="Cambria" w:hAnsi="Cambria" w:cs="Arial"/>
              <w:noProof/>
              <w:snapToGrid/>
              <w:kern w:val="2"/>
              <w:lang w:val="en-US"/>
              <w14:ligatures w14:val="standardContextual"/>
            </w:rPr>
          </w:pPr>
          <w:hyperlink w:anchor="_Toc193832079" w:history="1">
            <w:r w:rsidRPr="00733E87">
              <w:rPr>
                <w:rFonts w:ascii="Aptos" w:eastAsia="Aptos" w:hAnsi="Aptos" w:cs="Aptos"/>
                <w:noProof/>
                <w:snapToGrid/>
                <w:color w:val="0000FF"/>
                <w:u w:val="single"/>
                <w:lang w:val="en-US"/>
              </w:rPr>
              <w:t>4.2 Synergy with Local and National Resilient Programmes (Tsunami Parity)</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_Toc193832079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9</w:t>
            </w:r>
            <w:r w:rsidRPr="00733E87">
              <w:rPr>
                <w:rFonts w:ascii="Aptos" w:eastAsia="Aptos" w:hAnsi="Aptos" w:cs="Aptos"/>
                <w:noProof/>
                <w:snapToGrid/>
                <w:webHidden/>
                <w:lang w:val="en-US"/>
              </w:rPr>
              <w:fldChar w:fldCharType="end"/>
            </w:r>
          </w:hyperlink>
        </w:p>
        <w:p w14:paraId="6CBAF799" w14:textId="77777777" w:rsidR="00733E87" w:rsidRPr="00733E87" w:rsidRDefault="00733E87" w:rsidP="00733E87">
          <w:pPr>
            <w:tabs>
              <w:tab w:val="clear" w:pos="709"/>
              <w:tab w:val="right" w:pos="9350"/>
            </w:tabs>
            <w:snapToGrid/>
            <w:spacing w:after="100" w:line="278" w:lineRule="auto"/>
            <w:ind w:left="240"/>
            <w:rPr>
              <w:rFonts w:ascii="Cambria" w:hAnsi="Cambria" w:cs="Arial"/>
              <w:noProof/>
              <w:snapToGrid/>
              <w:kern w:val="2"/>
              <w:lang w:val="en-US"/>
              <w14:ligatures w14:val="standardContextual"/>
            </w:rPr>
          </w:pPr>
          <w:hyperlink w:anchor="_Toc193832080" w:history="1">
            <w:r w:rsidRPr="00733E87">
              <w:rPr>
                <w:rFonts w:ascii="Aptos" w:eastAsia="Aptos" w:hAnsi="Aptos" w:cs="Aptos"/>
                <w:noProof/>
                <w:snapToGrid/>
                <w:color w:val="0000FF"/>
                <w:u w:val="single"/>
                <w:lang w:val="en-US"/>
              </w:rPr>
              <w:t>4.3 Tsunami Ready Tool Kit</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_Toc193832080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10</w:t>
            </w:r>
            <w:r w:rsidRPr="00733E87">
              <w:rPr>
                <w:rFonts w:ascii="Aptos" w:eastAsia="Aptos" w:hAnsi="Aptos" w:cs="Aptos"/>
                <w:noProof/>
                <w:snapToGrid/>
                <w:webHidden/>
                <w:lang w:val="en-US"/>
              </w:rPr>
              <w:fldChar w:fldCharType="end"/>
            </w:r>
          </w:hyperlink>
        </w:p>
        <w:p w14:paraId="5BB98771" w14:textId="77777777" w:rsidR="00733E87" w:rsidRPr="00733E87" w:rsidRDefault="00733E87" w:rsidP="00733E87">
          <w:pPr>
            <w:tabs>
              <w:tab w:val="clear" w:pos="709"/>
              <w:tab w:val="right" w:pos="9350"/>
            </w:tabs>
            <w:snapToGrid/>
            <w:spacing w:after="100" w:line="278" w:lineRule="auto"/>
            <w:ind w:left="240"/>
            <w:rPr>
              <w:rFonts w:ascii="Cambria" w:hAnsi="Cambria" w:cs="Arial"/>
              <w:noProof/>
              <w:snapToGrid/>
              <w:kern w:val="2"/>
              <w:lang w:val="en-US"/>
              <w14:ligatures w14:val="standardContextual"/>
            </w:rPr>
          </w:pPr>
          <w:hyperlink w:anchor="_Toc193832081" w:history="1">
            <w:r w:rsidRPr="00733E87">
              <w:rPr>
                <w:rFonts w:ascii="Aptos" w:eastAsia="Aptos" w:hAnsi="Aptos" w:cs="Aptos"/>
                <w:noProof/>
                <w:snapToGrid/>
                <w:color w:val="0000FF"/>
                <w:u w:val="single"/>
                <w:lang w:val="en-US"/>
              </w:rPr>
              <w:t>4.4 Tsunami Ready Coalition Implementation Plan</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_Toc193832081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13</w:t>
            </w:r>
            <w:r w:rsidRPr="00733E87">
              <w:rPr>
                <w:rFonts w:ascii="Aptos" w:eastAsia="Aptos" w:hAnsi="Aptos" w:cs="Aptos"/>
                <w:noProof/>
                <w:snapToGrid/>
                <w:webHidden/>
                <w:lang w:val="en-US"/>
              </w:rPr>
              <w:fldChar w:fldCharType="end"/>
            </w:r>
          </w:hyperlink>
        </w:p>
        <w:p w14:paraId="778DD263" w14:textId="77777777" w:rsidR="00733E87" w:rsidRPr="00733E87" w:rsidRDefault="00733E87" w:rsidP="00733E87">
          <w:pPr>
            <w:tabs>
              <w:tab w:val="clear" w:pos="709"/>
              <w:tab w:val="right" w:pos="9350"/>
            </w:tabs>
            <w:snapToGrid/>
            <w:spacing w:after="100" w:line="278" w:lineRule="auto"/>
            <w:ind w:left="240"/>
            <w:rPr>
              <w:rFonts w:ascii="Cambria" w:hAnsi="Cambria" w:cs="Arial"/>
              <w:noProof/>
              <w:snapToGrid/>
              <w:kern w:val="2"/>
              <w:lang w:val="en-US"/>
              <w14:ligatures w14:val="standardContextual"/>
            </w:rPr>
          </w:pPr>
          <w:hyperlink w:anchor="_Toc193832082" w:history="1">
            <w:r w:rsidRPr="00733E87">
              <w:rPr>
                <w:rFonts w:ascii="Aptos" w:eastAsia="Aptos" w:hAnsi="Aptos" w:cs="Aptos"/>
                <w:noProof/>
                <w:snapToGrid/>
                <w:color w:val="0000FF"/>
                <w:u w:val="single"/>
                <w:lang w:val="en-US"/>
              </w:rPr>
              <w:t>4.5 Policy and Future Implementation: Tsunami Ready</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_Toc193832082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16</w:t>
            </w:r>
            <w:r w:rsidRPr="00733E87">
              <w:rPr>
                <w:rFonts w:ascii="Aptos" w:eastAsia="Aptos" w:hAnsi="Aptos" w:cs="Aptos"/>
                <w:noProof/>
                <w:snapToGrid/>
                <w:webHidden/>
                <w:lang w:val="en-US"/>
              </w:rPr>
              <w:fldChar w:fldCharType="end"/>
            </w:r>
          </w:hyperlink>
        </w:p>
        <w:p w14:paraId="16CD2617" w14:textId="77777777" w:rsidR="00733E87" w:rsidRPr="00733E87" w:rsidRDefault="00733E87" w:rsidP="00733E87">
          <w:pPr>
            <w:tabs>
              <w:tab w:val="clear" w:pos="709"/>
              <w:tab w:val="right" w:pos="9350"/>
            </w:tabs>
            <w:snapToGrid/>
            <w:spacing w:after="100" w:line="278" w:lineRule="auto"/>
            <w:rPr>
              <w:rFonts w:ascii="Cambria" w:hAnsi="Cambria" w:cs="Arial"/>
              <w:noProof/>
              <w:snapToGrid/>
              <w:kern w:val="2"/>
              <w:lang w:val="en-US"/>
              <w14:ligatures w14:val="standardContextual"/>
            </w:rPr>
          </w:pPr>
          <w:hyperlink w:anchor="_Toc193832083" w:history="1">
            <w:r w:rsidRPr="00733E87">
              <w:rPr>
                <w:rFonts w:ascii="Aptos" w:eastAsia="Aptos" w:hAnsi="Aptos" w:cs="Aptos"/>
                <w:noProof/>
                <w:snapToGrid/>
                <w:color w:val="0000FF"/>
                <w:u w:val="single"/>
                <w:lang w:val="en-US"/>
              </w:rPr>
              <w:t>5.0 EDUCATION AND WORLD TSUNAMI AWARENESS DAY 2024 AND PLANNING FOR 2025</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_Toc193832083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18</w:t>
            </w:r>
            <w:r w:rsidRPr="00733E87">
              <w:rPr>
                <w:rFonts w:ascii="Aptos" w:eastAsia="Aptos" w:hAnsi="Aptos" w:cs="Aptos"/>
                <w:noProof/>
                <w:snapToGrid/>
                <w:webHidden/>
                <w:lang w:val="en-US"/>
              </w:rPr>
              <w:fldChar w:fldCharType="end"/>
            </w:r>
          </w:hyperlink>
        </w:p>
        <w:p w14:paraId="573AF93A" w14:textId="77777777" w:rsidR="00733E87" w:rsidRPr="00733E87" w:rsidRDefault="00733E87" w:rsidP="00733E87">
          <w:pPr>
            <w:tabs>
              <w:tab w:val="clear" w:pos="709"/>
              <w:tab w:val="right" w:pos="9350"/>
            </w:tabs>
            <w:snapToGrid/>
            <w:spacing w:after="100" w:line="278" w:lineRule="auto"/>
            <w:rPr>
              <w:rFonts w:ascii="Cambria" w:hAnsi="Cambria" w:cs="Arial"/>
              <w:noProof/>
              <w:snapToGrid/>
              <w:kern w:val="2"/>
              <w:lang w:val="en-US"/>
              <w14:ligatures w14:val="standardContextual"/>
            </w:rPr>
          </w:pPr>
          <w:hyperlink w:anchor="_Toc193832084" w:history="1">
            <w:r w:rsidRPr="00733E87">
              <w:rPr>
                <w:rFonts w:ascii="Aptos" w:eastAsia="Aptos" w:hAnsi="Aptos" w:cs="Aptos"/>
                <w:noProof/>
                <w:snapToGrid/>
                <w:color w:val="0000FF"/>
                <w:u w:val="single"/>
                <w:lang w:val="en-US"/>
              </w:rPr>
              <w:t>6.0 INCLUSIVE SOPs</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_Toc193832084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19</w:t>
            </w:r>
            <w:r w:rsidRPr="00733E87">
              <w:rPr>
                <w:rFonts w:ascii="Aptos" w:eastAsia="Aptos" w:hAnsi="Aptos" w:cs="Aptos"/>
                <w:noProof/>
                <w:snapToGrid/>
                <w:webHidden/>
                <w:lang w:val="en-US"/>
              </w:rPr>
              <w:fldChar w:fldCharType="end"/>
            </w:r>
          </w:hyperlink>
        </w:p>
        <w:p w14:paraId="0C77FABE" w14:textId="77777777" w:rsidR="00733E87" w:rsidRPr="00733E87" w:rsidRDefault="00733E87" w:rsidP="00733E87">
          <w:pPr>
            <w:tabs>
              <w:tab w:val="clear" w:pos="709"/>
              <w:tab w:val="right" w:pos="9350"/>
            </w:tabs>
            <w:snapToGrid/>
            <w:spacing w:after="100" w:line="278" w:lineRule="auto"/>
            <w:rPr>
              <w:rFonts w:ascii="Cambria" w:hAnsi="Cambria" w:cs="Arial"/>
              <w:noProof/>
              <w:snapToGrid/>
              <w:kern w:val="2"/>
              <w:lang w:val="en-US"/>
              <w14:ligatures w14:val="standardContextual"/>
            </w:rPr>
          </w:pPr>
          <w:hyperlink w:anchor="_Toc193832085" w:history="1">
            <w:r w:rsidRPr="00733E87">
              <w:rPr>
                <w:rFonts w:ascii="Aptos" w:eastAsia="Aptos" w:hAnsi="Aptos" w:cs="Aptos"/>
                <w:noProof/>
                <w:snapToGrid/>
                <w:color w:val="0000FF"/>
                <w:u w:val="single"/>
                <w:lang w:val="en-US"/>
              </w:rPr>
              <w:t>7.0 REVISED TT DMP TOR</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_Toc193832085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20</w:t>
            </w:r>
            <w:r w:rsidRPr="00733E87">
              <w:rPr>
                <w:rFonts w:ascii="Aptos" w:eastAsia="Aptos" w:hAnsi="Aptos" w:cs="Aptos"/>
                <w:noProof/>
                <w:snapToGrid/>
                <w:webHidden/>
                <w:lang w:val="en-US"/>
              </w:rPr>
              <w:fldChar w:fldCharType="end"/>
            </w:r>
          </w:hyperlink>
        </w:p>
        <w:p w14:paraId="71DB083D" w14:textId="77777777" w:rsidR="00733E87" w:rsidRPr="00733E87" w:rsidRDefault="00733E87" w:rsidP="00733E87">
          <w:pPr>
            <w:tabs>
              <w:tab w:val="clear" w:pos="709"/>
              <w:tab w:val="right" w:pos="9350"/>
            </w:tabs>
            <w:snapToGrid/>
            <w:spacing w:after="100" w:line="278" w:lineRule="auto"/>
            <w:rPr>
              <w:rFonts w:ascii="Cambria" w:hAnsi="Cambria" w:cs="Arial"/>
              <w:noProof/>
              <w:snapToGrid/>
              <w:kern w:val="2"/>
              <w:lang w:val="en-US"/>
              <w14:ligatures w14:val="standardContextual"/>
            </w:rPr>
          </w:pPr>
          <w:hyperlink w:anchor="_Toc193832086" w:history="1">
            <w:r w:rsidRPr="00733E87">
              <w:rPr>
                <w:rFonts w:ascii="Aptos" w:eastAsia="Aptos" w:hAnsi="Aptos" w:cs="Aptos"/>
                <w:noProof/>
                <w:snapToGrid/>
                <w:color w:val="0000FF"/>
                <w:u w:val="single"/>
                <w:lang w:val="en-US"/>
              </w:rPr>
              <w:t>8.0 DEVELOP TT TMP WORK PLAN</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_Toc193832086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22</w:t>
            </w:r>
            <w:r w:rsidRPr="00733E87">
              <w:rPr>
                <w:rFonts w:ascii="Aptos" w:eastAsia="Aptos" w:hAnsi="Aptos" w:cs="Aptos"/>
                <w:noProof/>
                <w:snapToGrid/>
                <w:webHidden/>
                <w:lang w:val="en-US"/>
              </w:rPr>
              <w:fldChar w:fldCharType="end"/>
            </w:r>
          </w:hyperlink>
        </w:p>
        <w:p w14:paraId="7AD7F55B" w14:textId="77777777" w:rsidR="00733E87" w:rsidRPr="00733E87" w:rsidRDefault="00733E87" w:rsidP="00733E87">
          <w:pPr>
            <w:tabs>
              <w:tab w:val="clear" w:pos="709"/>
              <w:tab w:val="right" w:pos="9350"/>
            </w:tabs>
            <w:snapToGrid/>
            <w:spacing w:after="100" w:line="278" w:lineRule="auto"/>
            <w:rPr>
              <w:rFonts w:ascii="Cambria" w:hAnsi="Cambria" w:cs="Arial"/>
              <w:noProof/>
              <w:snapToGrid/>
              <w:kern w:val="2"/>
              <w:lang w:val="en-US"/>
              <w14:ligatures w14:val="standardContextual"/>
            </w:rPr>
          </w:pPr>
          <w:hyperlink w:anchor="_Toc193832087" w:history="1">
            <w:r w:rsidRPr="00733E87">
              <w:rPr>
                <w:rFonts w:ascii="Aptos" w:eastAsia="Aptos" w:hAnsi="Aptos" w:cs="Aptos"/>
                <w:noProof/>
                <w:snapToGrid/>
                <w:color w:val="0000FF"/>
                <w:u w:val="single"/>
                <w:lang w:val="en-US"/>
              </w:rPr>
              <w:t>9.0 AOB &amp; CLOSE OF MEETING</w:t>
            </w:r>
            <w:r w:rsidRPr="00733E87">
              <w:rPr>
                <w:rFonts w:ascii="Aptos" w:eastAsia="Aptos" w:hAnsi="Aptos" w:cs="Aptos"/>
                <w:noProof/>
                <w:snapToGrid/>
                <w:webHidden/>
                <w:lang w:val="en-US"/>
              </w:rPr>
              <w:tab/>
            </w:r>
            <w:r w:rsidRPr="00733E87">
              <w:rPr>
                <w:rFonts w:ascii="Aptos" w:eastAsia="Aptos" w:hAnsi="Aptos" w:cs="Aptos"/>
                <w:noProof/>
                <w:snapToGrid/>
                <w:webHidden/>
                <w:lang w:val="en-US"/>
              </w:rPr>
              <w:fldChar w:fldCharType="begin"/>
            </w:r>
            <w:r w:rsidRPr="00733E87">
              <w:rPr>
                <w:rFonts w:ascii="Aptos" w:eastAsia="Aptos" w:hAnsi="Aptos" w:cs="Aptos"/>
                <w:noProof/>
                <w:snapToGrid/>
                <w:webHidden/>
                <w:lang w:val="en-US"/>
              </w:rPr>
              <w:instrText xml:space="preserve"> PAGEREF _Toc193832087 \h </w:instrText>
            </w:r>
            <w:r w:rsidRPr="00733E87">
              <w:rPr>
                <w:rFonts w:ascii="Aptos" w:eastAsia="Aptos" w:hAnsi="Aptos" w:cs="Aptos"/>
                <w:noProof/>
                <w:snapToGrid/>
                <w:webHidden/>
                <w:lang w:val="en-US"/>
              </w:rPr>
            </w:r>
            <w:r w:rsidRPr="00733E87">
              <w:rPr>
                <w:rFonts w:ascii="Aptos" w:eastAsia="Aptos" w:hAnsi="Aptos" w:cs="Aptos"/>
                <w:noProof/>
                <w:snapToGrid/>
                <w:webHidden/>
                <w:lang w:val="en-US"/>
              </w:rPr>
              <w:fldChar w:fldCharType="separate"/>
            </w:r>
            <w:r w:rsidRPr="00733E87">
              <w:rPr>
                <w:rFonts w:ascii="Aptos" w:eastAsia="Aptos" w:hAnsi="Aptos" w:cs="Aptos"/>
                <w:noProof/>
                <w:snapToGrid/>
                <w:webHidden/>
                <w:lang w:val="en-US"/>
              </w:rPr>
              <w:t>23</w:t>
            </w:r>
            <w:r w:rsidRPr="00733E87">
              <w:rPr>
                <w:rFonts w:ascii="Aptos" w:eastAsia="Aptos" w:hAnsi="Aptos" w:cs="Aptos"/>
                <w:noProof/>
                <w:snapToGrid/>
                <w:webHidden/>
                <w:lang w:val="en-US"/>
              </w:rPr>
              <w:fldChar w:fldCharType="end"/>
            </w:r>
          </w:hyperlink>
        </w:p>
        <w:p w14:paraId="49ECA529"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fldChar w:fldCharType="end"/>
          </w:r>
        </w:p>
      </w:sdtContent>
    </w:sdt>
    <w:p w14:paraId="2DC66629"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p>
    <w:p w14:paraId="2F4A0757"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noProof/>
          <w:snapToGrid/>
          <w:lang w:val="en-US"/>
        </w:rPr>
        <w:drawing>
          <wp:inline distT="114300" distB="114300" distL="114300" distR="114300" wp14:anchorId="494DD567" wp14:editId="30C65FF2">
            <wp:extent cx="5943600" cy="2425700"/>
            <wp:effectExtent l="0" t="0" r="0" b="0"/>
            <wp:docPr id="825250300" name="image1.jpg" descr="A group of people standing in front of a wooden wall&#10;&#10;AI-generated content may be incorrect."/>
            <wp:cNvGraphicFramePr/>
            <a:graphic xmlns:a="http://schemas.openxmlformats.org/drawingml/2006/main">
              <a:graphicData uri="http://schemas.openxmlformats.org/drawingml/2006/picture">
                <pic:pic xmlns:pic="http://schemas.openxmlformats.org/drawingml/2006/picture">
                  <pic:nvPicPr>
                    <pic:cNvPr id="825250300" name="image1.jpg" descr="A group of people standing in front of a wooden wall&#10;&#10;AI-generated content may be incorrect."/>
                    <pic:cNvPicPr preferRelativeResize="0"/>
                  </pic:nvPicPr>
                  <pic:blipFill rotWithShape="1">
                    <a:blip r:embed="rId67"/>
                    <a:srcRect t="21400"/>
                    <a:stretch/>
                  </pic:blipFill>
                  <pic:spPr bwMode="auto">
                    <a:xfrm>
                      <a:off x="0" y="0"/>
                      <a:ext cx="5943600" cy="2425700"/>
                    </a:xfrm>
                    <a:prstGeom prst="rect">
                      <a:avLst/>
                    </a:prstGeom>
                    <a:ln>
                      <a:noFill/>
                    </a:ln>
                    <a:extLst>
                      <a:ext uri="{53640926-AAD7-44D8-BBD7-CCE9431645EC}">
                        <a14:shadowObscured xmlns:a14="http://schemas.microsoft.com/office/drawing/2010/main"/>
                      </a:ext>
                    </a:extLst>
                  </pic:spPr>
                </pic:pic>
              </a:graphicData>
            </a:graphic>
          </wp:inline>
        </w:drawing>
      </w:r>
    </w:p>
    <w:p w14:paraId="46086348" w14:textId="77777777" w:rsidR="00733E87" w:rsidRPr="00733E87" w:rsidRDefault="00733E87" w:rsidP="00733E87">
      <w:pPr>
        <w:keepNext/>
        <w:keepLines/>
        <w:numPr>
          <w:ilvl w:val="0"/>
          <w:numId w:val="123"/>
        </w:numPr>
        <w:tabs>
          <w:tab w:val="clear" w:pos="709"/>
        </w:tabs>
        <w:snapToGrid/>
        <w:spacing w:before="360" w:after="80" w:line="278" w:lineRule="auto"/>
        <w:outlineLvl w:val="0"/>
        <w:rPr>
          <w:rFonts w:ascii="Aptos" w:eastAsia="Play" w:hAnsi="Aptos" w:cs="Play"/>
          <w:snapToGrid/>
          <w:color w:val="0F4761"/>
          <w:lang w:val="en-US"/>
        </w:rPr>
      </w:pPr>
      <w:bookmarkStart w:id="183" w:name="_Toc193832074"/>
      <w:bookmarkStart w:id="184" w:name="_Toc195258115"/>
      <w:r w:rsidRPr="00733E87">
        <w:rPr>
          <w:rFonts w:ascii="Aptos" w:eastAsia="Play" w:hAnsi="Aptos" w:cs="Play"/>
          <w:snapToGrid/>
          <w:color w:val="0F4761"/>
          <w:lang w:val="en-US"/>
        </w:rPr>
        <w:t>SESSION ORGANISATION</w:t>
      </w:r>
      <w:bookmarkEnd w:id="183"/>
      <w:bookmarkEnd w:id="184"/>
    </w:p>
    <w:p w14:paraId="4AD5905B" w14:textId="77777777" w:rsidR="00733E87" w:rsidRPr="00733E87" w:rsidRDefault="00733E87" w:rsidP="00733E87">
      <w:pPr>
        <w:shd w:val="clear" w:color="auto" w:fill="FFFFFF"/>
        <w:tabs>
          <w:tab w:val="clear" w:pos="709"/>
        </w:tabs>
        <w:snapToGrid/>
        <w:spacing w:before="240" w:after="240" w:line="256" w:lineRule="auto"/>
        <w:ind w:right="-20"/>
        <w:jc w:val="both"/>
        <w:rPr>
          <w:rFonts w:ascii="Aptos" w:eastAsia="Aptos" w:hAnsi="Aptos" w:cs="Aptos"/>
          <w:snapToGrid/>
          <w:lang w:val="en-US"/>
        </w:rPr>
      </w:pPr>
      <w:r w:rsidRPr="00733E87">
        <w:rPr>
          <w:rFonts w:ascii="Aptos" w:eastAsia="Aptos" w:hAnsi="Aptos" w:cs="Aptos"/>
          <w:snapToGrid/>
          <w:lang w:val="en-US"/>
        </w:rPr>
        <w:t>Dr. Harkunti Pertiwi Rahayu, Chairperson of the TOWS Task Team on Disaster Management and Preparedness (TT-DMP)</w:t>
      </w:r>
      <w:proofErr w:type="gramStart"/>
      <w:r w:rsidRPr="00733E87">
        <w:rPr>
          <w:rFonts w:ascii="Aptos" w:eastAsia="Aptos" w:hAnsi="Aptos" w:cs="Aptos"/>
          <w:snapToGrid/>
          <w:lang w:val="en-US"/>
        </w:rPr>
        <w:t>, opened the meeting and</w:t>
      </w:r>
      <w:proofErr w:type="gramEnd"/>
      <w:r w:rsidRPr="00733E87">
        <w:rPr>
          <w:rFonts w:ascii="Aptos" w:eastAsia="Aptos" w:hAnsi="Aptos" w:cs="Aptos"/>
          <w:snapToGrid/>
          <w:lang w:val="en-US"/>
        </w:rPr>
        <w:t xml:space="preserve"> warmly welcomed all participants.  </w:t>
      </w:r>
    </w:p>
    <w:p w14:paraId="7E0FCCAB" w14:textId="77777777" w:rsidR="00733E87" w:rsidRPr="00733E87" w:rsidRDefault="00733E87" w:rsidP="00733E87">
      <w:pPr>
        <w:shd w:val="clear" w:color="auto" w:fill="FFFFFF"/>
        <w:tabs>
          <w:tab w:val="clear" w:pos="709"/>
        </w:tabs>
        <w:snapToGrid/>
        <w:spacing w:before="240" w:after="240" w:line="256" w:lineRule="auto"/>
        <w:ind w:right="-20"/>
        <w:jc w:val="both"/>
        <w:rPr>
          <w:rFonts w:ascii="Aptos" w:eastAsia="Aptos" w:hAnsi="Aptos" w:cs="Aptos"/>
          <w:snapToGrid/>
          <w:lang w:val="en-US"/>
        </w:rPr>
      </w:pPr>
      <w:r w:rsidRPr="00733E87">
        <w:rPr>
          <w:rFonts w:ascii="Aptos" w:eastAsia="Aptos" w:hAnsi="Aptos" w:cs="Aptos"/>
          <w:snapToGrid/>
          <w:lang w:val="en-US"/>
        </w:rPr>
        <w:t xml:space="preserve">She then introduced the provisional agenda. Aside from shifting the order of presentations, the chair requested members to consider providing a leading presentation for the round table discussion questions under agenda 4.5. The group then adopted the TT - DMP agenda. </w:t>
      </w:r>
    </w:p>
    <w:p w14:paraId="3F2BC59D" w14:textId="77777777" w:rsidR="00733E87" w:rsidRPr="00733E87" w:rsidRDefault="00733E87" w:rsidP="00733E87">
      <w:pPr>
        <w:shd w:val="clear" w:color="auto" w:fill="FFFFFF"/>
        <w:tabs>
          <w:tab w:val="clear" w:pos="709"/>
        </w:tabs>
        <w:snapToGrid/>
        <w:spacing w:before="240" w:after="240" w:line="256" w:lineRule="auto"/>
        <w:ind w:right="-20"/>
        <w:jc w:val="both"/>
        <w:rPr>
          <w:rFonts w:ascii="Aptos" w:eastAsia="Aptos" w:hAnsi="Aptos" w:cs="Aptos"/>
          <w:snapToGrid/>
          <w:lang w:val="en-US"/>
        </w:rPr>
      </w:pPr>
      <w:r w:rsidRPr="00733E87">
        <w:rPr>
          <w:rFonts w:ascii="Aptos" w:eastAsia="Aptos" w:hAnsi="Aptos" w:cs="Aptos"/>
          <w:snapToGrid/>
          <w:lang w:val="en-US"/>
        </w:rPr>
        <w:t xml:space="preserve">Dr. Denis Chang Seng, IOC Programme Specialist and Technical Secretary of TT-DMP briefed the group regarding documentation and meeting logistics.  </w:t>
      </w:r>
    </w:p>
    <w:p w14:paraId="0D48FDDE" w14:textId="77777777" w:rsidR="00733E87" w:rsidRPr="00733E87" w:rsidRDefault="00733E87" w:rsidP="00733E87">
      <w:pPr>
        <w:keepNext/>
        <w:keepLines/>
        <w:numPr>
          <w:ilvl w:val="0"/>
          <w:numId w:val="127"/>
        </w:numPr>
        <w:tabs>
          <w:tab w:val="clear" w:pos="709"/>
        </w:tabs>
        <w:snapToGrid/>
        <w:spacing w:before="360" w:after="80" w:line="278" w:lineRule="auto"/>
        <w:outlineLvl w:val="0"/>
        <w:rPr>
          <w:rFonts w:ascii="Aptos" w:eastAsia="Play" w:hAnsi="Aptos" w:cs="Play"/>
          <w:snapToGrid/>
          <w:color w:val="0F4761"/>
          <w:lang w:val="en-US"/>
        </w:rPr>
      </w:pPr>
      <w:bookmarkStart w:id="185" w:name="_Toc193832075"/>
      <w:bookmarkStart w:id="186" w:name="_Toc195258116"/>
      <w:r w:rsidRPr="00733E87">
        <w:rPr>
          <w:rFonts w:ascii="Aptos" w:eastAsia="Play" w:hAnsi="Aptos" w:cs="Play"/>
          <w:snapToGrid/>
          <w:color w:val="0F4761"/>
          <w:lang w:val="en-US"/>
        </w:rPr>
        <w:t>DISCUSS OUTCOMES OF THE JOINT MEETING WITH TT TWO</w:t>
      </w:r>
      <w:bookmarkEnd w:id="185"/>
      <w:bookmarkEnd w:id="186"/>
    </w:p>
    <w:p w14:paraId="443FDB5B"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proofErr w:type="gramStart"/>
      <w:r w:rsidRPr="00733E87">
        <w:rPr>
          <w:rFonts w:ascii="Aptos" w:eastAsia="Aptos" w:hAnsi="Aptos" w:cs="Aptos"/>
          <w:snapToGrid/>
          <w:lang w:val="en-US"/>
        </w:rPr>
        <w:t>The TT</w:t>
      </w:r>
      <w:proofErr w:type="gramEnd"/>
      <w:r w:rsidRPr="00733E87">
        <w:rPr>
          <w:rFonts w:ascii="Aptos" w:eastAsia="Aptos" w:hAnsi="Aptos" w:cs="Aptos"/>
          <w:snapToGrid/>
          <w:lang w:val="en-US"/>
        </w:rPr>
        <w:t xml:space="preserve"> DMP enquired on the possibility to have an open expert review of the TRRP- Methodology for Estimating Eligibility for TRR and Assessment of Risk at Community Level. The meeting noted that the question is in line with the request of the 5</w:t>
      </w:r>
      <w:r w:rsidRPr="00733E87">
        <w:rPr>
          <w:rFonts w:ascii="Aptos" w:eastAsia="Aptos" w:hAnsi="Aptos" w:cs="Aptos"/>
          <w:snapToGrid/>
          <w:vertAlign w:val="superscript"/>
          <w:lang w:val="en-US"/>
        </w:rPr>
        <w:t>th</w:t>
      </w:r>
      <w:r w:rsidRPr="00733E87">
        <w:rPr>
          <w:rFonts w:ascii="Aptos" w:eastAsia="Aptos" w:hAnsi="Aptos" w:cs="Aptos"/>
          <w:snapToGrid/>
          <w:lang w:val="en-US"/>
        </w:rPr>
        <w:t xml:space="preserve"> ODTP-SC recommendation to p</w:t>
      </w:r>
      <w:r w:rsidRPr="00733E87">
        <w:rPr>
          <w:rFonts w:ascii="Aptos" w:eastAsia="Aptos" w:hAnsi="Aptos" w:cs="Aptos"/>
          <w:snapToGrid/>
          <w:color w:val="000000"/>
          <w:lang w:val="en-US"/>
        </w:rPr>
        <w:t>erform a scientific peer review to ensure the indices developed are accepted as a scientifically credible methodology. There was also a suggestion to consider preparing an IOC technical series document on the m</w:t>
      </w:r>
      <w:r w:rsidRPr="00733E87">
        <w:rPr>
          <w:rFonts w:ascii="Aptos" w:eastAsia="Aptos" w:hAnsi="Aptos" w:cs="Aptos"/>
          <w:snapToGrid/>
          <w:lang w:val="en-US"/>
        </w:rPr>
        <w:t>ethodology for Estimating Eligibility for TRR and Assessment of Risk at Community Level.</w:t>
      </w:r>
    </w:p>
    <w:p w14:paraId="60CF0441" w14:textId="77777777" w:rsidR="00733E87" w:rsidRPr="00733E87" w:rsidRDefault="00733E87" w:rsidP="00733E87">
      <w:pPr>
        <w:tabs>
          <w:tab w:val="clear" w:pos="709"/>
        </w:tabs>
        <w:snapToGrid/>
        <w:spacing w:after="160" w:line="278" w:lineRule="auto"/>
        <w:jc w:val="both"/>
        <w:rPr>
          <w:rFonts w:ascii="Aptos" w:eastAsia="Aptos" w:hAnsi="Aptos" w:cs="Aptos"/>
          <w:b/>
          <w:snapToGrid/>
          <w:color w:val="0070C0"/>
          <w:lang w:val="en-US"/>
        </w:rPr>
      </w:pPr>
      <w:r w:rsidRPr="00733E87">
        <w:rPr>
          <w:rFonts w:ascii="Aptos" w:eastAsia="Aptos" w:hAnsi="Aptos" w:cs="Aptos"/>
          <w:b/>
          <w:snapToGrid/>
          <w:color w:val="0070C0"/>
          <w:lang w:val="en-US"/>
        </w:rPr>
        <w:t>Recommendation to TOWS WG</w:t>
      </w:r>
    </w:p>
    <w:p w14:paraId="00E3156C" w14:textId="77777777" w:rsidR="00733E87" w:rsidRPr="00733E87" w:rsidRDefault="00733E87" w:rsidP="00733E87">
      <w:pPr>
        <w:tabs>
          <w:tab w:val="clear" w:pos="709"/>
        </w:tabs>
        <w:snapToGrid/>
        <w:spacing w:after="160" w:line="278" w:lineRule="auto"/>
        <w:jc w:val="both"/>
        <w:rPr>
          <w:rFonts w:ascii="Aptos" w:eastAsia="Aptos" w:hAnsi="Aptos" w:cs="Aptos"/>
          <w:snapToGrid/>
          <w:color w:val="000000"/>
          <w:lang w:val="en-US"/>
        </w:rPr>
      </w:pPr>
      <w:r w:rsidRPr="00733E87">
        <w:rPr>
          <w:rFonts w:ascii="Aptos" w:eastAsia="Aptos" w:hAnsi="Aptos" w:cs="Aptos"/>
          <w:b/>
          <w:snapToGrid/>
          <w:lang w:val="en-US"/>
        </w:rPr>
        <w:t>Requests</w:t>
      </w:r>
      <w:r w:rsidRPr="00733E87">
        <w:rPr>
          <w:rFonts w:ascii="Aptos" w:eastAsia="Aptos" w:hAnsi="Aptos" w:cs="Aptos"/>
          <w:snapToGrid/>
          <w:lang w:val="en-US"/>
        </w:rPr>
        <w:t xml:space="preserve"> to p</w:t>
      </w:r>
      <w:r w:rsidRPr="00733E87">
        <w:rPr>
          <w:rFonts w:ascii="Aptos" w:eastAsia="Aptos" w:hAnsi="Aptos" w:cs="Aptos"/>
          <w:snapToGrid/>
          <w:color w:val="000000"/>
          <w:lang w:val="en-US"/>
        </w:rPr>
        <w:t xml:space="preserve">erform a scientific peer review on the </w:t>
      </w:r>
      <w:r w:rsidRPr="00733E87">
        <w:rPr>
          <w:rFonts w:ascii="Aptos" w:eastAsia="Aptos" w:hAnsi="Aptos" w:cs="Aptos"/>
          <w:snapToGrid/>
          <w:lang w:val="en-US"/>
        </w:rPr>
        <w:t xml:space="preserve">Methodology for Estimating Eligibility for TRR and Assessment of Tsunami Risk at Community Level </w:t>
      </w:r>
      <w:r w:rsidRPr="00733E87">
        <w:rPr>
          <w:rFonts w:ascii="Aptos" w:eastAsia="Aptos" w:hAnsi="Aptos" w:cs="Aptos"/>
          <w:snapToGrid/>
          <w:color w:val="000000"/>
          <w:lang w:val="en-US"/>
        </w:rPr>
        <w:t xml:space="preserve">to ensure the indices developed are accepted as a scientifically credible methodology and endorsed by ICGs. </w:t>
      </w:r>
    </w:p>
    <w:p w14:paraId="22B9819D"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color w:val="000000"/>
          <w:lang w:val="en-US"/>
        </w:rPr>
        <w:lastRenderedPageBreak/>
        <w:t xml:space="preserve">Recommends </w:t>
      </w:r>
      <w:r w:rsidRPr="00733E87">
        <w:rPr>
          <w:rFonts w:ascii="Aptos" w:eastAsia="Aptos" w:hAnsi="Aptos" w:cs="Aptos"/>
          <w:snapToGrid/>
          <w:color w:val="000000"/>
          <w:lang w:val="en-US"/>
        </w:rPr>
        <w:t>secretariat, once peer rev</w:t>
      </w:r>
      <w:r w:rsidRPr="00733E87">
        <w:rPr>
          <w:rFonts w:ascii="Aptos" w:eastAsia="Aptos" w:hAnsi="Aptos" w:cs="Aptos"/>
          <w:snapToGrid/>
          <w:lang w:val="en-US"/>
        </w:rPr>
        <w:t>iew is completed, to prepare</w:t>
      </w:r>
      <w:r w:rsidRPr="00733E87">
        <w:rPr>
          <w:rFonts w:ascii="Aptos" w:eastAsia="Aptos" w:hAnsi="Aptos" w:cs="Aptos"/>
          <w:snapToGrid/>
          <w:color w:val="000000"/>
          <w:lang w:val="en-US"/>
        </w:rPr>
        <w:t xml:space="preserve"> an IOC </w:t>
      </w:r>
      <w:r w:rsidRPr="00733E87">
        <w:rPr>
          <w:rFonts w:ascii="Aptos" w:eastAsia="Aptos" w:hAnsi="Aptos" w:cs="Aptos"/>
          <w:snapToGrid/>
          <w:lang w:val="en-US"/>
        </w:rPr>
        <w:t>T</w:t>
      </w:r>
      <w:r w:rsidRPr="00733E87">
        <w:rPr>
          <w:rFonts w:ascii="Aptos" w:eastAsia="Aptos" w:hAnsi="Aptos" w:cs="Aptos"/>
          <w:snapToGrid/>
          <w:color w:val="000000"/>
          <w:lang w:val="en-US"/>
        </w:rPr>
        <w:t xml:space="preserve">echnical </w:t>
      </w:r>
      <w:r w:rsidRPr="00733E87">
        <w:rPr>
          <w:rFonts w:ascii="Aptos" w:eastAsia="Aptos" w:hAnsi="Aptos" w:cs="Aptos"/>
          <w:snapToGrid/>
          <w:lang w:val="en-US"/>
        </w:rPr>
        <w:t>S</w:t>
      </w:r>
      <w:r w:rsidRPr="00733E87">
        <w:rPr>
          <w:rFonts w:ascii="Aptos" w:eastAsia="Aptos" w:hAnsi="Aptos" w:cs="Aptos"/>
          <w:snapToGrid/>
          <w:color w:val="000000"/>
          <w:lang w:val="en-US"/>
        </w:rPr>
        <w:t xml:space="preserve">eries document on the </w:t>
      </w:r>
      <w:r w:rsidRPr="00733E87">
        <w:rPr>
          <w:rFonts w:ascii="Aptos" w:eastAsia="Aptos" w:hAnsi="Aptos" w:cs="Aptos"/>
          <w:snapToGrid/>
          <w:lang w:val="en-US"/>
        </w:rPr>
        <w:t>Methodology for Estimating Eligibility for TRR and Assessment of Tsunami Risk at Community Level.</w:t>
      </w:r>
    </w:p>
    <w:p w14:paraId="41AE3269" w14:textId="77777777" w:rsidR="00733E87" w:rsidRPr="00733E87" w:rsidRDefault="00733E87" w:rsidP="00733E87">
      <w:pPr>
        <w:keepNext/>
        <w:keepLines/>
        <w:numPr>
          <w:ilvl w:val="0"/>
          <w:numId w:val="130"/>
        </w:numPr>
        <w:tabs>
          <w:tab w:val="clear" w:pos="709"/>
        </w:tabs>
        <w:snapToGrid/>
        <w:spacing w:before="360" w:after="80" w:line="278" w:lineRule="auto"/>
        <w:ind w:left="0" w:firstLine="0"/>
        <w:outlineLvl w:val="0"/>
        <w:rPr>
          <w:rFonts w:ascii="Aptos" w:eastAsia="Play" w:hAnsi="Aptos" w:cs="Play"/>
          <w:snapToGrid/>
          <w:color w:val="0F4761"/>
          <w:lang w:val="en-US"/>
        </w:rPr>
      </w:pPr>
      <w:bookmarkStart w:id="187" w:name="_Toc193832076"/>
      <w:bookmarkStart w:id="188" w:name="_Toc195258117"/>
      <w:r w:rsidRPr="00733E87">
        <w:rPr>
          <w:rFonts w:ascii="Aptos" w:eastAsia="Play" w:hAnsi="Aptos" w:cs="Play"/>
          <w:snapToGrid/>
          <w:color w:val="0F4761"/>
          <w:lang w:val="en-US"/>
        </w:rPr>
        <w:t>3.0 REVIEW KEY ACTION ITEMS (MAIN ISSUES)</w:t>
      </w:r>
      <w:bookmarkEnd w:id="187"/>
      <w:bookmarkEnd w:id="188"/>
    </w:p>
    <w:p w14:paraId="52D0CB56" w14:textId="77777777" w:rsidR="00733E87" w:rsidRPr="00733E87" w:rsidRDefault="00733E87" w:rsidP="00733E87">
      <w:pPr>
        <w:shd w:val="clear" w:color="auto" w:fill="FFFFFF"/>
        <w:tabs>
          <w:tab w:val="clear" w:pos="709"/>
        </w:tabs>
        <w:snapToGrid/>
        <w:spacing w:after="160" w:line="256" w:lineRule="auto"/>
        <w:jc w:val="both"/>
        <w:rPr>
          <w:rFonts w:ascii="Aptos" w:eastAsia="Aptos" w:hAnsi="Aptos" w:cs="Aptos"/>
          <w:snapToGrid/>
          <w:color w:val="000000"/>
          <w:lang w:val="en-US"/>
        </w:rPr>
      </w:pPr>
      <w:r w:rsidRPr="00733E87">
        <w:rPr>
          <w:rFonts w:ascii="Aptos" w:eastAsia="Aptos" w:hAnsi="Aptos" w:cs="Aptos"/>
          <w:snapToGrid/>
          <w:lang w:val="en-US"/>
        </w:rPr>
        <w:t xml:space="preserve">Dr. Harkunti Pertiwi Rahayu requested members to review the evaluation in implementing the TT DMP 2024 actions initially prepared by the Technical Secretary based on feedback received from a few members. Members then examined and updated each of the recommendations. </w:t>
      </w:r>
      <w:proofErr w:type="gramStart"/>
      <w:r w:rsidRPr="00733E87">
        <w:rPr>
          <w:rFonts w:ascii="Aptos" w:eastAsia="Aptos" w:hAnsi="Aptos" w:cs="Aptos"/>
          <w:snapToGrid/>
          <w:lang w:val="en-US"/>
        </w:rPr>
        <w:t>In particular, members</w:t>
      </w:r>
      <w:proofErr w:type="gramEnd"/>
      <w:r w:rsidRPr="00733E87">
        <w:rPr>
          <w:rFonts w:ascii="Aptos" w:eastAsia="Aptos" w:hAnsi="Aptos" w:cs="Aptos"/>
          <w:snapToGrid/>
          <w:lang w:val="en-US"/>
        </w:rPr>
        <w:t xml:space="preserve"> highlighted for example that actions like 5.1.</w:t>
      </w:r>
      <w:r w:rsidRPr="00733E87">
        <w:rPr>
          <w:rFonts w:ascii="Aptos" w:eastAsia="Aptos" w:hAnsi="Aptos" w:cs="Aptos"/>
          <w:snapToGrid/>
          <w:color w:val="000000"/>
          <w:lang w:val="en-US"/>
        </w:rPr>
        <w:t xml:space="preserve"> (a) Continued collaboration on scaling up the #GetToHighGround Campaign mobilizing action globally and (b) Further notes the planned collaboration between IOC-UNESCO and UNDRR on Eyewitness and Survivors Project and the Indian Ocean Youth Tsunami Conversation and Campaign of IOTIC are already completed, </w:t>
      </w:r>
      <w:r w:rsidRPr="00733E87">
        <w:rPr>
          <w:rFonts w:ascii="Aptos" w:eastAsia="Aptos" w:hAnsi="Aptos" w:cs="Aptos"/>
          <w:snapToGrid/>
          <w:lang w:val="en-US"/>
        </w:rPr>
        <w:t>although</w:t>
      </w:r>
      <w:r w:rsidRPr="00733E87">
        <w:rPr>
          <w:rFonts w:ascii="Aptos" w:eastAsia="Aptos" w:hAnsi="Aptos" w:cs="Aptos"/>
          <w:snapToGrid/>
          <w:color w:val="000000"/>
          <w:lang w:val="en-US"/>
        </w:rPr>
        <w:t xml:space="preserve"> actions are re</w:t>
      </w:r>
      <w:r w:rsidRPr="00733E87">
        <w:rPr>
          <w:rFonts w:ascii="Aptos" w:eastAsia="Aptos" w:hAnsi="Aptos" w:cs="Aptos"/>
          <w:snapToGrid/>
          <w:lang w:val="en-US"/>
        </w:rPr>
        <w:t xml:space="preserve">plicable. </w:t>
      </w:r>
      <w:r w:rsidRPr="00733E87">
        <w:rPr>
          <w:rFonts w:ascii="Aptos" w:eastAsia="Aptos" w:hAnsi="Aptos" w:cs="Aptos"/>
          <w:snapToGrid/>
          <w:color w:val="000000"/>
          <w:lang w:val="en-US"/>
        </w:rPr>
        <w:t>Moreover</w:t>
      </w:r>
      <w:r w:rsidRPr="00733E87">
        <w:rPr>
          <w:rFonts w:ascii="Aptos" w:eastAsia="Aptos" w:hAnsi="Aptos" w:cs="Aptos"/>
          <w:snapToGrid/>
          <w:lang w:val="en-US"/>
        </w:rPr>
        <w:t>,</w:t>
      </w:r>
      <w:r w:rsidRPr="00733E87">
        <w:rPr>
          <w:rFonts w:ascii="Aptos" w:eastAsia="Aptos" w:hAnsi="Aptos" w:cs="Aptos"/>
          <w:snapToGrid/>
          <w:color w:val="000000"/>
          <w:lang w:val="en-US"/>
        </w:rPr>
        <w:t xml:space="preserve"> the group </w:t>
      </w:r>
      <w:r w:rsidRPr="00733E87">
        <w:rPr>
          <w:rFonts w:ascii="Aptos" w:eastAsia="Aptos" w:hAnsi="Aptos" w:cs="Aptos"/>
          <w:snapToGrid/>
          <w:lang w:val="en-US"/>
        </w:rPr>
        <w:t>was</w:t>
      </w:r>
      <w:r w:rsidRPr="00733E87">
        <w:rPr>
          <w:rFonts w:ascii="Aptos" w:eastAsia="Aptos" w:hAnsi="Aptos" w:cs="Aptos"/>
          <w:snapToGrid/>
          <w:color w:val="000000"/>
          <w:lang w:val="en-US"/>
        </w:rPr>
        <w:t xml:space="preserve"> satisfied with the level of progress achieved during the year.</w:t>
      </w:r>
    </w:p>
    <w:p w14:paraId="6529701A" w14:textId="77777777" w:rsidR="00733E87" w:rsidRPr="00733E87" w:rsidRDefault="00733E87" w:rsidP="00733E87">
      <w:pPr>
        <w:shd w:val="clear" w:color="auto" w:fill="FFFFFF"/>
        <w:tabs>
          <w:tab w:val="clear" w:pos="709"/>
        </w:tabs>
        <w:snapToGrid/>
        <w:spacing w:after="160" w:line="256" w:lineRule="auto"/>
        <w:jc w:val="both"/>
        <w:rPr>
          <w:rFonts w:ascii="Aptos" w:eastAsia="Aptos" w:hAnsi="Aptos" w:cs="Aptos"/>
          <w:b/>
          <w:snapToGrid/>
          <w:color w:val="0070C0"/>
          <w:lang w:val="en-US"/>
        </w:rPr>
      </w:pPr>
      <w:r w:rsidRPr="00733E87">
        <w:rPr>
          <w:rFonts w:ascii="Aptos" w:eastAsia="Aptos" w:hAnsi="Aptos" w:cs="Aptos"/>
          <w:b/>
          <w:snapToGrid/>
          <w:color w:val="0070C0"/>
          <w:lang w:val="en-US"/>
        </w:rPr>
        <w:t>Recommendation to TT DMP</w:t>
      </w:r>
    </w:p>
    <w:p w14:paraId="01BE8731" w14:textId="77777777" w:rsidR="00733E87" w:rsidRPr="00733E87" w:rsidRDefault="00733E87" w:rsidP="00733E87">
      <w:pPr>
        <w:shd w:val="clear" w:color="auto" w:fill="FFFFFF"/>
        <w:tabs>
          <w:tab w:val="clear" w:pos="709"/>
        </w:tabs>
        <w:snapToGrid/>
        <w:spacing w:after="160" w:line="256" w:lineRule="auto"/>
        <w:jc w:val="both"/>
        <w:rPr>
          <w:rFonts w:ascii="Aptos" w:eastAsia="Aptos" w:hAnsi="Aptos" w:cs="Aptos"/>
          <w:snapToGrid/>
          <w:lang w:val="en-US"/>
        </w:rPr>
      </w:pPr>
      <w:r w:rsidRPr="00733E87">
        <w:rPr>
          <w:rFonts w:ascii="Aptos" w:eastAsia="Aptos" w:hAnsi="Aptos" w:cs="Aptos"/>
          <w:b/>
          <w:snapToGrid/>
          <w:lang w:val="en-US"/>
        </w:rPr>
        <w:t>Agrees</w:t>
      </w:r>
      <w:r w:rsidRPr="00733E87">
        <w:rPr>
          <w:rFonts w:ascii="Aptos" w:eastAsia="Aptos" w:hAnsi="Aptos" w:cs="Aptos"/>
          <w:snapToGrid/>
          <w:lang w:val="en-US"/>
        </w:rPr>
        <w:t xml:space="preserve"> to conduct an online mid-term evaluation of the new TT DMP actions to assess progress, identify unaddressed actions, propose ways to implement them and define the next TT DMP meeting agenda. </w:t>
      </w:r>
    </w:p>
    <w:p w14:paraId="05550BF1" w14:textId="77777777" w:rsidR="00733E87" w:rsidRPr="00733E87" w:rsidRDefault="00733E87" w:rsidP="00733E87">
      <w:pPr>
        <w:keepNext/>
        <w:keepLines/>
        <w:numPr>
          <w:ilvl w:val="0"/>
          <w:numId w:val="130"/>
        </w:numPr>
        <w:tabs>
          <w:tab w:val="clear" w:pos="709"/>
        </w:tabs>
        <w:snapToGrid/>
        <w:spacing w:before="360" w:after="80" w:line="278" w:lineRule="auto"/>
        <w:ind w:left="0" w:firstLine="0"/>
        <w:outlineLvl w:val="0"/>
        <w:rPr>
          <w:rFonts w:ascii="Aptos" w:eastAsia="Play" w:hAnsi="Aptos" w:cs="Play"/>
          <w:snapToGrid/>
          <w:color w:val="0F4761"/>
          <w:lang w:val="en-US"/>
        </w:rPr>
      </w:pPr>
      <w:bookmarkStart w:id="189" w:name="_Toc193832077"/>
      <w:bookmarkStart w:id="190" w:name="_Toc195258118"/>
      <w:r w:rsidRPr="00733E87">
        <w:rPr>
          <w:rFonts w:ascii="Aptos" w:eastAsia="Play" w:hAnsi="Aptos" w:cs="Play"/>
          <w:snapToGrid/>
          <w:color w:val="0F4761"/>
          <w:lang w:val="en-US"/>
        </w:rPr>
        <w:t>4.0 TSUNAMI READY</w:t>
      </w:r>
      <w:bookmarkEnd w:id="189"/>
      <w:bookmarkEnd w:id="190"/>
    </w:p>
    <w:p w14:paraId="2AB7C551" w14:textId="77777777" w:rsidR="00733E87" w:rsidRPr="00733E87" w:rsidRDefault="00733E87" w:rsidP="00733E87">
      <w:pPr>
        <w:keepNext/>
        <w:keepLines/>
        <w:numPr>
          <w:ilvl w:val="0"/>
          <w:numId w:val="130"/>
        </w:numPr>
        <w:tabs>
          <w:tab w:val="clear" w:pos="709"/>
        </w:tabs>
        <w:snapToGrid/>
        <w:spacing w:before="160" w:after="80" w:line="278" w:lineRule="auto"/>
        <w:ind w:left="0" w:firstLine="0"/>
        <w:outlineLvl w:val="1"/>
        <w:rPr>
          <w:rFonts w:ascii="Aptos" w:eastAsia="Play" w:hAnsi="Aptos" w:cs="Play"/>
          <w:snapToGrid/>
          <w:color w:val="0F4761"/>
          <w:lang w:val="en-US"/>
        </w:rPr>
      </w:pPr>
      <w:bookmarkStart w:id="191" w:name="_Toc193832078"/>
      <w:bookmarkStart w:id="192" w:name="_Toc195258119"/>
      <w:r w:rsidRPr="00733E87">
        <w:rPr>
          <w:rFonts w:ascii="Aptos" w:eastAsia="Play" w:hAnsi="Aptos" w:cs="Play"/>
          <w:snapToGrid/>
          <w:color w:val="0F4761"/>
          <w:lang w:val="en-US"/>
        </w:rPr>
        <w:t>4.1 Tsunami Ready Implementation Status</w:t>
      </w:r>
      <w:bookmarkEnd w:id="191"/>
      <w:bookmarkEnd w:id="192"/>
    </w:p>
    <w:p w14:paraId="671977B3"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The Chair of TT DMP requested respective ICG members to present the status of Tsunami Ready Implementation in their region.</w:t>
      </w:r>
    </w:p>
    <w:p w14:paraId="57120354"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Dr. Laura Kong provided a presentation on the </w:t>
      </w:r>
      <w:r w:rsidRPr="00733E87">
        <w:rPr>
          <w:rFonts w:ascii="Aptos" w:eastAsia="Aptos" w:hAnsi="Aptos" w:cs="Aptos"/>
          <w:snapToGrid/>
          <w:color w:val="000000"/>
          <w:lang w:val="en-US"/>
        </w:rPr>
        <w:t>UNESCO-IOC Tsunami Ready</w:t>
      </w:r>
      <w:r w:rsidRPr="00733E87">
        <w:rPr>
          <w:rFonts w:ascii="Aptos" w:eastAsia="Aptos" w:hAnsi="Aptos" w:cs="Aptos"/>
          <w:snapToGrid/>
          <w:lang w:val="en-US"/>
        </w:rPr>
        <w:t xml:space="preserve"> </w:t>
      </w:r>
      <w:r w:rsidRPr="00733E87">
        <w:rPr>
          <w:rFonts w:ascii="Aptos" w:eastAsia="Aptos" w:hAnsi="Aptos" w:cs="Aptos"/>
          <w:snapToGrid/>
          <w:color w:val="000000"/>
          <w:lang w:val="en-US"/>
        </w:rPr>
        <w:t>Recognition Programme Global Status.</w:t>
      </w:r>
      <w:r w:rsidRPr="00733E87">
        <w:rPr>
          <w:rFonts w:ascii="Aptos" w:eastAsia="Aptos" w:hAnsi="Aptos" w:cs="Aptos"/>
          <w:snapToGrid/>
          <w:lang w:val="en-US"/>
        </w:rPr>
        <w:t xml:space="preserve"> A visual map was prepared and presented at the </w:t>
      </w:r>
      <w:r w:rsidRPr="00733E87">
        <w:rPr>
          <w:rFonts w:ascii="Aptos" w:eastAsia="Aptos" w:hAnsi="Aptos" w:cs="Aptos"/>
          <w:snapToGrid/>
          <w:color w:val="212121"/>
          <w:highlight w:val="white"/>
          <w:lang w:val="en-US"/>
        </w:rPr>
        <w:t>2nd UNESCO-IOC Global Tsunami Symposium, held in Banda Aceh on 11-14 November. The map shows 100 Tsunami Ready communities recognized with 48 in India, 23 in Indonesia, 23 in the Pacific and 6 in NEAM. A summary table, as of February 2025, shows the details (TR planned, Expressions of interest, TR renewal due, TR renewal in process etc.)  of</w:t>
      </w:r>
      <w:r w:rsidRPr="00733E87">
        <w:rPr>
          <w:rFonts w:ascii="Aptos" w:eastAsia="Aptos" w:hAnsi="Aptos" w:cs="Aptos"/>
          <w:snapToGrid/>
          <w:color w:val="C00000"/>
          <w:lang w:val="en-US"/>
        </w:rPr>
        <w:t xml:space="preserve"> </w:t>
      </w:r>
      <w:r w:rsidRPr="00733E87">
        <w:rPr>
          <w:rFonts w:ascii="Aptos" w:eastAsia="Aptos" w:hAnsi="Aptos" w:cs="Aptos"/>
          <w:snapToGrid/>
          <w:color w:val="000000"/>
          <w:lang w:val="en-US"/>
        </w:rPr>
        <w:t xml:space="preserve">TRRP Implementation Status. </w:t>
      </w:r>
    </w:p>
    <w:p w14:paraId="691681E2" w14:textId="77777777" w:rsidR="00733E87" w:rsidRPr="00733E87" w:rsidRDefault="00733E87" w:rsidP="00733E87">
      <w:pPr>
        <w:pBdr>
          <w:top w:val="nil"/>
          <w:left w:val="nil"/>
          <w:bottom w:val="nil"/>
          <w:right w:val="nil"/>
          <w:between w:val="nil"/>
        </w:pBdr>
        <w:tabs>
          <w:tab w:val="clear" w:pos="709"/>
        </w:tabs>
        <w:snapToGrid/>
        <w:jc w:val="center"/>
        <w:rPr>
          <w:rFonts w:ascii="Aptos" w:eastAsia="Arial" w:hAnsi="Aptos" w:cs="Arial"/>
          <w:b/>
          <w:snapToGrid/>
          <w:color w:val="000000"/>
          <w:lang w:val="en-US"/>
        </w:rPr>
      </w:pPr>
      <w:r w:rsidRPr="00733E87">
        <w:rPr>
          <w:rFonts w:ascii="Aptos" w:eastAsia="Times New Roman" w:hAnsi="Aptos"/>
          <w:noProof/>
          <w:snapToGrid/>
          <w:color w:val="000000"/>
          <w:lang w:val="en-US"/>
        </w:rPr>
        <w:drawing>
          <wp:inline distT="0" distB="0" distL="0" distR="0" wp14:anchorId="162BDC2D" wp14:editId="2BAA7A86">
            <wp:extent cx="4476750" cy="1289050"/>
            <wp:effectExtent l="0" t="0" r="0" b="0"/>
            <wp:docPr id="4" name="image4.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AI-generated content may be incorrect."/>
                    <pic:cNvPicPr preferRelativeResize="0"/>
                  </pic:nvPicPr>
                  <pic:blipFill>
                    <a:blip r:embed="rId68"/>
                    <a:srcRect l="22650" t="33809" r="2029" b="27635"/>
                    <a:stretch>
                      <a:fillRect/>
                    </a:stretch>
                  </pic:blipFill>
                  <pic:spPr>
                    <a:xfrm>
                      <a:off x="0" y="0"/>
                      <a:ext cx="4476750" cy="1289050"/>
                    </a:xfrm>
                    <a:prstGeom prst="rect">
                      <a:avLst/>
                    </a:prstGeom>
                    <a:ln/>
                  </pic:spPr>
                </pic:pic>
              </a:graphicData>
            </a:graphic>
          </wp:inline>
        </w:drawing>
      </w:r>
    </w:p>
    <w:p w14:paraId="1F81A92C" w14:textId="77777777" w:rsidR="00733E87" w:rsidRPr="00733E87" w:rsidRDefault="00733E87" w:rsidP="00733E87">
      <w:pPr>
        <w:pBdr>
          <w:top w:val="nil"/>
          <w:left w:val="nil"/>
          <w:bottom w:val="nil"/>
          <w:right w:val="nil"/>
          <w:between w:val="nil"/>
        </w:pBdr>
        <w:tabs>
          <w:tab w:val="clear" w:pos="709"/>
        </w:tabs>
        <w:snapToGrid/>
        <w:rPr>
          <w:rFonts w:ascii="Aptos" w:eastAsia="Arial" w:hAnsi="Aptos" w:cs="Arial"/>
          <w:b/>
          <w:snapToGrid/>
          <w:color w:val="000000"/>
          <w:lang w:val="en-US"/>
        </w:rPr>
      </w:pPr>
    </w:p>
    <w:p w14:paraId="4C43D04E" w14:textId="77777777" w:rsidR="00733E87" w:rsidRPr="00733E87" w:rsidRDefault="00733E87" w:rsidP="00733E87">
      <w:pPr>
        <w:pBdr>
          <w:top w:val="nil"/>
          <w:left w:val="nil"/>
          <w:bottom w:val="nil"/>
          <w:right w:val="nil"/>
          <w:between w:val="nil"/>
        </w:pBdr>
        <w:tabs>
          <w:tab w:val="clear" w:pos="709"/>
        </w:tabs>
        <w:snapToGrid/>
        <w:jc w:val="center"/>
        <w:rPr>
          <w:rFonts w:ascii="Aptos" w:eastAsia="Times New Roman" w:hAnsi="Aptos"/>
          <w:snapToGrid/>
          <w:color w:val="000000"/>
          <w:lang w:val="en-US"/>
        </w:rPr>
      </w:pPr>
      <w:r w:rsidRPr="00733E87">
        <w:rPr>
          <w:rFonts w:ascii="Aptos" w:eastAsia="Times New Roman" w:hAnsi="Aptos"/>
          <w:noProof/>
          <w:snapToGrid/>
          <w:color w:val="000000"/>
          <w:lang w:val="en-US"/>
        </w:rPr>
        <w:drawing>
          <wp:inline distT="0" distB="0" distL="0" distR="0" wp14:anchorId="462B27CB" wp14:editId="00A26AAC">
            <wp:extent cx="4539090" cy="277874"/>
            <wp:effectExtent l="0" t="0" r="0" b="0"/>
            <wp:docPr id="853220248" name="image2.png" descr="A table with numbers and symbol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table with numbers and symbols&#10;&#10;AI-generated content may be incorrect."/>
                    <pic:cNvPicPr preferRelativeResize="0"/>
                  </pic:nvPicPr>
                  <pic:blipFill>
                    <a:blip r:embed="rId69"/>
                    <a:srcRect l="2239" t="79934" r="32211" b="3680"/>
                    <a:stretch>
                      <a:fillRect/>
                    </a:stretch>
                  </pic:blipFill>
                  <pic:spPr>
                    <a:xfrm>
                      <a:off x="0" y="0"/>
                      <a:ext cx="4539090" cy="277874"/>
                    </a:xfrm>
                    <a:prstGeom prst="rect">
                      <a:avLst/>
                    </a:prstGeom>
                    <a:ln/>
                  </pic:spPr>
                </pic:pic>
              </a:graphicData>
            </a:graphic>
          </wp:inline>
        </w:drawing>
      </w:r>
    </w:p>
    <w:p w14:paraId="609B1993" w14:textId="77777777" w:rsidR="00733E87" w:rsidRPr="00733E87" w:rsidRDefault="00733E87" w:rsidP="00733E87">
      <w:pPr>
        <w:pBdr>
          <w:top w:val="nil"/>
          <w:left w:val="nil"/>
          <w:bottom w:val="nil"/>
          <w:right w:val="nil"/>
          <w:between w:val="nil"/>
        </w:pBdr>
        <w:tabs>
          <w:tab w:val="clear" w:pos="709"/>
        </w:tabs>
        <w:snapToGrid/>
        <w:rPr>
          <w:rFonts w:ascii="Aptos" w:eastAsia="Times New Roman" w:hAnsi="Aptos"/>
          <w:snapToGrid/>
          <w:color w:val="000000"/>
          <w:lang w:val="en-US"/>
        </w:rPr>
      </w:pPr>
      <w:r w:rsidRPr="00733E87">
        <w:rPr>
          <w:rFonts w:ascii="Aptos" w:eastAsia="Arial" w:hAnsi="Aptos" w:cs="Arial"/>
          <w:b/>
          <w:snapToGrid/>
          <w:color w:val="FFFFFF"/>
          <w:lang w:val="en-US"/>
        </w:rPr>
        <w:lastRenderedPageBreak/>
        <w:t xml:space="preserve">Global Status </w:t>
      </w:r>
    </w:p>
    <w:p w14:paraId="3931030E"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The meeting highlighted discrepancies and inconsistencies in counting the number of Tsunami Ready communities, primarily due to the submission process of renewal applications. </w:t>
      </w:r>
    </w:p>
    <w:p w14:paraId="284F0415"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TT DMP noted that the </w:t>
      </w:r>
      <w:r w:rsidRPr="00733E87">
        <w:rPr>
          <w:rFonts w:ascii="Aptos" w:eastAsia="Aptos" w:hAnsi="Aptos" w:cs="Aptos"/>
          <w:snapToGrid/>
          <w:highlight w:val="white"/>
          <w:lang w:val="en-US"/>
        </w:rPr>
        <w:t xml:space="preserve">second objective of the ODTP is that 100 percent of communities at risk to be prepared and resilient to tsunamis by 2030 through efforts like the IOC-UNESCO Tsunami Ready Recognition Programme (TRRP), thus, it is important to start </w:t>
      </w:r>
      <w:r w:rsidRPr="00733E87">
        <w:rPr>
          <w:rFonts w:ascii="Aptos" w:eastAsia="Aptos" w:hAnsi="Aptos" w:cs="Aptos"/>
          <w:snapToGrid/>
          <w:lang w:val="en-US"/>
        </w:rPr>
        <w:t xml:space="preserve">reporting by percent to get a better idea of what it is being measured and achieved. </w:t>
      </w:r>
      <w:proofErr w:type="gramStart"/>
      <w:r w:rsidRPr="00733E87">
        <w:rPr>
          <w:rFonts w:ascii="Aptos" w:eastAsia="Aptos" w:hAnsi="Aptos" w:cs="Aptos"/>
          <w:snapToGrid/>
          <w:lang w:val="en-US"/>
        </w:rPr>
        <w:t>In order to</w:t>
      </w:r>
      <w:proofErr w:type="gramEnd"/>
      <w:r w:rsidRPr="00733E87">
        <w:rPr>
          <w:rFonts w:ascii="Aptos" w:eastAsia="Aptos" w:hAnsi="Aptos" w:cs="Aptos"/>
          <w:snapToGrid/>
          <w:lang w:val="en-US"/>
        </w:rPr>
        <w:t xml:space="preserve"> enable this reporting in a standard way, there is an urgent need to provide methodologies for determining the total number of targeted vulnerable tsunami communities, thus making highest priority the TRRP- Methodology for Estimating Eligibility for TRR and Assessment of Risk at Community Level.</w:t>
      </w:r>
    </w:p>
    <w:p w14:paraId="7A5C64DB"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It was further noted that TR Viewer suffers from map limitations, low resolution, etc.  For example, a map showing all Tsunami Ready communities, such as was made for the 2nd UNESCO-IOC Global Tsunami Symposium, is not available. The matter will be further discussed in the TICs meeting planned </w:t>
      </w:r>
      <w:proofErr w:type="gramStart"/>
      <w:r w:rsidRPr="00733E87">
        <w:rPr>
          <w:rFonts w:ascii="Aptos" w:eastAsia="Aptos" w:hAnsi="Aptos" w:cs="Aptos"/>
          <w:snapToGrid/>
          <w:lang w:val="en-US"/>
        </w:rPr>
        <w:t>on</w:t>
      </w:r>
      <w:proofErr w:type="gramEnd"/>
      <w:r w:rsidRPr="00733E87">
        <w:rPr>
          <w:rFonts w:ascii="Aptos" w:eastAsia="Aptos" w:hAnsi="Aptos" w:cs="Aptos"/>
          <w:snapToGrid/>
          <w:lang w:val="en-US"/>
        </w:rPr>
        <w:t xml:space="preserve"> 26</w:t>
      </w:r>
      <w:r w:rsidRPr="00733E87">
        <w:rPr>
          <w:rFonts w:ascii="Aptos" w:eastAsia="Aptos" w:hAnsi="Aptos" w:cs="Aptos"/>
          <w:snapToGrid/>
          <w:vertAlign w:val="superscript"/>
          <w:lang w:val="en-US"/>
        </w:rPr>
        <w:t>th</w:t>
      </w:r>
      <w:r w:rsidRPr="00733E87">
        <w:rPr>
          <w:rFonts w:ascii="Aptos" w:eastAsia="Aptos" w:hAnsi="Aptos" w:cs="Aptos"/>
          <w:snapToGrid/>
          <w:lang w:val="en-US"/>
        </w:rPr>
        <w:t xml:space="preserve"> February 2025.</w:t>
      </w:r>
    </w:p>
    <w:p w14:paraId="45960D7C" w14:textId="77777777" w:rsidR="00733E87" w:rsidRPr="00733E87" w:rsidRDefault="00733E87" w:rsidP="00733E87">
      <w:pPr>
        <w:tabs>
          <w:tab w:val="clear" w:pos="709"/>
        </w:tabs>
        <w:snapToGrid/>
        <w:spacing w:after="160" w:line="278" w:lineRule="auto"/>
        <w:rPr>
          <w:rFonts w:ascii="Aptos" w:eastAsia="Aptos" w:hAnsi="Aptos" w:cs="Aptos"/>
          <w:b/>
          <w:i/>
          <w:snapToGrid/>
          <w:lang w:val="en-US"/>
        </w:rPr>
      </w:pPr>
      <w:r w:rsidRPr="00733E87">
        <w:rPr>
          <w:rFonts w:ascii="Aptos" w:eastAsia="Aptos" w:hAnsi="Aptos" w:cs="Aptos"/>
          <w:b/>
          <w:i/>
          <w:snapToGrid/>
          <w:lang w:val="en-US"/>
        </w:rPr>
        <w:t>ICG/PTWS</w:t>
      </w:r>
    </w:p>
    <w:p w14:paraId="2890257D"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Ms.</w:t>
      </w:r>
      <w:r w:rsidRPr="00733E87">
        <w:rPr>
          <w:rFonts w:ascii="Aptos" w:eastAsia="Aptos" w:hAnsi="Aptos" w:cs="Aptos"/>
          <w:snapToGrid/>
          <w:color w:val="000000"/>
          <w:lang w:val="en-US"/>
        </w:rPr>
        <w:t xml:space="preserve"> Ashleigh Fromont</w:t>
      </w:r>
      <w:r w:rsidRPr="00733E87">
        <w:rPr>
          <w:rFonts w:ascii="Aptos" w:eastAsia="Aptos" w:hAnsi="Aptos" w:cs="Aptos"/>
          <w:snapToGrid/>
          <w:lang w:val="en-US"/>
        </w:rPr>
        <w:t xml:space="preserve"> provided a report on Tsunami Ready implementation in the Pacific region. The WG3 Task Team was established to coordinate efforts, promote a 100% Tsunami Ready Goal, and develop an </w:t>
      </w:r>
      <w:proofErr w:type="gramStart"/>
      <w:r w:rsidRPr="00733E87">
        <w:rPr>
          <w:rFonts w:ascii="Aptos" w:eastAsia="Aptos" w:hAnsi="Aptos" w:cs="Aptos"/>
          <w:snapToGrid/>
          <w:lang w:val="en-US"/>
        </w:rPr>
        <w:t>equivalency</w:t>
      </w:r>
      <w:proofErr w:type="gramEnd"/>
      <w:r w:rsidRPr="00733E87">
        <w:rPr>
          <w:rFonts w:ascii="Aptos" w:eastAsia="Aptos" w:hAnsi="Aptos" w:cs="Aptos"/>
          <w:snapToGrid/>
          <w:lang w:val="en-US"/>
        </w:rPr>
        <w:t xml:space="preserve"> approach for standardized preparedness reporting. As of 2024, 23 communities across 10 countries have been recognized, with ongoing expansion in several nations. Key challenges include hazard assessment limitations, a cumbersome application process, sustainability issues, and gaps in awareness and education. To improve monitoring, a regular Tsunami Ready Implementation Survey is proposed, aligning with global preparedness assessments. Additionally, efforts are underway to enhance inundation modeling through satellite-derived data and alternative methodologies. Future actions include linking Tsunami Ready with the Making Cities Resilient (2030) initiative and improving tsunami evacuation signage, particularly in areas unlikely to experience earthquake shaking.</w:t>
      </w:r>
    </w:p>
    <w:p w14:paraId="3CFB0547" w14:textId="77777777" w:rsidR="00733E87" w:rsidRPr="00733E87" w:rsidRDefault="00733E87" w:rsidP="00733E87">
      <w:pPr>
        <w:tabs>
          <w:tab w:val="clear" w:pos="709"/>
        </w:tabs>
        <w:snapToGrid/>
        <w:spacing w:after="160" w:line="278" w:lineRule="auto"/>
        <w:rPr>
          <w:rFonts w:ascii="Aptos" w:eastAsia="Aptos" w:hAnsi="Aptos" w:cs="Aptos"/>
          <w:b/>
          <w:i/>
          <w:snapToGrid/>
          <w:lang w:val="en-US"/>
        </w:rPr>
      </w:pPr>
      <w:r w:rsidRPr="00733E87">
        <w:rPr>
          <w:rFonts w:ascii="Aptos" w:eastAsia="Aptos" w:hAnsi="Aptos" w:cs="Aptos"/>
          <w:b/>
          <w:i/>
          <w:snapToGrid/>
          <w:lang w:val="en-US"/>
        </w:rPr>
        <w:t>ICG/NEAMTWS</w:t>
      </w:r>
    </w:p>
    <w:p w14:paraId="0506389B"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Mr. Ignacio Aguirre Ayerbe provided a report on </w:t>
      </w:r>
      <w:proofErr w:type="gramStart"/>
      <w:r w:rsidRPr="00733E87">
        <w:rPr>
          <w:rFonts w:ascii="Aptos" w:eastAsia="Aptos" w:hAnsi="Aptos" w:cs="Aptos"/>
          <w:snapToGrid/>
          <w:lang w:val="en-US"/>
        </w:rPr>
        <w:t>Tsunami</w:t>
      </w:r>
      <w:proofErr w:type="gramEnd"/>
      <w:r w:rsidRPr="00733E87">
        <w:rPr>
          <w:rFonts w:ascii="Aptos" w:eastAsia="Aptos" w:hAnsi="Aptos" w:cs="Aptos"/>
          <w:snapToGrid/>
          <w:lang w:val="en-US"/>
        </w:rPr>
        <w:t xml:space="preserve"> Ready implementation in the NEAM region. The implementation of the Tsunami Ready Recognition Programme (TRRP) in the NEAM region is generally based on a science-based approach. Stakeholder engagement and participation through a science-based, participatory decision-making approach has been successfully tested in some of the first cases of TRRP implementation in the NEAM region. He highlighted that the ICG-NEAMTWS XIX Session noted the advice of TT on Tsunami Ready to establish the role of the National Tsunami Ready Focal Point and to issue a Circular Letter (CL) to the Member States via official channels, requesting </w:t>
      </w:r>
      <w:r w:rsidRPr="00733E87">
        <w:rPr>
          <w:rFonts w:ascii="Aptos" w:eastAsia="Aptos" w:hAnsi="Aptos" w:cs="Aptos"/>
          <w:snapToGrid/>
          <w:lang w:val="en-US"/>
        </w:rPr>
        <w:lastRenderedPageBreak/>
        <w:t xml:space="preserve">nominations for this position. It was highlighted that the support of the </w:t>
      </w:r>
      <w:proofErr w:type="spellStart"/>
      <w:r w:rsidRPr="00733E87">
        <w:rPr>
          <w:rFonts w:ascii="Aptos" w:eastAsia="Aptos" w:hAnsi="Aptos" w:cs="Aptos"/>
          <w:snapToGrid/>
          <w:lang w:val="en-US"/>
        </w:rPr>
        <w:t>CoastWAVE</w:t>
      </w:r>
      <w:proofErr w:type="spellEnd"/>
      <w:r w:rsidRPr="00733E87">
        <w:rPr>
          <w:rFonts w:ascii="Aptos" w:eastAsia="Aptos" w:hAnsi="Aptos" w:cs="Aptos"/>
          <w:snapToGrid/>
          <w:lang w:val="en-US"/>
        </w:rPr>
        <w:t xml:space="preserve"> project has been instrumental in driving and promoting the TRRP in the NEAM region. Similarly, it is recommended to produce a short report including reflections on the challenges found after the first cases in the implementation of the TRRP in the NEAM region and the ongoing work analyzed in other ICG regions, considering, among others, the following:</w:t>
      </w:r>
    </w:p>
    <w:p w14:paraId="5AB6548B" w14:textId="77777777" w:rsidR="00733E87" w:rsidRPr="00733E87" w:rsidRDefault="00733E87" w:rsidP="00733E87">
      <w:pPr>
        <w:numPr>
          <w:ilvl w:val="0"/>
          <w:numId w:val="119"/>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Difficulties related to the financial, technical, human and time resources required for the implementation of the TRRP.</w:t>
      </w:r>
    </w:p>
    <w:p w14:paraId="1FD64837" w14:textId="77777777" w:rsidR="00733E87" w:rsidRPr="00733E87" w:rsidRDefault="00733E87" w:rsidP="00733E87">
      <w:pPr>
        <w:numPr>
          <w:ilvl w:val="0"/>
          <w:numId w:val="119"/>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Need for effective coordination between national, regional and local authorities.</w:t>
      </w:r>
    </w:p>
    <w:p w14:paraId="7A9D3926" w14:textId="77777777" w:rsidR="00733E87" w:rsidRPr="00733E87" w:rsidRDefault="00733E87" w:rsidP="00733E87">
      <w:pPr>
        <w:numPr>
          <w:ilvl w:val="0"/>
          <w:numId w:val="119"/>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Need to establish peer </w:t>
      </w:r>
      <w:proofErr w:type="gramStart"/>
      <w:r w:rsidRPr="00733E87">
        <w:rPr>
          <w:rFonts w:ascii="Aptos" w:eastAsia="Aptos" w:hAnsi="Aptos" w:cs="Aptos"/>
          <w:snapToGrid/>
          <w:lang w:val="en-US"/>
        </w:rPr>
        <w:t>reviewed</w:t>
      </w:r>
      <w:proofErr w:type="gramEnd"/>
      <w:r w:rsidRPr="00733E87">
        <w:rPr>
          <w:rFonts w:ascii="Aptos" w:eastAsia="Aptos" w:hAnsi="Aptos" w:cs="Aptos"/>
          <w:snapToGrid/>
          <w:lang w:val="en-US"/>
        </w:rPr>
        <w:t xml:space="preserve"> guidelines for the development of some indicators and evaluate whether MG74 should be adapted to the NEAM region.</w:t>
      </w:r>
    </w:p>
    <w:p w14:paraId="7CA65878" w14:textId="77777777" w:rsidR="00733E87" w:rsidRPr="00733E87" w:rsidRDefault="00733E87" w:rsidP="00733E87">
      <w:pPr>
        <w:numPr>
          <w:ilvl w:val="0"/>
          <w:numId w:val="119"/>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Review the applicability/replicability of the MG74, for the case of a country-wide scale (not SIDs). The question is </w:t>
      </w:r>
      <w:proofErr w:type="gramStart"/>
      <w:r w:rsidRPr="00733E87">
        <w:rPr>
          <w:rFonts w:ascii="Aptos" w:eastAsia="Aptos" w:hAnsi="Aptos" w:cs="Aptos"/>
          <w:snapToGrid/>
          <w:lang w:val="en-US"/>
        </w:rPr>
        <w:t>if</w:t>
      </w:r>
      <w:proofErr w:type="gramEnd"/>
      <w:r w:rsidRPr="00733E87">
        <w:rPr>
          <w:rFonts w:ascii="Aptos" w:eastAsia="Aptos" w:hAnsi="Aptos" w:cs="Aptos"/>
          <w:snapToGrid/>
          <w:lang w:val="en-US"/>
        </w:rPr>
        <w:t xml:space="preserve"> it is necessary to create another mechanism to address a similar recognition to the TRRP in these cases, since the MG74 has a strong local component?</w:t>
      </w:r>
    </w:p>
    <w:p w14:paraId="149CE291" w14:textId="77777777" w:rsidR="00733E87" w:rsidRPr="00733E87" w:rsidRDefault="00733E87" w:rsidP="00733E87">
      <w:pPr>
        <w:numPr>
          <w:ilvl w:val="0"/>
          <w:numId w:val="119"/>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Review the applicability/replicability/adaptation of the MG74, for the case of specific strategic infrastructures (airports, ports, hazardous infrastructures). The question is if it is necessary to create another mechanism to address a similar recognition to the TRRP in these cases?</w:t>
      </w:r>
    </w:p>
    <w:p w14:paraId="61AC8899" w14:textId="77777777" w:rsidR="00733E87" w:rsidRPr="00733E87" w:rsidRDefault="00733E87" w:rsidP="00733E87">
      <w:pPr>
        <w:numPr>
          <w:ilvl w:val="0"/>
          <w:numId w:val="119"/>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There is a need to standardize the TRRP application review procedure. Currently, there is no “review SOP</w:t>
      </w:r>
      <w:proofErr w:type="gramStart"/>
      <w:r w:rsidRPr="00733E87">
        <w:rPr>
          <w:rFonts w:ascii="Aptos" w:eastAsia="Aptos" w:hAnsi="Aptos" w:cs="Aptos"/>
          <w:snapToGrid/>
          <w:lang w:val="en-US"/>
        </w:rPr>
        <w:t>” .</w:t>
      </w:r>
      <w:proofErr w:type="gramEnd"/>
    </w:p>
    <w:p w14:paraId="33015111" w14:textId="77777777" w:rsidR="00733E87" w:rsidRPr="00733E87" w:rsidRDefault="00733E87" w:rsidP="00733E87">
      <w:pPr>
        <w:numPr>
          <w:ilvl w:val="0"/>
          <w:numId w:val="119"/>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Review the needs regarding sustainability of the communities recognized by the TRRP. How </w:t>
      </w:r>
      <w:proofErr w:type="gramStart"/>
      <w:r w:rsidRPr="00733E87">
        <w:rPr>
          <w:rFonts w:ascii="Aptos" w:eastAsia="Aptos" w:hAnsi="Aptos" w:cs="Aptos"/>
          <w:snapToGrid/>
          <w:lang w:val="en-US"/>
        </w:rPr>
        <w:t>to</w:t>
      </w:r>
      <w:proofErr w:type="gramEnd"/>
      <w:r w:rsidRPr="00733E87">
        <w:rPr>
          <w:rFonts w:ascii="Aptos" w:eastAsia="Aptos" w:hAnsi="Aptos" w:cs="Aptos"/>
          <w:snapToGrid/>
          <w:lang w:val="en-US"/>
        </w:rPr>
        <w:t xml:space="preserve"> maintain community ownership, and the need for continued human, technical and financial support and resources?</w:t>
      </w:r>
    </w:p>
    <w:p w14:paraId="548FB9D7" w14:textId="77777777" w:rsidR="00733E87" w:rsidRPr="00733E87" w:rsidRDefault="00733E87" w:rsidP="00733E87">
      <w:pPr>
        <w:numPr>
          <w:ilvl w:val="0"/>
          <w:numId w:val="119"/>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Strengthen reflections and mechanisms to realistically expand the implementation of the TRRP. For instance, through the development of tools to facilitate communities to progress as much as possible in the implementation of the TRRP on their own (there is ongoing work in this regard in the newly launched EU DG ECHO funded “NEAM COMMITMENT” project 2025-2026, and the ongoing EPOS Tsunami TCS initiatives.</w:t>
      </w:r>
    </w:p>
    <w:p w14:paraId="28D93D95" w14:textId="77777777" w:rsidR="00733E87" w:rsidRPr="00733E87" w:rsidRDefault="00733E87" w:rsidP="00733E87">
      <w:pPr>
        <w:tabs>
          <w:tab w:val="clear" w:pos="709"/>
        </w:tabs>
        <w:snapToGrid/>
        <w:spacing w:after="160" w:line="278" w:lineRule="auto"/>
        <w:rPr>
          <w:rFonts w:ascii="Aptos" w:eastAsia="Aptos" w:hAnsi="Aptos" w:cs="Aptos"/>
          <w:b/>
          <w:i/>
          <w:snapToGrid/>
          <w:lang w:val="en-US"/>
        </w:rPr>
      </w:pPr>
      <w:r w:rsidRPr="00733E87">
        <w:rPr>
          <w:rFonts w:ascii="Aptos" w:eastAsia="Aptos" w:hAnsi="Aptos" w:cs="Aptos"/>
          <w:b/>
          <w:i/>
          <w:snapToGrid/>
          <w:lang w:val="en-US"/>
        </w:rPr>
        <w:t xml:space="preserve">ICG/IOTWMS </w:t>
      </w:r>
    </w:p>
    <w:p w14:paraId="311C33C1"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Mr. Ardito Kodijat provided a report on the status of Tsunami Ready implementation in the Indian Ocean region. The UNESCO-IOC's "Tsunami Ready Implementation in the Indian Ocean" initiative aims to strengthen tsunami preparedness through community recognition, training, hazard mapping, and governance. As of 2023-2024, 13 new villages in Indonesia and 24 in India have been recognized, with two Indian villages receiving </w:t>
      </w:r>
      <w:r w:rsidRPr="00733E87">
        <w:rPr>
          <w:rFonts w:ascii="Aptos" w:eastAsia="Aptos" w:hAnsi="Aptos" w:cs="Aptos"/>
          <w:snapToGrid/>
          <w:lang w:val="en-US"/>
        </w:rPr>
        <w:lastRenderedPageBreak/>
        <w:t>renewals. Capacity-building efforts include Tsunami Ready Facilitator Training in Indonesia, national training sessions in Seychelles, Timor-Leste, and the Maldives, and a regional workshop planned for Hyderabad in April 2025. A Tsunami Hazard and Inundation Mapping project, supported by UNESCAP, is being developed for North-Western Indian Ocean (NWIO) countries, including India, Iran, Pakistan, Oman, and the UAE. To enhance accessibility, key preparedness materials are being translated into Farsi and Urdu. Governance efforts include integrating tsunami preparedness into existing disaster management structures through the National Tsunami Ready Board (NTRB), ensuring sustainable implementation and local engagement</w:t>
      </w:r>
    </w:p>
    <w:p w14:paraId="21FA368D" w14:textId="77777777" w:rsidR="00733E87" w:rsidRPr="00733E87" w:rsidRDefault="00733E87" w:rsidP="00733E87">
      <w:pPr>
        <w:tabs>
          <w:tab w:val="clear" w:pos="709"/>
        </w:tabs>
        <w:snapToGrid/>
        <w:spacing w:after="160" w:line="278" w:lineRule="auto"/>
        <w:rPr>
          <w:rFonts w:ascii="Aptos" w:eastAsia="Aptos" w:hAnsi="Aptos" w:cs="Aptos"/>
          <w:b/>
          <w:i/>
          <w:snapToGrid/>
          <w:lang w:val="en-US"/>
        </w:rPr>
      </w:pPr>
      <w:r w:rsidRPr="00733E87">
        <w:rPr>
          <w:rFonts w:ascii="Aptos" w:eastAsia="Aptos" w:hAnsi="Aptos" w:cs="Aptos"/>
          <w:b/>
          <w:i/>
          <w:snapToGrid/>
          <w:lang w:val="en-US"/>
        </w:rPr>
        <w:t>ICG/CARIBE-EWS</w:t>
      </w:r>
    </w:p>
    <w:p w14:paraId="170B84FC" w14:textId="77777777" w:rsidR="00733E87" w:rsidRPr="00733E87" w:rsidRDefault="00733E87" w:rsidP="00733E87">
      <w:pPr>
        <w:tabs>
          <w:tab w:val="clear" w:pos="709"/>
        </w:tabs>
        <w:snapToGrid/>
        <w:spacing w:after="160" w:line="278" w:lineRule="auto"/>
        <w:jc w:val="both"/>
        <w:rPr>
          <w:rFonts w:ascii="Aptos" w:eastAsia="Aptos" w:hAnsi="Aptos" w:cs="Aptos"/>
          <w:b/>
          <w:i/>
          <w:snapToGrid/>
          <w:lang w:val="en-US"/>
        </w:rPr>
      </w:pPr>
      <w:r w:rsidRPr="00733E87">
        <w:rPr>
          <w:rFonts w:ascii="Aptos" w:eastAsia="Aptos" w:hAnsi="Aptos" w:cs="Aptos"/>
          <w:snapToGrid/>
          <w:lang w:val="en-US"/>
        </w:rPr>
        <w:t xml:space="preserve">Ms. Alison Brome provided a report on the status of </w:t>
      </w:r>
      <w:proofErr w:type="gramStart"/>
      <w:r w:rsidRPr="00733E87">
        <w:rPr>
          <w:rFonts w:ascii="Aptos" w:eastAsia="Aptos" w:hAnsi="Aptos" w:cs="Aptos"/>
          <w:snapToGrid/>
          <w:lang w:val="en-US"/>
        </w:rPr>
        <w:t>Tsunami</w:t>
      </w:r>
      <w:proofErr w:type="gramEnd"/>
      <w:r w:rsidRPr="00733E87">
        <w:rPr>
          <w:rFonts w:ascii="Aptos" w:eastAsia="Aptos" w:hAnsi="Aptos" w:cs="Aptos"/>
          <w:snapToGrid/>
          <w:lang w:val="en-US"/>
        </w:rPr>
        <w:t xml:space="preserve"> Ready implementation in the Caribbean. The Tsunami Ready (TR) Implementation Status report highlights progress, </w:t>
      </w:r>
      <w:proofErr w:type="gramStart"/>
      <w:r w:rsidRPr="00733E87">
        <w:rPr>
          <w:rFonts w:ascii="Aptos" w:eastAsia="Aptos" w:hAnsi="Aptos" w:cs="Aptos"/>
          <w:snapToGrid/>
          <w:lang w:val="en-US"/>
        </w:rPr>
        <w:t>recognitions</w:t>
      </w:r>
      <w:proofErr w:type="gramEnd"/>
      <w:r w:rsidRPr="00733E87">
        <w:rPr>
          <w:rFonts w:ascii="Aptos" w:eastAsia="Aptos" w:hAnsi="Aptos" w:cs="Aptos"/>
          <w:snapToGrid/>
          <w:lang w:val="en-US"/>
        </w:rPr>
        <w:t>, and ongoing efforts within the CARIBE-EWS (Caribbean Early Warning System). As of 2024, several communities across the Caribbean have achieved Tsunami Ready Recognition. Additionally, numerous communities are undergoing nominations or renewals. The report also notes outstanding renewals in Grenada, Nicaragua, St. Vincent &amp; the Grenadines, and Trinidad &amp; Tobago. A Tsunami Ready Evaluation Survey was conducted between March and June 2024 to assess program effectiveness. Based on the results, key recommendations include translating evaluation forms into French and Spanish, establishing an annual reporting system, appointing national TR focal points, and improving data storage at the Caribbean Tsunami Information Centre (CTIC).</w:t>
      </w:r>
    </w:p>
    <w:p w14:paraId="2FF96F25"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Despite progress, several challenges and considerations remain. There is a need for consistent reporting mechanisms, better integration of people with disabilities, and solutions to vandalism and multi-hazard risks affecting TR recognitions. Funding and staffing shortages also present obstacles, slowing down nominations and renewals. Additionally, </w:t>
      </w:r>
      <w:proofErr w:type="gramStart"/>
      <w:r w:rsidRPr="00733E87">
        <w:rPr>
          <w:rFonts w:ascii="Aptos" w:eastAsia="Aptos" w:hAnsi="Aptos" w:cs="Aptos"/>
          <w:snapToGrid/>
          <w:lang w:val="en-US"/>
        </w:rPr>
        <w:t>the CTIC</w:t>
      </w:r>
      <w:proofErr w:type="gramEnd"/>
      <w:r w:rsidRPr="00733E87">
        <w:rPr>
          <w:rFonts w:ascii="Aptos" w:eastAsia="Aptos" w:hAnsi="Aptos" w:cs="Aptos"/>
          <w:snapToGrid/>
          <w:lang w:val="en-US"/>
        </w:rPr>
        <w:t xml:space="preserve"> faces resource limitations, causing delays in implementation. The report emphasizes the importance of securing technical support from social scientists for data analysis and suggests organizing a Tsunami Ready Summit to highlight best practices, strengthen collaboration and strategy. Addressing these challenges will be crucial for maintaining and expanding Tsunami Ready initiatives across the Caribbean.</w:t>
      </w:r>
    </w:p>
    <w:p w14:paraId="0F29AFBE" w14:textId="77777777" w:rsidR="00733E87" w:rsidRPr="00733E87" w:rsidRDefault="00733E87" w:rsidP="00733E87">
      <w:pPr>
        <w:tabs>
          <w:tab w:val="clear" w:pos="709"/>
        </w:tabs>
        <w:snapToGrid/>
        <w:spacing w:after="160" w:line="278" w:lineRule="auto"/>
        <w:rPr>
          <w:rFonts w:ascii="Aptos" w:eastAsia="Aptos" w:hAnsi="Aptos" w:cs="Aptos"/>
          <w:b/>
          <w:i/>
          <w:snapToGrid/>
          <w:lang w:val="en-US"/>
        </w:rPr>
      </w:pPr>
      <w:r w:rsidRPr="00733E87">
        <w:rPr>
          <w:rFonts w:ascii="Aptos" w:eastAsia="Aptos" w:hAnsi="Aptos" w:cs="Aptos"/>
          <w:b/>
          <w:i/>
          <w:snapToGrid/>
          <w:lang w:val="en-US"/>
        </w:rPr>
        <w:t xml:space="preserve">Overall Discussion </w:t>
      </w:r>
    </w:p>
    <w:p w14:paraId="4D47C292"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The meeting discussed the details of the DEM training in the Caribbean, noting that </w:t>
      </w:r>
      <w:proofErr w:type="gramStart"/>
      <w:r w:rsidRPr="00733E87">
        <w:rPr>
          <w:rFonts w:ascii="Aptos" w:eastAsia="Aptos" w:hAnsi="Aptos" w:cs="Aptos"/>
          <w:snapToGrid/>
          <w:lang w:val="en-US"/>
        </w:rPr>
        <w:t>if</w:t>
      </w:r>
      <w:proofErr w:type="gramEnd"/>
      <w:r w:rsidRPr="00733E87">
        <w:rPr>
          <w:rFonts w:ascii="Aptos" w:eastAsia="Aptos" w:hAnsi="Aptos" w:cs="Aptos"/>
          <w:snapToGrid/>
          <w:lang w:val="en-US"/>
        </w:rPr>
        <w:t xml:space="preserve"> there are either challenges of no data, </w:t>
      </w:r>
      <w:proofErr w:type="gramStart"/>
      <w:r w:rsidRPr="00733E87">
        <w:rPr>
          <w:rFonts w:ascii="Aptos" w:eastAsia="Aptos" w:hAnsi="Aptos" w:cs="Aptos"/>
          <w:snapToGrid/>
          <w:lang w:val="en-US"/>
        </w:rPr>
        <w:t>and or</w:t>
      </w:r>
      <w:proofErr w:type="gramEnd"/>
      <w:r w:rsidRPr="00733E87">
        <w:rPr>
          <w:rFonts w:ascii="Aptos" w:eastAsia="Aptos" w:hAnsi="Aptos" w:cs="Aptos"/>
          <w:snapToGrid/>
          <w:lang w:val="en-US"/>
        </w:rPr>
        <w:t xml:space="preserve"> the fact the training is so specialized, how productive it is. The meeting noted that this challenge also applies to NEAM. Not all Member States have capabilities in tsunami modeling. New EU funded NEAM projects will help tackle the challenges at the national level, for example by replicating a PTHA modeling and GIS approach on a large scale.  The Caribbean started to work on this subject and submitted a proposal for a “DEM Developing Training Workshop” in 2020, which was updated in 2022, and it is currently searching for funding to organize it.</w:t>
      </w:r>
    </w:p>
    <w:p w14:paraId="55003DDE"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lastRenderedPageBreak/>
        <w:t>The meeting noted that there are several initiatives being proposed which could provide a global facility to facilitate data access and or conduct hazard assessments in a more efficient way considering that all TR communities will need hazard and risk maps to become recognized to fulfill ODTP objective 2.</w:t>
      </w:r>
    </w:p>
    <w:p w14:paraId="05525DE5"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The meeting also noted that it is important to develop a strategy to focus early actions on hazard and risk assessment, rather than late towards 2030, noting that hazard inundation and evacuation products are the foundations to all DRR activities, as well as TRR implementation. </w:t>
      </w:r>
    </w:p>
    <w:p w14:paraId="43E8D16A"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The challenges of funding and staffing constraints at Member State and TIC levels were highlighted including the status of donor funding to support implementation of TR and related activities. The use of public-private partnerships particularly in respect to the manufacture and installation of signage and outreach activities as well as the need to ensure that donors reflected the values of UNESCO were discussed.</w:t>
      </w:r>
    </w:p>
    <w:p w14:paraId="55B6A453"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b/>
          <w:snapToGrid/>
          <w:color w:val="0070C0"/>
          <w:lang w:val="en-US"/>
        </w:rPr>
      </w:pPr>
      <w:r w:rsidRPr="00733E87">
        <w:rPr>
          <w:rFonts w:ascii="Aptos" w:eastAsia="Aptos" w:hAnsi="Aptos" w:cs="Aptos"/>
          <w:b/>
          <w:snapToGrid/>
          <w:color w:val="0070C0"/>
          <w:lang w:val="en-US"/>
        </w:rPr>
        <w:t>Recommendation to TOWS WG:</w:t>
      </w:r>
    </w:p>
    <w:p w14:paraId="5ACAF5AB" w14:textId="3797599D" w:rsidR="00733E87" w:rsidRPr="00733E87" w:rsidRDefault="00733E87" w:rsidP="00733E87">
      <w:pPr>
        <w:tabs>
          <w:tab w:val="clear" w:pos="709"/>
        </w:tabs>
        <w:snapToGrid/>
        <w:spacing w:after="160" w:line="278" w:lineRule="auto"/>
        <w:jc w:val="both"/>
        <w:rPr>
          <w:rFonts w:ascii="Aptos" w:eastAsia="Aptos" w:hAnsi="Aptos" w:cs="Aptos"/>
          <w:b/>
          <w:snapToGrid/>
          <w:color w:val="0070C0"/>
          <w:lang w:val="en-US"/>
        </w:rPr>
      </w:pPr>
      <w:r w:rsidRPr="00733E87">
        <w:rPr>
          <w:rFonts w:ascii="Aptos" w:eastAsia="Aptos" w:hAnsi="Aptos" w:cs="Aptos"/>
          <w:b/>
          <w:snapToGrid/>
          <w:lang w:val="en-US"/>
        </w:rPr>
        <w:t xml:space="preserve">Appreciates </w:t>
      </w:r>
      <w:r w:rsidRPr="00733E87">
        <w:rPr>
          <w:rFonts w:ascii="Aptos" w:eastAsia="Aptos" w:hAnsi="Aptos" w:cs="Aptos"/>
          <w:snapToGrid/>
          <w:lang w:val="en-US"/>
        </w:rPr>
        <w:t xml:space="preserve">the number of Member States and communities joining the UNESCO-IOC Tsunami Ready Recognition Programme, with 100 communities from </w:t>
      </w:r>
      <w:r w:rsidR="00856929">
        <w:rPr>
          <w:rFonts w:ascii="Aptos" w:eastAsia="Aptos" w:hAnsi="Aptos" w:cs="Aptos"/>
          <w:snapToGrid/>
          <w:lang w:val="en-US"/>
        </w:rPr>
        <w:t>31</w:t>
      </w:r>
      <w:r w:rsidRPr="00733E87">
        <w:rPr>
          <w:rFonts w:ascii="Aptos" w:eastAsia="Aptos" w:hAnsi="Aptos" w:cs="Aptos"/>
          <w:snapToGrid/>
          <w:lang w:val="en-US"/>
        </w:rPr>
        <w:t xml:space="preserve"> countries already recognized, of which 10 SIDS</w:t>
      </w:r>
    </w:p>
    <w:p w14:paraId="373F8214" w14:textId="77777777" w:rsidR="00733E87" w:rsidRPr="00733E87" w:rsidRDefault="00733E87" w:rsidP="00733E87">
      <w:pPr>
        <w:tabs>
          <w:tab w:val="clear" w:pos="709"/>
        </w:tabs>
        <w:snapToGrid/>
        <w:spacing w:after="160" w:line="278" w:lineRule="auto"/>
        <w:jc w:val="both"/>
        <w:rPr>
          <w:rFonts w:ascii="Aptos" w:eastAsia="Aptos" w:hAnsi="Aptos" w:cs="Aptos"/>
          <w:b/>
          <w:snapToGrid/>
          <w:highlight w:val="white"/>
          <w:lang w:val="en-US"/>
        </w:rPr>
      </w:pPr>
      <w:proofErr w:type="gramStart"/>
      <w:r w:rsidRPr="00733E87">
        <w:rPr>
          <w:rFonts w:ascii="Aptos" w:eastAsia="Aptos" w:hAnsi="Aptos" w:cs="Aptos"/>
          <w:b/>
          <w:snapToGrid/>
          <w:highlight w:val="white"/>
          <w:lang w:val="en-US"/>
        </w:rPr>
        <w:t>Recommends</w:t>
      </w:r>
      <w:proofErr w:type="gramEnd"/>
    </w:p>
    <w:p w14:paraId="1A6E14C1" w14:textId="77777777" w:rsidR="00733E87" w:rsidRPr="00733E87" w:rsidRDefault="00733E87" w:rsidP="00733E87">
      <w:pPr>
        <w:numPr>
          <w:ilvl w:val="0"/>
          <w:numId w:val="131"/>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highlight w:val="white"/>
          <w:lang w:val="en-US"/>
        </w:rPr>
        <w:t>To start reporting</w:t>
      </w:r>
      <w:r w:rsidRPr="00733E87">
        <w:rPr>
          <w:rFonts w:ascii="Aptos" w:eastAsia="Aptos" w:hAnsi="Aptos" w:cs="Aptos"/>
          <w:snapToGrid/>
          <w:lang w:val="en-US"/>
        </w:rPr>
        <w:t xml:space="preserve"> TRR communities as soon as effectively possible by percent to get a better idea of how close we are to the Ocean Decade goal of 100% percent of at-risk communities to be TR.</w:t>
      </w:r>
    </w:p>
    <w:p w14:paraId="0C1F01A4" w14:textId="77777777" w:rsidR="00733E87" w:rsidRPr="00733E87" w:rsidRDefault="00733E87" w:rsidP="00733E87">
      <w:pPr>
        <w:numPr>
          <w:ilvl w:val="0"/>
          <w:numId w:val="131"/>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To produce a report including reflections on the main challenges that are being identified in the implementation of the TRRP, as well as proposals of mitigating measures to address them (considering, among others, the challenges included in the list provided by the ICG NEAM-TWS).</w:t>
      </w:r>
    </w:p>
    <w:p w14:paraId="1C8E95AC" w14:textId="77777777" w:rsidR="00733E87" w:rsidRPr="00733E87" w:rsidRDefault="00733E87" w:rsidP="00733E87">
      <w:pPr>
        <w:numPr>
          <w:ilvl w:val="0"/>
          <w:numId w:val="131"/>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Exploring the creation of a global facility to facilitate data and development of inundation and evacuation maps in a more efficient way.</w:t>
      </w:r>
    </w:p>
    <w:p w14:paraId="25109797" w14:textId="77777777" w:rsidR="00733E87" w:rsidRPr="00733E87" w:rsidRDefault="00733E87" w:rsidP="00733E87">
      <w:pPr>
        <w:numPr>
          <w:ilvl w:val="0"/>
          <w:numId w:val="131"/>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Developing a strategy to focus early actions on hazard and risk assessments, to enable the implementation of TR. </w:t>
      </w:r>
    </w:p>
    <w:p w14:paraId="089446DD" w14:textId="77777777" w:rsidR="00733E87" w:rsidRPr="00733E87" w:rsidRDefault="00733E87" w:rsidP="00733E87">
      <w:pPr>
        <w:numPr>
          <w:ilvl w:val="0"/>
          <w:numId w:val="131"/>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Translating evaluation forms into French and Spanish, making the application submission more efficient, providing tools to facilitate annual reporting, identifying national TR focal points, and consistent reporting mechanisms on better integration of people with disabilities; solutions to vandalism and multi-hazard risks affecting TR recognitions. </w:t>
      </w:r>
    </w:p>
    <w:p w14:paraId="3B6F38F1" w14:textId="77777777" w:rsidR="00733E87" w:rsidRPr="00733E87" w:rsidRDefault="00733E87" w:rsidP="00733E87">
      <w:pPr>
        <w:numPr>
          <w:ilvl w:val="0"/>
          <w:numId w:val="131"/>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Organizing a Tsunami Ready Summit in the Caribbean or globally, if funds are available in 2025/2026 to strengthen collaboration and strategy. </w:t>
      </w:r>
    </w:p>
    <w:p w14:paraId="34E85948"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lastRenderedPageBreak/>
        <w:t xml:space="preserve">Notes </w:t>
      </w:r>
      <w:r w:rsidRPr="00733E87">
        <w:rPr>
          <w:rFonts w:ascii="Aptos" w:eastAsia="Aptos" w:hAnsi="Aptos" w:cs="Aptos"/>
          <w:snapToGrid/>
          <w:lang w:val="en-US"/>
        </w:rPr>
        <w:t xml:space="preserve">the funding and staffing shortages, obstacles and challenges slowing down TR </w:t>
      </w:r>
      <w:proofErr w:type="gramStart"/>
      <w:r w:rsidRPr="00733E87">
        <w:rPr>
          <w:rFonts w:ascii="Aptos" w:eastAsia="Aptos" w:hAnsi="Aptos" w:cs="Aptos"/>
          <w:snapToGrid/>
          <w:lang w:val="en-US"/>
        </w:rPr>
        <w:t>recognitions</w:t>
      </w:r>
      <w:proofErr w:type="gramEnd"/>
      <w:r w:rsidRPr="00733E87">
        <w:rPr>
          <w:rFonts w:ascii="Aptos" w:eastAsia="Aptos" w:hAnsi="Aptos" w:cs="Aptos"/>
          <w:snapToGrid/>
          <w:lang w:val="en-US"/>
        </w:rPr>
        <w:t xml:space="preserve"> and renewals. </w:t>
      </w:r>
    </w:p>
    <w:p w14:paraId="50B5EFEE"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Further notes</w:t>
      </w:r>
      <w:r w:rsidRPr="00733E87">
        <w:rPr>
          <w:rFonts w:ascii="Aptos" w:eastAsia="Aptos" w:hAnsi="Aptos" w:cs="Aptos"/>
          <w:snapToGrid/>
          <w:lang w:val="en-US"/>
        </w:rPr>
        <w:t xml:space="preserve"> that all TICs face resource limitations, causing delays in implementation.</w:t>
      </w:r>
    </w:p>
    <w:p w14:paraId="6EC24FF4"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Further notes</w:t>
      </w:r>
      <w:r w:rsidRPr="00733E87">
        <w:rPr>
          <w:rFonts w:ascii="Aptos" w:eastAsia="Aptos" w:hAnsi="Aptos" w:cs="Aptos"/>
          <w:snapToGrid/>
          <w:lang w:val="en-US"/>
        </w:rPr>
        <w:t xml:space="preserve"> the importance of securing technical support from social scientists for data analysis.</w:t>
      </w:r>
    </w:p>
    <w:p w14:paraId="2F824352"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Also notes</w:t>
      </w:r>
      <w:r w:rsidRPr="00733E87">
        <w:rPr>
          <w:rFonts w:ascii="Aptos" w:eastAsia="Aptos" w:hAnsi="Aptos" w:cs="Aptos"/>
          <w:snapToGrid/>
          <w:lang w:val="en-US"/>
        </w:rPr>
        <w:t xml:space="preserve"> the potential critical role of public private partnerships and the need for a high level of scrutiny to ensure the values and integrity of UNESCO are maintained.</w:t>
      </w:r>
    </w:p>
    <w:p w14:paraId="335D680C" w14:textId="77777777" w:rsidR="00733E87" w:rsidRPr="00733E87" w:rsidRDefault="00733E87" w:rsidP="00733E87">
      <w:pPr>
        <w:keepNext/>
        <w:keepLines/>
        <w:numPr>
          <w:ilvl w:val="0"/>
          <w:numId w:val="130"/>
        </w:numPr>
        <w:tabs>
          <w:tab w:val="clear" w:pos="709"/>
        </w:tabs>
        <w:snapToGrid/>
        <w:spacing w:before="160" w:after="80" w:line="278" w:lineRule="auto"/>
        <w:ind w:left="0" w:firstLine="0"/>
        <w:outlineLvl w:val="1"/>
        <w:rPr>
          <w:rFonts w:ascii="Aptos" w:eastAsia="Arial" w:hAnsi="Aptos" w:cs="Arial"/>
          <w:snapToGrid/>
          <w:color w:val="0F4761"/>
          <w:lang w:val="en-US"/>
        </w:rPr>
      </w:pPr>
      <w:bookmarkStart w:id="193" w:name="_Toc193832079"/>
      <w:bookmarkStart w:id="194" w:name="_Toc195258120"/>
      <w:r w:rsidRPr="00733E87">
        <w:rPr>
          <w:rFonts w:ascii="Aptos" w:eastAsia="Play" w:hAnsi="Aptos" w:cs="Play"/>
          <w:snapToGrid/>
          <w:color w:val="0F4761"/>
          <w:lang w:val="en-US"/>
        </w:rPr>
        <w:t xml:space="preserve">4.2 Synergy with Local and National Resilient </w:t>
      </w:r>
      <w:proofErr w:type="spellStart"/>
      <w:r w:rsidRPr="00733E87">
        <w:rPr>
          <w:rFonts w:ascii="Aptos" w:eastAsia="Play" w:hAnsi="Aptos" w:cs="Play"/>
          <w:snapToGrid/>
          <w:color w:val="0F4761"/>
          <w:lang w:val="en-US"/>
        </w:rPr>
        <w:t>Programmes</w:t>
      </w:r>
      <w:proofErr w:type="spellEnd"/>
      <w:r w:rsidRPr="00733E87">
        <w:rPr>
          <w:rFonts w:ascii="Aptos" w:eastAsia="Play" w:hAnsi="Aptos" w:cs="Play"/>
          <w:snapToGrid/>
          <w:color w:val="0F4761"/>
          <w:lang w:val="en-US"/>
        </w:rPr>
        <w:t xml:space="preserve"> (Tsunami Parity)</w:t>
      </w:r>
      <w:bookmarkEnd w:id="193"/>
      <w:bookmarkEnd w:id="194"/>
      <w:r w:rsidRPr="00733E87">
        <w:rPr>
          <w:rFonts w:ascii="Aptos" w:eastAsia="Play" w:hAnsi="Aptos" w:cs="Play"/>
          <w:snapToGrid/>
          <w:color w:val="0F4761"/>
          <w:lang w:val="en-US"/>
        </w:rPr>
        <w:t xml:space="preserve"> </w:t>
      </w:r>
    </w:p>
    <w:p w14:paraId="216D643C"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jc w:val="both"/>
        <w:rPr>
          <w:rFonts w:ascii="Aptos" w:eastAsia="Aptos" w:hAnsi="Aptos" w:cs="Aptos"/>
          <w:snapToGrid/>
          <w:lang w:val="en-US"/>
        </w:rPr>
      </w:pPr>
      <w:r w:rsidRPr="00733E87">
        <w:rPr>
          <w:rFonts w:ascii="Aptos" w:eastAsia="Aptos" w:hAnsi="Aptos" w:cs="Aptos"/>
          <w:snapToGrid/>
          <w:lang w:val="en-US"/>
        </w:rPr>
        <w:t>Ms. Ashleigh Fromont reported on the progress made regarding establishing the Tsunami Ready Equivalency for the PTWS. The PTWS Task Team Tsunami Ready, with support from Regional Working Groups and other ICG subject matter experts, have developed draft guidance for ‘</w:t>
      </w:r>
      <w:r w:rsidRPr="00733E87">
        <w:rPr>
          <w:rFonts w:ascii="Aptos" w:eastAsia="Aptos" w:hAnsi="Aptos" w:cs="Aptos"/>
          <w:i/>
          <w:snapToGrid/>
          <w:lang w:val="en-US"/>
        </w:rPr>
        <w:t>Tsunami Ready Equivalenc</w:t>
      </w:r>
      <w:r w:rsidRPr="00733E87">
        <w:rPr>
          <w:rFonts w:ascii="Aptos" w:eastAsia="Aptos" w:hAnsi="Aptos" w:cs="Aptos"/>
          <w:snapToGrid/>
          <w:lang w:val="en-US"/>
        </w:rPr>
        <w:t xml:space="preserve">y’ in the Pacific.  This draft will be presented and discussed at the ICG/PTWS-XXXI in April 2025, with the intent that they may be approved for pilot implementation in a few member states with existing DRR </w:t>
      </w:r>
      <w:proofErr w:type="spellStart"/>
      <w:r w:rsidRPr="00733E87">
        <w:rPr>
          <w:rFonts w:ascii="Aptos" w:eastAsia="Aptos" w:hAnsi="Aptos" w:cs="Aptos"/>
          <w:snapToGrid/>
          <w:lang w:val="en-US"/>
        </w:rPr>
        <w:t>programmes</w:t>
      </w:r>
      <w:proofErr w:type="spellEnd"/>
      <w:r w:rsidRPr="00733E87">
        <w:rPr>
          <w:rFonts w:ascii="Aptos" w:eastAsia="Aptos" w:hAnsi="Aptos" w:cs="Aptos"/>
          <w:snapToGrid/>
          <w:lang w:val="en-US"/>
        </w:rPr>
        <w:t xml:space="preserve"> before final approval at ICG/PTWS-XXXII in 2027. The previously proposed approach has since been simplified </w:t>
      </w:r>
      <w:proofErr w:type="gramStart"/>
      <w:r w:rsidRPr="00733E87">
        <w:rPr>
          <w:rFonts w:ascii="Aptos" w:eastAsia="Aptos" w:hAnsi="Aptos" w:cs="Aptos"/>
          <w:snapToGrid/>
          <w:lang w:val="en-US"/>
        </w:rPr>
        <w:t>to</w:t>
      </w:r>
      <w:proofErr w:type="gramEnd"/>
      <w:r w:rsidRPr="00733E87">
        <w:rPr>
          <w:rFonts w:ascii="Aptos" w:eastAsia="Aptos" w:hAnsi="Aptos" w:cs="Aptos"/>
          <w:snapToGrid/>
          <w:lang w:val="en-US"/>
        </w:rPr>
        <w:t xml:space="preserve"> three steps: </w:t>
      </w:r>
    </w:p>
    <w:p w14:paraId="4B93B675" w14:textId="77777777" w:rsidR="00733E87" w:rsidRPr="00733E87" w:rsidRDefault="00733E87" w:rsidP="00733E87">
      <w:pPr>
        <w:numPr>
          <w:ilvl w:val="0"/>
          <w:numId w:val="126"/>
        </w:numPr>
        <w:pBdr>
          <w:top w:val="nil"/>
          <w:left w:val="nil"/>
          <w:bottom w:val="nil"/>
          <w:right w:val="nil"/>
          <w:between w:val="nil"/>
        </w:pBdr>
        <w:tabs>
          <w:tab w:val="clear" w:pos="709"/>
        </w:tabs>
        <w:snapToGrid/>
        <w:spacing w:before="10" w:after="160" w:line="278" w:lineRule="auto"/>
        <w:jc w:val="both"/>
        <w:rPr>
          <w:rFonts w:ascii="Aptos" w:eastAsia="Aptos" w:hAnsi="Aptos" w:cs="Aptos"/>
          <w:snapToGrid/>
          <w:color w:val="000000"/>
          <w:lang w:val="en-US"/>
        </w:rPr>
      </w:pPr>
      <w:r w:rsidRPr="00733E87">
        <w:rPr>
          <w:rFonts w:ascii="Aptos" w:eastAsia="Aptos" w:hAnsi="Aptos" w:cs="Aptos"/>
          <w:snapToGrid/>
          <w:color w:val="000000"/>
          <w:lang w:val="en-US"/>
        </w:rPr>
        <w:t>Identify / establish national governance</w:t>
      </w:r>
    </w:p>
    <w:p w14:paraId="7CCB8FA0" w14:textId="77777777" w:rsidR="00733E87" w:rsidRPr="00733E87" w:rsidRDefault="00733E87" w:rsidP="00733E87">
      <w:pPr>
        <w:numPr>
          <w:ilvl w:val="0"/>
          <w:numId w:val="126"/>
        </w:numPr>
        <w:pBdr>
          <w:top w:val="nil"/>
          <w:left w:val="nil"/>
          <w:bottom w:val="nil"/>
          <w:right w:val="nil"/>
          <w:between w:val="nil"/>
        </w:pBdr>
        <w:tabs>
          <w:tab w:val="clear" w:pos="709"/>
        </w:tabs>
        <w:snapToGrid/>
        <w:spacing w:after="160" w:line="278" w:lineRule="auto"/>
        <w:jc w:val="both"/>
        <w:rPr>
          <w:rFonts w:ascii="Aptos" w:eastAsia="Aptos" w:hAnsi="Aptos" w:cs="Aptos"/>
          <w:snapToGrid/>
          <w:color w:val="000000"/>
          <w:lang w:val="en-US"/>
        </w:rPr>
      </w:pPr>
      <w:r w:rsidRPr="00733E87">
        <w:rPr>
          <w:rFonts w:ascii="Aptos" w:eastAsia="Aptos" w:hAnsi="Aptos" w:cs="Aptos"/>
          <w:snapToGrid/>
          <w:color w:val="000000"/>
          <w:lang w:val="en-US"/>
        </w:rPr>
        <w:t xml:space="preserve">Assess tsunami preparedness </w:t>
      </w:r>
      <w:r w:rsidRPr="00733E87">
        <w:rPr>
          <w:rFonts w:ascii="Aptos" w:eastAsia="Aptos" w:hAnsi="Aptos" w:cs="Aptos"/>
          <w:snapToGrid/>
          <w:lang w:val="en-US"/>
        </w:rPr>
        <w:t xml:space="preserve">and </w:t>
      </w:r>
      <w:r w:rsidRPr="00733E87">
        <w:rPr>
          <w:rFonts w:ascii="Aptos" w:eastAsia="Aptos" w:hAnsi="Aptos" w:cs="Aptos"/>
          <w:snapToGrid/>
          <w:color w:val="000000"/>
          <w:lang w:val="en-US"/>
        </w:rPr>
        <w:t>resiliency against TRPP indicators</w:t>
      </w:r>
    </w:p>
    <w:p w14:paraId="2851E743" w14:textId="77777777" w:rsidR="00733E87" w:rsidRPr="00733E87" w:rsidRDefault="00733E87" w:rsidP="00733E87">
      <w:pPr>
        <w:numPr>
          <w:ilvl w:val="0"/>
          <w:numId w:val="126"/>
        </w:numPr>
        <w:pBdr>
          <w:top w:val="nil"/>
          <w:left w:val="nil"/>
          <w:bottom w:val="nil"/>
          <w:right w:val="nil"/>
          <w:between w:val="nil"/>
        </w:pBdr>
        <w:tabs>
          <w:tab w:val="clear" w:pos="709"/>
        </w:tabs>
        <w:snapToGrid/>
        <w:spacing w:after="160" w:line="278" w:lineRule="auto"/>
        <w:jc w:val="both"/>
        <w:rPr>
          <w:rFonts w:ascii="Aptos" w:eastAsia="Aptos" w:hAnsi="Aptos" w:cs="Aptos"/>
          <w:snapToGrid/>
          <w:color w:val="000000"/>
          <w:lang w:val="en-US"/>
        </w:rPr>
      </w:pPr>
      <w:r w:rsidRPr="00733E87">
        <w:rPr>
          <w:rFonts w:ascii="Aptos" w:eastAsia="Aptos" w:hAnsi="Aptos" w:cs="Aptos"/>
          <w:snapToGrid/>
          <w:color w:val="000000"/>
          <w:lang w:val="en-US"/>
        </w:rPr>
        <w:t xml:space="preserve">Report progress toward UNOD to ICG. </w:t>
      </w:r>
    </w:p>
    <w:p w14:paraId="6921ABCF"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jc w:val="both"/>
        <w:rPr>
          <w:rFonts w:ascii="Aptos" w:eastAsia="Aptos" w:hAnsi="Aptos" w:cs="Aptos"/>
          <w:snapToGrid/>
          <w:lang w:val="en-US"/>
        </w:rPr>
      </w:pPr>
      <w:r w:rsidRPr="00733E87">
        <w:rPr>
          <w:rFonts w:ascii="Aptos" w:eastAsia="Aptos" w:hAnsi="Aptos" w:cs="Aptos"/>
          <w:snapToGrid/>
          <w:lang w:val="en-US"/>
        </w:rPr>
        <w:t xml:space="preserve">The documentation provides a ‘cross-referencing’ guide, using the Tsunami Ready indicators as a foundation, which is intended to be broad enough for multiple contexts while retaining a high standard of tsunami preparedness. It is a high-trust model, for example, where it is believed that the law requires certain preparedness activities to occur in a community, this is recorded as justification for an overall indicator rather than requiring a reliance on community reporting. </w:t>
      </w:r>
    </w:p>
    <w:p w14:paraId="4BC9266D"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jc w:val="both"/>
        <w:rPr>
          <w:rFonts w:ascii="Aptos" w:eastAsia="Aptos" w:hAnsi="Aptos" w:cs="Aptos"/>
          <w:snapToGrid/>
          <w:lang w:val="en-US"/>
        </w:rPr>
      </w:pPr>
      <w:r w:rsidRPr="00733E87">
        <w:rPr>
          <w:rFonts w:ascii="Aptos" w:eastAsia="Aptos" w:hAnsi="Aptos" w:cs="Aptos"/>
          <w:snapToGrid/>
          <w:lang w:val="en-US"/>
        </w:rPr>
        <w:t xml:space="preserve">Key outstanding challenges include whether the guidance is usable – with the concept based primarily on the context of a few Member States. This will be the intent of a pilot implementation. </w:t>
      </w:r>
    </w:p>
    <w:p w14:paraId="7ED3F198"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jc w:val="both"/>
        <w:rPr>
          <w:rFonts w:ascii="Aptos" w:eastAsia="Aptos" w:hAnsi="Aptos" w:cs="Aptos"/>
          <w:snapToGrid/>
          <w:lang w:val="en-US"/>
        </w:rPr>
      </w:pPr>
      <w:r w:rsidRPr="00733E87">
        <w:rPr>
          <w:rFonts w:ascii="Aptos" w:eastAsia="Aptos" w:hAnsi="Aptos" w:cs="Aptos"/>
          <w:snapToGrid/>
          <w:lang w:val="en-US"/>
        </w:rPr>
        <w:t>Alongside this, the PTWS will also investigate whether there is more that can be done to recognize and celebrate the benefits of formal Tsunami Ready Recognition, which is still preferred.</w:t>
      </w:r>
    </w:p>
    <w:p w14:paraId="23E857CB"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snapToGrid/>
          <w:lang w:val="en-US"/>
        </w:rPr>
      </w:pPr>
      <w:r w:rsidRPr="00733E87">
        <w:rPr>
          <w:rFonts w:ascii="Aptos" w:eastAsia="Aptos" w:hAnsi="Aptos" w:cs="Aptos"/>
          <w:b/>
          <w:snapToGrid/>
          <w:color w:val="0070C0"/>
          <w:lang w:val="en-US"/>
        </w:rPr>
        <w:t xml:space="preserve">Recommendations </w:t>
      </w:r>
      <w:proofErr w:type="gramStart"/>
      <w:r w:rsidRPr="00733E87">
        <w:rPr>
          <w:rFonts w:ascii="Aptos" w:eastAsia="Aptos" w:hAnsi="Aptos" w:cs="Aptos"/>
          <w:b/>
          <w:snapToGrid/>
          <w:color w:val="0070C0"/>
          <w:lang w:val="en-US"/>
        </w:rPr>
        <w:t>to</w:t>
      </w:r>
      <w:proofErr w:type="gramEnd"/>
      <w:r w:rsidRPr="00733E87">
        <w:rPr>
          <w:rFonts w:ascii="Aptos" w:eastAsia="Aptos" w:hAnsi="Aptos" w:cs="Aptos"/>
          <w:b/>
          <w:snapToGrid/>
          <w:color w:val="0070C0"/>
          <w:lang w:val="en-US"/>
        </w:rPr>
        <w:t xml:space="preserve"> TOWS WG</w:t>
      </w:r>
    </w:p>
    <w:p w14:paraId="237CDF17"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proofErr w:type="gramStart"/>
      <w:r w:rsidRPr="00733E87">
        <w:rPr>
          <w:rFonts w:ascii="Aptos" w:eastAsia="Aptos" w:hAnsi="Aptos" w:cs="Aptos"/>
          <w:b/>
          <w:snapToGrid/>
          <w:lang w:val="en-US"/>
        </w:rPr>
        <w:t>Appreciates</w:t>
      </w:r>
      <w:proofErr w:type="gramEnd"/>
      <w:r w:rsidRPr="00733E87">
        <w:rPr>
          <w:rFonts w:ascii="Aptos" w:eastAsia="Aptos" w:hAnsi="Aptos" w:cs="Aptos"/>
          <w:snapToGrid/>
          <w:lang w:val="en-US"/>
        </w:rPr>
        <w:t xml:space="preserve"> the progress made </w:t>
      </w:r>
      <w:proofErr w:type="gramStart"/>
      <w:r w:rsidRPr="00733E87">
        <w:rPr>
          <w:rFonts w:ascii="Aptos" w:eastAsia="Aptos" w:hAnsi="Aptos" w:cs="Aptos"/>
          <w:snapToGrid/>
          <w:lang w:val="en-US"/>
        </w:rPr>
        <w:t>for establishing</w:t>
      </w:r>
      <w:proofErr w:type="gramEnd"/>
      <w:r w:rsidRPr="00733E87">
        <w:rPr>
          <w:rFonts w:ascii="Aptos" w:eastAsia="Aptos" w:hAnsi="Aptos" w:cs="Aptos"/>
          <w:snapToGrid/>
          <w:lang w:val="en-US"/>
        </w:rPr>
        <w:t xml:space="preserve"> the Tsunami Ready Equivalency for the PTWS by developing a draft guidance using the Tsunami Ready indicators as a foundation.</w:t>
      </w:r>
    </w:p>
    <w:p w14:paraId="08872EC1"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lastRenderedPageBreak/>
        <w:t>Notes</w:t>
      </w:r>
      <w:r w:rsidRPr="00733E87">
        <w:rPr>
          <w:rFonts w:ascii="Aptos" w:eastAsia="Aptos" w:hAnsi="Aptos" w:cs="Aptos"/>
          <w:snapToGrid/>
          <w:lang w:val="en-US"/>
        </w:rPr>
        <w:t xml:space="preserve"> that the PTWS will explore ways to further recognize and promote the benefits of formal Tsunami Ready Recognition, which remains the preferred approach by TOWS.</w:t>
      </w:r>
    </w:p>
    <w:p w14:paraId="45195AD6" w14:textId="77777777" w:rsidR="00733E87" w:rsidRPr="00733E87" w:rsidRDefault="00733E87" w:rsidP="00733E87">
      <w:pPr>
        <w:keepNext/>
        <w:keepLines/>
        <w:numPr>
          <w:ilvl w:val="0"/>
          <w:numId w:val="130"/>
        </w:numPr>
        <w:tabs>
          <w:tab w:val="clear" w:pos="709"/>
        </w:tabs>
        <w:snapToGrid/>
        <w:spacing w:before="160" w:after="80" w:line="278" w:lineRule="auto"/>
        <w:ind w:left="0" w:firstLine="0"/>
        <w:outlineLvl w:val="1"/>
        <w:rPr>
          <w:rFonts w:ascii="Aptos" w:eastAsia="Play" w:hAnsi="Aptos" w:cs="Play"/>
          <w:snapToGrid/>
          <w:color w:val="0F4761"/>
          <w:lang w:val="en-US"/>
        </w:rPr>
      </w:pPr>
      <w:bookmarkStart w:id="195" w:name="_Toc193832080"/>
      <w:bookmarkStart w:id="196" w:name="_Toc195258121"/>
      <w:r w:rsidRPr="00733E87">
        <w:rPr>
          <w:rFonts w:ascii="Aptos" w:eastAsia="Play" w:hAnsi="Aptos" w:cs="Play"/>
          <w:snapToGrid/>
          <w:color w:val="0F4761"/>
          <w:lang w:val="en-US"/>
        </w:rPr>
        <w:t>4.3 Tsunami Ready Tool Kit</w:t>
      </w:r>
      <w:bookmarkEnd w:id="195"/>
      <w:bookmarkEnd w:id="196"/>
    </w:p>
    <w:p w14:paraId="78BE8A79"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Referring to the TOWS-WG XVII recommendation, Mr. Ardito Kodijat, representing the TICs, reported on the progress of the Tsunami Ready Toolkit. The TICs have developed several toolkits for further consideration:</w:t>
      </w:r>
    </w:p>
    <w:p w14:paraId="40D32FC7" w14:textId="77777777" w:rsidR="00733E87" w:rsidRPr="00733E87" w:rsidRDefault="00733E87" w:rsidP="00733E87">
      <w:pPr>
        <w:numPr>
          <w:ilvl w:val="0"/>
          <w:numId w:val="128"/>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Definition and Guidance for Tsunami Ready Communities</w:t>
      </w:r>
    </w:p>
    <w:p w14:paraId="00DCCDD2" w14:textId="77777777" w:rsidR="00733E87" w:rsidRPr="00733E87" w:rsidRDefault="00733E87" w:rsidP="00733E87">
      <w:pPr>
        <w:numPr>
          <w:ilvl w:val="0"/>
          <w:numId w:val="128"/>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Tsunami Ready Training Tools under the OTGA, covering:</w:t>
      </w:r>
    </w:p>
    <w:p w14:paraId="31D0B3AD" w14:textId="77777777" w:rsidR="00733E87" w:rsidRPr="00733E87" w:rsidRDefault="00733E87" w:rsidP="00733E87">
      <w:pPr>
        <w:numPr>
          <w:ilvl w:val="0"/>
          <w:numId w:val="134"/>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Tsunami Awareness</w:t>
      </w:r>
    </w:p>
    <w:p w14:paraId="2E89CB24" w14:textId="77777777" w:rsidR="00733E87" w:rsidRPr="00733E87" w:rsidRDefault="00733E87" w:rsidP="00733E87">
      <w:pPr>
        <w:numPr>
          <w:ilvl w:val="0"/>
          <w:numId w:val="134"/>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Tsunami Ready</w:t>
      </w:r>
    </w:p>
    <w:p w14:paraId="7742FA81" w14:textId="77777777" w:rsidR="00733E87" w:rsidRPr="00733E87" w:rsidRDefault="00733E87" w:rsidP="00733E87">
      <w:pPr>
        <w:numPr>
          <w:ilvl w:val="0"/>
          <w:numId w:val="128"/>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Toolkits for Tsunami Ready Application, including:</w:t>
      </w:r>
    </w:p>
    <w:p w14:paraId="5F9127ED"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Application Form</w:t>
      </w:r>
    </w:p>
    <w:p w14:paraId="5EB59779"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Submission procedures and recognition workflow (need for automated tool)</w:t>
      </w:r>
    </w:p>
    <w:p w14:paraId="7780D7C4"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File naming and file types (file metadata)</w:t>
      </w:r>
    </w:p>
    <w:p w14:paraId="24E2801A"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Implementation communications (sample letters and templates), including:</w:t>
      </w:r>
    </w:p>
    <w:p w14:paraId="20592FB4"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Letter of Intent</w:t>
      </w:r>
    </w:p>
    <w:p w14:paraId="1887C018"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NTRB/RTRB establishment</w:t>
      </w:r>
    </w:p>
    <w:p w14:paraId="2AE118EF"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Application submission</w:t>
      </w:r>
    </w:p>
    <w:p w14:paraId="188655DA"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IOC acknowledgement</w:t>
      </w:r>
    </w:p>
    <w:p w14:paraId="74985B8B"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Recognition and Appreciation Certificate names</w:t>
      </w:r>
    </w:p>
    <w:p w14:paraId="13FCCB0D"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Community summary for the web page</w:t>
      </w:r>
    </w:p>
    <w:p w14:paraId="64066665"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Recognition and Appreciation Certificates – sample templates</w:t>
      </w:r>
    </w:p>
    <w:p w14:paraId="64932521"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Recognition Ceremony – sample agenda</w:t>
      </w:r>
    </w:p>
    <w:p w14:paraId="7C04472A" w14:textId="77777777" w:rsidR="00733E87" w:rsidRP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Recognition Sign – examples with accompanying safety messages</w:t>
      </w:r>
    </w:p>
    <w:p w14:paraId="4B2B10D7" w14:textId="77777777" w:rsidR="00733E87" w:rsidRDefault="00733E87" w:rsidP="00733E87">
      <w:pPr>
        <w:numPr>
          <w:ilvl w:val="0"/>
          <w:numId w:val="135"/>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Renewal Process</w:t>
      </w:r>
    </w:p>
    <w:p w14:paraId="2C1F9E52" w14:textId="77777777" w:rsidR="009172B6" w:rsidRPr="00733E87" w:rsidRDefault="009172B6" w:rsidP="009172B6">
      <w:pPr>
        <w:tabs>
          <w:tab w:val="clear" w:pos="709"/>
        </w:tabs>
        <w:snapToGrid/>
        <w:spacing w:after="160" w:line="278" w:lineRule="auto"/>
        <w:contextualSpacing/>
        <w:rPr>
          <w:rFonts w:ascii="Aptos" w:eastAsia="Aptos" w:hAnsi="Aptos" w:cs="Aptos"/>
          <w:snapToGrid/>
          <w:lang w:val="en-US"/>
        </w:rPr>
      </w:pPr>
    </w:p>
    <w:p w14:paraId="4E31E83D"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Regarding the definition of a Tsunami Ready Community, the meeting agreed that the NTRB would have the authority to determine the level of Tsunami Ready Community, following the guidance and advice of MG74. Further elaboration will be provided in the appendix of the Standard Guidelines for the Tsunami Ready Recognition Programme (IOC/2022/MG/74).</w:t>
      </w:r>
    </w:p>
    <w:p w14:paraId="6BA747B8"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Two self-paced training courses are now available in OTGA: Tsunami Awareness and Tsunami Ready.  </w:t>
      </w:r>
      <w:proofErr w:type="gramStart"/>
      <w:r w:rsidRPr="00733E87">
        <w:rPr>
          <w:rFonts w:ascii="Aptos" w:eastAsia="Aptos" w:hAnsi="Aptos" w:cs="Aptos"/>
          <w:snapToGrid/>
          <w:lang w:val="en-US"/>
        </w:rPr>
        <w:t>In order to</w:t>
      </w:r>
      <w:proofErr w:type="gramEnd"/>
      <w:r w:rsidRPr="00733E87">
        <w:rPr>
          <w:rFonts w:ascii="Aptos" w:eastAsia="Aptos" w:hAnsi="Aptos" w:cs="Aptos"/>
          <w:snapToGrid/>
          <w:lang w:val="en-US"/>
        </w:rPr>
        <w:t xml:space="preserve"> take the Tsunami Ready course, it is required to take and pass the Tsunami Awareness course.  The Tsunami Ready course is recommended for primary stakeholders that will be involved in implementing Tsunami Ready.</w:t>
      </w:r>
    </w:p>
    <w:p w14:paraId="0B775CB3"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The application form for the Tsunami Ready Recognition Programme (TRRP) follows MG74. Currently, applications are submitted through email or various file-sending </w:t>
      </w:r>
      <w:r w:rsidRPr="00733E87">
        <w:rPr>
          <w:rFonts w:ascii="Aptos" w:eastAsia="Aptos" w:hAnsi="Aptos" w:cs="Aptos"/>
          <w:snapToGrid/>
          <w:lang w:val="en-US"/>
        </w:rPr>
        <w:lastRenderedPageBreak/>
        <w:t>methods, but future developments are planned for an electronic submission process that will automatically name files according to the naming conventions. Applications should be in English to facilitate the sharing of best practices, but supporting documentation may be in the local languages. The meeting also discussed the possibility of making the application process available in all UN official languages.</w:t>
      </w:r>
    </w:p>
    <w:p w14:paraId="7D2C066E" w14:textId="77777777" w:rsidR="00733E87" w:rsidRPr="00733E87" w:rsidRDefault="00733E87" w:rsidP="00733E87">
      <w:pPr>
        <w:tabs>
          <w:tab w:val="clear" w:pos="709"/>
        </w:tabs>
        <w:snapToGrid/>
        <w:spacing w:before="240" w:line="276" w:lineRule="auto"/>
        <w:jc w:val="both"/>
        <w:rPr>
          <w:rFonts w:ascii="Aptos" w:eastAsia="Aptos" w:hAnsi="Aptos" w:cs="Aptos"/>
          <w:snapToGrid/>
          <w:lang w:val="en-US"/>
        </w:rPr>
      </w:pPr>
      <w:r w:rsidRPr="00733E87">
        <w:rPr>
          <w:rFonts w:ascii="Aptos" w:eastAsia="Aptos" w:hAnsi="Aptos" w:cs="Aptos"/>
          <w:snapToGrid/>
          <w:lang w:val="en-US"/>
        </w:rPr>
        <w:t>The toolkit will also provide samples and templates, such as for letters of Intent, NTRB/RTRB establishment, application submission, and IOC acknowledgement of recognition, to facilitate the application process.</w:t>
      </w:r>
    </w:p>
    <w:p w14:paraId="1CFFAE23" w14:textId="77777777" w:rsidR="00733E87" w:rsidRPr="00733E87" w:rsidRDefault="00733E87" w:rsidP="00733E87">
      <w:pPr>
        <w:tabs>
          <w:tab w:val="clear" w:pos="709"/>
        </w:tabs>
        <w:snapToGrid/>
        <w:spacing w:before="240" w:line="276" w:lineRule="auto"/>
        <w:jc w:val="both"/>
        <w:rPr>
          <w:rFonts w:ascii="Aptos" w:eastAsia="Aptos" w:hAnsi="Aptos" w:cs="Aptos"/>
          <w:snapToGrid/>
          <w:lang w:val="en-US"/>
        </w:rPr>
      </w:pPr>
      <w:r w:rsidRPr="00733E87">
        <w:rPr>
          <w:rFonts w:ascii="Aptos" w:eastAsia="Aptos" w:hAnsi="Aptos" w:cs="Aptos"/>
          <w:snapToGrid/>
          <w:lang w:val="en-US"/>
        </w:rPr>
        <w:t>A standard format for the folder and file naming for the application of the TRRP has been developed and will be further discussed at the TICs meeting for finalization and to be added as the appendix to the MG74.</w:t>
      </w:r>
    </w:p>
    <w:p w14:paraId="17C83814" w14:textId="77777777" w:rsidR="00733E87" w:rsidRPr="00733E87" w:rsidRDefault="00733E87" w:rsidP="009172B6">
      <w:pPr>
        <w:tabs>
          <w:tab w:val="clear" w:pos="709"/>
        </w:tabs>
        <w:snapToGrid/>
        <w:spacing w:before="240" w:line="276" w:lineRule="auto"/>
        <w:jc w:val="both"/>
        <w:rPr>
          <w:rFonts w:ascii="Aptos" w:eastAsia="Aptos" w:hAnsi="Aptos" w:cs="Aptos"/>
          <w:snapToGrid/>
          <w:lang w:val="en-US"/>
        </w:rPr>
      </w:pPr>
      <w:r w:rsidRPr="00733E87">
        <w:rPr>
          <w:rFonts w:ascii="Aptos" w:eastAsia="Aptos" w:hAnsi="Aptos" w:cs="Aptos"/>
          <w:snapToGrid/>
          <w:lang w:val="en-US"/>
        </w:rPr>
        <w:t>A standard format for the Certificate of Recognition and Certificate of Appreciation also have been developed to ensure a standard template for all regions. This tool is for the technical secretariat and TICs who will prepare the certificates.</w:t>
      </w:r>
    </w:p>
    <w:p w14:paraId="0B86F92C" w14:textId="77777777" w:rsidR="00733E87" w:rsidRPr="00733E87" w:rsidRDefault="00733E87" w:rsidP="009172B6">
      <w:pPr>
        <w:tabs>
          <w:tab w:val="clear" w:pos="709"/>
        </w:tabs>
        <w:snapToGrid/>
        <w:spacing w:before="240" w:line="276" w:lineRule="auto"/>
        <w:jc w:val="both"/>
        <w:rPr>
          <w:rFonts w:ascii="Aptos" w:eastAsia="Aptos" w:hAnsi="Aptos" w:cs="Aptos"/>
          <w:snapToGrid/>
          <w:lang w:val="en-US"/>
        </w:rPr>
      </w:pPr>
      <w:r w:rsidRPr="00733E87">
        <w:rPr>
          <w:rFonts w:ascii="Aptos" w:eastAsia="Aptos" w:hAnsi="Aptos" w:cs="Aptos"/>
          <w:snapToGrid/>
          <w:lang w:val="en-US"/>
        </w:rPr>
        <w:t>A standard format for Tsunami Ready signage has also been established. The meeting discussed two options for signage:</w:t>
      </w:r>
    </w:p>
    <w:p w14:paraId="5411B79E" w14:textId="77777777" w:rsidR="00733E87" w:rsidRPr="00733E87" w:rsidRDefault="00733E87" w:rsidP="00733E87">
      <w:pPr>
        <w:numPr>
          <w:ilvl w:val="0"/>
          <w:numId w:val="136"/>
        </w:numPr>
        <w:tabs>
          <w:tab w:val="clear" w:pos="709"/>
        </w:tabs>
        <w:snapToGrid/>
        <w:spacing w:after="160" w:line="278" w:lineRule="auto"/>
        <w:contextualSpacing/>
        <w:jc w:val="both"/>
        <w:rPr>
          <w:rFonts w:ascii="Aptos" w:eastAsia="Aptos" w:hAnsi="Aptos" w:cs="Aptos"/>
          <w:snapToGrid/>
          <w:lang w:val="en-US"/>
        </w:rPr>
      </w:pPr>
      <w:r w:rsidRPr="00733E87">
        <w:rPr>
          <w:rFonts w:ascii="Aptos" w:eastAsia="Aptos" w:hAnsi="Aptos" w:cs="Aptos"/>
          <w:snapToGrid/>
          <w:lang w:val="en-US"/>
        </w:rPr>
        <w:t>Including the evacuation strategy guidance, which provides six different strategies based on the community's tsunami evacuation plan.</w:t>
      </w:r>
    </w:p>
    <w:p w14:paraId="46BE0FCD" w14:textId="77777777" w:rsidR="00733E87" w:rsidRPr="00733E87" w:rsidRDefault="00733E87" w:rsidP="00733E87">
      <w:pPr>
        <w:numPr>
          <w:ilvl w:val="0"/>
          <w:numId w:val="136"/>
        </w:numPr>
        <w:tabs>
          <w:tab w:val="clear" w:pos="709"/>
        </w:tabs>
        <w:snapToGrid/>
        <w:spacing w:after="160" w:line="278" w:lineRule="auto"/>
        <w:contextualSpacing/>
        <w:jc w:val="both"/>
        <w:rPr>
          <w:rFonts w:ascii="Aptos" w:eastAsia="Aptos" w:hAnsi="Aptos" w:cs="Aptos"/>
          <w:snapToGrid/>
          <w:lang w:val="en-US"/>
        </w:rPr>
      </w:pPr>
      <w:r w:rsidRPr="00733E87">
        <w:rPr>
          <w:rFonts w:ascii="Aptos" w:eastAsia="Aptos" w:hAnsi="Aptos" w:cs="Aptos"/>
          <w:snapToGrid/>
          <w:lang w:val="en-US"/>
        </w:rPr>
        <w:t>Without evacuation strategy details, displaying only the Tsunami Ready logo and the recognition period. In this case, evacuation strategy guidance would be available on the Tsunami Ready website, accessible via a QR code on the sign.</w:t>
      </w:r>
    </w:p>
    <w:p w14:paraId="0470F86E"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There are three size formats for signage: Vertical, Square, and Horizontal.</w:t>
      </w:r>
    </w:p>
    <w:p w14:paraId="7CF735FA" w14:textId="77777777" w:rsidR="00733E87" w:rsidRPr="00733E87" w:rsidRDefault="00733E87" w:rsidP="00733E87">
      <w:pPr>
        <w:tabs>
          <w:tab w:val="clear" w:pos="709"/>
        </w:tabs>
        <w:snapToGrid/>
        <w:spacing w:after="160" w:line="278" w:lineRule="auto"/>
        <w:jc w:val="both"/>
        <w:rPr>
          <w:rFonts w:ascii="Aptos" w:eastAsia="Aptos" w:hAnsi="Aptos" w:cs="Aptos"/>
          <w:b/>
          <w:bCs/>
          <w:snapToGrid/>
          <w:lang w:val="en-US"/>
        </w:rPr>
      </w:pPr>
      <w:r w:rsidRPr="00733E87">
        <w:rPr>
          <w:rFonts w:ascii="Aptos" w:eastAsia="Aptos" w:hAnsi="Aptos" w:cs="Aptos"/>
          <w:b/>
          <w:bCs/>
          <w:snapToGrid/>
          <w:lang w:val="en-US"/>
        </w:rPr>
        <w:t>Renewal Process:</w:t>
      </w:r>
    </w:p>
    <w:p w14:paraId="32DEA37E"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In the Indian Ocean region, recognized communities are required to submit annual reports. These reports provide updates on new developments, changes, and activities conducted during the reporting year. If reports are submitted annually, renewal can be processed automatically without further review. The meeting agreed that for renewal, Tsunami Ready Communities must submit a report summarizing accumulated developments, changes (if any), and activities required by the indicators.  </w:t>
      </w:r>
    </w:p>
    <w:p w14:paraId="2232F35D"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Practices employed in each ICG were discussed in relation to the TRRP renewal process. It was noted that inconsistencies existed in the time used for reviewing indicators. Some ICGs conducted reviews based on the year immediately preceding renewal, while others considered the entire four-year period. As with the nomination process, all ICGs indicated that discretion was applied where validated. However, it was noted that the indicators established clear guidelines on the required frequency of </w:t>
      </w:r>
      <w:proofErr w:type="gramStart"/>
      <w:r w:rsidRPr="00733E87">
        <w:rPr>
          <w:rFonts w:ascii="Aptos" w:eastAsia="Aptos" w:hAnsi="Aptos" w:cs="Aptos"/>
          <w:snapToGrid/>
          <w:lang w:val="en-US"/>
        </w:rPr>
        <w:t>select</w:t>
      </w:r>
      <w:proofErr w:type="gramEnd"/>
      <w:r w:rsidRPr="00733E87">
        <w:rPr>
          <w:rFonts w:ascii="Aptos" w:eastAsia="Aptos" w:hAnsi="Aptos" w:cs="Aptos"/>
          <w:snapToGrid/>
          <w:lang w:val="en-US"/>
        </w:rPr>
        <w:t xml:space="preserve"> indicators, suggesting that the full four-year period should be considered. Therefore, all basins should be assessed in accordance with these parameters.</w:t>
      </w:r>
    </w:p>
    <w:p w14:paraId="17AF016B" w14:textId="77777777" w:rsidR="00733E87" w:rsidRPr="00733E87" w:rsidRDefault="00733E87" w:rsidP="00733E87">
      <w:pPr>
        <w:tabs>
          <w:tab w:val="clear" w:pos="709"/>
        </w:tabs>
        <w:snapToGrid/>
        <w:spacing w:after="160" w:line="278" w:lineRule="auto"/>
        <w:rPr>
          <w:rFonts w:ascii="Aptos" w:eastAsia="Aptos" w:hAnsi="Aptos" w:cs="Aptos"/>
          <w:b/>
          <w:snapToGrid/>
          <w:color w:val="0070C0"/>
          <w:lang w:val="en-US"/>
        </w:rPr>
      </w:pPr>
      <w:r w:rsidRPr="00733E87">
        <w:rPr>
          <w:rFonts w:ascii="Aptos" w:eastAsia="Aptos" w:hAnsi="Aptos" w:cs="Aptos"/>
          <w:b/>
          <w:snapToGrid/>
          <w:color w:val="0070C0"/>
          <w:lang w:val="en-US"/>
        </w:rPr>
        <w:lastRenderedPageBreak/>
        <w:t xml:space="preserve">Recommendations </w:t>
      </w:r>
      <w:proofErr w:type="gramStart"/>
      <w:r w:rsidRPr="00733E87">
        <w:rPr>
          <w:rFonts w:ascii="Aptos" w:eastAsia="Aptos" w:hAnsi="Aptos" w:cs="Aptos"/>
          <w:b/>
          <w:snapToGrid/>
          <w:color w:val="0070C0"/>
          <w:lang w:val="en-US"/>
        </w:rPr>
        <w:t>to</w:t>
      </w:r>
      <w:proofErr w:type="gramEnd"/>
      <w:r w:rsidRPr="00733E87">
        <w:rPr>
          <w:rFonts w:ascii="Aptos" w:eastAsia="Aptos" w:hAnsi="Aptos" w:cs="Aptos"/>
          <w:b/>
          <w:snapToGrid/>
          <w:color w:val="0070C0"/>
          <w:lang w:val="en-US"/>
        </w:rPr>
        <w:t xml:space="preserve"> TOWS WG</w:t>
      </w:r>
    </w:p>
    <w:p w14:paraId="2FD6160D"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Requests</w:t>
      </w:r>
      <w:r w:rsidRPr="00733E87">
        <w:rPr>
          <w:rFonts w:ascii="Aptos" w:eastAsia="Aptos" w:hAnsi="Aptos" w:cs="Aptos"/>
          <w:snapToGrid/>
          <w:lang w:val="en-US"/>
        </w:rPr>
        <w:t xml:space="preserve"> TOWS WG approval for the Tsunami Ready Toolkit, including an updated application form, workflow and recognition procedures with sample communication templates, folder and file naming conventions certificate and signage samples, renewal procedures, community definition and guidance, to be finalized by TICs and included as appendices to MG74 for submission to the ICGs.</w:t>
      </w:r>
    </w:p>
    <w:p w14:paraId="4318C2B2"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Recommends</w:t>
      </w:r>
      <w:r w:rsidRPr="00733E87">
        <w:rPr>
          <w:rFonts w:ascii="Aptos" w:eastAsia="Aptos" w:hAnsi="Aptos" w:cs="Aptos"/>
          <w:snapToGrid/>
          <w:lang w:val="en-US"/>
        </w:rPr>
        <w:t xml:space="preserve"> Secretariat to inform Member States on the Toolkit’s availability via IOC Circular Letter to the Tsunami National Contacts, National Tsunami Ready Board, and widely through the attaching this as an appendix of the Manual and Guide 74</w:t>
      </w:r>
    </w:p>
    <w:p w14:paraId="27F1F591"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Further Requests</w:t>
      </w:r>
      <w:r w:rsidRPr="00733E87">
        <w:rPr>
          <w:rFonts w:ascii="Aptos" w:eastAsia="Aptos" w:hAnsi="Aptos" w:cs="Aptos"/>
          <w:snapToGrid/>
          <w:lang w:val="en-US"/>
        </w:rPr>
        <w:t xml:space="preserve"> that TICs continue developing additional tools, including:</w:t>
      </w:r>
    </w:p>
    <w:p w14:paraId="0866796C" w14:textId="77777777" w:rsidR="00733E87" w:rsidRPr="00733E87" w:rsidRDefault="00733E87" w:rsidP="00733E87">
      <w:pPr>
        <w:numPr>
          <w:ilvl w:val="0"/>
          <w:numId w:val="120"/>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Application Form in official UN languages</w:t>
      </w:r>
    </w:p>
    <w:p w14:paraId="5E4CCB1F" w14:textId="77777777" w:rsidR="00733E87" w:rsidRPr="00733E87" w:rsidRDefault="00733E87" w:rsidP="00733E87">
      <w:pPr>
        <w:numPr>
          <w:ilvl w:val="0"/>
          <w:numId w:val="120"/>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More efficient submission procedures</w:t>
      </w:r>
    </w:p>
    <w:p w14:paraId="43194884" w14:textId="77777777" w:rsidR="00733E87" w:rsidRPr="00733E87" w:rsidRDefault="00733E87" w:rsidP="00733E87">
      <w:pPr>
        <w:numPr>
          <w:ilvl w:val="0"/>
          <w:numId w:val="120"/>
        </w:numPr>
        <w:tabs>
          <w:tab w:val="clear" w:pos="709"/>
        </w:tabs>
        <w:snapToGrid/>
        <w:spacing w:after="160" w:line="278" w:lineRule="auto"/>
        <w:ind w:right="-136"/>
        <w:rPr>
          <w:rFonts w:ascii="Aptos" w:eastAsia="Aptos" w:hAnsi="Aptos" w:cs="Aptos"/>
          <w:snapToGrid/>
          <w:lang w:val="en-US"/>
        </w:rPr>
      </w:pPr>
      <w:r w:rsidRPr="00733E87">
        <w:rPr>
          <w:rFonts w:ascii="Aptos" w:eastAsia="Aptos" w:hAnsi="Aptos" w:cs="Aptos"/>
          <w:snapToGrid/>
          <w:lang w:val="en-US"/>
        </w:rPr>
        <w:t xml:space="preserve">Tsunami Ready Training providing detailed implementation guidance </w:t>
      </w:r>
      <w:bookmarkStart w:id="197" w:name="_oais68mprnxr" w:colFirst="0" w:colLast="0"/>
      <w:bookmarkEnd w:id="197"/>
    </w:p>
    <w:p w14:paraId="3BFFCB24" w14:textId="77777777" w:rsidR="00733E87" w:rsidRPr="00733E87" w:rsidRDefault="00733E87" w:rsidP="00733E87">
      <w:pPr>
        <w:keepNext/>
        <w:keepLines/>
        <w:numPr>
          <w:ilvl w:val="0"/>
          <w:numId w:val="130"/>
        </w:numPr>
        <w:tabs>
          <w:tab w:val="clear" w:pos="709"/>
        </w:tabs>
        <w:snapToGrid/>
        <w:spacing w:before="160" w:after="80" w:line="278" w:lineRule="auto"/>
        <w:ind w:left="0" w:firstLine="0"/>
        <w:outlineLvl w:val="1"/>
        <w:rPr>
          <w:rFonts w:ascii="Aptos" w:eastAsia="Arial" w:hAnsi="Aptos" w:cs="Arial"/>
          <w:snapToGrid/>
          <w:color w:val="0F4761"/>
          <w:lang w:val="en-US"/>
        </w:rPr>
      </w:pPr>
      <w:bookmarkStart w:id="198" w:name="_Toc193832081"/>
      <w:bookmarkStart w:id="199" w:name="_Toc195258122"/>
      <w:r w:rsidRPr="00733E87">
        <w:rPr>
          <w:rFonts w:ascii="Aptos" w:eastAsia="Play" w:hAnsi="Aptos" w:cs="Play"/>
          <w:snapToGrid/>
          <w:color w:val="0F4761"/>
          <w:lang w:val="en-US"/>
        </w:rPr>
        <w:t>4.4 Tsunami Ready Coalition Implementation Plan</w:t>
      </w:r>
      <w:bookmarkEnd w:id="198"/>
      <w:bookmarkEnd w:id="199"/>
    </w:p>
    <w:p w14:paraId="5F210017" w14:textId="77777777" w:rsidR="00733E87" w:rsidRPr="00733E87" w:rsidRDefault="00733E87" w:rsidP="00733E87">
      <w:pPr>
        <w:tabs>
          <w:tab w:val="clear" w:pos="709"/>
          <w:tab w:val="left" w:pos="476"/>
          <w:tab w:val="left" w:pos="478"/>
        </w:tabs>
        <w:snapToGrid/>
        <w:spacing w:line="278" w:lineRule="auto"/>
        <w:ind w:right="115"/>
        <w:jc w:val="both"/>
        <w:rPr>
          <w:rFonts w:ascii="Aptos" w:eastAsia="Arial" w:hAnsi="Aptos" w:cs="Arial"/>
          <w:snapToGrid/>
          <w:lang w:val="en-US"/>
        </w:rPr>
      </w:pPr>
    </w:p>
    <w:p w14:paraId="100D4E4C" w14:textId="77777777" w:rsidR="00733E87" w:rsidRPr="00733E87" w:rsidRDefault="00733E87" w:rsidP="00733E87">
      <w:pPr>
        <w:tabs>
          <w:tab w:val="clear" w:pos="709"/>
          <w:tab w:val="left" w:pos="476"/>
          <w:tab w:val="left" w:pos="478"/>
        </w:tabs>
        <w:snapToGrid/>
        <w:spacing w:line="278" w:lineRule="auto"/>
        <w:ind w:right="115"/>
        <w:jc w:val="both"/>
        <w:rPr>
          <w:rFonts w:ascii="Aptos" w:eastAsia="Arial" w:hAnsi="Aptos" w:cs="Arial"/>
          <w:snapToGrid/>
          <w:lang w:val="en-US"/>
        </w:rPr>
      </w:pPr>
      <w:r w:rsidRPr="00733E87">
        <w:rPr>
          <w:rFonts w:ascii="Aptos" w:eastAsia="Arial" w:hAnsi="Aptos" w:cs="Arial"/>
          <w:snapToGrid/>
          <w:lang w:val="en-US"/>
        </w:rPr>
        <w:t xml:space="preserve">Laura Kong provided a presentation on </w:t>
      </w:r>
      <w:proofErr w:type="gramStart"/>
      <w:r w:rsidRPr="00733E87">
        <w:rPr>
          <w:rFonts w:ascii="Aptos" w:eastAsia="Arial" w:hAnsi="Aptos" w:cs="Arial"/>
          <w:snapToGrid/>
          <w:lang w:val="en-US"/>
        </w:rPr>
        <w:t>Tsunami</w:t>
      </w:r>
      <w:proofErr w:type="gramEnd"/>
      <w:r w:rsidRPr="00733E87">
        <w:rPr>
          <w:rFonts w:ascii="Aptos" w:eastAsia="Arial" w:hAnsi="Aptos" w:cs="Arial"/>
          <w:snapToGrid/>
          <w:lang w:val="en-US"/>
        </w:rPr>
        <w:t xml:space="preserve"> Ready Implementation Plan. This document presents the Implementation Plan </w:t>
      </w:r>
      <w:proofErr w:type="gramStart"/>
      <w:r w:rsidRPr="00733E87">
        <w:rPr>
          <w:rFonts w:ascii="Aptos" w:eastAsia="Arial" w:hAnsi="Aptos" w:cs="Arial"/>
          <w:snapToGrid/>
          <w:lang w:val="en-US"/>
        </w:rPr>
        <w:t>of</w:t>
      </w:r>
      <w:proofErr w:type="gramEnd"/>
      <w:r w:rsidRPr="00733E87">
        <w:rPr>
          <w:rFonts w:ascii="Aptos" w:eastAsia="Arial" w:hAnsi="Aptos" w:cs="Arial"/>
          <w:snapToGrid/>
          <w:lang w:val="en-US"/>
        </w:rPr>
        <w:t xml:space="preserve"> the Tsunami Ready Coalition (TRC).  It outlines its establishment, mandate, objectives, Terms of Reference (</w:t>
      </w:r>
      <w:proofErr w:type="spellStart"/>
      <w:r w:rsidRPr="00733E87">
        <w:rPr>
          <w:rFonts w:ascii="Aptos" w:eastAsia="Arial" w:hAnsi="Aptos" w:cs="Arial"/>
          <w:snapToGrid/>
          <w:lang w:val="en-US"/>
        </w:rPr>
        <w:t>ToR</w:t>
      </w:r>
      <w:proofErr w:type="spellEnd"/>
      <w:r w:rsidRPr="00733E87">
        <w:rPr>
          <w:rFonts w:ascii="Aptos" w:eastAsia="Arial" w:hAnsi="Aptos" w:cs="Arial"/>
          <w:snapToGrid/>
          <w:lang w:val="en-US"/>
        </w:rPr>
        <w:t xml:space="preserve">), action plan, governance, proposed membership and communications plan in support of the Tsunami Ready Recognition Programme (TRRP).  The TRRP, established in 2022 by the Intergovernmental Oceanographic Commission (IOC) of UNESCO, is an international community-based recognition </w:t>
      </w:r>
      <w:proofErr w:type="spellStart"/>
      <w:r w:rsidRPr="00733E87">
        <w:rPr>
          <w:rFonts w:ascii="Aptos" w:eastAsia="Arial" w:hAnsi="Aptos" w:cs="Arial"/>
          <w:snapToGrid/>
          <w:lang w:val="en-US"/>
        </w:rPr>
        <w:t>programme</w:t>
      </w:r>
      <w:proofErr w:type="spellEnd"/>
      <w:r w:rsidRPr="00733E87">
        <w:rPr>
          <w:rFonts w:ascii="Aptos" w:eastAsia="Arial" w:hAnsi="Aptos" w:cs="Arial"/>
          <w:snapToGrid/>
          <w:lang w:val="en-US"/>
        </w:rPr>
        <w:t xml:space="preserve"> that aims to build resilient communities through awareness and preparedness strategies that will protect life, livelihoods and property from tsunamis. </w:t>
      </w:r>
    </w:p>
    <w:p w14:paraId="69816836" w14:textId="77777777" w:rsidR="00733E87" w:rsidRPr="00733E87" w:rsidRDefault="00733E87" w:rsidP="00733E87">
      <w:pPr>
        <w:tabs>
          <w:tab w:val="clear" w:pos="709"/>
        </w:tabs>
        <w:snapToGrid/>
        <w:spacing w:before="240" w:after="240" w:line="278" w:lineRule="auto"/>
        <w:jc w:val="both"/>
        <w:rPr>
          <w:rFonts w:ascii="Aptos" w:eastAsia="Arial" w:hAnsi="Aptos" w:cs="Arial"/>
          <w:snapToGrid/>
          <w:lang w:val="en-US"/>
        </w:rPr>
      </w:pPr>
      <w:r w:rsidRPr="00733E87">
        <w:rPr>
          <w:rFonts w:ascii="Aptos" w:eastAsia="Arial" w:hAnsi="Aptos" w:cs="Arial"/>
          <w:snapToGrid/>
          <w:lang w:val="en-US"/>
        </w:rPr>
        <w:t>The TRRP is a key contribution to achieving the societal outcome for ‘A Safe Ocean’ of the United Nations Decade for Ocean Science for Sustainable Development 2021-2030 (Ocean Decade).  In June 2021, the UNESCO-IOC Executive Council approved the Ocean Decade Tsunami Programme 2021-2030 (ODTP). One of its main objectives is to make 100% of communities at risk from tsunamis prepared and resilient to tsunamis by 2030 through the implementation of the UNESCO-IOC Tsunami Ready Recognition Programme (TRRP) and other initiatives.</w:t>
      </w:r>
    </w:p>
    <w:p w14:paraId="2487DF12" w14:textId="77777777" w:rsidR="00733E87" w:rsidRPr="00733E87" w:rsidRDefault="00733E87" w:rsidP="00733E87">
      <w:pPr>
        <w:tabs>
          <w:tab w:val="clear" w:pos="709"/>
        </w:tabs>
        <w:snapToGrid/>
        <w:spacing w:before="240" w:after="240" w:line="278" w:lineRule="auto"/>
        <w:jc w:val="both"/>
        <w:rPr>
          <w:rFonts w:ascii="Aptos" w:eastAsia="Arial" w:hAnsi="Aptos" w:cs="Arial"/>
          <w:snapToGrid/>
          <w:lang w:val="en-US"/>
        </w:rPr>
      </w:pPr>
      <w:r w:rsidRPr="00733E87">
        <w:rPr>
          <w:rFonts w:ascii="Aptos" w:eastAsia="Arial" w:hAnsi="Aptos" w:cs="Arial"/>
          <w:snapToGrid/>
          <w:lang w:val="en-US"/>
        </w:rPr>
        <w:t>As part of the ODTP governance structure, a special Coalition for Tsunami Ready (TRC) was established. The mandate for the Tsunami Ready Coalition, derived from the IOC Executive Council (IOC Decision A-31/3.4.1), the TOWS-WG-XV decisions and earlier TOWS Task Team on Disaster Management input, and the ODTP Implementation Plan (IOC Technical Series 180), is proposed as follows:</w:t>
      </w:r>
    </w:p>
    <w:p w14:paraId="0B858E42" w14:textId="77777777" w:rsidR="00733E87" w:rsidRPr="00733E87" w:rsidRDefault="00733E87" w:rsidP="00733E87">
      <w:pPr>
        <w:tabs>
          <w:tab w:val="clear" w:pos="709"/>
        </w:tabs>
        <w:snapToGrid/>
        <w:spacing w:before="240" w:after="240" w:line="276" w:lineRule="auto"/>
        <w:ind w:right="-340"/>
        <w:jc w:val="both"/>
        <w:rPr>
          <w:rFonts w:ascii="Aptos" w:eastAsia="Arial" w:hAnsi="Aptos" w:cs="Arial"/>
          <w:snapToGrid/>
          <w:lang w:val="en-US"/>
        </w:rPr>
      </w:pPr>
      <w:r w:rsidRPr="00733E87">
        <w:rPr>
          <w:rFonts w:ascii="Aptos" w:eastAsia="Arial" w:hAnsi="Aptos" w:cs="Arial"/>
          <w:snapToGrid/>
          <w:lang w:val="en-US"/>
        </w:rPr>
        <w:lastRenderedPageBreak/>
        <w:t>The Tsunami Ready Coalition is a collaboration between global, regional, and national stakeholders to advance and sustain the UNESCO-IOC Tsunami Ready Recognition Programme (TRRP), with a specific view on the UN Ocean Decade Tsunami Programme aim of 100% of communities at risk of tsunami are prepared for and resilient to tsunamis by 2030. The Coalition will establish a network of critical stakeholders that will advocate for and facilitate support towards the implementation and sustaining of Tsunami Ready through targeted promotion, advocacy, resource mobilization, networking, influence, and advice. Reporting to the TOWS-WG, the Coalition will have a diverse, yet relatively small, membership by invitation of the UNESCO-IOC. Membership is primarily at the institutional level.</w:t>
      </w:r>
    </w:p>
    <w:p w14:paraId="1DAF2FDA" w14:textId="77777777" w:rsidR="00733E87" w:rsidRPr="00733E87" w:rsidRDefault="00733E87" w:rsidP="00733E87">
      <w:pPr>
        <w:tabs>
          <w:tab w:val="clear" w:pos="709"/>
        </w:tabs>
        <w:snapToGrid/>
        <w:spacing w:before="240" w:after="240" w:line="278" w:lineRule="auto"/>
        <w:jc w:val="both"/>
        <w:rPr>
          <w:rFonts w:ascii="Aptos" w:eastAsia="Arial" w:hAnsi="Aptos" w:cs="Arial"/>
          <w:snapToGrid/>
          <w:lang w:val="en-US"/>
        </w:rPr>
      </w:pPr>
      <w:r w:rsidRPr="00733E87">
        <w:rPr>
          <w:rFonts w:ascii="Aptos" w:eastAsia="Arial" w:hAnsi="Aptos" w:cs="Arial"/>
          <w:snapToGrid/>
          <w:lang w:val="en-US"/>
        </w:rPr>
        <w:t xml:space="preserve">The objectives are the TRC will be to: </w:t>
      </w:r>
      <w:r w:rsidRPr="00733E87">
        <w:rPr>
          <w:rFonts w:ascii="Aptos" w:eastAsia="Arial" w:hAnsi="Aptos" w:cs="Arial"/>
          <w:snapToGrid/>
          <w:lang w:val="en-US"/>
        </w:rPr>
        <w:tab/>
      </w:r>
    </w:p>
    <w:p w14:paraId="64CB88AC" w14:textId="77777777" w:rsidR="00733E87" w:rsidRPr="00733E87" w:rsidRDefault="00733E87" w:rsidP="00733E87">
      <w:pPr>
        <w:numPr>
          <w:ilvl w:val="0"/>
          <w:numId w:val="137"/>
        </w:numPr>
        <w:tabs>
          <w:tab w:val="clear" w:pos="709"/>
        </w:tabs>
        <w:snapToGrid/>
        <w:spacing w:before="240" w:after="240" w:line="278" w:lineRule="auto"/>
        <w:contextualSpacing/>
        <w:jc w:val="both"/>
        <w:rPr>
          <w:rFonts w:ascii="Aptos" w:eastAsia="Arial" w:hAnsi="Aptos" w:cs="Arial"/>
          <w:snapToGrid/>
          <w:lang w:val="en-US"/>
        </w:rPr>
      </w:pPr>
      <w:r w:rsidRPr="00733E87">
        <w:rPr>
          <w:rFonts w:ascii="Aptos" w:eastAsia="Arial" w:hAnsi="Aptos" w:cs="Arial"/>
          <w:snapToGrid/>
          <w:lang w:val="en-US"/>
        </w:rPr>
        <w:t>Raise the Profile of TRRP in Collaboration with Critical Stakeholders</w:t>
      </w:r>
    </w:p>
    <w:p w14:paraId="6F471D73" w14:textId="77777777" w:rsidR="00733E87" w:rsidRPr="00733E87" w:rsidRDefault="00733E87" w:rsidP="00733E87">
      <w:pPr>
        <w:numPr>
          <w:ilvl w:val="0"/>
          <w:numId w:val="137"/>
        </w:numPr>
        <w:tabs>
          <w:tab w:val="clear" w:pos="709"/>
        </w:tabs>
        <w:snapToGrid/>
        <w:spacing w:before="240" w:after="240" w:line="278" w:lineRule="auto"/>
        <w:contextualSpacing/>
        <w:jc w:val="both"/>
        <w:rPr>
          <w:rFonts w:ascii="Aptos" w:eastAsia="Arial" w:hAnsi="Aptos" w:cs="Arial"/>
          <w:snapToGrid/>
          <w:lang w:val="en-US"/>
        </w:rPr>
      </w:pPr>
      <w:r w:rsidRPr="00733E87">
        <w:rPr>
          <w:rFonts w:ascii="Aptos" w:eastAsia="Arial" w:hAnsi="Aptos" w:cs="Arial"/>
          <w:snapToGrid/>
          <w:lang w:val="en-US"/>
        </w:rPr>
        <w:t>Increase Funding Resources for TRRP Implementation</w:t>
      </w:r>
    </w:p>
    <w:p w14:paraId="1641C55B" w14:textId="77777777" w:rsidR="00733E87" w:rsidRPr="00733E87" w:rsidRDefault="00733E87" w:rsidP="00733E87">
      <w:pPr>
        <w:numPr>
          <w:ilvl w:val="0"/>
          <w:numId w:val="137"/>
        </w:numPr>
        <w:tabs>
          <w:tab w:val="clear" w:pos="709"/>
        </w:tabs>
        <w:snapToGrid/>
        <w:spacing w:before="240" w:after="240" w:line="278" w:lineRule="auto"/>
        <w:contextualSpacing/>
        <w:jc w:val="both"/>
        <w:rPr>
          <w:rFonts w:ascii="Aptos" w:eastAsia="Arial" w:hAnsi="Aptos" w:cs="Arial"/>
          <w:snapToGrid/>
          <w:lang w:val="en-US"/>
        </w:rPr>
      </w:pPr>
      <w:r w:rsidRPr="00733E87">
        <w:rPr>
          <w:rFonts w:ascii="Aptos" w:eastAsia="Arial" w:hAnsi="Aptos" w:cs="Arial"/>
          <w:snapToGrid/>
          <w:lang w:val="en-US"/>
        </w:rPr>
        <w:t>Advocate for the conduct of Tsunami Ready Indicator Workshops in the Regions,</w:t>
      </w:r>
    </w:p>
    <w:p w14:paraId="743D0235" w14:textId="77777777" w:rsidR="00733E87" w:rsidRPr="00733E87" w:rsidRDefault="00733E87" w:rsidP="00733E87">
      <w:pPr>
        <w:numPr>
          <w:ilvl w:val="0"/>
          <w:numId w:val="137"/>
        </w:numPr>
        <w:tabs>
          <w:tab w:val="clear" w:pos="709"/>
        </w:tabs>
        <w:snapToGrid/>
        <w:spacing w:before="240" w:after="240" w:line="278" w:lineRule="auto"/>
        <w:contextualSpacing/>
        <w:jc w:val="both"/>
        <w:rPr>
          <w:rFonts w:ascii="Aptos" w:eastAsia="Arial" w:hAnsi="Aptos" w:cs="Arial"/>
          <w:snapToGrid/>
          <w:lang w:val="en-US"/>
        </w:rPr>
      </w:pPr>
      <w:r w:rsidRPr="00733E87">
        <w:rPr>
          <w:rFonts w:ascii="Aptos" w:eastAsia="Arial" w:hAnsi="Aptos" w:cs="Arial"/>
          <w:snapToGrid/>
          <w:lang w:val="en-US"/>
        </w:rPr>
        <w:t>Effectively Organize the Tsunami Ready Coalition</w:t>
      </w:r>
    </w:p>
    <w:p w14:paraId="638A9666" w14:textId="77777777" w:rsidR="00733E87" w:rsidRPr="00733E87" w:rsidRDefault="00733E87" w:rsidP="00733E87">
      <w:pPr>
        <w:tabs>
          <w:tab w:val="clear" w:pos="709"/>
        </w:tabs>
        <w:snapToGrid/>
        <w:spacing w:line="276" w:lineRule="auto"/>
        <w:ind w:right="120"/>
        <w:jc w:val="both"/>
        <w:rPr>
          <w:rFonts w:ascii="Aptos" w:eastAsia="Arial" w:hAnsi="Aptos" w:cs="Arial"/>
          <w:snapToGrid/>
          <w:lang w:val="en-US"/>
        </w:rPr>
      </w:pPr>
      <w:r w:rsidRPr="00733E87">
        <w:rPr>
          <w:rFonts w:ascii="Aptos" w:eastAsia="Arial" w:hAnsi="Aptos" w:cs="Arial"/>
          <w:snapToGrid/>
          <w:lang w:val="en-US"/>
        </w:rPr>
        <w:t>The Implementation Plan sets up the membership and minimum organizational and meeting structure, lists relevant institutions for membership, identifies potential sources of funding for implementation and meetings for raising the TRRP profile, outlines outreach and communication strategies, and proposes indicators for monitoring and measuring progress.  Activities and milestones, aligned with the objectives, are proposed, emphasizing the identification of relevant institutions for advocacy and implementation as the first critical step, followed by efforts to increase funding resources for implementation.</w:t>
      </w:r>
    </w:p>
    <w:p w14:paraId="56B8BDAA" w14:textId="77777777" w:rsidR="00733E87" w:rsidRPr="00733E87" w:rsidRDefault="00733E87" w:rsidP="00733E87">
      <w:pPr>
        <w:tabs>
          <w:tab w:val="clear" w:pos="709"/>
        </w:tabs>
        <w:snapToGrid/>
        <w:spacing w:before="240" w:after="240" w:line="278" w:lineRule="auto"/>
        <w:jc w:val="both"/>
        <w:rPr>
          <w:rFonts w:ascii="Aptos" w:eastAsia="Arial" w:hAnsi="Aptos" w:cs="Arial"/>
          <w:snapToGrid/>
          <w:lang w:val="en-US"/>
        </w:rPr>
      </w:pPr>
      <w:r w:rsidRPr="00733E87">
        <w:rPr>
          <w:rFonts w:ascii="Aptos" w:eastAsia="Arial" w:hAnsi="Aptos" w:cs="Arial"/>
          <w:snapToGrid/>
          <w:lang w:val="en-US"/>
        </w:rPr>
        <w:t>To support the approval and endorsement of this Implementation Plan, this Plan was commented on by the ODTP-SC in January 2025.  The Plan will be shared to the TOWS TT DMP on 20-23 February 2025 for validation and presented by the TRC Chair to the TOWS-WG for endorsement of its core elements on 24-25 February 2025.</w:t>
      </w:r>
    </w:p>
    <w:p w14:paraId="08511135" w14:textId="77777777" w:rsidR="00733E87" w:rsidRPr="00733E87" w:rsidRDefault="00733E87" w:rsidP="00733E87">
      <w:pPr>
        <w:tabs>
          <w:tab w:val="clear" w:pos="709"/>
        </w:tabs>
        <w:snapToGrid/>
        <w:spacing w:before="240" w:after="240" w:line="276" w:lineRule="auto"/>
        <w:jc w:val="both"/>
        <w:rPr>
          <w:rFonts w:ascii="Aptos" w:eastAsia="Arial" w:hAnsi="Aptos" w:cs="Arial"/>
          <w:snapToGrid/>
          <w:highlight w:val="white"/>
          <w:lang w:val="en-US"/>
        </w:rPr>
      </w:pPr>
      <w:r w:rsidRPr="00733E87">
        <w:rPr>
          <w:rFonts w:ascii="Aptos" w:eastAsia="Arial" w:hAnsi="Aptos" w:cs="Arial"/>
          <w:snapToGrid/>
          <w:lang w:val="en-US"/>
        </w:rPr>
        <w:t xml:space="preserve">Finally, it was emphasized that the Plan, while intended to focus on actions for the UN Ocean Decade, must also include actions beyond 2030.  </w:t>
      </w:r>
      <w:r w:rsidRPr="00733E87">
        <w:rPr>
          <w:rFonts w:ascii="Aptos" w:eastAsia="Arial" w:hAnsi="Aptos" w:cs="Arial"/>
          <w:snapToGrid/>
          <w:color w:val="222222"/>
          <w:highlight w:val="white"/>
          <w:lang w:val="en-US"/>
        </w:rPr>
        <w:t xml:space="preserve"> It was emphasized that readiness must be sustained continually and beyond the Ocean Decade as tsunamis can occur at anytime and anywhere, and with long recurrence intervals such as the </w:t>
      </w:r>
      <w:r w:rsidRPr="00733E87">
        <w:rPr>
          <w:rFonts w:ascii="Aptos" w:eastAsia="Arial" w:hAnsi="Aptos" w:cs="Arial"/>
          <w:snapToGrid/>
          <w:highlight w:val="white"/>
          <w:lang w:val="en-US"/>
        </w:rPr>
        <w:t>devastating 2004 Indian Ocean and 2011 Great East Japan tsunami,</w:t>
      </w:r>
    </w:p>
    <w:p w14:paraId="290DC7B1" w14:textId="77777777" w:rsidR="00733E87" w:rsidRPr="00733E87" w:rsidRDefault="00733E87" w:rsidP="00733E87">
      <w:pPr>
        <w:tabs>
          <w:tab w:val="clear" w:pos="709"/>
        </w:tabs>
        <w:snapToGrid/>
        <w:spacing w:before="240" w:after="240" w:line="276" w:lineRule="auto"/>
        <w:jc w:val="both"/>
        <w:rPr>
          <w:rFonts w:ascii="Aptos" w:eastAsia="Arial" w:hAnsi="Aptos" w:cs="Arial"/>
          <w:snapToGrid/>
          <w:lang w:val="en-US"/>
        </w:rPr>
      </w:pPr>
      <w:r w:rsidRPr="00733E87">
        <w:rPr>
          <w:rFonts w:ascii="Aptos" w:eastAsia="Arial" w:hAnsi="Aptos" w:cs="Arial"/>
          <w:snapToGrid/>
          <w:lang w:val="en-US"/>
        </w:rPr>
        <w:t>It is intended that this Plan will remain a dynamic document to allow for updates to the Work Plan. Updates will be reflected in the Coalition’s reports to the TOWS-WG.</w:t>
      </w:r>
    </w:p>
    <w:p w14:paraId="10B295F0" w14:textId="77777777" w:rsidR="00733E87" w:rsidRPr="00733E87" w:rsidRDefault="00733E87" w:rsidP="00733E87">
      <w:pPr>
        <w:tabs>
          <w:tab w:val="clear" w:pos="709"/>
        </w:tabs>
        <w:snapToGrid/>
        <w:spacing w:before="240" w:after="240" w:line="276" w:lineRule="auto"/>
        <w:jc w:val="both"/>
        <w:rPr>
          <w:rFonts w:ascii="Aptos" w:eastAsia="Arial" w:hAnsi="Aptos" w:cs="Arial"/>
          <w:snapToGrid/>
          <w:lang w:val="en-US"/>
        </w:rPr>
      </w:pPr>
      <w:r w:rsidRPr="00733E87">
        <w:rPr>
          <w:rFonts w:ascii="Aptos" w:eastAsia="Arial" w:hAnsi="Aptos" w:cs="Arial"/>
          <w:snapToGrid/>
          <w:lang w:val="en-US"/>
        </w:rPr>
        <w:t xml:space="preserve">The meeting deliberated mainly on the naming of the </w:t>
      </w:r>
      <w:r w:rsidRPr="00733E87">
        <w:rPr>
          <w:rFonts w:ascii="Aptos" w:eastAsia="Arial" w:hAnsi="Aptos" w:cs="Arial"/>
          <w:i/>
          <w:snapToGrid/>
          <w:lang w:val="en-US"/>
        </w:rPr>
        <w:t xml:space="preserve">‘Tsunami Ready Ambassador’ </w:t>
      </w:r>
      <w:r w:rsidRPr="00733E87">
        <w:rPr>
          <w:rFonts w:ascii="Aptos" w:eastAsia="Arial" w:hAnsi="Aptos" w:cs="Arial"/>
          <w:snapToGrid/>
          <w:lang w:val="en-US"/>
        </w:rPr>
        <w:t xml:space="preserve">and clarifying the roles and responsibilities of the proposed ambassador or similar. An ambassador is generally recognized as an accredited diplomat representing a state or </w:t>
      </w:r>
      <w:r w:rsidRPr="00733E87">
        <w:rPr>
          <w:rFonts w:ascii="Aptos" w:eastAsia="Arial" w:hAnsi="Aptos" w:cs="Arial"/>
          <w:snapToGrid/>
          <w:lang w:val="en-US"/>
        </w:rPr>
        <w:lastRenderedPageBreak/>
        <w:t xml:space="preserve">organization, either as a permanent delegate or a promoter of a specific initiative but is also generally defined as </w:t>
      </w:r>
      <w:r w:rsidRPr="00733E87">
        <w:rPr>
          <w:rFonts w:ascii="Aptos" w:eastAsia="Arial" w:hAnsi="Aptos" w:cs="Arial"/>
          <w:i/>
          <w:snapToGrid/>
          <w:color w:val="222222"/>
          <w:highlight w:val="white"/>
          <w:lang w:val="en-US"/>
        </w:rPr>
        <w:t xml:space="preserve">“a representative or promoter of a specified activity.” </w:t>
      </w:r>
      <w:r w:rsidRPr="00733E87">
        <w:rPr>
          <w:rFonts w:ascii="Aptos" w:eastAsia="Arial" w:hAnsi="Aptos" w:cs="Arial"/>
          <w:snapToGrid/>
          <w:lang w:val="en-US"/>
        </w:rPr>
        <w:t>It was noted that the UN system, particularly UNESCO, has numerous goodwill ambassadors who raise awareness and advocate for various causes, indicating the broad application of the term/name. Alternative titles, such as "</w:t>
      </w:r>
      <w:r w:rsidRPr="00733E87">
        <w:rPr>
          <w:rFonts w:ascii="Aptos" w:eastAsia="Arial" w:hAnsi="Aptos" w:cs="Arial"/>
          <w:i/>
          <w:snapToGrid/>
          <w:lang w:val="en-US"/>
        </w:rPr>
        <w:t>Heroes</w:t>
      </w:r>
      <w:r w:rsidRPr="00733E87">
        <w:rPr>
          <w:rFonts w:ascii="Aptos" w:eastAsia="Arial" w:hAnsi="Aptos" w:cs="Arial"/>
          <w:snapToGrid/>
          <w:lang w:val="en-US"/>
        </w:rPr>
        <w:t>" and "</w:t>
      </w:r>
      <w:r w:rsidRPr="00733E87">
        <w:rPr>
          <w:rFonts w:ascii="Aptos" w:eastAsia="Arial" w:hAnsi="Aptos" w:cs="Arial"/>
          <w:i/>
          <w:snapToGrid/>
          <w:lang w:val="en-US"/>
        </w:rPr>
        <w:t>Champions</w:t>
      </w:r>
      <w:r w:rsidRPr="00733E87">
        <w:rPr>
          <w:rFonts w:ascii="Aptos" w:eastAsia="Arial" w:hAnsi="Aptos" w:cs="Arial"/>
          <w:snapToGrid/>
          <w:lang w:val="en-US"/>
        </w:rPr>
        <w:t>," were considered; however, these are seemingly typically linked to specific achievements or recognitions. Ultimately, the meeting decided to propose an approach and suggest optional names for endorsement.</w:t>
      </w:r>
    </w:p>
    <w:p w14:paraId="2E2EDA5A" w14:textId="77777777" w:rsidR="00733E87" w:rsidRPr="00733E87" w:rsidRDefault="00733E87" w:rsidP="00733E87">
      <w:pPr>
        <w:tabs>
          <w:tab w:val="clear" w:pos="709"/>
        </w:tabs>
        <w:snapToGrid/>
        <w:spacing w:before="240" w:after="240" w:line="276" w:lineRule="auto"/>
        <w:jc w:val="both"/>
        <w:rPr>
          <w:rFonts w:ascii="Aptos" w:eastAsia="Arial" w:hAnsi="Aptos" w:cs="Arial"/>
          <w:snapToGrid/>
          <w:lang w:val="en-US"/>
        </w:rPr>
      </w:pPr>
      <w:r w:rsidRPr="00733E87">
        <w:rPr>
          <w:rFonts w:ascii="Aptos" w:eastAsia="Arial" w:hAnsi="Aptos" w:cs="Arial"/>
          <w:snapToGrid/>
          <w:lang w:val="en-US"/>
        </w:rPr>
        <w:t>The UNDRR shared its experiences to help</w:t>
      </w:r>
      <w:r w:rsidRPr="00733E87">
        <w:rPr>
          <w:rFonts w:ascii="Aptos" w:eastAsia="Arial" w:hAnsi="Aptos" w:cs="Arial"/>
          <w:snapToGrid/>
          <w:color w:val="222222"/>
          <w:highlight w:val="white"/>
          <w:lang w:val="en-US"/>
        </w:rPr>
        <w:t xml:space="preserve"> solidify administrative components of the Plan to successfully organize, establish and maintain an effective Coalition</w:t>
      </w:r>
      <w:r w:rsidRPr="00733E87">
        <w:rPr>
          <w:rFonts w:ascii="Aptos" w:eastAsia="Arial" w:hAnsi="Aptos" w:cs="Arial"/>
          <w:snapToGrid/>
          <w:lang w:val="en-US"/>
        </w:rPr>
        <w:t>.</w:t>
      </w:r>
    </w:p>
    <w:p w14:paraId="567B7115"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b/>
          <w:snapToGrid/>
          <w:color w:val="0070C0"/>
          <w:lang w:val="en-US"/>
        </w:rPr>
      </w:pPr>
      <w:r w:rsidRPr="00733E87">
        <w:rPr>
          <w:rFonts w:ascii="Aptos" w:eastAsia="Aptos" w:hAnsi="Aptos" w:cs="Aptos"/>
          <w:b/>
          <w:snapToGrid/>
          <w:color w:val="0070C0"/>
          <w:lang w:val="en-US"/>
        </w:rPr>
        <w:t xml:space="preserve">Recommendations </w:t>
      </w:r>
      <w:proofErr w:type="gramStart"/>
      <w:r w:rsidRPr="00733E87">
        <w:rPr>
          <w:rFonts w:ascii="Aptos" w:eastAsia="Aptos" w:hAnsi="Aptos" w:cs="Aptos"/>
          <w:b/>
          <w:snapToGrid/>
          <w:color w:val="0070C0"/>
          <w:lang w:val="en-US"/>
        </w:rPr>
        <w:t>to</w:t>
      </w:r>
      <w:proofErr w:type="gramEnd"/>
      <w:r w:rsidRPr="00733E87">
        <w:rPr>
          <w:rFonts w:ascii="Aptos" w:eastAsia="Aptos" w:hAnsi="Aptos" w:cs="Aptos"/>
          <w:b/>
          <w:snapToGrid/>
          <w:color w:val="0070C0"/>
          <w:lang w:val="en-US"/>
        </w:rPr>
        <w:t xml:space="preserve"> TOWS WG</w:t>
      </w:r>
    </w:p>
    <w:p w14:paraId="58AE09EB" w14:textId="77777777" w:rsidR="00733E87" w:rsidRPr="00733E87" w:rsidRDefault="00733E87" w:rsidP="00733E87">
      <w:pPr>
        <w:tabs>
          <w:tab w:val="clear" w:pos="709"/>
        </w:tabs>
        <w:snapToGrid/>
        <w:spacing w:before="240" w:after="240" w:line="254" w:lineRule="auto"/>
        <w:jc w:val="both"/>
        <w:rPr>
          <w:rFonts w:ascii="Aptos" w:eastAsia="Arial" w:hAnsi="Aptos" w:cs="Arial"/>
          <w:snapToGrid/>
          <w:lang w:val="en-US"/>
        </w:rPr>
      </w:pPr>
      <w:r w:rsidRPr="00733E87">
        <w:rPr>
          <w:rFonts w:ascii="Aptos" w:eastAsia="Arial" w:hAnsi="Aptos" w:cs="Arial"/>
          <w:b/>
          <w:snapToGrid/>
          <w:lang w:val="en-US"/>
        </w:rPr>
        <w:t xml:space="preserve">Notes </w:t>
      </w:r>
      <w:r w:rsidRPr="00733E87">
        <w:rPr>
          <w:rFonts w:ascii="Aptos" w:eastAsia="Arial" w:hAnsi="Aptos" w:cs="Arial"/>
          <w:snapToGrid/>
          <w:lang w:val="en-US"/>
        </w:rPr>
        <w:t>that TOWS-WG-XVI (2023) requested the Tsunami Ready Coalition Chair to propose a governing structure for the Tsunami Ready Coalition and that TOWS WG approval is essential for advancing the work of the Tsunami Ready Coalition.</w:t>
      </w:r>
    </w:p>
    <w:p w14:paraId="27BF6DAA" w14:textId="77777777" w:rsidR="00733E87" w:rsidRPr="00733E87" w:rsidRDefault="00733E87" w:rsidP="00733E87">
      <w:pPr>
        <w:tabs>
          <w:tab w:val="clear" w:pos="709"/>
        </w:tabs>
        <w:snapToGrid/>
        <w:spacing w:line="254" w:lineRule="auto"/>
        <w:jc w:val="both"/>
        <w:rPr>
          <w:rFonts w:ascii="Aptos" w:eastAsia="Arial" w:hAnsi="Aptos" w:cs="Arial"/>
          <w:snapToGrid/>
          <w:lang w:val="en-US"/>
        </w:rPr>
      </w:pPr>
      <w:r w:rsidRPr="00733E87">
        <w:rPr>
          <w:rFonts w:ascii="Aptos" w:eastAsia="Arial" w:hAnsi="Aptos" w:cs="Arial"/>
          <w:b/>
          <w:snapToGrid/>
          <w:lang w:val="en-US"/>
        </w:rPr>
        <w:t xml:space="preserve">Also notes </w:t>
      </w:r>
      <w:r w:rsidRPr="00733E87">
        <w:rPr>
          <w:rFonts w:ascii="Aptos" w:eastAsia="Arial" w:hAnsi="Aptos" w:cs="Arial"/>
          <w:snapToGrid/>
          <w:lang w:val="en-US"/>
        </w:rPr>
        <w:t>that the Tsunami Ready Implementation Plan was reviewed by the Ocean Decade Scientific Committee (16-17 January 2025) and the TOWS-TT-DMP (21 February 2025) and is included as part of the Coalition Chair’s report to TOWS-WG-XVIII).</w:t>
      </w:r>
      <w:r w:rsidRPr="00733E87">
        <w:rPr>
          <w:rFonts w:ascii="Aptos" w:eastAsia="Arial" w:hAnsi="Aptos" w:cs="Arial"/>
          <w:snapToGrid/>
          <w:lang w:val="en-US"/>
        </w:rPr>
        <w:br/>
      </w:r>
    </w:p>
    <w:p w14:paraId="75DEDECF" w14:textId="77777777" w:rsidR="00733E87" w:rsidRPr="00733E87" w:rsidRDefault="00733E87" w:rsidP="00733E87">
      <w:pPr>
        <w:tabs>
          <w:tab w:val="clear" w:pos="709"/>
        </w:tabs>
        <w:snapToGrid/>
        <w:spacing w:line="276" w:lineRule="auto"/>
        <w:rPr>
          <w:rFonts w:ascii="Aptos" w:eastAsia="Arial" w:hAnsi="Aptos" w:cs="Arial"/>
          <w:snapToGrid/>
          <w:lang w:val="en-US"/>
        </w:rPr>
      </w:pPr>
      <w:r w:rsidRPr="00733E87">
        <w:rPr>
          <w:rFonts w:ascii="Aptos" w:eastAsia="Arial" w:hAnsi="Aptos" w:cs="Arial"/>
          <w:b/>
          <w:snapToGrid/>
          <w:lang w:val="en-US"/>
        </w:rPr>
        <w:t xml:space="preserve">Having considered </w:t>
      </w:r>
      <w:r w:rsidRPr="00733E87">
        <w:rPr>
          <w:rFonts w:ascii="Aptos" w:eastAsia="Arial" w:hAnsi="Aptos" w:cs="Arial"/>
          <w:snapToGrid/>
          <w:lang w:val="en-US"/>
        </w:rPr>
        <w:t xml:space="preserve">the Tsunami Ready Coalition Implementation Plan, </w:t>
      </w:r>
    </w:p>
    <w:p w14:paraId="0216930E" w14:textId="77777777" w:rsidR="00733E87" w:rsidRPr="00733E87" w:rsidRDefault="00733E87" w:rsidP="00733E87">
      <w:pPr>
        <w:tabs>
          <w:tab w:val="clear" w:pos="709"/>
        </w:tabs>
        <w:snapToGrid/>
        <w:spacing w:line="276" w:lineRule="auto"/>
        <w:rPr>
          <w:rFonts w:ascii="Aptos" w:eastAsia="Arial" w:hAnsi="Aptos" w:cs="Arial"/>
          <w:b/>
          <w:snapToGrid/>
          <w:lang w:val="en-US"/>
        </w:rPr>
      </w:pPr>
    </w:p>
    <w:p w14:paraId="37142A45" w14:textId="77777777" w:rsidR="00733E87" w:rsidRPr="00733E87" w:rsidRDefault="00733E87" w:rsidP="00733E87">
      <w:pPr>
        <w:numPr>
          <w:ilvl w:val="0"/>
          <w:numId w:val="122"/>
        </w:numPr>
        <w:tabs>
          <w:tab w:val="clear" w:pos="709"/>
        </w:tabs>
        <w:snapToGrid/>
        <w:spacing w:after="160" w:line="276" w:lineRule="auto"/>
        <w:contextualSpacing/>
        <w:rPr>
          <w:rFonts w:ascii="Aptos" w:eastAsia="Aptos" w:hAnsi="Aptos" w:cs="Aptos"/>
          <w:snapToGrid/>
          <w:lang w:val="en-US"/>
        </w:rPr>
      </w:pPr>
      <w:r w:rsidRPr="00733E87">
        <w:rPr>
          <w:rFonts w:ascii="Aptos" w:eastAsia="Arial" w:hAnsi="Aptos" w:cs="Arial"/>
          <w:b/>
          <w:snapToGrid/>
          <w:lang w:val="en-US"/>
        </w:rPr>
        <w:t>Approves</w:t>
      </w:r>
      <w:r w:rsidRPr="00733E87">
        <w:rPr>
          <w:rFonts w:ascii="Aptos" w:eastAsia="Arial" w:hAnsi="Aptos" w:cs="Arial"/>
          <w:snapToGrid/>
          <w:lang w:val="en-US"/>
        </w:rPr>
        <w:t xml:space="preserve"> the Implementation Plan, including:</w:t>
      </w:r>
    </w:p>
    <w:p w14:paraId="1BA67D07" w14:textId="77777777" w:rsidR="00733E87" w:rsidRPr="00733E87" w:rsidRDefault="00733E87" w:rsidP="00733E87">
      <w:pPr>
        <w:numPr>
          <w:ilvl w:val="1"/>
          <w:numId w:val="122"/>
        </w:numPr>
        <w:tabs>
          <w:tab w:val="clear" w:pos="709"/>
        </w:tabs>
        <w:snapToGrid/>
        <w:spacing w:after="160" w:line="276" w:lineRule="auto"/>
        <w:rPr>
          <w:rFonts w:ascii="Aptos" w:eastAsia="Arial" w:hAnsi="Aptos" w:cs="Arial"/>
          <w:snapToGrid/>
          <w:lang w:val="en-US"/>
        </w:rPr>
      </w:pPr>
      <w:r w:rsidRPr="00733E87">
        <w:rPr>
          <w:rFonts w:ascii="Aptos" w:eastAsia="Arial" w:hAnsi="Aptos" w:cs="Arial"/>
          <w:snapToGrid/>
          <w:lang w:val="en-US"/>
        </w:rPr>
        <w:t>The Coalition mandate and terms of reference,</w:t>
      </w:r>
    </w:p>
    <w:p w14:paraId="5D17257F" w14:textId="77777777" w:rsidR="00733E87" w:rsidRPr="00733E87" w:rsidRDefault="00733E87" w:rsidP="00733E87">
      <w:pPr>
        <w:numPr>
          <w:ilvl w:val="1"/>
          <w:numId w:val="122"/>
        </w:numPr>
        <w:tabs>
          <w:tab w:val="clear" w:pos="709"/>
        </w:tabs>
        <w:snapToGrid/>
        <w:spacing w:after="160" w:line="276" w:lineRule="auto"/>
        <w:rPr>
          <w:rFonts w:ascii="Aptos" w:eastAsia="Arial" w:hAnsi="Aptos" w:cs="Arial"/>
          <w:snapToGrid/>
          <w:lang w:val="en-US"/>
        </w:rPr>
      </w:pPr>
      <w:r w:rsidRPr="00733E87">
        <w:rPr>
          <w:rFonts w:ascii="Aptos" w:eastAsia="Arial" w:hAnsi="Aptos" w:cs="Arial"/>
          <w:snapToGrid/>
          <w:lang w:val="en-US"/>
        </w:rPr>
        <w:t>The Coalition structure, and</w:t>
      </w:r>
    </w:p>
    <w:p w14:paraId="5C065C91" w14:textId="77777777" w:rsidR="00733E87" w:rsidRPr="00733E87" w:rsidRDefault="00733E87" w:rsidP="00733E87">
      <w:pPr>
        <w:numPr>
          <w:ilvl w:val="1"/>
          <w:numId w:val="122"/>
        </w:numPr>
        <w:tabs>
          <w:tab w:val="clear" w:pos="709"/>
        </w:tabs>
        <w:snapToGrid/>
        <w:spacing w:after="160" w:line="300" w:lineRule="auto"/>
        <w:rPr>
          <w:rFonts w:ascii="Aptos" w:eastAsia="Arial" w:hAnsi="Aptos" w:cs="Arial"/>
          <w:snapToGrid/>
          <w:lang w:val="en-US"/>
        </w:rPr>
      </w:pPr>
      <w:r w:rsidRPr="00733E87">
        <w:rPr>
          <w:rFonts w:ascii="Aptos" w:eastAsia="Arial" w:hAnsi="Aptos" w:cs="Arial"/>
          <w:snapToGrid/>
          <w:lang w:val="en-US"/>
        </w:rPr>
        <w:t>The identified key Coalition Partners.</w:t>
      </w:r>
    </w:p>
    <w:p w14:paraId="2FC9372B" w14:textId="77777777" w:rsidR="00733E87" w:rsidRPr="00733E87" w:rsidRDefault="00733E87" w:rsidP="00733E87">
      <w:pPr>
        <w:numPr>
          <w:ilvl w:val="0"/>
          <w:numId w:val="117"/>
        </w:numPr>
        <w:tabs>
          <w:tab w:val="clear" w:pos="709"/>
        </w:tabs>
        <w:snapToGrid/>
        <w:spacing w:after="160" w:line="276" w:lineRule="auto"/>
        <w:ind w:left="810"/>
        <w:rPr>
          <w:rFonts w:ascii="Aptos" w:eastAsia="Arial" w:hAnsi="Aptos" w:cs="Arial"/>
          <w:snapToGrid/>
          <w:highlight w:val="white"/>
          <w:lang w:val="en-US"/>
        </w:rPr>
      </w:pPr>
      <w:r w:rsidRPr="00733E87">
        <w:rPr>
          <w:rFonts w:ascii="Aptos" w:eastAsia="Arial" w:hAnsi="Aptos" w:cs="Arial"/>
          <w:b/>
          <w:snapToGrid/>
          <w:color w:val="222222"/>
          <w:lang w:val="en-US"/>
        </w:rPr>
        <w:t>Notes</w:t>
      </w:r>
      <w:r w:rsidRPr="00733E87">
        <w:rPr>
          <w:rFonts w:ascii="Aptos" w:eastAsia="Arial" w:hAnsi="Aptos" w:cs="Arial"/>
          <w:snapToGrid/>
          <w:color w:val="222222"/>
          <w:lang w:val="en-US"/>
        </w:rPr>
        <w:t xml:space="preserve"> that the Plan will remain a dynamic document to allow for updates to the Plan, with updates reflected in the Coalition’s reports to the TOWS-WG</w:t>
      </w:r>
    </w:p>
    <w:p w14:paraId="509CA4E4" w14:textId="77777777" w:rsidR="009172B6" w:rsidRPr="009172B6" w:rsidRDefault="00733E87" w:rsidP="009C3EE8">
      <w:pPr>
        <w:numPr>
          <w:ilvl w:val="0"/>
          <w:numId w:val="117"/>
        </w:numPr>
        <w:tabs>
          <w:tab w:val="clear" w:pos="709"/>
        </w:tabs>
        <w:snapToGrid/>
        <w:spacing w:after="240" w:line="276" w:lineRule="auto"/>
        <w:ind w:left="810"/>
        <w:rPr>
          <w:rFonts w:ascii="Aptos" w:eastAsia="Arial" w:hAnsi="Aptos" w:cs="Arial"/>
          <w:snapToGrid/>
          <w:lang w:val="en-US"/>
        </w:rPr>
      </w:pPr>
      <w:r w:rsidRPr="00733E87">
        <w:rPr>
          <w:rFonts w:ascii="Aptos" w:eastAsia="Arial" w:hAnsi="Aptos" w:cs="Arial"/>
          <w:b/>
          <w:snapToGrid/>
          <w:lang w:val="en-US"/>
        </w:rPr>
        <w:t>Recommends</w:t>
      </w:r>
      <w:r w:rsidRPr="00733E87">
        <w:rPr>
          <w:rFonts w:ascii="Aptos" w:eastAsia="Arial" w:hAnsi="Aptos" w:cs="Arial"/>
          <w:snapToGrid/>
          <w:lang w:val="en-US"/>
        </w:rPr>
        <w:t xml:space="preserve"> the Se</w:t>
      </w:r>
      <w:r w:rsidRPr="00733E87">
        <w:rPr>
          <w:rFonts w:ascii="Aptos" w:eastAsia="Arial" w:hAnsi="Aptos" w:cs="Arial"/>
          <w:snapToGrid/>
          <w:highlight w:val="white"/>
          <w:lang w:val="en-US"/>
        </w:rPr>
        <w:t>cretariat to finalize in consultation with the Tsunami Ready Coalition Chair the Coalition Partners, 'Ambassadors' or similar namesake, and Coalition Co-Chair.</w:t>
      </w:r>
    </w:p>
    <w:p w14:paraId="357A3C5E" w14:textId="246E9513" w:rsidR="00733E87" w:rsidRPr="00733E87" w:rsidRDefault="00733E87" w:rsidP="009C3EE8">
      <w:pPr>
        <w:numPr>
          <w:ilvl w:val="0"/>
          <w:numId w:val="117"/>
        </w:numPr>
        <w:tabs>
          <w:tab w:val="clear" w:pos="709"/>
        </w:tabs>
        <w:snapToGrid/>
        <w:spacing w:after="240" w:line="276" w:lineRule="auto"/>
        <w:ind w:left="810"/>
        <w:rPr>
          <w:rFonts w:ascii="Aptos" w:eastAsia="Arial" w:hAnsi="Aptos" w:cs="Arial"/>
          <w:snapToGrid/>
          <w:lang w:val="en-US"/>
        </w:rPr>
      </w:pPr>
      <w:r w:rsidRPr="00733E87">
        <w:rPr>
          <w:rFonts w:ascii="Aptos" w:eastAsia="Arial" w:hAnsi="Aptos" w:cs="Arial"/>
          <w:b/>
          <w:snapToGrid/>
          <w:lang w:val="en-US"/>
        </w:rPr>
        <w:t>Recommends the</w:t>
      </w:r>
      <w:r w:rsidRPr="00733E87">
        <w:rPr>
          <w:rFonts w:ascii="Aptos" w:eastAsia="Arial" w:hAnsi="Aptos" w:cs="Arial"/>
          <w:snapToGrid/>
          <w:lang w:val="en-US"/>
        </w:rPr>
        <w:t xml:space="preserve"> IOC Executive Secretary </w:t>
      </w:r>
      <w:proofErr w:type="gramStart"/>
      <w:r w:rsidRPr="00733E87">
        <w:rPr>
          <w:rFonts w:ascii="Aptos" w:eastAsia="Arial" w:hAnsi="Aptos" w:cs="Arial"/>
          <w:snapToGrid/>
          <w:lang w:val="en-US"/>
        </w:rPr>
        <w:t>to extend</w:t>
      </w:r>
      <w:proofErr w:type="gramEnd"/>
      <w:r w:rsidRPr="00733E87">
        <w:rPr>
          <w:rFonts w:ascii="Aptos" w:eastAsia="Arial" w:hAnsi="Aptos" w:cs="Arial"/>
          <w:snapToGrid/>
          <w:lang w:val="en-US"/>
        </w:rPr>
        <w:t xml:space="preserve"> invitations to the proposed Coalition Partners and Ambassadors, and a Coalition Co-chair.</w:t>
      </w:r>
    </w:p>
    <w:p w14:paraId="2D6AA6A2" w14:textId="4159B000" w:rsidR="00733E87" w:rsidRPr="00733E87" w:rsidRDefault="00733E87" w:rsidP="00733E87">
      <w:pPr>
        <w:numPr>
          <w:ilvl w:val="0"/>
          <w:numId w:val="117"/>
        </w:numPr>
        <w:tabs>
          <w:tab w:val="clear" w:pos="709"/>
        </w:tabs>
        <w:snapToGrid/>
        <w:spacing w:after="240" w:line="276" w:lineRule="auto"/>
        <w:ind w:left="810"/>
        <w:rPr>
          <w:rFonts w:ascii="Aptos" w:eastAsia="Arial" w:hAnsi="Aptos" w:cs="Arial"/>
          <w:snapToGrid/>
          <w:lang w:val="en-US"/>
        </w:rPr>
      </w:pPr>
      <w:r w:rsidRPr="00733E87">
        <w:rPr>
          <w:rFonts w:ascii="Aptos" w:eastAsia="Arial" w:hAnsi="Aptos" w:cs="Arial"/>
          <w:b/>
          <w:snapToGrid/>
          <w:lang w:val="en-US"/>
        </w:rPr>
        <w:t>Requests</w:t>
      </w:r>
      <w:r w:rsidRPr="00733E87">
        <w:rPr>
          <w:rFonts w:ascii="Aptos" w:eastAsia="Arial" w:hAnsi="Aptos" w:cs="Arial"/>
          <w:snapToGrid/>
          <w:lang w:val="en-US"/>
        </w:rPr>
        <w:t xml:space="preserve"> ICGs to prioritize regional Tsunami Ready workshops or summits in 2025 and conduct further workshops or summits before 2030.</w:t>
      </w:r>
    </w:p>
    <w:p w14:paraId="6F876F70" w14:textId="77777777" w:rsidR="00733E87" w:rsidRPr="00733E87" w:rsidRDefault="00733E87" w:rsidP="00733E87">
      <w:pPr>
        <w:numPr>
          <w:ilvl w:val="0"/>
          <w:numId w:val="117"/>
        </w:numPr>
        <w:tabs>
          <w:tab w:val="clear" w:pos="709"/>
        </w:tabs>
        <w:snapToGrid/>
        <w:spacing w:before="240" w:after="240" w:line="276" w:lineRule="auto"/>
        <w:rPr>
          <w:rFonts w:ascii="Aptos" w:eastAsia="Arial" w:hAnsi="Aptos" w:cs="Arial"/>
          <w:snapToGrid/>
          <w:lang w:val="en-US"/>
        </w:rPr>
      </w:pPr>
      <w:r w:rsidRPr="00733E87">
        <w:rPr>
          <w:rFonts w:ascii="Aptos" w:eastAsia="Arial" w:hAnsi="Aptos" w:cs="Arial"/>
          <w:b/>
          <w:snapToGrid/>
          <w:lang w:val="en-US"/>
        </w:rPr>
        <w:lastRenderedPageBreak/>
        <w:t>Notes</w:t>
      </w:r>
      <w:r w:rsidRPr="00733E87">
        <w:rPr>
          <w:rFonts w:ascii="Aptos" w:eastAsia="Arial" w:hAnsi="Aptos" w:cs="Arial"/>
          <w:snapToGrid/>
          <w:lang w:val="en-US"/>
        </w:rPr>
        <w:t xml:space="preserve"> resource and capacity constraints that will stymie progress of the TRC Coalition Implementation Plan, requests the IOC Executive Secretary to urgently address.</w:t>
      </w:r>
    </w:p>
    <w:p w14:paraId="39CB0CAE" w14:textId="77777777" w:rsidR="00733E87" w:rsidRPr="00733E87" w:rsidRDefault="00733E87" w:rsidP="00733E87">
      <w:pPr>
        <w:keepNext/>
        <w:keepLines/>
        <w:numPr>
          <w:ilvl w:val="0"/>
          <w:numId w:val="130"/>
        </w:numPr>
        <w:tabs>
          <w:tab w:val="clear" w:pos="709"/>
        </w:tabs>
        <w:snapToGrid/>
        <w:spacing w:before="160" w:after="80" w:line="278" w:lineRule="auto"/>
        <w:ind w:left="0" w:firstLine="0"/>
        <w:outlineLvl w:val="1"/>
        <w:rPr>
          <w:rFonts w:ascii="Aptos" w:eastAsia="Play" w:hAnsi="Aptos" w:cs="Play"/>
          <w:snapToGrid/>
          <w:color w:val="0F4761"/>
          <w:lang w:val="en-US"/>
        </w:rPr>
      </w:pPr>
      <w:bookmarkStart w:id="200" w:name="_Toc193832082"/>
      <w:bookmarkStart w:id="201" w:name="_Toc195258123"/>
      <w:r w:rsidRPr="00733E87">
        <w:rPr>
          <w:rFonts w:ascii="Aptos" w:eastAsia="Play" w:hAnsi="Aptos" w:cs="Play"/>
          <w:snapToGrid/>
          <w:color w:val="0F4761"/>
          <w:lang w:val="en-US"/>
        </w:rPr>
        <w:t>4.5 Policy and Future Implementation: Tsunami Ready</w:t>
      </w:r>
      <w:bookmarkEnd w:id="200"/>
      <w:bookmarkEnd w:id="201"/>
      <w:r w:rsidRPr="00733E87">
        <w:rPr>
          <w:rFonts w:ascii="Aptos" w:eastAsia="Play" w:hAnsi="Aptos" w:cs="Play"/>
          <w:snapToGrid/>
          <w:color w:val="0F4761"/>
          <w:lang w:val="en-US"/>
        </w:rPr>
        <w:t xml:space="preserve"> </w:t>
      </w:r>
    </w:p>
    <w:p w14:paraId="3DB245C1"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Dr. Harkunti Pertiwi Rahayu moderated the </w:t>
      </w:r>
      <w:r w:rsidRPr="00733E87">
        <w:rPr>
          <w:rFonts w:ascii="Aptos" w:eastAsia="Aptos" w:hAnsi="Aptos" w:cs="Aptos"/>
          <w:i/>
          <w:snapToGrid/>
          <w:lang w:val="en-US"/>
        </w:rPr>
        <w:t xml:space="preserve">round table discussion </w:t>
      </w:r>
      <w:r w:rsidRPr="00733E87">
        <w:rPr>
          <w:rFonts w:ascii="Aptos" w:eastAsia="Aptos" w:hAnsi="Aptos" w:cs="Aptos"/>
          <w:snapToGrid/>
          <w:lang w:val="en-US"/>
        </w:rPr>
        <w:t>on policy and future implementation of Tsunami Ready by focusing on the following key questions as indicated in the agenda.</w:t>
      </w:r>
    </w:p>
    <w:p w14:paraId="7B2ACF15"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Key Question 1:</w:t>
      </w:r>
      <w:r w:rsidRPr="00733E87">
        <w:rPr>
          <w:rFonts w:ascii="Aptos" w:eastAsia="Aptos" w:hAnsi="Aptos" w:cs="Aptos"/>
          <w:snapToGrid/>
          <w:lang w:val="en-US"/>
        </w:rPr>
        <w:t xml:space="preserve"> </w:t>
      </w:r>
      <w:r w:rsidRPr="00733E87">
        <w:rPr>
          <w:rFonts w:ascii="Aptos" w:eastAsia="Arial" w:hAnsi="Aptos" w:cs="Arial"/>
          <w:i/>
          <w:snapToGrid/>
          <w:lang w:val="en-US"/>
        </w:rPr>
        <w:t>How should Tsunami Ready evolve at a policy and national level? How can UNESCO-IOC sustainably engage with both Member States and communities?</w:t>
      </w:r>
    </w:p>
    <w:p w14:paraId="34574DE5" w14:textId="77777777" w:rsidR="00733E87" w:rsidRPr="00733E87" w:rsidRDefault="00733E87" w:rsidP="00733E87">
      <w:pPr>
        <w:tabs>
          <w:tab w:val="clear" w:pos="709"/>
        </w:tabs>
        <w:snapToGrid/>
        <w:spacing w:after="160" w:line="278" w:lineRule="auto"/>
        <w:jc w:val="both"/>
        <w:rPr>
          <w:rFonts w:ascii="Aptos" w:eastAsia="Arial" w:hAnsi="Aptos" w:cs="Arial"/>
          <w:i/>
          <w:snapToGrid/>
          <w:lang w:val="en-US"/>
        </w:rPr>
      </w:pPr>
      <w:r w:rsidRPr="00733E87">
        <w:rPr>
          <w:rFonts w:ascii="Aptos" w:eastAsia="Arial" w:hAnsi="Aptos" w:cs="Arial"/>
          <w:snapToGrid/>
          <w:lang w:val="en-US"/>
        </w:rPr>
        <w:t xml:space="preserve">Silvia Chacon provided a short presentation to help provide insights on the question: </w:t>
      </w:r>
      <w:r w:rsidRPr="00733E87">
        <w:rPr>
          <w:rFonts w:ascii="Aptos" w:eastAsia="Arial" w:hAnsi="Aptos" w:cs="Arial"/>
          <w:i/>
          <w:snapToGrid/>
          <w:lang w:val="en-US"/>
        </w:rPr>
        <w:t>How should Tsunami Ready evolve at a policy and national level? How can UNESCO-IOC sustainably engage with both Member States and communities?</w:t>
      </w:r>
    </w:p>
    <w:p w14:paraId="14540803" w14:textId="77777777" w:rsidR="00733E87" w:rsidRPr="00733E87" w:rsidRDefault="00733E87" w:rsidP="00733E87">
      <w:pPr>
        <w:tabs>
          <w:tab w:val="clear" w:pos="709"/>
        </w:tabs>
        <w:snapToGrid/>
        <w:spacing w:before="240" w:after="240" w:line="278" w:lineRule="auto"/>
        <w:jc w:val="both"/>
        <w:rPr>
          <w:rFonts w:ascii="Aptos" w:eastAsia="Aptos" w:hAnsi="Aptos" w:cs="Aptos"/>
          <w:snapToGrid/>
          <w:lang w:val="en-US"/>
        </w:rPr>
      </w:pPr>
      <w:r w:rsidRPr="00733E87">
        <w:rPr>
          <w:rFonts w:ascii="Aptos" w:eastAsia="Aptos" w:hAnsi="Aptos" w:cs="Aptos"/>
          <w:snapToGrid/>
          <w:lang w:val="en-US"/>
        </w:rPr>
        <w:t xml:space="preserve">It was highlighted that a small team of four people from her organization in Costa Rica was able to advance relatively quickly on the Tsunami Ready/DRR initiative, thanks to the country's existing Risk Governance and Policy framework, National Risk Management System, and inter-institutional Multi-Hazard Early Warning System (MHEWS) approach. However, the main challenge remains the difficulty of securing a ‘seat’ at high-level decision-making tables, as tsunamis are infrequent and not considered a high priority. </w:t>
      </w:r>
    </w:p>
    <w:p w14:paraId="76C408F1" w14:textId="77777777" w:rsidR="00733E87" w:rsidRPr="00733E87" w:rsidRDefault="00733E87" w:rsidP="00733E87">
      <w:pPr>
        <w:tabs>
          <w:tab w:val="clear" w:pos="709"/>
        </w:tabs>
        <w:snapToGrid/>
        <w:spacing w:before="240" w:after="240" w:line="278" w:lineRule="auto"/>
        <w:jc w:val="both"/>
        <w:rPr>
          <w:rFonts w:ascii="Aptos" w:eastAsia="Aptos" w:hAnsi="Aptos" w:cs="Aptos"/>
          <w:snapToGrid/>
          <w:lang w:val="en-US"/>
        </w:rPr>
      </w:pPr>
      <w:r w:rsidRPr="00733E87">
        <w:rPr>
          <w:rFonts w:ascii="Aptos" w:eastAsia="Aptos" w:hAnsi="Aptos" w:cs="Aptos"/>
          <w:snapToGrid/>
          <w:lang w:val="en-US"/>
        </w:rPr>
        <w:t>In one case, materials were developed, but due to a lack of follow-up and resources, full implementation of activity was not achieved, leading to wasted efforts and resources.</w:t>
      </w:r>
    </w:p>
    <w:p w14:paraId="59980C0C" w14:textId="77777777" w:rsidR="00733E87" w:rsidRPr="00733E87" w:rsidRDefault="00733E87" w:rsidP="00733E87">
      <w:pPr>
        <w:tabs>
          <w:tab w:val="clear" w:pos="709"/>
        </w:tabs>
        <w:snapToGrid/>
        <w:spacing w:before="240" w:after="240" w:line="278" w:lineRule="auto"/>
        <w:rPr>
          <w:rFonts w:ascii="Aptos" w:eastAsia="Aptos" w:hAnsi="Aptos" w:cs="Aptos"/>
          <w:snapToGrid/>
          <w:lang w:val="en-US"/>
        </w:rPr>
      </w:pPr>
      <w:r w:rsidRPr="00733E87">
        <w:rPr>
          <w:rFonts w:ascii="Aptos" w:eastAsia="Aptos" w:hAnsi="Aptos" w:cs="Aptos"/>
          <w:snapToGrid/>
          <w:lang w:val="en-US"/>
        </w:rPr>
        <w:t>Proposed Actions:</w:t>
      </w:r>
    </w:p>
    <w:p w14:paraId="391303FF" w14:textId="77777777" w:rsidR="00733E87" w:rsidRPr="00733E87" w:rsidRDefault="00733E87" w:rsidP="00733E87">
      <w:pPr>
        <w:numPr>
          <w:ilvl w:val="0"/>
          <w:numId w:val="138"/>
        </w:numPr>
        <w:tabs>
          <w:tab w:val="clear" w:pos="709"/>
        </w:tabs>
        <w:snapToGrid/>
        <w:spacing w:before="240" w:after="160" w:line="278" w:lineRule="auto"/>
        <w:contextualSpacing/>
        <w:rPr>
          <w:rFonts w:ascii="Aptos" w:eastAsia="Aptos" w:hAnsi="Aptos" w:cs="Aptos"/>
          <w:snapToGrid/>
          <w:lang w:val="en-US"/>
        </w:rPr>
      </w:pPr>
      <w:r w:rsidRPr="00733E87">
        <w:rPr>
          <w:rFonts w:ascii="Aptos" w:eastAsia="Aptos" w:hAnsi="Aptos" w:cs="Aptos"/>
          <w:snapToGrid/>
          <w:lang w:val="en-US"/>
        </w:rPr>
        <w:t>Mandating Tsunami Ready by law for schools, public and private companies, and coastal communities within evacuation areas.</w:t>
      </w:r>
    </w:p>
    <w:p w14:paraId="298D2D19" w14:textId="77777777" w:rsidR="00733E87" w:rsidRPr="00733E87" w:rsidRDefault="00733E87" w:rsidP="00733E87">
      <w:pPr>
        <w:numPr>
          <w:ilvl w:val="0"/>
          <w:numId w:val="138"/>
        </w:numPr>
        <w:tabs>
          <w:tab w:val="clear" w:pos="709"/>
        </w:tabs>
        <w:snapToGrid/>
        <w:spacing w:after="160" w:line="278" w:lineRule="auto"/>
        <w:contextualSpacing/>
        <w:rPr>
          <w:rFonts w:ascii="Aptos" w:eastAsia="Aptos" w:hAnsi="Aptos" w:cs="Aptos"/>
          <w:snapToGrid/>
          <w:lang w:val="en-US"/>
        </w:rPr>
      </w:pPr>
      <w:r w:rsidRPr="00733E87">
        <w:rPr>
          <w:rFonts w:ascii="Aptos" w:eastAsia="Aptos" w:hAnsi="Aptos" w:cs="Aptos"/>
          <w:snapToGrid/>
          <w:lang w:val="en-US"/>
        </w:rPr>
        <w:t>Strengthening UNESCO’s role as a recognized global leader in tsunami preparedness.</w:t>
      </w:r>
    </w:p>
    <w:p w14:paraId="2807DB4B" w14:textId="77777777" w:rsidR="00733E87" w:rsidRPr="00733E87" w:rsidRDefault="00733E87" w:rsidP="00733E87">
      <w:pPr>
        <w:numPr>
          <w:ilvl w:val="0"/>
          <w:numId w:val="138"/>
        </w:numPr>
        <w:tabs>
          <w:tab w:val="clear" w:pos="709"/>
        </w:tabs>
        <w:snapToGrid/>
        <w:spacing w:after="240" w:line="278" w:lineRule="auto"/>
        <w:contextualSpacing/>
        <w:rPr>
          <w:rFonts w:ascii="Aptos" w:eastAsia="Aptos" w:hAnsi="Aptos" w:cs="Aptos"/>
          <w:snapToGrid/>
          <w:lang w:val="en-US"/>
        </w:rPr>
      </w:pPr>
      <w:r w:rsidRPr="00733E87">
        <w:rPr>
          <w:rFonts w:ascii="Aptos" w:eastAsia="Aptos" w:hAnsi="Aptos" w:cs="Aptos"/>
          <w:snapToGrid/>
          <w:lang w:val="en-US"/>
        </w:rPr>
        <w:t xml:space="preserve">Leveraging data and statistics to effectively </w:t>
      </w:r>
      <w:proofErr w:type="gramStart"/>
      <w:r w:rsidRPr="00733E87">
        <w:rPr>
          <w:rFonts w:ascii="Aptos" w:eastAsia="Aptos" w:hAnsi="Aptos" w:cs="Aptos"/>
          <w:snapToGrid/>
          <w:lang w:val="en-US"/>
        </w:rPr>
        <w:t>advocate for</w:t>
      </w:r>
      <w:proofErr w:type="gramEnd"/>
      <w:r w:rsidRPr="00733E87">
        <w:rPr>
          <w:rFonts w:ascii="Aptos" w:eastAsia="Aptos" w:hAnsi="Aptos" w:cs="Aptos"/>
          <w:snapToGrid/>
          <w:lang w:val="en-US"/>
        </w:rPr>
        <w:t xml:space="preserve"> tsunami risk awareness and preparedness.</w:t>
      </w:r>
    </w:p>
    <w:p w14:paraId="5074A376" w14:textId="77777777" w:rsidR="00733E87" w:rsidRPr="00733E87" w:rsidRDefault="00733E87" w:rsidP="00733E87">
      <w:pPr>
        <w:tabs>
          <w:tab w:val="clear" w:pos="709"/>
        </w:tabs>
        <w:snapToGrid/>
        <w:spacing w:before="240" w:after="240" w:line="278" w:lineRule="auto"/>
        <w:rPr>
          <w:rFonts w:ascii="Aptos" w:eastAsia="Aptos" w:hAnsi="Aptos" w:cs="Aptos"/>
          <w:snapToGrid/>
          <w:lang w:val="en-US"/>
        </w:rPr>
      </w:pPr>
      <w:r w:rsidRPr="00733E87">
        <w:rPr>
          <w:rFonts w:ascii="Aptos" w:eastAsia="Aptos" w:hAnsi="Aptos" w:cs="Aptos"/>
          <w:snapToGrid/>
          <w:lang w:val="en-US"/>
        </w:rPr>
        <w:t xml:space="preserve">The meeting also discussed various approaches to </w:t>
      </w:r>
      <w:proofErr w:type="gramStart"/>
      <w:r w:rsidRPr="00733E87">
        <w:rPr>
          <w:rFonts w:ascii="Aptos" w:eastAsia="Aptos" w:hAnsi="Aptos" w:cs="Aptos"/>
          <w:snapToGrid/>
          <w:lang w:val="en-US"/>
        </w:rPr>
        <w:t>address</w:t>
      </w:r>
      <w:proofErr w:type="gramEnd"/>
      <w:r w:rsidRPr="00733E87">
        <w:rPr>
          <w:rFonts w:ascii="Aptos" w:eastAsia="Aptos" w:hAnsi="Aptos" w:cs="Aptos"/>
          <w:snapToGrid/>
          <w:lang w:val="en-US"/>
        </w:rPr>
        <w:t xml:space="preserve"> these challenges, including:</w:t>
      </w:r>
    </w:p>
    <w:p w14:paraId="25AFD031" w14:textId="77777777" w:rsidR="00733E87" w:rsidRPr="00733E87" w:rsidRDefault="00733E87" w:rsidP="00733E87">
      <w:pPr>
        <w:numPr>
          <w:ilvl w:val="0"/>
          <w:numId w:val="118"/>
        </w:numPr>
        <w:tabs>
          <w:tab w:val="clear" w:pos="709"/>
        </w:tabs>
        <w:snapToGrid/>
        <w:spacing w:before="240" w:after="160" w:line="278" w:lineRule="auto"/>
        <w:rPr>
          <w:rFonts w:ascii="Aptos" w:eastAsia="Aptos" w:hAnsi="Aptos" w:cs="Aptos"/>
          <w:snapToGrid/>
          <w:lang w:val="en-US"/>
        </w:rPr>
      </w:pPr>
      <w:r w:rsidRPr="00733E87">
        <w:rPr>
          <w:rFonts w:ascii="Aptos" w:eastAsia="Aptos" w:hAnsi="Aptos" w:cs="Aptos"/>
          <w:snapToGrid/>
          <w:lang w:val="en-US"/>
        </w:rPr>
        <w:t>Integrating tsunami preparedness into MHEWS and mainstream policy advocacy.</w:t>
      </w:r>
    </w:p>
    <w:p w14:paraId="64D2B7F9" w14:textId="77777777" w:rsidR="00733E87" w:rsidRPr="00733E87" w:rsidRDefault="00733E87" w:rsidP="00733E87">
      <w:pPr>
        <w:numPr>
          <w:ilvl w:val="0"/>
          <w:numId w:val="118"/>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 xml:space="preserve">Crafting effective communication strategies for continued engagement and </w:t>
      </w:r>
      <w:proofErr w:type="spellStart"/>
      <w:r w:rsidRPr="00733E87">
        <w:rPr>
          <w:rFonts w:ascii="Aptos" w:eastAsia="Aptos" w:hAnsi="Aptos" w:cs="Aptos"/>
          <w:snapToGrid/>
          <w:lang w:val="en-US"/>
        </w:rPr>
        <w:t>programme</w:t>
      </w:r>
      <w:proofErr w:type="spellEnd"/>
      <w:r w:rsidRPr="00733E87">
        <w:rPr>
          <w:rFonts w:ascii="Aptos" w:eastAsia="Aptos" w:hAnsi="Aptos" w:cs="Aptos"/>
          <w:snapToGrid/>
          <w:lang w:val="en-US"/>
        </w:rPr>
        <w:t xml:space="preserve"> renewal.</w:t>
      </w:r>
    </w:p>
    <w:p w14:paraId="02E8B2F0" w14:textId="77777777" w:rsidR="00733E87" w:rsidRPr="00733E87" w:rsidRDefault="00733E87" w:rsidP="00733E87">
      <w:pPr>
        <w:numPr>
          <w:ilvl w:val="0"/>
          <w:numId w:val="118"/>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Strengthening connections with global initiatives such as World Tsunami Awareness Day (WTAD).</w:t>
      </w:r>
    </w:p>
    <w:p w14:paraId="34254EBF" w14:textId="77777777" w:rsidR="00733E87" w:rsidRPr="00733E87" w:rsidRDefault="00733E87" w:rsidP="00733E87">
      <w:pPr>
        <w:numPr>
          <w:ilvl w:val="0"/>
          <w:numId w:val="118"/>
        </w:numPr>
        <w:tabs>
          <w:tab w:val="clear" w:pos="709"/>
        </w:tabs>
        <w:snapToGrid/>
        <w:spacing w:after="240" w:line="278" w:lineRule="auto"/>
        <w:rPr>
          <w:rFonts w:ascii="Aptos" w:eastAsia="Aptos" w:hAnsi="Aptos" w:cs="Aptos"/>
          <w:snapToGrid/>
          <w:lang w:val="en-US"/>
        </w:rPr>
      </w:pPr>
      <w:r w:rsidRPr="00733E87">
        <w:rPr>
          <w:rFonts w:ascii="Aptos" w:eastAsia="Aptos" w:hAnsi="Aptos" w:cs="Aptos"/>
          <w:snapToGrid/>
          <w:lang w:val="en-US"/>
        </w:rPr>
        <w:lastRenderedPageBreak/>
        <w:t>Training a pool of dedicated personnel to effectively implement and execute Tsunami Ready Programme activities at national and local levels.</w:t>
      </w:r>
    </w:p>
    <w:p w14:paraId="164AB9A7" w14:textId="77777777" w:rsidR="00733E87" w:rsidRPr="00733E87" w:rsidRDefault="00733E87" w:rsidP="00733E87">
      <w:pPr>
        <w:tabs>
          <w:tab w:val="clear" w:pos="709"/>
        </w:tabs>
        <w:snapToGrid/>
        <w:spacing w:after="160" w:line="278" w:lineRule="auto"/>
        <w:ind w:left="107"/>
        <w:jc w:val="both"/>
        <w:rPr>
          <w:rFonts w:ascii="Aptos" w:eastAsia="Arial" w:hAnsi="Aptos" w:cs="Arial"/>
          <w:snapToGrid/>
          <w:lang w:val="en-US"/>
        </w:rPr>
      </w:pPr>
      <w:r w:rsidRPr="00733E87">
        <w:rPr>
          <w:rFonts w:ascii="Aptos" w:eastAsia="Arial" w:hAnsi="Aptos" w:cs="Arial"/>
          <w:b/>
          <w:snapToGrid/>
          <w:lang w:val="en-US"/>
        </w:rPr>
        <w:t xml:space="preserve">Key Question 2: </w:t>
      </w:r>
      <w:r w:rsidRPr="00733E87">
        <w:rPr>
          <w:rFonts w:ascii="Aptos" w:eastAsia="Arial" w:hAnsi="Aptos" w:cs="Arial"/>
          <w:i/>
          <w:snapToGrid/>
          <w:lang w:val="en-US"/>
        </w:rPr>
        <w:t xml:space="preserve">How Member States adapt/streamline the </w:t>
      </w:r>
      <w:proofErr w:type="spellStart"/>
      <w:r w:rsidRPr="00733E87">
        <w:rPr>
          <w:rFonts w:ascii="Aptos" w:eastAsia="Arial" w:hAnsi="Aptos" w:cs="Arial"/>
          <w:i/>
          <w:snapToGrid/>
          <w:lang w:val="en-US"/>
        </w:rPr>
        <w:t>programme</w:t>
      </w:r>
      <w:proofErr w:type="spellEnd"/>
      <w:r w:rsidRPr="00733E87">
        <w:rPr>
          <w:rFonts w:ascii="Aptos" w:eastAsia="Arial" w:hAnsi="Aptos" w:cs="Arial"/>
          <w:i/>
          <w:snapToGrid/>
          <w:lang w:val="en-US"/>
        </w:rPr>
        <w:t xml:space="preserve"> into their national disaster risk reduction legislative framework?</w:t>
      </w:r>
    </w:p>
    <w:p w14:paraId="4BC0F1FE" w14:textId="77777777" w:rsidR="00733E87" w:rsidRPr="00733E87" w:rsidRDefault="00733E87" w:rsidP="00733E87">
      <w:pPr>
        <w:tabs>
          <w:tab w:val="clear" w:pos="709"/>
        </w:tabs>
        <w:snapToGrid/>
        <w:spacing w:after="160" w:line="278" w:lineRule="auto"/>
        <w:ind w:left="107"/>
        <w:jc w:val="both"/>
        <w:rPr>
          <w:rFonts w:ascii="Aptos" w:eastAsia="Arial" w:hAnsi="Aptos" w:cs="Arial"/>
          <w:snapToGrid/>
          <w:color w:val="FF0000"/>
          <w:lang w:val="en-US"/>
        </w:rPr>
      </w:pPr>
      <w:r w:rsidRPr="00733E87">
        <w:rPr>
          <w:rFonts w:ascii="Aptos" w:eastAsia="Arial" w:hAnsi="Aptos" w:cs="Arial"/>
          <w:snapToGrid/>
          <w:lang w:val="en-US"/>
        </w:rPr>
        <w:t>Ms Ashleigh Fromont took the lead to address the second key question on</w:t>
      </w:r>
      <w:r w:rsidRPr="00733E87">
        <w:rPr>
          <w:rFonts w:ascii="Aptos" w:eastAsia="Arial" w:hAnsi="Aptos" w:cs="Arial"/>
          <w:b/>
          <w:snapToGrid/>
          <w:lang w:val="en-US"/>
        </w:rPr>
        <w:t xml:space="preserve"> </w:t>
      </w:r>
      <w:r w:rsidRPr="00733E87">
        <w:rPr>
          <w:rFonts w:ascii="Aptos" w:eastAsia="Arial" w:hAnsi="Aptos" w:cs="Arial"/>
          <w:i/>
          <w:snapToGrid/>
          <w:lang w:val="en-US"/>
        </w:rPr>
        <w:t xml:space="preserve">How Member States adapt/streamline the </w:t>
      </w:r>
      <w:proofErr w:type="spellStart"/>
      <w:r w:rsidRPr="00733E87">
        <w:rPr>
          <w:rFonts w:ascii="Aptos" w:eastAsia="Arial" w:hAnsi="Aptos" w:cs="Arial"/>
          <w:i/>
          <w:snapToGrid/>
          <w:lang w:val="en-US"/>
        </w:rPr>
        <w:t>programme</w:t>
      </w:r>
      <w:proofErr w:type="spellEnd"/>
      <w:r w:rsidRPr="00733E87">
        <w:rPr>
          <w:rFonts w:ascii="Aptos" w:eastAsia="Arial" w:hAnsi="Aptos" w:cs="Arial"/>
          <w:i/>
          <w:snapToGrid/>
          <w:lang w:val="en-US"/>
        </w:rPr>
        <w:t xml:space="preserve"> into their national disaster risk reduction legislative framework?</w:t>
      </w:r>
    </w:p>
    <w:p w14:paraId="44106B33"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 xml:space="preserve">She discussed the progression and </w:t>
      </w:r>
      <w:proofErr w:type="gramStart"/>
      <w:r w:rsidRPr="00733E87">
        <w:rPr>
          <w:rFonts w:ascii="Aptos" w:eastAsia="Aptos" w:hAnsi="Aptos" w:cs="Aptos"/>
          <w:snapToGrid/>
          <w:lang w:val="en-US"/>
        </w:rPr>
        <w:t>next</w:t>
      </w:r>
      <w:proofErr w:type="gramEnd"/>
      <w:r w:rsidRPr="00733E87">
        <w:rPr>
          <w:rFonts w:ascii="Aptos" w:eastAsia="Aptos" w:hAnsi="Aptos" w:cs="Aptos"/>
          <w:snapToGrid/>
          <w:lang w:val="en-US"/>
        </w:rPr>
        <w:t xml:space="preserve"> steps from two key perspectives:</w:t>
      </w:r>
    </w:p>
    <w:p w14:paraId="44ED59C5" w14:textId="77777777" w:rsidR="00733E87" w:rsidRPr="00733E87" w:rsidRDefault="00733E87" w:rsidP="00733E87">
      <w:pPr>
        <w:numPr>
          <w:ilvl w:val="0"/>
          <w:numId w:val="121"/>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How to build tsunami initiatives</w:t>
      </w:r>
    </w:p>
    <w:p w14:paraId="6099B707" w14:textId="77777777" w:rsidR="00733E87" w:rsidRPr="00733E87" w:rsidRDefault="00733E87" w:rsidP="00733E87">
      <w:pPr>
        <w:numPr>
          <w:ilvl w:val="0"/>
          <w:numId w:val="121"/>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The enabling principles and mechanisms</w:t>
      </w:r>
    </w:p>
    <w:p w14:paraId="040F66EE"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proofErr w:type="gramStart"/>
      <w:r w:rsidRPr="00733E87">
        <w:rPr>
          <w:rFonts w:ascii="Aptos" w:eastAsia="Aptos" w:hAnsi="Aptos" w:cs="Aptos"/>
          <w:snapToGrid/>
          <w:lang w:val="en-US"/>
        </w:rPr>
        <w:t>The TT</w:t>
      </w:r>
      <w:proofErr w:type="gramEnd"/>
      <w:r w:rsidRPr="00733E87">
        <w:rPr>
          <w:rFonts w:ascii="Aptos" w:eastAsia="Aptos" w:hAnsi="Aptos" w:cs="Aptos"/>
          <w:snapToGrid/>
          <w:lang w:val="en-US"/>
        </w:rPr>
        <w:t xml:space="preserve"> DMP deliberated on the following:</w:t>
      </w:r>
    </w:p>
    <w:p w14:paraId="5DEC74B4" w14:textId="77777777" w:rsidR="00733E87" w:rsidRPr="00733E87" w:rsidRDefault="00733E87" w:rsidP="00733E87">
      <w:pPr>
        <w:numPr>
          <w:ilvl w:val="0"/>
          <w:numId w:val="133"/>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Effective utilization of the Tsunami Early Warning System KPI for reporting and contributing to Target G (</w:t>
      </w:r>
      <w:r w:rsidRPr="00733E87">
        <w:rPr>
          <w:rFonts w:ascii="Aptos" w:eastAsia="Arial" w:hAnsi="Aptos" w:cs="Arial"/>
          <w:snapToGrid/>
          <w:color w:val="040C28"/>
          <w:highlight w:val="white"/>
          <w:lang w:val="en-US"/>
        </w:rPr>
        <w:t>Substantially increase the availability of and access to multi</w:t>
      </w:r>
      <w:r w:rsidRPr="00733E87">
        <w:rPr>
          <w:rFonts w:ascii="Cambria Math" w:eastAsia="Arial" w:hAnsi="Cambria Math" w:cs="Cambria Math"/>
          <w:snapToGrid/>
          <w:color w:val="040C28"/>
          <w:highlight w:val="white"/>
          <w:lang w:val="en-US"/>
        </w:rPr>
        <w:t>‑</w:t>
      </w:r>
      <w:r w:rsidRPr="00733E87">
        <w:rPr>
          <w:rFonts w:ascii="Aptos" w:eastAsia="Arial" w:hAnsi="Aptos" w:cs="Arial"/>
          <w:snapToGrid/>
          <w:color w:val="040C28"/>
          <w:highlight w:val="white"/>
          <w:lang w:val="en-US"/>
        </w:rPr>
        <w:t>hazard early warning systems and disaster risk information and assessments to the people by 2030)</w:t>
      </w:r>
      <w:r w:rsidRPr="00733E87">
        <w:rPr>
          <w:rFonts w:ascii="Aptos" w:eastAsia="Arial" w:hAnsi="Aptos" w:cs="Arial"/>
          <w:snapToGrid/>
          <w:color w:val="1F1F1F"/>
          <w:highlight w:val="white"/>
          <w:lang w:val="en-US"/>
        </w:rPr>
        <w:t xml:space="preserve"> </w:t>
      </w:r>
      <w:r w:rsidRPr="00733E87">
        <w:rPr>
          <w:rFonts w:ascii="Aptos" w:eastAsia="Aptos" w:hAnsi="Aptos" w:cs="Aptos"/>
          <w:snapToGrid/>
          <w:lang w:val="en-US"/>
        </w:rPr>
        <w:t xml:space="preserve">of the Sendai Framework for DRR, </w:t>
      </w:r>
      <w:proofErr w:type="gramStart"/>
      <w:r w:rsidRPr="00733E87">
        <w:rPr>
          <w:rFonts w:ascii="Aptos" w:eastAsia="Aptos" w:hAnsi="Aptos" w:cs="Aptos"/>
          <w:snapToGrid/>
          <w:lang w:val="en-US"/>
        </w:rPr>
        <w:t>and  to</w:t>
      </w:r>
      <w:proofErr w:type="gramEnd"/>
      <w:r w:rsidRPr="00733E87">
        <w:rPr>
          <w:rFonts w:ascii="Aptos" w:eastAsia="Aptos" w:hAnsi="Aptos" w:cs="Aptos"/>
          <w:snapToGrid/>
          <w:lang w:val="en-US"/>
        </w:rPr>
        <w:t xml:space="preserve"> its mid-term review and stock taking process. This will help drive impactful actions at both national and local levels.</w:t>
      </w:r>
    </w:p>
    <w:p w14:paraId="5345F8BA" w14:textId="77777777" w:rsidR="00733E87" w:rsidRPr="00733E87" w:rsidRDefault="00733E87" w:rsidP="00733E87">
      <w:pPr>
        <w:numPr>
          <w:ilvl w:val="0"/>
          <w:numId w:val="133"/>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Leveraging tsunami risk assessments and risk knowledge information to raise awareness, ensuring that decision-makers and policymakers cannot overlook the urgency of tsunami preparedness.</w:t>
      </w:r>
    </w:p>
    <w:p w14:paraId="3E63E185" w14:textId="77777777" w:rsidR="00733E87" w:rsidRPr="00733E87" w:rsidRDefault="00733E87" w:rsidP="00733E87">
      <w:pPr>
        <w:numPr>
          <w:ilvl w:val="0"/>
          <w:numId w:val="133"/>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Additionally, INGV Italy offers to share a guideline on a legal case in Italy and its implications in supporting tsunami-related activities.</w:t>
      </w:r>
    </w:p>
    <w:p w14:paraId="18CF7F04"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snapToGrid/>
          <w:color w:val="0070C0"/>
          <w:lang w:val="en-US"/>
        </w:rPr>
      </w:pPr>
      <w:r w:rsidRPr="00733E87">
        <w:rPr>
          <w:rFonts w:ascii="Aptos" w:eastAsia="Aptos" w:hAnsi="Aptos" w:cs="Aptos"/>
          <w:b/>
          <w:snapToGrid/>
          <w:color w:val="0070C0"/>
          <w:lang w:val="en-US"/>
        </w:rPr>
        <w:t>Recommendations to TOWS-WG</w:t>
      </w:r>
    </w:p>
    <w:p w14:paraId="6B486BCE" w14:textId="77777777" w:rsidR="00733E87" w:rsidRPr="00733E87" w:rsidRDefault="00733E87" w:rsidP="00733E87">
      <w:pPr>
        <w:tabs>
          <w:tab w:val="clear" w:pos="709"/>
        </w:tabs>
        <w:snapToGrid/>
        <w:spacing w:after="160" w:line="278" w:lineRule="auto"/>
        <w:jc w:val="both"/>
        <w:rPr>
          <w:rFonts w:ascii="Aptos" w:eastAsia="Aptos" w:hAnsi="Aptos" w:cs="Aptos"/>
          <w:b/>
          <w:snapToGrid/>
          <w:lang w:val="en-US"/>
        </w:rPr>
      </w:pPr>
      <w:proofErr w:type="gramStart"/>
      <w:r w:rsidRPr="00733E87">
        <w:rPr>
          <w:rFonts w:ascii="Aptos" w:eastAsia="Aptos" w:hAnsi="Aptos" w:cs="Aptos"/>
          <w:b/>
          <w:snapToGrid/>
          <w:lang w:val="en-US"/>
        </w:rPr>
        <w:t>Recommends</w:t>
      </w:r>
      <w:r w:rsidRPr="00733E87">
        <w:rPr>
          <w:rFonts w:ascii="Aptos" w:eastAsia="Aptos" w:hAnsi="Aptos" w:cs="Aptos"/>
          <w:snapToGrid/>
          <w:lang w:val="en-US"/>
        </w:rPr>
        <w:t xml:space="preserve"> to</w:t>
      </w:r>
      <w:proofErr w:type="gramEnd"/>
      <w:r w:rsidRPr="00733E87">
        <w:rPr>
          <w:rFonts w:ascii="Aptos" w:eastAsia="Aptos" w:hAnsi="Aptos" w:cs="Aptos"/>
          <w:snapToGrid/>
          <w:lang w:val="en-US"/>
        </w:rPr>
        <w:t xml:space="preserve"> TOWS WG and its Task Teams to effectively utilize </w:t>
      </w:r>
      <w:proofErr w:type="gramStart"/>
      <w:r w:rsidRPr="00733E87">
        <w:rPr>
          <w:rFonts w:ascii="Aptos" w:eastAsia="Aptos" w:hAnsi="Aptos" w:cs="Aptos"/>
          <w:snapToGrid/>
          <w:lang w:val="en-US"/>
        </w:rPr>
        <w:t>the Tsunami</w:t>
      </w:r>
      <w:proofErr w:type="gramEnd"/>
      <w:r w:rsidRPr="00733E87">
        <w:rPr>
          <w:rFonts w:ascii="Aptos" w:eastAsia="Aptos" w:hAnsi="Aptos" w:cs="Aptos"/>
          <w:snapToGrid/>
          <w:lang w:val="en-US"/>
        </w:rPr>
        <w:t xml:space="preserve"> Early Warning System KPI for reporting and contributing to Sendai Framework Target G, </w:t>
      </w:r>
      <w:proofErr w:type="gramStart"/>
      <w:r w:rsidRPr="00733E87">
        <w:rPr>
          <w:rFonts w:ascii="Aptos" w:eastAsia="Aptos" w:hAnsi="Aptos" w:cs="Aptos"/>
          <w:snapToGrid/>
          <w:lang w:val="en-US"/>
        </w:rPr>
        <w:t>This</w:t>
      </w:r>
      <w:proofErr w:type="gramEnd"/>
      <w:r w:rsidRPr="00733E87">
        <w:rPr>
          <w:rFonts w:ascii="Aptos" w:eastAsia="Aptos" w:hAnsi="Aptos" w:cs="Aptos"/>
          <w:snapToGrid/>
          <w:lang w:val="en-US"/>
        </w:rPr>
        <w:t xml:space="preserve"> will support the mid-term review and drive impactful actions at national and local levels</w:t>
      </w:r>
      <w:r w:rsidRPr="00733E87">
        <w:rPr>
          <w:rFonts w:ascii="Aptos" w:eastAsia="Aptos" w:hAnsi="Aptos" w:cs="Aptos"/>
          <w:b/>
          <w:snapToGrid/>
          <w:lang w:val="en-US"/>
        </w:rPr>
        <w:t>.</w:t>
      </w:r>
    </w:p>
    <w:p w14:paraId="545CB63F"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 xml:space="preserve">Further recommends </w:t>
      </w:r>
      <w:r w:rsidRPr="00733E87">
        <w:rPr>
          <w:rFonts w:ascii="Aptos" w:eastAsia="Aptos" w:hAnsi="Aptos" w:cs="Aptos"/>
          <w:snapToGrid/>
          <w:lang w:val="en-US"/>
        </w:rPr>
        <w:t>leveraging and integrate comprehensive tsunami risk assessments into policymaking to ensure decision-makers prioritize urgent preparedness measures</w:t>
      </w:r>
    </w:p>
    <w:p w14:paraId="03C864D5"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 xml:space="preserve">Notes </w:t>
      </w:r>
      <w:r w:rsidRPr="00733E87">
        <w:rPr>
          <w:rFonts w:ascii="Aptos" w:eastAsia="Aptos" w:hAnsi="Aptos" w:cs="Aptos"/>
          <w:snapToGrid/>
          <w:lang w:val="en-US"/>
        </w:rPr>
        <w:t xml:space="preserve">that </w:t>
      </w:r>
      <w:r w:rsidRPr="00733E87">
        <w:rPr>
          <w:rFonts w:ascii="Aptos" w:eastAsia="Arial" w:hAnsi="Aptos" w:cs="Arial"/>
          <w:snapToGrid/>
          <w:highlight w:val="white"/>
          <w:lang w:val="en-US"/>
        </w:rPr>
        <w:t>the National Institute of Geophysics and Volcanology (</w:t>
      </w:r>
      <w:r w:rsidRPr="00733E87">
        <w:rPr>
          <w:rFonts w:ascii="Aptos" w:eastAsia="Aptos" w:hAnsi="Aptos" w:cs="Aptos"/>
          <w:snapToGrid/>
          <w:lang w:val="en-US"/>
        </w:rPr>
        <w:t>INGV, Italy) will share a guideline on a legal case in Italy and its implications in supporting tsunami-related activities.</w:t>
      </w:r>
    </w:p>
    <w:p w14:paraId="39D0FFF8" w14:textId="77777777" w:rsidR="00733E87" w:rsidRPr="00733E87" w:rsidRDefault="00733E87" w:rsidP="00733E87">
      <w:pPr>
        <w:tabs>
          <w:tab w:val="clear" w:pos="709"/>
        </w:tabs>
        <w:snapToGrid/>
        <w:spacing w:after="160" w:line="278" w:lineRule="auto"/>
        <w:jc w:val="both"/>
        <w:rPr>
          <w:rFonts w:ascii="Aptos" w:eastAsia="Arial" w:hAnsi="Aptos" w:cs="Arial"/>
          <w:snapToGrid/>
          <w:lang w:val="en-US"/>
        </w:rPr>
      </w:pPr>
      <w:r w:rsidRPr="00733E87">
        <w:rPr>
          <w:rFonts w:ascii="Aptos" w:eastAsia="Aptos" w:hAnsi="Aptos" w:cs="Aptos"/>
          <w:snapToGrid/>
          <w:lang w:val="en-US"/>
        </w:rPr>
        <w:t xml:space="preserve">The TT DMP meeting </w:t>
      </w:r>
      <w:r w:rsidRPr="00733E87">
        <w:rPr>
          <w:rFonts w:ascii="Aptos" w:eastAsia="Aptos" w:hAnsi="Aptos" w:cs="Aptos"/>
          <w:i/>
          <w:snapToGrid/>
          <w:lang w:val="en-US"/>
        </w:rPr>
        <w:t>ran out of time</w:t>
      </w:r>
      <w:r w:rsidRPr="00733E87">
        <w:rPr>
          <w:rFonts w:ascii="Aptos" w:eastAsia="Aptos" w:hAnsi="Aptos" w:cs="Aptos"/>
          <w:b/>
          <w:i/>
          <w:snapToGrid/>
          <w:lang w:val="en-US"/>
        </w:rPr>
        <w:t xml:space="preserve"> </w:t>
      </w:r>
      <w:r w:rsidRPr="00733E87">
        <w:rPr>
          <w:rFonts w:ascii="Aptos" w:eastAsia="Aptos" w:hAnsi="Aptos" w:cs="Aptos"/>
          <w:i/>
          <w:snapToGrid/>
          <w:lang w:val="en-US"/>
        </w:rPr>
        <w:t xml:space="preserve">and could not address </w:t>
      </w:r>
      <w:r w:rsidRPr="00733E87">
        <w:rPr>
          <w:rFonts w:ascii="Aptos" w:eastAsia="Aptos" w:hAnsi="Aptos" w:cs="Aptos"/>
          <w:snapToGrid/>
          <w:lang w:val="en-US"/>
        </w:rPr>
        <w:t xml:space="preserve">the remaining questions, which are important to be discussed. These remaining questions were focusing on </w:t>
      </w:r>
      <w:r w:rsidRPr="00733E87">
        <w:rPr>
          <w:rFonts w:ascii="Aptos" w:eastAsia="Aptos" w:hAnsi="Aptos" w:cs="Aptos"/>
          <w:snapToGrid/>
          <w:lang w:val="en-US"/>
        </w:rPr>
        <w:lastRenderedPageBreak/>
        <w:t>reviewing the progress which has been discussed and recommended during the Meeting</w:t>
      </w:r>
      <w:r w:rsidRPr="00733E87">
        <w:rPr>
          <w:rFonts w:ascii="Aptos" w:eastAsia="Arial" w:hAnsi="Aptos" w:cs="Arial"/>
          <w:snapToGrid/>
          <w:lang w:val="en-US"/>
        </w:rPr>
        <w:t xml:space="preserve"> on Disaster Management and Preparedness of TOWS WG XVIII, Sendai Japan, </w:t>
      </w:r>
      <w:r w:rsidRPr="00733E87">
        <w:rPr>
          <w:rFonts w:ascii="Aptos" w:eastAsia="Aptos" w:hAnsi="Aptos" w:cs="Aptos"/>
          <w:snapToGrid/>
          <w:color w:val="222222"/>
          <w:lang w:val="en-US"/>
        </w:rPr>
        <w:t xml:space="preserve">19 - 20 </w:t>
      </w:r>
      <w:r w:rsidRPr="00733E87">
        <w:rPr>
          <w:rFonts w:ascii="Aptos" w:eastAsia="Arial" w:hAnsi="Aptos" w:cs="Arial"/>
          <w:snapToGrid/>
          <w:lang w:val="en-US"/>
        </w:rPr>
        <w:t>February 2024. Meanwhile, there is a new tool that has been developed in the Indian Ocean based UNESCO IOC survey after the Palu Tsunami event.</w:t>
      </w:r>
    </w:p>
    <w:p w14:paraId="21F8969A" w14:textId="77777777" w:rsidR="00733E87" w:rsidRPr="00733E87" w:rsidRDefault="00733E87" w:rsidP="00733E87">
      <w:pPr>
        <w:tabs>
          <w:tab w:val="clear" w:pos="709"/>
        </w:tabs>
        <w:snapToGrid/>
        <w:spacing w:after="160" w:line="278" w:lineRule="auto"/>
        <w:rPr>
          <w:rFonts w:ascii="Aptos" w:eastAsia="Arial" w:hAnsi="Aptos" w:cs="Arial"/>
          <w:snapToGrid/>
          <w:lang w:val="en-US"/>
        </w:rPr>
      </w:pPr>
      <w:r w:rsidRPr="00733E87">
        <w:rPr>
          <w:rFonts w:ascii="Aptos" w:eastAsia="Arial" w:hAnsi="Aptos" w:cs="Arial"/>
          <w:snapToGrid/>
          <w:lang w:val="en-US"/>
        </w:rPr>
        <w:t>The remaining key questions are:</w:t>
      </w:r>
    </w:p>
    <w:p w14:paraId="58B64CB0" w14:textId="77777777" w:rsidR="00733E87" w:rsidRPr="00733E87" w:rsidRDefault="00733E87" w:rsidP="00733E87">
      <w:pPr>
        <w:tabs>
          <w:tab w:val="clear" w:pos="709"/>
        </w:tabs>
        <w:snapToGrid/>
        <w:spacing w:after="160" w:line="278" w:lineRule="auto"/>
        <w:ind w:left="720"/>
        <w:jc w:val="both"/>
        <w:rPr>
          <w:rFonts w:ascii="Aptos" w:eastAsia="Arial" w:hAnsi="Aptos" w:cs="Arial"/>
          <w:snapToGrid/>
          <w:lang w:val="en-US"/>
        </w:rPr>
      </w:pPr>
      <w:r w:rsidRPr="00733E87">
        <w:rPr>
          <w:rFonts w:ascii="Aptos" w:eastAsia="Arial" w:hAnsi="Aptos" w:cs="Arial"/>
          <w:b/>
          <w:snapToGrid/>
          <w:lang w:val="en-US"/>
        </w:rPr>
        <w:t xml:space="preserve">Key Question 3: </w:t>
      </w:r>
      <w:r w:rsidRPr="00733E87">
        <w:rPr>
          <w:rFonts w:ascii="Aptos" w:eastAsia="Arial" w:hAnsi="Aptos" w:cs="Arial"/>
          <w:i/>
          <w:snapToGrid/>
          <w:lang w:val="en-US"/>
        </w:rPr>
        <w:t xml:space="preserve">How to deal with other interests &amp; complex and </w:t>
      </w:r>
      <w:proofErr w:type="gramStart"/>
      <w:r w:rsidRPr="00733E87">
        <w:rPr>
          <w:rFonts w:ascii="Aptos" w:eastAsia="Arial" w:hAnsi="Aptos" w:cs="Arial"/>
          <w:i/>
          <w:snapToGrid/>
          <w:lang w:val="en-US"/>
        </w:rPr>
        <w:t>particular situations</w:t>
      </w:r>
      <w:proofErr w:type="gramEnd"/>
      <w:r w:rsidRPr="00733E87">
        <w:rPr>
          <w:rFonts w:ascii="Aptos" w:eastAsia="Arial" w:hAnsi="Aptos" w:cs="Arial"/>
          <w:i/>
          <w:snapToGrid/>
          <w:lang w:val="en-US"/>
        </w:rPr>
        <w:t xml:space="preserve"> (entire coast, schools etc.?) - supposed to be presented by Dr. Denis Chang Seng</w:t>
      </w:r>
    </w:p>
    <w:p w14:paraId="64A8E55C" w14:textId="77777777" w:rsidR="00733E87" w:rsidRPr="00733E87" w:rsidRDefault="00733E87" w:rsidP="00733E87">
      <w:pPr>
        <w:tabs>
          <w:tab w:val="clear" w:pos="709"/>
        </w:tabs>
        <w:snapToGrid/>
        <w:spacing w:after="160" w:line="278" w:lineRule="auto"/>
        <w:ind w:left="720"/>
        <w:jc w:val="both"/>
        <w:rPr>
          <w:rFonts w:ascii="Aptos" w:eastAsia="Arial" w:hAnsi="Aptos" w:cs="Arial"/>
          <w:i/>
          <w:snapToGrid/>
          <w:lang w:val="en-US"/>
        </w:rPr>
      </w:pPr>
      <w:r w:rsidRPr="00733E87">
        <w:rPr>
          <w:rFonts w:ascii="Aptos" w:eastAsia="Arial" w:hAnsi="Aptos" w:cs="Arial"/>
          <w:b/>
          <w:snapToGrid/>
          <w:lang w:val="en-US"/>
        </w:rPr>
        <w:t xml:space="preserve">Key Question 4: </w:t>
      </w:r>
      <w:r w:rsidRPr="00733E87">
        <w:rPr>
          <w:rFonts w:ascii="Aptos" w:eastAsia="Arial" w:hAnsi="Aptos" w:cs="Arial"/>
          <w:i/>
          <w:snapToGrid/>
          <w:lang w:val="en-US"/>
        </w:rPr>
        <w:t>How to deal with the interest and needs of critical infrastructure, i.e. airport and port - supposed to be presented by Dr. Harkunti P. Rahayu (Note the guideline is in progress is planned to be tested using SUSTAIN (</w:t>
      </w:r>
      <w:proofErr w:type="spellStart"/>
      <w:r w:rsidRPr="00733E87">
        <w:rPr>
          <w:rFonts w:ascii="Aptos" w:eastAsia="Arial" w:hAnsi="Aptos" w:cs="Arial"/>
          <w:i/>
          <w:snapToGrid/>
          <w:lang w:val="en-US"/>
        </w:rPr>
        <w:t>tSUnami</w:t>
      </w:r>
      <w:proofErr w:type="spellEnd"/>
      <w:r w:rsidRPr="00733E87">
        <w:rPr>
          <w:rFonts w:ascii="Aptos" w:eastAsia="Arial" w:hAnsi="Aptos" w:cs="Arial"/>
          <w:i/>
          <w:snapToGrid/>
          <w:lang w:val="en-US"/>
        </w:rPr>
        <w:t xml:space="preserve"> </w:t>
      </w:r>
      <w:proofErr w:type="spellStart"/>
      <w:r w:rsidRPr="00733E87">
        <w:rPr>
          <w:rFonts w:ascii="Aptos" w:eastAsia="Arial" w:hAnsi="Aptos" w:cs="Arial"/>
          <w:i/>
          <w:snapToGrid/>
          <w:lang w:val="en-US"/>
        </w:rPr>
        <w:t>reSilient</w:t>
      </w:r>
      <w:proofErr w:type="spellEnd"/>
      <w:r w:rsidRPr="00733E87">
        <w:rPr>
          <w:rFonts w:ascii="Aptos" w:eastAsia="Arial" w:hAnsi="Aptos" w:cs="Arial"/>
          <w:i/>
          <w:snapToGrid/>
          <w:lang w:val="en-US"/>
        </w:rPr>
        <w:t xml:space="preserve"> </w:t>
      </w:r>
      <w:proofErr w:type="spellStart"/>
      <w:r w:rsidRPr="00733E87">
        <w:rPr>
          <w:rFonts w:ascii="Aptos" w:eastAsia="Arial" w:hAnsi="Aptos" w:cs="Arial"/>
          <w:i/>
          <w:snapToGrid/>
          <w:lang w:val="en-US"/>
        </w:rPr>
        <w:t>criTical</w:t>
      </w:r>
      <w:proofErr w:type="spellEnd"/>
      <w:r w:rsidRPr="00733E87">
        <w:rPr>
          <w:rFonts w:ascii="Aptos" w:eastAsia="Arial" w:hAnsi="Aptos" w:cs="Arial"/>
          <w:i/>
          <w:snapToGrid/>
          <w:lang w:val="en-US"/>
        </w:rPr>
        <w:t xml:space="preserve"> </w:t>
      </w:r>
      <w:proofErr w:type="spellStart"/>
      <w:r w:rsidRPr="00733E87">
        <w:rPr>
          <w:rFonts w:ascii="Aptos" w:eastAsia="Arial" w:hAnsi="Aptos" w:cs="Arial"/>
          <w:i/>
          <w:snapToGrid/>
          <w:lang w:val="en-US"/>
        </w:rPr>
        <w:t>INfrastructure</w:t>
      </w:r>
      <w:proofErr w:type="spellEnd"/>
      <w:r w:rsidRPr="00733E87">
        <w:rPr>
          <w:rFonts w:ascii="Aptos" w:eastAsia="Arial" w:hAnsi="Aptos" w:cs="Arial"/>
          <w:i/>
          <w:snapToGrid/>
          <w:lang w:val="en-US"/>
        </w:rPr>
        <w:t xml:space="preserve">) proposal in several Indian Ocean countries), and Ignacio Aguirre Ayerbe (Tsunami risk assessment in ports; current methodology being developed at </w:t>
      </w:r>
      <w:proofErr w:type="spellStart"/>
      <w:r w:rsidRPr="00733E87">
        <w:rPr>
          <w:rFonts w:ascii="Aptos" w:eastAsia="Arial" w:hAnsi="Aptos" w:cs="Arial"/>
          <w:i/>
          <w:snapToGrid/>
          <w:lang w:val="en-US"/>
        </w:rPr>
        <w:t>IHCantabria</w:t>
      </w:r>
      <w:proofErr w:type="spellEnd"/>
      <w:r w:rsidRPr="00733E87">
        <w:rPr>
          <w:rFonts w:ascii="Aptos" w:eastAsia="Arial" w:hAnsi="Aptos" w:cs="Arial"/>
          <w:i/>
          <w:snapToGrid/>
          <w:lang w:val="en-US"/>
        </w:rPr>
        <w:t>).</w:t>
      </w:r>
    </w:p>
    <w:p w14:paraId="3E73EA11" w14:textId="77777777" w:rsidR="00733E87" w:rsidRPr="00733E87" w:rsidRDefault="00733E87" w:rsidP="00733E87">
      <w:pPr>
        <w:tabs>
          <w:tab w:val="clear" w:pos="709"/>
        </w:tabs>
        <w:snapToGrid/>
        <w:spacing w:after="160" w:line="278" w:lineRule="auto"/>
        <w:ind w:left="720"/>
        <w:jc w:val="both"/>
        <w:rPr>
          <w:rFonts w:ascii="Aptos" w:eastAsia="Arial" w:hAnsi="Aptos" w:cs="Arial"/>
          <w:i/>
          <w:snapToGrid/>
          <w:lang w:val="en-US"/>
        </w:rPr>
      </w:pPr>
      <w:r w:rsidRPr="00733E87">
        <w:rPr>
          <w:rFonts w:ascii="Aptos" w:eastAsia="Arial" w:hAnsi="Aptos" w:cs="Arial"/>
          <w:b/>
          <w:snapToGrid/>
          <w:lang w:val="en-US"/>
        </w:rPr>
        <w:t xml:space="preserve">Key Question 5: </w:t>
      </w:r>
      <w:r w:rsidRPr="00733E87">
        <w:rPr>
          <w:rFonts w:ascii="Aptos" w:eastAsia="Arial" w:hAnsi="Aptos" w:cs="Arial"/>
          <w:i/>
          <w:snapToGrid/>
          <w:lang w:val="en-US"/>
        </w:rPr>
        <w:t>How to deal with the interest and needs of hazardous vital infrastructure, i.e. industrial zone, power plan - supposed to be presented by Dr. Harkunti P. Rahayu. (Note it is ongoing progress).</w:t>
      </w:r>
    </w:p>
    <w:p w14:paraId="7FE75A60" w14:textId="77777777" w:rsidR="00733E87" w:rsidRPr="00733E87" w:rsidRDefault="00733E87" w:rsidP="00733E87">
      <w:pPr>
        <w:tabs>
          <w:tab w:val="clear" w:pos="709"/>
        </w:tabs>
        <w:snapToGrid/>
        <w:spacing w:after="160" w:line="278" w:lineRule="auto"/>
        <w:ind w:left="720"/>
        <w:jc w:val="both"/>
        <w:rPr>
          <w:rFonts w:ascii="Aptos" w:eastAsia="Arial" w:hAnsi="Aptos" w:cs="Arial"/>
          <w:i/>
          <w:snapToGrid/>
          <w:lang w:val="en-US"/>
        </w:rPr>
      </w:pPr>
      <w:r w:rsidRPr="00733E87">
        <w:rPr>
          <w:rFonts w:ascii="Aptos" w:eastAsia="Arial" w:hAnsi="Aptos" w:cs="Arial"/>
          <w:b/>
          <w:snapToGrid/>
          <w:lang w:val="en-US"/>
        </w:rPr>
        <w:t xml:space="preserve">Key Question 6: </w:t>
      </w:r>
      <w:r w:rsidRPr="00733E87">
        <w:rPr>
          <w:rFonts w:ascii="Aptos" w:eastAsia="Arial" w:hAnsi="Aptos" w:cs="Arial"/>
          <w:i/>
          <w:snapToGrid/>
          <w:lang w:val="en-US"/>
        </w:rPr>
        <w:t>TR Evaluation Survey and the Tsunami Event Post Assessment Questionnaire was also proposed.</w:t>
      </w:r>
    </w:p>
    <w:p w14:paraId="69830AA9" w14:textId="77777777" w:rsidR="00733E87" w:rsidRPr="00733E87" w:rsidRDefault="00733E87" w:rsidP="00733E87">
      <w:pPr>
        <w:keepNext/>
        <w:keepLines/>
        <w:numPr>
          <w:ilvl w:val="0"/>
          <w:numId w:val="130"/>
        </w:numPr>
        <w:tabs>
          <w:tab w:val="clear" w:pos="709"/>
        </w:tabs>
        <w:snapToGrid/>
        <w:spacing w:before="360" w:after="80" w:line="278" w:lineRule="auto"/>
        <w:ind w:left="0" w:firstLine="0"/>
        <w:outlineLvl w:val="0"/>
        <w:rPr>
          <w:rFonts w:ascii="Aptos" w:eastAsia="Play" w:hAnsi="Aptos" w:cs="Play"/>
          <w:snapToGrid/>
          <w:color w:val="0F4761"/>
          <w:lang w:val="en-US"/>
        </w:rPr>
      </w:pPr>
      <w:bookmarkStart w:id="202" w:name="_Toc193832083"/>
      <w:bookmarkStart w:id="203" w:name="_Toc195258124"/>
      <w:r w:rsidRPr="00733E87">
        <w:rPr>
          <w:rFonts w:ascii="Aptos" w:eastAsia="Play" w:hAnsi="Aptos" w:cs="Play"/>
          <w:snapToGrid/>
          <w:color w:val="0F4761"/>
          <w:lang w:val="en-US"/>
        </w:rPr>
        <w:t>5.0 EDUCATION AND WORLD TSUNAMI AWARENESS DAY 2024 AND PLANNING FOR 2025</w:t>
      </w:r>
      <w:bookmarkEnd w:id="202"/>
      <w:bookmarkEnd w:id="203"/>
    </w:p>
    <w:p w14:paraId="633CE3E9" w14:textId="77777777" w:rsidR="00733E87" w:rsidRPr="00733E87" w:rsidRDefault="00733E87" w:rsidP="00733E87">
      <w:pPr>
        <w:tabs>
          <w:tab w:val="clear" w:pos="709"/>
        </w:tabs>
        <w:snapToGrid/>
        <w:spacing w:after="160" w:line="278" w:lineRule="auto"/>
        <w:jc w:val="both"/>
        <w:rPr>
          <w:rFonts w:ascii="Aptos" w:eastAsia="Arial" w:hAnsi="Aptos" w:cs="Arial"/>
          <w:snapToGrid/>
          <w:color w:val="262626"/>
          <w:lang w:val="en-US"/>
        </w:rPr>
      </w:pPr>
      <w:proofErr w:type="spellStart"/>
      <w:r w:rsidRPr="00733E87">
        <w:rPr>
          <w:rFonts w:ascii="Aptos" w:eastAsia="Arial" w:hAnsi="Aptos" w:cs="Arial"/>
          <w:snapToGrid/>
          <w:color w:val="262626"/>
          <w:lang w:val="en-US"/>
        </w:rPr>
        <w:t>Mrs</w:t>
      </w:r>
      <w:proofErr w:type="spellEnd"/>
      <w:r w:rsidRPr="00733E87">
        <w:rPr>
          <w:rFonts w:ascii="Aptos" w:eastAsia="Arial" w:hAnsi="Aptos" w:cs="Arial"/>
          <w:snapToGrid/>
          <w:color w:val="262626"/>
          <w:lang w:val="en-US"/>
        </w:rPr>
        <w:t xml:space="preserve"> Regina Khanbekova from UNDRR reported on </w:t>
      </w:r>
      <w:proofErr w:type="gramStart"/>
      <w:r w:rsidRPr="00733E87">
        <w:rPr>
          <w:rFonts w:ascii="Aptos" w:eastAsia="Arial" w:hAnsi="Aptos" w:cs="Arial"/>
          <w:snapToGrid/>
          <w:color w:val="262626"/>
          <w:lang w:val="en-US"/>
        </w:rPr>
        <w:t>the WTAD</w:t>
      </w:r>
      <w:proofErr w:type="gramEnd"/>
      <w:r w:rsidRPr="00733E87">
        <w:rPr>
          <w:rFonts w:ascii="Aptos" w:eastAsia="Arial" w:hAnsi="Aptos" w:cs="Arial"/>
          <w:snapToGrid/>
          <w:color w:val="262626"/>
          <w:lang w:val="en-US"/>
        </w:rPr>
        <w:t xml:space="preserve">. She highlighted UNDRR’s communication priorities relevant for the TT DMP work on Safe Schools (GP2025 Ministerial Session), the EW4ALL initiative, and Innovative Financing for DRR.  UNDRR invited UNESCO to co-develop the WTAD 2025 theme, potentially related to Innovative Financing for DRR but not limited by it. Key WTAD activities include ongoing efforts under the #GetToHighGround initiative, aimed at connecting high level political support to real change making people safer. UNDRR has expressed its interest to bolster a connection between the Tsunami Ready Programme and #GetToHighGround Campaign. </w:t>
      </w:r>
    </w:p>
    <w:p w14:paraId="32005EC7"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rial" w:hAnsi="Aptos" w:cs="Arial"/>
          <w:snapToGrid/>
          <w:lang w:val="en-US"/>
        </w:rPr>
        <w:t xml:space="preserve">It was noted that the 5th ODTP-SC, 16-17 January 2025 proposed making "Tsunami Ready" a permanent theme of the World Tsunami Awareness Day, </w:t>
      </w:r>
      <w:proofErr w:type="gramStart"/>
      <w:r w:rsidRPr="00733E87">
        <w:rPr>
          <w:rFonts w:ascii="Aptos" w:eastAsia="Arial" w:hAnsi="Aptos" w:cs="Arial"/>
          <w:snapToGrid/>
          <w:lang w:val="en-US"/>
        </w:rPr>
        <w:t>similar</w:t>
      </w:r>
      <w:r w:rsidRPr="00733E87">
        <w:rPr>
          <w:rFonts w:ascii="Aptos" w:eastAsia="Aptos" w:hAnsi="Aptos" w:cs="Aptos"/>
          <w:snapToGrid/>
          <w:lang w:val="en-US"/>
        </w:rPr>
        <w:t xml:space="preserve"> to</w:t>
      </w:r>
      <w:proofErr w:type="gramEnd"/>
      <w:r w:rsidRPr="00733E87">
        <w:rPr>
          <w:rFonts w:ascii="Aptos" w:eastAsia="Aptos" w:hAnsi="Aptos" w:cs="Aptos"/>
          <w:snapToGrid/>
          <w:lang w:val="en-US"/>
        </w:rPr>
        <w:t xml:space="preserve"> initiatives like </w:t>
      </w:r>
      <w:r w:rsidRPr="00733E87">
        <w:rPr>
          <w:rFonts w:ascii="Aptos" w:eastAsia="Aptos" w:hAnsi="Aptos" w:cs="Aptos"/>
          <w:i/>
          <w:snapToGrid/>
          <w:lang w:val="en-US"/>
        </w:rPr>
        <w:t>Safe Schools</w:t>
      </w:r>
      <w:r w:rsidRPr="00733E87">
        <w:rPr>
          <w:rFonts w:ascii="Aptos" w:eastAsia="Aptos" w:hAnsi="Aptos" w:cs="Aptos"/>
          <w:snapToGrid/>
          <w:lang w:val="en-US"/>
        </w:rPr>
        <w:t>, aligning with ODTP's high-level objective 2. The proposed theme could also be linked to cooperation and partnerships, including the TRC ‘</w:t>
      </w:r>
      <w:r w:rsidRPr="00733E87">
        <w:rPr>
          <w:rFonts w:ascii="Aptos" w:eastAsia="Aptos" w:hAnsi="Aptos" w:cs="Aptos"/>
          <w:i/>
          <w:snapToGrid/>
          <w:lang w:val="en-US"/>
        </w:rPr>
        <w:t>Ambassador</w:t>
      </w:r>
      <w:r w:rsidRPr="00733E87">
        <w:rPr>
          <w:rFonts w:ascii="Aptos" w:eastAsia="Aptos" w:hAnsi="Aptos" w:cs="Aptos"/>
          <w:snapToGrid/>
          <w:lang w:val="en-US"/>
        </w:rPr>
        <w:t>’ initiative or similar and public-private collaborations.</w:t>
      </w:r>
    </w:p>
    <w:p w14:paraId="5340B8CE"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snapToGrid/>
          <w:lang w:val="en-US"/>
        </w:rPr>
      </w:pPr>
      <w:r w:rsidRPr="00733E87">
        <w:rPr>
          <w:rFonts w:ascii="Aptos" w:eastAsia="Aptos" w:hAnsi="Aptos" w:cs="Aptos"/>
          <w:b/>
          <w:snapToGrid/>
          <w:color w:val="0070C0"/>
          <w:lang w:val="en-US"/>
        </w:rPr>
        <w:t xml:space="preserve">Recommendations </w:t>
      </w:r>
      <w:proofErr w:type="gramStart"/>
      <w:r w:rsidRPr="00733E87">
        <w:rPr>
          <w:rFonts w:ascii="Aptos" w:eastAsia="Aptos" w:hAnsi="Aptos" w:cs="Aptos"/>
          <w:b/>
          <w:snapToGrid/>
          <w:color w:val="0070C0"/>
          <w:lang w:val="en-US"/>
        </w:rPr>
        <w:t>to</w:t>
      </w:r>
      <w:proofErr w:type="gramEnd"/>
      <w:r w:rsidRPr="00733E87">
        <w:rPr>
          <w:rFonts w:ascii="Aptos" w:eastAsia="Aptos" w:hAnsi="Aptos" w:cs="Aptos"/>
          <w:b/>
          <w:snapToGrid/>
          <w:color w:val="0070C0"/>
          <w:lang w:val="en-US"/>
        </w:rPr>
        <w:t xml:space="preserve"> TOWS WG </w:t>
      </w:r>
    </w:p>
    <w:p w14:paraId="74FE9FBC"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lastRenderedPageBreak/>
        <w:t>Recommends</w:t>
      </w:r>
      <w:r w:rsidRPr="00733E87">
        <w:rPr>
          <w:rFonts w:ascii="Aptos" w:eastAsia="Aptos" w:hAnsi="Aptos" w:cs="Aptos"/>
          <w:snapToGrid/>
          <w:lang w:val="en-US"/>
        </w:rPr>
        <w:t xml:space="preserve"> to UNDRR that ‘</w:t>
      </w:r>
      <w:r w:rsidRPr="00733E87">
        <w:rPr>
          <w:rFonts w:ascii="Aptos" w:eastAsia="Aptos" w:hAnsi="Aptos" w:cs="Aptos"/>
          <w:i/>
          <w:snapToGrid/>
          <w:lang w:val="en-US"/>
        </w:rPr>
        <w:t>Tsunami Ready</w:t>
      </w:r>
      <w:r w:rsidRPr="00733E87">
        <w:rPr>
          <w:rFonts w:ascii="Aptos" w:eastAsia="Aptos" w:hAnsi="Aptos" w:cs="Aptos"/>
          <w:snapToGrid/>
          <w:lang w:val="en-US"/>
        </w:rPr>
        <w:t xml:space="preserve">’ becomes a permanent WTAD Theme </w:t>
      </w:r>
      <w:proofErr w:type="gramStart"/>
      <w:r w:rsidRPr="00733E87">
        <w:rPr>
          <w:rFonts w:ascii="Aptos" w:eastAsia="Aptos" w:hAnsi="Aptos" w:cs="Aptos"/>
          <w:snapToGrid/>
          <w:lang w:val="en-US"/>
        </w:rPr>
        <w:t>similar to</w:t>
      </w:r>
      <w:proofErr w:type="gramEnd"/>
      <w:r w:rsidRPr="00733E87">
        <w:rPr>
          <w:rFonts w:ascii="Aptos" w:eastAsia="Aptos" w:hAnsi="Aptos" w:cs="Aptos"/>
          <w:snapToGrid/>
          <w:lang w:val="en-US"/>
        </w:rPr>
        <w:t xml:space="preserve"> Safe Schools and others.</w:t>
      </w:r>
    </w:p>
    <w:p w14:paraId="6742D486"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 xml:space="preserve">Further recommends </w:t>
      </w:r>
      <w:r w:rsidRPr="00733E87">
        <w:rPr>
          <w:rFonts w:ascii="Aptos" w:eastAsia="Aptos" w:hAnsi="Aptos" w:cs="Aptos"/>
          <w:snapToGrid/>
          <w:lang w:val="en-US"/>
        </w:rPr>
        <w:t>linking Tsunami Ready theme to collaboration, partnerships, public private partnerships and the proposed TRC Ambassador.</w:t>
      </w:r>
    </w:p>
    <w:p w14:paraId="09E001CF" w14:textId="77777777" w:rsidR="00733E87" w:rsidRPr="00733E87" w:rsidRDefault="00733E87" w:rsidP="00733E87">
      <w:pPr>
        <w:keepNext/>
        <w:keepLines/>
        <w:numPr>
          <w:ilvl w:val="0"/>
          <w:numId w:val="130"/>
        </w:numPr>
        <w:tabs>
          <w:tab w:val="clear" w:pos="709"/>
        </w:tabs>
        <w:snapToGrid/>
        <w:spacing w:before="360" w:after="80" w:line="278" w:lineRule="auto"/>
        <w:ind w:left="0" w:firstLine="0"/>
        <w:outlineLvl w:val="0"/>
        <w:rPr>
          <w:rFonts w:ascii="Aptos" w:eastAsia="Play" w:hAnsi="Aptos" w:cs="Play"/>
          <w:snapToGrid/>
          <w:color w:val="0F4761"/>
          <w:lang w:val="en-US"/>
        </w:rPr>
      </w:pPr>
      <w:bookmarkStart w:id="204" w:name="_Toc193832084"/>
      <w:bookmarkStart w:id="205" w:name="_Toc195258125"/>
      <w:r w:rsidRPr="00733E87">
        <w:rPr>
          <w:rFonts w:ascii="Aptos" w:eastAsia="Play" w:hAnsi="Aptos" w:cs="Play"/>
          <w:snapToGrid/>
          <w:color w:val="0F4761"/>
          <w:lang w:val="en-US"/>
        </w:rPr>
        <w:t>6.0 INCLUSIVE SOPs</w:t>
      </w:r>
      <w:bookmarkEnd w:id="204"/>
      <w:bookmarkEnd w:id="205"/>
    </w:p>
    <w:p w14:paraId="71B20F9A"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Dr. Harkunti presented the Inclusive Standard Operating Procedure (SOP) for the early warning system and tsunami evacuation for Special Schools for Disabilities. This includes inclusive warning devices/tools designed for disabled children and ensuring that special schools receive tsunami warnings. The action research project is funded by both the British Council and the Indonesian Ministry of Higher Education, Science, and Technology. Her presentation covered the development process of the inclusive SOP and warning devices/tools. She also introduced the evolving global terminology for disabled individuals, emphasizing the shift toward the term </w:t>
      </w:r>
      <w:proofErr w:type="spellStart"/>
      <w:r w:rsidRPr="00733E87">
        <w:rPr>
          <w:rFonts w:ascii="Aptos" w:eastAsia="Aptos" w:hAnsi="Aptos" w:cs="Aptos"/>
          <w:snapToGrid/>
          <w:lang w:val="en-US"/>
        </w:rPr>
        <w:t>difable</w:t>
      </w:r>
      <w:proofErr w:type="spellEnd"/>
      <w:r w:rsidRPr="00733E87">
        <w:rPr>
          <w:rFonts w:ascii="Aptos" w:eastAsia="Aptos" w:hAnsi="Aptos" w:cs="Aptos"/>
          <w:snapToGrid/>
          <w:lang w:val="en-US"/>
        </w:rPr>
        <w:t xml:space="preserve"> people—which refers to individuals with different functional abilities. While they can perform many tasks, they do so with varying capabilities. The challenges faced by disabled individuals during disasters, particularly tsunamis, were outlined as follows:</w:t>
      </w:r>
    </w:p>
    <w:p w14:paraId="570D89FE" w14:textId="77777777" w:rsidR="00733E87" w:rsidRPr="00733E87" w:rsidRDefault="00733E87" w:rsidP="00733E87">
      <w:pPr>
        <w:tabs>
          <w:tab w:val="clear" w:pos="709"/>
        </w:tabs>
        <w:snapToGrid/>
        <w:spacing w:after="160" w:line="278" w:lineRule="auto"/>
        <w:ind w:left="720"/>
        <w:jc w:val="both"/>
        <w:rPr>
          <w:rFonts w:ascii="Aptos" w:eastAsia="Aptos" w:hAnsi="Aptos" w:cs="Aptos"/>
          <w:snapToGrid/>
          <w:lang w:val="en-US"/>
        </w:rPr>
      </w:pPr>
      <w:r w:rsidRPr="00733E87">
        <w:rPr>
          <w:rFonts w:ascii="Aptos" w:eastAsia="Aptos" w:hAnsi="Aptos" w:cs="Aptos"/>
          <w:b/>
          <w:snapToGrid/>
          <w:lang w:val="en-US"/>
        </w:rPr>
        <w:t>Accessibility to warning information</w:t>
      </w:r>
      <w:r w:rsidRPr="00733E87">
        <w:rPr>
          <w:rFonts w:ascii="Aptos" w:eastAsia="Aptos" w:hAnsi="Aptos" w:cs="Aptos"/>
          <w:snapToGrid/>
          <w:lang w:val="en-US"/>
        </w:rPr>
        <w:t xml:space="preserve"> – Ensuring they receive alerts in time to respond effectively.</w:t>
      </w:r>
    </w:p>
    <w:p w14:paraId="3D73C9A3" w14:textId="77777777" w:rsidR="00733E87" w:rsidRPr="00733E87" w:rsidRDefault="00733E87" w:rsidP="00733E87">
      <w:pPr>
        <w:tabs>
          <w:tab w:val="clear" w:pos="709"/>
        </w:tabs>
        <w:snapToGrid/>
        <w:spacing w:after="160" w:line="278" w:lineRule="auto"/>
        <w:ind w:left="720"/>
        <w:jc w:val="both"/>
        <w:rPr>
          <w:rFonts w:ascii="Aptos" w:eastAsia="Aptos" w:hAnsi="Aptos" w:cs="Aptos"/>
          <w:snapToGrid/>
          <w:lang w:val="en-US"/>
        </w:rPr>
      </w:pPr>
      <w:r w:rsidRPr="00733E87">
        <w:rPr>
          <w:rFonts w:ascii="Aptos" w:eastAsia="Aptos" w:hAnsi="Aptos" w:cs="Aptos"/>
          <w:b/>
          <w:snapToGrid/>
          <w:lang w:val="en-US"/>
        </w:rPr>
        <w:t>Mobility for evacuation</w:t>
      </w:r>
      <w:r w:rsidRPr="00733E87">
        <w:rPr>
          <w:rFonts w:ascii="Aptos" w:eastAsia="Aptos" w:hAnsi="Aptos" w:cs="Aptos"/>
          <w:snapToGrid/>
          <w:lang w:val="en-US"/>
        </w:rPr>
        <w:t xml:space="preserve"> – Providing necessary support systems for safe evacuation. Different types of disabilities require different forms of assistance.</w:t>
      </w:r>
    </w:p>
    <w:p w14:paraId="1E0B4F6E" w14:textId="77777777" w:rsidR="00733E87" w:rsidRPr="00733E87" w:rsidRDefault="00733E87" w:rsidP="00733E87">
      <w:pPr>
        <w:tabs>
          <w:tab w:val="clear" w:pos="709"/>
        </w:tabs>
        <w:snapToGrid/>
        <w:spacing w:after="160" w:line="278" w:lineRule="auto"/>
        <w:ind w:left="720"/>
        <w:jc w:val="both"/>
        <w:rPr>
          <w:rFonts w:ascii="Aptos" w:eastAsia="Aptos" w:hAnsi="Aptos" w:cs="Aptos"/>
          <w:snapToGrid/>
          <w:lang w:val="en-US"/>
        </w:rPr>
      </w:pPr>
      <w:r w:rsidRPr="00733E87">
        <w:rPr>
          <w:rFonts w:ascii="Aptos" w:eastAsia="Aptos" w:hAnsi="Aptos" w:cs="Aptos"/>
          <w:b/>
          <w:snapToGrid/>
          <w:lang w:val="en-US"/>
        </w:rPr>
        <w:t>Communication</w:t>
      </w:r>
      <w:r w:rsidRPr="00733E87">
        <w:rPr>
          <w:rFonts w:ascii="Aptos" w:eastAsia="Aptos" w:hAnsi="Aptos" w:cs="Aptos"/>
          <w:snapToGrid/>
          <w:lang w:val="en-US"/>
        </w:rPr>
        <w:t xml:space="preserve"> – Implementing specialized systems to educate disabled individuals about tsunamis and the appropriate response actions.</w:t>
      </w:r>
    </w:p>
    <w:p w14:paraId="32F2E0F0"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At the conclusion of her research, the inclusive SOP and warning devices were tested through a tsunami simulation involving 12 special schools, the West Sumatra Province Disaster Management Office (DMO), Padang City Local Disaster Management Office (LDMO), the West Sumatra Province Education Department, and several NGOs focused on disability inclusion. The inclusive SOP was developed in three formats to optimize low-cost technology and cater to the needs of </w:t>
      </w:r>
      <w:proofErr w:type="spellStart"/>
      <w:r w:rsidRPr="00733E87">
        <w:rPr>
          <w:rFonts w:ascii="Aptos" w:eastAsia="Aptos" w:hAnsi="Aptos" w:cs="Aptos"/>
          <w:snapToGrid/>
          <w:lang w:val="en-US"/>
        </w:rPr>
        <w:t>difable</w:t>
      </w:r>
      <w:proofErr w:type="spellEnd"/>
      <w:r w:rsidRPr="00733E87">
        <w:rPr>
          <w:rFonts w:ascii="Aptos" w:eastAsia="Aptos" w:hAnsi="Aptos" w:cs="Aptos"/>
          <w:snapToGrid/>
          <w:lang w:val="en-US"/>
        </w:rPr>
        <w:t xml:space="preserve"> individuals, who comprise approximately 8.5% of Indonesia’s population (22.5 million people). The formats include:</w:t>
      </w:r>
    </w:p>
    <w:p w14:paraId="2AAC36F3" w14:textId="77777777" w:rsidR="00733E87" w:rsidRPr="00733E87" w:rsidRDefault="00733E87" w:rsidP="00733E87">
      <w:pPr>
        <w:tabs>
          <w:tab w:val="clear" w:pos="709"/>
        </w:tabs>
        <w:snapToGrid/>
        <w:spacing w:after="160" w:line="278" w:lineRule="auto"/>
        <w:ind w:left="720"/>
        <w:jc w:val="both"/>
        <w:rPr>
          <w:rFonts w:ascii="Aptos" w:eastAsia="Aptos" w:hAnsi="Aptos" w:cs="Aptos"/>
          <w:snapToGrid/>
          <w:lang w:val="en-US"/>
        </w:rPr>
      </w:pPr>
      <w:r w:rsidRPr="00733E87">
        <w:rPr>
          <w:rFonts w:ascii="Aptos" w:eastAsia="Aptos" w:hAnsi="Aptos" w:cs="Aptos"/>
          <w:b/>
          <w:snapToGrid/>
          <w:lang w:val="en-US"/>
        </w:rPr>
        <w:t xml:space="preserve">Audio-Video SOP </w:t>
      </w:r>
      <w:r w:rsidRPr="00733E87">
        <w:rPr>
          <w:rFonts w:ascii="Aptos" w:eastAsia="Aptos" w:hAnsi="Aptos" w:cs="Aptos"/>
          <w:snapToGrid/>
          <w:lang w:val="en-US"/>
        </w:rPr>
        <w:t>– This format provides step-by-step audio narration, beginning with the first milestone: earthquake shaking, which serves as the signal for self-evacuation, considering Indonesia's high risk of near-field tsunamis.</w:t>
      </w:r>
    </w:p>
    <w:p w14:paraId="2BC4C100"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The second milestone is the issuance of the first warning—earthquake information. The third milestone is confirmation of the tsunami reaching land while the fourth milestone is the "all-clear" signal, which aids search and rescue efforts.</w:t>
      </w:r>
    </w:p>
    <w:p w14:paraId="362CE3BC"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lastRenderedPageBreak/>
        <w:t xml:space="preserve">This audio-video SOP is designed to clearly guide </w:t>
      </w:r>
      <w:proofErr w:type="spellStart"/>
      <w:r w:rsidRPr="00733E87">
        <w:rPr>
          <w:rFonts w:ascii="Aptos" w:eastAsia="Aptos" w:hAnsi="Aptos" w:cs="Aptos"/>
          <w:snapToGrid/>
          <w:lang w:val="en-US"/>
        </w:rPr>
        <w:t>difable</w:t>
      </w:r>
      <w:proofErr w:type="spellEnd"/>
      <w:r w:rsidRPr="00733E87">
        <w:rPr>
          <w:rFonts w:ascii="Aptos" w:eastAsia="Aptos" w:hAnsi="Aptos" w:cs="Aptos"/>
          <w:snapToGrid/>
          <w:lang w:val="en-US"/>
        </w:rPr>
        <w:t xml:space="preserve"> students, schoolteachers, and parents within school premises, ensuring they respond promptly to each milestone. Since time is critical in such emergencies, the SOP is also supported by sign language interpretation of the audio narration, making it accessible to students with hearing, vision, and physical impairments.</w:t>
      </w:r>
    </w:p>
    <w:p w14:paraId="732968C1" w14:textId="77777777" w:rsidR="00733E87" w:rsidRPr="00733E87" w:rsidRDefault="00733E87" w:rsidP="00733E87">
      <w:pPr>
        <w:tabs>
          <w:tab w:val="clear" w:pos="709"/>
        </w:tabs>
        <w:snapToGrid/>
        <w:spacing w:after="160" w:line="278" w:lineRule="auto"/>
        <w:ind w:left="720"/>
        <w:jc w:val="both"/>
        <w:rPr>
          <w:rFonts w:ascii="Aptos" w:eastAsia="Aptos" w:hAnsi="Aptos" w:cs="Aptos"/>
          <w:snapToGrid/>
          <w:lang w:val="en-US"/>
        </w:rPr>
      </w:pPr>
      <w:r w:rsidRPr="00733E87">
        <w:rPr>
          <w:rFonts w:ascii="Aptos" w:eastAsia="Aptos" w:hAnsi="Aptos" w:cs="Aptos"/>
          <w:b/>
          <w:snapToGrid/>
          <w:lang w:val="en-US"/>
        </w:rPr>
        <w:t>Hard Copy SOP</w:t>
      </w:r>
      <w:r w:rsidRPr="00733E87">
        <w:rPr>
          <w:rFonts w:ascii="Aptos" w:eastAsia="Aptos" w:hAnsi="Aptos" w:cs="Aptos"/>
          <w:snapToGrid/>
          <w:lang w:val="en-US"/>
        </w:rPr>
        <w:t xml:space="preserve"> – A printed version that can be used by schools for reference and training purposes.</w:t>
      </w:r>
    </w:p>
    <w:p w14:paraId="16A49C91" w14:textId="77777777" w:rsidR="00733E87" w:rsidRPr="00733E87" w:rsidRDefault="00733E87" w:rsidP="00733E87">
      <w:pPr>
        <w:tabs>
          <w:tab w:val="clear" w:pos="709"/>
        </w:tabs>
        <w:snapToGrid/>
        <w:spacing w:after="160" w:line="278" w:lineRule="auto"/>
        <w:ind w:left="720"/>
        <w:jc w:val="both"/>
        <w:rPr>
          <w:rFonts w:ascii="Aptos" w:eastAsia="Aptos" w:hAnsi="Aptos" w:cs="Aptos"/>
          <w:snapToGrid/>
          <w:lang w:val="en-US"/>
        </w:rPr>
      </w:pPr>
      <w:r w:rsidRPr="00733E87">
        <w:rPr>
          <w:rFonts w:ascii="Aptos" w:eastAsia="Aptos" w:hAnsi="Aptos" w:cs="Aptos"/>
          <w:b/>
          <w:snapToGrid/>
          <w:lang w:val="en-US"/>
        </w:rPr>
        <w:t xml:space="preserve">Inclusive Warning Tools/Devices </w:t>
      </w:r>
      <w:r w:rsidRPr="00733E87">
        <w:rPr>
          <w:rFonts w:ascii="Aptos" w:eastAsia="Aptos" w:hAnsi="Aptos" w:cs="Aptos"/>
          <w:snapToGrid/>
          <w:lang w:val="en-US"/>
        </w:rPr>
        <w:t xml:space="preserve">– A smartphone- and smartwatch-based warning system that uses vibration and sound-based alerts, catering to three categories of </w:t>
      </w:r>
      <w:proofErr w:type="spellStart"/>
      <w:r w:rsidRPr="00733E87">
        <w:rPr>
          <w:rFonts w:ascii="Aptos" w:eastAsia="Aptos" w:hAnsi="Aptos" w:cs="Aptos"/>
          <w:snapToGrid/>
          <w:lang w:val="en-US"/>
        </w:rPr>
        <w:t>difable</w:t>
      </w:r>
      <w:proofErr w:type="spellEnd"/>
      <w:r w:rsidRPr="00733E87">
        <w:rPr>
          <w:rFonts w:ascii="Aptos" w:eastAsia="Aptos" w:hAnsi="Aptos" w:cs="Aptos"/>
          <w:snapToGrid/>
          <w:lang w:val="en-US"/>
        </w:rPr>
        <w:t xml:space="preserve"> individuals.</w:t>
      </w:r>
    </w:p>
    <w:p w14:paraId="4417223E"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Looking ahead, the 2025 Indian Ocean Wave Exercise (IOWAVE) will include </w:t>
      </w:r>
      <w:proofErr w:type="spellStart"/>
      <w:r w:rsidRPr="00733E87">
        <w:rPr>
          <w:rFonts w:ascii="Aptos" w:eastAsia="Aptos" w:hAnsi="Aptos" w:cs="Aptos"/>
          <w:snapToGrid/>
          <w:lang w:val="en-US"/>
        </w:rPr>
        <w:t>difable</w:t>
      </w:r>
      <w:proofErr w:type="spellEnd"/>
      <w:r w:rsidRPr="00733E87">
        <w:rPr>
          <w:rFonts w:ascii="Aptos" w:eastAsia="Aptos" w:hAnsi="Aptos" w:cs="Aptos"/>
          <w:snapToGrid/>
          <w:lang w:val="en-US"/>
        </w:rPr>
        <w:t xml:space="preserve"> students and individuals. The inclusive SOP and warning tools will be introduced and tested on a larger scale during the Inter-Sessional Steering Group meeting in March 2025 and the ICG XV meeting in November 2025 in Jakarta.</w:t>
      </w:r>
    </w:p>
    <w:p w14:paraId="46898DDF"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With about 1.3 billion </w:t>
      </w:r>
      <w:proofErr w:type="spellStart"/>
      <w:r w:rsidRPr="00733E87">
        <w:rPr>
          <w:rFonts w:ascii="Aptos" w:eastAsia="Aptos" w:hAnsi="Aptos" w:cs="Aptos"/>
          <w:snapToGrid/>
          <w:lang w:val="en-US"/>
        </w:rPr>
        <w:t>difable</w:t>
      </w:r>
      <w:proofErr w:type="spellEnd"/>
      <w:r w:rsidRPr="00733E87">
        <w:rPr>
          <w:rFonts w:ascii="Aptos" w:eastAsia="Aptos" w:hAnsi="Aptos" w:cs="Aptos"/>
          <w:snapToGrid/>
          <w:lang w:val="en-US"/>
        </w:rPr>
        <w:t xml:space="preserve"> people in the world (16% of global population), inclusive SOP for tsunami warning and evacuation is significantly important to reach the second objective of UNESCO IOC ODTP “100 % people at risk should be prepared and resilient to tsunami by 2030”.</w:t>
      </w:r>
    </w:p>
    <w:p w14:paraId="26148CB0"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During discussion Dr. Laura Kong has proposed the possibility to support the existing school program.</w:t>
      </w:r>
    </w:p>
    <w:p w14:paraId="7D660C42"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b/>
          <w:snapToGrid/>
          <w:lang w:val="en-US"/>
        </w:rPr>
      </w:pPr>
      <w:r w:rsidRPr="00733E87">
        <w:rPr>
          <w:rFonts w:ascii="Aptos" w:eastAsia="Aptos" w:hAnsi="Aptos" w:cs="Aptos"/>
          <w:b/>
          <w:snapToGrid/>
          <w:color w:val="0070C0"/>
          <w:lang w:val="en-US"/>
        </w:rPr>
        <w:t>Recommendations to TOWS-WG</w:t>
      </w:r>
    </w:p>
    <w:p w14:paraId="4EF13563" w14:textId="77777777" w:rsidR="00733E87" w:rsidRPr="00733E87" w:rsidRDefault="00733E87" w:rsidP="00733E87">
      <w:pPr>
        <w:tabs>
          <w:tab w:val="clear" w:pos="709"/>
        </w:tabs>
        <w:snapToGrid/>
        <w:spacing w:after="160" w:line="278" w:lineRule="auto"/>
        <w:jc w:val="both"/>
        <w:rPr>
          <w:rFonts w:ascii="Aptos" w:eastAsia="Aptos" w:hAnsi="Aptos" w:cs="Aptos"/>
          <w:b/>
          <w:snapToGrid/>
          <w:lang w:val="en-US"/>
        </w:rPr>
      </w:pPr>
      <w:r w:rsidRPr="00733E87">
        <w:rPr>
          <w:rFonts w:ascii="Aptos" w:eastAsia="Aptos" w:hAnsi="Aptos" w:cs="Aptos"/>
          <w:b/>
          <w:snapToGrid/>
          <w:lang w:val="en-US"/>
        </w:rPr>
        <w:t>Appreciates</w:t>
      </w:r>
      <w:r w:rsidRPr="00733E87">
        <w:rPr>
          <w:rFonts w:ascii="Aptos" w:eastAsia="Aptos" w:hAnsi="Aptos" w:cs="Aptos"/>
          <w:snapToGrid/>
          <w:lang w:val="en-US"/>
        </w:rPr>
        <w:t xml:space="preserve"> the development of Inclusive SOP and Inclusive Warning Tools for </w:t>
      </w:r>
      <w:proofErr w:type="spellStart"/>
      <w:r w:rsidRPr="00733E87">
        <w:rPr>
          <w:rFonts w:ascii="Aptos" w:eastAsia="Aptos" w:hAnsi="Aptos" w:cs="Aptos"/>
          <w:snapToGrid/>
          <w:lang w:val="en-US"/>
        </w:rPr>
        <w:t>difable</w:t>
      </w:r>
      <w:proofErr w:type="spellEnd"/>
      <w:r w:rsidRPr="00733E87">
        <w:rPr>
          <w:rFonts w:ascii="Aptos" w:eastAsia="Aptos" w:hAnsi="Aptos" w:cs="Aptos"/>
          <w:snapToGrid/>
          <w:lang w:val="en-US"/>
        </w:rPr>
        <w:t xml:space="preserve"> children in Indonesia and the Caribbean. </w:t>
      </w:r>
    </w:p>
    <w:p w14:paraId="169A0915"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Recommends</w:t>
      </w:r>
      <w:r w:rsidRPr="00733E87">
        <w:rPr>
          <w:rFonts w:ascii="Aptos" w:eastAsia="Aptos" w:hAnsi="Aptos" w:cs="Aptos"/>
          <w:snapToGrid/>
          <w:lang w:val="en-US"/>
        </w:rPr>
        <w:t xml:space="preserve"> the Indonesian inclusive SOPs to be translated to English</w:t>
      </w:r>
    </w:p>
    <w:p w14:paraId="2E5B369C"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 xml:space="preserve">Encourages </w:t>
      </w:r>
      <w:r w:rsidRPr="00733E87">
        <w:rPr>
          <w:rFonts w:ascii="Aptos" w:eastAsia="Aptos" w:hAnsi="Aptos" w:cs="Aptos"/>
          <w:snapToGrid/>
          <w:lang w:val="en-US"/>
        </w:rPr>
        <w:t>further development of inclusive SOP as official guidelines of UNESCO IOC.</w:t>
      </w:r>
    </w:p>
    <w:p w14:paraId="7C4AB930" w14:textId="77777777" w:rsidR="00733E87" w:rsidRPr="00733E87" w:rsidRDefault="00733E87" w:rsidP="00733E87">
      <w:pPr>
        <w:keepNext/>
        <w:keepLines/>
        <w:numPr>
          <w:ilvl w:val="0"/>
          <w:numId w:val="130"/>
        </w:numPr>
        <w:tabs>
          <w:tab w:val="clear" w:pos="709"/>
        </w:tabs>
        <w:snapToGrid/>
        <w:spacing w:before="360" w:after="80" w:line="278" w:lineRule="auto"/>
        <w:ind w:left="0" w:firstLine="0"/>
        <w:outlineLvl w:val="0"/>
        <w:rPr>
          <w:rFonts w:ascii="Aptos" w:eastAsia="Play" w:hAnsi="Aptos" w:cs="Play"/>
          <w:snapToGrid/>
          <w:color w:val="0F4761"/>
          <w:lang w:val="en-US"/>
        </w:rPr>
      </w:pPr>
      <w:bookmarkStart w:id="206" w:name="_Toc193832085"/>
      <w:bookmarkStart w:id="207" w:name="_Toc195258126"/>
      <w:r w:rsidRPr="00733E87">
        <w:rPr>
          <w:rFonts w:ascii="Aptos" w:eastAsia="Play" w:hAnsi="Aptos" w:cs="Play"/>
          <w:snapToGrid/>
          <w:color w:val="0F4761"/>
          <w:lang w:val="en-US"/>
        </w:rPr>
        <w:t>7.0 REVISED TT DMP TOR</w:t>
      </w:r>
      <w:bookmarkEnd w:id="206"/>
      <w:bookmarkEnd w:id="207"/>
    </w:p>
    <w:p w14:paraId="59AF6152" w14:textId="77777777" w:rsidR="00733E87" w:rsidRPr="00733E87" w:rsidRDefault="00733E87" w:rsidP="00733E87">
      <w:pPr>
        <w:tabs>
          <w:tab w:val="clear" w:pos="709"/>
        </w:tabs>
        <w:snapToGrid/>
        <w:spacing w:after="160" w:line="278" w:lineRule="auto"/>
        <w:jc w:val="both"/>
        <w:rPr>
          <w:rFonts w:ascii="Aptos" w:eastAsia="Aptos" w:hAnsi="Aptos" w:cs="Aptos"/>
          <w:b/>
          <w:snapToGrid/>
          <w:color w:val="444444"/>
          <w:lang w:val="en-US"/>
        </w:rPr>
      </w:pPr>
      <w:r w:rsidRPr="00733E87">
        <w:rPr>
          <w:rFonts w:ascii="Aptos" w:eastAsia="Aptos" w:hAnsi="Aptos" w:cs="Aptos"/>
          <w:snapToGrid/>
          <w:lang w:val="en-US"/>
        </w:rPr>
        <w:t xml:space="preserve">The Chair requested members to provide their inputs to revise and finalize the TT DMP </w:t>
      </w:r>
      <w:proofErr w:type="spellStart"/>
      <w:r w:rsidRPr="00733E87">
        <w:rPr>
          <w:rFonts w:ascii="Aptos" w:eastAsia="Aptos" w:hAnsi="Aptos" w:cs="Aptos"/>
          <w:snapToGrid/>
          <w:lang w:val="en-US"/>
        </w:rPr>
        <w:t>ToR</w:t>
      </w:r>
      <w:proofErr w:type="spellEnd"/>
      <w:r w:rsidRPr="00733E87">
        <w:rPr>
          <w:rFonts w:ascii="Aptos" w:eastAsia="Aptos" w:hAnsi="Aptos" w:cs="Aptos"/>
          <w:snapToGrid/>
          <w:lang w:val="en-US"/>
        </w:rPr>
        <w:t xml:space="preserve"> which was made available via Google online document. The meeting recalled that </w:t>
      </w:r>
      <w:r w:rsidRPr="00733E87">
        <w:rPr>
          <w:rFonts w:ascii="Aptos" w:eastAsia="Aptos" w:hAnsi="Aptos" w:cs="Aptos"/>
          <w:snapToGrid/>
          <w:color w:val="222222"/>
          <w:lang w:val="en-US"/>
        </w:rPr>
        <w:t xml:space="preserve">TOWS TT DMP recommendation in Sendai, Japan, 19 - 20 February 2024 concerning the fact that many advances have been made, and new needs have been identified particularly concerning the implementation of the Tsunami Ready Programme, Ocean Decade Tsunami Programme, capacity building and coastal resilience etc.   since TT DMP </w:t>
      </w:r>
      <w:proofErr w:type="spellStart"/>
      <w:r w:rsidRPr="00733E87">
        <w:rPr>
          <w:rFonts w:ascii="Aptos" w:eastAsia="Aptos" w:hAnsi="Aptos" w:cs="Aptos"/>
          <w:snapToGrid/>
          <w:color w:val="222222"/>
          <w:lang w:val="en-US"/>
        </w:rPr>
        <w:t>ToR</w:t>
      </w:r>
      <w:proofErr w:type="spellEnd"/>
      <w:r w:rsidRPr="00733E87">
        <w:rPr>
          <w:rFonts w:ascii="Aptos" w:eastAsia="Aptos" w:hAnsi="Aptos" w:cs="Aptos"/>
          <w:snapToGrid/>
          <w:color w:val="222222"/>
          <w:lang w:val="en-US"/>
        </w:rPr>
        <w:t xml:space="preserve"> was prepared in 2010. </w:t>
      </w:r>
      <w:r w:rsidRPr="00733E87">
        <w:rPr>
          <w:rFonts w:ascii="Aptos" w:eastAsia="Aptos" w:hAnsi="Aptos" w:cs="Aptos"/>
          <w:b/>
          <w:snapToGrid/>
          <w:color w:val="444444"/>
          <w:lang w:val="en-US"/>
        </w:rPr>
        <w:t xml:space="preserve"> </w:t>
      </w:r>
    </w:p>
    <w:p w14:paraId="38355C6F" w14:textId="77777777" w:rsidR="00733E87" w:rsidRPr="00733E87" w:rsidRDefault="00733E87" w:rsidP="00733E87">
      <w:pPr>
        <w:tabs>
          <w:tab w:val="clear" w:pos="709"/>
        </w:tabs>
        <w:snapToGrid/>
        <w:spacing w:after="160" w:line="278" w:lineRule="auto"/>
        <w:jc w:val="center"/>
        <w:rPr>
          <w:rFonts w:ascii="Aptos" w:eastAsia="Aptos" w:hAnsi="Aptos" w:cs="Aptos"/>
          <w:b/>
          <w:snapToGrid/>
          <w:color w:val="444444"/>
          <w:lang w:val="en-US"/>
        </w:rPr>
      </w:pPr>
      <w:r w:rsidRPr="00733E87">
        <w:rPr>
          <w:rFonts w:ascii="Aptos" w:eastAsia="Aptos" w:hAnsi="Aptos" w:cs="Aptos"/>
          <w:b/>
          <w:snapToGrid/>
          <w:color w:val="444444"/>
          <w:lang w:val="en-US"/>
        </w:rPr>
        <w:t>REVISED TOR</w:t>
      </w:r>
    </w:p>
    <w:p w14:paraId="7227D966" w14:textId="77777777" w:rsidR="00733E87" w:rsidRPr="00733E87" w:rsidRDefault="00733E87" w:rsidP="00733E87">
      <w:pPr>
        <w:shd w:val="clear" w:color="auto" w:fill="FFFFFF"/>
        <w:tabs>
          <w:tab w:val="clear" w:pos="709"/>
        </w:tabs>
        <w:snapToGrid/>
        <w:spacing w:before="240" w:after="160" w:line="278" w:lineRule="auto"/>
        <w:jc w:val="center"/>
        <w:rPr>
          <w:rFonts w:ascii="Aptos" w:eastAsia="Aptos" w:hAnsi="Aptos" w:cs="Aptos"/>
          <w:b/>
          <w:snapToGrid/>
          <w:color w:val="444444"/>
          <w:lang w:val="en-US"/>
        </w:rPr>
      </w:pPr>
      <w:r w:rsidRPr="00733E87">
        <w:rPr>
          <w:rFonts w:ascii="Aptos" w:eastAsia="Aptos" w:hAnsi="Aptos" w:cs="Aptos"/>
          <w:b/>
          <w:snapToGrid/>
          <w:color w:val="444444"/>
          <w:lang w:val="en-US"/>
        </w:rPr>
        <w:lastRenderedPageBreak/>
        <w:t>NEW TOWS TASK TEAM TERMS OF REFERENCES ON</w:t>
      </w:r>
      <w:r w:rsidRPr="00733E87">
        <w:rPr>
          <w:rFonts w:ascii="Aptos" w:eastAsia="Aptos" w:hAnsi="Aptos" w:cs="Aptos"/>
          <w:b/>
          <w:snapToGrid/>
          <w:color w:val="444444"/>
          <w:lang w:val="en-US"/>
        </w:rPr>
        <w:br/>
        <w:t xml:space="preserve"> DISASTER MANAGEMENT AND PREPAREDNESS </w:t>
      </w:r>
    </w:p>
    <w:p w14:paraId="7DCC1E67" w14:textId="77777777" w:rsidR="00733E87" w:rsidRPr="00733E87" w:rsidRDefault="00733E87" w:rsidP="00733E87">
      <w:pPr>
        <w:shd w:val="clear" w:color="auto" w:fill="FFFFFF"/>
        <w:tabs>
          <w:tab w:val="clear" w:pos="709"/>
        </w:tabs>
        <w:snapToGrid/>
        <w:spacing w:before="240" w:after="160" w:line="278" w:lineRule="auto"/>
        <w:jc w:val="both"/>
        <w:rPr>
          <w:rFonts w:ascii="Aptos" w:eastAsia="Aptos" w:hAnsi="Aptos" w:cs="Aptos"/>
          <w:snapToGrid/>
          <w:color w:val="444444"/>
          <w:lang w:val="en-US"/>
        </w:rPr>
      </w:pPr>
      <w:r w:rsidRPr="00733E87">
        <w:rPr>
          <w:rFonts w:ascii="Aptos" w:eastAsia="Aptos" w:hAnsi="Aptos" w:cs="Aptos"/>
          <w:b/>
          <w:snapToGrid/>
          <w:color w:val="444444"/>
          <w:lang w:val="en-US"/>
        </w:rPr>
        <w:t xml:space="preserve">Notes </w:t>
      </w:r>
      <w:r w:rsidRPr="00733E87">
        <w:rPr>
          <w:rFonts w:ascii="Aptos" w:eastAsia="Aptos" w:hAnsi="Aptos" w:cs="Aptos"/>
          <w:snapToGrid/>
          <w:color w:val="444444"/>
          <w:lang w:val="en-US"/>
        </w:rPr>
        <w:t>through Resolution XXIV-14, the IOC Assembly at its 24th session decided on the establishment of a Working Group on Tsunamis and Other Hazards Related to Sea-Level Warning and Mitigation Systems (TOWS-WG). The group is tasked primarily to advise the IOC Governing Bodies on coordinated development and implementation activities of warning and mitigation systems for tsunamis and other hazards related to sea level of common priority to all Intergovernmental Coordination Groups of Regional Tsunami Warning and Mitigation Systems.</w:t>
      </w:r>
    </w:p>
    <w:p w14:paraId="1AB75B78" w14:textId="77777777" w:rsidR="00733E87" w:rsidRPr="00733E87" w:rsidRDefault="00733E87" w:rsidP="00733E87">
      <w:pPr>
        <w:shd w:val="clear" w:color="auto" w:fill="FFFFFF"/>
        <w:tabs>
          <w:tab w:val="clear" w:pos="709"/>
        </w:tabs>
        <w:snapToGrid/>
        <w:spacing w:before="240" w:after="160" w:line="278" w:lineRule="auto"/>
        <w:jc w:val="both"/>
        <w:rPr>
          <w:rFonts w:ascii="Aptos" w:eastAsia="Aptos" w:hAnsi="Aptos" w:cs="Aptos"/>
          <w:snapToGrid/>
          <w:color w:val="444444"/>
          <w:lang w:val="en-US"/>
        </w:rPr>
      </w:pPr>
      <w:r w:rsidRPr="00733E87">
        <w:rPr>
          <w:rFonts w:ascii="Aptos" w:eastAsia="Aptos" w:hAnsi="Aptos" w:cs="Aptos"/>
          <w:b/>
          <w:snapToGrid/>
          <w:color w:val="444444"/>
          <w:lang w:val="en-US"/>
        </w:rPr>
        <w:t>Further note</w:t>
      </w:r>
      <w:r w:rsidRPr="00733E87">
        <w:rPr>
          <w:rFonts w:ascii="Aptos" w:eastAsia="Aptos" w:hAnsi="Aptos" w:cs="Aptos"/>
          <w:snapToGrid/>
          <w:color w:val="444444"/>
          <w:lang w:val="en-US"/>
        </w:rPr>
        <w:t>s by its IOC Decision A-31/3.4.1 on Warning Mitigation Systems for Ocean Hazards, the IOC Assembly in 2021 reaffirmed the need for continued inter-ICG coordination through TOWS and the extended tenure of its two inter-ICG Task Teams on:</w:t>
      </w:r>
    </w:p>
    <w:p w14:paraId="073CBC6D" w14:textId="77777777" w:rsidR="00733E87" w:rsidRPr="00733E87" w:rsidRDefault="00733E87" w:rsidP="00733E87">
      <w:pPr>
        <w:numPr>
          <w:ilvl w:val="0"/>
          <w:numId w:val="139"/>
        </w:numPr>
        <w:shd w:val="clear" w:color="auto" w:fill="FFFFFF"/>
        <w:tabs>
          <w:tab w:val="clear" w:pos="709"/>
        </w:tabs>
        <w:snapToGrid/>
        <w:spacing w:before="240" w:after="240" w:line="278" w:lineRule="auto"/>
        <w:contextualSpacing/>
        <w:jc w:val="both"/>
        <w:rPr>
          <w:rFonts w:ascii="Aptos" w:eastAsia="Aptos" w:hAnsi="Aptos" w:cs="Aptos"/>
          <w:snapToGrid/>
          <w:color w:val="444444"/>
          <w:lang w:val="en-US"/>
        </w:rPr>
      </w:pPr>
      <w:r w:rsidRPr="00733E87">
        <w:rPr>
          <w:rFonts w:ascii="Aptos" w:eastAsia="Aptos" w:hAnsi="Aptos" w:cs="Aptos"/>
          <w:snapToGrid/>
          <w:color w:val="444444"/>
          <w:lang w:val="en-US"/>
        </w:rPr>
        <w:t>Disaster Management and Preparedness (DMP), and</w:t>
      </w:r>
    </w:p>
    <w:p w14:paraId="40154D0E" w14:textId="77777777" w:rsidR="00733E87" w:rsidRPr="00733E87" w:rsidRDefault="00733E87" w:rsidP="00733E87">
      <w:pPr>
        <w:numPr>
          <w:ilvl w:val="0"/>
          <w:numId w:val="139"/>
        </w:numPr>
        <w:shd w:val="clear" w:color="auto" w:fill="FFFFFF"/>
        <w:tabs>
          <w:tab w:val="clear" w:pos="709"/>
        </w:tabs>
        <w:snapToGrid/>
        <w:spacing w:before="240" w:after="240" w:line="278" w:lineRule="auto"/>
        <w:contextualSpacing/>
        <w:jc w:val="both"/>
        <w:rPr>
          <w:rFonts w:ascii="Aptos" w:eastAsia="Aptos" w:hAnsi="Aptos" w:cs="Aptos"/>
          <w:snapToGrid/>
          <w:color w:val="444444"/>
          <w:lang w:val="en-US"/>
        </w:rPr>
      </w:pPr>
      <w:r w:rsidRPr="00733E87">
        <w:rPr>
          <w:rFonts w:ascii="Aptos" w:eastAsia="Aptos" w:hAnsi="Aptos" w:cs="Aptos"/>
          <w:snapToGrid/>
          <w:color w:val="444444"/>
          <w:lang w:val="en-US"/>
        </w:rPr>
        <w:t>Tsunami Watch Operations (TWO).</w:t>
      </w:r>
    </w:p>
    <w:p w14:paraId="0C39F96A" w14:textId="77777777" w:rsidR="00733E87" w:rsidRPr="00733E87" w:rsidRDefault="00733E87" w:rsidP="00733E87">
      <w:pPr>
        <w:shd w:val="clear" w:color="auto" w:fill="FFFFFF"/>
        <w:tabs>
          <w:tab w:val="clear" w:pos="709"/>
        </w:tabs>
        <w:snapToGrid/>
        <w:spacing w:before="240" w:after="240" w:line="278" w:lineRule="auto"/>
        <w:jc w:val="both"/>
        <w:rPr>
          <w:rFonts w:ascii="Aptos" w:eastAsia="Aptos" w:hAnsi="Aptos" w:cs="Aptos"/>
          <w:snapToGrid/>
          <w:color w:val="222222"/>
          <w:lang w:val="en-US"/>
        </w:rPr>
      </w:pPr>
      <w:r w:rsidRPr="00733E87">
        <w:rPr>
          <w:rFonts w:ascii="Aptos" w:eastAsia="Aptos" w:hAnsi="Aptos" w:cs="Aptos"/>
          <w:b/>
          <w:snapToGrid/>
          <w:color w:val="222222"/>
          <w:lang w:val="en-US"/>
        </w:rPr>
        <w:t xml:space="preserve">Notes </w:t>
      </w:r>
      <w:r w:rsidRPr="00733E87">
        <w:rPr>
          <w:rFonts w:ascii="Aptos" w:eastAsia="Aptos" w:hAnsi="Aptos" w:cs="Aptos"/>
          <w:snapToGrid/>
          <w:color w:val="222222"/>
          <w:lang w:val="en-US"/>
        </w:rPr>
        <w:t>the TOWS TT DMP recommendation in Sendai, Japan, 19 - 20 February 2024</w:t>
      </w:r>
      <w:r w:rsidRPr="00733E87">
        <w:rPr>
          <w:rFonts w:ascii="Aptos" w:eastAsia="Aptos" w:hAnsi="Aptos" w:cs="Aptos"/>
          <w:i/>
          <w:snapToGrid/>
          <w:color w:val="222222"/>
          <w:lang w:val="en-US"/>
        </w:rPr>
        <w:t xml:space="preserve"> </w:t>
      </w:r>
      <w:r w:rsidRPr="00733E87">
        <w:rPr>
          <w:rFonts w:ascii="Aptos" w:eastAsia="Aptos" w:hAnsi="Aptos" w:cs="Aptos"/>
          <w:snapToGrid/>
          <w:color w:val="222222"/>
          <w:lang w:val="en-US"/>
        </w:rPr>
        <w:t xml:space="preserve">that many advances have been made, and new needs have been identified since TT DMP </w:t>
      </w:r>
      <w:proofErr w:type="spellStart"/>
      <w:r w:rsidRPr="00733E87">
        <w:rPr>
          <w:rFonts w:ascii="Aptos" w:eastAsia="Aptos" w:hAnsi="Aptos" w:cs="Aptos"/>
          <w:snapToGrid/>
          <w:color w:val="222222"/>
          <w:lang w:val="en-US"/>
        </w:rPr>
        <w:t>ToR</w:t>
      </w:r>
      <w:proofErr w:type="spellEnd"/>
      <w:r w:rsidRPr="00733E87">
        <w:rPr>
          <w:rFonts w:ascii="Aptos" w:eastAsia="Aptos" w:hAnsi="Aptos" w:cs="Aptos"/>
          <w:snapToGrid/>
          <w:color w:val="222222"/>
          <w:lang w:val="en-US"/>
        </w:rPr>
        <w:t xml:space="preserve"> was prepared and the recommendation to revise TT DMP Terms of Reference.</w:t>
      </w:r>
    </w:p>
    <w:p w14:paraId="27221D7E" w14:textId="77777777" w:rsidR="00733E87" w:rsidRPr="00733E87" w:rsidRDefault="00733E87" w:rsidP="00733E87">
      <w:pPr>
        <w:tabs>
          <w:tab w:val="clear" w:pos="709"/>
        </w:tabs>
        <w:snapToGrid/>
        <w:spacing w:before="240" w:after="240" w:line="278" w:lineRule="auto"/>
        <w:jc w:val="center"/>
        <w:rPr>
          <w:rFonts w:ascii="Aptos" w:eastAsia="Aptos" w:hAnsi="Aptos" w:cs="Aptos"/>
          <w:b/>
          <w:snapToGrid/>
          <w:color w:val="222222"/>
          <w:u w:val="single"/>
          <w:lang w:val="it-IT"/>
        </w:rPr>
      </w:pPr>
      <w:r w:rsidRPr="00733E87">
        <w:rPr>
          <w:rFonts w:ascii="Aptos" w:eastAsia="Aptos" w:hAnsi="Aptos" w:cs="Aptos"/>
          <w:b/>
          <w:snapToGrid/>
          <w:color w:val="222222"/>
          <w:u w:val="single"/>
          <w:lang w:val="it-IT"/>
        </w:rPr>
        <w:t>IOC/TOWS-WG-VI/3, Annex II</w:t>
      </w:r>
    </w:p>
    <w:p w14:paraId="62D23746" w14:textId="77777777" w:rsidR="00733E87" w:rsidRPr="00733E87" w:rsidRDefault="00733E87" w:rsidP="00733E87">
      <w:pPr>
        <w:tabs>
          <w:tab w:val="clear" w:pos="709"/>
        </w:tabs>
        <w:snapToGrid/>
        <w:spacing w:after="160" w:line="278" w:lineRule="auto"/>
        <w:jc w:val="center"/>
        <w:rPr>
          <w:rFonts w:ascii="Aptos" w:eastAsia="Aptos" w:hAnsi="Aptos" w:cs="Aptos"/>
          <w:snapToGrid/>
          <w:lang w:val="en-US"/>
        </w:rPr>
      </w:pPr>
      <w:bookmarkStart w:id="208" w:name="_2d82ezcj9gb2" w:colFirst="0" w:colLast="0"/>
      <w:bookmarkEnd w:id="208"/>
      <w:r w:rsidRPr="00733E87">
        <w:rPr>
          <w:rFonts w:ascii="Aptos" w:eastAsia="Aptos" w:hAnsi="Aptos" w:cs="Aptos"/>
          <w:snapToGrid/>
          <w:lang w:val="en-US"/>
        </w:rPr>
        <w:t>Updated Terms of References for Inter-ICG Task Teams</w:t>
      </w:r>
    </w:p>
    <w:p w14:paraId="359F63BA" w14:textId="77777777" w:rsidR="00733E87" w:rsidRPr="00733E87" w:rsidRDefault="00733E87" w:rsidP="00733E87">
      <w:pPr>
        <w:tabs>
          <w:tab w:val="clear" w:pos="709"/>
        </w:tabs>
        <w:snapToGrid/>
        <w:spacing w:before="240" w:after="240" w:line="278" w:lineRule="auto"/>
        <w:jc w:val="center"/>
        <w:rPr>
          <w:rFonts w:ascii="Aptos" w:eastAsia="Aptos" w:hAnsi="Aptos" w:cs="Aptos"/>
          <w:snapToGrid/>
          <w:color w:val="222222"/>
          <w:u w:val="single"/>
          <w:lang w:val="en-US"/>
        </w:rPr>
      </w:pPr>
      <w:r w:rsidRPr="00733E87">
        <w:rPr>
          <w:rFonts w:ascii="Aptos" w:eastAsia="Aptos" w:hAnsi="Aptos" w:cs="Aptos"/>
          <w:snapToGrid/>
          <w:color w:val="222222"/>
          <w:u w:val="single"/>
          <w:lang w:val="en-US"/>
        </w:rPr>
        <w:t>The Inter ICG Task Team on Disaster Management and Preparedness shall:</w:t>
      </w:r>
    </w:p>
    <w:p w14:paraId="3EC1B49B" w14:textId="77777777" w:rsidR="00733E87" w:rsidRPr="00733E87" w:rsidRDefault="00733E87" w:rsidP="00733E87">
      <w:pPr>
        <w:numPr>
          <w:ilvl w:val="0"/>
          <w:numId w:val="140"/>
        </w:numPr>
        <w:tabs>
          <w:tab w:val="clear" w:pos="709"/>
        </w:tabs>
        <w:snapToGrid/>
        <w:spacing w:before="240" w:after="120" w:line="278" w:lineRule="auto"/>
        <w:contextualSpacing/>
        <w:jc w:val="both"/>
        <w:rPr>
          <w:rFonts w:ascii="Aptos" w:eastAsia="Aptos" w:hAnsi="Aptos" w:cs="Aptos"/>
          <w:snapToGrid/>
          <w:color w:val="222222"/>
          <w:lang w:val="en-US"/>
        </w:rPr>
      </w:pPr>
      <w:r w:rsidRPr="00733E87">
        <w:rPr>
          <w:rFonts w:ascii="Aptos" w:eastAsia="Aptos" w:hAnsi="Aptos" w:cs="Aptos"/>
          <w:snapToGrid/>
          <w:color w:val="222222"/>
          <w:lang w:val="en-US"/>
        </w:rPr>
        <w:t>Facilitate in collaboration with key international stakeholders and organizations (such as</w:t>
      </w:r>
      <w:hyperlink r:id="rId70">
        <w:r w:rsidRPr="00733E87">
          <w:rPr>
            <w:rFonts w:ascii="Aptos" w:eastAsia="Aptos" w:hAnsi="Aptos" w:cs="Aptos"/>
            <w:snapToGrid/>
            <w:color w:val="1155CC"/>
            <w:lang w:val="en-US"/>
          </w:rPr>
          <w:t xml:space="preserve"> </w:t>
        </w:r>
      </w:hyperlink>
      <w:hyperlink r:id="rId71">
        <w:r w:rsidRPr="00733E87">
          <w:rPr>
            <w:rFonts w:ascii="Aptos" w:eastAsia="Aptos" w:hAnsi="Aptos" w:cs="Aptos"/>
            <w:snapToGrid/>
            <w:lang w:val="en-US"/>
          </w:rPr>
          <w:t>UNDRR</w:t>
        </w:r>
      </w:hyperlink>
      <w:hyperlink r:id="rId72">
        <w:r w:rsidRPr="00733E87">
          <w:rPr>
            <w:rFonts w:ascii="Aptos" w:eastAsia="Aptos" w:hAnsi="Aptos" w:cs="Aptos"/>
            <w:snapToGrid/>
            <w:lang w:val="en-US"/>
          </w:rPr>
          <w:t>, IFRC , UNDP, WMO etc.</w:t>
        </w:r>
      </w:hyperlink>
      <w:r w:rsidRPr="00733E87">
        <w:rPr>
          <w:rFonts w:ascii="Aptos" w:eastAsia="Aptos" w:hAnsi="Aptos" w:cs="Aptos"/>
          <w:snapToGrid/>
          <w:lang w:val="en-US"/>
        </w:rPr>
        <w:t xml:space="preserve"> )</w:t>
      </w:r>
      <w:r w:rsidRPr="00733E87">
        <w:rPr>
          <w:rFonts w:ascii="Aptos" w:eastAsia="Aptos" w:hAnsi="Aptos" w:cs="Aptos"/>
          <w:snapToGrid/>
          <w:color w:val="222222"/>
          <w:lang w:val="en-US"/>
        </w:rPr>
        <w:t xml:space="preserve">, or initiatives (such as the Tsunami Ready Coalition, Coastal Inundation Forecasting Initiative, etc.) the exchange of experiences and information on  preparedness and mitigation  actions, education/awareness, and other matters related to disaster management and preparedness for tsunamis and other coastal sea level related hazards; </w:t>
      </w:r>
    </w:p>
    <w:p w14:paraId="283A7693" w14:textId="77777777" w:rsidR="00733E87" w:rsidRPr="00733E87" w:rsidRDefault="00733E87" w:rsidP="00733E87">
      <w:pPr>
        <w:numPr>
          <w:ilvl w:val="0"/>
          <w:numId w:val="140"/>
        </w:numPr>
        <w:tabs>
          <w:tab w:val="clear" w:pos="709"/>
        </w:tabs>
        <w:snapToGrid/>
        <w:spacing w:before="240" w:after="120" w:line="278" w:lineRule="auto"/>
        <w:contextualSpacing/>
        <w:jc w:val="both"/>
        <w:rPr>
          <w:rFonts w:ascii="Aptos" w:eastAsia="Aptos" w:hAnsi="Aptos" w:cs="Aptos"/>
          <w:snapToGrid/>
          <w:color w:val="222222"/>
          <w:lang w:val="en-US"/>
        </w:rPr>
      </w:pPr>
      <w:r w:rsidRPr="00733E87">
        <w:rPr>
          <w:rFonts w:ascii="Aptos" w:eastAsia="Aptos" w:hAnsi="Aptos" w:cs="Aptos"/>
          <w:snapToGrid/>
          <w:color w:val="222222"/>
          <w:lang w:val="en-US"/>
        </w:rPr>
        <w:t xml:space="preserve">Promote and facilitate the implementation of Tsunami Ready Recognition Programme, and similar initiatives, as well as related capacity development efforts, specifically targeting SIDS and </w:t>
      </w:r>
      <w:proofErr w:type="gramStart"/>
      <w:r w:rsidRPr="00733E87">
        <w:rPr>
          <w:rFonts w:ascii="Aptos" w:eastAsia="Aptos" w:hAnsi="Aptos" w:cs="Aptos"/>
          <w:snapToGrid/>
          <w:color w:val="222222"/>
          <w:lang w:val="en-US"/>
        </w:rPr>
        <w:t>LDCs;</w:t>
      </w:r>
      <w:proofErr w:type="gramEnd"/>
    </w:p>
    <w:p w14:paraId="65E3BE31" w14:textId="77777777" w:rsidR="00733E87" w:rsidRPr="00733E87" w:rsidRDefault="00733E87" w:rsidP="00733E87">
      <w:pPr>
        <w:numPr>
          <w:ilvl w:val="0"/>
          <w:numId w:val="140"/>
        </w:numPr>
        <w:tabs>
          <w:tab w:val="clear" w:pos="709"/>
        </w:tabs>
        <w:snapToGrid/>
        <w:spacing w:before="240" w:after="120" w:line="278" w:lineRule="auto"/>
        <w:contextualSpacing/>
        <w:jc w:val="both"/>
        <w:rPr>
          <w:rFonts w:ascii="Aptos" w:eastAsia="Aptos" w:hAnsi="Aptos" w:cs="Aptos"/>
          <w:snapToGrid/>
          <w:color w:val="222222"/>
          <w:lang w:val="en-US"/>
        </w:rPr>
      </w:pPr>
      <w:r w:rsidRPr="00733E87">
        <w:rPr>
          <w:rFonts w:ascii="Aptos" w:eastAsia="Aptos" w:hAnsi="Aptos" w:cs="Aptos"/>
          <w:snapToGrid/>
          <w:color w:val="222222"/>
          <w:lang w:val="en-US"/>
        </w:rPr>
        <w:t xml:space="preserve">Promote preparedness to build resilient coastal communities through education and awareness products and </w:t>
      </w:r>
      <w:proofErr w:type="gramStart"/>
      <w:r w:rsidRPr="00733E87">
        <w:rPr>
          <w:rFonts w:ascii="Aptos" w:eastAsia="Aptos" w:hAnsi="Aptos" w:cs="Aptos"/>
          <w:snapToGrid/>
          <w:color w:val="222222"/>
          <w:lang w:val="en-US"/>
        </w:rPr>
        <w:t>campaigns;</w:t>
      </w:r>
      <w:proofErr w:type="gramEnd"/>
    </w:p>
    <w:p w14:paraId="6D044101" w14:textId="77777777" w:rsidR="00733E87" w:rsidRPr="00733E87" w:rsidRDefault="00733E87" w:rsidP="00733E87">
      <w:pPr>
        <w:numPr>
          <w:ilvl w:val="0"/>
          <w:numId w:val="140"/>
        </w:numPr>
        <w:tabs>
          <w:tab w:val="clear" w:pos="709"/>
        </w:tabs>
        <w:snapToGrid/>
        <w:spacing w:before="240" w:after="120" w:line="278" w:lineRule="auto"/>
        <w:contextualSpacing/>
        <w:jc w:val="both"/>
        <w:rPr>
          <w:rFonts w:ascii="Aptos" w:eastAsia="Times New Roman" w:hAnsi="Aptos"/>
          <w:snapToGrid/>
          <w:color w:val="222222"/>
          <w:lang w:val="en-US"/>
        </w:rPr>
      </w:pPr>
      <w:r w:rsidRPr="00733E87">
        <w:rPr>
          <w:rFonts w:ascii="Aptos" w:eastAsia="Aptos" w:hAnsi="Aptos" w:cs="Aptos"/>
          <w:snapToGrid/>
          <w:color w:val="222222"/>
          <w:lang w:val="en-US"/>
        </w:rPr>
        <w:t xml:space="preserve">Facilitate capacity development and training across ICGs to strengthen emergency response capabilities of Member States and their Disaster Management </w:t>
      </w:r>
      <w:proofErr w:type="gramStart"/>
      <w:r w:rsidRPr="00733E87">
        <w:rPr>
          <w:rFonts w:ascii="Aptos" w:eastAsia="Aptos" w:hAnsi="Aptos" w:cs="Aptos"/>
          <w:snapToGrid/>
          <w:color w:val="222222"/>
          <w:lang w:val="en-US"/>
        </w:rPr>
        <w:t>Offices;</w:t>
      </w:r>
      <w:proofErr w:type="gramEnd"/>
    </w:p>
    <w:p w14:paraId="573EB015" w14:textId="77777777" w:rsidR="00733E87" w:rsidRPr="00733E87" w:rsidRDefault="00733E87" w:rsidP="00733E87">
      <w:pPr>
        <w:numPr>
          <w:ilvl w:val="0"/>
          <w:numId w:val="140"/>
        </w:numPr>
        <w:tabs>
          <w:tab w:val="clear" w:pos="709"/>
        </w:tabs>
        <w:snapToGrid/>
        <w:spacing w:before="240" w:after="120" w:line="278" w:lineRule="auto"/>
        <w:contextualSpacing/>
        <w:jc w:val="both"/>
        <w:rPr>
          <w:rFonts w:ascii="Aptos" w:eastAsia="Aptos" w:hAnsi="Aptos" w:cs="Aptos"/>
          <w:snapToGrid/>
          <w:color w:val="222222"/>
          <w:lang w:val="en-US"/>
        </w:rPr>
      </w:pPr>
      <w:r w:rsidRPr="00733E87">
        <w:rPr>
          <w:rFonts w:ascii="Aptos" w:eastAsia="Aptos" w:hAnsi="Aptos" w:cs="Aptos"/>
          <w:snapToGrid/>
          <w:color w:val="222222"/>
          <w:lang w:val="en-US"/>
        </w:rPr>
        <w:t xml:space="preserve">Promote </w:t>
      </w:r>
      <w:proofErr w:type="gramStart"/>
      <w:r w:rsidRPr="00733E87">
        <w:rPr>
          <w:rFonts w:ascii="Aptos" w:eastAsia="Aptos" w:hAnsi="Aptos" w:cs="Aptos"/>
          <w:snapToGrid/>
          <w:color w:val="222222"/>
          <w:lang w:val="en-US"/>
        </w:rPr>
        <w:t>existing</w:t>
      </w:r>
      <w:proofErr w:type="gramEnd"/>
      <w:r w:rsidRPr="00733E87">
        <w:rPr>
          <w:rFonts w:ascii="Aptos" w:eastAsia="Aptos" w:hAnsi="Aptos" w:cs="Aptos"/>
          <w:snapToGrid/>
          <w:color w:val="222222"/>
          <w:lang w:val="en-US"/>
        </w:rPr>
        <w:t xml:space="preserve"> and encourage the development of preparedness </w:t>
      </w:r>
      <w:proofErr w:type="spellStart"/>
      <w:r w:rsidRPr="00733E87">
        <w:rPr>
          <w:rFonts w:ascii="Aptos" w:eastAsia="Aptos" w:hAnsi="Aptos" w:cs="Aptos"/>
          <w:snapToGrid/>
          <w:color w:val="222222"/>
          <w:lang w:val="en-US"/>
        </w:rPr>
        <w:t>programmes</w:t>
      </w:r>
      <w:proofErr w:type="spellEnd"/>
      <w:r w:rsidRPr="00733E87">
        <w:rPr>
          <w:rFonts w:ascii="Aptos" w:eastAsia="Aptos" w:hAnsi="Aptos" w:cs="Aptos"/>
          <w:snapToGrid/>
          <w:color w:val="222222"/>
          <w:lang w:val="en-US"/>
        </w:rPr>
        <w:t xml:space="preserve"> and assessment tools, and synergies with other initiatives (e.g. resilient cities, </w:t>
      </w:r>
      <w:r w:rsidRPr="00733E87">
        <w:rPr>
          <w:rFonts w:ascii="Aptos" w:eastAsia="Aptos" w:hAnsi="Aptos" w:cs="Aptos"/>
          <w:snapToGrid/>
          <w:color w:val="222222"/>
          <w:lang w:val="en-US"/>
        </w:rPr>
        <w:lastRenderedPageBreak/>
        <w:t xml:space="preserve">safe schools </w:t>
      </w:r>
      <w:proofErr w:type="spellStart"/>
      <w:r w:rsidRPr="00733E87">
        <w:rPr>
          <w:rFonts w:ascii="Aptos" w:eastAsia="Aptos" w:hAnsi="Aptos" w:cs="Aptos"/>
          <w:snapToGrid/>
          <w:color w:val="222222"/>
          <w:lang w:val="en-US"/>
        </w:rPr>
        <w:t>etc</w:t>
      </w:r>
      <w:proofErr w:type="spellEnd"/>
      <w:r w:rsidRPr="00733E87">
        <w:rPr>
          <w:rFonts w:ascii="Aptos" w:eastAsia="Aptos" w:hAnsi="Aptos" w:cs="Aptos"/>
          <w:snapToGrid/>
          <w:color w:val="222222"/>
          <w:lang w:val="en-US"/>
        </w:rPr>
        <w:t xml:space="preserve">) that have been successful in one regional Tsunami Warning and Mitigation Systems as </w:t>
      </w:r>
      <w:proofErr w:type="gramStart"/>
      <w:r w:rsidRPr="00733E87">
        <w:rPr>
          <w:rFonts w:ascii="Aptos" w:eastAsia="Aptos" w:hAnsi="Aptos" w:cs="Aptos"/>
          <w:snapToGrid/>
          <w:color w:val="222222"/>
          <w:lang w:val="en-US"/>
        </w:rPr>
        <w:t>appropriate;</w:t>
      </w:r>
      <w:proofErr w:type="gramEnd"/>
    </w:p>
    <w:p w14:paraId="1AF6050D" w14:textId="77777777" w:rsidR="00733E87" w:rsidRPr="00733E87" w:rsidRDefault="00733E87" w:rsidP="00733E87">
      <w:pPr>
        <w:numPr>
          <w:ilvl w:val="0"/>
          <w:numId w:val="140"/>
        </w:numPr>
        <w:tabs>
          <w:tab w:val="clear" w:pos="709"/>
        </w:tabs>
        <w:snapToGrid/>
        <w:spacing w:before="240" w:after="120" w:line="278" w:lineRule="auto"/>
        <w:contextualSpacing/>
        <w:jc w:val="both"/>
        <w:rPr>
          <w:rFonts w:ascii="Aptos" w:eastAsia="Aptos" w:hAnsi="Aptos" w:cs="Aptos"/>
          <w:snapToGrid/>
          <w:color w:val="222222"/>
          <w:lang w:val="en-US"/>
        </w:rPr>
      </w:pPr>
      <w:r w:rsidRPr="00733E87">
        <w:rPr>
          <w:rFonts w:ascii="Aptos" w:eastAsia="Aptos" w:hAnsi="Aptos" w:cs="Aptos"/>
          <w:snapToGrid/>
          <w:color w:val="222222"/>
          <w:lang w:val="en-US"/>
        </w:rPr>
        <w:t xml:space="preserve">Facilitate the coordination of the TICs of the ICGs and reinforce their ability to serve as a clearinghouse for the development of educational and preparedness products, and capacity development and </w:t>
      </w:r>
      <w:proofErr w:type="gramStart"/>
      <w:r w:rsidRPr="00733E87">
        <w:rPr>
          <w:rFonts w:ascii="Aptos" w:eastAsia="Aptos" w:hAnsi="Aptos" w:cs="Aptos"/>
          <w:snapToGrid/>
          <w:color w:val="222222"/>
          <w:lang w:val="en-US"/>
        </w:rPr>
        <w:t>training;</w:t>
      </w:r>
      <w:proofErr w:type="gramEnd"/>
    </w:p>
    <w:p w14:paraId="6B2C7B04" w14:textId="77777777" w:rsidR="00733E87" w:rsidRPr="00733E87" w:rsidRDefault="00733E87" w:rsidP="00733E87">
      <w:pPr>
        <w:numPr>
          <w:ilvl w:val="0"/>
          <w:numId w:val="140"/>
        </w:numPr>
        <w:tabs>
          <w:tab w:val="clear" w:pos="709"/>
        </w:tabs>
        <w:snapToGrid/>
        <w:spacing w:before="240" w:after="240" w:line="278" w:lineRule="auto"/>
        <w:contextualSpacing/>
        <w:jc w:val="both"/>
        <w:rPr>
          <w:rFonts w:ascii="Aptos" w:eastAsia="Aptos" w:hAnsi="Aptos" w:cs="Aptos"/>
          <w:snapToGrid/>
          <w:color w:val="222222"/>
          <w:lang w:val="en-US"/>
        </w:rPr>
      </w:pPr>
      <w:r w:rsidRPr="00733E87">
        <w:rPr>
          <w:rFonts w:ascii="Aptos" w:eastAsia="Aptos" w:hAnsi="Aptos" w:cs="Aptos"/>
          <w:snapToGrid/>
          <w:color w:val="222222"/>
          <w:lang w:val="en-US"/>
        </w:rPr>
        <w:t>Report to the TOWS–WG.</w:t>
      </w:r>
    </w:p>
    <w:p w14:paraId="24784A9B" w14:textId="77777777" w:rsidR="00733E87" w:rsidRPr="00733E87" w:rsidRDefault="00733E87" w:rsidP="00733E87">
      <w:pPr>
        <w:tabs>
          <w:tab w:val="clear" w:pos="709"/>
        </w:tabs>
        <w:snapToGrid/>
        <w:spacing w:before="240" w:after="240" w:line="278" w:lineRule="auto"/>
        <w:jc w:val="both"/>
        <w:rPr>
          <w:rFonts w:ascii="Aptos" w:eastAsia="Aptos" w:hAnsi="Aptos" w:cs="Aptos"/>
          <w:snapToGrid/>
          <w:color w:val="222222"/>
          <w:lang w:val="en-US"/>
        </w:rPr>
      </w:pPr>
      <w:r w:rsidRPr="00733E87">
        <w:rPr>
          <w:rFonts w:ascii="Aptos" w:eastAsia="Aptos" w:hAnsi="Aptos" w:cs="Aptos"/>
          <w:snapToGrid/>
          <w:color w:val="222222"/>
          <w:lang w:val="en-US"/>
        </w:rPr>
        <w:t xml:space="preserve">The representatives </w:t>
      </w:r>
      <w:proofErr w:type="gramStart"/>
      <w:r w:rsidRPr="00733E87">
        <w:rPr>
          <w:rFonts w:ascii="Aptos" w:eastAsia="Aptos" w:hAnsi="Aptos" w:cs="Aptos"/>
          <w:snapToGrid/>
          <w:color w:val="222222"/>
          <w:lang w:val="en-US"/>
        </w:rPr>
        <w:t>to</w:t>
      </w:r>
      <w:proofErr w:type="gramEnd"/>
      <w:r w:rsidRPr="00733E87">
        <w:rPr>
          <w:rFonts w:ascii="Aptos" w:eastAsia="Aptos" w:hAnsi="Aptos" w:cs="Aptos"/>
          <w:snapToGrid/>
          <w:color w:val="222222"/>
          <w:lang w:val="en-US"/>
        </w:rPr>
        <w:t xml:space="preserve"> the Inter-ICG Task Team on Disaster Management and Preparedness shall be nominated by their respective ICG Chairpersons. The membership shall consist of two representatives from each ICG, </w:t>
      </w:r>
      <w:r w:rsidRPr="00733E87">
        <w:rPr>
          <w:rFonts w:ascii="Aptos" w:eastAsia="Aptos" w:hAnsi="Aptos" w:cs="Aptos"/>
          <w:bCs/>
          <w:snapToGrid/>
          <w:color w:val="222222"/>
          <w:lang w:val="en-US"/>
        </w:rPr>
        <w:t>if formally established</w:t>
      </w:r>
      <w:r w:rsidRPr="00733E87">
        <w:rPr>
          <w:rFonts w:ascii="Aptos" w:eastAsia="Aptos" w:hAnsi="Aptos" w:cs="Aptos"/>
          <w:b/>
          <w:snapToGrid/>
          <w:color w:val="222222"/>
          <w:lang w:val="en-US"/>
        </w:rPr>
        <w:t xml:space="preserve"> </w:t>
      </w:r>
      <w:r w:rsidRPr="00733E87">
        <w:rPr>
          <w:rFonts w:ascii="Aptos" w:eastAsia="Aptos" w:hAnsi="Aptos" w:cs="Aptos"/>
          <w:snapToGrid/>
          <w:color w:val="222222"/>
          <w:lang w:val="en-US"/>
        </w:rPr>
        <w:t xml:space="preserve">one of which </w:t>
      </w:r>
      <w:r w:rsidRPr="00733E87">
        <w:rPr>
          <w:rFonts w:ascii="Aptos" w:eastAsia="Aptos" w:hAnsi="Aptos" w:cs="Aptos"/>
          <w:bCs/>
          <w:snapToGrid/>
          <w:color w:val="222222"/>
          <w:lang w:val="en-US"/>
        </w:rPr>
        <w:t>may</w:t>
      </w:r>
      <w:r w:rsidRPr="00733E87">
        <w:rPr>
          <w:rFonts w:ascii="Aptos" w:eastAsia="Aptos" w:hAnsi="Aptos" w:cs="Aptos"/>
          <w:b/>
          <w:snapToGrid/>
          <w:color w:val="222222"/>
          <w:lang w:val="en-US"/>
        </w:rPr>
        <w:t xml:space="preserve"> </w:t>
      </w:r>
      <w:r w:rsidRPr="00733E87">
        <w:rPr>
          <w:rFonts w:ascii="Aptos" w:eastAsia="Aptos" w:hAnsi="Aptos" w:cs="Aptos"/>
          <w:snapToGrid/>
          <w:color w:val="222222"/>
          <w:lang w:val="en-US"/>
        </w:rPr>
        <w:t>represent the ICG’s Tsunami Information Center. The IOC Chair will appoint the Chair of the Task Team.</w:t>
      </w:r>
    </w:p>
    <w:p w14:paraId="35D2E36B"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b/>
          <w:snapToGrid/>
          <w:lang w:val="en-US"/>
        </w:rPr>
      </w:pPr>
      <w:r w:rsidRPr="00733E87">
        <w:rPr>
          <w:rFonts w:ascii="Aptos" w:eastAsia="Aptos" w:hAnsi="Aptos" w:cs="Aptos"/>
          <w:b/>
          <w:snapToGrid/>
          <w:color w:val="0070C0"/>
          <w:lang w:val="en-US"/>
        </w:rPr>
        <w:t>Recommendations to TOWS-WG</w:t>
      </w:r>
    </w:p>
    <w:p w14:paraId="766B41CE" w14:textId="77777777" w:rsidR="00733E87" w:rsidRPr="00733E87" w:rsidRDefault="00733E87" w:rsidP="00733E87">
      <w:pPr>
        <w:tabs>
          <w:tab w:val="clear" w:pos="709"/>
        </w:tabs>
        <w:snapToGrid/>
        <w:spacing w:after="160" w:line="278" w:lineRule="auto"/>
        <w:jc w:val="both"/>
        <w:rPr>
          <w:rFonts w:ascii="Aptos" w:eastAsia="Aptos" w:hAnsi="Aptos" w:cs="Aptos"/>
          <w:snapToGrid/>
          <w:color w:val="222222"/>
          <w:lang w:val="en-US"/>
        </w:rPr>
      </w:pPr>
      <w:r w:rsidRPr="00733E87">
        <w:rPr>
          <w:rFonts w:ascii="Aptos" w:eastAsia="Aptos" w:hAnsi="Aptos" w:cs="Aptos"/>
          <w:b/>
          <w:snapToGrid/>
          <w:color w:val="222222"/>
          <w:lang w:val="en-US"/>
        </w:rPr>
        <w:t>Notes</w:t>
      </w:r>
      <w:r w:rsidRPr="00733E87">
        <w:rPr>
          <w:rFonts w:ascii="Aptos" w:eastAsia="Aptos" w:hAnsi="Aptos" w:cs="Aptos"/>
          <w:snapToGrid/>
          <w:color w:val="222222"/>
          <w:lang w:val="en-US"/>
        </w:rPr>
        <w:t xml:space="preserve"> that TOWS TT DMP recommendation in Sendai, Japan, 19 - 20 February 2024 concerning the fact that many advances have been made, and new needs have been identified since TT DMP </w:t>
      </w:r>
      <w:proofErr w:type="spellStart"/>
      <w:r w:rsidRPr="00733E87">
        <w:rPr>
          <w:rFonts w:ascii="Aptos" w:eastAsia="Aptos" w:hAnsi="Aptos" w:cs="Aptos"/>
          <w:snapToGrid/>
          <w:color w:val="222222"/>
          <w:lang w:val="en-US"/>
        </w:rPr>
        <w:t>ToR</w:t>
      </w:r>
      <w:proofErr w:type="spellEnd"/>
      <w:r w:rsidRPr="00733E87">
        <w:rPr>
          <w:rFonts w:ascii="Aptos" w:eastAsia="Aptos" w:hAnsi="Aptos" w:cs="Aptos"/>
          <w:snapToGrid/>
          <w:color w:val="222222"/>
          <w:lang w:val="en-US"/>
        </w:rPr>
        <w:t xml:space="preserve"> was prepared in 2010.</w:t>
      </w:r>
    </w:p>
    <w:p w14:paraId="0BC8760C"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color w:val="222222"/>
          <w:lang w:val="en-US"/>
        </w:rPr>
        <w:t xml:space="preserve">Recommends </w:t>
      </w:r>
      <w:r w:rsidRPr="00733E87">
        <w:rPr>
          <w:rFonts w:ascii="Aptos" w:eastAsia="Aptos" w:hAnsi="Aptos" w:cs="Aptos"/>
          <w:snapToGrid/>
          <w:color w:val="222222"/>
          <w:lang w:val="en-US"/>
        </w:rPr>
        <w:t>approving the above proposed revised TT DMP Terms of Reference.</w:t>
      </w:r>
    </w:p>
    <w:p w14:paraId="246567BA" w14:textId="77777777" w:rsidR="00733E87" w:rsidRPr="00733E87" w:rsidRDefault="00733E87" w:rsidP="00733E87">
      <w:pPr>
        <w:keepNext/>
        <w:keepLines/>
        <w:numPr>
          <w:ilvl w:val="0"/>
          <w:numId w:val="130"/>
        </w:numPr>
        <w:tabs>
          <w:tab w:val="clear" w:pos="709"/>
        </w:tabs>
        <w:snapToGrid/>
        <w:spacing w:before="360" w:after="80" w:line="278" w:lineRule="auto"/>
        <w:ind w:left="0" w:firstLine="0"/>
        <w:outlineLvl w:val="0"/>
        <w:rPr>
          <w:rFonts w:ascii="Aptos" w:eastAsia="Play" w:hAnsi="Aptos" w:cs="Play"/>
          <w:snapToGrid/>
          <w:color w:val="0F4761"/>
          <w:lang w:val="en-US"/>
        </w:rPr>
      </w:pPr>
      <w:bookmarkStart w:id="209" w:name="_Toc193832086"/>
      <w:bookmarkStart w:id="210" w:name="_Toc195258127"/>
      <w:r w:rsidRPr="00733E87">
        <w:rPr>
          <w:rFonts w:ascii="Aptos" w:eastAsia="Play" w:hAnsi="Aptos" w:cs="Play"/>
          <w:snapToGrid/>
          <w:color w:val="0F4761"/>
          <w:lang w:val="en-US"/>
        </w:rPr>
        <w:t>8.0 DEVELOP TT TMP WORK PLAN</w:t>
      </w:r>
      <w:bookmarkEnd w:id="209"/>
      <w:bookmarkEnd w:id="210"/>
    </w:p>
    <w:p w14:paraId="61491B57"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proofErr w:type="gramStart"/>
      <w:r w:rsidRPr="00733E87">
        <w:rPr>
          <w:rFonts w:ascii="Aptos" w:eastAsia="Aptos" w:hAnsi="Aptos" w:cs="Aptos"/>
          <w:snapToGrid/>
          <w:lang w:val="en-US"/>
        </w:rPr>
        <w:t>The TT</w:t>
      </w:r>
      <w:proofErr w:type="gramEnd"/>
      <w:r w:rsidRPr="00733E87">
        <w:rPr>
          <w:rFonts w:ascii="Aptos" w:eastAsia="Aptos" w:hAnsi="Aptos" w:cs="Aptos"/>
          <w:snapToGrid/>
          <w:lang w:val="en-US"/>
        </w:rPr>
        <w:t xml:space="preserve"> DMP discussed the TT Workplan and the arrangements for preparing the summary report and reporting of TT DMP chair to the TOWS-WG. Future TOWS WG and TT meetings attendance and logistical arrangements were discussed.</w:t>
      </w:r>
    </w:p>
    <w:p w14:paraId="4CAAD177" w14:textId="77777777" w:rsidR="00733E87" w:rsidRPr="00733E87" w:rsidRDefault="00733E87" w:rsidP="00733E87">
      <w:pPr>
        <w:tabs>
          <w:tab w:val="clear" w:pos="709"/>
        </w:tabs>
        <w:snapToGrid/>
        <w:spacing w:after="160" w:line="278" w:lineRule="auto"/>
        <w:rPr>
          <w:rFonts w:ascii="Aptos" w:eastAsia="Aptos" w:hAnsi="Aptos" w:cs="Aptos"/>
          <w:b/>
          <w:snapToGrid/>
          <w:color w:val="0070C0"/>
          <w:lang w:val="en-US"/>
        </w:rPr>
      </w:pPr>
      <w:r w:rsidRPr="00733E87">
        <w:rPr>
          <w:rFonts w:ascii="Aptos" w:eastAsia="Aptos" w:hAnsi="Aptos" w:cs="Aptos"/>
          <w:b/>
          <w:snapToGrid/>
          <w:color w:val="0070C0"/>
          <w:lang w:val="en-US"/>
        </w:rPr>
        <w:t xml:space="preserve">Recommendations </w:t>
      </w:r>
      <w:proofErr w:type="gramStart"/>
      <w:r w:rsidRPr="00733E87">
        <w:rPr>
          <w:rFonts w:ascii="Aptos" w:eastAsia="Aptos" w:hAnsi="Aptos" w:cs="Aptos"/>
          <w:b/>
          <w:snapToGrid/>
          <w:color w:val="0070C0"/>
          <w:lang w:val="en-US"/>
        </w:rPr>
        <w:t>to</w:t>
      </w:r>
      <w:proofErr w:type="gramEnd"/>
      <w:r w:rsidRPr="00733E87">
        <w:rPr>
          <w:rFonts w:ascii="Aptos" w:eastAsia="Aptos" w:hAnsi="Aptos" w:cs="Aptos"/>
          <w:b/>
          <w:snapToGrid/>
          <w:color w:val="0070C0"/>
          <w:lang w:val="en-US"/>
        </w:rPr>
        <w:t xml:space="preserve"> TOWS WG</w:t>
      </w:r>
    </w:p>
    <w:p w14:paraId="50329B8B"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 xml:space="preserve">Agreed </w:t>
      </w:r>
      <w:r w:rsidRPr="00733E87">
        <w:rPr>
          <w:rFonts w:ascii="Aptos" w:eastAsia="Aptos" w:hAnsi="Aptos" w:cs="Aptos"/>
          <w:snapToGrid/>
          <w:lang w:val="en-US"/>
        </w:rPr>
        <w:t xml:space="preserve">to organize a TT DMP meeting ahead of the TOWS TTs and TOWS WG meetings by the end of October 2025 to review actions and define agenda for the February 2026 meeting.  </w:t>
      </w:r>
    </w:p>
    <w:p w14:paraId="4086111E"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Further agreed</w:t>
      </w:r>
      <w:r w:rsidRPr="00733E87">
        <w:rPr>
          <w:rFonts w:ascii="Aptos" w:eastAsia="Aptos" w:hAnsi="Aptos" w:cs="Aptos"/>
          <w:snapToGrid/>
          <w:lang w:val="en-US"/>
        </w:rPr>
        <w:t xml:space="preserve"> to organize short meetings, online or in person to discuss focus topics addressing key agenda items. </w:t>
      </w:r>
    </w:p>
    <w:p w14:paraId="724B7BC5"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Recommends</w:t>
      </w:r>
      <w:r w:rsidRPr="00733E87">
        <w:rPr>
          <w:rFonts w:ascii="Aptos" w:eastAsia="Aptos" w:hAnsi="Aptos" w:cs="Aptos"/>
          <w:snapToGrid/>
          <w:lang w:val="en-US"/>
        </w:rPr>
        <w:t xml:space="preserve"> planning the schedule for TOWS-related meetings, preferably holding the TTs meetings from Monday to Wednesday and the TOWS-WG meetings on Thursday and Friday, leaving sufficient time in between meetings for Technical Secretaries to prepare summary report and recommendations. </w:t>
      </w:r>
    </w:p>
    <w:p w14:paraId="54D82688" w14:textId="77777777" w:rsidR="00733E87" w:rsidRPr="00733E87" w:rsidRDefault="00733E87" w:rsidP="00733E87">
      <w:pPr>
        <w:keepNext/>
        <w:keepLines/>
        <w:numPr>
          <w:ilvl w:val="0"/>
          <w:numId w:val="130"/>
        </w:numPr>
        <w:tabs>
          <w:tab w:val="clear" w:pos="709"/>
        </w:tabs>
        <w:snapToGrid/>
        <w:spacing w:before="360" w:after="80" w:line="278" w:lineRule="auto"/>
        <w:ind w:left="0" w:firstLine="0"/>
        <w:outlineLvl w:val="0"/>
        <w:rPr>
          <w:rFonts w:ascii="Aptos" w:eastAsia="Play" w:hAnsi="Aptos" w:cs="Play"/>
          <w:snapToGrid/>
          <w:color w:val="0F4761"/>
          <w:lang w:val="en-US"/>
        </w:rPr>
      </w:pPr>
      <w:bookmarkStart w:id="211" w:name="_Toc193832087"/>
      <w:bookmarkStart w:id="212" w:name="_Toc195258128"/>
      <w:r w:rsidRPr="00733E87">
        <w:rPr>
          <w:rFonts w:ascii="Aptos" w:eastAsia="Play" w:hAnsi="Aptos" w:cs="Play"/>
          <w:snapToGrid/>
          <w:color w:val="0F4761"/>
          <w:lang w:val="en-US"/>
        </w:rPr>
        <w:t>9.0 AOB &amp; CLOSE OF MEETING</w:t>
      </w:r>
      <w:bookmarkEnd w:id="211"/>
      <w:bookmarkEnd w:id="212"/>
    </w:p>
    <w:p w14:paraId="034B13E4"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The TT DMP chair concluded the TT DMP meeting which was extended online on Saturday at 11:00 Paris time.</w:t>
      </w:r>
    </w:p>
    <w:p w14:paraId="5658BA5A" w14:textId="77777777" w:rsidR="00733E87" w:rsidRPr="00733E87" w:rsidRDefault="00733E87" w:rsidP="00733E87">
      <w:pPr>
        <w:tabs>
          <w:tab w:val="clear" w:pos="709"/>
        </w:tabs>
        <w:snapToGrid/>
        <w:spacing w:after="160" w:line="278" w:lineRule="auto"/>
        <w:jc w:val="center"/>
        <w:rPr>
          <w:rFonts w:ascii="Aptos" w:eastAsia="Aptos" w:hAnsi="Aptos" w:cs="Aptos"/>
          <w:b/>
          <w:snapToGrid/>
          <w:color w:val="0000FF"/>
          <w:lang w:val="en-US"/>
        </w:rPr>
      </w:pPr>
      <w:r w:rsidRPr="00733E87">
        <w:rPr>
          <w:rFonts w:ascii="Aptos" w:eastAsia="Aptos" w:hAnsi="Aptos" w:cs="Aptos"/>
          <w:b/>
          <w:snapToGrid/>
          <w:color w:val="0000FF"/>
          <w:lang w:val="en-US"/>
        </w:rPr>
        <w:t xml:space="preserve">LIST OF RECOMMENDATIONS </w:t>
      </w:r>
    </w:p>
    <w:p w14:paraId="24F1FFEA" w14:textId="77777777" w:rsidR="00733E87" w:rsidRPr="00733E87" w:rsidRDefault="00733E87" w:rsidP="00733E87">
      <w:pPr>
        <w:tabs>
          <w:tab w:val="clear" w:pos="709"/>
        </w:tabs>
        <w:snapToGrid/>
        <w:spacing w:after="160" w:line="278" w:lineRule="auto"/>
        <w:jc w:val="both"/>
        <w:rPr>
          <w:rFonts w:ascii="Aptos" w:eastAsia="Aptos" w:hAnsi="Aptos" w:cs="Aptos"/>
          <w:b/>
          <w:snapToGrid/>
          <w:color w:val="0000FF"/>
          <w:lang w:val="en-US"/>
        </w:rPr>
      </w:pPr>
    </w:p>
    <w:p w14:paraId="72F37917" w14:textId="77777777" w:rsidR="00733E87" w:rsidRPr="00733E87" w:rsidRDefault="00733E87" w:rsidP="00733E87">
      <w:pPr>
        <w:tabs>
          <w:tab w:val="clear" w:pos="709"/>
        </w:tabs>
        <w:snapToGrid/>
        <w:spacing w:after="160" w:line="278" w:lineRule="auto"/>
        <w:jc w:val="both"/>
        <w:rPr>
          <w:rFonts w:ascii="Aptos" w:eastAsia="Aptos" w:hAnsi="Aptos" w:cs="Aptos"/>
          <w:b/>
          <w:snapToGrid/>
          <w:color w:val="0000FF"/>
          <w:lang w:val="en-US"/>
        </w:rPr>
      </w:pPr>
      <w:r w:rsidRPr="00733E87">
        <w:rPr>
          <w:rFonts w:ascii="Aptos" w:eastAsia="Aptos" w:hAnsi="Aptos" w:cs="Aptos"/>
          <w:b/>
          <w:snapToGrid/>
          <w:color w:val="0000FF"/>
          <w:lang w:val="en-US"/>
        </w:rPr>
        <w:t>Recommendation to TOWS WG</w:t>
      </w:r>
    </w:p>
    <w:p w14:paraId="01795355"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Request</w:t>
      </w:r>
      <w:r w:rsidRPr="00733E87">
        <w:rPr>
          <w:rFonts w:ascii="Aptos" w:eastAsia="Aptos" w:hAnsi="Aptos" w:cs="Aptos"/>
          <w:snapToGrid/>
          <w:lang w:val="en-US"/>
        </w:rPr>
        <w:t xml:space="preserve"> to perform a scientific peer review on the Methodology for Estimating Eligibility for TRR and Assessment of Tsunami Risk at Community Level to ensure the indices developed are accepted as a scientifically credible methodology and endorsed by ICGs. </w:t>
      </w:r>
    </w:p>
    <w:p w14:paraId="267E8D9E" w14:textId="77777777" w:rsidR="00733E87" w:rsidRPr="00733E87" w:rsidRDefault="00733E87" w:rsidP="00733E87">
      <w:pPr>
        <w:tabs>
          <w:tab w:val="clear" w:pos="709"/>
        </w:tabs>
        <w:snapToGrid/>
        <w:spacing w:after="160" w:line="278" w:lineRule="auto"/>
        <w:jc w:val="both"/>
        <w:rPr>
          <w:rFonts w:ascii="Aptos" w:eastAsia="Aptos" w:hAnsi="Aptos" w:cs="Aptos"/>
          <w:b/>
          <w:snapToGrid/>
          <w:lang w:val="en-US"/>
        </w:rPr>
      </w:pPr>
      <w:r w:rsidRPr="00733E87">
        <w:rPr>
          <w:rFonts w:ascii="Aptos" w:eastAsia="Aptos" w:hAnsi="Aptos" w:cs="Aptos"/>
          <w:b/>
          <w:snapToGrid/>
          <w:color w:val="0000FF"/>
          <w:lang w:val="en-US"/>
        </w:rPr>
        <w:t>Recommendation to Technical Secretariat</w:t>
      </w:r>
    </w:p>
    <w:p w14:paraId="600BA08B"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 xml:space="preserve">Recommend </w:t>
      </w:r>
      <w:r w:rsidRPr="00733E87">
        <w:rPr>
          <w:rFonts w:ascii="Aptos" w:eastAsia="Aptos" w:hAnsi="Aptos" w:cs="Aptos"/>
          <w:snapToGrid/>
          <w:lang w:val="en-US"/>
        </w:rPr>
        <w:t>secretariat, once peer review on the Methodology for Estimating Eligibility for TRR and Assessment of Tsunami Risk at Community Level is completed, to prepare an IOC Technical Series document on the Methodology for Estimating Eligibility for TRR and Assessment of Tsunami Risk at Community Level.</w:t>
      </w:r>
    </w:p>
    <w:p w14:paraId="391AD80A" w14:textId="77777777" w:rsidR="00733E87" w:rsidRPr="00733E87" w:rsidRDefault="00733E87" w:rsidP="00733E87">
      <w:pPr>
        <w:shd w:val="clear" w:color="auto" w:fill="FFFFFF"/>
        <w:tabs>
          <w:tab w:val="clear" w:pos="709"/>
        </w:tabs>
        <w:snapToGrid/>
        <w:spacing w:after="160" w:line="256" w:lineRule="auto"/>
        <w:jc w:val="both"/>
        <w:rPr>
          <w:rFonts w:ascii="Aptos" w:eastAsia="Aptos" w:hAnsi="Aptos" w:cs="Aptos"/>
          <w:b/>
          <w:snapToGrid/>
          <w:color w:val="0000FF"/>
          <w:lang w:val="en-US"/>
        </w:rPr>
      </w:pPr>
      <w:r w:rsidRPr="00733E87">
        <w:rPr>
          <w:rFonts w:ascii="Aptos" w:eastAsia="Aptos" w:hAnsi="Aptos" w:cs="Aptos"/>
          <w:b/>
          <w:snapToGrid/>
          <w:color w:val="0000FF"/>
          <w:lang w:val="en-US"/>
        </w:rPr>
        <w:t>Recommendation to TT DMP</w:t>
      </w:r>
    </w:p>
    <w:p w14:paraId="55DECA34" w14:textId="77777777" w:rsidR="00733E87" w:rsidRPr="00733E87" w:rsidRDefault="00733E87" w:rsidP="00733E87">
      <w:pPr>
        <w:shd w:val="clear" w:color="auto" w:fill="FFFFFF"/>
        <w:tabs>
          <w:tab w:val="clear" w:pos="709"/>
        </w:tabs>
        <w:snapToGrid/>
        <w:spacing w:after="160" w:line="256" w:lineRule="auto"/>
        <w:jc w:val="both"/>
        <w:rPr>
          <w:rFonts w:ascii="Aptos" w:eastAsia="Aptos" w:hAnsi="Aptos" w:cs="Aptos"/>
          <w:b/>
          <w:snapToGrid/>
          <w:color w:val="980000"/>
          <w:lang w:val="en-US"/>
        </w:rPr>
      </w:pPr>
      <w:r w:rsidRPr="00733E87">
        <w:rPr>
          <w:rFonts w:ascii="Aptos" w:eastAsia="Aptos" w:hAnsi="Aptos" w:cs="Aptos"/>
          <w:b/>
          <w:snapToGrid/>
          <w:lang w:val="en-US"/>
        </w:rPr>
        <w:t>Agrees</w:t>
      </w:r>
      <w:r w:rsidRPr="00733E87">
        <w:rPr>
          <w:rFonts w:ascii="Aptos" w:eastAsia="Aptos" w:hAnsi="Aptos" w:cs="Aptos"/>
          <w:snapToGrid/>
          <w:lang w:val="en-US"/>
        </w:rPr>
        <w:t xml:space="preserve"> to conduct a mid-term evaluation of the new TT DMP actions to assess progress, identify unaddressed actions, propose ways to implement them and define the next TT DMP meeting agenda. </w:t>
      </w:r>
    </w:p>
    <w:p w14:paraId="5F000D2C" w14:textId="77777777" w:rsidR="00733E87" w:rsidRPr="00733E87" w:rsidRDefault="00733E87" w:rsidP="00733E87">
      <w:pPr>
        <w:tabs>
          <w:tab w:val="clear" w:pos="709"/>
        </w:tabs>
        <w:snapToGrid/>
        <w:spacing w:after="160" w:line="278" w:lineRule="auto"/>
        <w:rPr>
          <w:rFonts w:ascii="Aptos" w:eastAsia="Aptos" w:hAnsi="Aptos" w:cs="Aptos"/>
          <w:b/>
          <w:bCs/>
          <w:snapToGrid/>
          <w:color w:val="C00000"/>
          <w:lang w:val="en-US"/>
        </w:rPr>
      </w:pPr>
      <w:bookmarkStart w:id="213" w:name="_9zaciysktb31" w:colFirst="0" w:colLast="0"/>
      <w:bookmarkEnd w:id="213"/>
      <w:r w:rsidRPr="00733E87">
        <w:rPr>
          <w:rFonts w:ascii="Aptos" w:eastAsia="Aptos" w:hAnsi="Aptos" w:cs="Aptos"/>
          <w:b/>
          <w:bCs/>
          <w:snapToGrid/>
          <w:color w:val="C00000"/>
          <w:lang w:val="en-US"/>
        </w:rPr>
        <w:t>TSUNAMI READY IMPLEMENTATION STATUS</w:t>
      </w:r>
    </w:p>
    <w:p w14:paraId="20063A7C"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b/>
          <w:snapToGrid/>
          <w:color w:val="0070C0"/>
          <w:lang w:val="en-US"/>
        </w:rPr>
      </w:pPr>
      <w:r w:rsidRPr="00733E87">
        <w:rPr>
          <w:rFonts w:ascii="Aptos" w:eastAsia="Aptos" w:hAnsi="Aptos" w:cs="Aptos"/>
          <w:b/>
          <w:snapToGrid/>
          <w:color w:val="0000FF"/>
          <w:lang w:val="en-US"/>
        </w:rPr>
        <w:t>Recommendation to TOWS</w:t>
      </w:r>
      <w:r w:rsidRPr="00733E87">
        <w:rPr>
          <w:rFonts w:ascii="Aptos" w:eastAsia="Aptos" w:hAnsi="Aptos" w:cs="Aptos"/>
          <w:b/>
          <w:snapToGrid/>
          <w:color w:val="0070C0"/>
          <w:lang w:val="en-US"/>
        </w:rPr>
        <w:t xml:space="preserve"> </w:t>
      </w:r>
    </w:p>
    <w:p w14:paraId="29FE774C" w14:textId="24D38D98" w:rsidR="00733E87" w:rsidRPr="00733E87" w:rsidRDefault="00733E87" w:rsidP="00733E87">
      <w:pPr>
        <w:tabs>
          <w:tab w:val="clear" w:pos="709"/>
        </w:tabs>
        <w:snapToGrid/>
        <w:spacing w:after="160" w:line="278" w:lineRule="auto"/>
        <w:jc w:val="both"/>
        <w:rPr>
          <w:rFonts w:ascii="Aptos" w:eastAsia="Aptos" w:hAnsi="Aptos" w:cs="Aptos"/>
          <w:b/>
          <w:snapToGrid/>
          <w:color w:val="0070C0"/>
          <w:lang w:val="en-US"/>
        </w:rPr>
      </w:pPr>
      <w:r w:rsidRPr="00733E87">
        <w:rPr>
          <w:rFonts w:ascii="Aptos" w:eastAsia="Aptos" w:hAnsi="Aptos" w:cs="Aptos"/>
          <w:b/>
          <w:snapToGrid/>
          <w:lang w:val="en-US"/>
        </w:rPr>
        <w:t xml:space="preserve">Appreciates </w:t>
      </w:r>
      <w:r w:rsidRPr="00733E87">
        <w:rPr>
          <w:rFonts w:ascii="Aptos" w:eastAsia="Aptos" w:hAnsi="Aptos" w:cs="Aptos"/>
          <w:snapToGrid/>
          <w:lang w:val="en-US"/>
        </w:rPr>
        <w:t>the number of Member States and communities joining the UNESCO-IOC Tsunami Ready Recognition Programme, with 100 communities from 3</w:t>
      </w:r>
      <w:r w:rsidR="00856929">
        <w:rPr>
          <w:rFonts w:ascii="Aptos" w:eastAsia="Aptos" w:hAnsi="Aptos" w:cs="Aptos"/>
          <w:snapToGrid/>
          <w:lang w:val="en-US"/>
        </w:rPr>
        <w:t>1</w:t>
      </w:r>
      <w:r w:rsidRPr="00733E87">
        <w:rPr>
          <w:rFonts w:ascii="Aptos" w:eastAsia="Aptos" w:hAnsi="Aptos" w:cs="Aptos"/>
          <w:snapToGrid/>
          <w:lang w:val="en-US"/>
        </w:rPr>
        <w:t xml:space="preserve"> countries already recognized, of which 10 SIDS</w:t>
      </w:r>
    </w:p>
    <w:p w14:paraId="223366B1" w14:textId="77777777" w:rsidR="00733E87" w:rsidRPr="00733E87" w:rsidRDefault="00733E87" w:rsidP="00733E87">
      <w:pPr>
        <w:tabs>
          <w:tab w:val="clear" w:pos="709"/>
        </w:tabs>
        <w:snapToGrid/>
        <w:spacing w:after="160" w:line="278" w:lineRule="auto"/>
        <w:jc w:val="both"/>
        <w:rPr>
          <w:rFonts w:ascii="Aptos" w:eastAsia="Aptos" w:hAnsi="Aptos" w:cs="Aptos"/>
          <w:b/>
          <w:snapToGrid/>
          <w:highlight w:val="white"/>
          <w:lang w:val="en-US"/>
        </w:rPr>
      </w:pPr>
      <w:proofErr w:type="gramStart"/>
      <w:r w:rsidRPr="00733E87">
        <w:rPr>
          <w:rFonts w:ascii="Aptos" w:eastAsia="Aptos" w:hAnsi="Aptos" w:cs="Aptos"/>
          <w:b/>
          <w:snapToGrid/>
          <w:highlight w:val="white"/>
          <w:lang w:val="en-US"/>
        </w:rPr>
        <w:t>Recommends</w:t>
      </w:r>
      <w:proofErr w:type="gramEnd"/>
    </w:p>
    <w:p w14:paraId="28F7641A" w14:textId="77777777" w:rsidR="00733E87" w:rsidRPr="00733E87" w:rsidRDefault="00733E87" w:rsidP="00733E87">
      <w:pPr>
        <w:numPr>
          <w:ilvl w:val="0"/>
          <w:numId w:val="132"/>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highlight w:val="white"/>
          <w:lang w:val="en-US"/>
        </w:rPr>
        <w:t>To start reporting</w:t>
      </w:r>
      <w:r w:rsidRPr="00733E87">
        <w:rPr>
          <w:rFonts w:ascii="Aptos" w:eastAsia="Aptos" w:hAnsi="Aptos" w:cs="Aptos"/>
          <w:snapToGrid/>
          <w:lang w:val="en-US"/>
        </w:rPr>
        <w:t xml:space="preserve"> TRR communities as soon as effectively possible by percent to get a better idea of how close we are to the Ocean Decade goal of 100% percent of at-risk communities to be TR.</w:t>
      </w:r>
    </w:p>
    <w:p w14:paraId="35C7FE15" w14:textId="77777777" w:rsidR="00733E87" w:rsidRPr="00733E87" w:rsidRDefault="00733E87" w:rsidP="00733E87">
      <w:pPr>
        <w:numPr>
          <w:ilvl w:val="0"/>
          <w:numId w:val="132"/>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To produce a report including reflections on the main challenges that are being identified in the implementation of the TRRP, as well as proposals of mitigating measures to address them (considering, among others, the challenges included in the list provided by the ICG NEAM-TWS).</w:t>
      </w:r>
    </w:p>
    <w:p w14:paraId="546B2DCA" w14:textId="77777777" w:rsidR="00733E87" w:rsidRPr="00733E87" w:rsidRDefault="00733E87" w:rsidP="00733E87">
      <w:pPr>
        <w:numPr>
          <w:ilvl w:val="0"/>
          <w:numId w:val="132"/>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Exploring the creation of a global facility to facilitate data and development of inundation and evacuation maps in a more efficient way.</w:t>
      </w:r>
    </w:p>
    <w:p w14:paraId="2EC88722" w14:textId="77777777" w:rsidR="00733E87" w:rsidRPr="00733E87" w:rsidRDefault="00733E87" w:rsidP="00733E87">
      <w:pPr>
        <w:numPr>
          <w:ilvl w:val="0"/>
          <w:numId w:val="132"/>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Developing a strategy to focus early actions on hazard and risk assessments, to enable the implementation of TR. </w:t>
      </w:r>
    </w:p>
    <w:p w14:paraId="5DF4FAA4" w14:textId="77777777" w:rsidR="00733E87" w:rsidRPr="00733E87" w:rsidRDefault="00733E87" w:rsidP="00733E87">
      <w:pPr>
        <w:numPr>
          <w:ilvl w:val="0"/>
          <w:numId w:val="132"/>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Translating evaluation forms into French and Spanish, making the application submission more efficient, providing tools to facilitate annual reporting, identifying national TR focal points, and consistent reporting mechanisms on </w:t>
      </w:r>
      <w:r w:rsidRPr="00733E87">
        <w:rPr>
          <w:rFonts w:ascii="Aptos" w:eastAsia="Aptos" w:hAnsi="Aptos" w:cs="Aptos"/>
          <w:snapToGrid/>
          <w:lang w:val="en-US"/>
        </w:rPr>
        <w:lastRenderedPageBreak/>
        <w:t xml:space="preserve">better integration of people with disabilities; solutions to vandalism and multi-hazard risks affecting TR recognitions. </w:t>
      </w:r>
    </w:p>
    <w:p w14:paraId="1A4056DF" w14:textId="77777777" w:rsidR="00733E87" w:rsidRPr="00733E87" w:rsidRDefault="00733E87" w:rsidP="00733E87">
      <w:pPr>
        <w:numPr>
          <w:ilvl w:val="0"/>
          <w:numId w:val="132"/>
        </w:num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snapToGrid/>
          <w:lang w:val="en-US"/>
        </w:rPr>
        <w:t xml:space="preserve">Organizing a Tsunami Ready Summit in the Caribbean? Or globally? </w:t>
      </w:r>
      <w:proofErr w:type="gramStart"/>
      <w:r w:rsidRPr="00733E87">
        <w:rPr>
          <w:rFonts w:ascii="Aptos" w:eastAsia="Aptos" w:hAnsi="Aptos" w:cs="Aptos"/>
          <w:snapToGrid/>
          <w:lang w:val="en-US"/>
        </w:rPr>
        <w:t>if</w:t>
      </w:r>
      <w:proofErr w:type="gramEnd"/>
      <w:r w:rsidRPr="00733E87">
        <w:rPr>
          <w:rFonts w:ascii="Aptos" w:eastAsia="Aptos" w:hAnsi="Aptos" w:cs="Aptos"/>
          <w:snapToGrid/>
          <w:lang w:val="en-US"/>
        </w:rPr>
        <w:t xml:space="preserve"> funds are available in 2025/2026 to strengthen collaboration and strategy. </w:t>
      </w:r>
    </w:p>
    <w:p w14:paraId="31517511"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 xml:space="preserve">Notes </w:t>
      </w:r>
      <w:r w:rsidRPr="00733E87">
        <w:rPr>
          <w:rFonts w:ascii="Aptos" w:eastAsia="Aptos" w:hAnsi="Aptos" w:cs="Aptos"/>
          <w:snapToGrid/>
          <w:lang w:val="en-US"/>
        </w:rPr>
        <w:t xml:space="preserve">the funding and staffing shortages, obstacles and challenges slowing down TR </w:t>
      </w:r>
      <w:proofErr w:type="gramStart"/>
      <w:r w:rsidRPr="00733E87">
        <w:rPr>
          <w:rFonts w:ascii="Aptos" w:eastAsia="Aptos" w:hAnsi="Aptos" w:cs="Aptos"/>
          <w:snapToGrid/>
          <w:lang w:val="en-US"/>
        </w:rPr>
        <w:t>recognitions</w:t>
      </w:r>
      <w:proofErr w:type="gramEnd"/>
      <w:r w:rsidRPr="00733E87">
        <w:rPr>
          <w:rFonts w:ascii="Aptos" w:eastAsia="Aptos" w:hAnsi="Aptos" w:cs="Aptos"/>
          <w:snapToGrid/>
          <w:lang w:val="en-US"/>
        </w:rPr>
        <w:t xml:space="preserve"> and renewals. </w:t>
      </w:r>
    </w:p>
    <w:p w14:paraId="1D04CEAA"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Further notes</w:t>
      </w:r>
      <w:r w:rsidRPr="00733E87">
        <w:rPr>
          <w:rFonts w:ascii="Aptos" w:eastAsia="Aptos" w:hAnsi="Aptos" w:cs="Aptos"/>
          <w:snapToGrid/>
          <w:lang w:val="en-US"/>
        </w:rPr>
        <w:t xml:space="preserve"> that all TICs face resource limitations, causing delays in implementation.</w:t>
      </w:r>
    </w:p>
    <w:p w14:paraId="5C792028"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Further notes</w:t>
      </w:r>
      <w:r w:rsidRPr="00733E87">
        <w:rPr>
          <w:rFonts w:ascii="Aptos" w:eastAsia="Aptos" w:hAnsi="Aptos" w:cs="Aptos"/>
          <w:snapToGrid/>
          <w:lang w:val="en-US"/>
        </w:rPr>
        <w:t xml:space="preserve"> the importance of securing technical support from social scientists for data analysis.</w:t>
      </w:r>
    </w:p>
    <w:p w14:paraId="2DD3748D" w14:textId="77777777" w:rsidR="00733E87" w:rsidRPr="00733E87" w:rsidRDefault="00733E87" w:rsidP="00733E87">
      <w:pPr>
        <w:tabs>
          <w:tab w:val="clear" w:pos="709"/>
        </w:tabs>
        <w:snapToGrid/>
        <w:spacing w:after="160" w:line="278" w:lineRule="auto"/>
        <w:jc w:val="both"/>
        <w:rPr>
          <w:rFonts w:ascii="Aptos" w:eastAsia="Aptos" w:hAnsi="Aptos" w:cs="Aptos"/>
          <w:b/>
          <w:snapToGrid/>
          <w:color w:val="980000"/>
          <w:lang w:val="en-US"/>
        </w:rPr>
      </w:pPr>
      <w:r w:rsidRPr="00733E87">
        <w:rPr>
          <w:rFonts w:ascii="Aptos" w:eastAsia="Aptos" w:hAnsi="Aptos" w:cs="Aptos"/>
          <w:b/>
          <w:snapToGrid/>
          <w:lang w:val="en-US"/>
        </w:rPr>
        <w:t>Also notes</w:t>
      </w:r>
      <w:r w:rsidRPr="00733E87">
        <w:rPr>
          <w:rFonts w:ascii="Aptos" w:eastAsia="Aptos" w:hAnsi="Aptos" w:cs="Aptos"/>
          <w:snapToGrid/>
          <w:lang w:val="en-US"/>
        </w:rPr>
        <w:t xml:space="preserve"> the potential critical role of public private partnerships and the need for a high level of scrutiny to ensure the values and integrity of UNESCO are maintained.</w:t>
      </w:r>
    </w:p>
    <w:p w14:paraId="242B0CC8" w14:textId="77777777" w:rsidR="00733E87" w:rsidRPr="00733E87" w:rsidRDefault="00733E87" w:rsidP="00733E87">
      <w:pPr>
        <w:tabs>
          <w:tab w:val="clear" w:pos="709"/>
        </w:tabs>
        <w:snapToGrid/>
        <w:spacing w:after="160" w:line="278" w:lineRule="auto"/>
        <w:rPr>
          <w:rFonts w:ascii="Aptos" w:eastAsia="Aptos" w:hAnsi="Aptos" w:cs="Aptos"/>
          <w:b/>
          <w:bCs/>
          <w:snapToGrid/>
          <w:color w:val="C00000"/>
          <w:lang w:val="en-US"/>
        </w:rPr>
      </w:pPr>
      <w:bookmarkStart w:id="214" w:name="_i2tkbicwepb9" w:colFirst="0" w:colLast="0"/>
      <w:bookmarkEnd w:id="214"/>
      <w:r w:rsidRPr="00733E87">
        <w:rPr>
          <w:rFonts w:ascii="Aptos" w:eastAsia="Aptos" w:hAnsi="Aptos" w:cs="Aptos"/>
          <w:b/>
          <w:bCs/>
          <w:snapToGrid/>
          <w:color w:val="C00000"/>
          <w:lang w:val="en-US"/>
        </w:rPr>
        <w:t>SYNERGY WITH LOCAL AND NATIONAL RESILIENT PROGRAMMES (TSUNAMI PARITY)</w:t>
      </w:r>
    </w:p>
    <w:p w14:paraId="22961A0B"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snapToGrid/>
          <w:lang w:val="en-US"/>
        </w:rPr>
      </w:pPr>
      <w:r w:rsidRPr="00733E87">
        <w:rPr>
          <w:rFonts w:ascii="Aptos" w:eastAsia="Aptos" w:hAnsi="Aptos" w:cs="Aptos"/>
          <w:b/>
          <w:snapToGrid/>
          <w:color w:val="0000FF"/>
          <w:lang w:val="en-US"/>
        </w:rPr>
        <w:t>Recommendation to TOWS</w:t>
      </w:r>
      <w:r w:rsidRPr="00733E87">
        <w:rPr>
          <w:rFonts w:ascii="Aptos" w:eastAsia="Aptos" w:hAnsi="Aptos" w:cs="Aptos"/>
          <w:b/>
          <w:snapToGrid/>
          <w:color w:val="0070C0"/>
          <w:lang w:val="en-US"/>
        </w:rPr>
        <w:t xml:space="preserve"> </w:t>
      </w:r>
    </w:p>
    <w:p w14:paraId="7371D31D"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proofErr w:type="gramStart"/>
      <w:r w:rsidRPr="00733E87">
        <w:rPr>
          <w:rFonts w:ascii="Aptos" w:eastAsia="Aptos" w:hAnsi="Aptos" w:cs="Aptos"/>
          <w:b/>
          <w:snapToGrid/>
          <w:lang w:val="en-US"/>
        </w:rPr>
        <w:t>Appreciates</w:t>
      </w:r>
      <w:proofErr w:type="gramEnd"/>
      <w:r w:rsidRPr="00733E87">
        <w:rPr>
          <w:rFonts w:ascii="Aptos" w:eastAsia="Aptos" w:hAnsi="Aptos" w:cs="Aptos"/>
          <w:snapToGrid/>
          <w:lang w:val="en-US"/>
        </w:rPr>
        <w:t xml:space="preserve"> the progress made </w:t>
      </w:r>
      <w:proofErr w:type="gramStart"/>
      <w:r w:rsidRPr="00733E87">
        <w:rPr>
          <w:rFonts w:ascii="Aptos" w:eastAsia="Aptos" w:hAnsi="Aptos" w:cs="Aptos"/>
          <w:snapToGrid/>
          <w:lang w:val="en-US"/>
        </w:rPr>
        <w:t>for establishing</w:t>
      </w:r>
      <w:proofErr w:type="gramEnd"/>
      <w:r w:rsidRPr="00733E87">
        <w:rPr>
          <w:rFonts w:ascii="Aptos" w:eastAsia="Aptos" w:hAnsi="Aptos" w:cs="Aptos"/>
          <w:snapToGrid/>
          <w:lang w:val="en-US"/>
        </w:rPr>
        <w:t xml:space="preserve"> the Tsunami Ready Equivalency for the PTWS by developing a draft guidance using the Tsunami Ready indicators as a foundation.</w:t>
      </w:r>
    </w:p>
    <w:p w14:paraId="70BCE56F" w14:textId="77777777" w:rsidR="00733E87" w:rsidRPr="00733E87" w:rsidRDefault="00733E87" w:rsidP="00733E87">
      <w:pPr>
        <w:tabs>
          <w:tab w:val="clear" w:pos="709"/>
        </w:tabs>
        <w:snapToGrid/>
        <w:spacing w:after="160" w:line="278" w:lineRule="auto"/>
        <w:jc w:val="both"/>
        <w:rPr>
          <w:rFonts w:ascii="Aptos" w:eastAsia="Aptos" w:hAnsi="Aptos" w:cs="Aptos"/>
          <w:b/>
          <w:snapToGrid/>
          <w:color w:val="980000"/>
          <w:lang w:val="en-US"/>
        </w:rPr>
      </w:pPr>
      <w:r w:rsidRPr="00733E87">
        <w:rPr>
          <w:rFonts w:ascii="Aptos" w:eastAsia="Aptos" w:hAnsi="Aptos" w:cs="Aptos"/>
          <w:b/>
          <w:snapToGrid/>
          <w:lang w:val="en-US"/>
        </w:rPr>
        <w:t>Notes</w:t>
      </w:r>
      <w:r w:rsidRPr="00733E87">
        <w:rPr>
          <w:rFonts w:ascii="Aptos" w:eastAsia="Aptos" w:hAnsi="Aptos" w:cs="Aptos"/>
          <w:snapToGrid/>
          <w:lang w:val="en-US"/>
        </w:rPr>
        <w:t xml:space="preserve"> that the PTWS will explore ways to further recognize and promote the benefits of formal Tsunami Ready Recognition, which remains the preferred approach by TOWS.</w:t>
      </w:r>
    </w:p>
    <w:p w14:paraId="19BAD4BA" w14:textId="77777777" w:rsidR="00733E87" w:rsidRPr="00733E87" w:rsidRDefault="00733E87" w:rsidP="00733E87">
      <w:pPr>
        <w:tabs>
          <w:tab w:val="clear" w:pos="709"/>
        </w:tabs>
        <w:snapToGrid/>
        <w:spacing w:after="160" w:line="278" w:lineRule="auto"/>
        <w:rPr>
          <w:rFonts w:ascii="Aptos" w:eastAsia="Aptos" w:hAnsi="Aptos" w:cs="Aptos"/>
          <w:b/>
          <w:bCs/>
          <w:snapToGrid/>
          <w:color w:val="C00000"/>
          <w:lang w:val="en-US"/>
        </w:rPr>
      </w:pPr>
      <w:bookmarkStart w:id="215" w:name="_rf1vw53z73ko" w:colFirst="0" w:colLast="0"/>
      <w:bookmarkEnd w:id="215"/>
      <w:r w:rsidRPr="00733E87">
        <w:rPr>
          <w:rFonts w:ascii="Aptos" w:eastAsia="Aptos" w:hAnsi="Aptos" w:cs="Aptos"/>
          <w:b/>
          <w:bCs/>
          <w:snapToGrid/>
          <w:color w:val="C00000"/>
          <w:lang w:val="en-US"/>
        </w:rPr>
        <w:t>TSUNAMI READY TOOL KIT</w:t>
      </w:r>
    </w:p>
    <w:p w14:paraId="2F7FB1B9"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snapToGrid/>
          <w:lang w:val="en-US"/>
        </w:rPr>
      </w:pPr>
      <w:r w:rsidRPr="00733E87">
        <w:rPr>
          <w:rFonts w:ascii="Aptos" w:eastAsia="Aptos" w:hAnsi="Aptos" w:cs="Aptos"/>
          <w:b/>
          <w:snapToGrid/>
          <w:color w:val="0000FF"/>
          <w:lang w:val="en-US"/>
        </w:rPr>
        <w:t>Recommendation to Secretariat</w:t>
      </w:r>
    </w:p>
    <w:p w14:paraId="50D1CAFE"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Recommends</w:t>
      </w:r>
      <w:r w:rsidRPr="00733E87">
        <w:rPr>
          <w:rFonts w:ascii="Aptos" w:eastAsia="Aptos" w:hAnsi="Aptos" w:cs="Aptos"/>
          <w:snapToGrid/>
          <w:lang w:val="en-US"/>
        </w:rPr>
        <w:t xml:space="preserve"> Secretariat to inform Member States on the Toolkit’s availability via IOC Circular Letter to the Tsunami National Contacts, National Tsunami Ready Board, and widely through the attaching this as an appendix of the Manual and Guide 74</w:t>
      </w:r>
    </w:p>
    <w:p w14:paraId="1B654260"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snapToGrid/>
          <w:lang w:val="en-US"/>
        </w:rPr>
      </w:pPr>
      <w:r w:rsidRPr="00733E87">
        <w:rPr>
          <w:rFonts w:ascii="Aptos" w:eastAsia="Aptos" w:hAnsi="Aptos" w:cs="Aptos"/>
          <w:b/>
          <w:snapToGrid/>
          <w:color w:val="0000FF"/>
          <w:lang w:val="en-US"/>
        </w:rPr>
        <w:t xml:space="preserve">Recommendation </w:t>
      </w:r>
      <w:proofErr w:type="gramStart"/>
      <w:r w:rsidRPr="00733E87">
        <w:rPr>
          <w:rFonts w:ascii="Aptos" w:eastAsia="Aptos" w:hAnsi="Aptos" w:cs="Aptos"/>
          <w:b/>
          <w:snapToGrid/>
          <w:color w:val="0000FF"/>
          <w:lang w:val="en-US"/>
        </w:rPr>
        <w:t>to</w:t>
      </w:r>
      <w:proofErr w:type="gramEnd"/>
      <w:r w:rsidRPr="00733E87">
        <w:rPr>
          <w:rFonts w:ascii="Aptos" w:eastAsia="Aptos" w:hAnsi="Aptos" w:cs="Aptos"/>
          <w:b/>
          <w:snapToGrid/>
          <w:color w:val="0000FF"/>
          <w:lang w:val="en-US"/>
        </w:rPr>
        <w:t xml:space="preserve"> TICs</w:t>
      </w:r>
    </w:p>
    <w:p w14:paraId="16B01706"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Further Requests</w:t>
      </w:r>
      <w:r w:rsidRPr="00733E87">
        <w:rPr>
          <w:rFonts w:ascii="Aptos" w:eastAsia="Aptos" w:hAnsi="Aptos" w:cs="Aptos"/>
          <w:snapToGrid/>
          <w:lang w:val="en-US"/>
        </w:rPr>
        <w:t xml:space="preserve"> that TICs continue developing additional tools, including:</w:t>
      </w:r>
    </w:p>
    <w:p w14:paraId="7C6FF2DB" w14:textId="77777777" w:rsidR="00733E87" w:rsidRPr="00733E87" w:rsidRDefault="00733E87" w:rsidP="00733E87">
      <w:pPr>
        <w:numPr>
          <w:ilvl w:val="0"/>
          <w:numId w:val="120"/>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Application Form in official UN languages</w:t>
      </w:r>
    </w:p>
    <w:p w14:paraId="6DC4A5CE" w14:textId="77777777" w:rsidR="00733E87" w:rsidRPr="00733E87" w:rsidRDefault="00733E87" w:rsidP="00733E87">
      <w:pPr>
        <w:numPr>
          <w:ilvl w:val="0"/>
          <w:numId w:val="120"/>
        </w:numPr>
        <w:tabs>
          <w:tab w:val="clear" w:pos="709"/>
        </w:tabs>
        <w:snapToGrid/>
        <w:spacing w:after="160" w:line="278" w:lineRule="auto"/>
        <w:rPr>
          <w:rFonts w:ascii="Aptos" w:eastAsia="Aptos" w:hAnsi="Aptos" w:cs="Aptos"/>
          <w:snapToGrid/>
          <w:lang w:val="en-US"/>
        </w:rPr>
      </w:pPr>
      <w:r w:rsidRPr="00733E87">
        <w:rPr>
          <w:rFonts w:ascii="Aptos" w:eastAsia="Aptos" w:hAnsi="Aptos" w:cs="Aptos"/>
          <w:snapToGrid/>
          <w:lang w:val="en-US"/>
        </w:rPr>
        <w:t>More efficient submission procedures</w:t>
      </w:r>
    </w:p>
    <w:p w14:paraId="2C19BF8E" w14:textId="77777777" w:rsidR="00733E87" w:rsidRPr="00733E87" w:rsidRDefault="00733E87" w:rsidP="00733E87">
      <w:pPr>
        <w:numPr>
          <w:ilvl w:val="0"/>
          <w:numId w:val="120"/>
        </w:numPr>
        <w:tabs>
          <w:tab w:val="clear" w:pos="709"/>
        </w:tabs>
        <w:snapToGrid/>
        <w:spacing w:after="160" w:line="278" w:lineRule="auto"/>
        <w:ind w:right="-136"/>
        <w:rPr>
          <w:rFonts w:ascii="Aptos" w:eastAsia="Aptos" w:hAnsi="Aptos" w:cs="Aptos"/>
          <w:snapToGrid/>
          <w:lang w:val="en-US"/>
        </w:rPr>
      </w:pPr>
      <w:r w:rsidRPr="00733E87">
        <w:rPr>
          <w:rFonts w:ascii="Aptos" w:eastAsia="Aptos" w:hAnsi="Aptos" w:cs="Aptos"/>
          <w:snapToGrid/>
          <w:lang w:val="en-US"/>
        </w:rPr>
        <w:t>Tsunami Ready Training providing detailed implementation guidance</w:t>
      </w:r>
    </w:p>
    <w:p w14:paraId="72D67DD4" w14:textId="77777777" w:rsidR="00733E87" w:rsidRPr="00733E87" w:rsidRDefault="00733E87" w:rsidP="00733E87">
      <w:pPr>
        <w:tabs>
          <w:tab w:val="clear" w:pos="709"/>
        </w:tabs>
        <w:snapToGrid/>
        <w:spacing w:after="160" w:line="278" w:lineRule="auto"/>
        <w:ind w:right="-136"/>
        <w:rPr>
          <w:rFonts w:ascii="Aptos" w:eastAsia="Aptos" w:hAnsi="Aptos" w:cs="Aptos"/>
          <w:snapToGrid/>
          <w:lang w:val="en-US"/>
        </w:rPr>
      </w:pPr>
    </w:p>
    <w:p w14:paraId="29A626A7" w14:textId="77777777" w:rsidR="00733E87" w:rsidRPr="00733E87" w:rsidRDefault="00733E87" w:rsidP="00733E87">
      <w:pPr>
        <w:tabs>
          <w:tab w:val="clear" w:pos="709"/>
        </w:tabs>
        <w:snapToGrid/>
        <w:spacing w:after="160" w:line="278" w:lineRule="auto"/>
        <w:rPr>
          <w:rFonts w:ascii="Aptos" w:eastAsia="Arial" w:hAnsi="Aptos" w:cs="Arial"/>
          <w:b/>
          <w:bCs/>
          <w:snapToGrid/>
          <w:color w:val="C00000"/>
          <w:lang w:val="en-US"/>
        </w:rPr>
      </w:pPr>
      <w:bookmarkStart w:id="216" w:name="_mdg6vpgruola" w:colFirst="0" w:colLast="0"/>
      <w:bookmarkEnd w:id="216"/>
      <w:r w:rsidRPr="00733E87">
        <w:rPr>
          <w:rFonts w:ascii="Aptos" w:eastAsia="Aptos" w:hAnsi="Aptos" w:cs="Aptos"/>
          <w:b/>
          <w:bCs/>
          <w:snapToGrid/>
          <w:color w:val="C00000"/>
          <w:lang w:val="en-US"/>
        </w:rPr>
        <w:t xml:space="preserve">TSUNAMI READY COALITION IMPLEMENTATION PLAN </w:t>
      </w:r>
    </w:p>
    <w:p w14:paraId="6625993A"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b/>
          <w:snapToGrid/>
          <w:lang w:val="en-US"/>
        </w:rPr>
      </w:pPr>
      <w:r w:rsidRPr="00733E87">
        <w:rPr>
          <w:rFonts w:ascii="Aptos" w:eastAsia="Aptos" w:hAnsi="Aptos" w:cs="Aptos"/>
          <w:b/>
          <w:snapToGrid/>
          <w:color w:val="0070C0"/>
          <w:lang w:val="en-US"/>
        </w:rPr>
        <w:t xml:space="preserve">Recommendations </w:t>
      </w:r>
      <w:proofErr w:type="gramStart"/>
      <w:r w:rsidRPr="00733E87">
        <w:rPr>
          <w:rFonts w:ascii="Aptos" w:eastAsia="Aptos" w:hAnsi="Aptos" w:cs="Aptos"/>
          <w:b/>
          <w:snapToGrid/>
          <w:color w:val="0070C0"/>
          <w:lang w:val="en-US"/>
        </w:rPr>
        <w:t>to</w:t>
      </w:r>
      <w:proofErr w:type="gramEnd"/>
      <w:r w:rsidRPr="00733E87">
        <w:rPr>
          <w:rFonts w:ascii="Aptos" w:eastAsia="Aptos" w:hAnsi="Aptos" w:cs="Aptos"/>
          <w:b/>
          <w:snapToGrid/>
          <w:color w:val="0070C0"/>
          <w:lang w:val="en-US"/>
        </w:rPr>
        <w:t xml:space="preserve"> TOWS WG</w:t>
      </w:r>
    </w:p>
    <w:p w14:paraId="4B7427A0" w14:textId="77777777" w:rsidR="00733E87" w:rsidRPr="00733E87" w:rsidRDefault="00733E87" w:rsidP="00733E87">
      <w:pPr>
        <w:tabs>
          <w:tab w:val="clear" w:pos="709"/>
        </w:tabs>
        <w:snapToGrid/>
        <w:spacing w:before="240" w:after="240" w:line="254" w:lineRule="auto"/>
        <w:rPr>
          <w:rFonts w:ascii="Aptos" w:eastAsia="Arial" w:hAnsi="Aptos" w:cs="Arial"/>
          <w:snapToGrid/>
          <w:lang w:val="en-US"/>
        </w:rPr>
      </w:pPr>
      <w:r w:rsidRPr="00733E87">
        <w:rPr>
          <w:rFonts w:ascii="Aptos" w:eastAsia="Arial" w:hAnsi="Aptos" w:cs="Arial"/>
          <w:b/>
          <w:snapToGrid/>
          <w:lang w:val="en-US"/>
        </w:rPr>
        <w:lastRenderedPageBreak/>
        <w:t xml:space="preserve">Notes </w:t>
      </w:r>
      <w:r w:rsidRPr="00733E87">
        <w:rPr>
          <w:rFonts w:ascii="Aptos" w:eastAsia="Arial" w:hAnsi="Aptos" w:cs="Arial"/>
          <w:snapToGrid/>
          <w:lang w:val="en-US"/>
        </w:rPr>
        <w:t>that TOWS-WG-XVI (2023) requested the Tsunami Ready Coalition Chair to propose a governing structure for the Tsunami Ready Coalition and that TOWS WG approval is essential for advancing the work of the Tsunami Ready Coalition.</w:t>
      </w:r>
    </w:p>
    <w:p w14:paraId="422111FF" w14:textId="77777777" w:rsidR="00733E87" w:rsidRPr="00733E87" w:rsidRDefault="00733E87" w:rsidP="00733E87">
      <w:pPr>
        <w:tabs>
          <w:tab w:val="clear" w:pos="709"/>
        </w:tabs>
        <w:snapToGrid/>
        <w:spacing w:line="254" w:lineRule="auto"/>
        <w:rPr>
          <w:rFonts w:ascii="Aptos" w:eastAsia="Arial" w:hAnsi="Aptos" w:cs="Arial"/>
          <w:snapToGrid/>
          <w:lang w:val="en-US"/>
        </w:rPr>
      </w:pPr>
      <w:r w:rsidRPr="00733E87">
        <w:rPr>
          <w:rFonts w:ascii="Aptos" w:eastAsia="Arial" w:hAnsi="Aptos" w:cs="Arial"/>
          <w:b/>
          <w:snapToGrid/>
          <w:lang w:val="en-US"/>
        </w:rPr>
        <w:t xml:space="preserve">Also notes </w:t>
      </w:r>
      <w:r w:rsidRPr="00733E87">
        <w:rPr>
          <w:rFonts w:ascii="Aptos" w:eastAsia="Arial" w:hAnsi="Aptos" w:cs="Arial"/>
          <w:snapToGrid/>
          <w:lang w:val="en-US"/>
        </w:rPr>
        <w:t>that the Tsunami Ready Implementation Plan was reviewed by the Ocean Decade Scientific Committee (16-17 January 2025) and the TOWS-TT-DMP (21 February 2025) and is included as part of the Coalition Chair’s report to TOWS-WG-XVIII).</w:t>
      </w:r>
      <w:r w:rsidRPr="00733E87">
        <w:rPr>
          <w:rFonts w:ascii="Aptos" w:eastAsia="Arial" w:hAnsi="Aptos" w:cs="Arial"/>
          <w:snapToGrid/>
          <w:lang w:val="en-US"/>
        </w:rPr>
        <w:br/>
      </w:r>
    </w:p>
    <w:p w14:paraId="09BC3A8F" w14:textId="77777777" w:rsidR="00733E87" w:rsidRPr="00733E87" w:rsidRDefault="00733E87" w:rsidP="00733E87">
      <w:pPr>
        <w:tabs>
          <w:tab w:val="clear" w:pos="709"/>
        </w:tabs>
        <w:snapToGrid/>
        <w:spacing w:line="254" w:lineRule="auto"/>
        <w:rPr>
          <w:rFonts w:ascii="Aptos" w:eastAsia="Arial" w:hAnsi="Aptos" w:cs="Arial"/>
          <w:snapToGrid/>
          <w:lang w:val="en-US"/>
        </w:rPr>
      </w:pPr>
      <w:r w:rsidRPr="00733E87">
        <w:rPr>
          <w:rFonts w:ascii="Aptos" w:eastAsia="Arial" w:hAnsi="Aptos" w:cs="Arial"/>
          <w:snapToGrid/>
          <w:lang w:val="en-US"/>
        </w:rPr>
        <w:t>The TOWS WG:</w:t>
      </w:r>
    </w:p>
    <w:p w14:paraId="151F280A" w14:textId="77777777" w:rsidR="00733E87" w:rsidRPr="00733E87" w:rsidRDefault="00733E87" w:rsidP="00733E87">
      <w:pPr>
        <w:tabs>
          <w:tab w:val="clear" w:pos="709"/>
        </w:tabs>
        <w:snapToGrid/>
        <w:spacing w:line="254" w:lineRule="auto"/>
        <w:rPr>
          <w:rFonts w:ascii="Aptos" w:eastAsia="Arial" w:hAnsi="Aptos" w:cs="Arial"/>
          <w:snapToGrid/>
          <w:lang w:val="en-US"/>
        </w:rPr>
      </w:pPr>
    </w:p>
    <w:p w14:paraId="674FC1ED" w14:textId="77777777" w:rsidR="00733E87" w:rsidRPr="00733E87" w:rsidRDefault="00733E87" w:rsidP="00733E87">
      <w:pPr>
        <w:tabs>
          <w:tab w:val="clear" w:pos="709"/>
        </w:tabs>
        <w:snapToGrid/>
        <w:spacing w:line="276" w:lineRule="auto"/>
        <w:ind w:left="720"/>
        <w:rPr>
          <w:rFonts w:ascii="Aptos" w:eastAsia="Arial" w:hAnsi="Aptos" w:cs="Arial"/>
          <w:snapToGrid/>
          <w:lang w:val="en-US"/>
        </w:rPr>
      </w:pPr>
      <w:r w:rsidRPr="00733E87">
        <w:rPr>
          <w:rFonts w:ascii="Aptos" w:eastAsia="Arial" w:hAnsi="Aptos" w:cs="Arial"/>
          <w:snapToGrid/>
          <w:lang w:val="en-US"/>
        </w:rPr>
        <w:t>•</w:t>
      </w:r>
      <w:r w:rsidRPr="00733E87">
        <w:rPr>
          <w:rFonts w:ascii="Aptos" w:eastAsia="Times New Roman" w:hAnsi="Aptos"/>
          <w:snapToGrid/>
          <w:lang w:val="en-US"/>
        </w:rPr>
        <w:t xml:space="preserve">     </w:t>
      </w:r>
      <w:r w:rsidRPr="00733E87">
        <w:rPr>
          <w:rFonts w:ascii="Aptos" w:eastAsia="Times New Roman" w:hAnsi="Aptos"/>
          <w:b/>
          <w:snapToGrid/>
          <w:lang w:val="en-US"/>
        </w:rPr>
        <w:t xml:space="preserve">  </w:t>
      </w:r>
      <w:r w:rsidRPr="00733E87">
        <w:rPr>
          <w:rFonts w:ascii="Aptos" w:eastAsia="Arial" w:hAnsi="Aptos" w:cs="Arial"/>
          <w:b/>
          <w:snapToGrid/>
          <w:lang w:val="en-US"/>
        </w:rPr>
        <w:t xml:space="preserve">Having considered </w:t>
      </w:r>
      <w:r w:rsidRPr="00733E87">
        <w:rPr>
          <w:rFonts w:ascii="Aptos" w:eastAsia="Arial" w:hAnsi="Aptos" w:cs="Arial"/>
          <w:snapToGrid/>
          <w:lang w:val="en-US"/>
        </w:rPr>
        <w:t xml:space="preserve">the Tsunami Ready Coalition Implementation Plan, </w:t>
      </w:r>
    </w:p>
    <w:p w14:paraId="79CF8712" w14:textId="77777777" w:rsidR="00733E87" w:rsidRPr="00733E87" w:rsidRDefault="00733E87" w:rsidP="00733E87">
      <w:pPr>
        <w:tabs>
          <w:tab w:val="clear" w:pos="709"/>
        </w:tabs>
        <w:snapToGrid/>
        <w:spacing w:line="276" w:lineRule="auto"/>
        <w:ind w:left="720"/>
        <w:rPr>
          <w:rFonts w:ascii="Aptos" w:eastAsia="Arial" w:hAnsi="Aptos" w:cs="Arial"/>
          <w:snapToGrid/>
          <w:lang w:val="en-US"/>
        </w:rPr>
      </w:pPr>
      <w:r w:rsidRPr="00733E87">
        <w:rPr>
          <w:rFonts w:ascii="Aptos" w:eastAsia="Arial" w:hAnsi="Aptos" w:cs="Arial"/>
          <w:snapToGrid/>
          <w:lang w:val="en-US"/>
        </w:rPr>
        <w:t>•</w:t>
      </w:r>
      <w:r w:rsidRPr="00733E87">
        <w:rPr>
          <w:rFonts w:ascii="Aptos" w:eastAsia="Times New Roman" w:hAnsi="Aptos"/>
          <w:snapToGrid/>
          <w:lang w:val="en-US"/>
        </w:rPr>
        <w:t xml:space="preserve">    </w:t>
      </w:r>
      <w:r w:rsidRPr="00733E87">
        <w:rPr>
          <w:rFonts w:ascii="Aptos" w:eastAsia="Times New Roman" w:hAnsi="Aptos"/>
          <w:b/>
          <w:snapToGrid/>
          <w:lang w:val="en-US"/>
        </w:rPr>
        <w:t xml:space="preserve">   </w:t>
      </w:r>
      <w:r w:rsidRPr="00733E87">
        <w:rPr>
          <w:rFonts w:ascii="Aptos" w:eastAsia="Arial" w:hAnsi="Aptos" w:cs="Arial"/>
          <w:b/>
          <w:snapToGrid/>
          <w:lang w:val="en-US"/>
        </w:rPr>
        <w:t>Approves</w:t>
      </w:r>
      <w:r w:rsidRPr="00733E87">
        <w:rPr>
          <w:rFonts w:ascii="Aptos" w:eastAsia="Arial" w:hAnsi="Aptos" w:cs="Arial"/>
          <w:snapToGrid/>
          <w:lang w:val="en-US"/>
        </w:rPr>
        <w:t xml:space="preserve"> the Implementation Plan, including:</w:t>
      </w:r>
    </w:p>
    <w:p w14:paraId="297DC5E9" w14:textId="77777777" w:rsidR="00733E87" w:rsidRPr="00733E87" w:rsidRDefault="00733E87" w:rsidP="00733E87">
      <w:pPr>
        <w:tabs>
          <w:tab w:val="clear" w:pos="709"/>
        </w:tabs>
        <w:snapToGrid/>
        <w:spacing w:line="276" w:lineRule="auto"/>
        <w:ind w:left="720"/>
        <w:rPr>
          <w:rFonts w:ascii="Aptos" w:eastAsia="Arial" w:hAnsi="Aptos" w:cs="Arial"/>
          <w:snapToGrid/>
          <w:lang w:val="en-US"/>
        </w:rPr>
      </w:pPr>
    </w:p>
    <w:p w14:paraId="591E4599" w14:textId="77777777" w:rsidR="00733E87" w:rsidRPr="00733E87" w:rsidRDefault="00733E87" w:rsidP="00733E87">
      <w:pPr>
        <w:numPr>
          <w:ilvl w:val="1"/>
          <w:numId w:val="122"/>
        </w:numPr>
        <w:tabs>
          <w:tab w:val="clear" w:pos="709"/>
        </w:tabs>
        <w:snapToGrid/>
        <w:spacing w:after="160" w:line="276" w:lineRule="auto"/>
        <w:rPr>
          <w:rFonts w:ascii="Aptos" w:eastAsia="Arial" w:hAnsi="Aptos" w:cs="Arial"/>
          <w:snapToGrid/>
          <w:lang w:val="en-US"/>
        </w:rPr>
      </w:pPr>
      <w:r w:rsidRPr="00733E87">
        <w:rPr>
          <w:rFonts w:ascii="Aptos" w:eastAsia="Arial" w:hAnsi="Aptos" w:cs="Arial"/>
          <w:snapToGrid/>
          <w:lang w:val="en-US"/>
        </w:rPr>
        <w:t>The Coalition mandate and terms of reference,</w:t>
      </w:r>
    </w:p>
    <w:p w14:paraId="7960E322" w14:textId="77777777" w:rsidR="00733E87" w:rsidRPr="00733E87" w:rsidRDefault="00733E87" w:rsidP="00733E87">
      <w:pPr>
        <w:numPr>
          <w:ilvl w:val="1"/>
          <w:numId w:val="122"/>
        </w:numPr>
        <w:tabs>
          <w:tab w:val="clear" w:pos="709"/>
        </w:tabs>
        <w:snapToGrid/>
        <w:spacing w:after="160" w:line="276" w:lineRule="auto"/>
        <w:rPr>
          <w:rFonts w:ascii="Aptos" w:eastAsia="Arial" w:hAnsi="Aptos" w:cs="Arial"/>
          <w:snapToGrid/>
          <w:lang w:val="en-US"/>
        </w:rPr>
      </w:pPr>
      <w:r w:rsidRPr="00733E87">
        <w:rPr>
          <w:rFonts w:ascii="Aptos" w:eastAsia="Arial" w:hAnsi="Aptos" w:cs="Arial"/>
          <w:snapToGrid/>
          <w:lang w:val="en-US"/>
        </w:rPr>
        <w:t>The Coalition structure, and</w:t>
      </w:r>
    </w:p>
    <w:p w14:paraId="14F6866A" w14:textId="77777777" w:rsidR="00733E87" w:rsidRPr="00733E87" w:rsidRDefault="00733E87" w:rsidP="00733E87">
      <w:pPr>
        <w:numPr>
          <w:ilvl w:val="1"/>
          <w:numId w:val="122"/>
        </w:numPr>
        <w:tabs>
          <w:tab w:val="clear" w:pos="709"/>
        </w:tabs>
        <w:snapToGrid/>
        <w:spacing w:after="160" w:line="300" w:lineRule="auto"/>
        <w:rPr>
          <w:rFonts w:ascii="Aptos" w:eastAsia="Arial" w:hAnsi="Aptos" w:cs="Arial"/>
          <w:snapToGrid/>
          <w:lang w:val="en-US"/>
        </w:rPr>
      </w:pPr>
      <w:r w:rsidRPr="00733E87">
        <w:rPr>
          <w:rFonts w:ascii="Aptos" w:eastAsia="Arial" w:hAnsi="Aptos" w:cs="Arial"/>
          <w:snapToGrid/>
          <w:lang w:val="en-US"/>
        </w:rPr>
        <w:t>The identified key Coalition Partners.</w:t>
      </w:r>
    </w:p>
    <w:p w14:paraId="508F5C1C" w14:textId="77777777" w:rsidR="00733E87" w:rsidRPr="00733E87" w:rsidRDefault="00733E87" w:rsidP="00733E87">
      <w:pPr>
        <w:tabs>
          <w:tab w:val="clear" w:pos="709"/>
        </w:tabs>
        <w:snapToGrid/>
        <w:spacing w:before="240" w:after="240" w:line="276" w:lineRule="auto"/>
        <w:ind w:left="1080" w:hanging="360"/>
        <w:rPr>
          <w:rFonts w:ascii="Aptos" w:eastAsia="Arial" w:hAnsi="Aptos" w:cs="Arial"/>
          <w:snapToGrid/>
          <w:color w:val="222222"/>
          <w:lang w:val="en-US"/>
        </w:rPr>
      </w:pPr>
      <w:r w:rsidRPr="00733E87">
        <w:rPr>
          <w:rFonts w:ascii="Aptos" w:eastAsia="Arial" w:hAnsi="Aptos" w:cs="Arial"/>
          <w:snapToGrid/>
          <w:lang w:val="en-US"/>
        </w:rPr>
        <w:t>•</w:t>
      </w:r>
      <w:r w:rsidRPr="00733E87">
        <w:rPr>
          <w:rFonts w:ascii="Aptos" w:eastAsia="Times New Roman" w:hAnsi="Aptos"/>
          <w:snapToGrid/>
          <w:lang w:val="en-US"/>
        </w:rPr>
        <w:t xml:space="preserve">       </w:t>
      </w:r>
      <w:r w:rsidRPr="00733E87">
        <w:rPr>
          <w:rFonts w:ascii="Aptos" w:eastAsia="Arial" w:hAnsi="Aptos" w:cs="Arial"/>
          <w:b/>
          <w:snapToGrid/>
          <w:color w:val="222222"/>
          <w:lang w:val="en-US"/>
        </w:rPr>
        <w:t>Notes</w:t>
      </w:r>
      <w:r w:rsidRPr="00733E87">
        <w:rPr>
          <w:rFonts w:ascii="Aptos" w:eastAsia="Arial" w:hAnsi="Aptos" w:cs="Arial"/>
          <w:snapToGrid/>
          <w:color w:val="222222"/>
          <w:lang w:val="en-US"/>
        </w:rPr>
        <w:t xml:space="preserve"> that the Plan will remain a dynamic document to allow for updates to the Plan, with updates reflected in the Coalition’s reports to the TOWS-WG.</w:t>
      </w:r>
    </w:p>
    <w:p w14:paraId="26CD8294" w14:textId="77777777" w:rsidR="00733E87" w:rsidRPr="00733E87" w:rsidRDefault="00733E87" w:rsidP="00733E87">
      <w:pPr>
        <w:numPr>
          <w:ilvl w:val="0"/>
          <w:numId w:val="117"/>
        </w:numPr>
        <w:tabs>
          <w:tab w:val="clear" w:pos="709"/>
        </w:tabs>
        <w:snapToGrid/>
        <w:spacing w:before="240" w:after="160" w:line="276" w:lineRule="auto"/>
        <w:ind w:left="1080"/>
        <w:rPr>
          <w:rFonts w:ascii="Aptos" w:eastAsia="Arial" w:hAnsi="Aptos" w:cs="Arial"/>
          <w:snapToGrid/>
          <w:highlight w:val="white"/>
          <w:lang w:val="en-US"/>
        </w:rPr>
      </w:pPr>
      <w:r w:rsidRPr="00733E87">
        <w:rPr>
          <w:rFonts w:ascii="Aptos" w:eastAsia="Arial" w:hAnsi="Aptos" w:cs="Arial"/>
          <w:b/>
          <w:snapToGrid/>
          <w:lang w:val="en-US"/>
        </w:rPr>
        <w:t>Recommends</w:t>
      </w:r>
      <w:r w:rsidRPr="00733E87">
        <w:rPr>
          <w:rFonts w:ascii="Aptos" w:eastAsia="Arial" w:hAnsi="Aptos" w:cs="Arial"/>
          <w:snapToGrid/>
          <w:lang w:val="en-US"/>
        </w:rPr>
        <w:t xml:space="preserve"> the Se</w:t>
      </w:r>
      <w:r w:rsidRPr="00733E87">
        <w:rPr>
          <w:rFonts w:ascii="Aptos" w:eastAsia="Arial" w:hAnsi="Aptos" w:cs="Arial"/>
          <w:snapToGrid/>
          <w:highlight w:val="white"/>
          <w:lang w:val="en-US"/>
        </w:rPr>
        <w:t>cretariat to finalize in consultation with the Tsunami Ready Coalition Chair the Coalition Partners, 'Ambassadors' or similar namesake, and Coalition Co-Chair.</w:t>
      </w:r>
      <w:r w:rsidRPr="00733E87">
        <w:rPr>
          <w:rFonts w:ascii="Aptos" w:eastAsia="Arial" w:hAnsi="Aptos" w:cs="Arial"/>
          <w:snapToGrid/>
          <w:highlight w:val="white"/>
          <w:lang w:val="en-US"/>
        </w:rPr>
        <w:br/>
      </w:r>
    </w:p>
    <w:p w14:paraId="35172A87" w14:textId="77777777" w:rsidR="00733E87" w:rsidRPr="00733E87" w:rsidRDefault="00733E87" w:rsidP="00733E87">
      <w:pPr>
        <w:numPr>
          <w:ilvl w:val="0"/>
          <w:numId w:val="117"/>
        </w:numPr>
        <w:tabs>
          <w:tab w:val="clear" w:pos="709"/>
        </w:tabs>
        <w:snapToGrid/>
        <w:spacing w:after="240" w:line="276" w:lineRule="auto"/>
        <w:ind w:left="1080"/>
        <w:rPr>
          <w:rFonts w:ascii="Aptos" w:eastAsia="Arial" w:hAnsi="Aptos" w:cs="Arial"/>
          <w:snapToGrid/>
          <w:lang w:val="en-US"/>
        </w:rPr>
      </w:pPr>
      <w:r w:rsidRPr="00733E87">
        <w:rPr>
          <w:rFonts w:ascii="Aptos" w:eastAsia="Arial" w:hAnsi="Aptos" w:cs="Arial"/>
          <w:b/>
          <w:snapToGrid/>
          <w:lang w:val="en-US"/>
        </w:rPr>
        <w:t>Recommends the</w:t>
      </w:r>
      <w:r w:rsidRPr="00733E87">
        <w:rPr>
          <w:rFonts w:ascii="Aptos" w:eastAsia="Arial" w:hAnsi="Aptos" w:cs="Arial"/>
          <w:snapToGrid/>
          <w:lang w:val="en-US"/>
        </w:rPr>
        <w:t xml:space="preserve"> IOC Executive Secretary </w:t>
      </w:r>
      <w:proofErr w:type="gramStart"/>
      <w:r w:rsidRPr="00733E87">
        <w:rPr>
          <w:rFonts w:ascii="Aptos" w:eastAsia="Arial" w:hAnsi="Aptos" w:cs="Arial"/>
          <w:snapToGrid/>
          <w:lang w:val="en-US"/>
        </w:rPr>
        <w:t>to extend</w:t>
      </w:r>
      <w:proofErr w:type="gramEnd"/>
      <w:r w:rsidRPr="00733E87">
        <w:rPr>
          <w:rFonts w:ascii="Aptos" w:eastAsia="Arial" w:hAnsi="Aptos" w:cs="Arial"/>
          <w:snapToGrid/>
          <w:lang w:val="en-US"/>
        </w:rPr>
        <w:t xml:space="preserve"> invitations to the proposed Coalition Partners and Ambassadors, and a Coalition Co-chair.</w:t>
      </w:r>
    </w:p>
    <w:p w14:paraId="54C750D0" w14:textId="77777777" w:rsidR="00733E87" w:rsidRPr="00733E87" w:rsidRDefault="00733E87" w:rsidP="00733E87">
      <w:pPr>
        <w:tabs>
          <w:tab w:val="clear" w:pos="709"/>
        </w:tabs>
        <w:snapToGrid/>
        <w:spacing w:before="240" w:after="240" w:line="276" w:lineRule="auto"/>
        <w:ind w:left="720"/>
        <w:rPr>
          <w:rFonts w:ascii="Aptos" w:eastAsia="Arial" w:hAnsi="Aptos" w:cs="Arial"/>
          <w:snapToGrid/>
          <w:lang w:val="en-US"/>
        </w:rPr>
      </w:pPr>
      <w:r w:rsidRPr="00733E87">
        <w:rPr>
          <w:rFonts w:ascii="Aptos" w:eastAsia="Arial" w:hAnsi="Aptos" w:cs="Arial"/>
          <w:snapToGrid/>
          <w:lang w:val="en-US"/>
        </w:rPr>
        <w:t>•</w:t>
      </w:r>
      <w:r w:rsidRPr="00733E87">
        <w:rPr>
          <w:rFonts w:ascii="Aptos" w:eastAsia="Times New Roman" w:hAnsi="Aptos"/>
          <w:snapToGrid/>
          <w:lang w:val="en-US"/>
        </w:rPr>
        <w:t xml:space="preserve">       </w:t>
      </w:r>
      <w:r w:rsidRPr="00733E87">
        <w:rPr>
          <w:rFonts w:ascii="Aptos" w:eastAsia="Arial" w:hAnsi="Aptos" w:cs="Arial"/>
          <w:b/>
          <w:snapToGrid/>
          <w:lang w:val="en-US"/>
        </w:rPr>
        <w:t>Requests</w:t>
      </w:r>
      <w:r w:rsidRPr="00733E87">
        <w:rPr>
          <w:rFonts w:ascii="Aptos" w:eastAsia="Arial" w:hAnsi="Aptos" w:cs="Arial"/>
          <w:snapToGrid/>
          <w:lang w:val="en-US"/>
        </w:rPr>
        <w:t xml:space="preserve"> ICGs to prioritize regional Tsunami Ready workshops or summits in 2025 and conduct further workshops or summits before 2030.</w:t>
      </w:r>
    </w:p>
    <w:p w14:paraId="7D74183F" w14:textId="77777777" w:rsidR="00733E87" w:rsidRPr="00733E87" w:rsidRDefault="00733E87" w:rsidP="00733E87">
      <w:pPr>
        <w:tabs>
          <w:tab w:val="clear" w:pos="709"/>
        </w:tabs>
        <w:snapToGrid/>
        <w:spacing w:before="240" w:after="240" w:line="276" w:lineRule="auto"/>
        <w:ind w:left="720"/>
        <w:rPr>
          <w:rFonts w:ascii="Aptos" w:eastAsia="Aptos" w:hAnsi="Aptos" w:cs="Aptos"/>
          <w:b/>
          <w:snapToGrid/>
          <w:color w:val="980000"/>
          <w:lang w:val="en-US"/>
        </w:rPr>
      </w:pPr>
      <w:r w:rsidRPr="00733E87">
        <w:rPr>
          <w:rFonts w:ascii="Aptos" w:eastAsia="Arial" w:hAnsi="Aptos" w:cs="Arial"/>
          <w:snapToGrid/>
          <w:lang w:val="en-US"/>
        </w:rPr>
        <w:t>•</w:t>
      </w:r>
      <w:r w:rsidRPr="00733E87">
        <w:rPr>
          <w:rFonts w:ascii="Aptos" w:eastAsia="Times New Roman" w:hAnsi="Aptos"/>
          <w:snapToGrid/>
          <w:lang w:val="en-US"/>
        </w:rPr>
        <w:t xml:space="preserve">       </w:t>
      </w:r>
      <w:r w:rsidRPr="00733E87">
        <w:rPr>
          <w:rFonts w:ascii="Aptos" w:eastAsia="Arial" w:hAnsi="Aptos" w:cs="Arial"/>
          <w:b/>
          <w:snapToGrid/>
          <w:lang w:val="en-US"/>
        </w:rPr>
        <w:t>Notes</w:t>
      </w:r>
      <w:r w:rsidRPr="00733E87">
        <w:rPr>
          <w:rFonts w:ascii="Aptos" w:eastAsia="Arial" w:hAnsi="Aptos" w:cs="Arial"/>
          <w:snapToGrid/>
          <w:lang w:val="en-US"/>
        </w:rPr>
        <w:t xml:space="preserve"> resource and capacity constraints that will stymie progress of the TRC Coalition Implementation Plan, requests the IOC Executive Secretary to urgently address </w:t>
      </w:r>
    </w:p>
    <w:p w14:paraId="63131D97" w14:textId="77777777" w:rsidR="00733E87" w:rsidRPr="00733E87" w:rsidRDefault="00733E87" w:rsidP="00733E87">
      <w:pPr>
        <w:tabs>
          <w:tab w:val="clear" w:pos="709"/>
        </w:tabs>
        <w:snapToGrid/>
        <w:spacing w:after="160" w:line="278" w:lineRule="auto"/>
        <w:rPr>
          <w:rFonts w:ascii="Aptos" w:eastAsia="Aptos" w:hAnsi="Aptos" w:cs="Aptos"/>
          <w:b/>
          <w:bCs/>
          <w:snapToGrid/>
          <w:color w:val="C00000"/>
          <w:lang w:val="en-US"/>
        </w:rPr>
      </w:pPr>
      <w:bookmarkStart w:id="217" w:name="_ltq16meyuzoo" w:colFirst="0" w:colLast="0"/>
      <w:bookmarkEnd w:id="217"/>
    </w:p>
    <w:p w14:paraId="6F630650" w14:textId="77777777" w:rsidR="00733E87" w:rsidRPr="00733E87" w:rsidRDefault="00733E87" w:rsidP="00733E87">
      <w:pPr>
        <w:tabs>
          <w:tab w:val="clear" w:pos="709"/>
        </w:tabs>
        <w:snapToGrid/>
        <w:spacing w:after="160" w:line="278" w:lineRule="auto"/>
        <w:rPr>
          <w:rFonts w:ascii="Aptos" w:eastAsia="Aptos" w:hAnsi="Aptos" w:cs="Aptos"/>
          <w:b/>
          <w:bCs/>
          <w:snapToGrid/>
          <w:color w:val="C00000"/>
          <w:lang w:val="en-US"/>
        </w:rPr>
      </w:pPr>
      <w:r w:rsidRPr="00733E87">
        <w:rPr>
          <w:rFonts w:ascii="Aptos" w:eastAsia="Aptos" w:hAnsi="Aptos" w:cs="Aptos"/>
          <w:b/>
          <w:bCs/>
          <w:snapToGrid/>
          <w:color w:val="C00000"/>
          <w:lang w:val="en-US"/>
        </w:rPr>
        <w:t xml:space="preserve">POLICY AND FUTURE IMPLEMENTATION: TSUNAMI READY </w:t>
      </w:r>
    </w:p>
    <w:p w14:paraId="44F630CF"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snapToGrid/>
          <w:color w:val="0000FF"/>
          <w:lang w:val="en-US"/>
        </w:rPr>
      </w:pPr>
      <w:r w:rsidRPr="00733E87">
        <w:rPr>
          <w:rFonts w:ascii="Aptos" w:eastAsia="Aptos" w:hAnsi="Aptos" w:cs="Aptos"/>
          <w:b/>
          <w:snapToGrid/>
          <w:color w:val="0000FF"/>
          <w:lang w:val="en-US"/>
        </w:rPr>
        <w:t>Recommendations to TOWS-WG and TTs</w:t>
      </w:r>
    </w:p>
    <w:p w14:paraId="33BB57E1" w14:textId="77777777" w:rsidR="00733E87" w:rsidRPr="00733E87" w:rsidRDefault="00733E87" w:rsidP="00733E87">
      <w:pPr>
        <w:tabs>
          <w:tab w:val="clear" w:pos="709"/>
        </w:tabs>
        <w:snapToGrid/>
        <w:spacing w:after="160" w:line="278" w:lineRule="auto"/>
        <w:jc w:val="both"/>
        <w:rPr>
          <w:rFonts w:ascii="Aptos" w:eastAsia="Aptos" w:hAnsi="Aptos" w:cs="Aptos"/>
          <w:b/>
          <w:snapToGrid/>
          <w:lang w:val="en-US"/>
        </w:rPr>
      </w:pPr>
      <w:proofErr w:type="gramStart"/>
      <w:r w:rsidRPr="00733E87">
        <w:rPr>
          <w:rFonts w:ascii="Aptos" w:eastAsia="Aptos" w:hAnsi="Aptos" w:cs="Aptos"/>
          <w:b/>
          <w:snapToGrid/>
          <w:lang w:val="en-US"/>
        </w:rPr>
        <w:t>Recommends</w:t>
      </w:r>
      <w:r w:rsidRPr="00733E87">
        <w:rPr>
          <w:rFonts w:ascii="Aptos" w:eastAsia="Aptos" w:hAnsi="Aptos" w:cs="Aptos"/>
          <w:snapToGrid/>
          <w:lang w:val="en-US"/>
        </w:rPr>
        <w:t xml:space="preserve"> to</w:t>
      </w:r>
      <w:proofErr w:type="gramEnd"/>
      <w:r w:rsidRPr="00733E87">
        <w:rPr>
          <w:rFonts w:ascii="Aptos" w:eastAsia="Aptos" w:hAnsi="Aptos" w:cs="Aptos"/>
          <w:snapToGrid/>
          <w:lang w:val="en-US"/>
        </w:rPr>
        <w:t xml:space="preserve"> TOWS WG and its Task Teams to effectively utilize the Tsunami Early Warning System KPI for reporting and contributing to Sendai Framework Target G. This will support the mid-term review and drive impactful actions at national and local levels</w:t>
      </w:r>
      <w:r w:rsidRPr="00733E87">
        <w:rPr>
          <w:rFonts w:ascii="Aptos" w:eastAsia="Aptos" w:hAnsi="Aptos" w:cs="Aptos"/>
          <w:b/>
          <w:snapToGrid/>
          <w:lang w:val="en-US"/>
        </w:rPr>
        <w:t>.</w:t>
      </w:r>
    </w:p>
    <w:p w14:paraId="3527350C"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lastRenderedPageBreak/>
        <w:t xml:space="preserve">Further recommends </w:t>
      </w:r>
      <w:r w:rsidRPr="00733E87">
        <w:rPr>
          <w:rFonts w:ascii="Aptos" w:eastAsia="Aptos" w:hAnsi="Aptos" w:cs="Aptos"/>
          <w:snapToGrid/>
          <w:lang w:val="en-US"/>
        </w:rPr>
        <w:t>leveraging and integrate comprehensive tsunami risk assessments into policymaking to ensure decision-makers prioritize urgent preparedness measures</w:t>
      </w:r>
    </w:p>
    <w:p w14:paraId="3C2ACCD3"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 xml:space="preserve">Notes </w:t>
      </w:r>
      <w:r w:rsidRPr="00733E87">
        <w:rPr>
          <w:rFonts w:ascii="Aptos" w:eastAsia="Aptos" w:hAnsi="Aptos" w:cs="Aptos"/>
          <w:snapToGrid/>
          <w:lang w:val="en-US"/>
        </w:rPr>
        <w:t xml:space="preserve">that </w:t>
      </w:r>
      <w:r w:rsidRPr="00733E87">
        <w:rPr>
          <w:rFonts w:ascii="Aptos" w:eastAsia="Arial" w:hAnsi="Aptos" w:cs="Arial"/>
          <w:snapToGrid/>
          <w:highlight w:val="white"/>
          <w:lang w:val="en-US"/>
        </w:rPr>
        <w:t>the National Institute of Geophysics and Volcanology (</w:t>
      </w:r>
      <w:r w:rsidRPr="00733E87">
        <w:rPr>
          <w:rFonts w:ascii="Aptos" w:eastAsia="Aptos" w:hAnsi="Aptos" w:cs="Aptos"/>
          <w:snapToGrid/>
          <w:lang w:val="en-US"/>
        </w:rPr>
        <w:t>INGV, Italy) will share a guideline on a legal case in Italy and its implications in supporting tsunami-related activities.</w:t>
      </w:r>
    </w:p>
    <w:p w14:paraId="51008EB9" w14:textId="77777777" w:rsidR="00733E87" w:rsidRPr="00733E87" w:rsidRDefault="00733E87" w:rsidP="00733E87">
      <w:pPr>
        <w:tabs>
          <w:tab w:val="clear" w:pos="709"/>
        </w:tabs>
        <w:snapToGrid/>
        <w:spacing w:after="160" w:line="278" w:lineRule="auto"/>
        <w:rPr>
          <w:rFonts w:ascii="Aptos" w:eastAsia="Aptos" w:hAnsi="Aptos" w:cs="Aptos"/>
          <w:b/>
          <w:bCs/>
          <w:snapToGrid/>
          <w:color w:val="C00000"/>
          <w:lang w:val="en-US"/>
        </w:rPr>
      </w:pPr>
      <w:bookmarkStart w:id="218" w:name="_ycsqyyxej7p" w:colFirst="0" w:colLast="0"/>
      <w:bookmarkEnd w:id="218"/>
      <w:r w:rsidRPr="00733E87">
        <w:rPr>
          <w:rFonts w:ascii="Aptos" w:eastAsia="Aptos" w:hAnsi="Aptos" w:cs="Aptos"/>
          <w:b/>
          <w:bCs/>
          <w:snapToGrid/>
          <w:color w:val="C00000"/>
          <w:lang w:val="en-US"/>
        </w:rPr>
        <w:t>EDUCATION AND WORLD TSUNAMI AWARENESS DAY 2024 AND PLANNING FOR 2025</w:t>
      </w:r>
    </w:p>
    <w:p w14:paraId="1D702168"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snapToGrid/>
          <w:lang w:val="en-US"/>
        </w:rPr>
      </w:pPr>
      <w:r w:rsidRPr="00733E87">
        <w:rPr>
          <w:rFonts w:ascii="Aptos" w:eastAsia="Aptos" w:hAnsi="Aptos" w:cs="Aptos"/>
          <w:b/>
          <w:snapToGrid/>
          <w:color w:val="0000FF"/>
          <w:lang w:val="en-US"/>
        </w:rPr>
        <w:t>Recommendations to UNDRR</w:t>
      </w:r>
    </w:p>
    <w:p w14:paraId="71BE5038"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Recommends</w:t>
      </w:r>
      <w:r w:rsidRPr="00733E87">
        <w:rPr>
          <w:rFonts w:ascii="Aptos" w:eastAsia="Aptos" w:hAnsi="Aptos" w:cs="Aptos"/>
          <w:snapToGrid/>
          <w:lang w:val="en-US"/>
        </w:rPr>
        <w:t xml:space="preserve"> to UNDRR that ‘</w:t>
      </w:r>
      <w:r w:rsidRPr="00733E87">
        <w:rPr>
          <w:rFonts w:ascii="Aptos" w:eastAsia="Aptos" w:hAnsi="Aptos" w:cs="Aptos"/>
          <w:i/>
          <w:snapToGrid/>
          <w:lang w:val="en-US"/>
        </w:rPr>
        <w:t>Tsunami Ready</w:t>
      </w:r>
      <w:r w:rsidRPr="00733E87">
        <w:rPr>
          <w:rFonts w:ascii="Aptos" w:eastAsia="Aptos" w:hAnsi="Aptos" w:cs="Aptos"/>
          <w:snapToGrid/>
          <w:lang w:val="en-US"/>
        </w:rPr>
        <w:t xml:space="preserve">’ becomes a permanent WTAD Theme </w:t>
      </w:r>
      <w:proofErr w:type="gramStart"/>
      <w:r w:rsidRPr="00733E87">
        <w:rPr>
          <w:rFonts w:ascii="Aptos" w:eastAsia="Aptos" w:hAnsi="Aptos" w:cs="Aptos"/>
          <w:snapToGrid/>
          <w:lang w:val="en-US"/>
        </w:rPr>
        <w:t>similar to</w:t>
      </w:r>
      <w:proofErr w:type="gramEnd"/>
      <w:r w:rsidRPr="00733E87">
        <w:rPr>
          <w:rFonts w:ascii="Aptos" w:eastAsia="Aptos" w:hAnsi="Aptos" w:cs="Aptos"/>
          <w:snapToGrid/>
          <w:lang w:val="en-US"/>
        </w:rPr>
        <w:t xml:space="preserve"> Safe Schools and others.</w:t>
      </w:r>
    </w:p>
    <w:p w14:paraId="2D187273"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 xml:space="preserve">Further recommends </w:t>
      </w:r>
      <w:proofErr w:type="gramStart"/>
      <w:r w:rsidRPr="00733E87">
        <w:rPr>
          <w:rFonts w:ascii="Aptos" w:eastAsia="Aptos" w:hAnsi="Aptos" w:cs="Aptos"/>
          <w:snapToGrid/>
          <w:lang w:val="en-US"/>
        </w:rPr>
        <w:t>to link</w:t>
      </w:r>
      <w:proofErr w:type="gramEnd"/>
      <w:r w:rsidRPr="00733E87">
        <w:rPr>
          <w:rFonts w:ascii="Aptos" w:eastAsia="Aptos" w:hAnsi="Aptos" w:cs="Aptos"/>
          <w:snapToGrid/>
          <w:lang w:val="en-US"/>
        </w:rPr>
        <w:t xml:space="preserve"> Tsunami Ready theme to collaboration, partnerships, public private partnerships and the proposed TRC Ambassador.</w:t>
      </w:r>
    </w:p>
    <w:p w14:paraId="1DEB743B" w14:textId="77777777" w:rsidR="00733E87" w:rsidRPr="00733E87" w:rsidRDefault="00733E87" w:rsidP="00733E87">
      <w:pPr>
        <w:tabs>
          <w:tab w:val="clear" w:pos="709"/>
        </w:tabs>
        <w:snapToGrid/>
        <w:spacing w:after="160" w:line="278" w:lineRule="auto"/>
        <w:rPr>
          <w:rFonts w:ascii="Aptos" w:eastAsia="Aptos" w:hAnsi="Aptos" w:cs="Aptos"/>
          <w:b/>
          <w:bCs/>
          <w:snapToGrid/>
          <w:color w:val="C00000"/>
          <w:lang w:val="en-US"/>
        </w:rPr>
      </w:pPr>
      <w:bookmarkStart w:id="219" w:name="_cvna4ieja01h" w:colFirst="0" w:colLast="0"/>
      <w:bookmarkEnd w:id="219"/>
      <w:r w:rsidRPr="00733E87">
        <w:rPr>
          <w:rFonts w:ascii="Aptos" w:eastAsia="Aptos" w:hAnsi="Aptos" w:cs="Aptos"/>
          <w:b/>
          <w:bCs/>
          <w:snapToGrid/>
          <w:color w:val="C00000"/>
          <w:lang w:val="en-US"/>
        </w:rPr>
        <w:t>INCLUSIVE SOPs</w:t>
      </w:r>
    </w:p>
    <w:p w14:paraId="6CD6B5BA"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b/>
          <w:snapToGrid/>
          <w:color w:val="0000FF"/>
          <w:lang w:val="en-US"/>
        </w:rPr>
      </w:pPr>
      <w:r w:rsidRPr="00733E87">
        <w:rPr>
          <w:rFonts w:ascii="Aptos" w:eastAsia="Aptos" w:hAnsi="Aptos" w:cs="Aptos"/>
          <w:b/>
          <w:snapToGrid/>
          <w:color w:val="0000FF"/>
          <w:lang w:val="en-US"/>
        </w:rPr>
        <w:t>Recommendations to TOWS-WG</w:t>
      </w:r>
    </w:p>
    <w:p w14:paraId="0406868D" w14:textId="77777777" w:rsidR="00733E87" w:rsidRPr="00733E87" w:rsidRDefault="00733E87" w:rsidP="00733E87">
      <w:pPr>
        <w:tabs>
          <w:tab w:val="clear" w:pos="709"/>
        </w:tabs>
        <w:snapToGrid/>
        <w:spacing w:after="160" w:line="278" w:lineRule="auto"/>
        <w:rPr>
          <w:rFonts w:ascii="Aptos" w:eastAsia="Aptos" w:hAnsi="Aptos" w:cs="Aptos"/>
          <w:b/>
          <w:snapToGrid/>
          <w:lang w:val="en-US"/>
        </w:rPr>
      </w:pPr>
      <w:r w:rsidRPr="00733E87">
        <w:rPr>
          <w:rFonts w:ascii="Aptos" w:eastAsia="Aptos" w:hAnsi="Aptos" w:cs="Aptos"/>
          <w:b/>
          <w:snapToGrid/>
          <w:lang w:val="en-US"/>
        </w:rPr>
        <w:t>Appreciates</w:t>
      </w:r>
      <w:r w:rsidRPr="00733E87">
        <w:rPr>
          <w:rFonts w:ascii="Aptos" w:eastAsia="Aptos" w:hAnsi="Aptos" w:cs="Aptos"/>
          <w:snapToGrid/>
          <w:lang w:val="en-US"/>
        </w:rPr>
        <w:t xml:space="preserve"> the development of inclusive SOP warning tools for disabled children in Indonesia and the Caribbean. </w:t>
      </w:r>
    </w:p>
    <w:p w14:paraId="09648AF2"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Recommends</w:t>
      </w:r>
      <w:r w:rsidRPr="00733E87">
        <w:rPr>
          <w:rFonts w:ascii="Aptos" w:eastAsia="Aptos" w:hAnsi="Aptos" w:cs="Aptos"/>
          <w:snapToGrid/>
          <w:lang w:val="en-US"/>
        </w:rPr>
        <w:t xml:space="preserve"> the Indonesian inclusive SOPs to be translated to English</w:t>
      </w:r>
    </w:p>
    <w:p w14:paraId="71331078"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lang w:val="en-US"/>
        </w:rPr>
        <w:t xml:space="preserve">Encourages </w:t>
      </w:r>
      <w:r w:rsidRPr="00733E87">
        <w:rPr>
          <w:rFonts w:ascii="Aptos" w:eastAsia="Aptos" w:hAnsi="Aptos" w:cs="Aptos"/>
          <w:snapToGrid/>
          <w:lang w:val="en-US"/>
        </w:rPr>
        <w:t>further development of inclusive SOP as official guidelines of UNESCO IOC.</w:t>
      </w:r>
    </w:p>
    <w:p w14:paraId="4F0BD264" w14:textId="77777777" w:rsidR="00733E87" w:rsidRPr="00733E87" w:rsidRDefault="00733E87" w:rsidP="00733E87">
      <w:pPr>
        <w:tabs>
          <w:tab w:val="clear" w:pos="709"/>
        </w:tabs>
        <w:snapToGrid/>
        <w:spacing w:after="160" w:line="278" w:lineRule="auto"/>
        <w:rPr>
          <w:rFonts w:ascii="Aptos" w:eastAsia="Aptos" w:hAnsi="Aptos" w:cs="Aptos"/>
          <w:b/>
          <w:bCs/>
          <w:snapToGrid/>
          <w:color w:val="C00000"/>
          <w:lang w:val="en-US"/>
        </w:rPr>
      </w:pPr>
      <w:bookmarkStart w:id="220" w:name="_u682jemzgr8" w:colFirst="0" w:colLast="0"/>
      <w:bookmarkEnd w:id="220"/>
      <w:r w:rsidRPr="00733E87">
        <w:rPr>
          <w:rFonts w:ascii="Aptos" w:eastAsia="Aptos" w:hAnsi="Aptos" w:cs="Aptos"/>
          <w:b/>
          <w:bCs/>
          <w:snapToGrid/>
          <w:color w:val="C00000"/>
          <w:lang w:val="en-US"/>
        </w:rPr>
        <w:t>REVISED TT DMP TOR</w:t>
      </w:r>
    </w:p>
    <w:p w14:paraId="1393177A" w14:textId="77777777" w:rsidR="00733E87" w:rsidRPr="00733E87" w:rsidRDefault="00733E87" w:rsidP="00733E87">
      <w:pPr>
        <w:shd w:val="clear" w:color="auto" w:fill="FFFFFF"/>
        <w:tabs>
          <w:tab w:val="clear" w:pos="709"/>
        </w:tabs>
        <w:snapToGrid/>
        <w:spacing w:before="240" w:after="160" w:line="256" w:lineRule="auto"/>
        <w:jc w:val="both"/>
        <w:rPr>
          <w:rFonts w:ascii="Aptos" w:eastAsia="Aptos" w:hAnsi="Aptos" w:cs="Aptos"/>
          <w:b/>
          <w:snapToGrid/>
          <w:color w:val="0000FF"/>
          <w:lang w:val="en-US"/>
        </w:rPr>
      </w:pPr>
      <w:r w:rsidRPr="00733E87">
        <w:rPr>
          <w:rFonts w:ascii="Aptos" w:eastAsia="Aptos" w:hAnsi="Aptos" w:cs="Aptos"/>
          <w:b/>
          <w:snapToGrid/>
          <w:color w:val="0000FF"/>
          <w:lang w:val="en-US"/>
        </w:rPr>
        <w:t>Recommendations to TOWS-WG</w:t>
      </w:r>
    </w:p>
    <w:p w14:paraId="0CF8724C" w14:textId="77777777" w:rsidR="00733E87" w:rsidRPr="00733E87" w:rsidRDefault="00733E87" w:rsidP="00733E87">
      <w:pPr>
        <w:tabs>
          <w:tab w:val="clear" w:pos="709"/>
        </w:tabs>
        <w:snapToGrid/>
        <w:spacing w:after="160" w:line="278" w:lineRule="auto"/>
        <w:jc w:val="both"/>
        <w:rPr>
          <w:rFonts w:ascii="Aptos" w:eastAsia="Aptos" w:hAnsi="Aptos" w:cs="Aptos"/>
          <w:snapToGrid/>
          <w:color w:val="222222"/>
          <w:lang w:val="en-US"/>
        </w:rPr>
      </w:pPr>
      <w:r w:rsidRPr="00733E87">
        <w:rPr>
          <w:rFonts w:ascii="Aptos" w:eastAsia="Aptos" w:hAnsi="Aptos" w:cs="Aptos"/>
          <w:b/>
          <w:snapToGrid/>
          <w:color w:val="222222"/>
          <w:lang w:val="en-US"/>
        </w:rPr>
        <w:t>Notes</w:t>
      </w:r>
      <w:r w:rsidRPr="00733E87">
        <w:rPr>
          <w:rFonts w:ascii="Aptos" w:eastAsia="Aptos" w:hAnsi="Aptos" w:cs="Aptos"/>
          <w:snapToGrid/>
          <w:color w:val="222222"/>
          <w:lang w:val="en-US"/>
        </w:rPr>
        <w:t xml:space="preserve"> that TOWS TT DMP recommendation in Sendai, Japan, 19 - 20 February 2024 concerning the fact that many advances have been made, and new needs have been identified since TT DMP </w:t>
      </w:r>
      <w:proofErr w:type="spellStart"/>
      <w:r w:rsidRPr="00733E87">
        <w:rPr>
          <w:rFonts w:ascii="Aptos" w:eastAsia="Aptos" w:hAnsi="Aptos" w:cs="Aptos"/>
          <w:snapToGrid/>
          <w:color w:val="222222"/>
          <w:lang w:val="en-US"/>
        </w:rPr>
        <w:t>ToR</w:t>
      </w:r>
      <w:proofErr w:type="spellEnd"/>
      <w:r w:rsidRPr="00733E87">
        <w:rPr>
          <w:rFonts w:ascii="Aptos" w:eastAsia="Aptos" w:hAnsi="Aptos" w:cs="Aptos"/>
          <w:snapToGrid/>
          <w:color w:val="222222"/>
          <w:lang w:val="en-US"/>
        </w:rPr>
        <w:t xml:space="preserve"> was prepared in 2010.</w:t>
      </w:r>
    </w:p>
    <w:p w14:paraId="32459252"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r w:rsidRPr="00733E87">
        <w:rPr>
          <w:rFonts w:ascii="Aptos" w:eastAsia="Aptos" w:hAnsi="Aptos" w:cs="Aptos"/>
          <w:b/>
          <w:snapToGrid/>
          <w:color w:val="222222"/>
          <w:lang w:val="en-US"/>
        </w:rPr>
        <w:t xml:space="preserve">Recommends </w:t>
      </w:r>
      <w:r w:rsidRPr="00733E87">
        <w:rPr>
          <w:rFonts w:ascii="Aptos" w:eastAsia="Aptos" w:hAnsi="Aptos" w:cs="Aptos"/>
          <w:snapToGrid/>
          <w:color w:val="222222"/>
          <w:lang w:val="en-US"/>
        </w:rPr>
        <w:t xml:space="preserve">approving </w:t>
      </w:r>
      <w:proofErr w:type="gramStart"/>
      <w:r w:rsidRPr="00733E87">
        <w:rPr>
          <w:rFonts w:ascii="Aptos" w:eastAsia="Aptos" w:hAnsi="Aptos" w:cs="Aptos"/>
          <w:snapToGrid/>
          <w:color w:val="222222"/>
          <w:lang w:val="en-US"/>
        </w:rPr>
        <w:t>revised</w:t>
      </w:r>
      <w:proofErr w:type="gramEnd"/>
      <w:r w:rsidRPr="00733E87">
        <w:rPr>
          <w:rFonts w:ascii="Aptos" w:eastAsia="Aptos" w:hAnsi="Aptos" w:cs="Aptos"/>
          <w:snapToGrid/>
          <w:color w:val="222222"/>
          <w:lang w:val="en-US"/>
        </w:rPr>
        <w:t xml:space="preserve"> TT DMP Terms of Reference.</w:t>
      </w:r>
    </w:p>
    <w:p w14:paraId="320B1CEC" w14:textId="77777777" w:rsidR="00733E87" w:rsidRPr="00733E87" w:rsidRDefault="00733E87" w:rsidP="00733E87">
      <w:pPr>
        <w:tabs>
          <w:tab w:val="clear" w:pos="709"/>
        </w:tabs>
        <w:snapToGrid/>
        <w:spacing w:after="160" w:line="278" w:lineRule="auto"/>
        <w:rPr>
          <w:rFonts w:ascii="Aptos" w:eastAsia="Aptos" w:hAnsi="Aptos" w:cs="Aptos"/>
          <w:b/>
          <w:bCs/>
          <w:snapToGrid/>
          <w:color w:val="C00000"/>
          <w:lang w:val="en-US"/>
        </w:rPr>
      </w:pPr>
      <w:bookmarkStart w:id="221" w:name="_pt3l1ds5xy7f" w:colFirst="0" w:colLast="0"/>
      <w:bookmarkEnd w:id="221"/>
      <w:r w:rsidRPr="00733E87">
        <w:rPr>
          <w:rFonts w:ascii="Aptos" w:eastAsia="Aptos" w:hAnsi="Aptos" w:cs="Aptos"/>
          <w:b/>
          <w:bCs/>
          <w:snapToGrid/>
          <w:color w:val="C00000"/>
          <w:lang w:val="en-US"/>
        </w:rPr>
        <w:t>DEVELOP TT TMP WORK PLAN</w:t>
      </w:r>
    </w:p>
    <w:p w14:paraId="6F6147FF" w14:textId="77777777" w:rsidR="00733E87" w:rsidRPr="00733E87" w:rsidRDefault="00733E87" w:rsidP="00733E87">
      <w:pPr>
        <w:tabs>
          <w:tab w:val="clear" w:pos="709"/>
        </w:tabs>
        <w:snapToGrid/>
        <w:spacing w:after="160" w:line="278" w:lineRule="auto"/>
        <w:rPr>
          <w:rFonts w:ascii="Aptos" w:eastAsia="Aptos" w:hAnsi="Aptos" w:cs="Aptos"/>
          <w:b/>
          <w:snapToGrid/>
          <w:color w:val="0000FF"/>
          <w:lang w:val="en-US"/>
        </w:rPr>
      </w:pPr>
      <w:r w:rsidRPr="00733E87">
        <w:rPr>
          <w:rFonts w:ascii="Aptos" w:eastAsia="Aptos" w:hAnsi="Aptos" w:cs="Aptos"/>
          <w:b/>
          <w:snapToGrid/>
          <w:color w:val="0000FF"/>
          <w:lang w:val="en-US"/>
        </w:rPr>
        <w:t xml:space="preserve">Recommendations </w:t>
      </w:r>
      <w:proofErr w:type="gramStart"/>
      <w:r w:rsidRPr="00733E87">
        <w:rPr>
          <w:rFonts w:ascii="Aptos" w:eastAsia="Aptos" w:hAnsi="Aptos" w:cs="Aptos"/>
          <w:b/>
          <w:snapToGrid/>
          <w:color w:val="0000FF"/>
          <w:lang w:val="en-US"/>
        </w:rPr>
        <w:t>to</w:t>
      </w:r>
      <w:proofErr w:type="gramEnd"/>
      <w:r w:rsidRPr="00733E87">
        <w:rPr>
          <w:rFonts w:ascii="Aptos" w:eastAsia="Aptos" w:hAnsi="Aptos" w:cs="Aptos"/>
          <w:b/>
          <w:snapToGrid/>
          <w:color w:val="0000FF"/>
          <w:lang w:val="en-US"/>
        </w:rPr>
        <w:t xml:space="preserve"> TOWS WG</w:t>
      </w:r>
    </w:p>
    <w:p w14:paraId="0213FFAC"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 xml:space="preserve">Agreed </w:t>
      </w:r>
      <w:r w:rsidRPr="00733E87">
        <w:rPr>
          <w:rFonts w:ascii="Aptos" w:eastAsia="Aptos" w:hAnsi="Aptos" w:cs="Aptos"/>
          <w:snapToGrid/>
          <w:lang w:val="en-US"/>
        </w:rPr>
        <w:t xml:space="preserve">to organize a TT DMP meeting ahead of the TOWS TTs and TOWS WG meetings by the end of October 2025 to review actions and define agenda for the February 2026 meeting.  </w:t>
      </w:r>
    </w:p>
    <w:p w14:paraId="54440AAD"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lastRenderedPageBreak/>
        <w:t>Further agreed</w:t>
      </w:r>
      <w:r w:rsidRPr="00733E87">
        <w:rPr>
          <w:rFonts w:ascii="Aptos" w:eastAsia="Aptos" w:hAnsi="Aptos" w:cs="Aptos"/>
          <w:snapToGrid/>
          <w:lang w:val="en-US"/>
        </w:rPr>
        <w:t xml:space="preserve"> to organize short meetings, online or in person to discuss focus topics addressing key agenda items. </w:t>
      </w:r>
    </w:p>
    <w:p w14:paraId="515A7A99"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r w:rsidRPr="00733E87">
        <w:rPr>
          <w:rFonts w:ascii="Aptos" w:eastAsia="Aptos" w:hAnsi="Aptos" w:cs="Aptos"/>
          <w:b/>
          <w:snapToGrid/>
          <w:lang w:val="en-US"/>
        </w:rPr>
        <w:t>Recommends</w:t>
      </w:r>
      <w:r w:rsidRPr="00733E87">
        <w:rPr>
          <w:rFonts w:ascii="Aptos" w:eastAsia="Aptos" w:hAnsi="Aptos" w:cs="Aptos"/>
          <w:snapToGrid/>
          <w:lang w:val="en-US"/>
        </w:rPr>
        <w:t xml:space="preserve"> planning the schedule for TOWS-related meetings, preferably holding the TTs meetings from Monday to Wednesday and the TOWS-WG meetings on Thursday and Friday, leaving sufficient time in between meetings for Technical Secretaries to prepare summary report and recommendations. </w:t>
      </w:r>
    </w:p>
    <w:p w14:paraId="7FD168D9" w14:textId="28C1CF63" w:rsidR="009172B6" w:rsidRDefault="009172B6">
      <w:pPr>
        <w:tabs>
          <w:tab w:val="clear" w:pos="709"/>
        </w:tabs>
        <w:snapToGrid/>
        <w:rPr>
          <w:rFonts w:ascii="Aptos" w:eastAsia="Aptos" w:hAnsi="Aptos" w:cs="Aptos"/>
          <w:snapToGrid/>
          <w:lang w:val="en-US"/>
        </w:rPr>
      </w:pPr>
      <w:r>
        <w:rPr>
          <w:rFonts w:ascii="Aptos" w:eastAsia="Aptos" w:hAnsi="Aptos" w:cs="Aptos"/>
          <w:snapToGrid/>
          <w:lang w:val="en-US"/>
        </w:rPr>
        <w:br w:type="page"/>
      </w:r>
    </w:p>
    <w:p w14:paraId="4699E5D8" w14:textId="77777777" w:rsidR="00733E87" w:rsidRPr="00733E87" w:rsidRDefault="00733E87" w:rsidP="00733E87">
      <w:pPr>
        <w:tabs>
          <w:tab w:val="clear" w:pos="709"/>
        </w:tabs>
        <w:snapToGrid/>
        <w:spacing w:after="160" w:line="278" w:lineRule="auto"/>
        <w:jc w:val="both"/>
        <w:rPr>
          <w:rFonts w:ascii="Aptos" w:eastAsia="Aptos" w:hAnsi="Aptos" w:cs="Aptos"/>
          <w:snapToGrid/>
          <w:lang w:val="en-US"/>
        </w:rPr>
      </w:pPr>
    </w:p>
    <w:p w14:paraId="19137839" w14:textId="77777777" w:rsidR="00733E87" w:rsidRPr="00733E87" w:rsidRDefault="00733E87" w:rsidP="00733E87">
      <w:pPr>
        <w:pBdr>
          <w:top w:val="nil"/>
          <w:left w:val="nil"/>
          <w:bottom w:val="nil"/>
          <w:right w:val="nil"/>
          <w:between w:val="nil"/>
        </w:pBdr>
        <w:tabs>
          <w:tab w:val="clear" w:pos="709"/>
        </w:tabs>
        <w:snapToGrid/>
        <w:spacing w:after="160" w:line="278" w:lineRule="auto"/>
        <w:jc w:val="center"/>
        <w:rPr>
          <w:rFonts w:ascii="Aptos" w:eastAsia="Aptos" w:hAnsi="Aptos" w:cs="Aptos"/>
          <w:b/>
          <w:snapToGrid/>
          <w:color w:val="000000"/>
          <w:lang w:val="en-US"/>
        </w:rPr>
      </w:pPr>
      <w:r w:rsidRPr="00733E87">
        <w:rPr>
          <w:rFonts w:ascii="Aptos" w:eastAsia="Aptos" w:hAnsi="Aptos" w:cs="Aptos"/>
          <w:b/>
          <w:snapToGrid/>
          <w:color w:val="000000"/>
          <w:lang w:val="en-US"/>
        </w:rPr>
        <w:t xml:space="preserve">Agenda of Task Team Disaster Management and Preparedness Session </w:t>
      </w:r>
    </w:p>
    <w:p w14:paraId="1AF7D3A3" w14:textId="77777777" w:rsidR="00733E87" w:rsidRPr="00733E87" w:rsidRDefault="00733E87" w:rsidP="00733E87">
      <w:pPr>
        <w:tabs>
          <w:tab w:val="clear" w:pos="709"/>
        </w:tabs>
        <w:snapToGrid/>
        <w:spacing w:before="6" w:after="1" w:line="278" w:lineRule="auto"/>
        <w:rPr>
          <w:rFonts w:ascii="Aptos" w:eastAsia="Aptos" w:hAnsi="Aptos" w:cs="Aptos"/>
          <w:b/>
          <w:snapToGrid/>
          <w:sz w:val="18"/>
          <w:szCs w:val="18"/>
          <w:lang w:val="en-US"/>
        </w:rPr>
      </w:pP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5850"/>
        <w:gridCol w:w="2250"/>
      </w:tblGrid>
      <w:tr w:rsidR="00733E87" w:rsidRPr="00733E87" w14:paraId="3FDA7986" w14:textId="77777777" w:rsidTr="00493FEF">
        <w:trPr>
          <w:trHeight w:val="522"/>
          <w:jc w:val="center"/>
        </w:trPr>
        <w:tc>
          <w:tcPr>
            <w:tcW w:w="1615" w:type="dxa"/>
            <w:shd w:val="clear" w:color="auto" w:fill="E7E6E6"/>
          </w:tcPr>
          <w:p w14:paraId="307EDF25" w14:textId="77777777" w:rsidR="00733E87" w:rsidRPr="00733E87" w:rsidRDefault="00733E87" w:rsidP="00733E87">
            <w:pPr>
              <w:pBdr>
                <w:top w:val="nil"/>
                <w:left w:val="nil"/>
                <w:bottom w:val="nil"/>
                <w:right w:val="nil"/>
                <w:between w:val="nil"/>
              </w:pBdr>
              <w:tabs>
                <w:tab w:val="clear" w:pos="709"/>
              </w:tabs>
              <w:snapToGrid/>
              <w:spacing w:after="160" w:line="278" w:lineRule="auto"/>
              <w:ind w:left="435" w:hanging="107"/>
              <w:rPr>
                <w:rFonts w:ascii="Aptos" w:eastAsia="Aptos" w:hAnsi="Aptos" w:cs="Aptos"/>
                <w:b/>
                <w:snapToGrid/>
                <w:color w:val="000000"/>
                <w:lang w:val="en-US"/>
              </w:rPr>
            </w:pPr>
            <w:r w:rsidRPr="00733E87">
              <w:rPr>
                <w:rFonts w:ascii="Aptos" w:eastAsia="Aptos" w:hAnsi="Aptos" w:cs="Aptos"/>
                <w:b/>
                <w:snapToGrid/>
                <w:color w:val="000000"/>
                <w:lang w:val="en-US"/>
              </w:rPr>
              <w:t xml:space="preserve">Local Time </w:t>
            </w:r>
          </w:p>
        </w:tc>
        <w:tc>
          <w:tcPr>
            <w:tcW w:w="5850" w:type="dxa"/>
            <w:shd w:val="clear" w:color="auto" w:fill="E7E6E6"/>
          </w:tcPr>
          <w:p w14:paraId="0E435A7F"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2314" w:right="2285"/>
              <w:jc w:val="center"/>
              <w:rPr>
                <w:rFonts w:ascii="Aptos" w:eastAsia="Aptos" w:hAnsi="Aptos" w:cs="Aptos"/>
                <w:b/>
                <w:snapToGrid/>
                <w:color w:val="000000"/>
                <w:lang w:val="en-US"/>
              </w:rPr>
            </w:pPr>
            <w:r w:rsidRPr="00733E87">
              <w:rPr>
                <w:rFonts w:ascii="Aptos" w:eastAsia="Aptos" w:hAnsi="Aptos" w:cs="Aptos"/>
                <w:b/>
                <w:snapToGrid/>
                <w:color w:val="000000"/>
                <w:lang w:val="en-US"/>
              </w:rPr>
              <w:t>Topic</w:t>
            </w:r>
          </w:p>
        </w:tc>
        <w:tc>
          <w:tcPr>
            <w:tcW w:w="2250" w:type="dxa"/>
            <w:shd w:val="clear" w:color="auto" w:fill="E7E6E6"/>
          </w:tcPr>
          <w:p w14:paraId="48F37BA0"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750" w:right="723"/>
              <w:jc w:val="center"/>
              <w:rPr>
                <w:rFonts w:ascii="Aptos" w:eastAsia="Aptos" w:hAnsi="Aptos" w:cs="Aptos"/>
                <w:b/>
                <w:snapToGrid/>
                <w:color w:val="000000"/>
                <w:lang w:val="en-US"/>
              </w:rPr>
            </w:pPr>
            <w:r w:rsidRPr="00733E87">
              <w:rPr>
                <w:rFonts w:ascii="Aptos" w:eastAsia="Aptos" w:hAnsi="Aptos" w:cs="Aptos"/>
                <w:b/>
                <w:snapToGrid/>
                <w:color w:val="000000"/>
                <w:lang w:val="en-US"/>
              </w:rPr>
              <w:t>Lead</w:t>
            </w:r>
          </w:p>
        </w:tc>
      </w:tr>
      <w:tr w:rsidR="00733E87" w:rsidRPr="00733E87" w14:paraId="0B61A977" w14:textId="77777777" w:rsidTr="00493FEF">
        <w:trPr>
          <w:trHeight w:val="650"/>
          <w:jc w:val="center"/>
        </w:trPr>
        <w:tc>
          <w:tcPr>
            <w:tcW w:w="1615" w:type="dxa"/>
          </w:tcPr>
          <w:p w14:paraId="3B74DFB3"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09:00 – 09:15</w:t>
            </w:r>
          </w:p>
        </w:tc>
        <w:tc>
          <w:tcPr>
            <w:tcW w:w="5850" w:type="dxa"/>
          </w:tcPr>
          <w:p w14:paraId="0DB69D96" w14:textId="77777777" w:rsidR="00733E87" w:rsidRPr="00733E87" w:rsidRDefault="00733E87" w:rsidP="00733E87">
            <w:pPr>
              <w:numPr>
                <w:ilvl w:val="0"/>
                <w:numId w:val="124"/>
              </w:numPr>
              <w:pBdr>
                <w:top w:val="nil"/>
                <w:left w:val="nil"/>
                <w:bottom w:val="nil"/>
                <w:right w:val="nil"/>
                <w:between w:val="nil"/>
              </w:pBdr>
              <w:tabs>
                <w:tab w:val="clear" w:pos="709"/>
              </w:tabs>
              <w:snapToGrid/>
              <w:spacing w:before="10" w:after="160" w:line="259" w:lineRule="auto"/>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SESSION ORGANISATION</w:t>
            </w:r>
          </w:p>
          <w:p w14:paraId="31C848E1"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15"/>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Logistics and agenda</w:t>
            </w:r>
          </w:p>
        </w:tc>
        <w:tc>
          <w:tcPr>
            <w:tcW w:w="2250" w:type="dxa"/>
          </w:tcPr>
          <w:p w14:paraId="6BA09ADB"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9" w:right="587"/>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Harkunti Rahayu Secretariat</w:t>
            </w:r>
          </w:p>
        </w:tc>
      </w:tr>
      <w:tr w:rsidR="00733E87" w:rsidRPr="00733E87" w14:paraId="4C414B61" w14:textId="77777777" w:rsidTr="00493FEF">
        <w:trPr>
          <w:trHeight w:val="689"/>
          <w:jc w:val="center"/>
        </w:trPr>
        <w:tc>
          <w:tcPr>
            <w:tcW w:w="1615" w:type="dxa"/>
          </w:tcPr>
          <w:p w14:paraId="3CAEEEE8"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09:15:10:00</w:t>
            </w:r>
          </w:p>
        </w:tc>
        <w:tc>
          <w:tcPr>
            <w:tcW w:w="5850" w:type="dxa"/>
          </w:tcPr>
          <w:p w14:paraId="1E10085C" w14:textId="77777777" w:rsidR="00733E87" w:rsidRPr="00733E87" w:rsidRDefault="00733E87" w:rsidP="00733E87">
            <w:pPr>
              <w:numPr>
                <w:ilvl w:val="0"/>
                <w:numId w:val="124"/>
              </w:numPr>
              <w:pBdr>
                <w:top w:val="nil"/>
                <w:left w:val="nil"/>
                <w:bottom w:val="nil"/>
                <w:right w:val="nil"/>
                <w:between w:val="nil"/>
              </w:pBdr>
              <w:tabs>
                <w:tab w:val="clear" w:pos="709"/>
              </w:tabs>
              <w:snapToGrid/>
              <w:spacing w:before="11" w:after="160" w:line="259" w:lineRule="auto"/>
              <w:ind w:right="591"/>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DISCUSS OUTCOMES OF THE JOINT MEETING WITH TT TWO</w:t>
            </w:r>
          </w:p>
        </w:tc>
        <w:tc>
          <w:tcPr>
            <w:tcW w:w="2250" w:type="dxa"/>
          </w:tcPr>
          <w:p w14:paraId="681D6F3C"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4"/>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All</w:t>
            </w:r>
          </w:p>
        </w:tc>
      </w:tr>
      <w:tr w:rsidR="00733E87" w:rsidRPr="00733E87" w14:paraId="582516C3" w14:textId="77777777" w:rsidTr="00493FEF">
        <w:trPr>
          <w:trHeight w:val="616"/>
          <w:jc w:val="center"/>
        </w:trPr>
        <w:tc>
          <w:tcPr>
            <w:tcW w:w="1615" w:type="dxa"/>
          </w:tcPr>
          <w:p w14:paraId="7FF5A85E"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6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10:00-10:30</w:t>
            </w:r>
          </w:p>
        </w:tc>
        <w:tc>
          <w:tcPr>
            <w:tcW w:w="5850" w:type="dxa"/>
          </w:tcPr>
          <w:p w14:paraId="0E492014" w14:textId="77777777" w:rsidR="00733E87" w:rsidRPr="00733E87" w:rsidRDefault="00733E87" w:rsidP="00733E87">
            <w:pPr>
              <w:numPr>
                <w:ilvl w:val="0"/>
                <w:numId w:val="124"/>
              </w:numPr>
              <w:pBdr>
                <w:top w:val="nil"/>
                <w:left w:val="nil"/>
                <w:bottom w:val="nil"/>
                <w:right w:val="nil"/>
                <w:between w:val="nil"/>
              </w:pBdr>
              <w:tabs>
                <w:tab w:val="clear" w:pos="709"/>
              </w:tabs>
              <w:snapToGrid/>
              <w:spacing w:before="10" w:after="160" w:line="259" w:lineRule="auto"/>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REVIEW KEY ACTION ITEMS (MAIN ISSUES)</w:t>
            </w:r>
          </w:p>
        </w:tc>
        <w:tc>
          <w:tcPr>
            <w:tcW w:w="2250" w:type="dxa"/>
          </w:tcPr>
          <w:p w14:paraId="2660518B"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5"/>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All</w:t>
            </w:r>
          </w:p>
        </w:tc>
      </w:tr>
      <w:tr w:rsidR="00733E87" w:rsidRPr="00733E87" w14:paraId="160BE867" w14:textId="77777777" w:rsidTr="00493FEF">
        <w:trPr>
          <w:trHeight w:val="496"/>
          <w:jc w:val="center"/>
        </w:trPr>
        <w:tc>
          <w:tcPr>
            <w:tcW w:w="1615" w:type="dxa"/>
            <w:shd w:val="clear" w:color="auto" w:fill="E7E6E6"/>
          </w:tcPr>
          <w:p w14:paraId="21E72BCE"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10:30-11:00</w:t>
            </w:r>
          </w:p>
        </w:tc>
        <w:tc>
          <w:tcPr>
            <w:tcW w:w="5850" w:type="dxa"/>
            <w:shd w:val="clear" w:color="auto" w:fill="E7E6E6"/>
          </w:tcPr>
          <w:p w14:paraId="3C884611"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05"/>
              <w:jc w:val="center"/>
              <w:rPr>
                <w:rFonts w:ascii="Arial" w:eastAsia="Arial" w:hAnsi="Arial" w:cs="Arial"/>
                <w:i/>
                <w:snapToGrid/>
                <w:color w:val="000000"/>
                <w:sz w:val="20"/>
                <w:szCs w:val="20"/>
                <w:lang w:val="en-US"/>
              </w:rPr>
            </w:pPr>
            <w:r w:rsidRPr="00733E87">
              <w:rPr>
                <w:rFonts w:ascii="Arial" w:eastAsia="Arial" w:hAnsi="Arial" w:cs="Arial"/>
                <w:i/>
                <w:snapToGrid/>
                <w:color w:val="000000"/>
                <w:sz w:val="20"/>
                <w:szCs w:val="20"/>
                <w:lang w:val="en-US"/>
              </w:rPr>
              <w:t>Break</w:t>
            </w:r>
          </w:p>
        </w:tc>
        <w:tc>
          <w:tcPr>
            <w:tcW w:w="2250" w:type="dxa"/>
            <w:shd w:val="clear" w:color="auto" w:fill="E7E6E6"/>
          </w:tcPr>
          <w:p w14:paraId="52F4D7E9" w14:textId="77777777" w:rsidR="00733E87" w:rsidRPr="00733E87" w:rsidRDefault="00733E87" w:rsidP="00733E87">
            <w:pPr>
              <w:pBdr>
                <w:top w:val="nil"/>
                <w:left w:val="nil"/>
                <w:bottom w:val="nil"/>
                <w:right w:val="nil"/>
                <w:between w:val="nil"/>
              </w:pBdr>
              <w:tabs>
                <w:tab w:val="clear" w:pos="709"/>
              </w:tabs>
              <w:snapToGrid/>
              <w:spacing w:after="160" w:line="278" w:lineRule="auto"/>
              <w:rPr>
                <w:rFonts w:ascii="Arial" w:eastAsia="Arial" w:hAnsi="Arial" w:cs="Arial"/>
                <w:snapToGrid/>
                <w:color w:val="000000"/>
                <w:sz w:val="20"/>
                <w:szCs w:val="20"/>
                <w:lang w:val="en-US"/>
              </w:rPr>
            </w:pPr>
          </w:p>
        </w:tc>
      </w:tr>
      <w:tr w:rsidR="00733E87" w:rsidRPr="00733E87" w14:paraId="4934C3D8" w14:textId="77777777" w:rsidTr="00493FEF">
        <w:trPr>
          <w:trHeight w:val="547"/>
          <w:jc w:val="center"/>
        </w:trPr>
        <w:tc>
          <w:tcPr>
            <w:tcW w:w="1615" w:type="dxa"/>
          </w:tcPr>
          <w:p w14:paraId="61DF7A54"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[11:00-17:00]</w:t>
            </w:r>
          </w:p>
        </w:tc>
        <w:tc>
          <w:tcPr>
            <w:tcW w:w="5850" w:type="dxa"/>
          </w:tcPr>
          <w:p w14:paraId="5564CA39" w14:textId="77777777" w:rsidR="00733E87" w:rsidRPr="00733E87" w:rsidRDefault="00733E87" w:rsidP="00733E87">
            <w:pPr>
              <w:numPr>
                <w:ilvl w:val="0"/>
                <w:numId w:val="124"/>
              </w:numPr>
              <w:pBdr>
                <w:top w:val="nil"/>
                <w:left w:val="nil"/>
                <w:bottom w:val="nil"/>
                <w:right w:val="nil"/>
                <w:between w:val="nil"/>
              </w:pBdr>
              <w:tabs>
                <w:tab w:val="clear" w:pos="709"/>
              </w:tabs>
              <w:snapToGrid/>
              <w:spacing w:before="10" w:after="160" w:line="259" w:lineRule="auto"/>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TSUNAMI READY</w:t>
            </w:r>
          </w:p>
        </w:tc>
        <w:tc>
          <w:tcPr>
            <w:tcW w:w="2250" w:type="dxa"/>
          </w:tcPr>
          <w:p w14:paraId="16AEC127"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4" w:right="430"/>
              <w:rPr>
                <w:rFonts w:ascii="Arial" w:eastAsia="Arial" w:hAnsi="Arial" w:cs="Arial"/>
                <w:snapToGrid/>
                <w:color w:val="000000"/>
                <w:sz w:val="20"/>
                <w:szCs w:val="20"/>
                <w:lang w:val="en-US"/>
              </w:rPr>
            </w:pPr>
          </w:p>
        </w:tc>
      </w:tr>
      <w:tr w:rsidR="00733E87" w:rsidRPr="00733E87" w14:paraId="595DC359" w14:textId="77777777" w:rsidTr="00493FEF">
        <w:trPr>
          <w:trHeight w:val="547"/>
          <w:jc w:val="center"/>
        </w:trPr>
        <w:tc>
          <w:tcPr>
            <w:tcW w:w="1615" w:type="dxa"/>
          </w:tcPr>
          <w:p w14:paraId="084A04AC"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11:00-11:45</w:t>
            </w:r>
          </w:p>
        </w:tc>
        <w:tc>
          <w:tcPr>
            <w:tcW w:w="5850" w:type="dxa"/>
          </w:tcPr>
          <w:p w14:paraId="1AA1EDBD" w14:textId="77777777" w:rsidR="00733E87" w:rsidRPr="00733E87" w:rsidRDefault="00733E87" w:rsidP="00733E87">
            <w:pPr>
              <w:numPr>
                <w:ilvl w:val="1"/>
                <w:numId w:val="124"/>
              </w:numPr>
              <w:pBdr>
                <w:top w:val="nil"/>
                <w:left w:val="nil"/>
                <w:bottom w:val="nil"/>
                <w:right w:val="nil"/>
                <w:between w:val="nil"/>
              </w:pBdr>
              <w:tabs>
                <w:tab w:val="clear" w:pos="709"/>
              </w:tabs>
              <w:snapToGrid/>
              <w:spacing w:before="10" w:after="160" w:line="259" w:lineRule="auto"/>
              <w:rPr>
                <w:rFonts w:ascii="Arial" w:eastAsia="Arial" w:hAnsi="Arial" w:cs="Arial"/>
                <w:snapToGrid/>
                <w:color w:val="000000"/>
                <w:sz w:val="20"/>
                <w:szCs w:val="20"/>
                <w:lang w:val="en-US"/>
              </w:rPr>
            </w:pPr>
            <w:bookmarkStart w:id="222" w:name="_35nkun2" w:colFirst="0" w:colLast="0"/>
            <w:bookmarkEnd w:id="222"/>
            <w:r w:rsidRPr="00733E87">
              <w:rPr>
                <w:rFonts w:ascii="Arial" w:eastAsia="Arial" w:hAnsi="Arial" w:cs="Arial"/>
                <w:b/>
                <w:snapToGrid/>
                <w:color w:val="000000"/>
                <w:sz w:val="20"/>
                <w:szCs w:val="20"/>
                <w:lang w:val="en-US"/>
              </w:rPr>
              <w:t>Tsunami Ready Implementation Status</w:t>
            </w:r>
          </w:p>
        </w:tc>
        <w:tc>
          <w:tcPr>
            <w:tcW w:w="2250" w:type="dxa"/>
          </w:tcPr>
          <w:p w14:paraId="512A286D"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4" w:right="430"/>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Presentations by TT reps each ICG</w:t>
            </w:r>
          </w:p>
        </w:tc>
      </w:tr>
      <w:tr w:rsidR="00733E87" w:rsidRPr="00733E87" w14:paraId="2C646738" w14:textId="77777777" w:rsidTr="00493FEF">
        <w:trPr>
          <w:trHeight w:val="547"/>
          <w:jc w:val="center"/>
        </w:trPr>
        <w:tc>
          <w:tcPr>
            <w:tcW w:w="1615" w:type="dxa"/>
          </w:tcPr>
          <w:p w14:paraId="7D1C20CB"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11:45-12:15</w:t>
            </w:r>
          </w:p>
        </w:tc>
        <w:tc>
          <w:tcPr>
            <w:tcW w:w="5850" w:type="dxa"/>
          </w:tcPr>
          <w:p w14:paraId="3B23086D" w14:textId="77777777" w:rsidR="00733E87" w:rsidRPr="00733E87" w:rsidRDefault="00733E87" w:rsidP="00733E87">
            <w:pPr>
              <w:numPr>
                <w:ilvl w:val="1"/>
                <w:numId w:val="124"/>
              </w:numPr>
              <w:pBdr>
                <w:top w:val="nil"/>
                <w:left w:val="nil"/>
                <w:bottom w:val="nil"/>
                <w:right w:val="nil"/>
                <w:between w:val="nil"/>
              </w:pBdr>
              <w:tabs>
                <w:tab w:val="clear" w:pos="709"/>
              </w:tabs>
              <w:snapToGrid/>
              <w:spacing w:before="10" w:after="160" w:line="259" w:lineRule="auto"/>
              <w:rPr>
                <w:rFonts w:ascii="Arial" w:eastAsia="Arial" w:hAnsi="Arial" w:cs="Arial"/>
                <w:snapToGrid/>
                <w:color w:val="000000"/>
                <w:sz w:val="20"/>
                <w:szCs w:val="20"/>
                <w:lang w:val="en-US"/>
              </w:rPr>
            </w:pPr>
            <w:bookmarkStart w:id="223" w:name="_1ksv4uv" w:colFirst="0" w:colLast="0"/>
            <w:bookmarkEnd w:id="223"/>
            <w:r w:rsidRPr="00733E87">
              <w:rPr>
                <w:rFonts w:ascii="Arial" w:eastAsia="Arial" w:hAnsi="Arial" w:cs="Arial"/>
                <w:b/>
                <w:snapToGrid/>
                <w:color w:val="000000"/>
                <w:sz w:val="20"/>
                <w:szCs w:val="20"/>
                <w:lang w:val="en-US"/>
              </w:rPr>
              <w:t xml:space="preserve">Synergy with Local and National Resilient </w:t>
            </w:r>
            <w:proofErr w:type="spellStart"/>
            <w:r w:rsidRPr="00733E87">
              <w:rPr>
                <w:rFonts w:ascii="Arial" w:eastAsia="Arial" w:hAnsi="Arial" w:cs="Arial"/>
                <w:b/>
                <w:snapToGrid/>
                <w:color w:val="000000"/>
                <w:sz w:val="20"/>
                <w:szCs w:val="20"/>
                <w:lang w:val="en-US"/>
              </w:rPr>
              <w:t>Programmes</w:t>
            </w:r>
            <w:proofErr w:type="spellEnd"/>
            <w:r w:rsidRPr="00733E87">
              <w:rPr>
                <w:rFonts w:ascii="Arial" w:eastAsia="Arial" w:hAnsi="Arial" w:cs="Arial"/>
                <w:snapToGrid/>
                <w:color w:val="000000"/>
                <w:sz w:val="20"/>
                <w:szCs w:val="20"/>
                <w:lang w:val="en-US"/>
              </w:rPr>
              <w:t xml:space="preserve"> </w:t>
            </w:r>
            <w:r w:rsidRPr="00733E87">
              <w:rPr>
                <w:rFonts w:ascii="Arial" w:eastAsia="Arial" w:hAnsi="Arial" w:cs="Arial"/>
                <w:snapToGrid/>
                <w:sz w:val="20"/>
                <w:szCs w:val="20"/>
                <w:lang w:val="en-US"/>
              </w:rPr>
              <w:t>[</w:t>
            </w:r>
            <w:r w:rsidRPr="00733E87">
              <w:rPr>
                <w:rFonts w:ascii="Arial" w:eastAsia="Arial" w:hAnsi="Arial" w:cs="Arial"/>
                <w:snapToGrid/>
                <w:color w:val="000000"/>
                <w:sz w:val="20"/>
                <w:szCs w:val="20"/>
                <w:lang w:val="en-US"/>
              </w:rPr>
              <w:t>Tsunami Parity (15 min),</w:t>
            </w:r>
          </w:p>
          <w:p w14:paraId="4A072107"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830"/>
              <w:rPr>
                <w:rFonts w:ascii="Arial" w:eastAsia="Arial" w:hAnsi="Arial" w:cs="Arial"/>
                <w:snapToGrid/>
                <w:sz w:val="20"/>
                <w:szCs w:val="20"/>
                <w:lang w:val="en-US"/>
              </w:rPr>
            </w:pPr>
            <w:r w:rsidRPr="00733E87">
              <w:rPr>
                <w:rFonts w:ascii="Arial" w:eastAsia="Arial" w:hAnsi="Arial" w:cs="Arial"/>
                <w:i/>
                <w:snapToGrid/>
                <w:sz w:val="20"/>
                <w:szCs w:val="20"/>
                <w:lang w:val="en-US"/>
              </w:rPr>
              <w:t>The progress made for establishing the Tsunami Ready Equivalency for the PTWS</w:t>
            </w:r>
          </w:p>
          <w:p w14:paraId="0E8AE4CF"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830"/>
              <w:rPr>
                <w:rFonts w:ascii="Arial" w:eastAsia="Arial" w:hAnsi="Arial" w:cs="Arial"/>
                <w:b/>
                <w:snapToGrid/>
                <w:color w:val="000000"/>
                <w:sz w:val="20"/>
                <w:szCs w:val="20"/>
                <w:lang w:val="en-US"/>
              </w:rPr>
            </w:pPr>
            <w:r w:rsidRPr="00733E87">
              <w:rPr>
                <w:rFonts w:ascii="Arial" w:eastAsia="Arial" w:hAnsi="Arial" w:cs="Arial"/>
                <w:snapToGrid/>
                <w:color w:val="000000"/>
                <w:sz w:val="20"/>
                <w:szCs w:val="20"/>
                <w:lang w:val="en-US"/>
              </w:rPr>
              <w:t xml:space="preserve"> MCR2030, including Tsunami and Critical Infrastructures, and ISO 22328-3 (Community-based Early Warning Systems for Tsunamis)]</w:t>
            </w:r>
          </w:p>
        </w:tc>
        <w:tc>
          <w:tcPr>
            <w:tcW w:w="2250" w:type="dxa"/>
          </w:tcPr>
          <w:p w14:paraId="017895D2"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rPr>
                <w:rFonts w:ascii="Arial" w:eastAsia="Arial" w:hAnsi="Arial" w:cs="Arial"/>
                <w:snapToGrid/>
                <w:sz w:val="20"/>
                <w:szCs w:val="20"/>
                <w:lang w:val="en-US"/>
              </w:rPr>
            </w:pPr>
            <w:r w:rsidRPr="00733E87">
              <w:rPr>
                <w:rFonts w:ascii="Arial" w:eastAsia="Arial" w:hAnsi="Arial" w:cs="Arial"/>
                <w:snapToGrid/>
                <w:sz w:val="20"/>
                <w:szCs w:val="20"/>
                <w:lang w:val="en-US"/>
              </w:rPr>
              <w:t xml:space="preserve">Ashleigh Fromont </w:t>
            </w:r>
          </w:p>
          <w:p w14:paraId="0A184ABF" w14:textId="77777777" w:rsidR="00733E87" w:rsidRPr="00733E87" w:rsidRDefault="00733E87" w:rsidP="00733E87">
            <w:pPr>
              <w:tabs>
                <w:tab w:val="clear" w:pos="709"/>
              </w:tabs>
              <w:snapToGrid/>
              <w:spacing w:before="10" w:after="160" w:line="278" w:lineRule="auto"/>
              <w:ind w:left="4"/>
              <w:rPr>
                <w:rFonts w:ascii="Arial" w:eastAsia="Arial" w:hAnsi="Arial" w:cs="Arial"/>
                <w:snapToGrid/>
                <w:sz w:val="20"/>
                <w:szCs w:val="20"/>
                <w:lang w:val="en-US"/>
              </w:rPr>
            </w:pPr>
            <w:r w:rsidRPr="00733E87">
              <w:rPr>
                <w:rFonts w:ascii="Arial" w:eastAsia="Arial" w:hAnsi="Arial" w:cs="Arial"/>
                <w:snapToGrid/>
                <w:sz w:val="20"/>
                <w:szCs w:val="20"/>
                <w:lang w:val="en-US"/>
              </w:rPr>
              <w:t>Harkunti Rahayu</w:t>
            </w:r>
            <w:r w:rsidRPr="00733E87">
              <w:rPr>
                <w:rFonts w:ascii="Arial" w:eastAsia="Arial" w:hAnsi="Arial" w:cs="Arial"/>
                <w:snapToGrid/>
                <w:sz w:val="20"/>
                <w:szCs w:val="20"/>
                <w:lang w:val="en-US"/>
              </w:rPr>
              <w:br/>
              <w:t>Denis Chang Seng/</w:t>
            </w:r>
            <w:r w:rsidRPr="00733E87">
              <w:rPr>
                <w:rFonts w:ascii="Arial" w:eastAsia="Arial" w:hAnsi="Arial" w:cs="Arial"/>
                <w:snapToGrid/>
                <w:sz w:val="20"/>
                <w:szCs w:val="20"/>
                <w:lang w:val="en-US"/>
              </w:rPr>
              <w:br/>
              <w:t>Ardito Kodijat</w:t>
            </w:r>
          </w:p>
          <w:p w14:paraId="60F8305E"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4" w:right="430"/>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Indonesia BMKG or Laura Kong</w:t>
            </w:r>
          </w:p>
        </w:tc>
      </w:tr>
      <w:tr w:rsidR="00733E87" w:rsidRPr="00733E87" w14:paraId="35007E68" w14:textId="77777777" w:rsidTr="00493FEF">
        <w:trPr>
          <w:trHeight w:val="825"/>
          <w:jc w:val="center"/>
        </w:trPr>
        <w:tc>
          <w:tcPr>
            <w:tcW w:w="1615" w:type="dxa"/>
          </w:tcPr>
          <w:p w14:paraId="22D8A211"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12:15-12:30</w:t>
            </w:r>
          </w:p>
        </w:tc>
        <w:tc>
          <w:tcPr>
            <w:tcW w:w="5850" w:type="dxa"/>
          </w:tcPr>
          <w:p w14:paraId="6BCE2E08" w14:textId="77777777" w:rsidR="00733E87" w:rsidRPr="00733E87" w:rsidRDefault="00733E87" w:rsidP="00733E87">
            <w:pPr>
              <w:numPr>
                <w:ilvl w:val="1"/>
                <w:numId w:val="124"/>
              </w:numPr>
              <w:pBdr>
                <w:top w:val="nil"/>
                <w:left w:val="nil"/>
                <w:bottom w:val="nil"/>
                <w:right w:val="nil"/>
                <w:between w:val="nil"/>
              </w:pBdr>
              <w:tabs>
                <w:tab w:val="clear" w:pos="709"/>
              </w:tabs>
              <w:snapToGrid/>
              <w:spacing w:before="10" w:after="160" w:line="259" w:lineRule="auto"/>
              <w:rPr>
                <w:rFonts w:ascii="Arial" w:eastAsia="Arial" w:hAnsi="Arial" w:cs="Arial"/>
                <w:snapToGrid/>
                <w:color w:val="000000"/>
                <w:sz w:val="20"/>
                <w:szCs w:val="20"/>
                <w:lang w:val="en-US"/>
              </w:rPr>
            </w:pPr>
            <w:bookmarkStart w:id="224" w:name="_44sinio" w:colFirst="0" w:colLast="0"/>
            <w:bookmarkEnd w:id="224"/>
            <w:r w:rsidRPr="00733E87">
              <w:rPr>
                <w:rFonts w:ascii="Arial" w:eastAsia="Arial" w:hAnsi="Arial" w:cs="Arial"/>
                <w:b/>
                <w:snapToGrid/>
                <w:color w:val="000000"/>
                <w:sz w:val="20"/>
                <w:szCs w:val="20"/>
                <w:lang w:val="en-US"/>
              </w:rPr>
              <w:t>Tsunami Ready Tool Kit</w:t>
            </w:r>
          </w:p>
        </w:tc>
        <w:tc>
          <w:tcPr>
            <w:tcW w:w="2250" w:type="dxa"/>
          </w:tcPr>
          <w:p w14:paraId="5FC8CA29"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4"/>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Laura Kong and Ardito Kodijat</w:t>
            </w:r>
          </w:p>
        </w:tc>
      </w:tr>
      <w:tr w:rsidR="00733E87" w:rsidRPr="00733E87" w14:paraId="62DEF22C" w14:textId="77777777" w:rsidTr="00493FEF">
        <w:trPr>
          <w:trHeight w:val="825"/>
          <w:jc w:val="center"/>
        </w:trPr>
        <w:tc>
          <w:tcPr>
            <w:tcW w:w="1615" w:type="dxa"/>
          </w:tcPr>
          <w:p w14:paraId="6EFE2AC1"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12:30-13:00</w:t>
            </w:r>
          </w:p>
        </w:tc>
        <w:tc>
          <w:tcPr>
            <w:tcW w:w="5850" w:type="dxa"/>
          </w:tcPr>
          <w:p w14:paraId="27BB1930" w14:textId="77777777" w:rsidR="00733E87" w:rsidRPr="00733E87" w:rsidRDefault="00733E87" w:rsidP="00733E87">
            <w:pPr>
              <w:numPr>
                <w:ilvl w:val="1"/>
                <w:numId w:val="124"/>
              </w:numPr>
              <w:pBdr>
                <w:top w:val="nil"/>
                <w:left w:val="nil"/>
                <w:bottom w:val="nil"/>
                <w:right w:val="nil"/>
                <w:between w:val="nil"/>
              </w:pBdr>
              <w:tabs>
                <w:tab w:val="clear" w:pos="709"/>
              </w:tabs>
              <w:snapToGrid/>
              <w:spacing w:before="10" w:after="160" w:line="259" w:lineRule="auto"/>
              <w:rPr>
                <w:rFonts w:ascii="Arial" w:eastAsia="Arial" w:hAnsi="Arial" w:cs="Arial"/>
                <w:snapToGrid/>
                <w:color w:val="000000"/>
                <w:sz w:val="20"/>
                <w:szCs w:val="20"/>
                <w:lang w:val="en-US"/>
              </w:rPr>
            </w:pPr>
            <w:r w:rsidRPr="00733E87">
              <w:rPr>
                <w:rFonts w:ascii="Aptos" w:eastAsia="Aptos" w:hAnsi="Aptos" w:cs="Aptos"/>
                <w:b/>
                <w:snapToGrid/>
                <w:color w:val="000000"/>
                <w:lang w:val="en-US"/>
              </w:rPr>
              <w:t>Tsunami Ready Coalition Implementation Plan</w:t>
            </w:r>
          </w:p>
        </w:tc>
        <w:tc>
          <w:tcPr>
            <w:tcW w:w="2250" w:type="dxa"/>
          </w:tcPr>
          <w:p w14:paraId="4FC20FA4"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ind w:left="4"/>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Laura Kong and David Coetzee</w:t>
            </w:r>
          </w:p>
        </w:tc>
      </w:tr>
      <w:tr w:rsidR="00733E87" w:rsidRPr="00733E87" w14:paraId="725BF581" w14:textId="77777777" w:rsidTr="00493FEF">
        <w:trPr>
          <w:trHeight w:val="571"/>
          <w:jc w:val="center"/>
        </w:trPr>
        <w:tc>
          <w:tcPr>
            <w:tcW w:w="1615" w:type="dxa"/>
            <w:tcBorders>
              <w:bottom w:val="single" w:sz="4" w:space="0" w:color="000000"/>
            </w:tcBorders>
            <w:shd w:val="clear" w:color="auto" w:fill="E7E6E6"/>
          </w:tcPr>
          <w:p w14:paraId="1DFD7BE5"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13:00:14:00</w:t>
            </w:r>
          </w:p>
        </w:tc>
        <w:tc>
          <w:tcPr>
            <w:tcW w:w="5850" w:type="dxa"/>
            <w:tcBorders>
              <w:bottom w:val="single" w:sz="4" w:space="0" w:color="000000"/>
            </w:tcBorders>
            <w:shd w:val="clear" w:color="auto" w:fill="E7E6E6"/>
          </w:tcPr>
          <w:p w14:paraId="2086C7FA"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5"/>
              <w:jc w:val="center"/>
              <w:rPr>
                <w:rFonts w:ascii="Arial" w:eastAsia="Arial" w:hAnsi="Arial" w:cs="Arial"/>
                <w:i/>
                <w:snapToGrid/>
                <w:color w:val="000000"/>
                <w:sz w:val="20"/>
                <w:szCs w:val="20"/>
                <w:lang w:val="en-US"/>
              </w:rPr>
            </w:pPr>
            <w:r w:rsidRPr="00733E87">
              <w:rPr>
                <w:rFonts w:ascii="Arial" w:eastAsia="Arial" w:hAnsi="Arial" w:cs="Arial"/>
                <w:i/>
                <w:snapToGrid/>
                <w:color w:val="000000"/>
                <w:sz w:val="20"/>
                <w:szCs w:val="20"/>
                <w:lang w:val="en-US"/>
              </w:rPr>
              <w:t xml:space="preserve">Lunch Break </w:t>
            </w:r>
          </w:p>
        </w:tc>
        <w:tc>
          <w:tcPr>
            <w:tcW w:w="2250" w:type="dxa"/>
            <w:tcBorders>
              <w:bottom w:val="single" w:sz="4" w:space="0" w:color="000000"/>
            </w:tcBorders>
            <w:shd w:val="clear" w:color="auto" w:fill="E7E6E6"/>
          </w:tcPr>
          <w:p w14:paraId="6DB275BE" w14:textId="77777777" w:rsidR="00733E87" w:rsidRPr="00733E87" w:rsidRDefault="00733E87" w:rsidP="00733E87">
            <w:pPr>
              <w:pBdr>
                <w:top w:val="nil"/>
                <w:left w:val="nil"/>
                <w:bottom w:val="nil"/>
                <w:right w:val="nil"/>
                <w:between w:val="nil"/>
              </w:pBdr>
              <w:tabs>
                <w:tab w:val="clear" w:pos="709"/>
              </w:tabs>
              <w:snapToGrid/>
              <w:spacing w:after="160" w:line="278" w:lineRule="auto"/>
              <w:rPr>
                <w:rFonts w:ascii="Arial" w:eastAsia="Arial" w:hAnsi="Arial" w:cs="Arial"/>
                <w:snapToGrid/>
                <w:color w:val="000000"/>
                <w:sz w:val="20"/>
                <w:szCs w:val="20"/>
                <w:lang w:val="en-US"/>
              </w:rPr>
            </w:pPr>
          </w:p>
        </w:tc>
      </w:tr>
      <w:tr w:rsidR="00733E87" w:rsidRPr="00733E87" w14:paraId="200A57B2" w14:textId="77777777" w:rsidTr="00493FEF">
        <w:trPr>
          <w:trHeight w:val="571"/>
          <w:jc w:val="center"/>
        </w:trPr>
        <w:tc>
          <w:tcPr>
            <w:tcW w:w="1615" w:type="dxa"/>
            <w:tcBorders>
              <w:bottom w:val="single" w:sz="4" w:space="0" w:color="000000"/>
            </w:tcBorders>
            <w:shd w:val="clear" w:color="auto" w:fill="auto"/>
          </w:tcPr>
          <w:p w14:paraId="4CE63CE4"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14:00-14: 15</w:t>
            </w:r>
          </w:p>
        </w:tc>
        <w:tc>
          <w:tcPr>
            <w:tcW w:w="5850" w:type="dxa"/>
            <w:tcBorders>
              <w:bottom w:val="single" w:sz="4" w:space="0" w:color="000000"/>
            </w:tcBorders>
            <w:shd w:val="clear" w:color="auto" w:fill="auto"/>
          </w:tcPr>
          <w:p w14:paraId="37BAC760"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5"/>
              <w:jc w:val="center"/>
              <w:rPr>
                <w:rFonts w:ascii="Arial" w:eastAsia="Arial" w:hAnsi="Arial" w:cs="Arial"/>
                <w:i/>
                <w:snapToGrid/>
                <w:color w:val="000000"/>
                <w:sz w:val="20"/>
                <w:szCs w:val="20"/>
                <w:lang w:val="en-US"/>
              </w:rPr>
            </w:pPr>
            <w:r w:rsidRPr="00733E87">
              <w:rPr>
                <w:rFonts w:ascii="Aptos" w:eastAsia="Aptos" w:hAnsi="Aptos" w:cs="Aptos"/>
                <w:b/>
                <w:snapToGrid/>
                <w:color w:val="000000"/>
                <w:lang w:val="en-US"/>
              </w:rPr>
              <w:t>Tsunami Ready Coalition Implementation Plan (</w:t>
            </w:r>
            <w:proofErr w:type="spellStart"/>
            <w:r w:rsidRPr="00733E87">
              <w:rPr>
                <w:rFonts w:ascii="Aptos" w:eastAsia="Aptos" w:hAnsi="Aptos" w:cs="Aptos"/>
                <w:b/>
                <w:snapToGrid/>
                <w:color w:val="000000"/>
                <w:lang w:val="en-US"/>
              </w:rPr>
              <w:t>con’t</w:t>
            </w:r>
            <w:proofErr w:type="spellEnd"/>
            <w:r w:rsidRPr="00733E87">
              <w:rPr>
                <w:rFonts w:ascii="Aptos" w:eastAsia="Aptos" w:hAnsi="Aptos" w:cs="Aptos"/>
                <w:b/>
                <w:snapToGrid/>
                <w:color w:val="000000"/>
                <w:lang w:val="en-US"/>
              </w:rPr>
              <w:t>)</w:t>
            </w:r>
          </w:p>
        </w:tc>
        <w:tc>
          <w:tcPr>
            <w:tcW w:w="2250" w:type="dxa"/>
            <w:tcBorders>
              <w:bottom w:val="single" w:sz="4" w:space="0" w:color="000000"/>
            </w:tcBorders>
            <w:shd w:val="clear" w:color="auto" w:fill="auto"/>
          </w:tcPr>
          <w:p w14:paraId="137F91D5" w14:textId="77777777" w:rsidR="00733E87" w:rsidRPr="00733E87" w:rsidRDefault="00733E87" w:rsidP="00733E87">
            <w:pPr>
              <w:pBdr>
                <w:top w:val="nil"/>
                <w:left w:val="nil"/>
                <w:bottom w:val="nil"/>
                <w:right w:val="nil"/>
                <w:between w:val="nil"/>
              </w:pBdr>
              <w:tabs>
                <w:tab w:val="clear" w:pos="709"/>
              </w:tabs>
              <w:snapToGrid/>
              <w:spacing w:after="160" w:line="278" w:lineRule="auto"/>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Laura Kong and David Coetzee</w:t>
            </w:r>
          </w:p>
        </w:tc>
      </w:tr>
      <w:tr w:rsidR="00733E87" w:rsidRPr="00733E87" w14:paraId="756645CA" w14:textId="77777777" w:rsidTr="00493FEF">
        <w:trPr>
          <w:trHeight w:val="571"/>
          <w:jc w:val="center"/>
        </w:trPr>
        <w:tc>
          <w:tcPr>
            <w:tcW w:w="1615" w:type="dxa"/>
            <w:shd w:val="clear" w:color="auto" w:fill="C6D9F1"/>
          </w:tcPr>
          <w:p w14:paraId="47D30DCC"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[14:15-15:30]</w:t>
            </w:r>
          </w:p>
        </w:tc>
        <w:tc>
          <w:tcPr>
            <w:tcW w:w="5850" w:type="dxa"/>
            <w:shd w:val="clear" w:color="auto" w:fill="C6D9F1"/>
          </w:tcPr>
          <w:p w14:paraId="06C5258D"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5"/>
              <w:jc w:val="center"/>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ROUND TABLE DISCUSSION</w:t>
            </w:r>
          </w:p>
        </w:tc>
        <w:tc>
          <w:tcPr>
            <w:tcW w:w="2250" w:type="dxa"/>
            <w:shd w:val="clear" w:color="auto" w:fill="C6D9F1"/>
          </w:tcPr>
          <w:p w14:paraId="543E4EEA" w14:textId="77777777" w:rsidR="00733E87" w:rsidRPr="00733E87" w:rsidRDefault="00733E87" w:rsidP="00733E87">
            <w:pPr>
              <w:pBdr>
                <w:top w:val="nil"/>
                <w:left w:val="nil"/>
                <w:bottom w:val="nil"/>
                <w:right w:val="nil"/>
                <w:between w:val="nil"/>
              </w:pBdr>
              <w:tabs>
                <w:tab w:val="clear" w:pos="709"/>
              </w:tabs>
              <w:snapToGrid/>
              <w:spacing w:after="160" w:line="278" w:lineRule="auto"/>
              <w:rPr>
                <w:rFonts w:ascii="Arial" w:eastAsia="Arial" w:hAnsi="Arial" w:cs="Arial"/>
                <w:snapToGrid/>
                <w:color w:val="000000"/>
                <w:sz w:val="20"/>
                <w:szCs w:val="20"/>
                <w:lang w:val="en-US"/>
              </w:rPr>
            </w:pPr>
          </w:p>
        </w:tc>
      </w:tr>
      <w:tr w:rsidR="00733E87" w:rsidRPr="00733E87" w14:paraId="2A13040F" w14:textId="77777777" w:rsidTr="00493FEF">
        <w:trPr>
          <w:trHeight w:val="572"/>
          <w:jc w:val="center"/>
        </w:trPr>
        <w:tc>
          <w:tcPr>
            <w:tcW w:w="1615" w:type="dxa"/>
            <w:tcBorders>
              <w:bottom w:val="single" w:sz="4" w:space="0" w:color="000000"/>
            </w:tcBorders>
          </w:tcPr>
          <w:p w14:paraId="6F904DF7"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1"/>
              <w:rPr>
                <w:rFonts w:ascii="Arial" w:eastAsia="Arial" w:hAnsi="Arial" w:cs="Arial"/>
                <w:snapToGrid/>
                <w:color w:val="000000"/>
                <w:sz w:val="20"/>
                <w:szCs w:val="20"/>
                <w:lang w:val="en-US"/>
              </w:rPr>
            </w:pPr>
          </w:p>
        </w:tc>
        <w:tc>
          <w:tcPr>
            <w:tcW w:w="5850" w:type="dxa"/>
            <w:tcBorders>
              <w:bottom w:val="single" w:sz="4" w:space="0" w:color="000000"/>
            </w:tcBorders>
          </w:tcPr>
          <w:p w14:paraId="0E0BF90A" w14:textId="77777777" w:rsidR="00733E87" w:rsidRPr="00733E87" w:rsidRDefault="00733E87" w:rsidP="00733E87">
            <w:pPr>
              <w:numPr>
                <w:ilvl w:val="1"/>
                <w:numId w:val="124"/>
              </w:numPr>
              <w:pBdr>
                <w:top w:val="nil"/>
                <w:left w:val="nil"/>
                <w:bottom w:val="nil"/>
                <w:right w:val="nil"/>
                <w:between w:val="nil"/>
              </w:pBdr>
              <w:tabs>
                <w:tab w:val="clear" w:pos="709"/>
              </w:tabs>
              <w:snapToGrid/>
              <w:spacing w:before="11" w:after="160" w:line="259" w:lineRule="auto"/>
              <w:rPr>
                <w:rFonts w:ascii="Arial" w:eastAsia="Arial" w:hAnsi="Arial" w:cs="Arial"/>
                <w:snapToGrid/>
                <w:color w:val="000000"/>
                <w:sz w:val="20"/>
                <w:szCs w:val="20"/>
                <w:lang w:val="en-US"/>
              </w:rPr>
            </w:pPr>
            <w:r w:rsidRPr="00733E87">
              <w:rPr>
                <w:rFonts w:ascii="Arial" w:eastAsia="Arial" w:hAnsi="Arial" w:cs="Arial"/>
                <w:b/>
                <w:snapToGrid/>
                <w:color w:val="000000"/>
                <w:sz w:val="20"/>
                <w:szCs w:val="20"/>
                <w:lang w:val="en-US"/>
              </w:rPr>
              <w:t>Policy and Future Implementation: Tsunami Ready</w:t>
            </w:r>
            <w:r w:rsidRPr="00733E87">
              <w:rPr>
                <w:rFonts w:ascii="Arial" w:eastAsia="Arial" w:hAnsi="Arial" w:cs="Arial"/>
                <w:snapToGrid/>
                <w:color w:val="000000"/>
                <w:sz w:val="20"/>
                <w:szCs w:val="20"/>
                <w:lang w:val="en-US"/>
              </w:rPr>
              <w:t xml:space="preserve">, </w:t>
            </w:r>
          </w:p>
          <w:p w14:paraId="7C5DB54B"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830"/>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 xml:space="preserve">Key questions: </w:t>
            </w:r>
          </w:p>
          <w:p w14:paraId="3200F515" w14:textId="77777777" w:rsidR="00733E87" w:rsidRPr="00733E87" w:rsidRDefault="00733E87" w:rsidP="00733E87">
            <w:pPr>
              <w:numPr>
                <w:ilvl w:val="0"/>
                <w:numId w:val="125"/>
              </w:numPr>
              <w:pBdr>
                <w:top w:val="nil"/>
                <w:left w:val="nil"/>
                <w:bottom w:val="nil"/>
                <w:right w:val="nil"/>
                <w:between w:val="nil"/>
              </w:pBdr>
              <w:tabs>
                <w:tab w:val="clear" w:pos="709"/>
              </w:tabs>
              <w:snapToGrid/>
              <w:spacing w:before="11" w:after="160" w:line="259" w:lineRule="auto"/>
              <w:rPr>
                <w:rFonts w:ascii="Arial" w:eastAsia="Arial" w:hAnsi="Arial" w:cs="Arial"/>
                <w:i/>
                <w:snapToGrid/>
                <w:sz w:val="20"/>
                <w:szCs w:val="20"/>
                <w:lang w:val="en-US"/>
              </w:rPr>
            </w:pPr>
            <w:r w:rsidRPr="00733E87">
              <w:rPr>
                <w:rFonts w:ascii="Arial" w:eastAsia="Arial" w:hAnsi="Arial" w:cs="Arial"/>
                <w:i/>
                <w:snapToGrid/>
                <w:color w:val="000000"/>
                <w:sz w:val="20"/>
                <w:szCs w:val="20"/>
                <w:lang w:val="en-US"/>
              </w:rPr>
              <w:t>How should Tsunami Ready evolve at a policy and national level? How can UNESCO-</w:t>
            </w:r>
            <w:r w:rsidRPr="00733E87">
              <w:rPr>
                <w:rFonts w:ascii="Arial" w:eastAsia="Arial" w:hAnsi="Arial" w:cs="Arial"/>
                <w:i/>
                <w:snapToGrid/>
                <w:color w:val="000000"/>
                <w:sz w:val="20"/>
                <w:szCs w:val="20"/>
                <w:lang w:val="en-US"/>
              </w:rPr>
              <w:lastRenderedPageBreak/>
              <w:t>IOC sustainably engage with both Member States and communities?</w:t>
            </w:r>
          </w:p>
          <w:p w14:paraId="69C703C3" w14:textId="77777777" w:rsidR="00733E87" w:rsidRPr="00733E87" w:rsidRDefault="00733E87" w:rsidP="00733E87">
            <w:pPr>
              <w:numPr>
                <w:ilvl w:val="0"/>
                <w:numId w:val="125"/>
              </w:numPr>
              <w:pBdr>
                <w:top w:val="nil"/>
                <w:left w:val="nil"/>
                <w:bottom w:val="nil"/>
                <w:right w:val="nil"/>
                <w:between w:val="nil"/>
              </w:pBdr>
              <w:tabs>
                <w:tab w:val="clear" w:pos="709"/>
              </w:tabs>
              <w:snapToGrid/>
              <w:spacing w:before="11" w:after="160" w:line="259" w:lineRule="auto"/>
              <w:rPr>
                <w:rFonts w:ascii="Arial" w:eastAsia="Arial" w:hAnsi="Arial" w:cs="Arial"/>
                <w:i/>
                <w:snapToGrid/>
                <w:sz w:val="20"/>
                <w:szCs w:val="20"/>
                <w:lang w:val="en-US"/>
              </w:rPr>
            </w:pPr>
            <w:r w:rsidRPr="00733E87">
              <w:rPr>
                <w:rFonts w:ascii="Arial" w:eastAsia="Arial" w:hAnsi="Arial" w:cs="Arial"/>
                <w:i/>
                <w:snapToGrid/>
                <w:color w:val="000000"/>
                <w:sz w:val="20"/>
                <w:szCs w:val="20"/>
                <w:lang w:val="en-US"/>
              </w:rPr>
              <w:t xml:space="preserve">How </w:t>
            </w:r>
            <w:proofErr w:type="gramStart"/>
            <w:r w:rsidRPr="00733E87">
              <w:rPr>
                <w:rFonts w:ascii="Arial" w:eastAsia="Arial" w:hAnsi="Arial" w:cs="Arial"/>
                <w:i/>
                <w:snapToGrid/>
                <w:color w:val="000000"/>
                <w:sz w:val="20"/>
                <w:szCs w:val="20"/>
                <w:lang w:val="en-US"/>
              </w:rPr>
              <w:t>Member</w:t>
            </w:r>
            <w:proofErr w:type="gramEnd"/>
            <w:r w:rsidRPr="00733E87">
              <w:rPr>
                <w:rFonts w:ascii="Arial" w:eastAsia="Arial" w:hAnsi="Arial" w:cs="Arial"/>
                <w:i/>
                <w:snapToGrid/>
                <w:color w:val="000000"/>
                <w:sz w:val="20"/>
                <w:szCs w:val="20"/>
                <w:lang w:val="en-US"/>
              </w:rPr>
              <w:t xml:space="preserve"> States adapt/streamline the </w:t>
            </w:r>
            <w:proofErr w:type="spellStart"/>
            <w:r w:rsidRPr="00733E87">
              <w:rPr>
                <w:rFonts w:ascii="Arial" w:eastAsia="Arial" w:hAnsi="Arial" w:cs="Arial"/>
                <w:i/>
                <w:snapToGrid/>
                <w:color w:val="000000"/>
                <w:sz w:val="20"/>
                <w:szCs w:val="20"/>
                <w:lang w:val="en-US"/>
              </w:rPr>
              <w:t>programme</w:t>
            </w:r>
            <w:proofErr w:type="spellEnd"/>
            <w:r w:rsidRPr="00733E87">
              <w:rPr>
                <w:rFonts w:ascii="Arial" w:eastAsia="Arial" w:hAnsi="Arial" w:cs="Arial"/>
                <w:i/>
                <w:snapToGrid/>
                <w:color w:val="000000"/>
                <w:sz w:val="20"/>
                <w:szCs w:val="20"/>
                <w:lang w:val="en-US"/>
              </w:rPr>
              <w:t xml:space="preserve"> into their national disaster risk reduction legislative framework?</w:t>
            </w:r>
          </w:p>
          <w:p w14:paraId="12E84794" w14:textId="77777777" w:rsidR="00733E87" w:rsidRPr="00733E87" w:rsidRDefault="00733E87" w:rsidP="00733E87">
            <w:pPr>
              <w:numPr>
                <w:ilvl w:val="0"/>
                <w:numId w:val="125"/>
              </w:numPr>
              <w:pBdr>
                <w:top w:val="nil"/>
                <w:left w:val="nil"/>
                <w:bottom w:val="nil"/>
                <w:right w:val="nil"/>
                <w:between w:val="nil"/>
              </w:pBdr>
              <w:tabs>
                <w:tab w:val="clear" w:pos="709"/>
              </w:tabs>
              <w:snapToGrid/>
              <w:spacing w:before="11" w:after="160" w:line="259" w:lineRule="auto"/>
              <w:rPr>
                <w:rFonts w:ascii="Arial" w:eastAsia="Arial" w:hAnsi="Arial" w:cs="Arial"/>
                <w:i/>
                <w:snapToGrid/>
                <w:sz w:val="20"/>
                <w:szCs w:val="20"/>
                <w:lang w:val="en-US"/>
              </w:rPr>
            </w:pPr>
            <w:r w:rsidRPr="00733E87">
              <w:rPr>
                <w:rFonts w:ascii="Arial" w:eastAsia="Arial" w:hAnsi="Arial" w:cs="Arial"/>
                <w:i/>
                <w:snapToGrid/>
                <w:color w:val="000000"/>
                <w:sz w:val="20"/>
                <w:szCs w:val="20"/>
                <w:lang w:val="en-US"/>
              </w:rPr>
              <w:t xml:space="preserve">How to deal with other </w:t>
            </w:r>
            <w:r w:rsidRPr="00733E87">
              <w:rPr>
                <w:rFonts w:ascii="Arial" w:eastAsia="Arial" w:hAnsi="Arial" w:cs="Arial"/>
                <w:i/>
                <w:snapToGrid/>
                <w:sz w:val="20"/>
                <w:szCs w:val="20"/>
                <w:lang w:val="en-US"/>
              </w:rPr>
              <w:t>interests</w:t>
            </w:r>
            <w:r w:rsidRPr="00733E87">
              <w:rPr>
                <w:rFonts w:ascii="Arial" w:eastAsia="Arial" w:hAnsi="Arial" w:cs="Arial"/>
                <w:i/>
                <w:snapToGrid/>
                <w:color w:val="000000"/>
                <w:sz w:val="20"/>
                <w:szCs w:val="20"/>
                <w:lang w:val="en-US"/>
              </w:rPr>
              <w:t xml:space="preserve"> &amp; complex and </w:t>
            </w:r>
            <w:proofErr w:type="gramStart"/>
            <w:r w:rsidRPr="00733E87">
              <w:rPr>
                <w:rFonts w:ascii="Arial" w:eastAsia="Arial" w:hAnsi="Arial" w:cs="Arial"/>
                <w:i/>
                <w:snapToGrid/>
                <w:color w:val="000000"/>
                <w:sz w:val="20"/>
                <w:szCs w:val="20"/>
                <w:lang w:val="en-US"/>
              </w:rPr>
              <w:t>particular situations</w:t>
            </w:r>
            <w:proofErr w:type="gramEnd"/>
            <w:r w:rsidRPr="00733E87">
              <w:rPr>
                <w:rFonts w:ascii="Arial" w:eastAsia="Arial" w:hAnsi="Arial" w:cs="Arial"/>
                <w:i/>
                <w:snapToGrid/>
                <w:color w:val="000000"/>
                <w:sz w:val="20"/>
                <w:szCs w:val="20"/>
                <w:lang w:val="en-US"/>
              </w:rPr>
              <w:t xml:space="preserve"> (entire coast, schools etc.?) </w:t>
            </w:r>
          </w:p>
          <w:p w14:paraId="740EB647" w14:textId="77777777" w:rsidR="00733E87" w:rsidRPr="00733E87" w:rsidRDefault="00733E87" w:rsidP="00733E87">
            <w:pPr>
              <w:numPr>
                <w:ilvl w:val="0"/>
                <w:numId w:val="125"/>
              </w:numPr>
              <w:pBdr>
                <w:top w:val="nil"/>
                <w:left w:val="nil"/>
                <w:bottom w:val="nil"/>
                <w:right w:val="nil"/>
                <w:between w:val="nil"/>
              </w:pBdr>
              <w:tabs>
                <w:tab w:val="clear" w:pos="709"/>
              </w:tabs>
              <w:snapToGrid/>
              <w:spacing w:before="11" w:after="160" w:line="259" w:lineRule="auto"/>
              <w:rPr>
                <w:rFonts w:ascii="Arial" w:eastAsia="Arial" w:hAnsi="Arial" w:cs="Arial"/>
                <w:i/>
                <w:snapToGrid/>
                <w:sz w:val="20"/>
                <w:szCs w:val="20"/>
                <w:lang w:val="en-US"/>
              </w:rPr>
            </w:pPr>
            <w:r w:rsidRPr="00733E87">
              <w:rPr>
                <w:rFonts w:ascii="Arial" w:eastAsia="Arial" w:hAnsi="Arial" w:cs="Arial"/>
                <w:i/>
                <w:snapToGrid/>
                <w:color w:val="000000"/>
                <w:sz w:val="20"/>
                <w:szCs w:val="20"/>
                <w:lang w:val="en-US"/>
              </w:rPr>
              <w:t>How to deal with the interest and needs of critical infrastructure, i.e. airport and port</w:t>
            </w:r>
          </w:p>
          <w:p w14:paraId="7373C6DD" w14:textId="77777777" w:rsidR="00733E87" w:rsidRPr="00733E87" w:rsidRDefault="00733E87" w:rsidP="00733E87">
            <w:pPr>
              <w:numPr>
                <w:ilvl w:val="0"/>
                <w:numId w:val="125"/>
              </w:numPr>
              <w:pBdr>
                <w:top w:val="nil"/>
                <w:left w:val="nil"/>
                <w:bottom w:val="nil"/>
                <w:right w:val="nil"/>
                <w:between w:val="nil"/>
              </w:pBdr>
              <w:tabs>
                <w:tab w:val="clear" w:pos="709"/>
              </w:tabs>
              <w:snapToGrid/>
              <w:spacing w:before="11" w:after="160" w:line="259" w:lineRule="auto"/>
              <w:rPr>
                <w:rFonts w:ascii="Arial" w:eastAsia="Arial" w:hAnsi="Arial" w:cs="Arial"/>
                <w:i/>
                <w:snapToGrid/>
                <w:sz w:val="20"/>
                <w:szCs w:val="20"/>
                <w:lang w:val="en-US"/>
              </w:rPr>
            </w:pPr>
            <w:r w:rsidRPr="00733E87">
              <w:rPr>
                <w:rFonts w:ascii="Arial" w:eastAsia="Arial" w:hAnsi="Arial" w:cs="Arial"/>
                <w:i/>
                <w:snapToGrid/>
                <w:color w:val="000000"/>
                <w:sz w:val="20"/>
                <w:szCs w:val="20"/>
                <w:lang w:val="en-US"/>
              </w:rPr>
              <w:t>How to deal with the interest and needs of hazardous vital infrastructure, i.e. industrial zone, power p</w:t>
            </w:r>
            <w:r w:rsidRPr="00733E87">
              <w:rPr>
                <w:rFonts w:ascii="Arial" w:eastAsia="Arial" w:hAnsi="Arial" w:cs="Arial"/>
                <w:i/>
                <w:snapToGrid/>
                <w:sz w:val="20"/>
                <w:szCs w:val="20"/>
                <w:lang w:val="en-US"/>
              </w:rPr>
              <w:t>l</w:t>
            </w:r>
            <w:r w:rsidRPr="00733E87">
              <w:rPr>
                <w:rFonts w:ascii="Arial" w:eastAsia="Arial" w:hAnsi="Arial" w:cs="Arial"/>
                <w:i/>
                <w:snapToGrid/>
                <w:color w:val="000000"/>
                <w:sz w:val="20"/>
                <w:szCs w:val="20"/>
                <w:lang w:val="en-US"/>
              </w:rPr>
              <w:t xml:space="preserve">ant </w:t>
            </w:r>
          </w:p>
        </w:tc>
        <w:tc>
          <w:tcPr>
            <w:tcW w:w="2250" w:type="dxa"/>
            <w:tcBorders>
              <w:bottom w:val="single" w:sz="4" w:space="0" w:color="000000"/>
            </w:tcBorders>
          </w:tcPr>
          <w:p w14:paraId="3BA0FCE7"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Pr>
                <w:rFonts w:ascii="Arial" w:eastAsia="Arial" w:hAnsi="Arial" w:cs="Arial"/>
                <w:snapToGrid/>
                <w:color w:val="000000"/>
                <w:sz w:val="20"/>
                <w:szCs w:val="20"/>
                <w:lang w:val="en-US"/>
              </w:rPr>
            </w:pPr>
            <w:r w:rsidRPr="00733E87">
              <w:rPr>
                <w:rFonts w:ascii="Arial" w:eastAsia="Arial" w:hAnsi="Arial" w:cs="Arial"/>
                <w:snapToGrid/>
                <w:sz w:val="20"/>
                <w:szCs w:val="20"/>
                <w:lang w:val="en-US"/>
              </w:rPr>
              <w:lastRenderedPageBreak/>
              <w:t>All</w:t>
            </w:r>
          </w:p>
        </w:tc>
      </w:tr>
      <w:tr w:rsidR="00733E87" w:rsidRPr="00733E87" w14:paraId="4420CB8F" w14:textId="77777777" w:rsidTr="00493FEF">
        <w:trPr>
          <w:trHeight w:val="572"/>
          <w:jc w:val="center"/>
        </w:trPr>
        <w:tc>
          <w:tcPr>
            <w:tcW w:w="1615" w:type="dxa"/>
            <w:shd w:val="clear" w:color="auto" w:fill="F2F2F2"/>
          </w:tcPr>
          <w:p w14:paraId="368F7AA2"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1"/>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15:30-16:00</w:t>
            </w:r>
          </w:p>
        </w:tc>
        <w:tc>
          <w:tcPr>
            <w:tcW w:w="5850" w:type="dxa"/>
            <w:shd w:val="clear" w:color="auto" w:fill="F2F2F2"/>
          </w:tcPr>
          <w:p w14:paraId="396061C2"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830"/>
              <w:jc w:val="center"/>
              <w:rPr>
                <w:rFonts w:ascii="Arial" w:eastAsia="Arial" w:hAnsi="Arial" w:cs="Arial"/>
                <w:b/>
                <w:snapToGrid/>
                <w:color w:val="000000"/>
                <w:sz w:val="20"/>
                <w:szCs w:val="20"/>
                <w:lang w:val="en-US"/>
              </w:rPr>
            </w:pPr>
            <w:r w:rsidRPr="00733E87">
              <w:rPr>
                <w:rFonts w:ascii="Arial" w:eastAsia="Arial" w:hAnsi="Arial" w:cs="Arial"/>
                <w:i/>
                <w:snapToGrid/>
                <w:color w:val="000000"/>
                <w:sz w:val="20"/>
                <w:szCs w:val="20"/>
                <w:lang w:val="en-US"/>
              </w:rPr>
              <w:t>Break</w:t>
            </w:r>
          </w:p>
        </w:tc>
        <w:tc>
          <w:tcPr>
            <w:tcW w:w="2250" w:type="dxa"/>
            <w:shd w:val="clear" w:color="auto" w:fill="F2F2F2"/>
          </w:tcPr>
          <w:p w14:paraId="41931F33"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Pr>
                <w:rFonts w:ascii="Arial" w:eastAsia="Arial" w:hAnsi="Arial" w:cs="Arial"/>
                <w:snapToGrid/>
                <w:color w:val="000000"/>
                <w:sz w:val="20"/>
                <w:szCs w:val="20"/>
                <w:lang w:val="en-US"/>
              </w:rPr>
            </w:pPr>
          </w:p>
        </w:tc>
      </w:tr>
      <w:tr w:rsidR="00733E87" w:rsidRPr="00733E87" w14:paraId="3FE78C4E" w14:textId="77777777" w:rsidTr="00493FEF">
        <w:trPr>
          <w:trHeight w:val="572"/>
          <w:jc w:val="center"/>
        </w:trPr>
        <w:tc>
          <w:tcPr>
            <w:tcW w:w="1615" w:type="dxa"/>
          </w:tcPr>
          <w:p w14:paraId="392DF33C"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1"/>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16:00-16:25</w:t>
            </w:r>
          </w:p>
        </w:tc>
        <w:tc>
          <w:tcPr>
            <w:tcW w:w="5850" w:type="dxa"/>
          </w:tcPr>
          <w:p w14:paraId="32D906CF" w14:textId="77777777" w:rsidR="00733E87" w:rsidRPr="00733E87" w:rsidRDefault="00733E87" w:rsidP="00733E87">
            <w:pPr>
              <w:numPr>
                <w:ilvl w:val="0"/>
                <w:numId w:val="124"/>
              </w:numPr>
              <w:pBdr>
                <w:top w:val="nil"/>
                <w:left w:val="nil"/>
                <w:bottom w:val="nil"/>
                <w:right w:val="nil"/>
                <w:between w:val="nil"/>
              </w:pBdr>
              <w:tabs>
                <w:tab w:val="clear" w:pos="709"/>
              </w:tabs>
              <w:snapToGrid/>
              <w:spacing w:before="11" w:after="160" w:line="259" w:lineRule="auto"/>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EDUCATION AND WORLD TSUNAMI AWARENESS DAY 2024 AND PLANNING FOR 2025</w:t>
            </w:r>
          </w:p>
        </w:tc>
        <w:tc>
          <w:tcPr>
            <w:tcW w:w="2250" w:type="dxa"/>
          </w:tcPr>
          <w:p w14:paraId="4AE70E03"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Pr>
                <w:rFonts w:ascii="Arial" w:eastAsia="Arial" w:hAnsi="Arial" w:cs="Arial"/>
                <w:snapToGrid/>
                <w:sz w:val="20"/>
                <w:szCs w:val="20"/>
                <w:lang w:val="en-US"/>
              </w:rPr>
            </w:pPr>
          </w:p>
          <w:p w14:paraId="1D1168A0"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Pr>
                <w:rFonts w:ascii="Arial" w:eastAsia="Arial" w:hAnsi="Arial" w:cs="Arial"/>
                <w:snapToGrid/>
                <w:color w:val="000000"/>
                <w:sz w:val="20"/>
                <w:szCs w:val="20"/>
                <w:lang w:val="en-US"/>
              </w:rPr>
            </w:pPr>
            <w:r w:rsidRPr="00733E87">
              <w:rPr>
                <w:rFonts w:ascii="Arial" w:eastAsia="Arial" w:hAnsi="Arial" w:cs="Arial"/>
                <w:snapToGrid/>
                <w:sz w:val="20"/>
                <w:szCs w:val="20"/>
                <w:lang w:val="en-US"/>
              </w:rPr>
              <w:t>UNDRR</w:t>
            </w:r>
            <w:r w:rsidRPr="00733E87">
              <w:rPr>
                <w:rFonts w:ascii="Arial" w:eastAsia="Arial" w:hAnsi="Arial" w:cs="Arial"/>
                <w:snapToGrid/>
                <w:color w:val="000000"/>
                <w:sz w:val="20"/>
                <w:szCs w:val="20"/>
                <w:lang w:val="en-US"/>
              </w:rPr>
              <w:t xml:space="preserve"> /All</w:t>
            </w:r>
          </w:p>
        </w:tc>
      </w:tr>
      <w:tr w:rsidR="00733E87" w:rsidRPr="00733E87" w14:paraId="353B303B" w14:textId="77777777" w:rsidTr="00493FEF">
        <w:trPr>
          <w:trHeight w:val="572"/>
          <w:jc w:val="center"/>
        </w:trPr>
        <w:tc>
          <w:tcPr>
            <w:tcW w:w="1615" w:type="dxa"/>
          </w:tcPr>
          <w:p w14:paraId="30FE5F6F"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1"/>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16:25-16:45</w:t>
            </w:r>
          </w:p>
        </w:tc>
        <w:tc>
          <w:tcPr>
            <w:tcW w:w="5850" w:type="dxa"/>
          </w:tcPr>
          <w:p w14:paraId="299FE9A9" w14:textId="77777777" w:rsidR="00733E87" w:rsidRPr="00733E87" w:rsidRDefault="00733E87" w:rsidP="00733E87">
            <w:pPr>
              <w:numPr>
                <w:ilvl w:val="0"/>
                <w:numId w:val="124"/>
              </w:numPr>
              <w:pBdr>
                <w:top w:val="nil"/>
                <w:left w:val="nil"/>
                <w:bottom w:val="nil"/>
                <w:right w:val="nil"/>
                <w:between w:val="nil"/>
              </w:pBdr>
              <w:tabs>
                <w:tab w:val="clear" w:pos="709"/>
              </w:tabs>
              <w:snapToGrid/>
              <w:spacing w:before="11" w:after="160" w:line="259" w:lineRule="auto"/>
              <w:rPr>
                <w:rFonts w:ascii="Arial" w:eastAsia="Arial" w:hAnsi="Arial" w:cs="Arial"/>
                <w:b/>
                <w:snapToGrid/>
                <w:color w:val="000000"/>
                <w:sz w:val="20"/>
                <w:szCs w:val="20"/>
                <w:lang w:val="en-US"/>
              </w:rPr>
            </w:pPr>
            <w:bookmarkStart w:id="225" w:name="_2jxsxqh" w:colFirst="0" w:colLast="0"/>
            <w:bookmarkEnd w:id="225"/>
            <w:r w:rsidRPr="00733E87">
              <w:rPr>
                <w:rFonts w:ascii="Arial" w:eastAsia="Arial" w:hAnsi="Arial" w:cs="Arial"/>
                <w:b/>
                <w:snapToGrid/>
                <w:color w:val="000000"/>
                <w:sz w:val="20"/>
                <w:szCs w:val="20"/>
                <w:lang w:val="en-US"/>
              </w:rPr>
              <w:t>INCLUSIVE SOPs</w:t>
            </w:r>
          </w:p>
        </w:tc>
        <w:tc>
          <w:tcPr>
            <w:tcW w:w="2250" w:type="dxa"/>
          </w:tcPr>
          <w:p w14:paraId="76D3C50B"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Pr>
                <w:rFonts w:ascii="Arial" w:eastAsia="Arial" w:hAnsi="Arial" w:cs="Arial"/>
                <w:snapToGrid/>
                <w:sz w:val="20"/>
                <w:szCs w:val="20"/>
                <w:lang w:val="en-US"/>
              </w:rPr>
            </w:pPr>
            <w:r w:rsidRPr="00733E87">
              <w:rPr>
                <w:rFonts w:ascii="Arial" w:eastAsia="Arial" w:hAnsi="Arial" w:cs="Arial"/>
                <w:snapToGrid/>
                <w:color w:val="000000"/>
                <w:sz w:val="20"/>
                <w:szCs w:val="20"/>
                <w:lang w:val="en-US"/>
              </w:rPr>
              <w:t>Harkunti Rahayu</w:t>
            </w:r>
          </w:p>
        </w:tc>
      </w:tr>
      <w:tr w:rsidR="00733E87" w:rsidRPr="00733E87" w14:paraId="4EEC477F" w14:textId="77777777" w:rsidTr="00493FEF">
        <w:trPr>
          <w:trHeight w:val="572"/>
          <w:jc w:val="center"/>
        </w:trPr>
        <w:tc>
          <w:tcPr>
            <w:tcW w:w="1615" w:type="dxa"/>
          </w:tcPr>
          <w:p w14:paraId="3AB61D61"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1"/>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16:40-17:10</w:t>
            </w:r>
          </w:p>
        </w:tc>
        <w:tc>
          <w:tcPr>
            <w:tcW w:w="5850" w:type="dxa"/>
          </w:tcPr>
          <w:p w14:paraId="7791D2D3" w14:textId="77777777" w:rsidR="00733E87" w:rsidRPr="00733E87" w:rsidRDefault="00733E87" w:rsidP="00733E87">
            <w:pPr>
              <w:numPr>
                <w:ilvl w:val="0"/>
                <w:numId w:val="124"/>
              </w:numPr>
              <w:pBdr>
                <w:top w:val="nil"/>
                <w:left w:val="nil"/>
                <w:bottom w:val="nil"/>
                <w:right w:val="nil"/>
                <w:between w:val="nil"/>
              </w:pBdr>
              <w:tabs>
                <w:tab w:val="clear" w:pos="709"/>
              </w:tabs>
              <w:snapToGrid/>
              <w:spacing w:before="11" w:after="160" w:line="259" w:lineRule="auto"/>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REVISED TT DMP TOR</w:t>
            </w:r>
          </w:p>
        </w:tc>
        <w:tc>
          <w:tcPr>
            <w:tcW w:w="2250" w:type="dxa"/>
          </w:tcPr>
          <w:p w14:paraId="3051D886"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Chair/All</w:t>
            </w:r>
          </w:p>
        </w:tc>
      </w:tr>
      <w:tr w:rsidR="00733E87" w:rsidRPr="00733E87" w14:paraId="7F973983" w14:textId="77777777" w:rsidTr="00493FEF">
        <w:trPr>
          <w:trHeight w:val="571"/>
          <w:jc w:val="center"/>
        </w:trPr>
        <w:tc>
          <w:tcPr>
            <w:tcW w:w="1615" w:type="dxa"/>
          </w:tcPr>
          <w:p w14:paraId="597FC387"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1"/>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17:10-17:20</w:t>
            </w:r>
          </w:p>
        </w:tc>
        <w:tc>
          <w:tcPr>
            <w:tcW w:w="5850" w:type="dxa"/>
          </w:tcPr>
          <w:p w14:paraId="157CFD91" w14:textId="77777777" w:rsidR="00733E87" w:rsidRPr="00733E87" w:rsidRDefault="00733E87" w:rsidP="00733E87">
            <w:pPr>
              <w:numPr>
                <w:ilvl w:val="0"/>
                <w:numId w:val="124"/>
              </w:numPr>
              <w:pBdr>
                <w:top w:val="nil"/>
                <w:left w:val="nil"/>
                <w:bottom w:val="nil"/>
                <w:right w:val="nil"/>
                <w:between w:val="nil"/>
              </w:pBdr>
              <w:tabs>
                <w:tab w:val="clear" w:pos="709"/>
              </w:tabs>
              <w:snapToGrid/>
              <w:spacing w:before="11" w:after="160" w:line="259" w:lineRule="auto"/>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DEVELOP TT TMP WORK PLAN</w:t>
            </w:r>
          </w:p>
        </w:tc>
        <w:tc>
          <w:tcPr>
            <w:tcW w:w="2250" w:type="dxa"/>
          </w:tcPr>
          <w:p w14:paraId="77187040"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ight="587"/>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Harkunti Rahayu Secretariat</w:t>
            </w:r>
          </w:p>
        </w:tc>
      </w:tr>
      <w:tr w:rsidR="00733E87" w:rsidRPr="00733E87" w14:paraId="51CB8FDC" w14:textId="77777777" w:rsidTr="00493FEF">
        <w:trPr>
          <w:trHeight w:val="700"/>
          <w:jc w:val="center"/>
        </w:trPr>
        <w:tc>
          <w:tcPr>
            <w:tcW w:w="1615" w:type="dxa"/>
            <w:shd w:val="clear" w:color="auto" w:fill="E7E6E6"/>
          </w:tcPr>
          <w:p w14:paraId="678656F1"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17:20-17:30</w:t>
            </w:r>
          </w:p>
        </w:tc>
        <w:tc>
          <w:tcPr>
            <w:tcW w:w="5850" w:type="dxa"/>
            <w:shd w:val="clear" w:color="auto" w:fill="E7E6E6"/>
          </w:tcPr>
          <w:p w14:paraId="27C23B3C" w14:textId="77777777" w:rsidR="00733E87" w:rsidRPr="00733E87" w:rsidRDefault="00733E87" w:rsidP="00733E87">
            <w:pPr>
              <w:numPr>
                <w:ilvl w:val="0"/>
                <w:numId w:val="124"/>
              </w:numPr>
              <w:pBdr>
                <w:top w:val="nil"/>
                <w:left w:val="nil"/>
                <w:bottom w:val="nil"/>
                <w:right w:val="nil"/>
                <w:between w:val="nil"/>
              </w:pBdr>
              <w:tabs>
                <w:tab w:val="clear" w:pos="709"/>
              </w:tabs>
              <w:snapToGrid/>
              <w:spacing w:before="11" w:after="160" w:line="259" w:lineRule="auto"/>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AOB &amp; CLOSE OF MEETING</w:t>
            </w:r>
          </w:p>
        </w:tc>
        <w:tc>
          <w:tcPr>
            <w:tcW w:w="2250" w:type="dxa"/>
            <w:shd w:val="clear" w:color="auto" w:fill="E7E6E6"/>
          </w:tcPr>
          <w:p w14:paraId="616744E9"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ight="537"/>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Harkunti Rahayu Secretariat</w:t>
            </w:r>
          </w:p>
        </w:tc>
      </w:tr>
      <w:tr w:rsidR="00733E87" w:rsidRPr="00733E87" w14:paraId="46720B0F" w14:textId="77777777" w:rsidTr="00493FEF">
        <w:trPr>
          <w:trHeight w:val="700"/>
          <w:jc w:val="center"/>
        </w:trPr>
        <w:tc>
          <w:tcPr>
            <w:tcW w:w="1615" w:type="dxa"/>
            <w:shd w:val="clear" w:color="auto" w:fill="E7E6E6"/>
          </w:tcPr>
          <w:p w14:paraId="095AD65F"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6"/>
              <w:rPr>
                <w:rFonts w:ascii="Arial" w:eastAsia="Arial" w:hAnsi="Arial" w:cs="Arial"/>
                <w:snapToGrid/>
                <w:color w:val="000000"/>
                <w:sz w:val="20"/>
                <w:szCs w:val="20"/>
                <w:lang w:val="en-US"/>
              </w:rPr>
            </w:pPr>
          </w:p>
        </w:tc>
        <w:tc>
          <w:tcPr>
            <w:tcW w:w="5850" w:type="dxa"/>
            <w:shd w:val="clear" w:color="auto" w:fill="E7E6E6"/>
          </w:tcPr>
          <w:p w14:paraId="7CDEC01E"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jc w:val="center"/>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HALF DAY (SAT 22 FEB)</w:t>
            </w:r>
          </w:p>
        </w:tc>
        <w:tc>
          <w:tcPr>
            <w:tcW w:w="2250" w:type="dxa"/>
            <w:shd w:val="clear" w:color="auto" w:fill="E7E6E6"/>
          </w:tcPr>
          <w:p w14:paraId="087D354A"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ight="537" w:firstLine="50"/>
              <w:rPr>
                <w:rFonts w:ascii="Arial" w:eastAsia="Arial" w:hAnsi="Arial" w:cs="Arial"/>
                <w:snapToGrid/>
                <w:color w:val="000000"/>
                <w:sz w:val="20"/>
                <w:szCs w:val="20"/>
                <w:lang w:val="en-US"/>
              </w:rPr>
            </w:pPr>
          </w:p>
        </w:tc>
      </w:tr>
      <w:tr w:rsidR="00733E87" w:rsidRPr="00733E87" w14:paraId="24FE3B55" w14:textId="77777777" w:rsidTr="00493FEF">
        <w:trPr>
          <w:trHeight w:val="700"/>
          <w:jc w:val="center"/>
        </w:trPr>
        <w:tc>
          <w:tcPr>
            <w:tcW w:w="1615" w:type="dxa"/>
            <w:shd w:val="clear" w:color="auto" w:fill="E7E6E6"/>
          </w:tcPr>
          <w:p w14:paraId="201F1A9D"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116"/>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10:00-13:00</w:t>
            </w:r>
          </w:p>
        </w:tc>
        <w:tc>
          <w:tcPr>
            <w:tcW w:w="5850" w:type="dxa"/>
            <w:shd w:val="clear" w:color="auto" w:fill="E7E6E6"/>
          </w:tcPr>
          <w:p w14:paraId="644CBC8B"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360"/>
              <w:rPr>
                <w:rFonts w:ascii="Arial" w:eastAsia="Arial" w:hAnsi="Arial" w:cs="Arial"/>
                <w:b/>
                <w:snapToGrid/>
                <w:color w:val="000000"/>
                <w:sz w:val="20"/>
                <w:szCs w:val="20"/>
                <w:lang w:val="en-US"/>
              </w:rPr>
            </w:pPr>
            <w:r w:rsidRPr="00733E87">
              <w:rPr>
                <w:rFonts w:ascii="Arial" w:eastAsia="Arial" w:hAnsi="Arial" w:cs="Arial"/>
                <w:b/>
                <w:snapToGrid/>
                <w:color w:val="000000"/>
                <w:sz w:val="20"/>
                <w:szCs w:val="20"/>
                <w:lang w:val="en-US"/>
              </w:rPr>
              <w:t>FINAL WRAP UP DISCUSSIONS &amp; DRAFTING DECISIONS AND RECOMMENDATIONS</w:t>
            </w:r>
          </w:p>
        </w:tc>
        <w:tc>
          <w:tcPr>
            <w:tcW w:w="2250" w:type="dxa"/>
            <w:shd w:val="clear" w:color="auto" w:fill="E7E6E6"/>
          </w:tcPr>
          <w:p w14:paraId="6EEA1395" w14:textId="77777777" w:rsidR="00733E87" w:rsidRPr="00733E87" w:rsidRDefault="00733E87" w:rsidP="00733E87">
            <w:pPr>
              <w:pBdr>
                <w:top w:val="nil"/>
                <w:left w:val="nil"/>
                <w:bottom w:val="nil"/>
                <w:right w:val="nil"/>
                <w:between w:val="nil"/>
              </w:pBdr>
              <w:tabs>
                <w:tab w:val="clear" w:pos="709"/>
              </w:tabs>
              <w:snapToGrid/>
              <w:spacing w:before="11" w:after="160" w:line="278" w:lineRule="auto"/>
              <w:ind w:left="9" w:right="537" w:firstLine="50"/>
              <w:rPr>
                <w:rFonts w:ascii="Arial" w:eastAsia="Arial" w:hAnsi="Arial" w:cs="Arial"/>
                <w:snapToGrid/>
                <w:color w:val="000000"/>
                <w:sz w:val="20"/>
                <w:szCs w:val="20"/>
                <w:lang w:val="en-US"/>
              </w:rPr>
            </w:pPr>
            <w:r w:rsidRPr="00733E87">
              <w:rPr>
                <w:rFonts w:ascii="Arial" w:eastAsia="Arial" w:hAnsi="Arial" w:cs="Arial"/>
                <w:snapToGrid/>
                <w:color w:val="000000"/>
                <w:sz w:val="20"/>
                <w:szCs w:val="20"/>
                <w:lang w:val="en-US"/>
              </w:rPr>
              <w:t xml:space="preserve">All/ Secretariat </w:t>
            </w:r>
          </w:p>
        </w:tc>
      </w:tr>
    </w:tbl>
    <w:p w14:paraId="4836FDA0" w14:textId="77777777" w:rsidR="00733E87" w:rsidRPr="00733E87" w:rsidRDefault="00733E87" w:rsidP="00733E87">
      <w:pPr>
        <w:tabs>
          <w:tab w:val="clear" w:pos="709"/>
        </w:tabs>
        <w:snapToGrid/>
        <w:spacing w:after="160" w:line="278" w:lineRule="auto"/>
        <w:rPr>
          <w:rFonts w:ascii="Aptos" w:eastAsia="Aptos" w:hAnsi="Aptos" w:cs="Aptos"/>
          <w:snapToGrid/>
          <w:lang w:val="en-US"/>
        </w:rPr>
      </w:pPr>
    </w:p>
    <w:p w14:paraId="00ACC37D" w14:textId="77777777" w:rsidR="00733E87" w:rsidRPr="00733E87" w:rsidRDefault="00733E87" w:rsidP="00733E87">
      <w:pPr>
        <w:tabs>
          <w:tab w:val="clear" w:pos="709"/>
        </w:tabs>
        <w:snapToGrid/>
        <w:spacing w:before="93" w:after="160" w:line="276" w:lineRule="auto"/>
        <w:ind w:right="680"/>
        <w:rPr>
          <w:rFonts w:ascii="Arial" w:eastAsia="Arial" w:hAnsi="Arial" w:cs="Arial"/>
          <w:b/>
          <w:snapToGrid/>
          <w:lang w:val="en-US"/>
        </w:rPr>
      </w:pPr>
    </w:p>
    <w:p w14:paraId="7ED43626" w14:textId="77777777" w:rsidR="00733E87" w:rsidRPr="00733E87" w:rsidRDefault="00733E87" w:rsidP="00733E87">
      <w:pPr>
        <w:tabs>
          <w:tab w:val="clear" w:pos="709"/>
        </w:tabs>
        <w:snapToGrid/>
        <w:spacing w:before="93" w:after="160" w:line="276" w:lineRule="auto"/>
        <w:ind w:right="680"/>
        <w:rPr>
          <w:rFonts w:ascii="Arial" w:eastAsia="Arial" w:hAnsi="Arial" w:cs="Arial"/>
          <w:b/>
          <w:snapToGrid/>
          <w:lang w:val="en-US"/>
        </w:rPr>
      </w:pPr>
    </w:p>
    <w:p w14:paraId="6BEA53CD" w14:textId="77777777" w:rsidR="009172B6" w:rsidRDefault="009172B6">
      <w:pPr>
        <w:tabs>
          <w:tab w:val="clear" w:pos="709"/>
        </w:tabs>
        <w:snapToGrid/>
        <w:rPr>
          <w:rFonts w:ascii="Arial" w:eastAsia="Arial" w:hAnsi="Arial" w:cs="Arial"/>
          <w:b/>
          <w:snapToGrid/>
          <w:lang w:val="en-US"/>
        </w:rPr>
      </w:pPr>
      <w:r>
        <w:rPr>
          <w:rFonts w:ascii="Arial" w:eastAsia="Arial" w:hAnsi="Arial" w:cs="Arial"/>
          <w:b/>
          <w:snapToGrid/>
          <w:lang w:val="en-US"/>
        </w:rPr>
        <w:br w:type="page"/>
      </w:r>
    </w:p>
    <w:p w14:paraId="3FB2319B" w14:textId="12C35D98" w:rsidR="00733E87" w:rsidRPr="00733E87" w:rsidRDefault="00733E87" w:rsidP="00733E87">
      <w:pPr>
        <w:tabs>
          <w:tab w:val="clear" w:pos="709"/>
        </w:tabs>
        <w:snapToGrid/>
        <w:spacing w:before="93" w:after="160" w:line="276" w:lineRule="auto"/>
        <w:ind w:left="3929" w:right="680" w:hanging="2482"/>
        <w:rPr>
          <w:rFonts w:ascii="Arial" w:eastAsia="Arial" w:hAnsi="Arial" w:cs="Arial"/>
          <w:b/>
          <w:snapToGrid/>
          <w:lang w:val="en-US"/>
        </w:rPr>
      </w:pPr>
      <w:r w:rsidRPr="00733E87">
        <w:rPr>
          <w:rFonts w:ascii="Arial" w:eastAsia="Arial" w:hAnsi="Arial" w:cs="Arial"/>
          <w:b/>
          <w:snapToGrid/>
          <w:lang w:val="en-US"/>
        </w:rPr>
        <w:lastRenderedPageBreak/>
        <w:t>Members and Observers of TOWS Task Team on Disaster Management</w:t>
      </w:r>
    </w:p>
    <w:tbl>
      <w:tblPr>
        <w:tblW w:w="951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1842"/>
        <w:gridCol w:w="2268"/>
        <w:gridCol w:w="2706"/>
      </w:tblGrid>
      <w:tr w:rsidR="00733E87" w:rsidRPr="00733E87" w14:paraId="5014F6F2" w14:textId="77777777" w:rsidTr="00493FEF">
        <w:trPr>
          <w:trHeight w:val="299"/>
        </w:trPr>
        <w:tc>
          <w:tcPr>
            <w:tcW w:w="2695" w:type="dxa"/>
          </w:tcPr>
          <w:p w14:paraId="700AB9B1" w14:textId="77777777" w:rsidR="00733E87" w:rsidRPr="00733E87" w:rsidRDefault="00733E87" w:rsidP="009172B6">
            <w:pPr>
              <w:pBdr>
                <w:top w:val="nil"/>
                <w:left w:val="nil"/>
                <w:bottom w:val="nil"/>
                <w:right w:val="nil"/>
                <w:between w:val="nil"/>
              </w:pBdr>
              <w:tabs>
                <w:tab w:val="clear" w:pos="709"/>
              </w:tabs>
              <w:snapToGrid/>
              <w:spacing w:before="1" w:after="160" w:line="278" w:lineRule="auto"/>
              <w:ind w:left="195" w:right="1026"/>
              <w:rPr>
                <w:rFonts w:ascii="Arial" w:eastAsia="Arial" w:hAnsi="Arial" w:cs="Arial"/>
                <w:b/>
                <w:snapToGrid/>
                <w:color w:val="000000"/>
                <w:lang w:val="en-US"/>
              </w:rPr>
            </w:pPr>
            <w:r w:rsidRPr="00733E87">
              <w:rPr>
                <w:rFonts w:ascii="Arial" w:eastAsia="Arial" w:hAnsi="Arial" w:cs="Arial"/>
                <w:b/>
                <w:snapToGrid/>
                <w:color w:val="000000"/>
                <w:lang w:val="en-US"/>
              </w:rPr>
              <w:t>Name</w:t>
            </w:r>
          </w:p>
        </w:tc>
        <w:tc>
          <w:tcPr>
            <w:tcW w:w="1842" w:type="dxa"/>
          </w:tcPr>
          <w:p w14:paraId="400139F4" w14:textId="77777777" w:rsidR="00733E87" w:rsidRPr="00733E87" w:rsidRDefault="00733E87" w:rsidP="00733E87">
            <w:pPr>
              <w:pBdr>
                <w:top w:val="nil"/>
                <w:left w:val="nil"/>
                <w:bottom w:val="nil"/>
                <w:right w:val="nil"/>
                <w:between w:val="nil"/>
              </w:pBdr>
              <w:tabs>
                <w:tab w:val="clear" w:pos="709"/>
              </w:tabs>
              <w:snapToGrid/>
              <w:spacing w:before="1" w:after="160" w:line="278" w:lineRule="auto"/>
              <w:ind w:left="497"/>
              <w:rPr>
                <w:rFonts w:ascii="Arial" w:eastAsia="Arial" w:hAnsi="Arial" w:cs="Arial"/>
                <w:b/>
                <w:snapToGrid/>
                <w:color w:val="000000"/>
                <w:lang w:val="en-US"/>
              </w:rPr>
            </w:pPr>
            <w:r w:rsidRPr="00733E87">
              <w:rPr>
                <w:rFonts w:ascii="Arial" w:eastAsia="Arial" w:hAnsi="Arial" w:cs="Arial"/>
                <w:b/>
                <w:snapToGrid/>
                <w:color w:val="000000"/>
                <w:lang w:val="en-US"/>
              </w:rPr>
              <w:t>Country</w:t>
            </w:r>
          </w:p>
        </w:tc>
        <w:tc>
          <w:tcPr>
            <w:tcW w:w="2268" w:type="dxa"/>
          </w:tcPr>
          <w:p w14:paraId="00412A37" w14:textId="77777777" w:rsidR="00733E87" w:rsidRPr="00733E87" w:rsidRDefault="00733E87" w:rsidP="00733E87">
            <w:pPr>
              <w:pBdr>
                <w:top w:val="nil"/>
                <w:left w:val="nil"/>
                <w:bottom w:val="nil"/>
                <w:right w:val="nil"/>
                <w:between w:val="nil"/>
              </w:pBdr>
              <w:tabs>
                <w:tab w:val="clear" w:pos="709"/>
              </w:tabs>
              <w:snapToGrid/>
              <w:spacing w:before="1" w:after="160" w:line="278" w:lineRule="auto"/>
              <w:ind w:left="453"/>
              <w:rPr>
                <w:rFonts w:ascii="Arial" w:eastAsia="Arial" w:hAnsi="Arial" w:cs="Arial"/>
                <w:b/>
                <w:snapToGrid/>
                <w:color w:val="000000"/>
                <w:lang w:val="en-US"/>
              </w:rPr>
            </w:pPr>
            <w:r w:rsidRPr="00733E87">
              <w:rPr>
                <w:rFonts w:ascii="Arial" w:eastAsia="Arial" w:hAnsi="Arial" w:cs="Arial"/>
                <w:b/>
                <w:snapToGrid/>
                <w:color w:val="000000"/>
                <w:lang w:val="en-US"/>
              </w:rPr>
              <w:t>Organisation</w:t>
            </w:r>
          </w:p>
        </w:tc>
        <w:tc>
          <w:tcPr>
            <w:tcW w:w="2706" w:type="dxa"/>
          </w:tcPr>
          <w:p w14:paraId="30D75642" w14:textId="77777777" w:rsidR="00733E87" w:rsidRPr="00733E87" w:rsidRDefault="00733E87" w:rsidP="009172B6">
            <w:pPr>
              <w:pBdr>
                <w:top w:val="nil"/>
                <w:left w:val="nil"/>
                <w:bottom w:val="nil"/>
                <w:right w:val="nil"/>
                <w:between w:val="nil"/>
              </w:pBdr>
              <w:tabs>
                <w:tab w:val="clear" w:pos="709"/>
              </w:tabs>
              <w:snapToGrid/>
              <w:spacing w:before="1" w:after="160" w:line="278" w:lineRule="auto"/>
              <w:ind w:left="475"/>
              <w:rPr>
                <w:rFonts w:ascii="Arial" w:eastAsia="Arial" w:hAnsi="Arial" w:cs="Arial"/>
                <w:b/>
                <w:snapToGrid/>
                <w:color w:val="000000"/>
                <w:lang w:val="en-US"/>
              </w:rPr>
            </w:pPr>
            <w:r w:rsidRPr="00733E87">
              <w:rPr>
                <w:rFonts w:ascii="Arial" w:eastAsia="Arial" w:hAnsi="Arial" w:cs="Arial"/>
                <w:b/>
                <w:snapToGrid/>
                <w:color w:val="000000"/>
                <w:lang w:val="en-US"/>
              </w:rPr>
              <w:t>Region/Role</w:t>
            </w:r>
          </w:p>
        </w:tc>
      </w:tr>
      <w:tr w:rsidR="00733E87" w:rsidRPr="00733E87" w14:paraId="2AC82202" w14:textId="77777777" w:rsidTr="009172B6">
        <w:trPr>
          <w:trHeight w:val="689"/>
        </w:trPr>
        <w:tc>
          <w:tcPr>
            <w:tcW w:w="2695" w:type="dxa"/>
          </w:tcPr>
          <w:p w14:paraId="2A45AE14" w14:textId="77777777" w:rsidR="00733E87" w:rsidRPr="00733E87" w:rsidRDefault="00733E87" w:rsidP="00733E87">
            <w:pPr>
              <w:pBdr>
                <w:top w:val="nil"/>
                <w:left w:val="nil"/>
                <w:bottom w:val="nil"/>
                <w:right w:val="nil"/>
                <w:between w:val="nil"/>
              </w:pBdr>
              <w:tabs>
                <w:tab w:val="clear" w:pos="709"/>
              </w:tabs>
              <w:snapToGrid/>
              <w:spacing w:after="160" w:line="278" w:lineRule="auto"/>
              <w:ind w:left="626"/>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Denis Chang Seng</w:t>
            </w:r>
          </w:p>
        </w:tc>
        <w:tc>
          <w:tcPr>
            <w:tcW w:w="1842" w:type="dxa"/>
          </w:tcPr>
          <w:p w14:paraId="3E904C58" w14:textId="77777777" w:rsidR="00733E87" w:rsidRPr="00733E87" w:rsidRDefault="00733E87" w:rsidP="009172B6">
            <w:pPr>
              <w:pBdr>
                <w:top w:val="nil"/>
                <w:left w:val="nil"/>
                <w:bottom w:val="nil"/>
                <w:right w:val="nil"/>
                <w:between w:val="nil"/>
              </w:pBdr>
              <w:tabs>
                <w:tab w:val="clear" w:pos="709"/>
              </w:tabs>
              <w:snapToGrid/>
              <w:spacing w:after="160" w:line="278" w:lineRule="auto"/>
              <w:ind w:left="198" w:right="624"/>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France</w:t>
            </w:r>
          </w:p>
        </w:tc>
        <w:tc>
          <w:tcPr>
            <w:tcW w:w="2268" w:type="dxa"/>
          </w:tcPr>
          <w:p w14:paraId="29C9A59E" w14:textId="77777777" w:rsidR="00733E87" w:rsidRPr="00733E87" w:rsidRDefault="00733E87" w:rsidP="009172B6">
            <w:pPr>
              <w:pBdr>
                <w:top w:val="nil"/>
                <w:left w:val="nil"/>
                <w:bottom w:val="nil"/>
                <w:right w:val="nil"/>
                <w:between w:val="nil"/>
              </w:pBdr>
              <w:tabs>
                <w:tab w:val="clear" w:pos="709"/>
              </w:tabs>
              <w:snapToGrid/>
              <w:spacing w:after="160" w:line="278" w:lineRule="auto"/>
              <w:ind w:left="618" w:right="724"/>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IOC</w:t>
            </w:r>
          </w:p>
        </w:tc>
        <w:tc>
          <w:tcPr>
            <w:tcW w:w="2706" w:type="dxa"/>
          </w:tcPr>
          <w:p w14:paraId="37E36C8D" w14:textId="77777777" w:rsidR="00733E87" w:rsidRPr="00733E87" w:rsidRDefault="00733E87" w:rsidP="00733E87">
            <w:pPr>
              <w:pBdr>
                <w:top w:val="nil"/>
                <w:left w:val="nil"/>
                <w:bottom w:val="nil"/>
                <w:right w:val="nil"/>
                <w:between w:val="nil"/>
              </w:pBdr>
              <w:tabs>
                <w:tab w:val="clear" w:pos="709"/>
              </w:tabs>
              <w:snapToGrid/>
              <w:spacing w:before="1" w:after="160" w:line="278" w:lineRule="auto"/>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TT- DMP Technical Secretary ICG/NEAMTWS/NEAMTIC/</w:t>
            </w:r>
            <w:proofErr w:type="spellStart"/>
            <w:r w:rsidRPr="00733E87">
              <w:rPr>
                <w:rFonts w:ascii="Aptos" w:eastAsia="Aptos" w:hAnsi="Aptos" w:cs="Aptos"/>
                <w:snapToGrid/>
                <w:color w:val="000000"/>
                <w:sz w:val="18"/>
                <w:szCs w:val="18"/>
                <w:lang w:val="en-US"/>
              </w:rPr>
              <w:t>CoastWAVE</w:t>
            </w:r>
            <w:proofErr w:type="spellEnd"/>
          </w:p>
        </w:tc>
      </w:tr>
      <w:tr w:rsidR="00733E87" w:rsidRPr="00733E87" w14:paraId="1A86C5F0" w14:textId="77777777" w:rsidTr="00493FEF">
        <w:trPr>
          <w:trHeight w:val="520"/>
        </w:trPr>
        <w:tc>
          <w:tcPr>
            <w:tcW w:w="9511" w:type="dxa"/>
            <w:gridSpan w:val="4"/>
          </w:tcPr>
          <w:p w14:paraId="5ACD76D3"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jc w:val="center"/>
              <w:rPr>
                <w:rFonts w:ascii="Aptos" w:eastAsia="Aptos" w:hAnsi="Aptos" w:cs="Aptos"/>
                <w:b/>
                <w:snapToGrid/>
                <w:color w:val="000000"/>
                <w:sz w:val="18"/>
                <w:szCs w:val="18"/>
                <w:lang w:val="en-US"/>
              </w:rPr>
            </w:pPr>
          </w:p>
          <w:p w14:paraId="17545D2A" w14:textId="77777777" w:rsidR="00733E87" w:rsidRPr="00733E87" w:rsidRDefault="00733E87" w:rsidP="00733E87">
            <w:pPr>
              <w:pBdr>
                <w:top w:val="nil"/>
                <w:left w:val="nil"/>
                <w:bottom w:val="nil"/>
                <w:right w:val="nil"/>
                <w:between w:val="nil"/>
              </w:pBdr>
              <w:tabs>
                <w:tab w:val="clear" w:pos="709"/>
              </w:tabs>
              <w:snapToGrid/>
              <w:spacing w:after="160" w:line="278" w:lineRule="auto"/>
              <w:ind w:left="3922" w:right="3913"/>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Task Team Members</w:t>
            </w:r>
          </w:p>
        </w:tc>
      </w:tr>
      <w:tr w:rsidR="00733E87" w:rsidRPr="00733E87" w14:paraId="09FE5011" w14:textId="77777777" w:rsidTr="009172B6">
        <w:trPr>
          <w:trHeight w:val="1058"/>
        </w:trPr>
        <w:tc>
          <w:tcPr>
            <w:tcW w:w="2695" w:type="dxa"/>
            <w:shd w:val="clear" w:color="auto" w:fill="D9E1F3"/>
          </w:tcPr>
          <w:p w14:paraId="05C73E1C"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Harkunti Pertiwi Rahayu</w:t>
            </w:r>
          </w:p>
        </w:tc>
        <w:tc>
          <w:tcPr>
            <w:tcW w:w="1842" w:type="dxa"/>
            <w:shd w:val="clear" w:color="auto" w:fill="D9E1F3"/>
          </w:tcPr>
          <w:p w14:paraId="5925D253"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Indonesia</w:t>
            </w:r>
          </w:p>
        </w:tc>
        <w:tc>
          <w:tcPr>
            <w:tcW w:w="2268" w:type="dxa"/>
            <w:shd w:val="clear" w:color="auto" w:fill="D9E1F3"/>
          </w:tcPr>
          <w:p w14:paraId="4FFF45E6"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 xml:space="preserve">Head of </w:t>
            </w:r>
            <w:r w:rsidRPr="00733E87">
              <w:rPr>
                <w:rFonts w:ascii="Aptos" w:eastAsia="Aptos" w:hAnsi="Aptos" w:cs="Aptos"/>
                <w:snapToGrid/>
                <w:color w:val="000000"/>
                <w:sz w:val="18"/>
                <w:szCs w:val="18"/>
                <w:lang w:val="en-US"/>
              </w:rPr>
              <w:t xml:space="preserve">Center for Earthquake and Tsunami </w:t>
            </w:r>
            <w:r w:rsidRPr="00733E87">
              <w:rPr>
                <w:rFonts w:ascii="Aptos" w:eastAsia="Aptos" w:hAnsi="Aptos" w:cs="Aptos"/>
                <w:snapToGrid/>
                <w:sz w:val="18"/>
                <w:szCs w:val="18"/>
                <w:lang w:val="en-US"/>
              </w:rPr>
              <w:t>Mitigation</w:t>
            </w:r>
            <w:r w:rsidRPr="00733E87">
              <w:rPr>
                <w:rFonts w:ascii="Aptos" w:eastAsia="Aptos" w:hAnsi="Aptos" w:cs="Aptos"/>
                <w:snapToGrid/>
                <w:color w:val="000000"/>
                <w:sz w:val="18"/>
                <w:szCs w:val="18"/>
                <w:lang w:val="en-US"/>
              </w:rPr>
              <w:t xml:space="preserve"> Institute of Technology Sumatera</w:t>
            </w:r>
          </w:p>
        </w:tc>
        <w:tc>
          <w:tcPr>
            <w:tcW w:w="2706" w:type="dxa"/>
            <w:shd w:val="clear" w:color="auto" w:fill="D9E1F3"/>
          </w:tcPr>
          <w:p w14:paraId="40FB7683"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ICG/IOTWMS/ Chair TT DMP</w:t>
            </w:r>
          </w:p>
        </w:tc>
      </w:tr>
      <w:tr w:rsidR="00733E87" w:rsidRPr="00733E87" w14:paraId="4957923C" w14:textId="77777777" w:rsidTr="00493FEF">
        <w:trPr>
          <w:trHeight w:val="520"/>
        </w:trPr>
        <w:tc>
          <w:tcPr>
            <w:tcW w:w="2695" w:type="dxa"/>
          </w:tcPr>
          <w:p w14:paraId="7D3F45E8"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Ardito Kodijat</w:t>
            </w:r>
          </w:p>
        </w:tc>
        <w:tc>
          <w:tcPr>
            <w:tcW w:w="1842" w:type="dxa"/>
          </w:tcPr>
          <w:p w14:paraId="172D6A75"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Indonesia</w:t>
            </w:r>
          </w:p>
        </w:tc>
        <w:tc>
          <w:tcPr>
            <w:tcW w:w="2268" w:type="dxa"/>
          </w:tcPr>
          <w:p w14:paraId="41A09A71"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IOC</w:t>
            </w:r>
          </w:p>
        </w:tc>
        <w:tc>
          <w:tcPr>
            <w:tcW w:w="2706" w:type="dxa"/>
          </w:tcPr>
          <w:p w14:paraId="6044C572"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IOTIC, ICG/IOTWMS</w:t>
            </w:r>
          </w:p>
        </w:tc>
      </w:tr>
      <w:tr w:rsidR="00733E87" w:rsidRPr="00733E87" w14:paraId="324604FC" w14:textId="77777777" w:rsidTr="00493FEF">
        <w:trPr>
          <w:trHeight w:val="560"/>
        </w:trPr>
        <w:tc>
          <w:tcPr>
            <w:tcW w:w="2695" w:type="dxa"/>
          </w:tcPr>
          <w:p w14:paraId="3F91F03F" w14:textId="0D4F7D23" w:rsidR="00733E87" w:rsidRPr="00733E87" w:rsidRDefault="00733E87" w:rsidP="00733E87">
            <w:pPr>
              <w:pBdr>
                <w:top w:val="nil"/>
                <w:left w:val="nil"/>
                <w:bottom w:val="nil"/>
                <w:right w:val="nil"/>
                <w:between w:val="nil"/>
              </w:pBdr>
              <w:tabs>
                <w:tab w:val="clear" w:pos="709"/>
              </w:tabs>
              <w:snapToGrid/>
              <w:spacing w:after="160" w:line="242"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Ignacio Aguirre Ayerbe</w:t>
            </w:r>
          </w:p>
        </w:tc>
        <w:tc>
          <w:tcPr>
            <w:tcW w:w="1842" w:type="dxa"/>
          </w:tcPr>
          <w:p w14:paraId="7A33B588"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Spain</w:t>
            </w:r>
          </w:p>
        </w:tc>
        <w:tc>
          <w:tcPr>
            <w:tcW w:w="2268" w:type="dxa"/>
          </w:tcPr>
          <w:p w14:paraId="129A26CE"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IH Cantabria</w:t>
            </w:r>
          </w:p>
        </w:tc>
        <w:tc>
          <w:tcPr>
            <w:tcW w:w="2706" w:type="dxa"/>
          </w:tcPr>
          <w:p w14:paraId="352A492D"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ICG/NEAMTWS Vice-Chair</w:t>
            </w:r>
          </w:p>
        </w:tc>
      </w:tr>
      <w:tr w:rsidR="00733E87" w:rsidRPr="00733E87" w14:paraId="726C178E" w14:textId="77777777" w:rsidTr="00493FEF">
        <w:trPr>
          <w:trHeight w:val="520"/>
        </w:trPr>
        <w:tc>
          <w:tcPr>
            <w:tcW w:w="2695" w:type="dxa"/>
          </w:tcPr>
          <w:p w14:paraId="26664CE1"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 xml:space="preserve">Marinos </w:t>
            </w:r>
            <w:proofErr w:type="spellStart"/>
            <w:r w:rsidRPr="00733E87">
              <w:rPr>
                <w:rFonts w:ascii="Aptos" w:eastAsia="Aptos" w:hAnsi="Aptos" w:cs="Aptos"/>
                <w:b/>
                <w:snapToGrid/>
                <w:color w:val="000000"/>
                <w:sz w:val="18"/>
                <w:szCs w:val="18"/>
                <w:lang w:val="en-US"/>
              </w:rPr>
              <w:t>Cha</w:t>
            </w:r>
            <w:r w:rsidRPr="00733E87">
              <w:rPr>
                <w:rFonts w:ascii="Aptos" w:eastAsia="Aptos" w:hAnsi="Aptos" w:cs="Aptos"/>
                <w:b/>
                <w:snapToGrid/>
                <w:sz w:val="18"/>
                <w:szCs w:val="18"/>
                <w:lang w:val="en-US"/>
              </w:rPr>
              <w:t>l</w:t>
            </w:r>
            <w:r w:rsidRPr="00733E87">
              <w:rPr>
                <w:rFonts w:ascii="Aptos" w:eastAsia="Aptos" w:hAnsi="Aptos" w:cs="Aptos"/>
                <w:b/>
                <w:snapToGrid/>
                <w:color w:val="000000"/>
                <w:sz w:val="18"/>
                <w:szCs w:val="18"/>
                <w:lang w:val="en-US"/>
              </w:rPr>
              <w:t>a</w:t>
            </w:r>
            <w:r w:rsidRPr="00733E87">
              <w:rPr>
                <w:rFonts w:ascii="Aptos" w:eastAsia="Aptos" w:hAnsi="Aptos" w:cs="Aptos"/>
                <w:b/>
                <w:snapToGrid/>
                <w:sz w:val="18"/>
                <w:szCs w:val="18"/>
                <w:lang w:val="en-US"/>
              </w:rPr>
              <w:t>mp</w:t>
            </w:r>
            <w:r w:rsidRPr="00733E87">
              <w:rPr>
                <w:rFonts w:ascii="Aptos" w:eastAsia="Aptos" w:hAnsi="Aptos" w:cs="Aptos"/>
                <w:b/>
                <w:snapToGrid/>
                <w:color w:val="000000"/>
                <w:sz w:val="18"/>
                <w:szCs w:val="18"/>
                <w:lang w:val="en-US"/>
              </w:rPr>
              <w:t>akis</w:t>
            </w:r>
            <w:proofErr w:type="spellEnd"/>
          </w:p>
        </w:tc>
        <w:tc>
          <w:tcPr>
            <w:tcW w:w="1842" w:type="dxa"/>
          </w:tcPr>
          <w:p w14:paraId="4260B6B3"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Greece</w:t>
            </w:r>
          </w:p>
        </w:tc>
        <w:tc>
          <w:tcPr>
            <w:tcW w:w="2268" w:type="dxa"/>
          </w:tcPr>
          <w:p w14:paraId="2B24700C"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NOA</w:t>
            </w:r>
          </w:p>
        </w:tc>
        <w:tc>
          <w:tcPr>
            <w:tcW w:w="2706" w:type="dxa"/>
          </w:tcPr>
          <w:p w14:paraId="6D3DAEE9"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ICG/NEAMTWS</w:t>
            </w:r>
          </w:p>
        </w:tc>
      </w:tr>
      <w:tr w:rsidR="00733E87" w:rsidRPr="00733E87" w14:paraId="2273BE68" w14:textId="77777777" w:rsidTr="009172B6">
        <w:trPr>
          <w:trHeight w:val="361"/>
        </w:trPr>
        <w:tc>
          <w:tcPr>
            <w:tcW w:w="2695" w:type="dxa"/>
          </w:tcPr>
          <w:p w14:paraId="55C921C1"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Laura Kong</w:t>
            </w:r>
          </w:p>
        </w:tc>
        <w:tc>
          <w:tcPr>
            <w:tcW w:w="1842" w:type="dxa"/>
          </w:tcPr>
          <w:p w14:paraId="271CD733"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USA</w:t>
            </w:r>
          </w:p>
        </w:tc>
        <w:tc>
          <w:tcPr>
            <w:tcW w:w="2268" w:type="dxa"/>
          </w:tcPr>
          <w:p w14:paraId="60C9948F"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ITIC</w:t>
            </w:r>
          </w:p>
        </w:tc>
        <w:tc>
          <w:tcPr>
            <w:tcW w:w="2706" w:type="dxa"/>
          </w:tcPr>
          <w:p w14:paraId="4B58A30B"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ITIC, ICG/PTWS</w:t>
            </w:r>
          </w:p>
        </w:tc>
      </w:tr>
      <w:tr w:rsidR="00733E87" w:rsidRPr="00733E87" w14:paraId="7C97572E" w14:textId="77777777" w:rsidTr="009172B6">
        <w:trPr>
          <w:trHeight w:val="367"/>
        </w:trPr>
        <w:tc>
          <w:tcPr>
            <w:tcW w:w="2695" w:type="dxa"/>
          </w:tcPr>
          <w:p w14:paraId="6A1CDFDA"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Ashleigh Fromont</w:t>
            </w:r>
          </w:p>
        </w:tc>
        <w:tc>
          <w:tcPr>
            <w:tcW w:w="1842" w:type="dxa"/>
          </w:tcPr>
          <w:p w14:paraId="4291A5AD"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New Zealand</w:t>
            </w:r>
          </w:p>
        </w:tc>
        <w:tc>
          <w:tcPr>
            <w:tcW w:w="2268" w:type="dxa"/>
          </w:tcPr>
          <w:p w14:paraId="220B92BF"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NEMA</w:t>
            </w:r>
          </w:p>
        </w:tc>
        <w:tc>
          <w:tcPr>
            <w:tcW w:w="2706" w:type="dxa"/>
          </w:tcPr>
          <w:p w14:paraId="5221FA97"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ICG/PTWS</w:t>
            </w:r>
          </w:p>
        </w:tc>
      </w:tr>
      <w:tr w:rsidR="00733E87" w:rsidRPr="00733E87" w14:paraId="7F01A3FD" w14:textId="77777777" w:rsidTr="009172B6">
        <w:trPr>
          <w:trHeight w:val="358"/>
        </w:trPr>
        <w:tc>
          <w:tcPr>
            <w:tcW w:w="2695" w:type="dxa"/>
          </w:tcPr>
          <w:p w14:paraId="5D8F1779"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Alison Brome</w:t>
            </w:r>
          </w:p>
        </w:tc>
        <w:tc>
          <w:tcPr>
            <w:tcW w:w="1842" w:type="dxa"/>
          </w:tcPr>
          <w:p w14:paraId="53782575"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Caribbean</w:t>
            </w:r>
          </w:p>
        </w:tc>
        <w:tc>
          <w:tcPr>
            <w:tcW w:w="2268" w:type="dxa"/>
          </w:tcPr>
          <w:p w14:paraId="51FEE9FD"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CTIC</w:t>
            </w:r>
          </w:p>
        </w:tc>
        <w:tc>
          <w:tcPr>
            <w:tcW w:w="2706" w:type="dxa"/>
          </w:tcPr>
          <w:p w14:paraId="72C15C5F"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CTIC, ICG/CARIBE-EWS</w:t>
            </w:r>
          </w:p>
        </w:tc>
      </w:tr>
      <w:tr w:rsidR="00733E87" w:rsidRPr="00733E87" w14:paraId="255BDD78" w14:textId="77777777" w:rsidTr="0084305F">
        <w:trPr>
          <w:trHeight w:val="506"/>
        </w:trPr>
        <w:tc>
          <w:tcPr>
            <w:tcW w:w="2695" w:type="dxa"/>
          </w:tcPr>
          <w:p w14:paraId="7CFD2E4C" w14:textId="77777777" w:rsidR="00733E87" w:rsidRPr="00733E87" w:rsidRDefault="00733E87" w:rsidP="00733E87">
            <w:pPr>
              <w:pBdr>
                <w:top w:val="nil"/>
                <w:left w:val="nil"/>
                <w:bottom w:val="nil"/>
                <w:right w:val="nil"/>
                <w:between w:val="nil"/>
              </w:pBdr>
              <w:tabs>
                <w:tab w:val="clear" w:pos="709"/>
              </w:tabs>
              <w:snapToGrid/>
              <w:spacing w:after="160" w:line="242"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Silvia Chacon</w:t>
            </w:r>
          </w:p>
        </w:tc>
        <w:tc>
          <w:tcPr>
            <w:tcW w:w="1842" w:type="dxa"/>
          </w:tcPr>
          <w:p w14:paraId="7014A258"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Costa Rica</w:t>
            </w:r>
          </w:p>
        </w:tc>
        <w:tc>
          <w:tcPr>
            <w:tcW w:w="2268" w:type="dxa"/>
          </w:tcPr>
          <w:p w14:paraId="62A4F69D" w14:textId="77777777" w:rsidR="00733E87" w:rsidRPr="00733E87" w:rsidRDefault="00733E87" w:rsidP="0084305F">
            <w:pPr>
              <w:pBdr>
                <w:top w:val="nil"/>
                <w:left w:val="nil"/>
                <w:bottom w:val="nil"/>
                <w:right w:val="nil"/>
                <w:between w:val="nil"/>
              </w:pBdr>
              <w:tabs>
                <w:tab w:val="clear" w:pos="709"/>
                <w:tab w:val="left" w:pos="0"/>
              </w:tabs>
              <w:snapToGrid/>
              <w:spacing w:after="160" w:line="278" w:lineRule="auto"/>
              <w:ind w:left="-91" w:right="1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National Tsunami Monitoring System</w:t>
            </w:r>
          </w:p>
        </w:tc>
        <w:tc>
          <w:tcPr>
            <w:tcW w:w="2706" w:type="dxa"/>
          </w:tcPr>
          <w:p w14:paraId="26FBCFB3"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ICG/CARIBE-EWS</w:t>
            </w:r>
          </w:p>
        </w:tc>
      </w:tr>
      <w:tr w:rsidR="00733E87" w:rsidRPr="00733E87" w14:paraId="65ECE085" w14:textId="77777777" w:rsidTr="0084305F">
        <w:trPr>
          <w:trHeight w:val="402"/>
        </w:trPr>
        <w:tc>
          <w:tcPr>
            <w:tcW w:w="2695" w:type="dxa"/>
          </w:tcPr>
          <w:p w14:paraId="504C1D75" w14:textId="77777777" w:rsidR="00733E87" w:rsidRPr="00733E87" w:rsidRDefault="00733E87" w:rsidP="00733E87">
            <w:pPr>
              <w:pBdr>
                <w:top w:val="nil"/>
                <w:left w:val="nil"/>
                <w:bottom w:val="nil"/>
                <w:right w:val="nil"/>
                <w:between w:val="nil"/>
              </w:pBdr>
              <w:tabs>
                <w:tab w:val="clear" w:pos="709"/>
              </w:tabs>
              <w:snapToGrid/>
              <w:spacing w:after="160" w:line="242"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Derya Vennin</w:t>
            </w:r>
          </w:p>
        </w:tc>
        <w:tc>
          <w:tcPr>
            <w:tcW w:w="1842" w:type="dxa"/>
          </w:tcPr>
          <w:p w14:paraId="1312FBAE"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jc w:val="center"/>
              <w:rPr>
                <w:rFonts w:ascii="Aptos" w:eastAsia="Aptos" w:hAnsi="Aptos" w:cs="Aptos"/>
                <w:b/>
                <w:snapToGrid/>
                <w:color w:val="000000"/>
                <w:sz w:val="18"/>
                <w:szCs w:val="18"/>
                <w:lang w:val="en-US"/>
              </w:rPr>
            </w:pPr>
            <w:r w:rsidRPr="00733E87">
              <w:rPr>
                <w:rFonts w:ascii="Aptos" w:eastAsia="Aptos" w:hAnsi="Aptos" w:cs="Aptos"/>
                <w:snapToGrid/>
                <w:color w:val="000000"/>
                <w:sz w:val="18"/>
                <w:szCs w:val="18"/>
                <w:lang w:val="en-US"/>
              </w:rPr>
              <w:t>France</w:t>
            </w:r>
          </w:p>
        </w:tc>
        <w:tc>
          <w:tcPr>
            <w:tcW w:w="2268" w:type="dxa"/>
          </w:tcPr>
          <w:p w14:paraId="5A4E0472"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right="597"/>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IOC</w:t>
            </w:r>
          </w:p>
        </w:tc>
        <w:tc>
          <w:tcPr>
            <w:tcW w:w="2706" w:type="dxa"/>
          </w:tcPr>
          <w:p w14:paraId="7E0D7921" w14:textId="77777777" w:rsidR="00733E87" w:rsidRPr="00733E87" w:rsidRDefault="00733E87" w:rsidP="00733E87">
            <w:pPr>
              <w:pBdr>
                <w:top w:val="nil"/>
                <w:left w:val="nil"/>
                <w:bottom w:val="nil"/>
                <w:right w:val="nil"/>
                <w:between w:val="nil"/>
              </w:pBdr>
              <w:tabs>
                <w:tab w:val="clear" w:pos="709"/>
              </w:tabs>
              <w:snapToGrid/>
              <w:spacing w:before="10" w:after="160" w:line="278" w:lineRule="auto"/>
              <w:jc w:val="center"/>
              <w:rPr>
                <w:rFonts w:ascii="Aptos" w:eastAsia="Aptos" w:hAnsi="Aptos" w:cs="Aptos"/>
                <w:b/>
                <w:snapToGrid/>
                <w:color w:val="000000"/>
                <w:sz w:val="18"/>
                <w:szCs w:val="18"/>
                <w:lang w:val="en-US"/>
              </w:rPr>
            </w:pPr>
            <w:r w:rsidRPr="00733E87">
              <w:rPr>
                <w:rFonts w:ascii="Aptos" w:eastAsia="Aptos" w:hAnsi="Aptos" w:cs="Aptos"/>
                <w:snapToGrid/>
                <w:color w:val="000000"/>
                <w:sz w:val="18"/>
                <w:szCs w:val="18"/>
                <w:lang w:val="en-US"/>
              </w:rPr>
              <w:t xml:space="preserve">ICG/NEAMTWS / </w:t>
            </w:r>
            <w:proofErr w:type="spellStart"/>
            <w:r w:rsidRPr="00733E87">
              <w:rPr>
                <w:rFonts w:ascii="Aptos" w:eastAsia="Aptos" w:hAnsi="Aptos" w:cs="Aptos"/>
                <w:snapToGrid/>
                <w:color w:val="000000"/>
                <w:sz w:val="18"/>
                <w:szCs w:val="18"/>
                <w:lang w:val="en-US"/>
              </w:rPr>
              <w:t>CoastWave</w:t>
            </w:r>
            <w:proofErr w:type="spellEnd"/>
            <w:r w:rsidRPr="00733E87">
              <w:rPr>
                <w:rFonts w:ascii="Aptos" w:eastAsia="Aptos" w:hAnsi="Aptos" w:cs="Aptos"/>
                <w:snapToGrid/>
                <w:color w:val="000000"/>
                <w:sz w:val="18"/>
                <w:szCs w:val="18"/>
                <w:lang w:val="en-US"/>
              </w:rPr>
              <w:t xml:space="preserve"> Project</w:t>
            </w:r>
          </w:p>
        </w:tc>
      </w:tr>
      <w:tr w:rsidR="00733E87" w:rsidRPr="00733E87" w14:paraId="78D3F94A" w14:textId="77777777" w:rsidTr="00493FEF">
        <w:trPr>
          <w:trHeight w:val="521"/>
        </w:trPr>
        <w:tc>
          <w:tcPr>
            <w:tcW w:w="9511" w:type="dxa"/>
            <w:gridSpan w:val="4"/>
          </w:tcPr>
          <w:p w14:paraId="5F9F2ED1" w14:textId="77777777" w:rsidR="00733E87" w:rsidRPr="00733E87" w:rsidRDefault="00733E87" w:rsidP="00733E87">
            <w:pPr>
              <w:pBdr>
                <w:top w:val="nil"/>
                <w:left w:val="nil"/>
                <w:bottom w:val="nil"/>
                <w:right w:val="nil"/>
                <w:between w:val="nil"/>
              </w:pBdr>
              <w:tabs>
                <w:tab w:val="clear" w:pos="709"/>
              </w:tabs>
              <w:snapToGrid/>
              <w:spacing w:after="160" w:line="278" w:lineRule="auto"/>
              <w:ind w:left="3922" w:right="3915"/>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Invited Experts and Observers</w:t>
            </w:r>
          </w:p>
        </w:tc>
      </w:tr>
      <w:tr w:rsidR="00733E87" w:rsidRPr="00733E87" w14:paraId="463C61F9" w14:textId="77777777" w:rsidTr="00493FEF">
        <w:trPr>
          <w:trHeight w:val="809"/>
        </w:trPr>
        <w:tc>
          <w:tcPr>
            <w:tcW w:w="2695" w:type="dxa"/>
          </w:tcPr>
          <w:p w14:paraId="770F8543"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sz w:val="18"/>
                <w:szCs w:val="18"/>
                <w:lang w:val="en-US"/>
              </w:rPr>
              <w:t>Regina Khanbekova</w:t>
            </w:r>
          </w:p>
        </w:tc>
        <w:tc>
          <w:tcPr>
            <w:tcW w:w="1842" w:type="dxa"/>
          </w:tcPr>
          <w:p w14:paraId="2978656F"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Switzerland</w:t>
            </w:r>
          </w:p>
        </w:tc>
        <w:tc>
          <w:tcPr>
            <w:tcW w:w="2268" w:type="dxa"/>
          </w:tcPr>
          <w:p w14:paraId="0AD8242D"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UNDRR</w:t>
            </w:r>
          </w:p>
        </w:tc>
        <w:tc>
          <w:tcPr>
            <w:tcW w:w="2706" w:type="dxa"/>
          </w:tcPr>
          <w:p w14:paraId="20F08573"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right="29"/>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Communications</w:t>
            </w:r>
          </w:p>
        </w:tc>
      </w:tr>
      <w:tr w:rsidR="00733E87" w:rsidRPr="00733E87" w14:paraId="1342C915" w14:textId="77777777" w:rsidTr="00493FEF">
        <w:trPr>
          <w:trHeight w:val="520"/>
        </w:trPr>
        <w:tc>
          <w:tcPr>
            <w:tcW w:w="2695" w:type="dxa"/>
          </w:tcPr>
          <w:p w14:paraId="15875517" w14:textId="77777777" w:rsidR="00733E87" w:rsidRPr="00733E87" w:rsidRDefault="00733E87" w:rsidP="00733E87">
            <w:pPr>
              <w:pBdr>
                <w:top w:val="nil"/>
                <w:left w:val="nil"/>
                <w:bottom w:val="nil"/>
                <w:right w:val="nil"/>
                <w:between w:val="nil"/>
              </w:pBdr>
              <w:tabs>
                <w:tab w:val="clear" w:pos="709"/>
              </w:tabs>
              <w:snapToGrid/>
              <w:spacing w:after="160" w:line="242"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sz w:val="18"/>
                <w:szCs w:val="18"/>
                <w:lang w:val="en-US"/>
              </w:rPr>
              <w:t>Alessandro Amato</w:t>
            </w:r>
          </w:p>
        </w:tc>
        <w:tc>
          <w:tcPr>
            <w:tcW w:w="1842" w:type="dxa"/>
          </w:tcPr>
          <w:p w14:paraId="03D81FB6" w14:textId="77777777" w:rsidR="00733E87" w:rsidRPr="00733E87" w:rsidRDefault="00733E87" w:rsidP="00733E87">
            <w:pPr>
              <w:pBdr>
                <w:top w:val="nil"/>
                <w:left w:val="nil"/>
                <w:bottom w:val="nil"/>
                <w:right w:val="nil"/>
                <w:between w:val="nil"/>
              </w:pBdr>
              <w:tabs>
                <w:tab w:val="clear" w:pos="709"/>
              </w:tabs>
              <w:snapToGrid/>
              <w:spacing w:after="160" w:line="278" w:lineRule="auto"/>
              <w:ind w:left="106"/>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Italy</w:t>
            </w:r>
          </w:p>
        </w:tc>
        <w:tc>
          <w:tcPr>
            <w:tcW w:w="2268" w:type="dxa"/>
          </w:tcPr>
          <w:p w14:paraId="1545401E" w14:textId="77777777" w:rsidR="00733E87" w:rsidRPr="00733E87" w:rsidRDefault="00733E87" w:rsidP="00733E87">
            <w:pPr>
              <w:pBdr>
                <w:top w:val="nil"/>
                <w:left w:val="nil"/>
                <w:bottom w:val="nil"/>
                <w:right w:val="nil"/>
                <w:between w:val="nil"/>
              </w:pBdr>
              <w:tabs>
                <w:tab w:val="clear" w:pos="709"/>
              </w:tabs>
              <w:snapToGrid/>
              <w:spacing w:after="160" w:line="242" w:lineRule="auto"/>
              <w:ind w:left="106"/>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INGV</w:t>
            </w:r>
          </w:p>
        </w:tc>
        <w:tc>
          <w:tcPr>
            <w:tcW w:w="2706" w:type="dxa"/>
          </w:tcPr>
          <w:p w14:paraId="1CB97ED1" w14:textId="77777777" w:rsidR="00733E87" w:rsidRPr="00733E87" w:rsidRDefault="00733E87" w:rsidP="00733E87">
            <w:pPr>
              <w:pBdr>
                <w:top w:val="nil"/>
                <w:left w:val="nil"/>
                <w:bottom w:val="nil"/>
                <w:right w:val="nil"/>
                <w:between w:val="nil"/>
              </w:pBdr>
              <w:tabs>
                <w:tab w:val="clear" w:pos="709"/>
                <w:tab w:val="left" w:pos="886"/>
                <w:tab w:val="left" w:pos="1778"/>
                <w:tab w:val="left" w:pos="2742"/>
              </w:tabs>
              <w:snapToGrid/>
              <w:spacing w:after="160" w:line="278" w:lineRule="auto"/>
              <w:ind w:left="106" w:right="96"/>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ICG.NEAMTWS Chair</w:t>
            </w:r>
          </w:p>
        </w:tc>
      </w:tr>
      <w:tr w:rsidR="00733E87" w:rsidRPr="00733E87" w14:paraId="6231CD42" w14:textId="77777777" w:rsidTr="00493FEF">
        <w:trPr>
          <w:trHeight w:val="520"/>
        </w:trPr>
        <w:tc>
          <w:tcPr>
            <w:tcW w:w="2695" w:type="dxa"/>
          </w:tcPr>
          <w:p w14:paraId="0428E41A" w14:textId="77777777" w:rsidR="00733E87" w:rsidRPr="00733E87" w:rsidRDefault="00733E87" w:rsidP="00733E87">
            <w:pPr>
              <w:pBdr>
                <w:top w:val="nil"/>
                <w:left w:val="nil"/>
                <w:bottom w:val="nil"/>
                <w:right w:val="nil"/>
                <w:between w:val="nil"/>
              </w:pBdr>
              <w:tabs>
                <w:tab w:val="clear" w:pos="709"/>
              </w:tabs>
              <w:snapToGrid/>
              <w:spacing w:after="160" w:line="242"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color w:val="000000"/>
                <w:sz w:val="18"/>
                <w:szCs w:val="18"/>
                <w:lang w:val="en-US"/>
              </w:rPr>
              <w:t>Prof Amr Hamouda</w:t>
            </w:r>
          </w:p>
        </w:tc>
        <w:tc>
          <w:tcPr>
            <w:tcW w:w="1842" w:type="dxa"/>
          </w:tcPr>
          <w:p w14:paraId="2FC37923" w14:textId="77777777" w:rsidR="00733E87" w:rsidRPr="00733E87" w:rsidRDefault="00733E87" w:rsidP="00733E87">
            <w:pPr>
              <w:pBdr>
                <w:top w:val="nil"/>
                <w:left w:val="nil"/>
                <w:bottom w:val="nil"/>
                <w:right w:val="nil"/>
                <w:between w:val="nil"/>
              </w:pBdr>
              <w:tabs>
                <w:tab w:val="clear" w:pos="709"/>
              </w:tabs>
              <w:snapToGrid/>
              <w:spacing w:after="160" w:line="278" w:lineRule="auto"/>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Egypt</w:t>
            </w:r>
          </w:p>
        </w:tc>
        <w:tc>
          <w:tcPr>
            <w:tcW w:w="2268" w:type="dxa"/>
          </w:tcPr>
          <w:p w14:paraId="790AF653" w14:textId="77777777" w:rsidR="00733E87" w:rsidRPr="00733E87" w:rsidRDefault="00733E87" w:rsidP="00733E87">
            <w:pPr>
              <w:pBdr>
                <w:top w:val="nil"/>
                <w:left w:val="nil"/>
                <w:bottom w:val="nil"/>
                <w:right w:val="nil"/>
                <w:between w:val="nil"/>
              </w:pBdr>
              <w:tabs>
                <w:tab w:val="clear" w:pos="709"/>
              </w:tabs>
              <w:snapToGrid/>
              <w:spacing w:after="160" w:line="242" w:lineRule="auto"/>
              <w:ind w:left="106"/>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NIOF</w:t>
            </w:r>
          </w:p>
        </w:tc>
        <w:tc>
          <w:tcPr>
            <w:tcW w:w="2706" w:type="dxa"/>
          </w:tcPr>
          <w:p w14:paraId="3498BA5A" w14:textId="77777777" w:rsidR="00733E87" w:rsidRPr="00733E87" w:rsidRDefault="00733E87" w:rsidP="00733E87">
            <w:pPr>
              <w:pBdr>
                <w:top w:val="nil"/>
                <w:left w:val="nil"/>
                <w:bottom w:val="nil"/>
                <w:right w:val="nil"/>
                <w:between w:val="nil"/>
              </w:pBdr>
              <w:tabs>
                <w:tab w:val="clear" w:pos="709"/>
              </w:tabs>
              <w:snapToGrid/>
              <w:spacing w:after="160" w:line="278" w:lineRule="auto"/>
              <w:jc w:val="center"/>
              <w:rPr>
                <w:rFonts w:ascii="Aptos" w:eastAsia="Aptos" w:hAnsi="Aptos" w:cs="Aptos"/>
                <w:snapToGrid/>
                <w:color w:val="000000"/>
                <w:sz w:val="18"/>
                <w:szCs w:val="18"/>
                <w:lang w:val="en-US"/>
              </w:rPr>
            </w:pPr>
            <w:r w:rsidRPr="00733E87">
              <w:rPr>
                <w:rFonts w:ascii="Aptos" w:eastAsia="Aptos" w:hAnsi="Aptos" w:cs="Aptos"/>
                <w:snapToGrid/>
                <w:color w:val="000000"/>
                <w:sz w:val="18"/>
                <w:szCs w:val="18"/>
                <w:lang w:val="en-US"/>
              </w:rPr>
              <w:t>ICG/NEAMTWS Vice-Chair</w:t>
            </w:r>
          </w:p>
        </w:tc>
      </w:tr>
      <w:tr w:rsidR="00733E87" w:rsidRPr="00733E87" w14:paraId="510BB5E4" w14:textId="77777777" w:rsidTr="00493FEF">
        <w:trPr>
          <w:trHeight w:val="520"/>
        </w:trPr>
        <w:tc>
          <w:tcPr>
            <w:tcW w:w="2695" w:type="dxa"/>
          </w:tcPr>
          <w:p w14:paraId="2B9C5084" w14:textId="77777777" w:rsidR="00733E87" w:rsidRPr="00733E87" w:rsidRDefault="00733E87" w:rsidP="00733E87">
            <w:pPr>
              <w:pBdr>
                <w:top w:val="nil"/>
                <w:left w:val="nil"/>
                <w:bottom w:val="nil"/>
                <w:right w:val="nil"/>
                <w:between w:val="nil"/>
              </w:pBdr>
              <w:tabs>
                <w:tab w:val="clear" w:pos="709"/>
              </w:tabs>
              <w:snapToGrid/>
              <w:spacing w:after="160" w:line="242" w:lineRule="auto"/>
              <w:ind w:left="107"/>
              <w:jc w:val="center"/>
              <w:rPr>
                <w:rFonts w:ascii="Aptos" w:eastAsia="Aptos" w:hAnsi="Aptos" w:cs="Aptos"/>
                <w:b/>
                <w:snapToGrid/>
                <w:color w:val="000000"/>
                <w:sz w:val="18"/>
                <w:szCs w:val="18"/>
                <w:lang w:val="en-US"/>
              </w:rPr>
            </w:pPr>
            <w:r w:rsidRPr="00733E87">
              <w:rPr>
                <w:rFonts w:ascii="Aptos" w:eastAsia="Aptos" w:hAnsi="Aptos" w:cs="Aptos"/>
                <w:b/>
                <w:snapToGrid/>
                <w:sz w:val="18"/>
                <w:szCs w:val="18"/>
                <w:lang w:val="en-US"/>
              </w:rPr>
              <w:t>Elena Daskalaki</w:t>
            </w:r>
          </w:p>
        </w:tc>
        <w:tc>
          <w:tcPr>
            <w:tcW w:w="1842" w:type="dxa"/>
          </w:tcPr>
          <w:p w14:paraId="26C9B53E" w14:textId="77777777" w:rsidR="00733E87" w:rsidRPr="00733E87" w:rsidRDefault="00733E87" w:rsidP="00733E87">
            <w:pPr>
              <w:pBdr>
                <w:top w:val="nil"/>
                <w:left w:val="nil"/>
                <w:bottom w:val="nil"/>
                <w:right w:val="nil"/>
                <w:between w:val="nil"/>
              </w:pBdr>
              <w:tabs>
                <w:tab w:val="clear" w:pos="709"/>
              </w:tabs>
              <w:snapToGrid/>
              <w:spacing w:after="160" w:line="278" w:lineRule="auto"/>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Greece</w:t>
            </w:r>
          </w:p>
        </w:tc>
        <w:tc>
          <w:tcPr>
            <w:tcW w:w="2268" w:type="dxa"/>
          </w:tcPr>
          <w:p w14:paraId="233AC479" w14:textId="77777777" w:rsidR="00733E87" w:rsidRPr="00733E87" w:rsidRDefault="00733E87" w:rsidP="00733E87">
            <w:pPr>
              <w:pBdr>
                <w:top w:val="nil"/>
                <w:left w:val="nil"/>
                <w:bottom w:val="nil"/>
                <w:right w:val="nil"/>
                <w:between w:val="nil"/>
              </w:pBdr>
              <w:tabs>
                <w:tab w:val="clear" w:pos="709"/>
              </w:tabs>
              <w:snapToGrid/>
              <w:spacing w:after="160" w:line="242" w:lineRule="auto"/>
              <w:ind w:left="106"/>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NOA</w:t>
            </w:r>
          </w:p>
        </w:tc>
        <w:tc>
          <w:tcPr>
            <w:tcW w:w="2706" w:type="dxa"/>
          </w:tcPr>
          <w:p w14:paraId="20900B3C" w14:textId="77777777" w:rsidR="00733E87" w:rsidRPr="00733E87" w:rsidRDefault="00733E87" w:rsidP="00733E87">
            <w:pPr>
              <w:pBdr>
                <w:top w:val="nil"/>
                <w:left w:val="nil"/>
                <w:bottom w:val="nil"/>
                <w:right w:val="nil"/>
                <w:between w:val="nil"/>
              </w:pBdr>
              <w:tabs>
                <w:tab w:val="clear" w:pos="709"/>
              </w:tabs>
              <w:snapToGrid/>
              <w:spacing w:after="160" w:line="278" w:lineRule="auto"/>
              <w:jc w:val="center"/>
              <w:rPr>
                <w:rFonts w:ascii="Aptos" w:eastAsia="Aptos" w:hAnsi="Aptos" w:cs="Aptos"/>
                <w:snapToGrid/>
                <w:color w:val="000000"/>
                <w:sz w:val="18"/>
                <w:szCs w:val="18"/>
                <w:lang w:val="en-US"/>
              </w:rPr>
            </w:pPr>
            <w:r w:rsidRPr="00733E87">
              <w:rPr>
                <w:rFonts w:ascii="Aptos" w:eastAsia="Aptos" w:hAnsi="Aptos" w:cs="Aptos"/>
                <w:snapToGrid/>
                <w:sz w:val="18"/>
                <w:szCs w:val="18"/>
                <w:lang w:val="en-US"/>
              </w:rPr>
              <w:t>ICG/NEAMTWS Co-Chair of Tsunami Ready</w:t>
            </w:r>
          </w:p>
        </w:tc>
      </w:tr>
    </w:tbl>
    <w:p w14:paraId="7292BC84" w14:textId="77777777" w:rsidR="007E2D80" w:rsidRPr="00733E87" w:rsidRDefault="007E2D80" w:rsidP="00D17A57">
      <w:pPr>
        <w:widowControl w:val="0"/>
        <w:spacing w:before="2" w:line="276" w:lineRule="auto"/>
        <w:ind w:right="217"/>
        <w:jc w:val="both"/>
        <w:rPr>
          <w:rFonts w:asciiTheme="minorBidi" w:eastAsia="Arial" w:hAnsiTheme="minorBidi" w:cstheme="minorBidi"/>
          <w:b/>
          <w:color w:val="000000"/>
          <w:sz w:val="22"/>
          <w:szCs w:val="22"/>
          <w:lang w:val="en-US"/>
        </w:rPr>
      </w:pPr>
    </w:p>
    <w:p w14:paraId="2951690F" w14:textId="77777777" w:rsidR="008D5458" w:rsidRDefault="00CB2356">
      <w:pPr>
        <w:tabs>
          <w:tab w:val="clear" w:pos="709"/>
        </w:tabs>
        <w:snapToGrid/>
        <w:rPr>
          <w:rFonts w:asciiTheme="minorBidi" w:eastAsia="Arial" w:hAnsiTheme="minorBidi" w:cstheme="minorBidi"/>
          <w:b/>
          <w:color w:val="000000"/>
          <w:sz w:val="22"/>
          <w:szCs w:val="22"/>
        </w:rPr>
        <w:sectPr w:rsidR="008D5458" w:rsidSect="005F625D">
          <w:headerReference w:type="default" r:id="rId73"/>
          <w:footerReference w:type="default" r:id="rId74"/>
          <w:type w:val="oddPage"/>
          <w:pgSz w:w="11906" w:h="16838"/>
          <w:pgMar w:top="1417" w:right="1417" w:bottom="1417" w:left="1417" w:header="708" w:footer="708" w:gutter="0"/>
          <w:pgNumType w:start="1"/>
          <w:cols w:space="708"/>
          <w:docGrid w:linePitch="360"/>
        </w:sectPr>
      </w:pPr>
      <w:r>
        <w:rPr>
          <w:rFonts w:asciiTheme="minorBidi" w:eastAsia="Arial" w:hAnsiTheme="minorBidi" w:cstheme="minorBidi"/>
          <w:b/>
          <w:color w:val="000000"/>
          <w:sz w:val="22"/>
          <w:szCs w:val="22"/>
        </w:rPr>
        <w:br w:type="page"/>
      </w:r>
    </w:p>
    <w:p w14:paraId="61AC51A6" w14:textId="1D4E98A6" w:rsidR="004236A5" w:rsidRDefault="004236A5" w:rsidP="004236A5">
      <w:pPr>
        <w:tabs>
          <w:tab w:val="clear" w:pos="709"/>
        </w:tabs>
        <w:snapToGrid/>
        <w:jc w:val="center"/>
        <w:rPr>
          <w:rFonts w:ascii="Arial" w:hAnsi="Arial" w:cs="Arial"/>
          <w:sz w:val="22"/>
        </w:rPr>
      </w:pPr>
      <w:bookmarkStart w:id="226" w:name="A4"/>
      <w:r w:rsidRPr="00414196">
        <w:rPr>
          <w:rFonts w:ascii="Arial" w:hAnsi="Arial" w:cs="Arial"/>
          <w:sz w:val="22"/>
        </w:rPr>
        <w:lastRenderedPageBreak/>
        <w:t>ANNEX IV</w:t>
      </w:r>
      <w:bookmarkEnd w:id="226"/>
    </w:p>
    <w:p w14:paraId="2AC543D8" w14:textId="77777777" w:rsidR="004236A5" w:rsidRPr="006946D0" w:rsidRDefault="004236A5" w:rsidP="004236A5">
      <w:pPr>
        <w:tabs>
          <w:tab w:val="clear" w:pos="709"/>
        </w:tabs>
        <w:snapToGrid/>
        <w:jc w:val="center"/>
        <w:rPr>
          <w:rFonts w:ascii="Arial" w:hAnsi="Arial" w:cs="Arial"/>
          <w:color w:val="000000"/>
          <w:sz w:val="22"/>
          <w:szCs w:val="22"/>
        </w:rPr>
      </w:pPr>
    </w:p>
    <w:p w14:paraId="6CC87694" w14:textId="35BEDD96" w:rsidR="004236A5" w:rsidRPr="004766A7" w:rsidRDefault="004236A5" w:rsidP="004236A5">
      <w:pPr>
        <w:spacing w:after="120"/>
        <w:jc w:val="center"/>
      </w:pPr>
      <w:r w:rsidRPr="004766A7">
        <w:rPr>
          <w:rFonts w:ascii="Arial" w:hAnsi="Arial" w:cs="Arial"/>
          <w:b/>
          <w:sz w:val="22"/>
        </w:rPr>
        <w:t xml:space="preserve">REPORT OF THE TOWS-WG </w:t>
      </w:r>
      <w:r w:rsidRPr="004236A5">
        <w:rPr>
          <w:rFonts w:ascii="Arial" w:hAnsi="Arial" w:cs="Arial"/>
          <w:b/>
          <w:sz w:val="22"/>
        </w:rPr>
        <w:t xml:space="preserve">JOINT </w:t>
      </w:r>
      <w:r w:rsidRPr="004766A7">
        <w:rPr>
          <w:rFonts w:ascii="Arial" w:hAnsi="Arial" w:cs="Arial"/>
          <w:b/>
          <w:sz w:val="22"/>
        </w:rPr>
        <w:t>INTER-ICG TASK TEAM</w:t>
      </w:r>
      <w:r>
        <w:rPr>
          <w:rFonts w:ascii="Arial" w:hAnsi="Arial" w:cs="Arial"/>
          <w:b/>
          <w:sz w:val="22"/>
        </w:rPr>
        <w:t>s</w:t>
      </w:r>
      <w:r w:rsidRPr="004766A7">
        <w:rPr>
          <w:rFonts w:ascii="Arial" w:hAnsi="Arial" w:cs="Arial"/>
          <w:b/>
          <w:sz w:val="22"/>
        </w:rPr>
        <w:t xml:space="preserve"> </w:t>
      </w:r>
      <w:r w:rsidRPr="004766A7">
        <w:rPr>
          <w:rFonts w:ascii="Arial" w:hAnsi="Arial" w:cs="Arial"/>
          <w:b/>
          <w:sz w:val="22"/>
        </w:rPr>
        <w:br/>
        <w:t>ON TSUNAMI WATCH OPERATIONS</w:t>
      </w:r>
      <w:r>
        <w:rPr>
          <w:rFonts w:ascii="Arial" w:hAnsi="Arial" w:cs="Arial"/>
          <w:b/>
          <w:sz w:val="22"/>
        </w:rPr>
        <w:t xml:space="preserve"> AND DISASTER MANAGEMENT AND PREPAREDNESS</w:t>
      </w:r>
    </w:p>
    <w:p w14:paraId="617A060C" w14:textId="5D2FFB3D" w:rsidR="004236A5" w:rsidRPr="0016039C" w:rsidRDefault="004236A5" w:rsidP="004236A5">
      <w:pPr>
        <w:spacing w:after="240"/>
        <w:jc w:val="center"/>
        <w:rPr>
          <w:rFonts w:ascii="Arial" w:hAnsi="Arial" w:cs="Arial"/>
          <w:color w:val="000000"/>
          <w:sz w:val="22"/>
          <w:szCs w:val="22"/>
        </w:rPr>
      </w:pPr>
      <w:r>
        <w:rPr>
          <w:rFonts w:ascii="Arial" w:hAnsi="Arial" w:cs="Arial"/>
          <w:color w:val="000000"/>
          <w:sz w:val="22"/>
          <w:szCs w:val="22"/>
        </w:rPr>
        <w:t>20</w:t>
      </w:r>
      <w:r w:rsidRPr="0016039C">
        <w:rPr>
          <w:rFonts w:ascii="Arial" w:hAnsi="Arial" w:cs="Arial"/>
          <w:color w:val="000000"/>
          <w:sz w:val="22"/>
          <w:szCs w:val="22"/>
        </w:rPr>
        <w:t xml:space="preserve"> February 20</w:t>
      </w:r>
      <w:r>
        <w:rPr>
          <w:rFonts w:ascii="Arial" w:hAnsi="Arial" w:cs="Arial"/>
          <w:color w:val="000000"/>
          <w:sz w:val="22"/>
          <w:szCs w:val="22"/>
        </w:rPr>
        <w:t>25</w:t>
      </w:r>
      <w:r>
        <w:rPr>
          <w:rFonts w:ascii="Arial" w:hAnsi="Arial" w:cs="Arial"/>
          <w:color w:val="000000"/>
          <w:sz w:val="22"/>
          <w:szCs w:val="22"/>
        </w:rPr>
        <w:br/>
        <w:t>Paris, France</w:t>
      </w:r>
    </w:p>
    <w:tbl>
      <w:tblPr>
        <w:tblW w:w="10348" w:type="dxa"/>
        <w:tblInd w:w="-601" w:type="dxa"/>
        <w:tblLayout w:type="fixed"/>
        <w:tblLook w:val="0400" w:firstRow="0" w:lastRow="0" w:firstColumn="0" w:lastColumn="0" w:noHBand="0" w:noVBand="1"/>
      </w:tblPr>
      <w:tblGrid>
        <w:gridCol w:w="2026"/>
        <w:gridCol w:w="8322"/>
      </w:tblGrid>
      <w:tr w:rsidR="007E2D80" w:rsidRPr="00D17A57" w14:paraId="09E52B40" w14:textId="77777777" w:rsidTr="00DA5D95">
        <w:tc>
          <w:tcPr>
            <w:tcW w:w="2026" w:type="dxa"/>
            <w:shd w:val="clear" w:color="auto" w:fill="auto"/>
          </w:tcPr>
          <w:p w14:paraId="79A0424F" w14:textId="77777777" w:rsidR="007E2D80" w:rsidRPr="00D17A57" w:rsidRDefault="007E2D80" w:rsidP="00D17A57">
            <w:pPr>
              <w:spacing w:line="276" w:lineRule="auto"/>
              <w:jc w:val="center"/>
              <w:rPr>
                <w:rFonts w:asciiTheme="minorBidi" w:eastAsia="Arial" w:hAnsiTheme="minorBidi" w:cstheme="minorBidi"/>
                <w:b/>
                <w:sz w:val="22"/>
                <w:szCs w:val="22"/>
              </w:rPr>
            </w:pPr>
            <w:r w:rsidRPr="00D17A57">
              <w:rPr>
                <w:rFonts w:asciiTheme="minorBidi" w:eastAsia="Arial" w:hAnsiTheme="minorBidi" w:cstheme="minorBidi"/>
                <w:b/>
                <w:noProof/>
                <w:sz w:val="22"/>
                <w:szCs w:val="22"/>
                <w:lang w:eastAsia="en-US"/>
              </w:rPr>
              <w:drawing>
                <wp:inline distT="0" distB="0" distL="0" distR="0" wp14:anchorId="788A7C56" wp14:editId="1C8FBEC6">
                  <wp:extent cx="917338" cy="720214"/>
                  <wp:effectExtent l="0" t="0" r="0" b="381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a:stretch>
                            <a:fillRect/>
                          </a:stretch>
                        </pic:blipFill>
                        <pic:spPr>
                          <a:xfrm>
                            <a:off x="0" y="0"/>
                            <a:ext cx="923669" cy="725184"/>
                          </a:xfrm>
                          <a:prstGeom prst="rect">
                            <a:avLst/>
                          </a:prstGeom>
                          <a:ln/>
                        </pic:spPr>
                      </pic:pic>
                    </a:graphicData>
                  </a:graphic>
                </wp:inline>
              </w:drawing>
            </w:r>
          </w:p>
        </w:tc>
        <w:tc>
          <w:tcPr>
            <w:tcW w:w="8322" w:type="dxa"/>
            <w:shd w:val="clear" w:color="auto" w:fill="auto"/>
          </w:tcPr>
          <w:p w14:paraId="141CC4D7" w14:textId="6C3B69FE" w:rsidR="007E2D80" w:rsidRPr="0084305F" w:rsidRDefault="007E2D80" w:rsidP="005F625D">
            <w:pPr>
              <w:spacing w:line="276" w:lineRule="auto"/>
              <w:ind w:left="-427"/>
              <w:jc w:val="center"/>
              <w:rPr>
                <w:rFonts w:asciiTheme="minorBidi" w:eastAsia="Arial" w:hAnsiTheme="minorBidi" w:cstheme="minorBidi"/>
                <w:b/>
                <w:sz w:val="20"/>
                <w:szCs w:val="20"/>
              </w:rPr>
            </w:pPr>
            <w:r w:rsidRPr="0084305F">
              <w:rPr>
                <w:rFonts w:asciiTheme="minorBidi" w:eastAsia="Arial" w:hAnsiTheme="minorBidi" w:cstheme="minorBidi"/>
                <w:b/>
                <w:sz w:val="20"/>
                <w:szCs w:val="20"/>
              </w:rPr>
              <w:t xml:space="preserve">MEETING OF THE </w:t>
            </w:r>
            <w:r w:rsidR="004236A5" w:rsidRPr="004236A5">
              <w:rPr>
                <w:rFonts w:asciiTheme="minorBidi" w:eastAsia="Arial" w:hAnsiTheme="minorBidi" w:cstheme="minorBidi"/>
                <w:b/>
                <w:sz w:val="20"/>
                <w:szCs w:val="20"/>
              </w:rPr>
              <w:t>TOWS-WG JOINT INTER-ICG TASK TEAM</w:t>
            </w:r>
            <w:r w:rsidR="005F625D">
              <w:rPr>
                <w:rFonts w:asciiTheme="minorBidi" w:eastAsia="Arial" w:hAnsiTheme="minorBidi" w:cstheme="minorBidi"/>
                <w:b/>
                <w:sz w:val="20"/>
                <w:szCs w:val="20"/>
              </w:rPr>
              <w:t xml:space="preserve">S </w:t>
            </w:r>
            <w:r w:rsidR="004236A5" w:rsidRPr="004236A5">
              <w:rPr>
                <w:rFonts w:asciiTheme="minorBidi" w:eastAsia="Arial" w:hAnsiTheme="minorBidi" w:cstheme="minorBidi"/>
                <w:b/>
                <w:sz w:val="20"/>
                <w:szCs w:val="20"/>
              </w:rPr>
              <w:t>ON TSUNAMI WATCH OPERATIONS AND DISASTER MANAGEMENT AND PREPAREDNESS</w:t>
            </w:r>
          </w:p>
          <w:p w14:paraId="2EB83490" w14:textId="77777777" w:rsidR="007E2D80" w:rsidRPr="00D17A57" w:rsidRDefault="007E2D80" w:rsidP="00D17A57">
            <w:pPr>
              <w:spacing w:line="276" w:lineRule="auto"/>
              <w:ind w:left="-427"/>
              <w:jc w:val="center"/>
              <w:rPr>
                <w:rFonts w:asciiTheme="minorBidi" w:eastAsia="Arial" w:hAnsiTheme="minorBidi" w:cstheme="minorBidi"/>
                <w:sz w:val="22"/>
                <w:szCs w:val="22"/>
              </w:rPr>
            </w:pPr>
          </w:p>
          <w:p w14:paraId="6BC54496" w14:textId="77777777" w:rsidR="007E2D80" w:rsidRPr="00D17A57" w:rsidRDefault="007E2D80" w:rsidP="00D17A57">
            <w:pPr>
              <w:spacing w:line="276" w:lineRule="auto"/>
              <w:ind w:left="-427"/>
              <w:jc w:val="center"/>
              <w:rPr>
                <w:rFonts w:asciiTheme="minorBidi" w:eastAsia="Arial" w:hAnsiTheme="minorBidi" w:cstheme="minorBidi"/>
                <w:b/>
                <w:sz w:val="22"/>
                <w:szCs w:val="22"/>
              </w:rPr>
            </w:pPr>
            <w:r w:rsidRPr="00D17A57">
              <w:rPr>
                <w:rFonts w:asciiTheme="minorBidi" w:eastAsia="Arial" w:hAnsiTheme="minorBidi" w:cstheme="minorBidi"/>
                <w:b/>
                <w:sz w:val="22"/>
                <w:szCs w:val="22"/>
              </w:rPr>
              <w:t>INTERGOVERNMENTAL OCEANOGRAPHIC COMMISSION UNESCO</w:t>
            </w:r>
          </w:p>
        </w:tc>
      </w:tr>
      <w:tr w:rsidR="007E2D80" w:rsidRPr="00D17A57" w14:paraId="3F6835A4" w14:textId="77777777" w:rsidTr="00DA5D95">
        <w:tc>
          <w:tcPr>
            <w:tcW w:w="2026" w:type="dxa"/>
            <w:shd w:val="clear" w:color="auto" w:fill="auto"/>
          </w:tcPr>
          <w:p w14:paraId="37B8FA5C" w14:textId="77777777" w:rsidR="007E2D80" w:rsidRPr="00D17A57" w:rsidRDefault="007E2D80" w:rsidP="00D17A57">
            <w:pPr>
              <w:spacing w:line="276" w:lineRule="auto"/>
              <w:jc w:val="center"/>
              <w:rPr>
                <w:rFonts w:asciiTheme="minorBidi" w:eastAsia="Arial" w:hAnsiTheme="minorBidi" w:cstheme="minorBidi"/>
                <w:b/>
                <w:sz w:val="22"/>
                <w:szCs w:val="22"/>
              </w:rPr>
            </w:pPr>
          </w:p>
        </w:tc>
        <w:tc>
          <w:tcPr>
            <w:tcW w:w="8322" w:type="dxa"/>
            <w:shd w:val="clear" w:color="auto" w:fill="auto"/>
          </w:tcPr>
          <w:p w14:paraId="4E697988" w14:textId="15407114" w:rsidR="007E2D80" w:rsidRPr="00D17A57" w:rsidRDefault="0084305F" w:rsidP="00D17A57">
            <w:pPr>
              <w:spacing w:line="276" w:lineRule="auto"/>
              <w:ind w:left="-1136"/>
              <w:jc w:val="center"/>
              <w:rPr>
                <w:rFonts w:asciiTheme="minorBidi" w:eastAsia="Arial" w:hAnsiTheme="minorBidi" w:cstheme="minorBidi"/>
                <w:b/>
                <w:sz w:val="22"/>
                <w:szCs w:val="22"/>
              </w:rPr>
            </w:pPr>
            <w:r>
              <w:rPr>
                <w:rFonts w:asciiTheme="minorBidi" w:eastAsia="Arial" w:hAnsiTheme="minorBidi" w:cstheme="minorBidi"/>
                <w:color w:val="808080"/>
                <w:sz w:val="22"/>
                <w:szCs w:val="22"/>
              </w:rPr>
              <w:t>20 February 2025</w:t>
            </w:r>
          </w:p>
        </w:tc>
      </w:tr>
    </w:tbl>
    <w:p w14:paraId="30915F21" w14:textId="77777777" w:rsidR="0084305F" w:rsidRPr="0084305F" w:rsidRDefault="0084305F" w:rsidP="0084305F">
      <w:pPr>
        <w:keepNext/>
        <w:keepLines/>
        <w:pBdr>
          <w:top w:val="nil"/>
          <w:left w:val="nil"/>
          <w:bottom w:val="nil"/>
          <w:right w:val="nil"/>
          <w:between w:val="nil"/>
        </w:pBdr>
        <w:tabs>
          <w:tab w:val="clear" w:pos="709"/>
        </w:tabs>
        <w:snapToGrid/>
        <w:spacing w:before="240" w:line="259" w:lineRule="auto"/>
        <w:rPr>
          <w:rFonts w:ascii="Play" w:eastAsia="Play" w:hAnsi="Play" w:cs="Play"/>
          <w:snapToGrid/>
          <w:color w:val="0F4761"/>
          <w:sz w:val="32"/>
          <w:szCs w:val="32"/>
          <w:lang w:val="en-US"/>
        </w:rPr>
      </w:pPr>
      <w:r w:rsidRPr="0084305F">
        <w:rPr>
          <w:rFonts w:ascii="Play" w:eastAsia="Play" w:hAnsi="Play" w:cs="Play"/>
          <w:snapToGrid/>
          <w:color w:val="0F4761"/>
          <w:sz w:val="32"/>
          <w:szCs w:val="32"/>
          <w:lang w:val="en-US"/>
        </w:rPr>
        <w:t>Contents</w:t>
      </w:r>
    </w:p>
    <w:sdt>
      <w:sdtPr>
        <w:rPr>
          <w:rFonts w:ascii="Aptos" w:eastAsia="Aptos" w:hAnsi="Aptos" w:cs="Aptos"/>
          <w:snapToGrid/>
          <w:sz w:val="22"/>
          <w:szCs w:val="22"/>
          <w:lang w:val="en-US"/>
        </w:rPr>
        <w:id w:val="923454884"/>
        <w:docPartObj>
          <w:docPartGallery w:val="Table of Contents"/>
          <w:docPartUnique/>
        </w:docPartObj>
      </w:sdtPr>
      <w:sdtContent>
        <w:p w14:paraId="53FB3C8B" w14:textId="77777777" w:rsidR="0084305F" w:rsidRPr="0084305F" w:rsidRDefault="0084305F" w:rsidP="0084305F">
          <w:pPr>
            <w:pBdr>
              <w:top w:val="nil"/>
              <w:left w:val="nil"/>
              <w:bottom w:val="nil"/>
              <w:right w:val="nil"/>
              <w:between w:val="nil"/>
            </w:pBdr>
            <w:tabs>
              <w:tab w:val="right" w:leader="dot" w:pos="9740"/>
            </w:tabs>
            <w:snapToGrid/>
            <w:spacing w:after="100" w:line="259" w:lineRule="auto"/>
            <w:rPr>
              <w:rFonts w:ascii="Aptos" w:eastAsia="Aptos" w:hAnsi="Aptos" w:cs="Aptos"/>
              <w:snapToGrid/>
              <w:color w:val="000000"/>
              <w:lang w:val="en-US"/>
            </w:rPr>
          </w:pPr>
          <w:r w:rsidRPr="0084305F">
            <w:rPr>
              <w:rFonts w:ascii="Aptos" w:eastAsia="Aptos" w:hAnsi="Aptos" w:cs="Aptos"/>
              <w:snapToGrid/>
              <w:sz w:val="22"/>
              <w:szCs w:val="22"/>
              <w:lang w:val="en-US"/>
            </w:rPr>
            <w:fldChar w:fldCharType="begin"/>
          </w:r>
          <w:r w:rsidRPr="0084305F">
            <w:rPr>
              <w:rFonts w:ascii="Aptos" w:eastAsia="Aptos" w:hAnsi="Aptos" w:cs="Aptos"/>
              <w:snapToGrid/>
              <w:sz w:val="22"/>
              <w:szCs w:val="22"/>
              <w:lang w:val="en-US"/>
            </w:rPr>
            <w:instrText xml:space="preserve"> TOC \h \u \z \t "Heading 1,1,Heading 2,2,Heading 3,3,"</w:instrText>
          </w:r>
          <w:r w:rsidRPr="0084305F">
            <w:rPr>
              <w:rFonts w:ascii="Aptos" w:eastAsia="Aptos" w:hAnsi="Aptos" w:cs="Aptos"/>
              <w:snapToGrid/>
              <w:sz w:val="22"/>
              <w:szCs w:val="22"/>
              <w:lang w:val="en-US"/>
            </w:rPr>
            <w:fldChar w:fldCharType="separate"/>
          </w:r>
          <w:hyperlink w:anchor="_gjdgxs">
            <w:r w:rsidRPr="0084305F">
              <w:rPr>
                <w:rFonts w:ascii="Aptos" w:eastAsia="Aptos" w:hAnsi="Aptos" w:cs="Aptos"/>
                <w:snapToGrid/>
                <w:color w:val="000000"/>
                <w:sz w:val="22"/>
                <w:szCs w:val="22"/>
                <w:lang w:val="en-US"/>
              </w:rPr>
              <w:t>1.0</w:t>
            </w:r>
          </w:hyperlink>
          <w:hyperlink w:anchor="_gjdgxs">
            <w:r w:rsidRPr="0084305F">
              <w:rPr>
                <w:rFonts w:ascii="Aptos" w:eastAsia="Aptos" w:hAnsi="Aptos" w:cs="Aptos"/>
                <w:snapToGrid/>
                <w:color w:val="000000"/>
                <w:lang w:val="en-US"/>
              </w:rPr>
              <w:tab/>
            </w:r>
          </w:hyperlink>
          <w:r w:rsidRPr="0084305F">
            <w:rPr>
              <w:rFonts w:ascii="Aptos" w:eastAsia="Aptos" w:hAnsi="Aptos" w:cs="Aptos"/>
              <w:snapToGrid/>
              <w:sz w:val="22"/>
              <w:szCs w:val="22"/>
              <w:lang w:val="en-US"/>
            </w:rPr>
            <w:fldChar w:fldCharType="begin"/>
          </w:r>
          <w:r w:rsidRPr="0084305F">
            <w:rPr>
              <w:rFonts w:ascii="Aptos" w:eastAsia="Aptos" w:hAnsi="Aptos" w:cs="Aptos"/>
              <w:snapToGrid/>
              <w:sz w:val="22"/>
              <w:szCs w:val="22"/>
              <w:lang w:val="en-US"/>
            </w:rPr>
            <w:instrText xml:space="preserve"> PAGEREF _gjdgxs \h </w:instrText>
          </w:r>
          <w:r w:rsidRPr="0084305F">
            <w:rPr>
              <w:rFonts w:ascii="Aptos" w:eastAsia="Aptos" w:hAnsi="Aptos" w:cs="Aptos"/>
              <w:snapToGrid/>
              <w:sz w:val="22"/>
              <w:szCs w:val="22"/>
              <w:lang w:val="en-US"/>
            </w:rPr>
          </w:r>
          <w:r w:rsidRPr="0084305F">
            <w:rPr>
              <w:rFonts w:ascii="Aptos" w:eastAsia="Aptos" w:hAnsi="Aptos" w:cs="Aptos"/>
              <w:snapToGrid/>
              <w:sz w:val="22"/>
              <w:szCs w:val="22"/>
              <w:lang w:val="en-US"/>
            </w:rPr>
            <w:fldChar w:fldCharType="separate"/>
          </w:r>
          <w:r w:rsidRPr="0084305F">
            <w:rPr>
              <w:rFonts w:ascii="Aptos" w:eastAsia="Aptos" w:hAnsi="Aptos" w:cs="Aptos"/>
              <w:snapToGrid/>
              <w:color w:val="000000"/>
              <w:sz w:val="22"/>
              <w:szCs w:val="22"/>
              <w:lang w:val="en-US"/>
            </w:rPr>
            <w:t>Welcome &amp; Introduction</w:t>
          </w:r>
          <w:r w:rsidRPr="0084305F">
            <w:rPr>
              <w:rFonts w:ascii="Aptos" w:eastAsia="Aptos" w:hAnsi="Aptos" w:cs="Aptos"/>
              <w:snapToGrid/>
              <w:color w:val="000000"/>
              <w:sz w:val="22"/>
              <w:szCs w:val="22"/>
              <w:lang w:val="en-US"/>
            </w:rPr>
            <w:tab/>
            <w:t>3</w:t>
          </w:r>
          <w:r w:rsidRPr="0084305F">
            <w:rPr>
              <w:rFonts w:ascii="Aptos" w:eastAsia="Aptos" w:hAnsi="Aptos" w:cs="Aptos"/>
              <w:snapToGrid/>
              <w:sz w:val="22"/>
              <w:szCs w:val="22"/>
              <w:lang w:val="en-US"/>
            </w:rPr>
            <w:fldChar w:fldCharType="end"/>
          </w:r>
        </w:p>
        <w:p w14:paraId="684E8C3E"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30j0zll">
            <w:r w:rsidRPr="0084305F">
              <w:rPr>
                <w:rFonts w:ascii="Aptos" w:eastAsia="Aptos" w:hAnsi="Aptos" w:cs="Aptos"/>
                <w:snapToGrid/>
                <w:color w:val="000000"/>
                <w:sz w:val="22"/>
                <w:szCs w:val="22"/>
                <w:lang w:val="en-US"/>
              </w:rPr>
              <w:t>2.0 Session Organisation</w:t>
            </w:r>
            <w:r w:rsidRPr="0084305F">
              <w:rPr>
                <w:rFonts w:ascii="Aptos" w:eastAsia="Aptos" w:hAnsi="Aptos" w:cs="Aptos"/>
                <w:snapToGrid/>
                <w:color w:val="000000"/>
                <w:sz w:val="22"/>
                <w:szCs w:val="22"/>
                <w:lang w:val="en-US"/>
              </w:rPr>
              <w:tab/>
              <w:t>3</w:t>
            </w:r>
          </w:hyperlink>
        </w:p>
        <w:p w14:paraId="28670802"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1fob9te">
            <w:r w:rsidRPr="0084305F">
              <w:rPr>
                <w:rFonts w:ascii="Aptos" w:eastAsia="Aptos" w:hAnsi="Aptos" w:cs="Aptos"/>
                <w:snapToGrid/>
                <w:color w:val="000000"/>
                <w:sz w:val="22"/>
                <w:szCs w:val="22"/>
                <w:lang w:val="en-US"/>
              </w:rPr>
              <w:t>3.0 Wave Exercises [Denis] and Significant Tsunami Events [Ocal] in each ICG</w:t>
            </w:r>
            <w:r w:rsidRPr="0084305F">
              <w:rPr>
                <w:rFonts w:ascii="Aptos" w:eastAsia="Aptos" w:hAnsi="Aptos" w:cs="Aptos"/>
                <w:snapToGrid/>
                <w:color w:val="000000"/>
                <w:sz w:val="22"/>
                <w:szCs w:val="22"/>
                <w:lang w:val="en-US"/>
              </w:rPr>
              <w:tab/>
              <w:t>3</w:t>
            </w:r>
          </w:hyperlink>
        </w:p>
        <w:p w14:paraId="13AAF445"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ind w:left="220"/>
            <w:rPr>
              <w:rFonts w:ascii="Aptos" w:eastAsia="Aptos" w:hAnsi="Aptos" w:cs="Aptos"/>
              <w:snapToGrid/>
              <w:color w:val="000000"/>
              <w:lang w:val="en-US"/>
            </w:rPr>
          </w:pPr>
          <w:hyperlink w:anchor="_3znysh7">
            <w:r w:rsidRPr="0084305F">
              <w:rPr>
                <w:rFonts w:ascii="Aptos" w:eastAsia="Aptos" w:hAnsi="Aptos" w:cs="Aptos"/>
                <w:snapToGrid/>
                <w:color w:val="000000"/>
                <w:sz w:val="22"/>
                <w:szCs w:val="22"/>
                <w:lang w:val="en-US"/>
              </w:rPr>
              <w:t>3.1 Global criteria and methodology to report on WAVE EXERCISE</w:t>
            </w:r>
            <w:r w:rsidRPr="0084305F">
              <w:rPr>
                <w:rFonts w:ascii="Aptos" w:eastAsia="Aptos" w:hAnsi="Aptos" w:cs="Aptos"/>
                <w:snapToGrid/>
                <w:color w:val="000000"/>
                <w:sz w:val="22"/>
                <w:szCs w:val="22"/>
                <w:lang w:val="en-US"/>
              </w:rPr>
              <w:tab/>
              <w:t>9</w:t>
            </w:r>
          </w:hyperlink>
        </w:p>
        <w:p w14:paraId="2069AFBE"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2et92p0">
            <w:r w:rsidRPr="0084305F">
              <w:rPr>
                <w:rFonts w:ascii="Aptos" w:eastAsia="Aptos" w:hAnsi="Aptos" w:cs="Aptos"/>
                <w:snapToGrid/>
                <w:color w:val="000000"/>
                <w:sz w:val="22"/>
                <w:szCs w:val="22"/>
                <w:lang w:val="en-US"/>
              </w:rPr>
              <w:t>4.0 Planning for Ocean Decade [Denis]</w:t>
            </w:r>
            <w:r w:rsidRPr="0084305F">
              <w:rPr>
                <w:rFonts w:ascii="Aptos" w:eastAsia="Aptos" w:hAnsi="Aptos" w:cs="Aptos"/>
                <w:snapToGrid/>
                <w:color w:val="000000"/>
                <w:sz w:val="22"/>
                <w:szCs w:val="22"/>
                <w:lang w:val="en-US"/>
              </w:rPr>
              <w:tab/>
              <w:t>10</w:t>
            </w:r>
          </w:hyperlink>
        </w:p>
        <w:p w14:paraId="1187DA1A"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ind w:left="220"/>
            <w:rPr>
              <w:rFonts w:ascii="Aptos" w:eastAsia="Aptos" w:hAnsi="Aptos" w:cs="Aptos"/>
              <w:snapToGrid/>
              <w:color w:val="000000"/>
              <w:lang w:val="en-US"/>
            </w:rPr>
          </w:pPr>
          <w:hyperlink w:anchor="_tyjcwt">
            <w:r w:rsidRPr="0084305F">
              <w:rPr>
                <w:rFonts w:ascii="Aptos" w:eastAsia="Aptos" w:hAnsi="Aptos" w:cs="Aptos"/>
                <w:snapToGrid/>
                <w:color w:val="000000"/>
                <w:sz w:val="22"/>
                <w:szCs w:val="22"/>
                <w:lang w:val="en-US"/>
              </w:rPr>
              <w:t>4.1 Ocean Decade Tsunami Programme (Report of the ODTP -SC)</w:t>
            </w:r>
            <w:r w:rsidRPr="0084305F">
              <w:rPr>
                <w:rFonts w:ascii="Aptos" w:eastAsia="Aptos" w:hAnsi="Aptos" w:cs="Aptos"/>
                <w:snapToGrid/>
                <w:color w:val="000000"/>
                <w:sz w:val="22"/>
                <w:szCs w:val="22"/>
                <w:lang w:val="en-US"/>
              </w:rPr>
              <w:tab/>
              <w:t>10</w:t>
            </w:r>
          </w:hyperlink>
        </w:p>
        <w:p w14:paraId="23C6D543"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ind w:left="220"/>
            <w:rPr>
              <w:rFonts w:ascii="Aptos" w:eastAsia="Aptos" w:hAnsi="Aptos" w:cs="Aptos"/>
              <w:snapToGrid/>
              <w:color w:val="000000"/>
              <w:lang w:val="en-US"/>
            </w:rPr>
          </w:pPr>
          <w:hyperlink w:anchor="_3dy6vkm">
            <w:r w:rsidRPr="0084305F">
              <w:rPr>
                <w:rFonts w:ascii="Aptos" w:eastAsia="Aptos" w:hAnsi="Aptos" w:cs="Aptos"/>
                <w:snapToGrid/>
                <w:color w:val="000000"/>
                <w:sz w:val="22"/>
                <w:szCs w:val="22"/>
                <w:lang w:val="en-US"/>
              </w:rPr>
              <w:t>4.2 Ocean Decade: Safe Ocean (Resilient Communities Actions)</w:t>
            </w:r>
            <w:r w:rsidRPr="0084305F">
              <w:rPr>
                <w:rFonts w:ascii="Aptos" w:eastAsia="Aptos" w:hAnsi="Aptos" w:cs="Aptos"/>
                <w:snapToGrid/>
                <w:color w:val="000000"/>
                <w:sz w:val="22"/>
                <w:szCs w:val="22"/>
                <w:lang w:val="en-US"/>
              </w:rPr>
              <w:tab/>
              <w:t>10</w:t>
            </w:r>
          </w:hyperlink>
        </w:p>
        <w:p w14:paraId="1DF03F90"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ind w:left="220"/>
            <w:rPr>
              <w:rFonts w:ascii="Aptos" w:eastAsia="Aptos" w:hAnsi="Aptos" w:cs="Aptos"/>
              <w:snapToGrid/>
              <w:color w:val="000000"/>
              <w:lang w:val="en-US"/>
            </w:rPr>
          </w:pPr>
          <w:hyperlink w:anchor="_1t3h5sf">
            <w:r w:rsidRPr="0084305F">
              <w:rPr>
                <w:rFonts w:ascii="Aptos" w:eastAsia="Aptos" w:hAnsi="Aptos" w:cs="Aptos"/>
                <w:snapToGrid/>
                <w:color w:val="000000"/>
                <w:sz w:val="22"/>
                <w:szCs w:val="22"/>
                <w:lang w:val="en-US"/>
              </w:rPr>
              <w:t>4.3 TRRP- Methodology for Estimating Eligibility for TRR and Assessment of Risk at Community Level</w:t>
            </w:r>
            <w:r w:rsidRPr="0084305F">
              <w:rPr>
                <w:rFonts w:ascii="Aptos" w:eastAsia="Aptos" w:hAnsi="Aptos" w:cs="Aptos"/>
                <w:snapToGrid/>
                <w:color w:val="000000"/>
                <w:sz w:val="22"/>
                <w:szCs w:val="22"/>
                <w:lang w:val="en-US"/>
              </w:rPr>
              <w:tab/>
              <w:t>11</w:t>
            </w:r>
          </w:hyperlink>
        </w:p>
        <w:p w14:paraId="24C33116"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ind w:left="220"/>
            <w:rPr>
              <w:rFonts w:ascii="Aptos" w:eastAsia="Aptos" w:hAnsi="Aptos" w:cs="Aptos"/>
              <w:snapToGrid/>
              <w:color w:val="000000"/>
              <w:lang w:val="en-US"/>
            </w:rPr>
          </w:pPr>
          <w:hyperlink w:anchor="_4d34og8">
            <w:r w:rsidRPr="0084305F">
              <w:rPr>
                <w:rFonts w:ascii="Aptos" w:eastAsia="Aptos" w:hAnsi="Aptos" w:cs="Aptos"/>
                <w:snapToGrid/>
                <w:color w:val="000000"/>
                <w:sz w:val="22"/>
                <w:szCs w:val="22"/>
                <w:lang w:val="en-US"/>
              </w:rPr>
              <w:t>4.4 The Development of ODTP Tracking and Monitoring Tool &amp; Global Tsunami Performance Monitoring Framework (of the PTWS)</w:t>
            </w:r>
            <w:r w:rsidRPr="0084305F">
              <w:rPr>
                <w:rFonts w:ascii="Aptos" w:eastAsia="Aptos" w:hAnsi="Aptos" w:cs="Aptos"/>
                <w:snapToGrid/>
                <w:color w:val="000000"/>
                <w:sz w:val="22"/>
                <w:szCs w:val="22"/>
                <w:lang w:val="en-US"/>
              </w:rPr>
              <w:tab/>
              <w:t>11</w:t>
            </w:r>
          </w:hyperlink>
        </w:p>
        <w:p w14:paraId="6F3ECE30"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ind w:left="220"/>
            <w:rPr>
              <w:rFonts w:ascii="Aptos" w:eastAsia="Aptos" w:hAnsi="Aptos" w:cs="Aptos"/>
              <w:snapToGrid/>
              <w:color w:val="000000"/>
              <w:lang w:val="en-US"/>
            </w:rPr>
          </w:pPr>
          <w:hyperlink w:anchor="_2s8eyo1">
            <w:r w:rsidRPr="0084305F">
              <w:rPr>
                <w:rFonts w:ascii="Aptos" w:eastAsia="Aptos" w:hAnsi="Aptos" w:cs="Aptos"/>
                <w:snapToGrid/>
                <w:color w:val="000000"/>
                <w:sz w:val="22"/>
                <w:szCs w:val="22"/>
                <w:lang w:val="en-US"/>
              </w:rPr>
              <w:t>4.5 Tsunami Ready Coalition</w:t>
            </w:r>
            <w:r w:rsidRPr="0084305F">
              <w:rPr>
                <w:rFonts w:ascii="Aptos" w:eastAsia="Aptos" w:hAnsi="Aptos" w:cs="Aptos"/>
                <w:snapToGrid/>
                <w:color w:val="000000"/>
                <w:sz w:val="22"/>
                <w:szCs w:val="22"/>
                <w:lang w:val="en-US"/>
              </w:rPr>
              <w:tab/>
              <w:t>13</w:t>
            </w:r>
          </w:hyperlink>
        </w:p>
        <w:p w14:paraId="5779064A"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ind w:left="220"/>
            <w:rPr>
              <w:rFonts w:ascii="Aptos" w:eastAsia="Aptos" w:hAnsi="Aptos" w:cs="Aptos"/>
              <w:snapToGrid/>
              <w:color w:val="000000"/>
              <w:lang w:val="en-US"/>
            </w:rPr>
          </w:pPr>
          <w:hyperlink w:anchor="_17dp8vu">
            <w:r w:rsidRPr="0084305F">
              <w:rPr>
                <w:rFonts w:ascii="Aptos" w:eastAsia="Aptos" w:hAnsi="Aptos" w:cs="Aptos"/>
                <w:snapToGrid/>
                <w:color w:val="000000"/>
                <w:sz w:val="22"/>
                <w:szCs w:val="22"/>
                <w:lang w:val="en-US"/>
              </w:rPr>
              <w:t>4.6 Online Coordination Webinar</w:t>
            </w:r>
            <w:r w:rsidRPr="0084305F">
              <w:rPr>
                <w:rFonts w:ascii="Aptos" w:eastAsia="Aptos" w:hAnsi="Aptos" w:cs="Aptos"/>
                <w:snapToGrid/>
                <w:color w:val="000000"/>
                <w:sz w:val="22"/>
                <w:szCs w:val="22"/>
                <w:lang w:val="en-US"/>
              </w:rPr>
              <w:tab/>
              <w:t>14</w:t>
            </w:r>
          </w:hyperlink>
        </w:p>
        <w:p w14:paraId="58F332A7"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ind w:left="220"/>
            <w:rPr>
              <w:rFonts w:ascii="Aptos" w:eastAsia="Aptos" w:hAnsi="Aptos" w:cs="Aptos"/>
              <w:snapToGrid/>
              <w:color w:val="000000"/>
              <w:lang w:val="en-US"/>
            </w:rPr>
          </w:pPr>
          <w:hyperlink w:anchor="_3rdcrjn">
            <w:r w:rsidRPr="0084305F">
              <w:rPr>
                <w:rFonts w:ascii="Aptos" w:eastAsia="Aptos" w:hAnsi="Aptos" w:cs="Aptos"/>
                <w:snapToGrid/>
                <w:color w:val="000000"/>
                <w:sz w:val="22"/>
                <w:szCs w:val="22"/>
                <w:lang w:val="en-US"/>
              </w:rPr>
              <w:t>4.7 Roles for TT TWO and TT DMP</w:t>
            </w:r>
            <w:r w:rsidRPr="0084305F">
              <w:rPr>
                <w:rFonts w:ascii="Aptos" w:eastAsia="Aptos" w:hAnsi="Aptos" w:cs="Aptos"/>
                <w:snapToGrid/>
                <w:color w:val="000000"/>
                <w:sz w:val="22"/>
                <w:szCs w:val="22"/>
                <w:lang w:val="en-US"/>
              </w:rPr>
              <w:tab/>
              <w:t>14</w:t>
            </w:r>
          </w:hyperlink>
        </w:p>
        <w:p w14:paraId="04EB0E7B"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26in1rg">
            <w:r w:rsidRPr="0084305F">
              <w:rPr>
                <w:rFonts w:ascii="Aptos" w:eastAsia="Aptos" w:hAnsi="Aptos" w:cs="Aptos"/>
                <w:snapToGrid/>
                <w:color w:val="000000"/>
                <w:sz w:val="22"/>
                <w:szCs w:val="22"/>
                <w:lang w:val="en-US"/>
              </w:rPr>
              <w:t>5.0 Update on PTWS NTWC Competency Framework and Development of Global Framework [ Ocal]</w:t>
            </w:r>
            <w:r w:rsidRPr="0084305F">
              <w:rPr>
                <w:rFonts w:ascii="Aptos" w:eastAsia="Aptos" w:hAnsi="Aptos" w:cs="Aptos"/>
                <w:snapToGrid/>
                <w:color w:val="000000"/>
                <w:sz w:val="22"/>
                <w:szCs w:val="22"/>
                <w:lang w:val="en-US"/>
              </w:rPr>
              <w:tab/>
              <w:t>14</w:t>
            </w:r>
          </w:hyperlink>
        </w:p>
        <w:p w14:paraId="4897480B"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lnxbz9">
            <w:r w:rsidRPr="0084305F">
              <w:rPr>
                <w:rFonts w:ascii="Aptos" w:eastAsia="Aptos" w:hAnsi="Aptos" w:cs="Aptos"/>
                <w:snapToGrid/>
                <w:color w:val="000000"/>
                <w:sz w:val="22"/>
                <w:szCs w:val="22"/>
                <w:lang w:val="en-US"/>
              </w:rPr>
              <w:t>6.0 Tsunami Glossary Update [Ocal]</w:t>
            </w:r>
            <w:r w:rsidRPr="0084305F">
              <w:rPr>
                <w:rFonts w:ascii="Aptos" w:eastAsia="Aptos" w:hAnsi="Aptos" w:cs="Aptos"/>
                <w:snapToGrid/>
                <w:color w:val="000000"/>
                <w:sz w:val="22"/>
                <w:szCs w:val="22"/>
                <w:lang w:val="en-US"/>
              </w:rPr>
              <w:tab/>
              <w:t>15</w:t>
            </w:r>
          </w:hyperlink>
        </w:p>
        <w:p w14:paraId="6EB3B326"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35nkun2">
            <w:r w:rsidRPr="0084305F">
              <w:rPr>
                <w:rFonts w:ascii="Aptos" w:eastAsia="Aptos" w:hAnsi="Aptos" w:cs="Aptos"/>
                <w:snapToGrid/>
                <w:color w:val="000000"/>
                <w:sz w:val="22"/>
                <w:szCs w:val="22"/>
                <w:lang w:val="en-US"/>
              </w:rPr>
              <w:t>7.0 IUGG update [Ocal]</w:t>
            </w:r>
            <w:r w:rsidRPr="0084305F">
              <w:rPr>
                <w:rFonts w:ascii="Aptos" w:eastAsia="Aptos" w:hAnsi="Aptos" w:cs="Aptos"/>
                <w:snapToGrid/>
                <w:color w:val="000000"/>
                <w:sz w:val="22"/>
                <w:szCs w:val="22"/>
                <w:lang w:val="en-US"/>
              </w:rPr>
              <w:tab/>
              <w:t>15</w:t>
            </w:r>
          </w:hyperlink>
        </w:p>
        <w:p w14:paraId="7EEC9AE2" w14:textId="77777777" w:rsidR="0084305F" w:rsidRPr="0084305F" w:rsidRDefault="0084305F" w:rsidP="0084305F">
          <w:pPr>
            <w:pBdr>
              <w:top w:val="nil"/>
              <w:left w:val="nil"/>
              <w:bottom w:val="nil"/>
              <w:right w:val="nil"/>
              <w:between w:val="nil"/>
            </w:pBdr>
            <w:tabs>
              <w:tab w:val="right" w:leader="dot" w:pos="9740"/>
            </w:tabs>
            <w:snapToGrid/>
            <w:spacing w:after="100" w:line="259" w:lineRule="auto"/>
            <w:rPr>
              <w:rFonts w:ascii="Aptos" w:eastAsia="Aptos" w:hAnsi="Aptos" w:cs="Aptos"/>
              <w:snapToGrid/>
              <w:color w:val="000000"/>
              <w:lang w:val="en-US"/>
            </w:rPr>
          </w:pPr>
          <w:hyperlink w:anchor="_1ksv4uv">
            <w:r w:rsidRPr="0084305F">
              <w:rPr>
                <w:rFonts w:ascii="Aptos" w:eastAsia="Aptos" w:hAnsi="Aptos" w:cs="Aptos"/>
                <w:snapToGrid/>
                <w:color w:val="000000"/>
                <w:sz w:val="22"/>
                <w:szCs w:val="22"/>
                <w:lang w:val="en-US"/>
              </w:rPr>
              <w:t>8.0</w:t>
            </w:r>
          </w:hyperlink>
          <w:hyperlink w:anchor="_1ksv4uv">
            <w:r w:rsidRPr="0084305F">
              <w:rPr>
                <w:rFonts w:ascii="Aptos" w:eastAsia="Aptos" w:hAnsi="Aptos" w:cs="Aptos"/>
                <w:snapToGrid/>
                <w:color w:val="000000"/>
                <w:lang w:val="en-US"/>
              </w:rPr>
              <w:tab/>
            </w:r>
          </w:hyperlink>
          <w:r w:rsidRPr="0084305F">
            <w:rPr>
              <w:rFonts w:ascii="Aptos" w:eastAsia="Aptos" w:hAnsi="Aptos" w:cs="Aptos"/>
              <w:snapToGrid/>
              <w:sz w:val="22"/>
              <w:szCs w:val="22"/>
              <w:lang w:val="en-US"/>
            </w:rPr>
            <w:fldChar w:fldCharType="begin"/>
          </w:r>
          <w:r w:rsidRPr="0084305F">
            <w:rPr>
              <w:rFonts w:ascii="Aptos" w:eastAsia="Aptos" w:hAnsi="Aptos" w:cs="Aptos"/>
              <w:snapToGrid/>
              <w:sz w:val="22"/>
              <w:szCs w:val="22"/>
              <w:lang w:val="en-US"/>
            </w:rPr>
            <w:instrText xml:space="preserve"> PAGEREF _1ksv4uv \h </w:instrText>
          </w:r>
          <w:r w:rsidRPr="0084305F">
            <w:rPr>
              <w:rFonts w:ascii="Aptos" w:eastAsia="Aptos" w:hAnsi="Aptos" w:cs="Aptos"/>
              <w:snapToGrid/>
              <w:sz w:val="22"/>
              <w:szCs w:val="22"/>
              <w:lang w:val="en-US"/>
            </w:rPr>
          </w:r>
          <w:r w:rsidRPr="0084305F">
            <w:rPr>
              <w:rFonts w:ascii="Aptos" w:eastAsia="Aptos" w:hAnsi="Aptos" w:cs="Aptos"/>
              <w:snapToGrid/>
              <w:sz w:val="22"/>
              <w:szCs w:val="22"/>
              <w:lang w:val="en-US"/>
            </w:rPr>
            <w:fldChar w:fldCharType="separate"/>
          </w:r>
          <w:r w:rsidRPr="0084305F">
            <w:rPr>
              <w:rFonts w:ascii="Aptos" w:eastAsia="Aptos" w:hAnsi="Aptos" w:cs="Aptos"/>
              <w:snapToGrid/>
              <w:color w:val="000000"/>
              <w:sz w:val="22"/>
              <w:szCs w:val="22"/>
              <w:lang w:val="en-US"/>
            </w:rPr>
            <w:t>Update UN Sec General “Early Warnings For All” Initiative and 8</w:t>
          </w:r>
          <w:r w:rsidRPr="0084305F">
            <w:rPr>
              <w:rFonts w:ascii="Aptos" w:eastAsia="Aptos" w:hAnsi="Aptos" w:cs="Aptos"/>
              <w:snapToGrid/>
              <w:color w:val="000000"/>
              <w:sz w:val="22"/>
              <w:szCs w:val="22"/>
              <w:vertAlign w:val="superscript"/>
              <w:lang w:val="en-US"/>
            </w:rPr>
            <w:t>th</w:t>
          </w:r>
          <w:r w:rsidRPr="0084305F">
            <w:rPr>
              <w:rFonts w:ascii="Aptos" w:eastAsia="Aptos" w:hAnsi="Aptos" w:cs="Aptos"/>
              <w:snapToGrid/>
              <w:color w:val="000000"/>
              <w:sz w:val="22"/>
              <w:szCs w:val="22"/>
              <w:lang w:val="en-US"/>
            </w:rPr>
            <w:t xml:space="preserve"> GPDRR [Denis]</w:t>
          </w:r>
          <w:r w:rsidRPr="0084305F">
            <w:rPr>
              <w:rFonts w:ascii="Aptos" w:eastAsia="Aptos" w:hAnsi="Aptos" w:cs="Aptos"/>
              <w:snapToGrid/>
              <w:color w:val="000000"/>
              <w:sz w:val="22"/>
              <w:szCs w:val="22"/>
              <w:lang w:val="en-US"/>
            </w:rPr>
            <w:tab/>
            <w:t>15</w:t>
          </w:r>
          <w:r w:rsidRPr="0084305F">
            <w:rPr>
              <w:rFonts w:ascii="Aptos" w:eastAsia="Aptos" w:hAnsi="Aptos" w:cs="Aptos"/>
              <w:snapToGrid/>
              <w:sz w:val="22"/>
              <w:szCs w:val="22"/>
              <w:lang w:val="en-US"/>
            </w:rPr>
            <w:fldChar w:fldCharType="end"/>
          </w:r>
        </w:p>
        <w:p w14:paraId="55FEC776"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44sinio">
            <w:r w:rsidRPr="0084305F">
              <w:rPr>
                <w:rFonts w:ascii="Aptos" w:eastAsia="Aptos" w:hAnsi="Aptos" w:cs="Aptos"/>
                <w:snapToGrid/>
                <w:color w:val="000000"/>
                <w:sz w:val="22"/>
                <w:szCs w:val="22"/>
                <w:lang w:val="en-US"/>
              </w:rPr>
              <w:t>9.0 Review of Outcomes from the 2nd Global Tsunami Symposium in Indonesia in November 2024 [Ocal]</w:t>
            </w:r>
            <w:r w:rsidRPr="0084305F">
              <w:rPr>
                <w:rFonts w:ascii="Aptos" w:eastAsia="Aptos" w:hAnsi="Aptos" w:cs="Aptos"/>
                <w:snapToGrid/>
                <w:color w:val="000000"/>
                <w:sz w:val="22"/>
                <w:szCs w:val="22"/>
                <w:lang w:val="en-US"/>
              </w:rPr>
              <w:tab/>
              <w:t>16</w:t>
            </w:r>
          </w:hyperlink>
        </w:p>
        <w:p w14:paraId="2A36E158"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2jxsxqh">
            <w:r w:rsidRPr="0084305F">
              <w:rPr>
                <w:rFonts w:ascii="Arial" w:eastAsia="Arial" w:hAnsi="Arial" w:cs="Arial"/>
                <w:snapToGrid/>
                <w:color w:val="000000"/>
                <w:sz w:val="22"/>
                <w:szCs w:val="22"/>
                <w:lang w:val="en-US"/>
              </w:rPr>
              <w:t xml:space="preserve">Agenda of Joint Session of Task Team Tsunami Watch Operations and </w:t>
            </w:r>
          </w:hyperlink>
          <w:hyperlink w:anchor="_2jxsxqh">
            <w:r w:rsidRPr="0084305F">
              <w:rPr>
                <w:rFonts w:ascii="Aptos" w:eastAsia="Aptos" w:hAnsi="Aptos" w:cs="Aptos"/>
                <w:snapToGrid/>
                <w:color w:val="000000"/>
                <w:sz w:val="22"/>
                <w:szCs w:val="22"/>
                <w:lang w:val="en-US"/>
              </w:rPr>
              <w:t xml:space="preserve"> </w:t>
            </w:r>
          </w:hyperlink>
          <w:hyperlink w:anchor="_2jxsxqh">
            <w:r w:rsidRPr="0084305F">
              <w:rPr>
                <w:rFonts w:ascii="Arial" w:eastAsia="Arial" w:hAnsi="Arial" w:cs="Arial"/>
                <w:snapToGrid/>
                <w:color w:val="000000"/>
                <w:sz w:val="22"/>
                <w:szCs w:val="22"/>
                <w:lang w:val="en-US"/>
              </w:rPr>
              <w:t>Task Team Disaster Management and Preparedness</w:t>
            </w:r>
          </w:hyperlink>
          <w:hyperlink w:anchor="_2jxsxqh">
            <w:r w:rsidRPr="0084305F">
              <w:rPr>
                <w:rFonts w:ascii="Aptos" w:eastAsia="Aptos" w:hAnsi="Aptos" w:cs="Aptos"/>
                <w:snapToGrid/>
                <w:color w:val="000000"/>
                <w:sz w:val="22"/>
                <w:szCs w:val="22"/>
                <w:lang w:val="en-US"/>
              </w:rPr>
              <w:tab/>
              <w:t>17</w:t>
            </w:r>
          </w:hyperlink>
        </w:p>
        <w:p w14:paraId="166FC0E4"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z337ya">
            <w:r w:rsidRPr="0084305F">
              <w:rPr>
                <w:rFonts w:ascii="Arial" w:eastAsia="Arial" w:hAnsi="Arial" w:cs="Arial"/>
                <w:snapToGrid/>
                <w:color w:val="000000"/>
                <w:sz w:val="22"/>
                <w:szCs w:val="22"/>
                <w:lang w:val="en-US"/>
              </w:rPr>
              <w:t>Members and Observers of TOWS Task Team on Disaster Management</w:t>
            </w:r>
          </w:hyperlink>
          <w:hyperlink w:anchor="_z337ya">
            <w:r w:rsidRPr="0084305F">
              <w:rPr>
                <w:rFonts w:ascii="Aptos" w:eastAsia="Aptos" w:hAnsi="Aptos" w:cs="Aptos"/>
                <w:snapToGrid/>
                <w:color w:val="000000"/>
                <w:sz w:val="22"/>
                <w:szCs w:val="22"/>
                <w:lang w:val="en-US"/>
              </w:rPr>
              <w:tab/>
              <w:t>19</w:t>
            </w:r>
          </w:hyperlink>
        </w:p>
        <w:p w14:paraId="5847AF16" w14:textId="77777777" w:rsidR="0084305F" w:rsidRPr="0084305F" w:rsidRDefault="0084305F" w:rsidP="0084305F">
          <w:pPr>
            <w:pBdr>
              <w:top w:val="nil"/>
              <w:left w:val="nil"/>
              <w:bottom w:val="nil"/>
              <w:right w:val="nil"/>
              <w:between w:val="nil"/>
            </w:pBdr>
            <w:tabs>
              <w:tab w:val="clear" w:pos="709"/>
              <w:tab w:val="right" w:leader="dot" w:pos="9740"/>
            </w:tabs>
            <w:snapToGrid/>
            <w:spacing w:after="100" w:line="259" w:lineRule="auto"/>
            <w:rPr>
              <w:rFonts w:ascii="Aptos" w:eastAsia="Aptos" w:hAnsi="Aptos" w:cs="Aptos"/>
              <w:snapToGrid/>
              <w:color w:val="000000"/>
              <w:lang w:val="en-US"/>
            </w:rPr>
          </w:pPr>
          <w:hyperlink w:anchor="_3j2qqm3">
            <w:r w:rsidRPr="0084305F">
              <w:rPr>
                <w:rFonts w:ascii="Arial" w:eastAsia="Arial" w:hAnsi="Arial" w:cs="Arial"/>
                <w:snapToGrid/>
                <w:color w:val="000000"/>
                <w:sz w:val="22"/>
                <w:szCs w:val="22"/>
                <w:lang w:val="en-US"/>
              </w:rPr>
              <w:t>Members and Observers of TOWS Task Team on Tsunami Watch Operations</w:t>
            </w:r>
          </w:hyperlink>
          <w:hyperlink w:anchor="_3j2qqm3">
            <w:r w:rsidRPr="0084305F">
              <w:rPr>
                <w:rFonts w:ascii="Aptos" w:eastAsia="Aptos" w:hAnsi="Aptos" w:cs="Aptos"/>
                <w:snapToGrid/>
                <w:color w:val="000000"/>
                <w:sz w:val="22"/>
                <w:szCs w:val="22"/>
                <w:lang w:val="en-US"/>
              </w:rPr>
              <w:tab/>
              <w:t>20</w:t>
            </w:r>
          </w:hyperlink>
        </w:p>
        <w:p w14:paraId="5114CB0A" w14:textId="77777777" w:rsidR="0084305F" w:rsidRPr="0084305F" w:rsidRDefault="0084305F" w:rsidP="0084305F">
          <w:pPr>
            <w:tabs>
              <w:tab w:val="clear" w:pos="709"/>
            </w:tabs>
            <w:snapToGrid/>
            <w:spacing w:after="160" w:line="259" w:lineRule="auto"/>
            <w:rPr>
              <w:rFonts w:ascii="Aptos" w:eastAsia="Aptos" w:hAnsi="Aptos" w:cs="Aptos"/>
              <w:snapToGrid/>
              <w:sz w:val="22"/>
              <w:szCs w:val="22"/>
              <w:lang w:val="en-US"/>
            </w:rPr>
          </w:pPr>
          <w:r w:rsidRPr="0084305F">
            <w:rPr>
              <w:rFonts w:ascii="Aptos" w:eastAsia="Aptos" w:hAnsi="Aptos" w:cs="Aptos"/>
              <w:snapToGrid/>
              <w:sz w:val="22"/>
              <w:szCs w:val="22"/>
              <w:lang w:val="en-US"/>
            </w:rPr>
            <w:fldChar w:fldCharType="end"/>
          </w:r>
        </w:p>
      </w:sdtContent>
    </w:sdt>
    <w:p w14:paraId="1DD17469" w14:textId="77777777" w:rsidR="0084305F" w:rsidRPr="0084305F" w:rsidRDefault="0084305F" w:rsidP="0084305F">
      <w:pPr>
        <w:keepNext/>
        <w:keepLines/>
        <w:numPr>
          <w:ilvl w:val="0"/>
          <w:numId w:val="153"/>
        </w:numPr>
        <w:tabs>
          <w:tab w:val="clear" w:pos="709"/>
        </w:tabs>
        <w:snapToGrid/>
        <w:spacing w:before="360" w:after="80" w:line="259" w:lineRule="auto"/>
        <w:outlineLvl w:val="0"/>
        <w:rPr>
          <w:rFonts w:ascii="Aptos" w:eastAsia="Aptos" w:hAnsi="Aptos" w:cs="Aptos"/>
          <w:snapToGrid/>
          <w:color w:val="0F4761"/>
          <w:sz w:val="28"/>
          <w:szCs w:val="28"/>
          <w:lang w:val="en-US"/>
        </w:rPr>
      </w:pPr>
      <w:bookmarkStart w:id="227" w:name="_Toc195258129"/>
      <w:r w:rsidRPr="0084305F">
        <w:rPr>
          <w:rFonts w:ascii="Aptos" w:eastAsia="Aptos" w:hAnsi="Aptos" w:cs="Aptos"/>
          <w:snapToGrid/>
          <w:color w:val="0F4761"/>
          <w:sz w:val="28"/>
          <w:szCs w:val="28"/>
          <w:lang w:val="en-US"/>
        </w:rPr>
        <w:lastRenderedPageBreak/>
        <w:t>Welcome &amp; Introduction</w:t>
      </w:r>
      <w:bookmarkEnd w:id="227"/>
    </w:p>
    <w:p w14:paraId="076B9D11"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p>
    <w:p w14:paraId="46753C23" w14:textId="77777777" w:rsidR="0084305F" w:rsidRPr="0084305F" w:rsidRDefault="0084305F" w:rsidP="0084305F">
      <w:pPr>
        <w:tabs>
          <w:tab w:val="clear" w:pos="709"/>
        </w:tabs>
        <w:snapToGrid/>
        <w:spacing w:after="160" w:line="259" w:lineRule="auto"/>
        <w:jc w:val="both"/>
        <w:rPr>
          <w:rFonts w:ascii="Aptos" w:eastAsia="Aptos" w:hAnsi="Aptos" w:cs="Aptos"/>
          <w:snapToGrid/>
          <w:sz w:val="22"/>
          <w:szCs w:val="22"/>
          <w:lang w:val="en-US"/>
        </w:rPr>
      </w:pPr>
      <w:r w:rsidRPr="0084305F">
        <w:rPr>
          <w:rFonts w:ascii="Aptos" w:eastAsia="Aptos" w:hAnsi="Aptos" w:cs="Aptos"/>
          <w:snapToGrid/>
          <w:sz w:val="20"/>
          <w:szCs w:val="20"/>
          <w:lang w:val="en-US"/>
        </w:rPr>
        <w:t xml:space="preserve">The session was jointly opened by Mr Yuji Nishimae (Chair, Task Team on Tsunami Watch Operations – TT TWO) and Dr Harkunti Rahayu (Chair, Task Team on Disaster Management and Preparedness – TT DMP). </w:t>
      </w:r>
    </w:p>
    <w:p w14:paraId="1A90F5F1"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ptos" w:eastAsia="Aptos" w:hAnsi="Aptos" w:cs="Aptos"/>
          <w:snapToGrid/>
          <w:color w:val="0F4761"/>
          <w:sz w:val="28"/>
          <w:szCs w:val="28"/>
          <w:lang w:val="en-US"/>
        </w:rPr>
      </w:pPr>
      <w:bookmarkStart w:id="228" w:name="_30j0zll" w:colFirst="0" w:colLast="0"/>
      <w:bookmarkStart w:id="229" w:name="_Toc195258130"/>
      <w:bookmarkEnd w:id="228"/>
      <w:r w:rsidRPr="0084305F">
        <w:rPr>
          <w:rFonts w:ascii="Aptos" w:eastAsia="Aptos" w:hAnsi="Aptos" w:cs="Aptos"/>
          <w:snapToGrid/>
          <w:color w:val="0F4761"/>
          <w:sz w:val="28"/>
          <w:szCs w:val="28"/>
          <w:lang w:val="en-US"/>
        </w:rPr>
        <w:t>2.0 Session Organisation</w:t>
      </w:r>
      <w:bookmarkEnd w:id="229"/>
    </w:p>
    <w:p w14:paraId="4637CF41" w14:textId="77777777" w:rsidR="0084305F" w:rsidRPr="0084305F" w:rsidRDefault="0084305F" w:rsidP="0084305F">
      <w:pPr>
        <w:tabs>
          <w:tab w:val="clear" w:pos="709"/>
        </w:tabs>
        <w:snapToGrid/>
        <w:spacing w:after="160" w:line="259" w:lineRule="auto"/>
        <w:jc w:val="both"/>
        <w:rPr>
          <w:rFonts w:ascii="Aptos" w:eastAsia="Aptos" w:hAnsi="Aptos" w:cs="Aptos"/>
          <w:snapToGrid/>
          <w:sz w:val="22"/>
          <w:szCs w:val="22"/>
          <w:lang w:val="en-US"/>
        </w:rPr>
      </w:pPr>
    </w:p>
    <w:p w14:paraId="6616CCFF"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The chairs </w:t>
      </w:r>
      <w:proofErr w:type="gramStart"/>
      <w:r w:rsidRPr="0084305F">
        <w:rPr>
          <w:rFonts w:ascii="Aptos" w:eastAsia="Aptos" w:hAnsi="Aptos" w:cs="Aptos"/>
          <w:snapToGrid/>
          <w:sz w:val="20"/>
          <w:szCs w:val="20"/>
          <w:lang w:val="en-US"/>
        </w:rPr>
        <w:t>noted</w:t>
      </w:r>
      <w:proofErr w:type="gramEnd"/>
      <w:r w:rsidRPr="0084305F">
        <w:rPr>
          <w:rFonts w:ascii="Aptos" w:eastAsia="Aptos" w:hAnsi="Aptos" w:cs="Aptos"/>
          <w:snapToGrid/>
          <w:sz w:val="20"/>
          <w:szCs w:val="20"/>
          <w:lang w:val="en-US"/>
        </w:rPr>
        <w:t xml:space="preserve"> the first day is a joint meeting between TT DMP and TT TWO and they would co-chair the sessions. On the second day the two task teams were to meet separately. Participants were informed that the meeting planned </w:t>
      </w:r>
      <w:proofErr w:type="gramStart"/>
      <w:r w:rsidRPr="0084305F">
        <w:rPr>
          <w:rFonts w:ascii="Aptos" w:eastAsia="Aptos" w:hAnsi="Aptos" w:cs="Aptos"/>
          <w:snapToGrid/>
          <w:sz w:val="20"/>
          <w:szCs w:val="20"/>
          <w:lang w:val="en-US"/>
        </w:rPr>
        <w:t>on</w:t>
      </w:r>
      <w:proofErr w:type="gramEnd"/>
      <w:r w:rsidRPr="0084305F">
        <w:rPr>
          <w:rFonts w:ascii="Aptos" w:eastAsia="Aptos" w:hAnsi="Aptos" w:cs="Aptos"/>
          <w:snapToGrid/>
          <w:sz w:val="20"/>
          <w:szCs w:val="20"/>
          <w:lang w:val="en-US"/>
        </w:rPr>
        <w:t xml:space="preserve"> Saturday 22</w:t>
      </w:r>
      <w:r w:rsidRPr="0084305F">
        <w:rPr>
          <w:rFonts w:ascii="Aptos" w:eastAsia="Aptos" w:hAnsi="Aptos" w:cs="Aptos"/>
          <w:snapToGrid/>
          <w:sz w:val="20"/>
          <w:szCs w:val="20"/>
          <w:vertAlign w:val="superscript"/>
          <w:lang w:val="en-US"/>
        </w:rPr>
        <w:t>nd</w:t>
      </w:r>
      <w:r w:rsidRPr="0084305F">
        <w:rPr>
          <w:rFonts w:ascii="Aptos" w:eastAsia="Aptos" w:hAnsi="Aptos" w:cs="Aptos"/>
          <w:snapToGrid/>
          <w:sz w:val="20"/>
          <w:szCs w:val="20"/>
          <w:lang w:val="en-US"/>
        </w:rPr>
        <w:t xml:space="preserve"> morning will be conducted online because of access to meeting </w:t>
      </w:r>
      <w:proofErr w:type="gramStart"/>
      <w:r w:rsidRPr="0084305F">
        <w:rPr>
          <w:rFonts w:ascii="Aptos" w:eastAsia="Aptos" w:hAnsi="Aptos" w:cs="Aptos"/>
          <w:snapToGrid/>
          <w:sz w:val="20"/>
          <w:szCs w:val="20"/>
          <w:lang w:val="en-US"/>
        </w:rPr>
        <w:t>room  issues</w:t>
      </w:r>
      <w:proofErr w:type="gramEnd"/>
      <w:r w:rsidRPr="0084305F">
        <w:rPr>
          <w:rFonts w:ascii="Aptos" w:eastAsia="Aptos" w:hAnsi="Aptos" w:cs="Aptos"/>
          <w:snapToGrid/>
          <w:sz w:val="20"/>
          <w:szCs w:val="20"/>
          <w:lang w:val="en-US"/>
        </w:rPr>
        <w:t>. The logistics for the meetings were explained, including how to join online, and information was provided on the local arrangements. The provisional agenda was tabled and approved.</w:t>
      </w:r>
    </w:p>
    <w:p w14:paraId="13C3516B"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ptos" w:eastAsia="Aptos" w:hAnsi="Aptos" w:cs="Aptos"/>
          <w:snapToGrid/>
          <w:color w:val="0F4761"/>
          <w:sz w:val="28"/>
          <w:szCs w:val="28"/>
          <w:lang w:val="en-US"/>
        </w:rPr>
      </w:pPr>
      <w:bookmarkStart w:id="230" w:name="_1fob9te" w:colFirst="0" w:colLast="0"/>
      <w:bookmarkStart w:id="231" w:name="_Toc195258131"/>
      <w:bookmarkEnd w:id="230"/>
      <w:r w:rsidRPr="0084305F">
        <w:rPr>
          <w:rFonts w:ascii="Aptos" w:eastAsia="Aptos" w:hAnsi="Aptos" w:cs="Aptos"/>
          <w:snapToGrid/>
          <w:color w:val="0F4761"/>
          <w:sz w:val="28"/>
          <w:szCs w:val="28"/>
          <w:lang w:val="en-US"/>
        </w:rPr>
        <w:t>3.0 Wave Exercises and Significant Tsunami Events in each ICG</w:t>
      </w:r>
      <w:bookmarkEnd w:id="231"/>
    </w:p>
    <w:p w14:paraId="4717363C" w14:textId="77777777" w:rsidR="0084305F" w:rsidRPr="0084305F" w:rsidRDefault="0084305F" w:rsidP="0084305F">
      <w:pPr>
        <w:tabs>
          <w:tab w:val="clear" w:pos="709"/>
        </w:tabs>
        <w:snapToGrid/>
        <w:rPr>
          <w:rFonts w:ascii="Aptos" w:eastAsia="Aptos" w:hAnsi="Aptos" w:cs="Aptos"/>
          <w:b/>
          <w:snapToGrid/>
          <w:color w:val="000000"/>
          <w:sz w:val="20"/>
          <w:szCs w:val="20"/>
          <w:lang w:val="en-US"/>
        </w:rPr>
      </w:pPr>
    </w:p>
    <w:p w14:paraId="608876C2" w14:textId="77777777" w:rsidR="0084305F" w:rsidRPr="0084305F" w:rsidRDefault="0084305F" w:rsidP="0084305F">
      <w:pPr>
        <w:tabs>
          <w:tab w:val="clear" w:pos="709"/>
        </w:tabs>
        <w:snapToGrid/>
        <w:rPr>
          <w:rFonts w:ascii="Aptos" w:eastAsia="Aptos" w:hAnsi="Aptos" w:cs="Aptos"/>
          <w:b/>
          <w:i/>
          <w:snapToGrid/>
          <w:sz w:val="22"/>
          <w:szCs w:val="22"/>
          <w:lang w:val="en-US"/>
        </w:rPr>
      </w:pPr>
      <w:r w:rsidRPr="0084305F">
        <w:rPr>
          <w:rFonts w:ascii="Aptos" w:eastAsia="Aptos" w:hAnsi="Aptos" w:cs="Aptos"/>
          <w:b/>
          <w:i/>
          <w:snapToGrid/>
          <w:sz w:val="22"/>
          <w:szCs w:val="22"/>
          <w:lang w:val="en-US"/>
        </w:rPr>
        <w:t>Wave Exercises</w:t>
      </w:r>
    </w:p>
    <w:p w14:paraId="6E40DDF2" w14:textId="77777777" w:rsidR="0084305F" w:rsidRPr="0084305F" w:rsidRDefault="0084305F" w:rsidP="0084305F">
      <w:pPr>
        <w:tabs>
          <w:tab w:val="clear" w:pos="709"/>
        </w:tabs>
        <w:snapToGrid/>
        <w:jc w:val="both"/>
        <w:rPr>
          <w:rFonts w:ascii="Aptos" w:eastAsia="Aptos" w:hAnsi="Aptos" w:cs="Aptos"/>
          <w:b/>
          <w:snapToGrid/>
          <w:sz w:val="20"/>
          <w:szCs w:val="20"/>
          <w:lang w:val="en-US"/>
        </w:rPr>
      </w:pPr>
    </w:p>
    <w:p w14:paraId="498F7537" w14:textId="77777777" w:rsidR="0084305F" w:rsidRPr="0084305F" w:rsidRDefault="0084305F" w:rsidP="0084305F">
      <w:pPr>
        <w:tabs>
          <w:tab w:val="clear" w:pos="709"/>
        </w:tabs>
        <w:snapToGrid/>
        <w:jc w:val="both"/>
        <w:rPr>
          <w:rFonts w:ascii="Aptos" w:eastAsia="Aptos" w:hAnsi="Aptos" w:cs="Aptos"/>
          <w:b/>
          <w:snapToGrid/>
          <w:sz w:val="20"/>
          <w:szCs w:val="20"/>
          <w:lang w:val="en-US"/>
        </w:rPr>
      </w:pPr>
    </w:p>
    <w:p w14:paraId="1F9092D4" w14:textId="77777777" w:rsidR="0084305F" w:rsidRPr="0084305F" w:rsidRDefault="0084305F" w:rsidP="0084305F">
      <w:pPr>
        <w:tabs>
          <w:tab w:val="clear" w:pos="709"/>
        </w:tabs>
        <w:snapToGrid/>
        <w:jc w:val="both"/>
        <w:rPr>
          <w:rFonts w:ascii="Aptos" w:eastAsia="Aptos" w:hAnsi="Aptos" w:cs="Aptos"/>
          <w:b/>
          <w:snapToGrid/>
          <w:sz w:val="20"/>
          <w:szCs w:val="20"/>
          <w:lang w:val="en-US"/>
        </w:rPr>
      </w:pPr>
      <w:r w:rsidRPr="0084305F">
        <w:rPr>
          <w:rFonts w:ascii="Aptos" w:eastAsia="Aptos" w:hAnsi="Aptos" w:cs="Aptos"/>
          <w:b/>
          <w:i/>
          <w:snapToGrid/>
          <w:sz w:val="22"/>
          <w:szCs w:val="22"/>
          <w:lang w:val="en-US"/>
        </w:rPr>
        <w:t>PTWS</w:t>
      </w:r>
    </w:p>
    <w:p w14:paraId="085D8C50" w14:textId="77777777" w:rsidR="0084305F" w:rsidRPr="0084305F" w:rsidRDefault="0084305F" w:rsidP="0084305F">
      <w:pPr>
        <w:tabs>
          <w:tab w:val="clear" w:pos="709"/>
        </w:tabs>
        <w:snapToGrid/>
        <w:jc w:val="both"/>
        <w:rPr>
          <w:rFonts w:ascii="Aptos" w:eastAsia="Aptos" w:hAnsi="Aptos" w:cs="Aptos"/>
          <w:b/>
          <w:snapToGrid/>
          <w:sz w:val="20"/>
          <w:szCs w:val="20"/>
          <w:lang w:val="en-US"/>
        </w:rPr>
      </w:pPr>
    </w:p>
    <w:p w14:paraId="07DC7C82"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Laura Kong, on behalf of Ms. Margarita Martinez and Mr. </w:t>
      </w:r>
      <w:proofErr w:type="spellStart"/>
      <w:r w:rsidRPr="0084305F">
        <w:rPr>
          <w:rFonts w:ascii="Aptos" w:eastAsia="Aptos" w:hAnsi="Aptos" w:cs="Aptos"/>
          <w:snapToGrid/>
          <w:sz w:val="20"/>
          <w:szCs w:val="20"/>
          <w:lang w:val="en-US"/>
        </w:rPr>
        <w:t>Laitia</w:t>
      </w:r>
      <w:proofErr w:type="spellEnd"/>
      <w:r w:rsidRPr="0084305F">
        <w:rPr>
          <w:rFonts w:ascii="Aptos" w:eastAsia="Aptos" w:hAnsi="Aptos" w:cs="Aptos"/>
          <w:snapToGrid/>
          <w:sz w:val="20"/>
          <w:szCs w:val="20"/>
          <w:lang w:val="en-US"/>
        </w:rPr>
        <w:t xml:space="preserve"> Fifita, co-Chairs of the PTWS Task Team on </w:t>
      </w:r>
      <w:proofErr w:type="spellStart"/>
      <w:r w:rsidRPr="0084305F">
        <w:rPr>
          <w:rFonts w:ascii="Aptos" w:eastAsia="Aptos" w:hAnsi="Aptos" w:cs="Aptos"/>
          <w:snapToGrid/>
          <w:sz w:val="20"/>
          <w:szCs w:val="20"/>
          <w:lang w:val="en-US"/>
        </w:rPr>
        <w:t>PacWave</w:t>
      </w:r>
      <w:proofErr w:type="spellEnd"/>
      <w:r w:rsidRPr="0084305F">
        <w:rPr>
          <w:rFonts w:ascii="Aptos" w:eastAsia="Aptos" w:hAnsi="Aptos" w:cs="Aptos"/>
          <w:snapToGrid/>
          <w:sz w:val="20"/>
          <w:szCs w:val="20"/>
          <w:lang w:val="en-US"/>
        </w:rPr>
        <w:t xml:space="preserve"> Exercises, reported that the Pacific Wave 24 (PacWave24) exercise involved multiple components, including a live communication test from PTWS Tsunami Service Providers (TSPs) to Member States on 5 November at 0000 UTC, followed by a NAVAREA Coordinators Communication Test an hour later. From September to November 2024, participating countries conducted national and regional exercises, with regional collaboration encouraged through shared scenarios and communication protocols. Key milestones </w:t>
      </w:r>
      <w:proofErr w:type="gramStart"/>
      <w:r w:rsidRPr="0084305F">
        <w:rPr>
          <w:rFonts w:ascii="Aptos" w:eastAsia="Aptos" w:hAnsi="Aptos" w:cs="Aptos"/>
          <w:snapToGrid/>
          <w:sz w:val="20"/>
          <w:szCs w:val="20"/>
          <w:lang w:val="en-US"/>
        </w:rPr>
        <w:t>included  a</w:t>
      </w:r>
      <w:proofErr w:type="gramEnd"/>
      <w:r w:rsidRPr="0084305F">
        <w:rPr>
          <w:rFonts w:ascii="Aptos" w:eastAsia="Aptos" w:hAnsi="Aptos" w:cs="Aptos"/>
          <w:snapToGrid/>
          <w:sz w:val="20"/>
          <w:szCs w:val="20"/>
          <w:lang w:val="en-US"/>
        </w:rPr>
        <w:t xml:space="preserve"> Pacific Island Countries and Territories Regional Exercise on 4 November, and a Southeast Pacific Regional Exercise on 21 November. After the exercise, Member States submitted post-exercise evaluation surveys and regional reports by 15 December 2024, with a draft summary report to be shared before the ICG/PTWS-XXXI meeting in April 2025 and a final version published by 30 June 2025. The exercise aims to strengthen regional cooperation, improve tsunami warning systems, and ensure that both national and regional response plans are effective and up to date. </w:t>
      </w:r>
    </w:p>
    <w:p w14:paraId="30A1377B" w14:textId="77777777" w:rsidR="0084305F" w:rsidRPr="0084305F" w:rsidRDefault="0084305F" w:rsidP="0084305F">
      <w:pPr>
        <w:tabs>
          <w:tab w:val="clear" w:pos="709"/>
        </w:tabs>
        <w:snapToGrid/>
        <w:jc w:val="both"/>
        <w:rPr>
          <w:rFonts w:ascii="Aptos" w:eastAsia="Aptos" w:hAnsi="Aptos" w:cs="Aptos"/>
          <w:snapToGrid/>
          <w:sz w:val="22"/>
          <w:szCs w:val="22"/>
          <w:lang w:val="en-US"/>
        </w:rPr>
      </w:pPr>
    </w:p>
    <w:p w14:paraId="33DA42A0" w14:textId="77777777" w:rsidR="0084305F" w:rsidRPr="0084305F" w:rsidRDefault="0084305F" w:rsidP="0084305F">
      <w:pPr>
        <w:tabs>
          <w:tab w:val="clear" w:pos="709"/>
        </w:tabs>
        <w:snapToGrid/>
        <w:rPr>
          <w:rFonts w:ascii="Aptos" w:eastAsia="Aptos" w:hAnsi="Aptos" w:cs="Aptos"/>
          <w:b/>
          <w:i/>
          <w:snapToGrid/>
          <w:sz w:val="22"/>
          <w:szCs w:val="22"/>
          <w:lang w:val="en-US"/>
        </w:rPr>
      </w:pPr>
      <w:r w:rsidRPr="0084305F">
        <w:rPr>
          <w:rFonts w:ascii="Aptos" w:eastAsia="Aptos" w:hAnsi="Aptos" w:cs="Aptos"/>
          <w:b/>
          <w:i/>
          <w:snapToGrid/>
          <w:sz w:val="22"/>
          <w:szCs w:val="22"/>
          <w:lang w:val="en-US"/>
        </w:rPr>
        <w:t>NEAMTWS</w:t>
      </w:r>
    </w:p>
    <w:p w14:paraId="573ABEE7" w14:textId="77777777" w:rsidR="0084305F" w:rsidRPr="0084305F" w:rsidRDefault="0084305F" w:rsidP="0084305F">
      <w:pPr>
        <w:tabs>
          <w:tab w:val="clear" w:pos="709"/>
        </w:tabs>
        <w:snapToGrid/>
        <w:rPr>
          <w:rFonts w:ascii="Aptos" w:eastAsia="Aptos" w:hAnsi="Aptos" w:cs="Aptos"/>
          <w:b/>
          <w:i/>
          <w:snapToGrid/>
          <w:sz w:val="22"/>
          <w:szCs w:val="22"/>
          <w:lang w:val="en-US"/>
        </w:rPr>
      </w:pPr>
    </w:p>
    <w:p w14:paraId="03BA8867" w14:textId="77777777" w:rsidR="0084305F" w:rsidRPr="0084305F" w:rsidRDefault="0084305F" w:rsidP="0084305F">
      <w:pPr>
        <w:tabs>
          <w:tab w:val="clear" w:pos="709"/>
        </w:tabs>
        <w:snapToGrid/>
        <w:jc w:val="both"/>
        <w:rPr>
          <w:rFonts w:ascii="Arial" w:eastAsia="Arial" w:hAnsi="Arial" w:cs="Arial"/>
          <w:snapToGrid/>
          <w:sz w:val="20"/>
          <w:szCs w:val="20"/>
          <w:lang w:val="en-US"/>
        </w:rPr>
      </w:pPr>
      <w:r w:rsidRPr="0084305F">
        <w:rPr>
          <w:rFonts w:ascii="Arial" w:eastAsia="Arial" w:hAnsi="Arial" w:cs="Arial"/>
          <w:snapToGrid/>
          <w:sz w:val="20"/>
          <w:szCs w:val="20"/>
          <w:lang w:val="en-US"/>
        </w:rPr>
        <w:t xml:space="preserve">Dr. Marinos Charalampakis reported on NEAMWave23, conducted on 6–7 November 2023. A key new objective was the participation of </w:t>
      </w:r>
      <w:proofErr w:type="spellStart"/>
      <w:r w:rsidRPr="0084305F">
        <w:rPr>
          <w:rFonts w:ascii="Arial" w:eastAsia="Arial" w:hAnsi="Arial" w:cs="Arial"/>
          <w:snapToGrid/>
          <w:sz w:val="20"/>
          <w:szCs w:val="20"/>
          <w:lang w:val="en-US"/>
        </w:rPr>
        <w:t>CoastWave</w:t>
      </w:r>
      <w:proofErr w:type="spellEnd"/>
      <w:r w:rsidRPr="0084305F">
        <w:rPr>
          <w:rFonts w:ascii="Arial" w:eastAsia="Arial" w:hAnsi="Arial" w:cs="Arial"/>
          <w:snapToGrid/>
          <w:sz w:val="20"/>
          <w:szCs w:val="20"/>
          <w:lang w:val="en-US"/>
        </w:rPr>
        <w:t xml:space="preserve"> project countries in the NEAM exercise. For the first time, NEAMWave23 included communities actively working towards becoming "Tsunami Ready." The exercise coincided with World Tsunami Awareness Day, celebrated annually on 5 November. The exercise featured two joint scenarios—one in the North-Eastern Atlantic and the other in the Mediterranean. A total of 15 out of 40 NEAMTWS Member States participated, engaging in various drills.</w:t>
      </w:r>
    </w:p>
    <w:p w14:paraId="260F7AC9" w14:textId="77777777" w:rsidR="0084305F" w:rsidRPr="0084305F" w:rsidRDefault="0084305F" w:rsidP="0084305F">
      <w:pPr>
        <w:tabs>
          <w:tab w:val="clear" w:pos="709"/>
        </w:tabs>
        <w:snapToGrid/>
        <w:jc w:val="both"/>
        <w:rPr>
          <w:rFonts w:ascii="Arial" w:eastAsia="Arial" w:hAnsi="Arial" w:cs="Arial"/>
          <w:snapToGrid/>
          <w:sz w:val="20"/>
          <w:szCs w:val="20"/>
          <w:lang w:val="en-US"/>
        </w:rPr>
      </w:pPr>
    </w:p>
    <w:p w14:paraId="3AE640AB" w14:textId="77777777" w:rsidR="0084305F" w:rsidRPr="0084305F" w:rsidRDefault="0084305F" w:rsidP="0084305F">
      <w:pPr>
        <w:tabs>
          <w:tab w:val="clear" w:pos="709"/>
        </w:tabs>
        <w:snapToGrid/>
        <w:jc w:val="both"/>
        <w:rPr>
          <w:rFonts w:ascii="Arial" w:eastAsia="Arial" w:hAnsi="Arial" w:cs="Arial"/>
          <w:snapToGrid/>
          <w:sz w:val="20"/>
          <w:szCs w:val="20"/>
          <w:lang w:val="en-US"/>
        </w:rPr>
      </w:pPr>
      <w:r w:rsidRPr="0084305F">
        <w:rPr>
          <w:rFonts w:ascii="Arial" w:eastAsia="Arial" w:hAnsi="Arial" w:cs="Arial"/>
          <w:snapToGrid/>
          <w:sz w:val="20"/>
          <w:szCs w:val="20"/>
          <w:lang w:val="en-US"/>
        </w:rPr>
        <w:t>Key best practices from NEAMWave23 included:</w:t>
      </w:r>
    </w:p>
    <w:p w14:paraId="2E4BBD2F" w14:textId="77777777" w:rsidR="0084305F" w:rsidRPr="0084305F" w:rsidRDefault="0084305F" w:rsidP="0084305F">
      <w:pPr>
        <w:tabs>
          <w:tab w:val="clear" w:pos="709"/>
        </w:tabs>
        <w:snapToGrid/>
        <w:jc w:val="both"/>
        <w:rPr>
          <w:rFonts w:ascii="Arial" w:eastAsia="Arial" w:hAnsi="Arial" w:cs="Arial"/>
          <w:snapToGrid/>
          <w:sz w:val="20"/>
          <w:szCs w:val="20"/>
          <w:lang w:val="en-US"/>
        </w:rPr>
      </w:pPr>
    </w:p>
    <w:p w14:paraId="2AA57E7B" w14:textId="77777777" w:rsidR="0084305F" w:rsidRPr="0084305F" w:rsidRDefault="0084305F" w:rsidP="0084305F">
      <w:pPr>
        <w:numPr>
          <w:ilvl w:val="0"/>
          <w:numId w:val="156"/>
        </w:numPr>
        <w:tabs>
          <w:tab w:val="clear" w:pos="709"/>
        </w:tabs>
        <w:snapToGrid/>
        <w:spacing w:after="160" w:line="259" w:lineRule="auto"/>
        <w:jc w:val="both"/>
        <w:rPr>
          <w:rFonts w:ascii="Arial" w:eastAsia="Arial" w:hAnsi="Arial" w:cs="Arial"/>
          <w:snapToGrid/>
          <w:sz w:val="20"/>
          <w:szCs w:val="20"/>
          <w:lang w:val="en-US"/>
        </w:rPr>
      </w:pPr>
      <w:r w:rsidRPr="0084305F">
        <w:rPr>
          <w:rFonts w:ascii="Arial" w:eastAsia="Arial" w:hAnsi="Arial" w:cs="Arial"/>
          <w:snapToGrid/>
          <w:sz w:val="20"/>
          <w:szCs w:val="20"/>
          <w:lang w:val="en-US"/>
        </w:rPr>
        <w:t>Utilizing online tools for registration and evaluation.</w:t>
      </w:r>
    </w:p>
    <w:p w14:paraId="29F1F653" w14:textId="77777777" w:rsidR="0084305F" w:rsidRPr="0084305F" w:rsidRDefault="0084305F" w:rsidP="0084305F">
      <w:pPr>
        <w:numPr>
          <w:ilvl w:val="0"/>
          <w:numId w:val="156"/>
        </w:numPr>
        <w:tabs>
          <w:tab w:val="clear" w:pos="709"/>
        </w:tabs>
        <w:snapToGrid/>
        <w:spacing w:after="160" w:line="259" w:lineRule="auto"/>
        <w:jc w:val="both"/>
        <w:rPr>
          <w:rFonts w:ascii="Arial" w:eastAsia="Arial" w:hAnsi="Arial" w:cs="Arial"/>
          <w:snapToGrid/>
          <w:sz w:val="20"/>
          <w:szCs w:val="20"/>
          <w:lang w:val="en-US"/>
        </w:rPr>
      </w:pPr>
      <w:r w:rsidRPr="0084305F">
        <w:rPr>
          <w:rFonts w:ascii="Arial" w:eastAsia="Arial" w:hAnsi="Arial" w:cs="Arial"/>
          <w:snapToGrid/>
          <w:sz w:val="20"/>
          <w:szCs w:val="20"/>
          <w:lang w:val="en-US"/>
        </w:rPr>
        <w:t>Making only essential updates to the exercise manual (e.g., scenarios and specific objectives) to maintain general knowledge of the exercise.</w:t>
      </w:r>
    </w:p>
    <w:p w14:paraId="42838620" w14:textId="77777777" w:rsidR="0084305F" w:rsidRPr="0084305F" w:rsidRDefault="0084305F" w:rsidP="0084305F">
      <w:pPr>
        <w:numPr>
          <w:ilvl w:val="0"/>
          <w:numId w:val="156"/>
        </w:numPr>
        <w:tabs>
          <w:tab w:val="clear" w:pos="709"/>
        </w:tabs>
        <w:snapToGrid/>
        <w:spacing w:after="160" w:line="259" w:lineRule="auto"/>
        <w:jc w:val="both"/>
        <w:rPr>
          <w:rFonts w:ascii="Arial" w:eastAsia="Arial" w:hAnsi="Arial" w:cs="Arial"/>
          <w:snapToGrid/>
          <w:sz w:val="20"/>
          <w:szCs w:val="20"/>
          <w:lang w:val="en-US"/>
        </w:rPr>
      </w:pPr>
      <w:r w:rsidRPr="0084305F">
        <w:rPr>
          <w:rFonts w:ascii="Arial" w:eastAsia="Arial" w:hAnsi="Arial" w:cs="Arial"/>
          <w:snapToGrid/>
          <w:sz w:val="20"/>
          <w:szCs w:val="20"/>
          <w:lang w:val="en-US"/>
        </w:rPr>
        <w:t>Using joint scenarios to strengthen cooperation among Tsunami Service Providers (TSPs).</w:t>
      </w:r>
    </w:p>
    <w:p w14:paraId="4ABD4766" w14:textId="77777777" w:rsidR="0084305F" w:rsidRPr="0084305F" w:rsidRDefault="0084305F" w:rsidP="0084305F">
      <w:pPr>
        <w:tabs>
          <w:tab w:val="clear" w:pos="709"/>
        </w:tabs>
        <w:snapToGrid/>
        <w:ind w:left="720"/>
        <w:jc w:val="both"/>
        <w:rPr>
          <w:rFonts w:ascii="Arial" w:eastAsia="Arial" w:hAnsi="Arial" w:cs="Arial"/>
          <w:snapToGrid/>
          <w:sz w:val="20"/>
          <w:szCs w:val="20"/>
          <w:lang w:val="en-US"/>
        </w:rPr>
      </w:pPr>
    </w:p>
    <w:p w14:paraId="5A6902B9" w14:textId="77777777" w:rsidR="0084305F" w:rsidRPr="0084305F" w:rsidRDefault="0084305F" w:rsidP="0084305F">
      <w:pPr>
        <w:tabs>
          <w:tab w:val="clear" w:pos="709"/>
        </w:tabs>
        <w:snapToGrid/>
        <w:jc w:val="both"/>
        <w:rPr>
          <w:rFonts w:ascii="Arial" w:eastAsia="Arial" w:hAnsi="Arial" w:cs="Arial"/>
          <w:snapToGrid/>
          <w:sz w:val="20"/>
          <w:szCs w:val="20"/>
          <w:lang w:val="en-US"/>
        </w:rPr>
      </w:pPr>
      <w:r w:rsidRPr="0084305F">
        <w:rPr>
          <w:rFonts w:ascii="Arial" w:eastAsia="Arial" w:hAnsi="Arial" w:cs="Arial"/>
          <w:snapToGrid/>
          <w:sz w:val="20"/>
          <w:szCs w:val="20"/>
          <w:lang w:val="en-US"/>
        </w:rPr>
        <w:lastRenderedPageBreak/>
        <w:t xml:space="preserve">Notable observations indicate that Civil Protection </w:t>
      </w:r>
      <w:proofErr w:type="gramStart"/>
      <w:r w:rsidRPr="0084305F">
        <w:rPr>
          <w:rFonts w:ascii="Arial" w:eastAsia="Arial" w:hAnsi="Arial" w:cs="Arial"/>
          <w:snapToGrid/>
          <w:sz w:val="20"/>
          <w:szCs w:val="20"/>
          <w:lang w:val="en-US"/>
        </w:rPr>
        <w:t>Agencies  are</w:t>
      </w:r>
      <w:proofErr w:type="gramEnd"/>
      <w:r w:rsidRPr="0084305F">
        <w:rPr>
          <w:rFonts w:ascii="Arial" w:eastAsia="Arial" w:hAnsi="Arial" w:cs="Arial"/>
          <w:snapToGrid/>
          <w:sz w:val="20"/>
          <w:szCs w:val="20"/>
          <w:lang w:val="en-US"/>
        </w:rPr>
        <w:t xml:space="preserve"> "indirectly" increasing their </w:t>
      </w:r>
      <w:proofErr w:type="gramStart"/>
      <w:r w:rsidRPr="0084305F">
        <w:rPr>
          <w:rFonts w:ascii="Arial" w:eastAsia="Arial" w:hAnsi="Arial" w:cs="Arial"/>
          <w:snapToGrid/>
          <w:sz w:val="20"/>
          <w:szCs w:val="20"/>
          <w:lang w:val="en-US"/>
        </w:rPr>
        <w:t>participation  through</w:t>
      </w:r>
      <w:proofErr w:type="gramEnd"/>
      <w:r w:rsidRPr="0084305F">
        <w:rPr>
          <w:rFonts w:ascii="Arial" w:eastAsia="Arial" w:hAnsi="Arial" w:cs="Arial"/>
          <w:snapToGrid/>
          <w:sz w:val="20"/>
          <w:szCs w:val="20"/>
          <w:lang w:val="en-US"/>
        </w:rPr>
        <w:t xml:space="preserve"> the synergy of the </w:t>
      </w:r>
      <w:proofErr w:type="spellStart"/>
      <w:r w:rsidRPr="0084305F">
        <w:rPr>
          <w:rFonts w:ascii="Arial" w:eastAsia="Arial" w:hAnsi="Arial" w:cs="Arial"/>
          <w:snapToGrid/>
          <w:sz w:val="20"/>
          <w:szCs w:val="20"/>
          <w:lang w:val="en-US"/>
        </w:rPr>
        <w:t>CoastWave</w:t>
      </w:r>
      <w:proofErr w:type="spellEnd"/>
      <w:r w:rsidRPr="0084305F">
        <w:rPr>
          <w:rFonts w:ascii="Arial" w:eastAsia="Arial" w:hAnsi="Arial" w:cs="Arial"/>
          <w:snapToGrid/>
          <w:sz w:val="20"/>
          <w:szCs w:val="20"/>
          <w:lang w:val="en-US"/>
        </w:rPr>
        <w:t xml:space="preserve"> project. However, evaluation feedback highlighted certain challenges, such as a lack of interaction between providers and recipients, leading to incomplete reporting. Additionally, there were suggestions to simplify the Final Evaluation Report to enhance readability and ease of preparation.</w:t>
      </w:r>
    </w:p>
    <w:p w14:paraId="099A57EA" w14:textId="77777777" w:rsidR="0084305F" w:rsidRPr="0084305F" w:rsidRDefault="0084305F" w:rsidP="0084305F">
      <w:pPr>
        <w:tabs>
          <w:tab w:val="clear" w:pos="709"/>
        </w:tabs>
        <w:snapToGrid/>
        <w:jc w:val="both"/>
        <w:rPr>
          <w:rFonts w:ascii="Arial" w:eastAsia="Arial" w:hAnsi="Arial" w:cs="Arial"/>
          <w:snapToGrid/>
          <w:sz w:val="20"/>
          <w:szCs w:val="20"/>
          <w:lang w:val="en-US"/>
        </w:rPr>
      </w:pPr>
    </w:p>
    <w:p w14:paraId="012B6448" w14:textId="77777777" w:rsidR="0084305F" w:rsidRPr="0084305F" w:rsidRDefault="0084305F" w:rsidP="0084305F">
      <w:pPr>
        <w:tabs>
          <w:tab w:val="clear" w:pos="709"/>
        </w:tabs>
        <w:snapToGrid/>
        <w:jc w:val="both"/>
        <w:rPr>
          <w:rFonts w:ascii="Arial" w:eastAsia="Arial" w:hAnsi="Arial" w:cs="Arial"/>
          <w:snapToGrid/>
          <w:sz w:val="20"/>
          <w:szCs w:val="20"/>
          <w:lang w:val="en-US"/>
        </w:rPr>
      </w:pPr>
      <w:r w:rsidRPr="0084305F">
        <w:rPr>
          <w:rFonts w:ascii="Arial" w:eastAsia="Arial" w:hAnsi="Arial" w:cs="Arial"/>
          <w:snapToGrid/>
          <w:sz w:val="20"/>
          <w:szCs w:val="20"/>
          <w:lang w:val="en-US"/>
        </w:rPr>
        <w:t xml:space="preserve">The evaluation recommends incorporating more scenarios in future </w:t>
      </w:r>
      <w:proofErr w:type="spellStart"/>
      <w:r w:rsidRPr="0084305F">
        <w:rPr>
          <w:rFonts w:ascii="Arial" w:eastAsia="Arial" w:hAnsi="Arial" w:cs="Arial"/>
          <w:snapToGrid/>
          <w:sz w:val="20"/>
          <w:szCs w:val="20"/>
          <w:lang w:val="en-US"/>
        </w:rPr>
        <w:t>NEAMWave</w:t>
      </w:r>
      <w:proofErr w:type="spellEnd"/>
      <w:r w:rsidRPr="0084305F">
        <w:rPr>
          <w:rFonts w:ascii="Arial" w:eastAsia="Arial" w:hAnsi="Arial" w:cs="Arial"/>
          <w:snapToGrid/>
          <w:sz w:val="20"/>
          <w:szCs w:val="20"/>
          <w:lang w:val="en-US"/>
        </w:rPr>
        <w:t xml:space="preserve"> exercise. As per ICG-NEAMTWS XIX, NEAMWave26 is scheduled for March 2026, aligning with final Tsunami Ready exercise activities under </w:t>
      </w:r>
      <w:proofErr w:type="gramStart"/>
      <w:r w:rsidRPr="0084305F">
        <w:rPr>
          <w:rFonts w:ascii="Arial" w:eastAsia="Arial" w:hAnsi="Arial" w:cs="Arial"/>
          <w:snapToGrid/>
          <w:sz w:val="20"/>
          <w:szCs w:val="20"/>
          <w:lang w:val="en-US"/>
        </w:rPr>
        <w:t xml:space="preserve">the </w:t>
      </w:r>
      <w:proofErr w:type="spellStart"/>
      <w:r w:rsidRPr="0084305F">
        <w:rPr>
          <w:rFonts w:ascii="Arial" w:eastAsia="Arial" w:hAnsi="Arial" w:cs="Arial"/>
          <w:snapToGrid/>
          <w:sz w:val="20"/>
          <w:szCs w:val="20"/>
          <w:lang w:val="en-US"/>
        </w:rPr>
        <w:t>CoastWave</w:t>
      </w:r>
      <w:proofErr w:type="spellEnd"/>
      <w:proofErr w:type="gramEnd"/>
      <w:r w:rsidRPr="0084305F">
        <w:rPr>
          <w:rFonts w:ascii="Arial" w:eastAsia="Arial" w:hAnsi="Arial" w:cs="Arial"/>
          <w:snapToGrid/>
          <w:sz w:val="20"/>
          <w:szCs w:val="20"/>
          <w:lang w:val="en-US"/>
        </w:rPr>
        <w:t xml:space="preserve"> Project 2.0. It is proposed to adopt a more flexible schedule, such as running one scenario per week. Additionally, there is a proposal to rename the "Team on Tsunami Exercise" to the "Task Team on </w:t>
      </w:r>
      <w:proofErr w:type="spellStart"/>
      <w:r w:rsidRPr="0084305F">
        <w:rPr>
          <w:rFonts w:ascii="Arial" w:eastAsia="Arial" w:hAnsi="Arial" w:cs="Arial"/>
          <w:snapToGrid/>
          <w:sz w:val="20"/>
          <w:szCs w:val="20"/>
          <w:lang w:val="en-US"/>
        </w:rPr>
        <w:t>NEAMWave</w:t>
      </w:r>
      <w:proofErr w:type="spellEnd"/>
      <w:r w:rsidRPr="0084305F">
        <w:rPr>
          <w:rFonts w:ascii="Arial" w:eastAsia="Arial" w:hAnsi="Arial" w:cs="Arial"/>
          <w:snapToGrid/>
          <w:sz w:val="20"/>
          <w:szCs w:val="20"/>
          <w:lang w:val="en-US"/>
        </w:rPr>
        <w:t xml:space="preserve"> Exercise" (TT-</w:t>
      </w:r>
      <w:proofErr w:type="spellStart"/>
      <w:r w:rsidRPr="0084305F">
        <w:rPr>
          <w:rFonts w:ascii="Arial" w:eastAsia="Arial" w:hAnsi="Arial" w:cs="Arial"/>
          <w:snapToGrid/>
          <w:sz w:val="20"/>
          <w:szCs w:val="20"/>
          <w:lang w:val="en-US"/>
        </w:rPr>
        <w:t>NEAMWave</w:t>
      </w:r>
      <w:proofErr w:type="spellEnd"/>
      <w:r w:rsidRPr="0084305F">
        <w:rPr>
          <w:rFonts w:ascii="Arial" w:eastAsia="Arial" w:hAnsi="Arial" w:cs="Arial"/>
          <w:snapToGrid/>
          <w:sz w:val="20"/>
          <w:szCs w:val="20"/>
          <w:lang w:val="en-US"/>
        </w:rPr>
        <w:t>) to align with other ICGs.</w:t>
      </w:r>
    </w:p>
    <w:p w14:paraId="78B2E170" w14:textId="77777777" w:rsidR="0084305F" w:rsidRPr="0084305F" w:rsidRDefault="0084305F" w:rsidP="0084305F">
      <w:pPr>
        <w:tabs>
          <w:tab w:val="clear" w:pos="709"/>
        </w:tabs>
        <w:snapToGrid/>
        <w:rPr>
          <w:rFonts w:ascii="Aptos" w:eastAsia="Aptos" w:hAnsi="Aptos" w:cs="Aptos"/>
          <w:b/>
          <w:i/>
          <w:snapToGrid/>
          <w:sz w:val="22"/>
          <w:szCs w:val="22"/>
          <w:lang w:val="en-US"/>
        </w:rPr>
      </w:pPr>
    </w:p>
    <w:p w14:paraId="14E7119E" w14:textId="77777777" w:rsidR="0084305F" w:rsidRPr="0084305F" w:rsidRDefault="0084305F" w:rsidP="0084305F">
      <w:pPr>
        <w:tabs>
          <w:tab w:val="clear" w:pos="709"/>
        </w:tabs>
        <w:snapToGrid/>
        <w:rPr>
          <w:rFonts w:ascii="Aptos" w:eastAsia="Aptos" w:hAnsi="Aptos" w:cs="Aptos"/>
          <w:b/>
          <w:i/>
          <w:snapToGrid/>
          <w:sz w:val="22"/>
          <w:szCs w:val="22"/>
          <w:lang w:val="en-US"/>
        </w:rPr>
      </w:pPr>
      <w:r w:rsidRPr="0084305F">
        <w:rPr>
          <w:rFonts w:ascii="Aptos" w:eastAsia="Aptos" w:hAnsi="Aptos" w:cs="Aptos"/>
          <w:b/>
          <w:i/>
          <w:snapToGrid/>
          <w:sz w:val="22"/>
          <w:szCs w:val="22"/>
          <w:lang w:val="en-US"/>
        </w:rPr>
        <w:t>CARIBE-EWS</w:t>
      </w:r>
    </w:p>
    <w:p w14:paraId="7F9B8A80" w14:textId="77777777" w:rsidR="0084305F" w:rsidRPr="0084305F" w:rsidRDefault="0084305F" w:rsidP="0084305F">
      <w:pPr>
        <w:tabs>
          <w:tab w:val="clear" w:pos="709"/>
        </w:tabs>
        <w:snapToGrid/>
        <w:rPr>
          <w:rFonts w:ascii="Aptos" w:eastAsia="Aptos" w:hAnsi="Aptos" w:cs="Aptos"/>
          <w:snapToGrid/>
          <w:sz w:val="22"/>
          <w:szCs w:val="22"/>
          <w:lang w:val="en-US"/>
        </w:rPr>
      </w:pPr>
    </w:p>
    <w:p w14:paraId="0D1D4D5F"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Liz Vanacore on the CARIBE Wave 24 exercise which was undertaken in March 2024 using two scenarios, an earthquake along the Puerto Rico Trench and an earthquake near Panama. Out of 48 Member States and Territories 45 participated in the exercise with the number of overall participants recorded as 470,423 based on Member States reporting and registrations on tsunamizone.org. The initial dummy message was received by 100% of the participant Member States and territories. Notably, 36% of the news media participated and most countries and territories publicized the exercise through social media </w:t>
      </w:r>
      <w:proofErr w:type="gramStart"/>
      <w:r w:rsidRPr="0084305F">
        <w:rPr>
          <w:rFonts w:ascii="Aptos" w:eastAsia="Aptos" w:hAnsi="Aptos" w:cs="Aptos"/>
          <w:snapToGrid/>
          <w:sz w:val="20"/>
          <w:szCs w:val="20"/>
          <w:lang w:val="en-US"/>
        </w:rPr>
        <w:t>to using</w:t>
      </w:r>
      <w:proofErr w:type="gramEnd"/>
      <w:r w:rsidRPr="0084305F">
        <w:rPr>
          <w:rFonts w:ascii="Aptos" w:eastAsia="Aptos" w:hAnsi="Aptos" w:cs="Aptos"/>
          <w:snapToGrid/>
          <w:sz w:val="20"/>
          <w:szCs w:val="20"/>
          <w:lang w:val="en-US"/>
        </w:rPr>
        <w:t xml:space="preserve"> the hashtag #CARIBEWAVE. </w:t>
      </w:r>
    </w:p>
    <w:p w14:paraId="382DF0EE"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5580B5DF"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Currently, the CARIBE-EWS </w:t>
      </w:r>
      <w:proofErr w:type="gramStart"/>
      <w:r w:rsidRPr="0084305F">
        <w:rPr>
          <w:rFonts w:ascii="Aptos" w:eastAsia="Aptos" w:hAnsi="Aptos" w:cs="Aptos"/>
          <w:snapToGrid/>
          <w:sz w:val="20"/>
          <w:szCs w:val="20"/>
          <w:lang w:val="en-US"/>
        </w:rPr>
        <w:t>is in preparation</w:t>
      </w:r>
      <w:proofErr w:type="gramEnd"/>
      <w:r w:rsidRPr="0084305F">
        <w:rPr>
          <w:rFonts w:ascii="Aptos" w:eastAsia="Aptos" w:hAnsi="Aptos" w:cs="Aptos"/>
          <w:snapToGrid/>
          <w:sz w:val="20"/>
          <w:szCs w:val="20"/>
          <w:lang w:val="en-US"/>
        </w:rPr>
        <w:t xml:space="preserve"> for the CARIBE-Wave 25 exercise to be held on 20 March 2025. The scenarios to be employed are the original 2020 scenarios as that year the exercise was impacted by the COVID epidemic. As such, the scenarios are as follows: 1) An earthquake </w:t>
      </w:r>
      <w:proofErr w:type="gramStart"/>
      <w:r w:rsidRPr="0084305F">
        <w:rPr>
          <w:rFonts w:ascii="Aptos" w:eastAsia="Aptos" w:hAnsi="Aptos" w:cs="Aptos"/>
          <w:snapToGrid/>
          <w:sz w:val="20"/>
          <w:szCs w:val="20"/>
          <w:lang w:val="en-US"/>
        </w:rPr>
        <w:t>off of</w:t>
      </w:r>
      <w:proofErr w:type="gramEnd"/>
      <w:r w:rsidRPr="0084305F">
        <w:rPr>
          <w:rFonts w:ascii="Aptos" w:eastAsia="Aptos" w:hAnsi="Aptos" w:cs="Aptos"/>
          <w:snapToGrid/>
          <w:sz w:val="20"/>
          <w:szCs w:val="20"/>
          <w:lang w:val="en-US"/>
        </w:rPr>
        <w:t xml:space="preserve"> Portugal based on the 1755 event and 2) an earthquake located along the </w:t>
      </w:r>
      <w:proofErr w:type="spellStart"/>
      <w:r w:rsidRPr="0084305F">
        <w:rPr>
          <w:rFonts w:ascii="Aptos" w:eastAsia="Aptos" w:hAnsi="Aptos" w:cs="Aptos"/>
          <w:snapToGrid/>
          <w:sz w:val="20"/>
          <w:szCs w:val="20"/>
          <w:lang w:val="en-US"/>
        </w:rPr>
        <w:t>Enriquillo</w:t>
      </w:r>
      <w:proofErr w:type="spellEnd"/>
      <w:r w:rsidRPr="0084305F">
        <w:rPr>
          <w:rFonts w:ascii="Aptos" w:eastAsia="Aptos" w:hAnsi="Aptos" w:cs="Aptos"/>
          <w:snapToGrid/>
          <w:sz w:val="20"/>
          <w:szCs w:val="20"/>
          <w:lang w:val="en-US"/>
        </w:rPr>
        <w:t xml:space="preserve">-Plantain Garden Fault Zone (EPGFZ). To date over 150,000 participants have registered on the tsunamizone.org website for this year’s exercise. A series of 2 </w:t>
      </w:r>
      <w:proofErr w:type="spellStart"/>
      <w:r w:rsidRPr="0084305F">
        <w:rPr>
          <w:rFonts w:ascii="Aptos" w:eastAsia="Aptos" w:hAnsi="Aptos" w:cs="Aptos"/>
          <w:snapToGrid/>
          <w:sz w:val="20"/>
          <w:szCs w:val="20"/>
          <w:lang w:val="en-US"/>
        </w:rPr>
        <w:t>mulit</w:t>
      </w:r>
      <w:proofErr w:type="spellEnd"/>
      <w:r w:rsidRPr="0084305F">
        <w:rPr>
          <w:rFonts w:ascii="Aptos" w:eastAsia="Aptos" w:hAnsi="Aptos" w:cs="Aptos"/>
          <w:snapToGrid/>
          <w:sz w:val="20"/>
          <w:szCs w:val="20"/>
          <w:lang w:val="en-US"/>
        </w:rPr>
        <w:t xml:space="preserve">-lingual (English, French, Spanish) webinars are on-going. A post-exercise hot wash is planned for April 1, </w:t>
      </w:r>
      <w:proofErr w:type="gramStart"/>
      <w:r w:rsidRPr="0084305F">
        <w:rPr>
          <w:rFonts w:ascii="Aptos" w:eastAsia="Aptos" w:hAnsi="Aptos" w:cs="Aptos"/>
          <w:snapToGrid/>
          <w:sz w:val="20"/>
          <w:szCs w:val="20"/>
          <w:lang w:val="en-US"/>
        </w:rPr>
        <w:t>2025</w:t>
      </w:r>
      <w:proofErr w:type="gramEnd"/>
      <w:r w:rsidRPr="0084305F">
        <w:rPr>
          <w:rFonts w:ascii="Aptos" w:eastAsia="Aptos" w:hAnsi="Aptos" w:cs="Aptos"/>
          <w:snapToGrid/>
          <w:sz w:val="20"/>
          <w:szCs w:val="20"/>
          <w:lang w:val="en-US"/>
        </w:rPr>
        <w:t xml:space="preserve"> a few days before the evaluation forms from the MS and territories are due on April 4, 2025. </w:t>
      </w:r>
    </w:p>
    <w:p w14:paraId="45CE1CEE"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0F38A60A" w14:textId="77777777" w:rsidR="0084305F" w:rsidRPr="0084305F" w:rsidRDefault="0084305F" w:rsidP="0084305F">
      <w:pPr>
        <w:tabs>
          <w:tab w:val="clear" w:pos="709"/>
        </w:tabs>
        <w:snapToGrid/>
        <w:jc w:val="both"/>
        <w:rPr>
          <w:rFonts w:ascii="Aptos" w:eastAsia="Aptos" w:hAnsi="Aptos" w:cs="Aptos"/>
          <w:b/>
          <w:i/>
          <w:snapToGrid/>
          <w:lang w:val="en-US"/>
        </w:rPr>
      </w:pPr>
      <w:r w:rsidRPr="0084305F">
        <w:rPr>
          <w:rFonts w:ascii="Aptos" w:eastAsia="Aptos" w:hAnsi="Aptos" w:cs="Aptos"/>
          <w:b/>
          <w:i/>
          <w:snapToGrid/>
          <w:lang w:val="en-US"/>
        </w:rPr>
        <w:t>IOTWMS</w:t>
      </w:r>
    </w:p>
    <w:p w14:paraId="0B467D5E" w14:textId="77777777" w:rsidR="0084305F" w:rsidRPr="0084305F" w:rsidRDefault="0084305F" w:rsidP="0084305F">
      <w:pPr>
        <w:tabs>
          <w:tab w:val="clear" w:pos="709"/>
        </w:tabs>
        <w:snapToGrid/>
        <w:spacing w:before="240" w:after="240"/>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Mr. Ardito Kodijat presented on IOWave23 exercise. He briefed that the IOWave23 tsunami exercise was successfully conducted on October 4, 11, 18, and 25, 2023, involving real-time tsunami bulletin issuance by the three IOTWMS Tsunami Service Providers (TSPs) of Australia, India, and Indonesia. The exercise simulated three earthquake-generated tsunami scenarios (Andaman Trench, </w:t>
      </w:r>
      <w:proofErr w:type="spellStart"/>
      <w:r w:rsidRPr="0084305F">
        <w:rPr>
          <w:rFonts w:ascii="Aptos" w:eastAsia="Aptos" w:hAnsi="Aptos" w:cs="Aptos"/>
          <w:snapToGrid/>
          <w:sz w:val="20"/>
          <w:szCs w:val="20"/>
          <w:lang w:val="en-US"/>
        </w:rPr>
        <w:t>Makran</w:t>
      </w:r>
      <w:proofErr w:type="spellEnd"/>
      <w:r w:rsidRPr="0084305F">
        <w:rPr>
          <w:rFonts w:ascii="Aptos" w:eastAsia="Aptos" w:hAnsi="Aptos" w:cs="Aptos"/>
          <w:snapToGrid/>
          <w:sz w:val="20"/>
          <w:szCs w:val="20"/>
          <w:lang w:val="en-US"/>
        </w:rPr>
        <w:t xml:space="preserve"> Trench, and Java regions) and one TGV source (Heard Island,). At least seven active Indian Ocean Member States involved community participation, and nine countries had procedures in place to ensure tsunami warnings reached vulnerable populations, including people with disabilities, different genders, elderly, and youth. A total of 19 IOTWMS Member States participated in an online survey to assess the effectiveness of the exercise.</w:t>
      </w:r>
    </w:p>
    <w:p w14:paraId="2A442750" w14:textId="77777777" w:rsidR="0084305F" w:rsidRPr="0084305F" w:rsidRDefault="0084305F" w:rsidP="0084305F">
      <w:pPr>
        <w:tabs>
          <w:tab w:val="clear" w:pos="709"/>
        </w:tabs>
        <w:snapToGrid/>
        <w:spacing w:before="240" w:after="240"/>
        <w:jc w:val="both"/>
        <w:rPr>
          <w:rFonts w:ascii="Aptos" w:eastAsia="Aptos" w:hAnsi="Aptos" w:cs="Aptos"/>
          <w:snapToGrid/>
          <w:sz w:val="20"/>
          <w:szCs w:val="20"/>
          <w:lang w:val="en-US"/>
        </w:rPr>
      </w:pPr>
      <w:r w:rsidRPr="0084305F">
        <w:rPr>
          <w:rFonts w:ascii="Aptos" w:eastAsia="Aptos" w:hAnsi="Aptos" w:cs="Aptos"/>
          <w:snapToGrid/>
          <w:sz w:val="20"/>
          <w:szCs w:val="20"/>
          <w:lang w:val="en-US"/>
        </w:rPr>
        <w:t>Key recommendations from IOWave23 include conducting biennial exercises at alternative times of the year to enable full participation of Member States, as September–October coincides with other hazard response activities. National or sub-regional exercises were encouraged in alternate years to ensure regular preparedness. Future exercises will prioritize inclusivity, particularly engaging people with disabilities. Tsunami scenarios should be inclusive and suitable for all Member States, with a mix of seismic and non-seismic events. Recommendations for upstream tsunami warning components (TSPs and NTWCs) emphasize regular updates of contact information, reviewing and updating SOPs based on lessons learned, and developing products for non-seismic tsunami sources. For downstream components (DMOs, communities, and media), strengthening the Tsunami Ready Recognition Programme, improving public awareness, and ensuring effective stakeholder communication were highlighted as critical actions toward achieving the UN Ocean Decade Tsunami Programme goal of 100% at-risk communities prepared by 2030.</w:t>
      </w:r>
    </w:p>
    <w:p w14:paraId="13A4E954"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i/>
          <w:snapToGrid/>
          <w:sz w:val="20"/>
          <w:szCs w:val="20"/>
          <w:lang w:val="en-US"/>
        </w:rPr>
      </w:pPr>
      <w:r w:rsidRPr="0084305F">
        <w:rPr>
          <w:rFonts w:ascii="Aptos" w:eastAsia="Aptos" w:hAnsi="Aptos" w:cs="Aptos"/>
          <w:b/>
          <w:snapToGrid/>
          <w:color w:val="0070C0"/>
          <w:sz w:val="20"/>
          <w:szCs w:val="20"/>
          <w:lang w:val="en-US"/>
        </w:rPr>
        <w:t>Recommendations to TOWS-WG</w:t>
      </w:r>
    </w:p>
    <w:p w14:paraId="3897F702" w14:textId="77777777" w:rsidR="0084305F" w:rsidRPr="0084305F" w:rsidRDefault="0084305F" w:rsidP="0084305F">
      <w:pPr>
        <w:tabs>
          <w:tab w:val="clear" w:pos="709"/>
        </w:tabs>
        <w:snapToGrid/>
        <w:spacing w:before="240" w:line="276" w:lineRule="auto"/>
        <w:jc w:val="both"/>
        <w:rPr>
          <w:rFonts w:ascii="Arial" w:eastAsia="Arial" w:hAnsi="Arial" w:cs="Arial"/>
          <w:snapToGrid/>
          <w:sz w:val="20"/>
          <w:szCs w:val="20"/>
          <w:lang w:val="en-US"/>
        </w:rPr>
      </w:pPr>
      <w:r w:rsidRPr="0084305F">
        <w:rPr>
          <w:rFonts w:ascii="Arial" w:eastAsia="Arial" w:hAnsi="Arial" w:cs="Arial"/>
          <w:b/>
          <w:snapToGrid/>
          <w:sz w:val="20"/>
          <w:szCs w:val="20"/>
          <w:lang w:val="en-US"/>
        </w:rPr>
        <w:lastRenderedPageBreak/>
        <w:t>Appreciates</w:t>
      </w:r>
      <w:r w:rsidRPr="0084305F">
        <w:rPr>
          <w:rFonts w:ascii="Arial" w:eastAsia="Arial" w:hAnsi="Arial" w:cs="Arial"/>
          <w:b/>
          <w:i/>
          <w:snapToGrid/>
          <w:sz w:val="20"/>
          <w:szCs w:val="20"/>
          <w:lang w:val="en-US"/>
        </w:rPr>
        <w:t xml:space="preserve"> </w:t>
      </w:r>
      <w:r w:rsidRPr="0084305F">
        <w:rPr>
          <w:rFonts w:ascii="Arial" w:eastAsia="Arial" w:hAnsi="Arial" w:cs="Arial"/>
          <w:snapToGrid/>
          <w:sz w:val="20"/>
          <w:szCs w:val="20"/>
          <w:lang w:val="en-US"/>
        </w:rPr>
        <w:t xml:space="preserve">the execution of the Wave exercises, </w:t>
      </w:r>
      <w:proofErr w:type="spellStart"/>
      <w:r w:rsidRPr="0084305F">
        <w:rPr>
          <w:rFonts w:ascii="Arial" w:eastAsia="Arial" w:hAnsi="Arial" w:cs="Arial"/>
          <w:snapToGrid/>
          <w:sz w:val="20"/>
          <w:szCs w:val="20"/>
          <w:lang w:val="en-US"/>
        </w:rPr>
        <w:t>PacWave</w:t>
      </w:r>
      <w:proofErr w:type="spellEnd"/>
      <w:r w:rsidRPr="0084305F">
        <w:rPr>
          <w:rFonts w:ascii="Arial" w:eastAsia="Arial" w:hAnsi="Arial" w:cs="Arial"/>
          <w:snapToGrid/>
          <w:sz w:val="20"/>
          <w:szCs w:val="20"/>
          <w:lang w:val="en-US"/>
        </w:rPr>
        <w:t xml:space="preserve"> 24 (September to November 2024), the CARIBE-Wave 24 (21 March 2024), </w:t>
      </w:r>
      <w:proofErr w:type="gramStart"/>
      <w:r w:rsidRPr="0084305F">
        <w:rPr>
          <w:rFonts w:ascii="Arial" w:eastAsia="Arial" w:hAnsi="Arial" w:cs="Arial"/>
          <w:snapToGrid/>
          <w:sz w:val="20"/>
          <w:szCs w:val="20"/>
          <w:lang w:val="en-US"/>
        </w:rPr>
        <w:t xml:space="preserve">the  </w:t>
      </w:r>
      <w:proofErr w:type="spellStart"/>
      <w:r w:rsidRPr="0084305F">
        <w:rPr>
          <w:rFonts w:ascii="Arial" w:eastAsia="Arial" w:hAnsi="Arial" w:cs="Arial"/>
          <w:snapToGrid/>
          <w:sz w:val="20"/>
          <w:szCs w:val="20"/>
          <w:lang w:val="en-US"/>
        </w:rPr>
        <w:t>NEAMWave</w:t>
      </w:r>
      <w:proofErr w:type="spellEnd"/>
      <w:proofErr w:type="gramEnd"/>
      <w:r w:rsidRPr="0084305F">
        <w:rPr>
          <w:rFonts w:ascii="Arial" w:eastAsia="Arial" w:hAnsi="Arial" w:cs="Arial"/>
          <w:snapToGrid/>
          <w:sz w:val="20"/>
          <w:szCs w:val="20"/>
          <w:lang w:val="en-US"/>
        </w:rPr>
        <w:t xml:space="preserve"> 23 (6–7 November 2023) and the IOWave</w:t>
      </w:r>
      <w:proofErr w:type="gramStart"/>
      <w:r w:rsidRPr="0084305F">
        <w:rPr>
          <w:rFonts w:ascii="Arial" w:eastAsia="Arial" w:hAnsi="Arial" w:cs="Arial"/>
          <w:snapToGrid/>
          <w:sz w:val="20"/>
          <w:szCs w:val="20"/>
          <w:lang w:val="en-US"/>
        </w:rPr>
        <w:t>23  (</w:t>
      </w:r>
      <w:proofErr w:type="gramEnd"/>
      <w:r w:rsidRPr="0084305F">
        <w:rPr>
          <w:rFonts w:ascii="Arial" w:eastAsia="Arial" w:hAnsi="Arial" w:cs="Arial"/>
          <w:snapToGrid/>
          <w:sz w:val="20"/>
          <w:szCs w:val="20"/>
          <w:lang w:val="en-US"/>
        </w:rPr>
        <w:t>4-25 October 2023).</w:t>
      </w:r>
    </w:p>
    <w:p w14:paraId="38EBEA1C" w14:textId="77777777" w:rsidR="0084305F" w:rsidRPr="0084305F" w:rsidRDefault="0084305F" w:rsidP="0084305F">
      <w:pPr>
        <w:tabs>
          <w:tab w:val="clear" w:pos="709"/>
        </w:tabs>
        <w:snapToGrid/>
        <w:spacing w:before="240" w:line="276" w:lineRule="auto"/>
        <w:jc w:val="both"/>
        <w:rPr>
          <w:rFonts w:ascii="Arial" w:eastAsia="Arial" w:hAnsi="Arial" w:cs="Arial"/>
          <w:snapToGrid/>
          <w:sz w:val="20"/>
          <w:szCs w:val="20"/>
          <w:lang w:val="en-US"/>
        </w:rPr>
      </w:pPr>
      <w:r w:rsidRPr="0084305F">
        <w:rPr>
          <w:rFonts w:ascii="Arial" w:eastAsia="Arial" w:hAnsi="Arial" w:cs="Arial"/>
          <w:b/>
          <w:snapToGrid/>
          <w:sz w:val="20"/>
          <w:szCs w:val="20"/>
          <w:lang w:val="en-US"/>
        </w:rPr>
        <w:t xml:space="preserve">Notes </w:t>
      </w:r>
      <w:r w:rsidRPr="0084305F">
        <w:rPr>
          <w:rFonts w:ascii="Arial" w:eastAsia="Arial" w:hAnsi="Arial" w:cs="Arial"/>
          <w:snapToGrid/>
          <w:sz w:val="20"/>
          <w:szCs w:val="20"/>
          <w:lang w:val="en-US"/>
        </w:rPr>
        <w:t xml:space="preserve">the upcoming CARIBE-Wave 25 exercise scheduled for March 20, 2025, and </w:t>
      </w:r>
      <w:proofErr w:type="spellStart"/>
      <w:r w:rsidRPr="0084305F">
        <w:rPr>
          <w:rFonts w:ascii="Arial" w:eastAsia="Arial" w:hAnsi="Arial" w:cs="Arial"/>
          <w:snapToGrid/>
          <w:sz w:val="20"/>
          <w:szCs w:val="20"/>
          <w:lang w:val="en-US"/>
        </w:rPr>
        <w:t>NEAMWave</w:t>
      </w:r>
      <w:proofErr w:type="spellEnd"/>
      <w:r w:rsidRPr="0084305F">
        <w:rPr>
          <w:rFonts w:ascii="Arial" w:eastAsia="Arial" w:hAnsi="Arial" w:cs="Arial"/>
          <w:snapToGrid/>
          <w:sz w:val="20"/>
          <w:szCs w:val="20"/>
          <w:lang w:val="en-US"/>
        </w:rPr>
        <w:t xml:space="preserve"> 26 planned for March 2026.</w:t>
      </w:r>
    </w:p>
    <w:p w14:paraId="4D80FA9B" w14:textId="77777777" w:rsidR="0084305F" w:rsidRPr="0084305F" w:rsidRDefault="0084305F" w:rsidP="0084305F">
      <w:pPr>
        <w:tabs>
          <w:tab w:val="clear" w:pos="709"/>
        </w:tabs>
        <w:snapToGrid/>
        <w:rPr>
          <w:rFonts w:ascii="Aptos" w:eastAsia="Aptos" w:hAnsi="Aptos" w:cs="Aptos"/>
          <w:b/>
          <w:i/>
          <w:snapToGrid/>
          <w:sz w:val="22"/>
          <w:szCs w:val="22"/>
          <w:lang w:val="en-US"/>
        </w:rPr>
      </w:pPr>
    </w:p>
    <w:p w14:paraId="681ADC41" w14:textId="77777777" w:rsidR="0084305F" w:rsidRPr="0084305F" w:rsidRDefault="0084305F" w:rsidP="0084305F">
      <w:pPr>
        <w:tabs>
          <w:tab w:val="clear" w:pos="709"/>
        </w:tabs>
        <w:snapToGrid/>
        <w:rPr>
          <w:rFonts w:ascii="Aptos" w:eastAsia="Aptos" w:hAnsi="Aptos" w:cs="Aptos"/>
          <w:b/>
          <w:i/>
          <w:snapToGrid/>
          <w:color w:val="000000"/>
          <w:sz w:val="20"/>
          <w:szCs w:val="20"/>
          <w:lang w:val="en-US"/>
        </w:rPr>
      </w:pPr>
      <w:r w:rsidRPr="0084305F">
        <w:rPr>
          <w:rFonts w:ascii="Aptos" w:eastAsia="Aptos" w:hAnsi="Aptos" w:cs="Aptos"/>
          <w:b/>
          <w:i/>
          <w:snapToGrid/>
          <w:sz w:val="22"/>
          <w:szCs w:val="22"/>
          <w:lang w:val="en-US"/>
        </w:rPr>
        <w:t>Significant Tsunami Events</w:t>
      </w:r>
    </w:p>
    <w:p w14:paraId="6980A28C" w14:textId="77777777" w:rsidR="0084305F" w:rsidRPr="0084305F" w:rsidRDefault="0084305F" w:rsidP="0084305F">
      <w:pPr>
        <w:tabs>
          <w:tab w:val="clear" w:pos="709"/>
        </w:tabs>
        <w:snapToGrid/>
        <w:rPr>
          <w:rFonts w:ascii="Aptos" w:eastAsia="Aptos" w:hAnsi="Aptos" w:cs="Aptos"/>
          <w:b/>
          <w:snapToGrid/>
          <w:color w:val="000000"/>
          <w:sz w:val="20"/>
          <w:szCs w:val="20"/>
          <w:lang w:val="en-US"/>
        </w:rPr>
      </w:pPr>
    </w:p>
    <w:p w14:paraId="06E8B525" w14:textId="77777777" w:rsidR="0084305F" w:rsidRPr="0084305F" w:rsidRDefault="0084305F" w:rsidP="0084305F">
      <w:pPr>
        <w:tabs>
          <w:tab w:val="clear" w:pos="709"/>
        </w:tabs>
        <w:snapToGrid/>
        <w:jc w:val="both"/>
        <w:rPr>
          <w:rFonts w:ascii="Aptos" w:eastAsia="Aptos" w:hAnsi="Aptos" w:cs="Aptos"/>
          <w:b/>
          <w:i/>
          <w:snapToGrid/>
          <w:sz w:val="20"/>
          <w:szCs w:val="20"/>
          <w:lang w:val="en-US"/>
        </w:rPr>
      </w:pPr>
      <w:r w:rsidRPr="0084305F">
        <w:rPr>
          <w:rFonts w:ascii="Aptos" w:eastAsia="Aptos" w:hAnsi="Aptos" w:cs="Aptos"/>
          <w:b/>
          <w:i/>
          <w:snapToGrid/>
          <w:sz w:val="20"/>
          <w:szCs w:val="20"/>
          <w:lang w:val="en-US"/>
        </w:rPr>
        <w:t xml:space="preserve">IOTWMS </w:t>
      </w:r>
    </w:p>
    <w:p w14:paraId="287A0F94" w14:textId="77777777" w:rsidR="0084305F" w:rsidRPr="0084305F" w:rsidRDefault="0084305F" w:rsidP="0084305F">
      <w:pPr>
        <w:tabs>
          <w:tab w:val="clear" w:pos="709"/>
        </w:tabs>
        <w:snapToGrid/>
        <w:jc w:val="both"/>
        <w:rPr>
          <w:rFonts w:ascii="Aptos" w:eastAsia="Aptos" w:hAnsi="Aptos" w:cs="Aptos"/>
          <w:b/>
          <w:snapToGrid/>
          <w:sz w:val="20"/>
          <w:szCs w:val="20"/>
          <w:lang w:val="en-US"/>
        </w:rPr>
      </w:pPr>
    </w:p>
    <w:p w14:paraId="6DB47103" w14:textId="77777777" w:rsidR="0084305F" w:rsidRPr="0084305F" w:rsidRDefault="0084305F" w:rsidP="0084305F">
      <w:pPr>
        <w:tabs>
          <w:tab w:val="clear" w:pos="709"/>
        </w:tabs>
        <w:snapToGrid/>
        <w:jc w:val="both"/>
        <w:rPr>
          <w:rFonts w:ascii="Aptos" w:eastAsia="Aptos" w:hAnsi="Aptos" w:cs="Aptos"/>
          <w:snapToGrid/>
          <w:sz w:val="20"/>
          <w:szCs w:val="20"/>
          <w:lang w:val="en-US"/>
        </w:rPr>
      </w:pPr>
      <w:proofErr w:type="spellStart"/>
      <w:r w:rsidRPr="0084305F">
        <w:rPr>
          <w:rFonts w:ascii="Aptos" w:eastAsia="Aptos" w:hAnsi="Aptos" w:cs="Aptos"/>
          <w:snapToGrid/>
          <w:sz w:val="20"/>
          <w:szCs w:val="20"/>
          <w:lang w:val="en-US"/>
        </w:rPr>
        <w:t>Jijjavarapu</w:t>
      </w:r>
      <w:proofErr w:type="spellEnd"/>
      <w:r w:rsidRPr="0084305F">
        <w:rPr>
          <w:rFonts w:ascii="Aptos" w:eastAsia="Aptos" w:hAnsi="Aptos" w:cs="Aptos"/>
          <w:snapToGrid/>
          <w:sz w:val="20"/>
          <w:szCs w:val="20"/>
          <w:lang w:val="en-US"/>
        </w:rPr>
        <w:t xml:space="preserve"> Padmanabham (INCOIS) presented an overview of the events that occurred in the IOTWMS ESZ Indian Ocean, Pacific Ocean, and South Atlantic Ocean) in 2024. A total of 22 earthquakes (M≥6.5) were monitored within the ESZ, and bulletins were issued to IO member states as per the SOP defined in the Service Definition Document in the reporting period. One event occurred in the Indian Ocean (M 6.6 - South of Africa,</w:t>
      </w:r>
      <w:r w:rsidRPr="0084305F">
        <w:rPr>
          <w:rFonts w:ascii="Aptos" w:eastAsia="Aptos" w:hAnsi="Aptos" w:cs="Aptos"/>
          <w:snapToGrid/>
          <w:sz w:val="20"/>
          <w:szCs w:val="20"/>
          <w:u w:val="single"/>
          <w:lang w:val="en-US"/>
        </w:rPr>
        <w:t xml:space="preserve"> </w:t>
      </w:r>
      <w:r w:rsidRPr="0084305F">
        <w:rPr>
          <w:rFonts w:ascii="Aptos" w:eastAsia="Aptos" w:hAnsi="Aptos" w:cs="Aptos"/>
          <w:snapToGrid/>
          <w:sz w:val="20"/>
          <w:szCs w:val="20"/>
          <w:lang w:val="en-US"/>
        </w:rPr>
        <w:t>2024-07-10 04:55:41 (UTC) 53.309°S 25.348°E; 4.0 km depth) for which the TSPs issued a "No Threat" bulletin. TSP – Australia issued a “No Tsunami Threat Bulletin” for the Indian Ocean in response to the eruption of Volcanic Eruption at Mt. Ruang on 29 April 2024, which was the first non-seismic product issued by a TSP for the Indian Ocean.</w:t>
      </w:r>
    </w:p>
    <w:p w14:paraId="3E606E89" w14:textId="77777777" w:rsidR="0084305F" w:rsidRPr="0084305F" w:rsidRDefault="0084305F" w:rsidP="0084305F">
      <w:pPr>
        <w:tabs>
          <w:tab w:val="clear" w:pos="709"/>
        </w:tabs>
        <w:snapToGrid/>
        <w:rPr>
          <w:rFonts w:ascii="Aptos" w:eastAsia="Aptos" w:hAnsi="Aptos" w:cs="Aptos"/>
          <w:snapToGrid/>
          <w:sz w:val="20"/>
          <w:szCs w:val="20"/>
          <w:lang w:val="en-US"/>
        </w:rPr>
      </w:pPr>
    </w:p>
    <w:p w14:paraId="147D4DB9" w14:textId="77777777" w:rsidR="0084305F" w:rsidRPr="0084305F" w:rsidRDefault="0084305F" w:rsidP="0084305F">
      <w:pPr>
        <w:tabs>
          <w:tab w:val="clear" w:pos="709"/>
        </w:tabs>
        <w:snapToGrid/>
        <w:rPr>
          <w:rFonts w:ascii="Aptos" w:eastAsia="Aptos" w:hAnsi="Aptos" w:cs="Aptos"/>
          <w:b/>
          <w:i/>
          <w:snapToGrid/>
          <w:sz w:val="20"/>
          <w:szCs w:val="20"/>
          <w:lang w:val="en-US"/>
        </w:rPr>
      </w:pPr>
      <w:r w:rsidRPr="0084305F">
        <w:rPr>
          <w:rFonts w:ascii="Aptos" w:eastAsia="Aptos" w:hAnsi="Aptos" w:cs="Aptos"/>
          <w:b/>
          <w:i/>
          <w:snapToGrid/>
          <w:sz w:val="20"/>
          <w:szCs w:val="20"/>
          <w:lang w:val="en-US"/>
        </w:rPr>
        <w:t>NEAMTWS</w:t>
      </w:r>
    </w:p>
    <w:p w14:paraId="261B5E6B" w14:textId="77777777" w:rsidR="0084305F" w:rsidRPr="0084305F" w:rsidRDefault="0084305F" w:rsidP="0084305F">
      <w:pPr>
        <w:tabs>
          <w:tab w:val="clear" w:pos="709"/>
        </w:tabs>
        <w:snapToGrid/>
        <w:rPr>
          <w:rFonts w:ascii="Aptos" w:eastAsia="Aptos" w:hAnsi="Aptos" w:cs="Aptos"/>
          <w:b/>
          <w:snapToGrid/>
          <w:sz w:val="20"/>
          <w:szCs w:val="20"/>
          <w:lang w:val="en-US"/>
        </w:rPr>
      </w:pPr>
    </w:p>
    <w:p w14:paraId="0301E8CB"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Helene Hebert (CEA) presented an overview of the events that occurred in the NEAMTWS ESZ. Ten earthquakes (11 in 2023) occurred within the reporting period </w:t>
      </w:r>
      <w:proofErr w:type="gramStart"/>
      <w:r w:rsidRPr="0084305F">
        <w:rPr>
          <w:rFonts w:ascii="Aptos" w:eastAsia="Aptos" w:hAnsi="Aptos" w:cs="Aptos"/>
          <w:snapToGrid/>
          <w:sz w:val="20"/>
          <w:szCs w:val="20"/>
          <w:lang w:val="en-US"/>
        </w:rPr>
        <w:t>with  7</w:t>
      </w:r>
      <w:proofErr w:type="gramEnd"/>
      <w:r w:rsidRPr="0084305F">
        <w:rPr>
          <w:rFonts w:ascii="Aptos" w:eastAsia="Aptos" w:hAnsi="Aptos" w:cs="Aptos"/>
          <w:snapToGrid/>
          <w:sz w:val="20"/>
          <w:szCs w:val="20"/>
          <w:lang w:val="en-US"/>
        </w:rPr>
        <w:t xml:space="preserve"> in the NE Atlantic (4 in 2023), 3 in the East Mediterranean </w:t>
      </w:r>
      <w:proofErr w:type="gramStart"/>
      <w:r w:rsidRPr="0084305F">
        <w:rPr>
          <w:rFonts w:ascii="Aptos" w:eastAsia="Aptos" w:hAnsi="Aptos" w:cs="Aptos"/>
          <w:snapToGrid/>
          <w:sz w:val="20"/>
          <w:szCs w:val="20"/>
          <w:lang w:val="en-US"/>
        </w:rPr>
        <w:t>( 3</w:t>
      </w:r>
      <w:proofErr w:type="gramEnd"/>
      <w:r w:rsidRPr="0084305F">
        <w:rPr>
          <w:rFonts w:ascii="Aptos" w:eastAsia="Aptos" w:hAnsi="Aptos" w:cs="Aptos"/>
          <w:snapToGrid/>
          <w:sz w:val="20"/>
          <w:szCs w:val="20"/>
          <w:lang w:val="en-US"/>
        </w:rPr>
        <w:t xml:space="preserve"> Central, 4 East NE Atlantic) only at information level, as the events were in the magnitude of 5.5 to 6.0.</w:t>
      </w:r>
    </w:p>
    <w:p w14:paraId="7B4C76E1"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3F798C5A"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Additionally, by </w:t>
      </w:r>
      <w:proofErr w:type="gramStart"/>
      <w:r w:rsidRPr="0084305F">
        <w:rPr>
          <w:rFonts w:ascii="Aptos" w:eastAsia="Aptos" w:hAnsi="Aptos" w:cs="Aptos"/>
          <w:snapToGrid/>
          <w:sz w:val="20"/>
          <w:szCs w:val="20"/>
          <w:lang w:val="en-US"/>
        </w:rPr>
        <w:t>request  of</w:t>
      </w:r>
      <w:proofErr w:type="gramEnd"/>
      <w:r w:rsidRPr="0084305F">
        <w:rPr>
          <w:rFonts w:ascii="Aptos" w:eastAsia="Aptos" w:hAnsi="Aptos" w:cs="Aptos"/>
          <w:snapToGrid/>
          <w:sz w:val="20"/>
          <w:szCs w:val="20"/>
          <w:lang w:val="en-US"/>
        </w:rPr>
        <w:t xml:space="preserve"> TOWS Task Teams, Dr. Marinos Charalampakis (NOA) provided an overview of the ongoing seismic activity in the Santorini-</w:t>
      </w:r>
      <w:proofErr w:type="spellStart"/>
      <w:proofErr w:type="gramStart"/>
      <w:r w:rsidRPr="0084305F">
        <w:rPr>
          <w:rFonts w:ascii="Aptos" w:eastAsia="Aptos" w:hAnsi="Aptos" w:cs="Aptos"/>
          <w:snapToGrid/>
          <w:sz w:val="20"/>
          <w:szCs w:val="20"/>
          <w:lang w:val="en-US"/>
        </w:rPr>
        <w:t>Kolumbo</w:t>
      </w:r>
      <w:proofErr w:type="spellEnd"/>
      <w:r w:rsidRPr="0084305F">
        <w:rPr>
          <w:rFonts w:ascii="Aptos" w:eastAsia="Aptos" w:hAnsi="Aptos" w:cs="Aptos"/>
          <w:snapToGrid/>
          <w:sz w:val="20"/>
          <w:szCs w:val="20"/>
          <w:lang w:val="en-US"/>
        </w:rPr>
        <w:t xml:space="preserve">  volcanic</w:t>
      </w:r>
      <w:proofErr w:type="gramEnd"/>
      <w:r w:rsidRPr="0084305F">
        <w:rPr>
          <w:rFonts w:ascii="Aptos" w:eastAsia="Aptos" w:hAnsi="Aptos" w:cs="Aptos"/>
          <w:snapToGrid/>
          <w:sz w:val="20"/>
          <w:szCs w:val="20"/>
          <w:lang w:val="en-US"/>
        </w:rPr>
        <w:t xml:space="preserve"> setting, which belongs to the volcanic back-arc of the Hellenic Subduction Zone in the Mediterranean region, which is characterized with a high-level seismicity. An increase in </w:t>
      </w:r>
      <w:proofErr w:type="gramStart"/>
      <w:r w:rsidRPr="0084305F">
        <w:rPr>
          <w:rFonts w:ascii="Aptos" w:eastAsia="Aptos" w:hAnsi="Aptos" w:cs="Aptos"/>
          <w:snapToGrid/>
          <w:sz w:val="20"/>
          <w:szCs w:val="20"/>
          <w:lang w:val="en-US"/>
        </w:rPr>
        <w:t>the seismicity</w:t>
      </w:r>
      <w:proofErr w:type="gramEnd"/>
      <w:r w:rsidRPr="0084305F">
        <w:rPr>
          <w:rFonts w:ascii="Aptos" w:eastAsia="Aptos" w:hAnsi="Aptos" w:cs="Aptos"/>
          <w:snapToGrid/>
          <w:sz w:val="20"/>
          <w:szCs w:val="20"/>
          <w:lang w:val="en-US"/>
        </w:rPr>
        <w:t xml:space="preserve"> was observed at the end of January 2025. The Santorini-</w:t>
      </w:r>
      <w:proofErr w:type="spellStart"/>
      <w:r w:rsidRPr="0084305F">
        <w:rPr>
          <w:rFonts w:ascii="Aptos" w:eastAsia="Aptos" w:hAnsi="Aptos" w:cs="Aptos"/>
          <w:snapToGrid/>
          <w:sz w:val="20"/>
          <w:szCs w:val="20"/>
          <w:lang w:val="en-US"/>
        </w:rPr>
        <w:t>Kolumbo</w:t>
      </w:r>
      <w:proofErr w:type="spellEnd"/>
      <w:r w:rsidRPr="0084305F">
        <w:rPr>
          <w:rFonts w:ascii="Aptos" w:eastAsia="Aptos" w:hAnsi="Aptos" w:cs="Aptos"/>
          <w:snapToGrid/>
          <w:sz w:val="20"/>
          <w:szCs w:val="20"/>
          <w:lang w:val="en-US"/>
        </w:rPr>
        <w:t xml:space="preserve"> volcanic complex is also characterized by normal faults in connection with the </w:t>
      </w:r>
      <w:proofErr w:type="spellStart"/>
      <w:r w:rsidRPr="0084305F">
        <w:rPr>
          <w:rFonts w:ascii="Aptos" w:eastAsia="Aptos" w:hAnsi="Aptos" w:cs="Aptos"/>
          <w:snapToGrid/>
          <w:sz w:val="20"/>
          <w:szCs w:val="20"/>
          <w:lang w:val="en-US"/>
        </w:rPr>
        <w:t>seismo</w:t>
      </w:r>
      <w:proofErr w:type="spellEnd"/>
      <w:r w:rsidRPr="0084305F">
        <w:rPr>
          <w:rFonts w:ascii="Aptos" w:eastAsia="Aptos" w:hAnsi="Aptos" w:cs="Aptos"/>
          <w:snapToGrid/>
          <w:sz w:val="20"/>
          <w:szCs w:val="20"/>
          <w:lang w:val="en-US"/>
        </w:rPr>
        <w:t>-tectonic extension regime of the region. Up to now, the total energy released in these earthquakes exceeds the energy that can be released by a single M6 earthquake. While most of the focal mechanism solutions indicate a normal fault mechanism, a small number of earthquakes with strike-slip focal mechanisms have also been observed. Both GNSS and INSAR show that the 4cm uplift since August has reversed. Now there is vertical subsidence and significant NE horizontal movements mostly on the north part of the island (from GNSS</w:t>
      </w:r>
      <w:proofErr w:type="gramStart"/>
      <w:r w:rsidRPr="0084305F">
        <w:rPr>
          <w:rFonts w:ascii="Aptos" w:eastAsia="Aptos" w:hAnsi="Aptos" w:cs="Aptos"/>
          <w:snapToGrid/>
          <w:sz w:val="20"/>
          <w:szCs w:val="20"/>
          <w:lang w:val="en-US"/>
        </w:rPr>
        <w:t>).GNSS</w:t>
      </w:r>
      <w:proofErr w:type="gramEnd"/>
      <w:r w:rsidRPr="0084305F">
        <w:rPr>
          <w:rFonts w:ascii="Aptos" w:eastAsia="Aptos" w:hAnsi="Aptos" w:cs="Aptos"/>
          <w:snapToGrid/>
          <w:sz w:val="20"/>
          <w:szCs w:val="20"/>
          <w:lang w:val="en-US"/>
        </w:rPr>
        <w:t xml:space="preserve"> sensors have been deployed on Santorini and some other nearby Islands, together with some sea-level monitoring devices. The 1956 Amorgos earthquake resulted in a </w:t>
      </w:r>
      <w:proofErr w:type="gramStart"/>
      <w:r w:rsidRPr="0084305F">
        <w:rPr>
          <w:rFonts w:ascii="Aptos" w:eastAsia="Aptos" w:hAnsi="Aptos" w:cs="Aptos"/>
          <w:snapToGrid/>
          <w:sz w:val="20"/>
          <w:szCs w:val="20"/>
          <w:lang w:val="en-US"/>
        </w:rPr>
        <w:t>tsunami</w:t>
      </w:r>
      <w:proofErr w:type="gramEnd"/>
      <w:r w:rsidRPr="0084305F">
        <w:rPr>
          <w:rFonts w:ascii="Aptos" w:eastAsia="Aptos" w:hAnsi="Aptos" w:cs="Aptos"/>
          <w:snapToGrid/>
          <w:sz w:val="20"/>
          <w:szCs w:val="20"/>
          <w:lang w:val="en-US"/>
        </w:rPr>
        <w:t xml:space="preserve"> more than 10m in the region. The eruption of 1650 at </w:t>
      </w:r>
      <w:proofErr w:type="spellStart"/>
      <w:r w:rsidRPr="0084305F">
        <w:rPr>
          <w:rFonts w:ascii="Aptos" w:eastAsia="Aptos" w:hAnsi="Aptos" w:cs="Aptos"/>
          <w:snapToGrid/>
          <w:sz w:val="20"/>
          <w:szCs w:val="20"/>
          <w:lang w:val="en-US"/>
        </w:rPr>
        <w:t>Kolumbo</w:t>
      </w:r>
      <w:proofErr w:type="spellEnd"/>
      <w:r w:rsidRPr="0084305F">
        <w:rPr>
          <w:rFonts w:ascii="Aptos" w:eastAsia="Aptos" w:hAnsi="Aptos" w:cs="Aptos"/>
          <w:snapToGrid/>
          <w:sz w:val="20"/>
          <w:szCs w:val="20"/>
          <w:lang w:val="en-US"/>
        </w:rPr>
        <w:t xml:space="preserve"> Island also resulted in a tsunami at Santorini. The apocalyptic event of 1650 BC at the Santorini should also be noted. Possible scenarios include </w:t>
      </w:r>
    </w:p>
    <w:p w14:paraId="350A37C8"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640ABA63" w14:textId="77777777" w:rsidR="0084305F" w:rsidRPr="0084305F" w:rsidRDefault="0084305F" w:rsidP="0084305F">
      <w:pPr>
        <w:numPr>
          <w:ilvl w:val="0"/>
          <w:numId w:val="154"/>
        </w:numPr>
        <w:pBdr>
          <w:top w:val="nil"/>
          <w:left w:val="nil"/>
          <w:bottom w:val="nil"/>
          <w:right w:val="nil"/>
          <w:between w:val="nil"/>
        </w:pBd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 xml:space="preserve">Possible triggering of the Amorgos fault, which is not likely because of </w:t>
      </w:r>
      <w:proofErr w:type="gramStart"/>
      <w:r w:rsidRPr="0084305F">
        <w:rPr>
          <w:rFonts w:ascii="Aptos" w:eastAsia="Aptos" w:hAnsi="Aptos" w:cs="Aptos"/>
          <w:snapToGrid/>
          <w:color w:val="000000"/>
          <w:sz w:val="20"/>
          <w:szCs w:val="20"/>
          <w:lang w:val="en-US"/>
        </w:rPr>
        <w:t>1956</w:t>
      </w:r>
      <w:proofErr w:type="gramEnd"/>
      <w:r w:rsidRPr="0084305F">
        <w:rPr>
          <w:rFonts w:ascii="Aptos" w:eastAsia="Aptos" w:hAnsi="Aptos" w:cs="Aptos"/>
          <w:snapToGrid/>
          <w:color w:val="000000"/>
          <w:sz w:val="20"/>
          <w:szCs w:val="20"/>
          <w:lang w:val="en-US"/>
        </w:rPr>
        <w:t xml:space="preserve"> event</w:t>
      </w:r>
    </w:p>
    <w:p w14:paraId="0A9D53CA" w14:textId="77777777" w:rsidR="0084305F" w:rsidRPr="0084305F" w:rsidRDefault="0084305F" w:rsidP="0084305F">
      <w:pPr>
        <w:numPr>
          <w:ilvl w:val="0"/>
          <w:numId w:val="154"/>
        </w:numPr>
        <w:pBdr>
          <w:top w:val="nil"/>
          <w:left w:val="nil"/>
          <w:bottom w:val="nil"/>
          <w:right w:val="nil"/>
          <w:between w:val="nil"/>
        </w:pBd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Landslide triggered by an earthquake</w:t>
      </w:r>
    </w:p>
    <w:p w14:paraId="50A42E78" w14:textId="77777777" w:rsidR="0084305F" w:rsidRPr="0084305F" w:rsidRDefault="0084305F" w:rsidP="0084305F">
      <w:pPr>
        <w:numPr>
          <w:ilvl w:val="0"/>
          <w:numId w:val="154"/>
        </w:numPr>
        <w:pBdr>
          <w:top w:val="nil"/>
          <w:left w:val="nil"/>
          <w:bottom w:val="nil"/>
          <w:right w:val="nil"/>
          <w:between w:val="nil"/>
        </w:pBd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 xml:space="preserve">Volcanic eruption in </w:t>
      </w:r>
      <w:proofErr w:type="spellStart"/>
      <w:r w:rsidRPr="0084305F">
        <w:rPr>
          <w:rFonts w:ascii="Aptos" w:eastAsia="Aptos" w:hAnsi="Aptos" w:cs="Aptos"/>
          <w:snapToGrid/>
          <w:color w:val="000000"/>
          <w:sz w:val="20"/>
          <w:szCs w:val="20"/>
          <w:lang w:val="en-US"/>
        </w:rPr>
        <w:t>Kolumbo</w:t>
      </w:r>
      <w:proofErr w:type="spellEnd"/>
      <w:r w:rsidRPr="0084305F">
        <w:rPr>
          <w:rFonts w:ascii="Aptos" w:eastAsia="Aptos" w:hAnsi="Aptos" w:cs="Aptos"/>
          <w:snapToGrid/>
          <w:color w:val="000000"/>
          <w:sz w:val="20"/>
          <w:szCs w:val="20"/>
          <w:lang w:val="en-US"/>
        </w:rPr>
        <w:t xml:space="preserve"> or Santorini</w:t>
      </w:r>
    </w:p>
    <w:p w14:paraId="45979360" w14:textId="77777777" w:rsidR="0084305F" w:rsidRPr="0084305F" w:rsidRDefault="0084305F" w:rsidP="0084305F">
      <w:pPr>
        <w:numPr>
          <w:ilvl w:val="0"/>
          <w:numId w:val="154"/>
        </w:numPr>
        <w:pBdr>
          <w:top w:val="nil"/>
          <w:left w:val="nil"/>
          <w:bottom w:val="nil"/>
          <w:right w:val="nil"/>
          <w:between w:val="nil"/>
        </w:pBd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Gradual decrease in the seismicity and end of the swarm</w:t>
      </w:r>
    </w:p>
    <w:p w14:paraId="62FDA549"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37BAD270"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Seismic and volcanic scientific communities have been established in Greece and are conducting regular meetings to assist the Disaster &amp; Emergency Management Authorities. TSPs operate for earthquake triggered tsunamis, and currently no procedures exist for volcano triggered tsunamis. ICG/NEAMTWS in its last session had already established a dedicated Task Team on non-seismic tsunamis, and a closed meeting </w:t>
      </w:r>
      <w:proofErr w:type="spellStart"/>
      <w:r w:rsidRPr="0084305F">
        <w:rPr>
          <w:rFonts w:ascii="Aptos" w:eastAsia="Aptos" w:hAnsi="Aptos" w:cs="Aptos"/>
          <w:snapToGrid/>
          <w:sz w:val="20"/>
          <w:szCs w:val="20"/>
          <w:lang w:val="en-US"/>
        </w:rPr>
        <w:t>organised</w:t>
      </w:r>
      <w:proofErr w:type="spellEnd"/>
      <w:r w:rsidRPr="0084305F">
        <w:rPr>
          <w:rFonts w:ascii="Aptos" w:eastAsia="Aptos" w:hAnsi="Aptos" w:cs="Aptos"/>
          <w:snapToGrid/>
          <w:sz w:val="20"/>
          <w:szCs w:val="20"/>
          <w:lang w:val="en-US"/>
        </w:rPr>
        <w:t xml:space="preserve"> by IOC ICG-</w:t>
      </w:r>
      <w:proofErr w:type="gramStart"/>
      <w:r w:rsidRPr="0084305F">
        <w:rPr>
          <w:rFonts w:ascii="Aptos" w:eastAsia="Aptos" w:hAnsi="Aptos" w:cs="Aptos"/>
          <w:snapToGrid/>
          <w:sz w:val="20"/>
          <w:szCs w:val="20"/>
          <w:lang w:val="en-US"/>
        </w:rPr>
        <w:t>NEAMTWS  Secretariat</w:t>
      </w:r>
      <w:proofErr w:type="gramEnd"/>
      <w:r w:rsidRPr="0084305F">
        <w:rPr>
          <w:rFonts w:ascii="Aptos" w:eastAsia="Aptos" w:hAnsi="Aptos" w:cs="Aptos"/>
          <w:snapToGrid/>
          <w:sz w:val="20"/>
          <w:szCs w:val="20"/>
          <w:lang w:val="en-US"/>
        </w:rPr>
        <w:t xml:space="preserve">  took place last week to discuss the details of this ongoing phenomenon. </w:t>
      </w:r>
    </w:p>
    <w:p w14:paraId="1527E244"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361FFA6F" w14:textId="77777777" w:rsidR="0084305F" w:rsidRPr="0084305F" w:rsidRDefault="0084305F" w:rsidP="0084305F">
      <w:pPr>
        <w:tabs>
          <w:tab w:val="clear" w:pos="709"/>
        </w:tabs>
        <w:snapToGrid/>
        <w:rPr>
          <w:rFonts w:ascii="Aptos" w:eastAsia="Aptos" w:hAnsi="Aptos" w:cs="Aptos"/>
          <w:b/>
          <w:snapToGrid/>
          <w:sz w:val="20"/>
          <w:szCs w:val="20"/>
          <w:lang w:val="en-US"/>
        </w:rPr>
      </w:pPr>
    </w:p>
    <w:p w14:paraId="03D742DA" w14:textId="77777777" w:rsidR="0084305F" w:rsidRPr="0084305F" w:rsidRDefault="0084305F" w:rsidP="0084305F">
      <w:pPr>
        <w:tabs>
          <w:tab w:val="clear" w:pos="709"/>
        </w:tabs>
        <w:snapToGrid/>
        <w:rPr>
          <w:rFonts w:ascii="Aptos" w:eastAsia="Aptos" w:hAnsi="Aptos" w:cs="Aptos"/>
          <w:b/>
          <w:i/>
          <w:snapToGrid/>
          <w:sz w:val="20"/>
          <w:szCs w:val="20"/>
          <w:lang w:val="en-US"/>
        </w:rPr>
      </w:pPr>
      <w:r w:rsidRPr="0084305F">
        <w:rPr>
          <w:rFonts w:ascii="Aptos" w:eastAsia="Aptos" w:hAnsi="Aptos" w:cs="Aptos"/>
          <w:b/>
          <w:i/>
          <w:snapToGrid/>
          <w:sz w:val="20"/>
          <w:szCs w:val="20"/>
          <w:lang w:val="en-US"/>
        </w:rPr>
        <w:t>CARIBE-EWS</w:t>
      </w:r>
    </w:p>
    <w:p w14:paraId="742C6674" w14:textId="77777777" w:rsidR="0084305F" w:rsidRPr="0084305F" w:rsidRDefault="0084305F" w:rsidP="0084305F">
      <w:pPr>
        <w:tabs>
          <w:tab w:val="clear" w:pos="709"/>
        </w:tabs>
        <w:snapToGrid/>
        <w:rPr>
          <w:rFonts w:ascii="Aptos" w:eastAsia="Aptos" w:hAnsi="Aptos" w:cs="Aptos"/>
          <w:b/>
          <w:snapToGrid/>
          <w:sz w:val="20"/>
          <w:szCs w:val="20"/>
          <w:lang w:val="en-US"/>
        </w:rPr>
      </w:pPr>
    </w:p>
    <w:p w14:paraId="6663785C"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Charles McCreery, Director of PTWC, reported on significant tsunami events in the Caribbean.  He noted that the Caribbean region generally has fewer large earthquakes than other regions and that only two events in the past year warranted products from PTWC as the CARIBE-EWS TSP.   The first of these was for a magnitude 6.8 earthquake near Cuba on November 10, 2024, that resulted in a Tsunami Information Statement indicating no tsunami threat. The second event was more significant, a magnitude 7.6 earthquake between Honduras and the Cayman Islands on February 8, 2025, that produced a small tsunami and prompted a series of 5 Tsunami Threat Messages from PTWC. Dr. McCreery provided an overview of the messages issued by the PTWC for the M7.6 8 February 2025 event. The event occurred on 23:23:14 UTC in south-west of Cayman Islands / north-eastern Honduras on a transform fault, which defines the plate boundary between the Caribbean and North American plates. This strike-slip event is most likely associated with the Swan Islands transform fault and has similar characteristics of a nearby event that occurred in 2018. The first alarm at PTWC was triggered 1 min 33 sec after the event </w:t>
      </w:r>
      <w:proofErr w:type="gramStart"/>
      <w:r w:rsidRPr="0084305F">
        <w:rPr>
          <w:rFonts w:ascii="Aptos" w:eastAsia="Aptos" w:hAnsi="Aptos" w:cs="Aptos"/>
          <w:snapToGrid/>
          <w:sz w:val="20"/>
          <w:szCs w:val="20"/>
          <w:lang w:val="en-US"/>
        </w:rPr>
        <w:t>origin time</w:t>
      </w:r>
      <w:proofErr w:type="gramEnd"/>
      <w:r w:rsidRPr="0084305F">
        <w:rPr>
          <w:rFonts w:ascii="Aptos" w:eastAsia="Aptos" w:hAnsi="Aptos" w:cs="Aptos"/>
          <w:snapToGrid/>
          <w:sz w:val="20"/>
          <w:szCs w:val="20"/>
          <w:lang w:val="en-US"/>
        </w:rPr>
        <w:t xml:space="preserve"> and the analyses gave the earthquake a preliminary magnitude of 8.0 and a depth of 33km. The first CARIBE-EWS Threat Message was issued 6 min 7 sec after the earthquake origin time at 23:29 UTC with these parameters, indicating the possibility of hazardous tsunami waves from this earthquake within the next three hours along some coasts of Cayman Islands, Jamaica, Cuba, Mexico, Honduras, Bahamas, Haiti, Turks and Caicos, Belize, Dominican Republic, Panama, Puerto Rico, Costa Rica, Aruba, Bonaire, Curacao, US Virgin Islands, British Virgin Islands and Saba (Netherlands). CARIBE-EWS Tsunami Threat Message #2 was issued at 23:42 UTC lowering the earthquake magnitude to 7.6. This change modified the list of countries with a potential tsunami threat to those within 1000 km of epicenter (Bahamas, Belize, Cayman Islands, Costa Rica, Cuba, Haiti, Guatemala, Honduras, Jamaica, Mexico, Nicaragua, and Panama). </w:t>
      </w:r>
    </w:p>
    <w:p w14:paraId="110D43F5"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44F4BC03"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PTWC tried to also call the earliest arrival countries but were not successful as many of the lines were busy or unresponsive. This is understandable, as each agency was busy with monitoring and responding to the event. He then showed the </w:t>
      </w:r>
      <w:proofErr w:type="gramStart"/>
      <w:r w:rsidRPr="0084305F">
        <w:rPr>
          <w:rFonts w:ascii="Aptos" w:eastAsia="Aptos" w:hAnsi="Aptos" w:cs="Aptos"/>
          <w:snapToGrid/>
          <w:sz w:val="20"/>
          <w:szCs w:val="20"/>
          <w:lang w:val="en-US"/>
        </w:rPr>
        <w:t>current status</w:t>
      </w:r>
      <w:proofErr w:type="gramEnd"/>
      <w:r w:rsidRPr="0084305F">
        <w:rPr>
          <w:rFonts w:ascii="Aptos" w:eastAsia="Aptos" w:hAnsi="Aptos" w:cs="Aptos"/>
          <w:snapToGrid/>
          <w:sz w:val="20"/>
          <w:szCs w:val="20"/>
          <w:lang w:val="en-US"/>
        </w:rPr>
        <w:t xml:space="preserve"> of the sea-level stations and stated that if more station data were timely available, </w:t>
      </w:r>
      <w:proofErr w:type="gramStart"/>
      <w:r w:rsidRPr="0084305F">
        <w:rPr>
          <w:rFonts w:ascii="Aptos" w:eastAsia="Aptos" w:hAnsi="Aptos" w:cs="Aptos"/>
          <w:snapToGrid/>
          <w:sz w:val="20"/>
          <w:szCs w:val="20"/>
          <w:lang w:val="en-US"/>
        </w:rPr>
        <w:t>a confirmation</w:t>
      </w:r>
      <w:proofErr w:type="gramEnd"/>
      <w:r w:rsidRPr="0084305F">
        <w:rPr>
          <w:rFonts w:ascii="Aptos" w:eastAsia="Aptos" w:hAnsi="Aptos" w:cs="Aptos"/>
          <w:snapToGrid/>
          <w:sz w:val="20"/>
          <w:szCs w:val="20"/>
          <w:lang w:val="en-US"/>
        </w:rPr>
        <w:t xml:space="preserve"> of the tsunami threat would have been possible much earlier. </w:t>
      </w:r>
    </w:p>
    <w:p w14:paraId="7BDD86CB"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7C89136D"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The PTWC CMT computation completed providing an earthquake source mechanism which indicated a M7.6 in agreement with the preliminary USGS CMT value. It further confirmed that the mechanism was a strike-slip, in agreement with the local tectonics with less tsunamigenic potential. Using this CMT, two RIFT tsunami forecasts were run, evaluated, and the more conservative of the two, which was the one in agreement with the tectonics, was judged acceptable to use in the products.</w:t>
      </w:r>
    </w:p>
    <w:p w14:paraId="31BB3C34"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77015740"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CARIBE-EWS Tsunami Threat Message #3 was issued at 00:24 UTC, including the </w:t>
      </w:r>
      <w:proofErr w:type="gramStart"/>
      <w:r w:rsidRPr="0084305F">
        <w:rPr>
          <w:rFonts w:ascii="Aptos" w:eastAsia="Aptos" w:hAnsi="Aptos" w:cs="Aptos"/>
          <w:snapToGrid/>
          <w:sz w:val="20"/>
          <w:szCs w:val="20"/>
          <w:lang w:val="en-US"/>
        </w:rPr>
        <w:t>aforementioned RIFT</w:t>
      </w:r>
      <w:proofErr w:type="gramEnd"/>
      <w:r w:rsidRPr="0084305F">
        <w:rPr>
          <w:rFonts w:ascii="Aptos" w:eastAsia="Aptos" w:hAnsi="Aptos" w:cs="Aptos"/>
          <w:snapToGrid/>
          <w:sz w:val="20"/>
          <w:szCs w:val="20"/>
          <w:lang w:val="en-US"/>
        </w:rPr>
        <w:t xml:space="preserve"> forecast. Based on that run, the only countries having forecast coastal amplitudes above the minimum hazard amplitude of 0.3m were the Cayman Islands, Cuba and Honduras. It was noted that no sea-level readings were yet available to validate the forecast, but such data were expected in the next 30 minutes to an hour.</w:t>
      </w:r>
    </w:p>
    <w:p w14:paraId="097D3394"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3307C06"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McCreery also provided a brief description of the PTWC Enhanced </w:t>
      </w:r>
      <w:proofErr w:type="gramStart"/>
      <w:r w:rsidRPr="0084305F">
        <w:rPr>
          <w:rFonts w:ascii="Aptos" w:eastAsia="Aptos" w:hAnsi="Aptos" w:cs="Aptos"/>
          <w:snapToGrid/>
          <w:sz w:val="20"/>
          <w:szCs w:val="20"/>
          <w:lang w:val="en-US"/>
        </w:rPr>
        <w:t>Products..</w:t>
      </w:r>
      <w:proofErr w:type="gramEnd"/>
      <w:r w:rsidRPr="0084305F">
        <w:rPr>
          <w:rFonts w:ascii="Aptos" w:eastAsia="Aptos" w:hAnsi="Aptos" w:cs="Aptos"/>
          <w:snapToGrid/>
          <w:sz w:val="20"/>
          <w:szCs w:val="20"/>
          <w:lang w:val="en-US"/>
        </w:rPr>
        <w:t xml:space="preserve"> At 01:21 UTC, CARIBE-EWS Tsunami Threat Message #4 was issued. It included the same RIFT forecast and the sea-level reading from Isla Mujeres, Mexico. It noted that the threat would continue until additional sea-level data were received to confirm the threat had passed. After this, additional data </w:t>
      </w:r>
      <w:proofErr w:type="gramStart"/>
      <w:r w:rsidRPr="0084305F">
        <w:rPr>
          <w:rFonts w:ascii="Aptos" w:eastAsia="Aptos" w:hAnsi="Aptos" w:cs="Aptos"/>
          <w:snapToGrid/>
          <w:sz w:val="20"/>
          <w:szCs w:val="20"/>
          <w:lang w:val="en-US"/>
        </w:rPr>
        <w:t>were</w:t>
      </w:r>
      <w:proofErr w:type="gramEnd"/>
      <w:r w:rsidRPr="0084305F">
        <w:rPr>
          <w:rFonts w:ascii="Aptos" w:eastAsia="Aptos" w:hAnsi="Aptos" w:cs="Aptos"/>
          <w:snapToGrid/>
          <w:sz w:val="20"/>
          <w:szCs w:val="20"/>
          <w:lang w:val="en-US"/>
        </w:rPr>
        <w:t xml:space="preserve"> received from the gauge at Isla Mujeres, and the tsunami arrived on two other gauges in the region with no discernible amplitude. A CARIBE-EWS Final Tsunami Threat Message #5 was issued at 02:00 UTC. It included an updated sea-level reading from Isla Mujeres of 0.04m. It was noted that based on all sea level data the threat had now largely passed and that only additional minor sea level fluctuations might occur over the next few hours. </w:t>
      </w:r>
    </w:p>
    <w:p w14:paraId="1612C20E"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68AB5EB0"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Alison Brome reported on the follow-up actions, including the “hot-wash” webinar organized by the Secretariat on 12 February 2025, in which at least 106 representatives (some connections were from video-conference rooms) from 25 ICG/CARIBE-EWS Member States participated, </w:t>
      </w:r>
      <w:proofErr w:type="gramStart"/>
      <w:r w:rsidRPr="0084305F">
        <w:rPr>
          <w:rFonts w:ascii="Aptos" w:eastAsia="Aptos" w:hAnsi="Aptos" w:cs="Aptos"/>
          <w:snapToGrid/>
          <w:sz w:val="20"/>
          <w:szCs w:val="20"/>
          <w:lang w:val="en-US"/>
        </w:rPr>
        <w:t>and also</w:t>
      </w:r>
      <w:proofErr w:type="gramEnd"/>
      <w:r w:rsidRPr="0084305F">
        <w:rPr>
          <w:rFonts w:ascii="Aptos" w:eastAsia="Aptos" w:hAnsi="Aptos" w:cs="Aptos"/>
          <w:snapToGrid/>
          <w:sz w:val="20"/>
          <w:szCs w:val="20"/>
          <w:lang w:val="en-US"/>
        </w:rPr>
        <w:t xml:space="preserve"> efforts towards a possible post-event assessment survey and reminded the group on the background. The IOC Assembly accepted a Post-Event Assessment Questionnaire which was designed and recommended by the TOWS-</w:t>
      </w:r>
      <w:r w:rsidRPr="0084305F">
        <w:rPr>
          <w:rFonts w:ascii="Aptos" w:eastAsia="Aptos" w:hAnsi="Aptos" w:cs="Aptos"/>
          <w:snapToGrid/>
          <w:sz w:val="20"/>
          <w:szCs w:val="20"/>
          <w:lang w:val="en-US"/>
        </w:rPr>
        <w:lastRenderedPageBreak/>
        <w:t>WG Task Teams on Tsunami Watch Operations and Disaster Management and Preparedness. This questionnaire was further approved by the Working Group on Tsunami and other Hazards related to Sea-Level Warning and Mitigation Systems (IOC/TOWS-WG-VIII/3) at its Eighth session in 2015. The criteria for the triggering of an assessment were approved by IOC/TOWS-WG-VIII and endorsed, together with the questionnaire, at the 28th session of the IOC Assembly, Paris, 18–25 June 2015 (IOC-XXVIII/3), as follows:</w:t>
      </w:r>
    </w:p>
    <w:p w14:paraId="115C6A58"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16874BB" w14:textId="77777777" w:rsidR="0084305F" w:rsidRPr="0084305F" w:rsidRDefault="0084305F" w:rsidP="0084305F">
      <w:pPr>
        <w:tabs>
          <w:tab w:val="clear" w:pos="709"/>
        </w:tabs>
        <w:snapToGrid/>
        <w:jc w:val="both"/>
        <w:rPr>
          <w:rFonts w:ascii="Aptos" w:eastAsia="Aptos" w:hAnsi="Aptos" w:cs="Aptos"/>
          <w:i/>
          <w:snapToGrid/>
          <w:sz w:val="20"/>
          <w:szCs w:val="20"/>
          <w:lang w:val="en-US"/>
        </w:rPr>
      </w:pPr>
      <w:r w:rsidRPr="0084305F">
        <w:rPr>
          <w:rFonts w:ascii="Aptos" w:eastAsia="Aptos" w:hAnsi="Aptos" w:cs="Aptos"/>
          <w:i/>
          <w:snapToGrid/>
          <w:sz w:val="20"/>
          <w:szCs w:val="20"/>
          <w:lang w:val="en-US"/>
        </w:rPr>
        <w:t>The Task Teams further recommend that the trigger for implementing an assessment should be a tsunami threat of &gt;1 m amplitude forecast in 1 or more countries in a region. Over and above this trigger level, the final decision to implement a survey should be decided by the regional Tsunami Information Centre (TIC) in consultation with the ICG Steering Group and Secretariat taking into consideration whether the tsunami resulted in a national response in one or more countries.</w:t>
      </w:r>
    </w:p>
    <w:p w14:paraId="3F52FDB4"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6DDBBF13"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In PTWC Tsunami Threat Messages numbers 3 and 4, it was indicated that “TSUNAMI WAVES REACHING 1 TO 3 METERS ABOVE THE TIDE LEVEL ARE POSSIBLE ALONG SOME COASTS OF CUBA”. The maximum instrumental sea-level observation was reported as 0.04 m at Isla Mujeres, </w:t>
      </w:r>
      <w:proofErr w:type="spellStart"/>
      <w:r w:rsidRPr="0084305F">
        <w:rPr>
          <w:rFonts w:ascii="Aptos" w:eastAsia="Aptos" w:hAnsi="Aptos" w:cs="Aptos"/>
          <w:snapToGrid/>
          <w:sz w:val="20"/>
          <w:szCs w:val="20"/>
          <w:lang w:val="en-US"/>
        </w:rPr>
        <w:t>Mexicoin</w:t>
      </w:r>
      <w:proofErr w:type="spellEnd"/>
      <w:r w:rsidRPr="0084305F">
        <w:rPr>
          <w:rFonts w:ascii="Aptos" w:eastAsia="Aptos" w:hAnsi="Aptos" w:cs="Aptos"/>
          <w:snapToGrid/>
          <w:sz w:val="20"/>
          <w:szCs w:val="20"/>
          <w:lang w:val="en-US"/>
        </w:rPr>
        <w:t xml:space="preserve"> Tsunami Threat Message number </w:t>
      </w:r>
      <w:proofErr w:type="gramStart"/>
      <w:r w:rsidRPr="0084305F">
        <w:rPr>
          <w:rFonts w:ascii="Aptos" w:eastAsia="Aptos" w:hAnsi="Aptos" w:cs="Aptos"/>
          <w:snapToGrid/>
          <w:sz w:val="20"/>
          <w:szCs w:val="20"/>
          <w:lang w:val="en-US"/>
        </w:rPr>
        <w:t>5.The</w:t>
      </w:r>
      <w:proofErr w:type="gramEnd"/>
      <w:r w:rsidRPr="0084305F">
        <w:rPr>
          <w:rFonts w:ascii="Aptos" w:eastAsia="Aptos" w:hAnsi="Aptos" w:cs="Aptos"/>
          <w:snapToGrid/>
          <w:sz w:val="20"/>
          <w:szCs w:val="20"/>
          <w:lang w:val="en-US"/>
        </w:rPr>
        <w:t xml:space="preserve"> Steering Committee of the ICG/CARIBE-EWS is now evaluating the need for a post-assessment survey, and if yes, whether it should include all ICG/CARIBE-EWS Member States or only a sub-set of them as listed in the PTWC messages. A timeline for reporting by ICG/CARIBE-EWS XVIII (tentatively scheduled for 5-7 &amp; 9 May 2025) was also proposed to the Steering Committee, in case a decision is made on proceeding with the survey.</w:t>
      </w:r>
    </w:p>
    <w:p w14:paraId="223E3031"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46CB9E0B"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Necmioglu reported that one of the most important </w:t>
      </w:r>
      <w:proofErr w:type="gramStart"/>
      <w:r w:rsidRPr="0084305F">
        <w:rPr>
          <w:rFonts w:ascii="Aptos" w:eastAsia="Aptos" w:hAnsi="Aptos" w:cs="Aptos"/>
          <w:snapToGrid/>
          <w:sz w:val="20"/>
          <w:szCs w:val="20"/>
          <w:lang w:val="en-US"/>
        </w:rPr>
        <w:t>feedback</w:t>
      </w:r>
      <w:proofErr w:type="gramEnd"/>
      <w:r w:rsidRPr="0084305F">
        <w:rPr>
          <w:rFonts w:ascii="Aptos" w:eastAsia="Aptos" w:hAnsi="Aptos" w:cs="Aptos"/>
          <w:snapToGrid/>
          <w:sz w:val="20"/>
          <w:szCs w:val="20"/>
          <w:lang w:val="en-US"/>
        </w:rPr>
        <w:t xml:space="preserve"> received from the hot wash webinar was the complexities and challenges arising from the dissemination of all-clear messages from other countries in the region propagating widely through </w:t>
      </w:r>
      <w:proofErr w:type="gramStart"/>
      <w:r w:rsidRPr="0084305F">
        <w:rPr>
          <w:rFonts w:ascii="Aptos" w:eastAsia="Aptos" w:hAnsi="Aptos" w:cs="Aptos"/>
          <w:snapToGrid/>
          <w:sz w:val="20"/>
          <w:szCs w:val="20"/>
          <w:lang w:val="en-US"/>
        </w:rPr>
        <w:t>the social</w:t>
      </w:r>
      <w:proofErr w:type="gramEnd"/>
      <w:r w:rsidRPr="0084305F">
        <w:rPr>
          <w:rFonts w:ascii="Aptos" w:eastAsia="Aptos" w:hAnsi="Aptos" w:cs="Aptos"/>
          <w:snapToGrid/>
          <w:sz w:val="20"/>
          <w:szCs w:val="20"/>
          <w:lang w:val="en-US"/>
        </w:rPr>
        <w:t xml:space="preserve"> media channels. A suggestion was made that </w:t>
      </w:r>
      <w:r w:rsidRPr="0084305F">
        <w:rPr>
          <w:rFonts w:ascii="Aptos" w:eastAsia="Aptos" w:hAnsi="Aptos" w:cs="Aptos"/>
          <w:snapToGrid/>
          <w:color w:val="000000"/>
          <w:sz w:val="20"/>
          <w:szCs w:val="20"/>
          <w:lang w:val="en-US"/>
        </w:rPr>
        <w:t xml:space="preserve">no Member State should announce an all-clear message </w:t>
      </w:r>
      <w:proofErr w:type="gramStart"/>
      <w:r w:rsidRPr="0084305F">
        <w:rPr>
          <w:rFonts w:ascii="Aptos" w:eastAsia="Aptos" w:hAnsi="Aptos" w:cs="Aptos"/>
          <w:snapToGrid/>
          <w:color w:val="000000"/>
          <w:sz w:val="20"/>
          <w:szCs w:val="20"/>
          <w:lang w:val="en-US"/>
        </w:rPr>
        <w:t>prior</w:t>
      </w:r>
      <w:proofErr w:type="gramEnd"/>
      <w:r w:rsidRPr="0084305F">
        <w:rPr>
          <w:rFonts w:ascii="Aptos" w:eastAsia="Aptos" w:hAnsi="Aptos" w:cs="Aptos"/>
          <w:snapToGrid/>
          <w:color w:val="000000"/>
          <w:sz w:val="20"/>
          <w:szCs w:val="20"/>
          <w:lang w:val="en-US"/>
        </w:rPr>
        <w:t xml:space="preserve"> the final message of the TSP (in this case PTWC) is issued. </w:t>
      </w:r>
      <w:r w:rsidRPr="0084305F">
        <w:rPr>
          <w:rFonts w:ascii="Aptos" w:eastAsia="Aptos" w:hAnsi="Aptos" w:cs="Aptos"/>
          <w:snapToGrid/>
          <w:sz w:val="20"/>
          <w:szCs w:val="20"/>
          <w:lang w:val="en-US"/>
        </w:rPr>
        <w:t xml:space="preserve">He further invited the group to advise on which bulletin a decision on the need for a post-event assessment </w:t>
      </w:r>
      <w:proofErr w:type="gramStart"/>
      <w:r w:rsidRPr="0084305F">
        <w:rPr>
          <w:rFonts w:ascii="Aptos" w:eastAsia="Aptos" w:hAnsi="Aptos" w:cs="Aptos"/>
          <w:snapToGrid/>
          <w:sz w:val="20"/>
          <w:szCs w:val="20"/>
          <w:lang w:val="en-US"/>
        </w:rPr>
        <w:t>survey</w:t>
      </w:r>
      <w:proofErr w:type="gramEnd"/>
      <w:r w:rsidRPr="0084305F">
        <w:rPr>
          <w:rFonts w:ascii="Aptos" w:eastAsia="Aptos" w:hAnsi="Aptos" w:cs="Aptos"/>
          <w:snapToGrid/>
          <w:sz w:val="20"/>
          <w:szCs w:val="20"/>
          <w:lang w:val="en-US"/>
        </w:rPr>
        <w:t xml:space="preserve"> needs to be </w:t>
      </w:r>
      <w:proofErr w:type="gramStart"/>
      <w:r w:rsidRPr="0084305F">
        <w:rPr>
          <w:rFonts w:ascii="Aptos" w:eastAsia="Aptos" w:hAnsi="Aptos" w:cs="Aptos"/>
          <w:snapToGrid/>
          <w:sz w:val="20"/>
          <w:szCs w:val="20"/>
          <w:lang w:val="en-US"/>
        </w:rPr>
        <w:t>made</w:t>
      </w:r>
      <w:proofErr w:type="gramEnd"/>
      <w:r w:rsidRPr="0084305F">
        <w:rPr>
          <w:rFonts w:ascii="Aptos" w:eastAsia="Aptos" w:hAnsi="Aptos" w:cs="Aptos"/>
          <w:snapToGrid/>
          <w:sz w:val="20"/>
          <w:szCs w:val="20"/>
          <w:lang w:val="en-US"/>
        </w:rPr>
        <w:t>, noting that the initial and follow-up bulletins may include different forecast/threat levels.</w:t>
      </w:r>
    </w:p>
    <w:p w14:paraId="0C7AE876"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6234AFE3"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Dr Necmioglu further reminded on the continuing challenges in maintaining an accurate TNC/TWFP/NTWC contact database through the Secretariat, which is not a 7/24 operational entity. Currently, the collection of the TNC/TWFP/NTWC data is governed through </w:t>
      </w:r>
      <w:hyperlink r:id="rId75">
        <w:r w:rsidRPr="0084305F">
          <w:rPr>
            <w:rFonts w:ascii="Aptos" w:eastAsia="Aptos" w:hAnsi="Aptos" w:cs="Aptos"/>
            <w:snapToGrid/>
            <w:sz w:val="20"/>
            <w:szCs w:val="20"/>
            <w:lang w:val="en-US"/>
          </w:rPr>
          <w:t>CL-2558</w:t>
        </w:r>
      </w:hyperlink>
      <w:r w:rsidRPr="0084305F">
        <w:rPr>
          <w:rFonts w:ascii="Aptos" w:eastAsia="Aptos" w:hAnsi="Aptos" w:cs="Aptos"/>
          <w:snapToGrid/>
          <w:sz w:val="20"/>
          <w:szCs w:val="20"/>
          <w:lang w:val="en-US"/>
        </w:rPr>
        <w:t> and </w:t>
      </w:r>
      <w:hyperlink r:id="rId76">
        <w:r w:rsidRPr="0084305F">
          <w:rPr>
            <w:rFonts w:ascii="Aptos" w:eastAsia="Aptos" w:hAnsi="Aptos" w:cs="Aptos"/>
            <w:snapToGrid/>
            <w:sz w:val="20"/>
            <w:szCs w:val="20"/>
            <w:lang w:val="en-US"/>
          </w:rPr>
          <w:t>CL-2563</w:t>
        </w:r>
      </w:hyperlink>
      <w:r w:rsidRPr="0084305F">
        <w:rPr>
          <w:rFonts w:ascii="Aptos" w:eastAsia="Aptos" w:hAnsi="Aptos" w:cs="Aptos"/>
          <w:snapToGrid/>
          <w:sz w:val="20"/>
          <w:szCs w:val="20"/>
          <w:lang w:val="en-US"/>
        </w:rPr>
        <w:t xml:space="preserve">, and he feels that there is a strong need to revisit how we collect/compile/serve such data, taking into considerations recent developments, such as cease of fax dissemination, but also some additional roles that have been defined in some ICGs (such as Tsunami Ready Focal Point in the IOTWMS), which does not necessarily exist (yet) in other ICGs. Some Member States have more than one TNC, </w:t>
      </w:r>
      <w:proofErr w:type="gramStart"/>
      <w:r w:rsidRPr="0084305F">
        <w:rPr>
          <w:rFonts w:ascii="Aptos" w:eastAsia="Aptos" w:hAnsi="Aptos" w:cs="Aptos"/>
          <w:snapToGrid/>
          <w:sz w:val="20"/>
          <w:szCs w:val="20"/>
          <w:lang w:val="en-US"/>
        </w:rPr>
        <w:t>and while</w:t>
      </w:r>
      <w:proofErr w:type="gramEnd"/>
      <w:r w:rsidRPr="0084305F">
        <w:rPr>
          <w:rFonts w:ascii="Aptos" w:eastAsia="Aptos" w:hAnsi="Aptos" w:cs="Aptos"/>
          <w:snapToGrid/>
          <w:sz w:val="20"/>
          <w:szCs w:val="20"/>
          <w:lang w:val="en-US"/>
        </w:rPr>
        <w:t xml:space="preserve"> to a certain degree it can be agreed to have two TNCs for a given Member State to balance the requirements of the upstream and downstream components of tsunami </w:t>
      </w:r>
      <w:proofErr w:type="gramStart"/>
      <w:r w:rsidRPr="0084305F">
        <w:rPr>
          <w:rFonts w:ascii="Aptos" w:eastAsia="Aptos" w:hAnsi="Aptos" w:cs="Aptos"/>
          <w:snapToGrid/>
          <w:sz w:val="20"/>
          <w:szCs w:val="20"/>
          <w:lang w:val="en-US"/>
        </w:rPr>
        <w:t>resilience,.</w:t>
      </w:r>
      <w:proofErr w:type="gramEnd"/>
      <w:r w:rsidRPr="0084305F">
        <w:rPr>
          <w:rFonts w:ascii="Aptos" w:eastAsia="Aptos" w:hAnsi="Aptos" w:cs="Aptos"/>
          <w:snapToGrid/>
          <w:sz w:val="20"/>
          <w:szCs w:val="20"/>
          <w:lang w:val="en-US"/>
        </w:rPr>
        <w:t xml:space="preserve"> In some Member States there are more than 3 TNCs, and similar cases exist also for TWFPs up to 5 TWFPs for certain Member States. Hence it would be highly advisable that </w:t>
      </w:r>
      <w:r w:rsidRPr="0084305F">
        <w:rPr>
          <w:rFonts w:ascii="Aptos" w:eastAsia="Aptos" w:hAnsi="Aptos" w:cs="Aptos"/>
          <w:snapToGrid/>
          <w:color w:val="000000"/>
          <w:sz w:val="20"/>
          <w:szCs w:val="20"/>
          <w:lang w:val="en-US"/>
        </w:rPr>
        <w:t xml:space="preserve">the TTWO and perhaps even better the Joint TTDMP-TTTWO consider this issue in its work </w:t>
      </w:r>
      <w:proofErr w:type="spellStart"/>
      <w:r w:rsidRPr="0084305F">
        <w:rPr>
          <w:rFonts w:ascii="Aptos" w:eastAsia="Aptos" w:hAnsi="Aptos" w:cs="Aptos"/>
          <w:snapToGrid/>
          <w:color w:val="000000"/>
          <w:sz w:val="20"/>
          <w:szCs w:val="20"/>
          <w:lang w:val="en-US"/>
        </w:rPr>
        <w:t>programme</w:t>
      </w:r>
      <w:proofErr w:type="spellEnd"/>
      <w:r w:rsidRPr="0084305F">
        <w:rPr>
          <w:rFonts w:ascii="Aptos" w:eastAsia="Aptos" w:hAnsi="Aptos" w:cs="Aptos"/>
          <w:snapToGrid/>
          <w:color w:val="000000"/>
          <w:sz w:val="20"/>
          <w:szCs w:val="20"/>
          <w:lang w:val="en-US"/>
        </w:rPr>
        <w:t xml:space="preserve"> with the aim </w:t>
      </w:r>
      <w:proofErr w:type="gramStart"/>
      <w:r w:rsidRPr="0084305F">
        <w:rPr>
          <w:rFonts w:ascii="Aptos" w:eastAsia="Aptos" w:hAnsi="Aptos" w:cs="Aptos"/>
          <w:snapToGrid/>
          <w:color w:val="000000"/>
          <w:sz w:val="20"/>
          <w:szCs w:val="20"/>
          <w:lang w:val="en-US"/>
        </w:rPr>
        <w:t>for</w:t>
      </w:r>
      <w:proofErr w:type="gramEnd"/>
      <w:r w:rsidRPr="0084305F">
        <w:rPr>
          <w:rFonts w:ascii="Aptos" w:eastAsia="Aptos" w:hAnsi="Aptos" w:cs="Aptos"/>
          <w:snapToGrid/>
          <w:color w:val="000000"/>
          <w:sz w:val="20"/>
          <w:szCs w:val="20"/>
          <w:lang w:val="en-US"/>
        </w:rPr>
        <w:t xml:space="preserve"> developing a revised form to collect TNC/TWFP/NTWC data from Member States and agree on a mechanism that would simplify and standardize the procedures both in collecting and making this data available to TSPs and TNCs. </w:t>
      </w:r>
      <w:r w:rsidRPr="0084305F">
        <w:rPr>
          <w:rFonts w:ascii="Aptos" w:eastAsia="Aptos" w:hAnsi="Aptos" w:cs="Aptos"/>
          <w:snapToGrid/>
          <w:sz w:val="20"/>
          <w:szCs w:val="20"/>
          <w:lang w:val="en-US"/>
        </w:rPr>
        <w:t>Highlights of such an effort could include clear separation of the roles, such as elimination of the request for section 3 (Designated Communication Method Information (operational on 7/24 Basis)", which introduces an ambiguity) with section 2 (Tsunami Warning Focal Point (TWFP) for receiving Tsunami Bulletins).</w:t>
      </w:r>
    </w:p>
    <w:p w14:paraId="1A4C7A13"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02F3DFE1"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Laura Kong commented that </w:t>
      </w:r>
      <w:r w:rsidRPr="0084305F">
        <w:rPr>
          <w:rFonts w:ascii="Aptos" w:eastAsia="Aptos" w:hAnsi="Aptos" w:cs="Aptos"/>
          <w:snapToGrid/>
          <w:color w:val="000000"/>
          <w:sz w:val="20"/>
          <w:szCs w:val="20"/>
          <w:lang w:val="en-US"/>
        </w:rPr>
        <w:t xml:space="preserve">each ICG should have the liberty to decide on a post-event assessment survey based on their need and </w:t>
      </w:r>
      <w:proofErr w:type="gramStart"/>
      <w:r w:rsidRPr="0084305F">
        <w:rPr>
          <w:rFonts w:ascii="Aptos" w:eastAsia="Aptos" w:hAnsi="Aptos" w:cs="Aptos"/>
          <w:snapToGrid/>
          <w:sz w:val="20"/>
          <w:szCs w:val="20"/>
          <w:lang w:val="en-US"/>
        </w:rPr>
        <w:t xml:space="preserve">does </w:t>
      </w:r>
      <w:r w:rsidRPr="0084305F">
        <w:rPr>
          <w:rFonts w:ascii="Aptos" w:eastAsia="Aptos" w:hAnsi="Aptos" w:cs="Aptos"/>
          <w:snapToGrid/>
          <w:color w:val="000000"/>
          <w:sz w:val="20"/>
          <w:szCs w:val="20"/>
          <w:lang w:val="en-US"/>
        </w:rPr>
        <w:t xml:space="preserve"> not</w:t>
      </w:r>
      <w:proofErr w:type="gramEnd"/>
      <w:r w:rsidRPr="0084305F">
        <w:rPr>
          <w:rFonts w:ascii="Aptos" w:eastAsia="Aptos" w:hAnsi="Aptos" w:cs="Aptos"/>
          <w:snapToGrid/>
          <w:color w:val="000000"/>
          <w:sz w:val="20"/>
          <w:szCs w:val="20"/>
          <w:lang w:val="en-US"/>
        </w:rPr>
        <w:t xml:space="preserve"> necessarily have to follow the survey structure as defined by the TOWS-WG in 2015</w:t>
      </w:r>
      <w:r w:rsidRPr="0084305F">
        <w:rPr>
          <w:rFonts w:ascii="Aptos" w:eastAsia="Aptos" w:hAnsi="Aptos" w:cs="Aptos"/>
          <w:snapToGrid/>
          <w:sz w:val="20"/>
          <w:szCs w:val="20"/>
          <w:lang w:val="en-US"/>
        </w:rPr>
        <w:t xml:space="preserve">.  </w:t>
      </w:r>
      <w:proofErr w:type="spellStart"/>
      <w:proofErr w:type="gramStart"/>
      <w:r w:rsidRPr="0084305F">
        <w:rPr>
          <w:rFonts w:ascii="Aptos" w:eastAsia="Aptos" w:hAnsi="Aptos" w:cs="Aptos"/>
          <w:snapToGrid/>
          <w:sz w:val="20"/>
          <w:szCs w:val="20"/>
          <w:lang w:val="en-US"/>
        </w:rPr>
        <w:t>She</w:t>
      </w:r>
      <w:r w:rsidRPr="0084305F">
        <w:rPr>
          <w:rFonts w:ascii="Aptos" w:eastAsia="Aptos" w:hAnsi="Aptos" w:cs="Aptos"/>
          <w:snapToGrid/>
          <w:color w:val="000000"/>
          <w:sz w:val="20"/>
          <w:szCs w:val="20"/>
          <w:lang w:val="en-US"/>
        </w:rPr>
        <w:t>also</w:t>
      </w:r>
      <w:proofErr w:type="spellEnd"/>
      <w:proofErr w:type="gramEnd"/>
      <w:r w:rsidRPr="0084305F">
        <w:rPr>
          <w:rFonts w:ascii="Aptos" w:eastAsia="Aptos" w:hAnsi="Aptos" w:cs="Aptos"/>
          <w:snapToGrid/>
          <w:color w:val="000000"/>
          <w:sz w:val="20"/>
          <w:szCs w:val="20"/>
          <w:lang w:val="en-US"/>
        </w:rPr>
        <w:t xml:space="preserve"> commented that it may be </w:t>
      </w:r>
      <w:proofErr w:type="gramStart"/>
      <w:r w:rsidRPr="0084305F">
        <w:rPr>
          <w:rFonts w:ascii="Aptos" w:eastAsia="Aptos" w:hAnsi="Aptos" w:cs="Aptos"/>
          <w:snapToGrid/>
          <w:sz w:val="20"/>
          <w:szCs w:val="20"/>
          <w:lang w:val="en-US"/>
        </w:rPr>
        <w:t xml:space="preserve">useful </w:t>
      </w:r>
      <w:r w:rsidRPr="0084305F">
        <w:rPr>
          <w:rFonts w:ascii="Aptos" w:eastAsia="Aptos" w:hAnsi="Aptos" w:cs="Aptos"/>
          <w:snapToGrid/>
          <w:color w:val="000000"/>
          <w:sz w:val="20"/>
          <w:szCs w:val="20"/>
          <w:lang w:val="en-US"/>
        </w:rPr>
        <w:t xml:space="preserve"> to</w:t>
      </w:r>
      <w:proofErr w:type="gramEnd"/>
      <w:r w:rsidRPr="0084305F">
        <w:rPr>
          <w:rFonts w:ascii="Aptos" w:eastAsia="Aptos" w:hAnsi="Aptos" w:cs="Aptos"/>
          <w:snapToGrid/>
          <w:color w:val="000000"/>
          <w:sz w:val="20"/>
          <w:szCs w:val="20"/>
          <w:lang w:val="en-US"/>
        </w:rPr>
        <w:t xml:space="preserve"> revisit the post-event assessment survey </w:t>
      </w:r>
      <w:r w:rsidRPr="0084305F">
        <w:rPr>
          <w:rFonts w:ascii="Aptos" w:eastAsia="Aptos" w:hAnsi="Aptos" w:cs="Aptos"/>
          <w:snapToGrid/>
          <w:sz w:val="20"/>
          <w:szCs w:val="20"/>
          <w:lang w:val="en-US"/>
        </w:rPr>
        <w:t>trigger threshold and questionnaire using</w:t>
      </w:r>
      <w:r w:rsidRPr="0084305F">
        <w:rPr>
          <w:rFonts w:ascii="Aptos" w:eastAsia="Aptos" w:hAnsi="Aptos" w:cs="Aptos"/>
          <w:snapToGrid/>
          <w:color w:val="000000"/>
          <w:sz w:val="20"/>
          <w:szCs w:val="20"/>
          <w:lang w:val="en-US"/>
        </w:rPr>
        <w:t xml:space="preserve"> the experiences and lessons learnt from the last 10 years. </w:t>
      </w:r>
      <w:r w:rsidRPr="0084305F">
        <w:rPr>
          <w:rFonts w:ascii="Aptos" w:eastAsia="Aptos" w:hAnsi="Aptos" w:cs="Aptos"/>
          <w:snapToGrid/>
          <w:sz w:val="20"/>
          <w:szCs w:val="20"/>
          <w:lang w:val="en-US"/>
        </w:rPr>
        <w:t xml:space="preserve">She clarified that the trigger forecast amplitude is usually based on the earthquake magnitude, and it is that magnitude value that should be used for survey decision making purposes. </w:t>
      </w:r>
    </w:p>
    <w:p w14:paraId="60E07E52"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1F5B09DA" w14:textId="77777777" w:rsidR="0084305F" w:rsidRPr="0084305F" w:rsidRDefault="0084305F" w:rsidP="0084305F">
      <w:pPr>
        <w:tabs>
          <w:tab w:val="clear" w:pos="709"/>
        </w:tabs>
        <w:snapToGrid/>
        <w:jc w:val="both"/>
        <w:rPr>
          <w:rFonts w:ascii="Arial" w:eastAsia="Arial" w:hAnsi="Arial" w:cs="Arial"/>
          <w:snapToGrid/>
          <w:sz w:val="20"/>
          <w:szCs w:val="20"/>
          <w:lang w:val="en-US"/>
        </w:rPr>
      </w:pPr>
      <w:r w:rsidRPr="0084305F">
        <w:rPr>
          <w:rFonts w:ascii="Aptos" w:eastAsia="Aptos" w:hAnsi="Aptos" w:cs="Aptos"/>
          <w:snapToGrid/>
          <w:sz w:val="20"/>
          <w:szCs w:val="20"/>
          <w:lang w:val="en-US"/>
        </w:rPr>
        <w:t xml:space="preserve">Silvia Chacon-Barrantes commented that the first message for 8 February 2025 was disseminated by CATAC, </w:t>
      </w:r>
      <w:r w:rsidRPr="0084305F">
        <w:rPr>
          <w:rFonts w:ascii="Arial" w:eastAsia="Arial" w:hAnsi="Arial" w:cs="Arial"/>
          <w:snapToGrid/>
          <w:sz w:val="20"/>
          <w:szCs w:val="20"/>
          <w:lang w:val="en-US"/>
        </w:rPr>
        <w:t xml:space="preserve">with a lower magnitude in comparison to the final magnitude of the PTWC, but also the magnitude values published by the USGS had a significant variation </w:t>
      </w:r>
      <w:proofErr w:type="gramStart"/>
      <w:r w:rsidRPr="0084305F">
        <w:rPr>
          <w:rFonts w:ascii="Arial" w:eastAsia="Arial" w:hAnsi="Arial" w:cs="Arial"/>
          <w:snapToGrid/>
          <w:sz w:val="20"/>
          <w:szCs w:val="20"/>
          <w:lang w:val="en-US"/>
        </w:rPr>
        <w:t>during the course of</w:t>
      </w:r>
      <w:proofErr w:type="gramEnd"/>
      <w:r w:rsidRPr="0084305F">
        <w:rPr>
          <w:rFonts w:ascii="Arial" w:eastAsia="Arial" w:hAnsi="Arial" w:cs="Arial"/>
          <w:snapToGrid/>
          <w:sz w:val="20"/>
          <w:szCs w:val="20"/>
          <w:lang w:val="en-US"/>
        </w:rPr>
        <w:t xml:space="preserve"> the event. She </w:t>
      </w:r>
      <w:r w:rsidRPr="0084305F">
        <w:rPr>
          <w:rFonts w:ascii="Arial" w:eastAsia="Arial" w:hAnsi="Arial" w:cs="Arial"/>
          <w:snapToGrid/>
          <w:sz w:val="20"/>
          <w:szCs w:val="20"/>
          <w:lang w:val="en-US"/>
        </w:rPr>
        <w:lastRenderedPageBreak/>
        <w:t>underlined the importance for CARIBE-EWS being prepared to get different messages from different TSPs that may not necessarily present a uniform threat assessment. Yuji Nishimae commented that it would be advisable that agencies consider the worst-case approach in their decision-making process during such cases. Dr. Charalampakis underlined the importance of making use of different earthquake magnitude reports as a measure of uncertainties involved and NEAMTWS TSPs have developed some experience and documentation on the matter that can be shared.</w:t>
      </w:r>
    </w:p>
    <w:p w14:paraId="0295B68F" w14:textId="77777777" w:rsidR="0084305F" w:rsidRPr="0084305F" w:rsidRDefault="0084305F" w:rsidP="0084305F">
      <w:pPr>
        <w:tabs>
          <w:tab w:val="clear" w:pos="709"/>
        </w:tabs>
        <w:snapToGrid/>
        <w:jc w:val="both"/>
        <w:rPr>
          <w:rFonts w:ascii="Arial" w:eastAsia="Arial" w:hAnsi="Arial" w:cs="Arial"/>
          <w:snapToGrid/>
          <w:sz w:val="20"/>
          <w:szCs w:val="20"/>
          <w:lang w:val="en-US"/>
        </w:rPr>
      </w:pPr>
    </w:p>
    <w:p w14:paraId="44892E91"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Member States</w:t>
      </w:r>
    </w:p>
    <w:p w14:paraId="5DCC475E" w14:textId="77777777" w:rsidR="0084305F" w:rsidRPr="0084305F" w:rsidRDefault="0084305F" w:rsidP="0084305F">
      <w:pPr>
        <w:tabs>
          <w:tab w:val="clear" w:pos="709"/>
        </w:tabs>
        <w:snapToGrid/>
        <w:jc w:val="both"/>
        <w:rPr>
          <w:rFonts w:ascii="Arial" w:eastAsia="Arial" w:hAnsi="Arial" w:cs="Arial"/>
          <w:snapToGrid/>
          <w:sz w:val="20"/>
          <w:szCs w:val="20"/>
          <w:lang w:val="en-US"/>
        </w:rPr>
      </w:pPr>
      <w:r w:rsidRPr="0084305F">
        <w:rPr>
          <w:rFonts w:ascii="Arial" w:eastAsia="Arial" w:hAnsi="Arial" w:cs="Arial"/>
          <w:b/>
          <w:snapToGrid/>
          <w:sz w:val="20"/>
          <w:szCs w:val="20"/>
          <w:lang w:val="en-US"/>
        </w:rPr>
        <w:t>Recalled</w:t>
      </w:r>
      <w:r w:rsidRPr="0084305F">
        <w:rPr>
          <w:rFonts w:ascii="Arial" w:eastAsia="Arial" w:hAnsi="Arial" w:cs="Arial"/>
          <w:snapToGrid/>
          <w:sz w:val="20"/>
          <w:szCs w:val="20"/>
          <w:lang w:val="en-US"/>
        </w:rPr>
        <w:t xml:space="preserve"> the critical importance of coastal tide gauges and offshore tsunami detection/observation systems for tsunami detection and verification,</w:t>
      </w:r>
    </w:p>
    <w:p w14:paraId="00DAD810" w14:textId="77777777" w:rsidR="0084305F" w:rsidRPr="0084305F" w:rsidRDefault="0084305F" w:rsidP="0084305F">
      <w:pPr>
        <w:tabs>
          <w:tab w:val="clear" w:pos="709"/>
        </w:tabs>
        <w:snapToGrid/>
        <w:jc w:val="both"/>
        <w:rPr>
          <w:rFonts w:ascii="Arial" w:eastAsia="Arial" w:hAnsi="Arial" w:cs="Arial"/>
          <w:snapToGrid/>
          <w:sz w:val="20"/>
          <w:szCs w:val="20"/>
          <w:lang w:val="en-US"/>
        </w:rPr>
      </w:pPr>
    </w:p>
    <w:p w14:paraId="669F9B67" w14:textId="77777777" w:rsidR="0084305F" w:rsidRPr="0084305F" w:rsidRDefault="0084305F" w:rsidP="0084305F">
      <w:pPr>
        <w:tabs>
          <w:tab w:val="clear" w:pos="709"/>
        </w:tabs>
        <w:snapToGrid/>
        <w:jc w:val="both"/>
        <w:rPr>
          <w:rFonts w:ascii="Arial" w:eastAsia="Arial" w:hAnsi="Arial" w:cs="Arial"/>
          <w:snapToGrid/>
          <w:sz w:val="20"/>
          <w:szCs w:val="20"/>
          <w:lang w:val="en-US"/>
        </w:rPr>
      </w:pPr>
      <w:r w:rsidRPr="0084305F">
        <w:rPr>
          <w:rFonts w:ascii="Arial" w:eastAsia="Arial" w:hAnsi="Arial" w:cs="Arial"/>
          <w:b/>
          <w:snapToGrid/>
          <w:sz w:val="20"/>
          <w:szCs w:val="20"/>
          <w:lang w:val="en-US"/>
        </w:rPr>
        <w:t>Requested</w:t>
      </w:r>
      <w:r w:rsidRPr="0084305F">
        <w:rPr>
          <w:rFonts w:ascii="Arial" w:eastAsia="Arial" w:hAnsi="Arial" w:cs="Arial"/>
          <w:snapToGrid/>
          <w:sz w:val="20"/>
          <w:szCs w:val="20"/>
          <w:lang w:val="en-US"/>
        </w:rPr>
        <w:t xml:space="preserve"> the Member States to prioritize installation/deployment of additional coastal tide gauges and tsunami detection/observation systems in regions under high tsunami risk with priority areas with known coverage gaps (in alphabetical order: Aegean Sea, Caribbean Sea (West, North and South-East), Indian Ocean (East and North), North Africa, Philippine Sea, Solomon Sea, South China Sea, Timor Sea, and Yellow Sea), to ensure tsunami detection and verification as early as possible.</w:t>
      </w:r>
    </w:p>
    <w:p w14:paraId="1419A41A" w14:textId="77777777" w:rsidR="0084305F" w:rsidRPr="0084305F" w:rsidRDefault="0084305F" w:rsidP="0084305F">
      <w:pPr>
        <w:tabs>
          <w:tab w:val="clear" w:pos="709"/>
        </w:tabs>
        <w:snapToGrid/>
        <w:jc w:val="both"/>
        <w:rPr>
          <w:rFonts w:ascii="Arial" w:eastAsia="Arial" w:hAnsi="Arial" w:cs="Arial"/>
          <w:snapToGrid/>
          <w:sz w:val="20"/>
          <w:szCs w:val="20"/>
          <w:lang w:val="en-US"/>
        </w:rPr>
      </w:pPr>
    </w:p>
    <w:p w14:paraId="36B924AE" w14:textId="77777777" w:rsidR="0084305F" w:rsidRPr="0084305F" w:rsidRDefault="0084305F" w:rsidP="0084305F">
      <w:pPr>
        <w:tabs>
          <w:tab w:val="clear" w:pos="709"/>
        </w:tabs>
        <w:snapToGrid/>
        <w:rPr>
          <w:rFonts w:ascii="Aptos" w:eastAsia="Aptos" w:hAnsi="Aptos" w:cs="Aptos"/>
          <w:b/>
          <w:snapToGrid/>
          <w:sz w:val="20"/>
          <w:szCs w:val="20"/>
          <w:lang w:val="en-US"/>
        </w:rPr>
      </w:pPr>
    </w:p>
    <w:p w14:paraId="77C0F9A1" w14:textId="77777777" w:rsidR="0084305F" w:rsidRPr="0084305F" w:rsidRDefault="0084305F" w:rsidP="0084305F">
      <w:pPr>
        <w:tabs>
          <w:tab w:val="clear" w:pos="709"/>
        </w:tabs>
        <w:snapToGrid/>
        <w:rPr>
          <w:rFonts w:ascii="Aptos" w:eastAsia="Aptos" w:hAnsi="Aptos" w:cs="Aptos"/>
          <w:b/>
          <w:i/>
          <w:snapToGrid/>
          <w:sz w:val="20"/>
          <w:szCs w:val="20"/>
          <w:lang w:val="en-US"/>
        </w:rPr>
      </w:pPr>
      <w:r w:rsidRPr="0084305F">
        <w:rPr>
          <w:rFonts w:ascii="Aptos" w:eastAsia="Aptos" w:hAnsi="Aptos" w:cs="Aptos"/>
          <w:b/>
          <w:i/>
          <w:snapToGrid/>
          <w:sz w:val="20"/>
          <w:szCs w:val="20"/>
          <w:lang w:val="en-US"/>
        </w:rPr>
        <w:t>PTWS</w:t>
      </w:r>
    </w:p>
    <w:p w14:paraId="41358E33" w14:textId="77777777" w:rsidR="0084305F" w:rsidRPr="0084305F" w:rsidRDefault="0084305F" w:rsidP="0084305F">
      <w:pPr>
        <w:tabs>
          <w:tab w:val="clear" w:pos="709"/>
        </w:tabs>
        <w:snapToGrid/>
        <w:rPr>
          <w:rFonts w:ascii="Aptos" w:eastAsia="Aptos" w:hAnsi="Aptos" w:cs="Aptos"/>
          <w:b/>
          <w:snapToGrid/>
          <w:sz w:val="20"/>
          <w:szCs w:val="20"/>
          <w:lang w:val="en-US"/>
        </w:rPr>
      </w:pPr>
    </w:p>
    <w:p w14:paraId="3E9D05FB"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During the reporting period 41 bulletins were issued for 28 events by the PTWC, out of which 16 were tsunami threat messages and 25 were tsunami information statements. This list of most significant events </w:t>
      </w:r>
      <w:proofErr w:type="gramStart"/>
      <w:r w:rsidRPr="0084305F">
        <w:rPr>
          <w:rFonts w:ascii="Aptos" w:eastAsia="Aptos" w:hAnsi="Aptos" w:cs="Aptos"/>
          <w:snapToGrid/>
          <w:sz w:val="20"/>
          <w:szCs w:val="20"/>
          <w:lang w:val="en-US"/>
        </w:rPr>
        <w:t>are</w:t>
      </w:r>
      <w:proofErr w:type="gramEnd"/>
      <w:r w:rsidRPr="0084305F">
        <w:rPr>
          <w:rFonts w:ascii="Aptos" w:eastAsia="Aptos" w:hAnsi="Aptos" w:cs="Aptos"/>
          <w:snapToGrid/>
          <w:sz w:val="20"/>
          <w:szCs w:val="20"/>
          <w:lang w:val="en-US"/>
        </w:rPr>
        <w:t xml:space="preserve"> shown in the table below. </w:t>
      </w:r>
    </w:p>
    <w:p w14:paraId="28FB44A7" w14:textId="77777777" w:rsidR="0084305F" w:rsidRPr="0084305F" w:rsidRDefault="0084305F" w:rsidP="0084305F">
      <w:pPr>
        <w:tabs>
          <w:tab w:val="clear" w:pos="709"/>
        </w:tabs>
        <w:snapToGrid/>
        <w:rPr>
          <w:rFonts w:ascii="Aptos" w:eastAsia="Aptos" w:hAnsi="Aptos" w:cs="Aptos"/>
          <w:b/>
          <w:snapToGrid/>
          <w:sz w:val="20"/>
          <w:szCs w:val="20"/>
          <w:lang w:val="en-US"/>
        </w:rPr>
      </w:pPr>
      <w:r w:rsidRPr="0084305F">
        <w:rPr>
          <w:rFonts w:ascii="Aptos" w:eastAsia="Aptos" w:hAnsi="Aptos" w:cs="Aptos"/>
          <w:b/>
          <w:noProof/>
          <w:snapToGrid/>
          <w:sz w:val="20"/>
          <w:szCs w:val="20"/>
          <w:lang w:val="en-US"/>
        </w:rPr>
        <w:drawing>
          <wp:inline distT="0" distB="0" distL="0" distR="0" wp14:anchorId="2822CCE4" wp14:editId="5A1B1799">
            <wp:extent cx="6191250" cy="1258570"/>
            <wp:effectExtent l="0" t="0" r="0" b="0"/>
            <wp:docPr id="2040773894" name="image2.png" descr="A table with numbers and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table with numbers and letters&#10;&#10;Description automatically generated"/>
                    <pic:cNvPicPr preferRelativeResize="0"/>
                  </pic:nvPicPr>
                  <pic:blipFill>
                    <a:blip r:embed="rId77"/>
                    <a:srcRect/>
                    <a:stretch>
                      <a:fillRect/>
                    </a:stretch>
                  </pic:blipFill>
                  <pic:spPr>
                    <a:xfrm>
                      <a:off x="0" y="0"/>
                      <a:ext cx="6191250" cy="1258570"/>
                    </a:xfrm>
                    <a:prstGeom prst="rect">
                      <a:avLst/>
                    </a:prstGeom>
                    <a:ln/>
                  </pic:spPr>
                </pic:pic>
              </a:graphicData>
            </a:graphic>
          </wp:inline>
        </w:drawing>
      </w:r>
    </w:p>
    <w:p w14:paraId="4A8585AC"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The earthquake with a JMA magnitude (</w:t>
      </w:r>
      <w:proofErr w:type="spellStart"/>
      <w:r w:rsidRPr="0084305F">
        <w:rPr>
          <w:rFonts w:ascii="Aptos" w:eastAsia="Aptos" w:hAnsi="Aptos" w:cs="Aptos"/>
          <w:snapToGrid/>
          <w:sz w:val="20"/>
          <w:szCs w:val="20"/>
          <w:lang w:val="en-US"/>
        </w:rPr>
        <w:t>Mjma</w:t>
      </w:r>
      <w:proofErr w:type="spellEnd"/>
      <w:r w:rsidRPr="0084305F">
        <w:rPr>
          <w:rFonts w:ascii="Aptos" w:eastAsia="Aptos" w:hAnsi="Aptos" w:cs="Aptos"/>
          <w:snapToGrid/>
          <w:sz w:val="20"/>
          <w:szCs w:val="20"/>
          <w:lang w:val="en-US"/>
        </w:rPr>
        <w:t xml:space="preserve">) of 7.1 occurred in the </w:t>
      </w:r>
      <w:proofErr w:type="spellStart"/>
      <w:r w:rsidRPr="0084305F">
        <w:rPr>
          <w:rFonts w:ascii="Aptos" w:eastAsia="Aptos" w:hAnsi="Aptos" w:cs="Aptos"/>
          <w:snapToGrid/>
          <w:sz w:val="20"/>
          <w:szCs w:val="20"/>
          <w:lang w:val="en-US"/>
        </w:rPr>
        <w:t>Hyuganada</w:t>
      </w:r>
      <w:proofErr w:type="spellEnd"/>
      <w:r w:rsidRPr="0084305F">
        <w:rPr>
          <w:rFonts w:ascii="Aptos" w:eastAsia="Aptos" w:hAnsi="Aptos" w:cs="Aptos"/>
          <w:snapToGrid/>
          <w:sz w:val="20"/>
          <w:szCs w:val="20"/>
          <w:lang w:val="en-US"/>
        </w:rPr>
        <w:t xml:space="preserve"> Sea off SE Kyushu in the Nankai Trough around 4:42 p.m. on August 8 (JST). Tsunami waves were observed from Chiba to Kagoshima.  Seismic activity increased immediately after the earthquake, then the number of earthquakes decreased over time. </w:t>
      </w:r>
    </w:p>
    <w:p w14:paraId="7F65EA80"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03E23A99" w14:textId="3F101D76"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After this earthquake, JMA issued “Nankai Trough Earthquake Extra Information (Under Analysis)” because this earthquake occurred in the possible </w:t>
      </w:r>
      <w:r w:rsidR="00DC7698" w:rsidRPr="003B0D77">
        <w:rPr>
          <w:rFonts w:ascii="Aptos" w:eastAsia="Aptos" w:hAnsi="Aptos" w:cs="Aptos"/>
          <w:snapToGrid/>
          <w:sz w:val="20"/>
          <w:szCs w:val="20"/>
          <w:lang w:val="en-US"/>
        </w:rPr>
        <w:t>source</w:t>
      </w:r>
      <w:r w:rsidR="00DC7698">
        <w:rPr>
          <w:rFonts w:ascii="Aptos" w:eastAsia="Aptos" w:hAnsi="Aptos" w:cs="Aptos"/>
          <w:snapToGrid/>
          <w:sz w:val="20"/>
          <w:szCs w:val="20"/>
          <w:lang w:val="en-US"/>
        </w:rPr>
        <w:t xml:space="preserve"> </w:t>
      </w:r>
      <w:r w:rsidRPr="0084305F">
        <w:rPr>
          <w:rFonts w:ascii="Aptos" w:eastAsia="Aptos" w:hAnsi="Aptos" w:cs="Aptos"/>
          <w:snapToGrid/>
          <w:sz w:val="20"/>
          <w:szCs w:val="20"/>
          <w:lang w:val="en-US"/>
        </w:rPr>
        <w:t xml:space="preserve">area for Nankai Trough </w:t>
      </w:r>
      <w:proofErr w:type="spellStart"/>
      <w:r w:rsidRPr="0084305F">
        <w:rPr>
          <w:rFonts w:ascii="Aptos" w:eastAsia="Aptos" w:hAnsi="Aptos" w:cs="Aptos"/>
          <w:snapToGrid/>
          <w:sz w:val="20"/>
          <w:szCs w:val="20"/>
          <w:lang w:val="en-US"/>
        </w:rPr>
        <w:t>Earthquake.Nankai</w:t>
      </w:r>
      <w:proofErr w:type="spellEnd"/>
      <w:r w:rsidRPr="0084305F">
        <w:rPr>
          <w:rFonts w:ascii="Aptos" w:eastAsia="Aptos" w:hAnsi="Aptos" w:cs="Aptos"/>
          <w:snapToGrid/>
          <w:sz w:val="20"/>
          <w:szCs w:val="20"/>
          <w:lang w:val="en-US"/>
        </w:rPr>
        <w:t xml:space="preserve"> Trough is located where the Philippine Sea plate subducts under the continental plate at the southwest of Japan. Earthquakes occurred in the Nankai Trough mainly are the </w:t>
      </w:r>
      <w:proofErr w:type="spellStart"/>
      <w:r w:rsidRPr="0084305F">
        <w:rPr>
          <w:rFonts w:ascii="Aptos" w:eastAsia="Aptos" w:hAnsi="Aptos" w:cs="Aptos"/>
          <w:snapToGrid/>
          <w:sz w:val="20"/>
          <w:szCs w:val="20"/>
          <w:lang w:val="en-US"/>
        </w:rPr>
        <w:t>interplate</w:t>
      </w:r>
      <w:proofErr w:type="spellEnd"/>
      <w:r w:rsidRPr="0084305F">
        <w:rPr>
          <w:rFonts w:ascii="Aptos" w:eastAsia="Aptos" w:hAnsi="Aptos" w:cs="Aptos"/>
          <w:snapToGrid/>
          <w:sz w:val="20"/>
          <w:szCs w:val="20"/>
          <w:lang w:val="en-US"/>
        </w:rPr>
        <w:t xml:space="preserve"> earthquake type caused by the subduction of the Philippine Sea Plate under the continental plate. Nankai Trough Earthquakes occur with a cycle of roughly 100-150 years in the region ranging from Suruga Bay to the </w:t>
      </w:r>
      <w:proofErr w:type="spellStart"/>
      <w:r w:rsidRPr="0084305F">
        <w:rPr>
          <w:rFonts w:ascii="Aptos" w:eastAsia="Aptos" w:hAnsi="Aptos" w:cs="Aptos"/>
          <w:snapToGrid/>
          <w:sz w:val="20"/>
          <w:szCs w:val="20"/>
          <w:lang w:val="en-US"/>
        </w:rPr>
        <w:t>Hyuganada</w:t>
      </w:r>
      <w:proofErr w:type="spellEnd"/>
      <w:r w:rsidRPr="0084305F">
        <w:rPr>
          <w:rFonts w:ascii="Aptos" w:eastAsia="Aptos" w:hAnsi="Aptos" w:cs="Aptos"/>
          <w:snapToGrid/>
          <w:sz w:val="20"/>
          <w:szCs w:val="20"/>
          <w:lang w:val="en-US"/>
        </w:rPr>
        <w:t xml:space="preserve"> sea with various repetition intervals and source areas. About 80 years have passed since the </w:t>
      </w:r>
      <w:r w:rsidR="00DC7698" w:rsidRPr="003B0D77">
        <w:rPr>
          <w:rFonts w:ascii="Aptos" w:eastAsia="Aptos" w:hAnsi="Aptos" w:cs="Aptos"/>
          <w:snapToGrid/>
          <w:sz w:val="20"/>
          <w:szCs w:val="20"/>
          <w:lang w:val="en-US"/>
        </w:rPr>
        <w:t>latest</w:t>
      </w:r>
      <w:r w:rsidR="00DC7698">
        <w:rPr>
          <w:rFonts w:ascii="Aptos" w:eastAsia="Aptos" w:hAnsi="Aptos" w:cs="Aptos"/>
          <w:snapToGrid/>
          <w:sz w:val="20"/>
          <w:szCs w:val="20"/>
          <w:lang w:val="en-US"/>
        </w:rPr>
        <w:t xml:space="preserve"> </w:t>
      </w:r>
      <w:r w:rsidRPr="0084305F">
        <w:rPr>
          <w:rFonts w:ascii="Aptos" w:eastAsia="Aptos" w:hAnsi="Aptos" w:cs="Aptos"/>
          <w:snapToGrid/>
          <w:sz w:val="20"/>
          <w:szCs w:val="20"/>
          <w:lang w:val="en-US"/>
        </w:rPr>
        <w:t xml:space="preserve">massive </w:t>
      </w:r>
      <w:r w:rsidR="00DC7698" w:rsidRPr="003B0D77">
        <w:rPr>
          <w:rFonts w:ascii="Aptos" w:eastAsia="Aptos" w:hAnsi="Aptos" w:cs="Aptos"/>
          <w:snapToGrid/>
          <w:sz w:val="20"/>
          <w:szCs w:val="20"/>
          <w:lang w:val="en-US"/>
        </w:rPr>
        <w:t>earthquake of</w:t>
      </w:r>
      <w:r w:rsidR="00DC7698">
        <w:rPr>
          <w:rFonts w:ascii="Aptos" w:eastAsia="Aptos" w:hAnsi="Aptos" w:cs="Aptos"/>
          <w:snapToGrid/>
          <w:sz w:val="20"/>
          <w:szCs w:val="20"/>
          <w:lang w:val="en-US"/>
        </w:rPr>
        <w:t xml:space="preserve"> </w:t>
      </w:r>
      <w:r w:rsidRPr="0084305F">
        <w:rPr>
          <w:rFonts w:ascii="Aptos" w:eastAsia="Aptos" w:hAnsi="Aptos" w:cs="Aptos"/>
          <w:snapToGrid/>
          <w:sz w:val="20"/>
          <w:szCs w:val="20"/>
          <w:lang w:val="en-US"/>
        </w:rPr>
        <w:t xml:space="preserve">1944 Showa </w:t>
      </w:r>
      <w:proofErr w:type="spellStart"/>
      <w:r w:rsidRPr="0084305F">
        <w:rPr>
          <w:rFonts w:ascii="Aptos" w:eastAsia="Aptos" w:hAnsi="Aptos" w:cs="Aptos"/>
          <w:snapToGrid/>
          <w:sz w:val="20"/>
          <w:szCs w:val="20"/>
          <w:lang w:val="en-US"/>
        </w:rPr>
        <w:t>Tonankai</w:t>
      </w:r>
      <w:proofErr w:type="spellEnd"/>
      <w:r w:rsidRPr="0084305F">
        <w:rPr>
          <w:rFonts w:ascii="Aptos" w:eastAsia="Aptos" w:hAnsi="Aptos" w:cs="Aptos"/>
          <w:snapToGrid/>
          <w:sz w:val="20"/>
          <w:szCs w:val="20"/>
          <w:lang w:val="en-US"/>
        </w:rPr>
        <w:t xml:space="preserve"> and 1946 Showa Nankai earthquakes. This suggests that another mega earthquake is imminent. In some cases, multiple earthquakes occur within a certain period, and in others most of the trough can rupture at once. For example, in 1854, 32 hours after an earthquake occurred on the east side of the plate, another earthquake occurred on the west side. Ninety years later, an earthquake occurred on the east side of the plate, and two years after that on the west side. A Nankai Trough mega-earthquake could cause severe damage over a wide area due to strong shaking and subsequent tsunami. Strong shaking is estimated to occur over the Main Island, Shikoku Island and Kyusyu Island. Tsunamis exceeding 10 meters in height are estimated to occur over large areas along the Pacific coast. The number of </w:t>
      </w:r>
      <w:proofErr w:type="gramStart"/>
      <w:r w:rsidRPr="0084305F">
        <w:rPr>
          <w:rFonts w:ascii="Aptos" w:eastAsia="Aptos" w:hAnsi="Aptos" w:cs="Aptos"/>
          <w:snapToGrid/>
          <w:sz w:val="20"/>
          <w:szCs w:val="20"/>
          <w:lang w:val="en-US"/>
        </w:rPr>
        <w:t>potential  victims</w:t>
      </w:r>
      <w:proofErr w:type="gramEnd"/>
      <w:r w:rsidRPr="0084305F">
        <w:rPr>
          <w:rFonts w:ascii="Aptos" w:eastAsia="Aptos" w:hAnsi="Aptos" w:cs="Aptos"/>
          <w:snapToGrid/>
          <w:sz w:val="20"/>
          <w:szCs w:val="20"/>
          <w:lang w:val="en-US"/>
        </w:rPr>
        <w:t xml:space="preserve"> in the worst-case scenario is estimated at more than 320,000. The </w:t>
      </w:r>
      <w:proofErr w:type="gramStart"/>
      <w:r w:rsidRPr="0084305F">
        <w:rPr>
          <w:rFonts w:ascii="Aptos" w:eastAsia="Aptos" w:hAnsi="Aptos" w:cs="Aptos"/>
          <w:snapToGrid/>
          <w:sz w:val="20"/>
          <w:szCs w:val="20"/>
          <w:lang w:val="en-US"/>
        </w:rPr>
        <w:t>damages</w:t>
      </w:r>
      <w:proofErr w:type="gramEnd"/>
      <w:r w:rsidRPr="0084305F">
        <w:rPr>
          <w:rFonts w:ascii="Aptos" w:eastAsia="Aptos" w:hAnsi="Aptos" w:cs="Aptos"/>
          <w:snapToGrid/>
          <w:sz w:val="20"/>
          <w:szCs w:val="20"/>
          <w:lang w:val="en-US"/>
        </w:rPr>
        <w:t xml:space="preserve"> by the Nankai Trough mega earthquake could be greatly reduced by taking countermeasures in advance, such as preparedness and evacuation.</w:t>
      </w:r>
    </w:p>
    <w:p w14:paraId="18EEAA12"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16FF27A5" w14:textId="77777777" w:rsidR="0084305F" w:rsidRPr="0084305F" w:rsidRDefault="0084305F" w:rsidP="0084305F">
      <w:pPr>
        <w:tabs>
          <w:tab w:val="clear" w:pos="709"/>
        </w:tabs>
        <w:snapToGrid/>
        <w:jc w:val="both"/>
        <w:rPr>
          <w:rFonts w:ascii="Aptos" w:eastAsia="Aptos" w:hAnsi="Aptos" w:cs="Aptos"/>
          <w:snapToGrid/>
          <w:sz w:val="20"/>
          <w:szCs w:val="20"/>
          <w:lang w:val="en-US"/>
        </w:rPr>
      </w:pP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84305F" w:rsidRPr="0084305F" w14:paraId="54584040" w14:textId="77777777" w:rsidTr="00493FEF">
        <w:tc>
          <w:tcPr>
            <w:tcW w:w="9750" w:type="dxa"/>
            <w:shd w:val="clear" w:color="auto" w:fill="auto"/>
            <w:tcMar>
              <w:top w:w="100" w:type="dxa"/>
              <w:left w:w="100" w:type="dxa"/>
              <w:bottom w:w="100" w:type="dxa"/>
              <w:right w:w="100" w:type="dxa"/>
            </w:tcMar>
          </w:tcPr>
          <w:p w14:paraId="55A093C5" w14:textId="77777777" w:rsidR="0084305F" w:rsidRPr="0084305F" w:rsidRDefault="0084305F" w:rsidP="0084305F">
            <w:pPr>
              <w:tabs>
                <w:tab w:val="clear" w:pos="709"/>
              </w:tabs>
              <w:snapToGrid/>
              <w:jc w:val="both"/>
              <w:rPr>
                <w:rFonts w:ascii="Aptos" w:eastAsia="Aptos" w:hAnsi="Aptos" w:cs="Aptos"/>
                <w:b/>
                <w:snapToGrid/>
                <w:sz w:val="20"/>
                <w:szCs w:val="20"/>
                <w:lang w:val="en-US"/>
              </w:rPr>
            </w:pPr>
            <w:r w:rsidRPr="0084305F">
              <w:rPr>
                <w:rFonts w:ascii="Aptos" w:eastAsia="Aptos" w:hAnsi="Aptos" w:cs="Aptos"/>
                <w:b/>
                <w:snapToGrid/>
                <w:sz w:val="20"/>
                <w:szCs w:val="20"/>
                <w:lang w:val="en-US"/>
              </w:rPr>
              <w:lastRenderedPageBreak/>
              <w:t>Nankai Trough Earthquake Extra Information</w:t>
            </w:r>
          </w:p>
          <w:p w14:paraId="0C51DA91"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3B3A92AA"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JMA monitors the Nankai Trough around the clock. In the event of anomalies, JMA convenes the Nankai Trough Earthquake Assessment Committee for discussions on the expected potential for an earthquake and issues “Nankai Trough Earthquake Extra </w:t>
            </w:r>
            <w:proofErr w:type="spellStart"/>
            <w:r w:rsidRPr="0084305F">
              <w:rPr>
                <w:rFonts w:ascii="Aptos" w:eastAsia="Aptos" w:hAnsi="Aptos" w:cs="Aptos"/>
                <w:snapToGrid/>
                <w:sz w:val="20"/>
                <w:szCs w:val="20"/>
                <w:lang w:val="en-US"/>
              </w:rPr>
              <w:t>Information”as</w:t>
            </w:r>
            <w:proofErr w:type="spellEnd"/>
            <w:r w:rsidRPr="0084305F">
              <w:rPr>
                <w:rFonts w:ascii="Aptos" w:eastAsia="Aptos" w:hAnsi="Aptos" w:cs="Aptos"/>
                <w:snapToGrid/>
                <w:sz w:val="20"/>
                <w:szCs w:val="20"/>
                <w:lang w:val="en-US"/>
              </w:rPr>
              <w:t xml:space="preserve"> needed. Nankai Trough Earthquake Extra Information provides the probability of a mega-earthquake occurring assessed to be relatively higher than usual. It should be noted that this information does not necessarily mean that the Nankai Trough Earthquake will </w:t>
            </w:r>
            <w:proofErr w:type="gramStart"/>
            <w:r w:rsidRPr="0084305F">
              <w:rPr>
                <w:rFonts w:ascii="Aptos" w:eastAsia="Aptos" w:hAnsi="Aptos" w:cs="Aptos"/>
                <w:snapToGrid/>
                <w:sz w:val="20"/>
                <w:szCs w:val="20"/>
                <w:lang w:val="en-US"/>
              </w:rPr>
              <w:t>actually strike</w:t>
            </w:r>
            <w:proofErr w:type="gramEnd"/>
            <w:r w:rsidRPr="0084305F">
              <w:rPr>
                <w:rFonts w:ascii="Aptos" w:eastAsia="Aptos" w:hAnsi="Aptos" w:cs="Aptos"/>
                <w:snapToGrid/>
                <w:sz w:val="20"/>
                <w:szCs w:val="20"/>
                <w:lang w:val="en-US"/>
              </w:rPr>
              <w:t xml:space="preserve">. </w:t>
            </w:r>
            <w:proofErr w:type="gramStart"/>
            <w:r w:rsidRPr="0084305F">
              <w:rPr>
                <w:rFonts w:ascii="Aptos" w:eastAsia="Aptos" w:hAnsi="Aptos" w:cs="Aptos"/>
                <w:snapToGrid/>
                <w:sz w:val="20"/>
                <w:szCs w:val="20"/>
                <w:lang w:val="en-US"/>
              </w:rPr>
              <w:t>In order to</w:t>
            </w:r>
            <w:proofErr w:type="gramEnd"/>
            <w:r w:rsidRPr="0084305F">
              <w:rPr>
                <w:rFonts w:ascii="Aptos" w:eastAsia="Aptos" w:hAnsi="Aptos" w:cs="Aptos"/>
                <w:snapToGrid/>
                <w:sz w:val="20"/>
                <w:szCs w:val="20"/>
                <w:lang w:val="en-US"/>
              </w:rPr>
              <w:t xml:space="preserve"> reduce damage, based on a law, the Japanese government has designated areas where earthquake disaster prevention measures should be promoted in preparation for a Nankai Trough earthquake. </w:t>
            </w:r>
          </w:p>
          <w:p w14:paraId="5119611E"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55AFA22D"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Three cases of anomalous phenomena are assumed, indicating an increased potential for a Nankai Trough earthquake. The first case is the occurrence of the large-scale earthquake with a moment magnitude of 8.0 or higher, with serious damage. This figure shows an example that a magnitude 8-class earthquake </w:t>
            </w:r>
            <w:proofErr w:type="gramStart"/>
            <w:r w:rsidRPr="0084305F">
              <w:rPr>
                <w:rFonts w:ascii="Aptos" w:eastAsia="Aptos" w:hAnsi="Aptos" w:cs="Aptos"/>
                <w:snapToGrid/>
                <w:sz w:val="20"/>
                <w:szCs w:val="20"/>
                <w:lang w:val="en-US"/>
              </w:rPr>
              <w:t>may ?</w:t>
            </w:r>
            <w:proofErr w:type="gramEnd"/>
            <w:r w:rsidRPr="0084305F">
              <w:rPr>
                <w:rFonts w:ascii="Aptos" w:eastAsia="Aptos" w:hAnsi="Aptos" w:cs="Aptos"/>
                <w:snapToGrid/>
                <w:sz w:val="20"/>
                <w:szCs w:val="20"/>
                <w:lang w:val="en-US"/>
              </w:rPr>
              <w:t xml:space="preserve"> occur on the east side of the Nankai Trough. Based on the statistics, in this case, the probability of a mega earthquake occurring along the other side of the Nankai Trough </w:t>
            </w:r>
            <w:proofErr w:type="gramStart"/>
            <w:r w:rsidRPr="0084305F">
              <w:rPr>
                <w:rFonts w:ascii="Aptos" w:eastAsia="Aptos" w:hAnsi="Aptos" w:cs="Aptos"/>
                <w:snapToGrid/>
                <w:sz w:val="20"/>
                <w:szCs w:val="20"/>
                <w:lang w:val="en-US"/>
              </w:rPr>
              <w:t>is considered to be</w:t>
            </w:r>
            <w:proofErr w:type="gramEnd"/>
            <w:r w:rsidRPr="0084305F">
              <w:rPr>
                <w:rFonts w:ascii="Aptos" w:eastAsia="Aptos" w:hAnsi="Aptos" w:cs="Aptos"/>
                <w:snapToGrid/>
                <w:sz w:val="20"/>
                <w:szCs w:val="20"/>
                <w:lang w:val="en-US"/>
              </w:rPr>
              <w:t xml:space="preserve"> higher than normal. The second case is the occurrence of </w:t>
            </w:r>
            <w:proofErr w:type="gramStart"/>
            <w:r w:rsidRPr="0084305F">
              <w:rPr>
                <w:rFonts w:ascii="Aptos" w:eastAsia="Aptos" w:hAnsi="Aptos" w:cs="Aptos"/>
                <w:snapToGrid/>
                <w:sz w:val="20"/>
                <w:szCs w:val="20"/>
                <w:lang w:val="en-US"/>
              </w:rPr>
              <w:t>the</w:t>
            </w:r>
            <w:proofErr w:type="gramEnd"/>
            <w:r w:rsidRPr="0084305F">
              <w:rPr>
                <w:rFonts w:ascii="Aptos" w:eastAsia="Aptos" w:hAnsi="Aptos" w:cs="Aptos"/>
                <w:snapToGrid/>
                <w:sz w:val="20"/>
                <w:szCs w:val="20"/>
                <w:lang w:val="en-US"/>
              </w:rPr>
              <w:t xml:space="preserve"> earthquake with </w:t>
            </w:r>
            <w:proofErr w:type="gramStart"/>
            <w:r w:rsidRPr="0084305F">
              <w:rPr>
                <w:rFonts w:ascii="Aptos" w:eastAsia="Aptos" w:hAnsi="Aptos" w:cs="Aptos"/>
                <w:snapToGrid/>
                <w:sz w:val="20"/>
                <w:szCs w:val="20"/>
                <w:lang w:val="en-US"/>
              </w:rPr>
              <w:t>a moment</w:t>
            </w:r>
            <w:proofErr w:type="gramEnd"/>
            <w:r w:rsidRPr="0084305F">
              <w:rPr>
                <w:rFonts w:ascii="Aptos" w:eastAsia="Aptos" w:hAnsi="Aptos" w:cs="Aptos"/>
                <w:snapToGrid/>
                <w:sz w:val="20"/>
                <w:szCs w:val="20"/>
                <w:lang w:val="en-US"/>
              </w:rPr>
              <w:t xml:space="preserve"> magnitude between 7.0 and 8.0.  In this case a magnitude 7.0 -class earthquake occurs along the Nankai Trough. There is a possibility that this earthquake is a foreshock of the mega earthquake. The third case is an unusual slow slip event. Normally, at the Nankai Trough, the Philippine Sea plate is subducting under the continental plate and the boundary between the two plates is strongly attached. The continental plate is dragged in, and strains build up. Slow slip occurs when strains build up to the limit. It is </w:t>
            </w:r>
            <w:proofErr w:type="gramStart"/>
            <w:r w:rsidRPr="0084305F">
              <w:rPr>
                <w:rFonts w:ascii="Aptos" w:eastAsia="Aptos" w:hAnsi="Aptos" w:cs="Aptos"/>
                <w:snapToGrid/>
                <w:sz w:val="20"/>
                <w:szCs w:val="20"/>
                <w:lang w:val="en-US"/>
              </w:rPr>
              <w:t>similar to</w:t>
            </w:r>
            <w:proofErr w:type="gramEnd"/>
            <w:r w:rsidRPr="0084305F">
              <w:rPr>
                <w:rFonts w:ascii="Aptos" w:eastAsia="Aptos" w:hAnsi="Aptos" w:cs="Aptos"/>
                <w:snapToGrid/>
                <w:sz w:val="20"/>
                <w:szCs w:val="20"/>
                <w:lang w:val="en-US"/>
              </w:rPr>
              <w:t xml:space="preserve"> a mega-earthquake in that the strain exceeds a limit, but the slip on the fault plane in a </w:t>
            </w:r>
            <w:proofErr w:type="gramStart"/>
            <w:r w:rsidRPr="0084305F">
              <w:rPr>
                <w:rFonts w:ascii="Aptos" w:eastAsia="Aptos" w:hAnsi="Aptos" w:cs="Aptos"/>
                <w:snapToGrid/>
                <w:sz w:val="20"/>
                <w:szCs w:val="20"/>
                <w:lang w:val="en-US"/>
              </w:rPr>
              <w:t>slow-slip</w:t>
            </w:r>
            <w:proofErr w:type="gramEnd"/>
            <w:r w:rsidRPr="0084305F">
              <w:rPr>
                <w:rFonts w:ascii="Aptos" w:eastAsia="Aptos" w:hAnsi="Aptos" w:cs="Aptos"/>
                <w:snapToGrid/>
                <w:sz w:val="20"/>
                <w:szCs w:val="20"/>
                <w:lang w:val="en-US"/>
              </w:rPr>
              <w:t xml:space="preserve">. The JMA monitors slow slip with </w:t>
            </w:r>
            <w:proofErr w:type="spellStart"/>
            <w:r w:rsidRPr="0084305F">
              <w:rPr>
                <w:rFonts w:ascii="Aptos" w:eastAsia="Aptos" w:hAnsi="Aptos" w:cs="Aptos"/>
                <w:snapToGrid/>
                <w:sz w:val="20"/>
                <w:szCs w:val="20"/>
                <w:lang w:val="en-US"/>
              </w:rPr>
              <w:t>strainmeters</w:t>
            </w:r>
            <w:proofErr w:type="spellEnd"/>
            <w:r w:rsidRPr="0084305F">
              <w:rPr>
                <w:rFonts w:ascii="Aptos" w:eastAsia="Aptos" w:hAnsi="Aptos" w:cs="Aptos"/>
                <w:snapToGrid/>
                <w:sz w:val="20"/>
                <w:szCs w:val="20"/>
                <w:lang w:val="en-US"/>
              </w:rPr>
              <w:t>.</w:t>
            </w:r>
          </w:p>
          <w:p w14:paraId="4DED6FDD"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8E9511F"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If anomalous phenomena (JMA magnitude 6.8 or higher, or unusual slow slip) are observed in the Nankai Trough, “Nankai Trough Earthquake Extra Information (Under Analysis) “is issued. The JMA then holds a meeting of the Nankai Trough Earthquake Assessment Committee to analyze the anomalous phenomena and probability of the Nankai Trough Earthquake. The committee is composed of six researchers. </w:t>
            </w:r>
            <w:proofErr w:type="gramStart"/>
            <w:r w:rsidRPr="0084305F">
              <w:rPr>
                <w:rFonts w:ascii="Aptos" w:eastAsia="Aptos" w:hAnsi="Aptos" w:cs="Aptos"/>
                <w:snapToGrid/>
                <w:sz w:val="20"/>
                <w:szCs w:val="20"/>
                <w:lang w:val="en-US"/>
              </w:rPr>
              <w:t>In order to</w:t>
            </w:r>
            <w:proofErr w:type="gramEnd"/>
            <w:r w:rsidRPr="0084305F">
              <w:rPr>
                <w:rFonts w:ascii="Aptos" w:eastAsia="Aptos" w:hAnsi="Aptos" w:cs="Aptos"/>
                <w:snapToGrid/>
                <w:sz w:val="20"/>
                <w:szCs w:val="20"/>
                <w:lang w:val="en-US"/>
              </w:rPr>
              <w:t xml:space="preserve"> use the observation data along the Nankai Trough in the assessment, research institutes in Japan participate in the activities of the committee. After the Assessment Committee meeting, “Nankai Trough Earthquake Extra Information” with keywords (Megathrust Earthquake Alert, Megathrust Earthquake Attention, and Analysis Complete) is issued. </w:t>
            </w:r>
            <w:proofErr w:type="gramStart"/>
            <w:r w:rsidRPr="0084305F">
              <w:rPr>
                <w:rFonts w:ascii="Aptos" w:eastAsia="Aptos" w:hAnsi="Aptos" w:cs="Aptos"/>
                <w:snapToGrid/>
                <w:sz w:val="20"/>
                <w:szCs w:val="20"/>
                <w:lang w:val="en-US"/>
              </w:rPr>
              <w:t>On the occasion of</w:t>
            </w:r>
            <w:proofErr w:type="gramEnd"/>
            <w:r w:rsidRPr="0084305F">
              <w:rPr>
                <w:rFonts w:ascii="Aptos" w:eastAsia="Aptos" w:hAnsi="Aptos" w:cs="Aptos"/>
                <w:snapToGrid/>
                <w:sz w:val="20"/>
                <w:szCs w:val="20"/>
                <w:lang w:val="en-US"/>
              </w:rPr>
              <w:t xml:space="preserve"> Megathrust Earthquake Alert or Megathrust Earthquake Attention, the government calls for special attention to be prepared for an earthquake for at least one week. </w:t>
            </w:r>
          </w:p>
          <w:p w14:paraId="19D9D1F4" w14:textId="77777777" w:rsidR="0084305F" w:rsidRPr="0084305F" w:rsidRDefault="0084305F" w:rsidP="0084305F">
            <w:pPr>
              <w:widowControl w:val="0"/>
              <w:pBdr>
                <w:top w:val="nil"/>
                <w:left w:val="nil"/>
                <w:bottom w:val="nil"/>
                <w:right w:val="nil"/>
                <w:between w:val="nil"/>
              </w:pBdr>
              <w:tabs>
                <w:tab w:val="clear" w:pos="709"/>
              </w:tabs>
              <w:snapToGrid/>
              <w:rPr>
                <w:rFonts w:ascii="Aptos" w:eastAsia="Aptos" w:hAnsi="Aptos" w:cs="Aptos"/>
                <w:snapToGrid/>
                <w:sz w:val="20"/>
                <w:szCs w:val="20"/>
                <w:lang w:val="en-US"/>
              </w:rPr>
            </w:pPr>
          </w:p>
        </w:tc>
      </w:tr>
    </w:tbl>
    <w:p w14:paraId="58A5C372"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6A47D157"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This earthquake in the </w:t>
      </w:r>
      <w:proofErr w:type="spellStart"/>
      <w:r w:rsidRPr="0084305F">
        <w:rPr>
          <w:rFonts w:ascii="Aptos" w:eastAsia="Aptos" w:hAnsi="Aptos" w:cs="Aptos"/>
          <w:snapToGrid/>
          <w:sz w:val="20"/>
          <w:szCs w:val="20"/>
          <w:lang w:val="en-US"/>
        </w:rPr>
        <w:t>Hyuganada</w:t>
      </w:r>
      <w:proofErr w:type="spellEnd"/>
      <w:r w:rsidRPr="0084305F">
        <w:rPr>
          <w:rFonts w:ascii="Aptos" w:eastAsia="Aptos" w:hAnsi="Aptos" w:cs="Aptos"/>
          <w:snapToGrid/>
          <w:sz w:val="20"/>
          <w:szCs w:val="20"/>
          <w:lang w:val="en-US"/>
        </w:rPr>
        <w:t xml:space="preserve"> Sea corresponds to the “Case of the occurrence of the earthquake with a moment magnitude between 7.0 and 8.0 because this earthquake had a moment magnitude of 7.0 and occurred in the possible epicenter area for Nankai Trough Earthquake. In this case there is a possibility that this earthquake is a foreshock of the great Nankai Trough earthquake. So, the JMA issued the information </w:t>
      </w:r>
      <w:proofErr w:type="gramStart"/>
      <w:r w:rsidRPr="0084305F">
        <w:rPr>
          <w:rFonts w:ascii="Aptos" w:eastAsia="Aptos" w:hAnsi="Aptos" w:cs="Aptos"/>
          <w:snapToGrid/>
          <w:sz w:val="20"/>
          <w:szCs w:val="20"/>
          <w:lang w:val="en-US"/>
        </w:rPr>
        <w:t>of</w:t>
      </w:r>
      <w:proofErr w:type="gramEnd"/>
      <w:r w:rsidRPr="0084305F">
        <w:rPr>
          <w:rFonts w:ascii="Aptos" w:eastAsia="Aptos" w:hAnsi="Aptos" w:cs="Aptos"/>
          <w:snapToGrid/>
          <w:sz w:val="20"/>
          <w:szCs w:val="20"/>
          <w:lang w:val="en-US"/>
        </w:rPr>
        <w:t xml:space="preserve"> Megathrust Earthquake Attention.</w:t>
      </w:r>
    </w:p>
    <w:p w14:paraId="6036EA25"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35C16ABA"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An earthquake with a magnitude of 7.3 </w:t>
      </w:r>
      <w:proofErr w:type="spellStart"/>
      <w:r w:rsidRPr="0084305F">
        <w:rPr>
          <w:rFonts w:ascii="Aptos" w:eastAsia="Aptos" w:hAnsi="Aptos" w:cs="Aptos"/>
          <w:snapToGrid/>
          <w:sz w:val="20"/>
          <w:szCs w:val="20"/>
          <w:lang w:val="en-US"/>
        </w:rPr>
        <w:t>occured</w:t>
      </w:r>
      <w:proofErr w:type="spellEnd"/>
      <w:r w:rsidRPr="0084305F">
        <w:rPr>
          <w:rFonts w:ascii="Aptos" w:eastAsia="Aptos" w:hAnsi="Aptos" w:cs="Aptos"/>
          <w:snapToGrid/>
          <w:sz w:val="20"/>
          <w:szCs w:val="20"/>
          <w:lang w:val="en-US"/>
        </w:rPr>
        <w:t xml:space="preserve"> on 17 December 2024 01:47 (UTC) offshore Port Vila, Vanuatu (USGS) resulted in a TSUNAMI THREAT MESSAGE issued by the Pacific Tsunami Warning Center (PTWC), Tsunami Service Provider (TSP) of the Intergovernmental Coordination Group for the Pacific Tsunami Warning and Mitigation System (ICG/PTWS), 5 min after the event indicating the possibility of hazardous tsunami waves for coasts located within 300 km of the earthquake epicenter along the coasts of Vanuatu. Initial tsunami amplitude forecasts were issued by the PTWC directly to the Tsunami Warning Focal Points (TWFP) of the ICG/PTWS after 34 min of event origin time, indicating the possibility of tsunami waves reaching 0.3 to 1 meters above the tide level to Vanuatu and less than 0.3 meters above the tide level for the coasts of Fiji, Kermadec Islands, Kiribati, New Caledonia, Papua New Guinea, Solomon Islands, Tuvalu, and Wallis And Futuna. At 0221 UTC, 1h 34 min after the event, PTWC updated the tsunami forecast based on the sea-level recording of 0.25m in Vanuatu, stating that tsunami waves reaching 0.3 to 1 </w:t>
      </w:r>
      <w:proofErr w:type="gramStart"/>
      <w:r w:rsidRPr="0084305F">
        <w:rPr>
          <w:rFonts w:ascii="Aptos" w:eastAsia="Aptos" w:hAnsi="Aptos" w:cs="Aptos"/>
          <w:snapToGrid/>
          <w:sz w:val="20"/>
          <w:szCs w:val="20"/>
          <w:lang w:val="en-US"/>
        </w:rPr>
        <w:t>meters</w:t>
      </w:r>
      <w:proofErr w:type="gramEnd"/>
      <w:r w:rsidRPr="0084305F">
        <w:rPr>
          <w:rFonts w:ascii="Aptos" w:eastAsia="Aptos" w:hAnsi="Aptos" w:cs="Aptos"/>
          <w:snapToGrid/>
          <w:sz w:val="20"/>
          <w:szCs w:val="20"/>
          <w:lang w:val="en-US"/>
        </w:rPr>
        <w:t xml:space="preserve"> above the tide level are possible for some coasts of Vanuatu. At 03:14 UTC, PTWC issued </w:t>
      </w:r>
      <w:proofErr w:type="gramStart"/>
      <w:r w:rsidRPr="0084305F">
        <w:rPr>
          <w:rFonts w:ascii="Aptos" w:eastAsia="Aptos" w:hAnsi="Aptos" w:cs="Aptos"/>
          <w:snapToGrid/>
          <w:sz w:val="20"/>
          <w:szCs w:val="20"/>
          <w:lang w:val="en-US"/>
        </w:rPr>
        <w:t>FINAL</w:t>
      </w:r>
      <w:proofErr w:type="gramEnd"/>
      <w:r w:rsidRPr="0084305F">
        <w:rPr>
          <w:rFonts w:ascii="Aptos" w:eastAsia="Aptos" w:hAnsi="Aptos" w:cs="Aptos"/>
          <w:snapToGrid/>
          <w:sz w:val="20"/>
          <w:szCs w:val="20"/>
          <w:lang w:val="en-US"/>
        </w:rPr>
        <w:t xml:space="preserve"> TSUNAMI THREAT MESSAGE indicating that there is no longer a tsunami threat from this earthquake. A total of 14 fatalities and more than 265 injuries have been confirmed due to this earthquake. 1,092 people were temporarily displaced; 570 houses have been </w:t>
      </w:r>
      <w:proofErr w:type="gramStart"/>
      <w:r w:rsidRPr="0084305F">
        <w:rPr>
          <w:rFonts w:ascii="Aptos" w:eastAsia="Aptos" w:hAnsi="Aptos" w:cs="Aptos"/>
          <w:snapToGrid/>
          <w:sz w:val="20"/>
          <w:szCs w:val="20"/>
          <w:lang w:val="en-US"/>
        </w:rPr>
        <w:t>damaged</w:t>
      </w:r>
      <w:proofErr w:type="gramEnd"/>
      <w:r w:rsidRPr="0084305F">
        <w:rPr>
          <w:rFonts w:ascii="Aptos" w:eastAsia="Aptos" w:hAnsi="Aptos" w:cs="Aptos"/>
          <w:snapToGrid/>
          <w:sz w:val="20"/>
          <w:szCs w:val="20"/>
          <w:lang w:val="en-US"/>
        </w:rPr>
        <w:t xml:space="preserve"> affecting 2,850 people. 110 classrooms across 45 schools have been partially or completely damaged.</w:t>
      </w:r>
    </w:p>
    <w:p w14:paraId="582840E1"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1B4DD361"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A Tsunami Advisory was issued for the Earthquake (Mw 5.7) near </w:t>
      </w:r>
      <w:proofErr w:type="spellStart"/>
      <w:r w:rsidRPr="0084305F">
        <w:rPr>
          <w:rFonts w:ascii="Aptos" w:eastAsia="Aptos" w:hAnsi="Aptos" w:cs="Aptos"/>
          <w:snapToGrid/>
          <w:sz w:val="20"/>
          <w:szCs w:val="20"/>
          <w:lang w:val="en-US"/>
        </w:rPr>
        <w:t>Sumisujima</w:t>
      </w:r>
      <w:proofErr w:type="spellEnd"/>
      <w:r w:rsidRPr="0084305F">
        <w:rPr>
          <w:rFonts w:ascii="Aptos" w:eastAsia="Aptos" w:hAnsi="Aptos" w:cs="Aptos"/>
          <w:snapToGrid/>
          <w:sz w:val="20"/>
          <w:szCs w:val="20"/>
          <w:lang w:val="en-US"/>
        </w:rPr>
        <w:t xml:space="preserve"> (Smith Rock) on 24 September, which is related to volcanic activity in the region. In this region, similar </w:t>
      </w:r>
      <w:proofErr w:type="gramStart"/>
      <w:r w:rsidRPr="0084305F">
        <w:rPr>
          <w:rFonts w:ascii="Aptos" w:eastAsia="Aptos" w:hAnsi="Aptos" w:cs="Aptos"/>
          <w:snapToGrid/>
          <w:sz w:val="20"/>
          <w:szCs w:val="20"/>
          <w:lang w:val="en-US"/>
        </w:rPr>
        <w:t>events  have</w:t>
      </w:r>
      <w:proofErr w:type="gramEnd"/>
      <w:r w:rsidRPr="0084305F">
        <w:rPr>
          <w:rFonts w:ascii="Aptos" w:eastAsia="Aptos" w:hAnsi="Aptos" w:cs="Aptos"/>
          <w:snapToGrid/>
          <w:sz w:val="20"/>
          <w:szCs w:val="20"/>
          <w:lang w:val="en-US"/>
        </w:rPr>
        <w:t xml:space="preserve"> repeatedly occurred. The JMA issued the tsunami advisory based on past experiences.</w:t>
      </w:r>
    </w:p>
    <w:p w14:paraId="13B2E956"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51AE4B74"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Necmioglu also reminded the group of the M7.0 earthquake on 5 December 2024 18:44 (UTC) offshore Cape Mendocino, California which resulted in a TSUNAMI THREAT MESSAGE issued by the Pacific Tsunami Warning Center (PTWC). Evacuation orders were issued for some areas in the larger San Francisco, and a cancellation message was issued 80 min after the earthquake origin time stating that tsunami warning is canceled for the coastal areas of California and Oregon and no tsunami observations are available to report. There was a </w:t>
      </w:r>
      <w:proofErr w:type="gramStart"/>
      <w:r w:rsidRPr="0084305F">
        <w:rPr>
          <w:rFonts w:ascii="Aptos" w:eastAsia="Aptos" w:hAnsi="Aptos" w:cs="Aptos"/>
          <w:snapToGrid/>
          <w:sz w:val="20"/>
          <w:szCs w:val="20"/>
          <w:lang w:val="en-US"/>
        </w:rPr>
        <w:t>very-high</w:t>
      </w:r>
      <w:proofErr w:type="gramEnd"/>
      <w:r w:rsidRPr="0084305F">
        <w:rPr>
          <w:rFonts w:ascii="Aptos" w:eastAsia="Aptos" w:hAnsi="Aptos" w:cs="Aptos"/>
          <w:snapToGrid/>
          <w:sz w:val="20"/>
          <w:szCs w:val="20"/>
          <w:lang w:val="en-US"/>
        </w:rPr>
        <w:t xml:space="preserve"> level of media coverage for this earthquake and the tsunami, which was at the range of 9cm around Arena Cove, Mendocino County at 19:46 UTC.</w:t>
      </w:r>
    </w:p>
    <w:p w14:paraId="2691785C"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35C32562"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Dr. Harkunti Rahayu inquired about the status of the PTWS Tsunami Preparedness Capacity Assessment. Dr. Laura Kong responded that the assessment was recently initiated</w:t>
      </w:r>
      <w:proofErr w:type="gramStart"/>
      <w:r w:rsidRPr="0084305F">
        <w:rPr>
          <w:rFonts w:ascii="Aptos" w:eastAsia="Aptos" w:hAnsi="Aptos" w:cs="Aptos"/>
          <w:snapToGrid/>
          <w:sz w:val="20"/>
          <w:szCs w:val="20"/>
          <w:lang w:val="en-US"/>
        </w:rPr>
        <w:t>:  the</w:t>
      </w:r>
      <w:proofErr w:type="gramEnd"/>
      <w:r w:rsidRPr="0084305F">
        <w:rPr>
          <w:rFonts w:ascii="Aptos" w:eastAsia="Aptos" w:hAnsi="Aptos" w:cs="Aptos"/>
          <w:snapToGrid/>
          <w:sz w:val="20"/>
          <w:szCs w:val="20"/>
          <w:lang w:val="en-US"/>
        </w:rPr>
        <w:t xml:space="preserve"> survey was launched on 5 February through IOC Circular Letter 3027 with a deadline </w:t>
      </w:r>
      <w:proofErr w:type="gramStart"/>
      <w:r w:rsidRPr="0084305F">
        <w:rPr>
          <w:rFonts w:ascii="Aptos" w:eastAsia="Aptos" w:hAnsi="Aptos" w:cs="Aptos"/>
          <w:snapToGrid/>
          <w:sz w:val="20"/>
          <w:szCs w:val="20"/>
          <w:lang w:val="en-US"/>
        </w:rPr>
        <w:t>on</w:t>
      </w:r>
      <w:proofErr w:type="gramEnd"/>
      <w:r w:rsidRPr="0084305F">
        <w:rPr>
          <w:rFonts w:ascii="Aptos" w:eastAsia="Aptos" w:hAnsi="Aptos" w:cs="Aptos"/>
          <w:snapToGrid/>
          <w:sz w:val="20"/>
          <w:szCs w:val="20"/>
          <w:lang w:val="en-US"/>
        </w:rPr>
        <w:t xml:space="preserve"> 4 March. The survey questions were from the 2025 Indian Ocean Tsunami Preparedness Capacity Assessment, with modifications for the Pacific.  A preliminary compilation of the survey results will be presented at the 31st Session of the Intergovernmental Coordination Group for the Pacific Tsunami Warning and Mitigation System (ICG/PTWS-XXXI), 7–11 April 2025 in Beijing, China, followed by a dedicated ICG/PTWS Steering Committee Workshop, 14–16 May 2025 in Manila, Philippines. The draft technical report of this capacity assessment will be made available to the forthcoming IOC Assembly (25 June–3 July 2025), upon which a policy report will be submitted to the ICG/PTWS Steering Committee in September 2025 for its final review before publication. All reports from this capacity assessment will be distributed to ICG/PTWS Member States in October 2025. Dr Rahayu stressed the importance of aligning these efforts, including a set of questions, among the ICGs, to ensure global comparability.  </w:t>
      </w:r>
    </w:p>
    <w:p w14:paraId="1A7DF0C7"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6C8AC367"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Necmioglu proposed the group to consider regular capacity assessment initiatives starting 2030, marking the end of the Ocean Decade Tsunami Programme. Dr. Denis Chang Seng underlined the importance of the ongoing work on the development of Global KPIs which will also serve the ODTP, as a basis of future capacity assessment </w:t>
      </w:r>
      <w:proofErr w:type="spellStart"/>
      <w:proofErr w:type="gramStart"/>
      <w:r w:rsidRPr="0084305F">
        <w:rPr>
          <w:rFonts w:ascii="Aptos" w:eastAsia="Aptos" w:hAnsi="Aptos" w:cs="Aptos"/>
          <w:snapToGrid/>
          <w:sz w:val="20"/>
          <w:szCs w:val="20"/>
          <w:lang w:val="en-US"/>
        </w:rPr>
        <w:t>initiatives,and</w:t>
      </w:r>
      <w:proofErr w:type="spellEnd"/>
      <w:proofErr w:type="gramEnd"/>
      <w:r w:rsidRPr="0084305F">
        <w:rPr>
          <w:rFonts w:ascii="Aptos" w:eastAsia="Aptos" w:hAnsi="Aptos" w:cs="Aptos"/>
          <w:snapToGrid/>
          <w:sz w:val="20"/>
          <w:szCs w:val="20"/>
          <w:lang w:val="en-US"/>
        </w:rPr>
        <w:t xml:space="preserve"> mentioned that similar assessments will be considered at the ICG-NEAMTWS-XX session in November 2025 </w:t>
      </w:r>
      <w:proofErr w:type="gramStart"/>
      <w:r w:rsidRPr="0084305F">
        <w:rPr>
          <w:rFonts w:ascii="Aptos" w:eastAsia="Aptos" w:hAnsi="Aptos" w:cs="Aptos"/>
          <w:snapToGrid/>
          <w:sz w:val="20"/>
          <w:szCs w:val="20"/>
          <w:lang w:val="en-US"/>
        </w:rPr>
        <w:t>for  implementation</w:t>
      </w:r>
      <w:proofErr w:type="gramEnd"/>
      <w:r w:rsidRPr="0084305F">
        <w:rPr>
          <w:rFonts w:ascii="Aptos" w:eastAsia="Aptos" w:hAnsi="Aptos" w:cs="Aptos"/>
          <w:snapToGrid/>
          <w:sz w:val="20"/>
          <w:szCs w:val="20"/>
          <w:lang w:val="en-US"/>
        </w:rPr>
        <w:t xml:space="preserve"> in 2026 after the closure of </w:t>
      </w:r>
      <w:proofErr w:type="spellStart"/>
      <w:r w:rsidRPr="0084305F">
        <w:rPr>
          <w:rFonts w:ascii="Aptos" w:eastAsia="Aptos" w:hAnsi="Aptos" w:cs="Aptos"/>
          <w:snapToGrid/>
          <w:sz w:val="20"/>
          <w:szCs w:val="20"/>
          <w:lang w:val="en-US"/>
        </w:rPr>
        <w:t>CoastWAVE</w:t>
      </w:r>
      <w:proofErr w:type="spellEnd"/>
      <w:r w:rsidRPr="0084305F">
        <w:rPr>
          <w:rFonts w:ascii="Aptos" w:eastAsia="Aptos" w:hAnsi="Aptos" w:cs="Aptos"/>
          <w:snapToGrid/>
          <w:sz w:val="20"/>
          <w:szCs w:val="20"/>
          <w:lang w:val="en-US"/>
        </w:rPr>
        <w:t xml:space="preserve"> 2.0 project. </w:t>
      </w:r>
    </w:p>
    <w:p w14:paraId="227740B4"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53F9FDA6"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snapToGrid/>
          <w:color w:val="0F4761"/>
          <w:lang w:val="en-US"/>
        </w:rPr>
      </w:pPr>
      <w:bookmarkStart w:id="232" w:name="_3znysh7" w:colFirst="0" w:colLast="0"/>
      <w:bookmarkStart w:id="233" w:name="_Toc195258132"/>
      <w:bookmarkEnd w:id="232"/>
      <w:r w:rsidRPr="0084305F">
        <w:rPr>
          <w:rFonts w:ascii="Aptos" w:eastAsia="Aptos" w:hAnsi="Aptos" w:cs="Aptos"/>
          <w:snapToGrid/>
          <w:color w:val="0F4761"/>
          <w:lang w:val="en-US"/>
        </w:rPr>
        <w:t>3.1 Global criteria and methodology to report on WAVE EXERCISE</w:t>
      </w:r>
      <w:bookmarkEnd w:id="233"/>
    </w:p>
    <w:p w14:paraId="3884B55A" w14:textId="77777777" w:rsidR="0084305F" w:rsidRPr="0084305F" w:rsidRDefault="0084305F" w:rsidP="0084305F">
      <w:pPr>
        <w:tabs>
          <w:tab w:val="clear" w:pos="709"/>
        </w:tabs>
        <w:snapToGrid/>
        <w:rPr>
          <w:rFonts w:ascii="Aptos" w:eastAsia="Aptos" w:hAnsi="Aptos" w:cs="Aptos"/>
          <w:snapToGrid/>
          <w:color w:val="000000"/>
          <w:sz w:val="20"/>
          <w:szCs w:val="20"/>
          <w:lang w:val="en-US"/>
        </w:rPr>
      </w:pPr>
    </w:p>
    <w:p w14:paraId="562E14B0"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r w:rsidRPr="0084305F">
        <w:rPr>
          <w:rFonts w:ascii="Aptos" w:eastAsia="Aptos" w:hAnsi="Aptos" w:cs="Aptos"/>
          <w:snapToGrid/>
          <w:sz w:val="20"/>
          <w:szCs w:val="20"/>
          <w:lang w:val="en-US"/>
        </w:rPr>
        <w:t xml:space="preserve">Dr Marinos Charalampakis </w:t>
      </w:r>
      <w:proofErr w:type="gramStart"/>
      <w:r w:rsidRPr="0084305F">
        <w:rPr>
          <w:rFonts w:ascii="Aptos" w:eastAsia="Aptos" w:hAnsi="Aptos" w:cs="Aptos"/>
          <w:snapToGrid/>
          <w:sz w:val="20"/>
          <w:szCs w:val="20"/>
          <w:lang w:val="en-US"/>
        </w:rPr>
        <w:t>inquired</w:t>
      </w:r>
      <w:proofErr w:type="gramEnd"/>
      <w:r w:rsidRPr="0084305F">
        <w:rPr>
          <w:rFonts w:ascii="Aptos" w:eastAsia="Aptos" w:hAnsi="Aptos" w:cs="Aptos"/>
          <w:snapToGrid/>
          <w:sz w:val="20"/>
          <w:szCs w:val="20"/>
          <w:lang w:val="en-US"/>
        </w:rPr>
        <w:t xml:space="preserve"> details about the CARIBE WAVE 25 registrations. Dr. Ocal Necmioglu responded that while so far reported numbers were based on registrations, the Task Team on Caribe Wave Exercise decided in 2024 that Member States reports should be </w:t>
      </w:r>
      <w:proofErr w:type="gramStart"/>
      <w:r w:rsidRPr="0084305F">
        <w:rPr>
          <w:rFonts w:ascii="Aptos" w:eastAsia="Aptos" w:hAnsi="Aptos" w:cs="Aptos"/>
          <w:snapToGrid/>
          <w:sz w:val="20"/>
          <w:szCs w:val="20"/>
          <w:lang w:val="en-US"/>
        </w:rPr>
        <w:t>taken into account</w:t>
      </w:r>
      <w:proofErr w:type="gramEnd"/>
      <w:r w:rsidRPr="0084305F">
        <w:rPr>
          <w:rFonts w:ascii="Aptos" w:eastAsia="Aptos" w:hAnsi="Aptos" w:cs="Aptos"/>
          <w:snapToGrid/>
          <w:sz w:val="20"/>
          <w:szCs w:val="20"/>
          <w:lang w:val="en-US"/>
        </w:rPr>
        <w:t xml:space="preserve"> for official reporting purposes, while number of registrations can be used as a complementary indicator. He further added </w:t>
      </w:r>
      <w:r w:rsidRPr="0084305F">
        <w:rPr>
          <w:rFonts w:ascii="Aptos" w:eastAsia="Aptos" w:hAnsi="Aptos" w:cs="Aptos"/>
          <w:snapToGrid/>
          <w:color w:val="000000"/>
          <w:sz w:val="20"/>
          <w:szCs w:val="20"/>
          <w:lang w:val="en-US"/>
        </w:rPr>
        <w:t xml:space="preserve">the need to have a standard reporting template for all ICGs, providing granularity on the number of participants with respect to the type of activity they </w:t>
      </w:r>
      <w:proofErr w:type="gramStart"/>
      <w:r w:rsidRPr="0084305F">
        <w:rPr>
          <w:rFonts w:ascii="Aptos" w:eastAsia="Aptos" w:hAnsi="Aptos" w:cs="Aptos"/>
          <w:snapToGrid/>
          <w:color w:val="000000"/>
          <w:sz w:val="20"/>
          <w:szCs w:val="20"/>
          <w:lang w:val="en-US"/>
        </w:rPr>
        <w:t>participated</w:t>
      </w:r>
      <w:proofErr w:type="gramEnd"/>
      <w:r w:rsidRPr="0084305F">
        <w:rPr>
          <w:rFonts w:ascii="Aptos" w:eastAsia="Aptos" w:hAnsi="Aptos" w:cs="Aptos"/>
          <w:snapToGrid/>
          <w:color w:val="000000"/>
          <w:sz w:val="20"/>
          <w:szCs w:val="20"/>
          <w:lang w:val="en-US"/>
        </w:rPr>
        <w:t xml:space="preserve"> during an exercise, which would allow inter-ICG comparison. Ms. </w:t>
      </w:r>
      <w:r w:rsidRPr="0084305F">
        <w:rPr>
          <w:rFonts w:ascii="Aptos" w:eastAsia="Aptos" w:hAnsi="Aptos" w:cs="Aptos"/>
          <w:snapToGrid/>
          <w:sz w:val="20"/>
          <w:szCs w:val="20"/>
          <w:lang w:val="en-US"/>
        </w:rPr>
        <w:t xml:space="preserve">Ashleigh Fromont and </w:t>
      </w:r>
      <w:proofErr w:type="gramStart"/>
      <w:r w:rsidRPr="0084305F">
        <w:rPr>
          <w:rFonts w:ascii="Aptos" w:eastAsia="Aptos" w:hAnsi="Aptos" w:cs="Aptos"/>
          <w:snapToGrid/>
          <w:sz w:val="20"/>
          <w:szCs w:val="20"/>
          <w:lang w:val="en-US"/>
        </w:rPr>
        <w:t>Dr .Denis</w:t>
      </w:r>
      <w:proofErr w:type="gramEnd"/>
      <w:r w:rsidRPr="0084305F">
        <w:rPr>
          <w:rFonts w:ascii="Aptos" w:eastAsia="Aptos" w:hAnsi="Aptos" w:cs="Aptos"/>
          <w:snapToGrid/>
          <w:sz w:val="20"/>
          <w:szCs w:val="20"/>
          <w:lang w:val="en-US"/>
        </w:rPr>
        <w:t xml:space="preserve"> Chang Seng emphasized the importance of standardization in all types of reporting, especially </w:t>
      </w:r>
      <w:proofErr w:type="gramStart"/>
      <w:r w:rsidRPr="0084305F">
        <w:rPr>
          <w:rFonts w:ascii="Aptos" w:eastAsia="Aptos" w:hAnsi="Aptos" w:cs="Aptos"/>
          <w:snapToGrid/>
          <w:sz w:val="20"/>
          <w:szCs w:val="20"/>
          <w:lang w:val="en-US"/>
        </w:rPr>
        <w:t>considering the fact that</w:t>
      </w:r>
      <w:proofErr w:type="gramEnd"/>
      <w:r w:rsidRPr="0084305F">
        <w:rPr>
          <w:rFonts w:ascii="Aptos" w:eastAsia="Aptos" w:hAnsi="Aptos" w:cs="Aptos"/>
          <w:snapToGrid/>
          <w:sz w:val="20"/>
          <w:szCs w:val="20"/>
          <w:lang w:val="en-US"/>
        </w:rPr>
        <w:t xml:space="preserve"> some Member States are reporting to more than one ICG. Dr. Elizabeth Vanacore commented on the usefulness of the registration info, as it allows stakeholders to approach registered institutions to verify their actions.</w:t>
      </w:r>
    </w:p>
    <w:p w14:paraId="40DC795B"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color w:val="0070C0"/>
          <w:sz w:val="20"/>
          <w:szCs w:val="20"/>
          <w:lang w:val="en-US"/>
        </w:rPr>
        <w:t>Recommendations to TOWS-WG</w:t>
      </w:r>
    </w:p>
    <w:p w14:paraId="65287498" w14:textId="77777777" w:rsidR="0084305F" w:rsidRPr="0084305F" w:rsidRDefault="0084305F" w:rsidP="0084305F">
      <w:p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Recommends </w:t>
      </w:r>
      <w:r w:rsidRPr="0084305F">
        <w:rPr>
          <w:rFonts w:ascii="Aptos" w:eastAsia="Aptos" w:hAnsi="Aptos" w:cs="Aptos"/>
          <w:snapToGrid/>
          <w:sz w:val="20"/>
          <w:szCs w:val="20"/>
          <w:lang w:val="en-US"/>
        </w:rPr>
        <w:t xml:space="preserve">Member States monitor the health of their sea level gauges that are used for detecting and monitoring tsunamis, to restore them as quickly as possible when they fail, and add sea level gauges when </w:t>
      </w:r>
      <w:proofErr w:type="gramStart"/>
      <w:r w:rsidRPr="0084305F">
        <w:rPr>
          <w:rFonts w:ascii="Aptos" w:eastAsia="Aptos" w:hAnsi="Aptos" w:cs="Aptos"/>
          <w:snapToGrid/>
          <w:sz w:val="20"/>
          <w:szCs w:val="20"/>
          <w:lang w:val="en-US"/>
        </w:rPr>
        <w:t>possible</w:t>
      </w:r>
      <w:proofErr w:type="gramEnd"/>
      <w:r w:rsidRPr="0084305F">
        <w:rPr>
          <w:rFonts w:ascii="Aptos" w:eastAsia="Aptos" w:hAnsi="Aptos" w:cs="Aptos"/>
          <w:snapToGrid/>
          <w:sz w:val="20"/>
          <w:szCs w:val="20"/>
          <w:lang w:val="en-US"/>
        </w:rPr>
        <w:t xml:space="preserve"> in places identified by their ICG as gaps.</w:t>
      </w:r>
    </w:p>
    <w:p w14:paraId="5C0DD192"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 xml:space="preserve">Recommendations </w:t>
      </w:r>
      <w:proofErr w:type="gramStart"/>
      <w:r w:rsidRPr="0084305F">
        <w:rPr>
          <w:rFonts w:ascii="Aptos" w:eastAsia="Aptos" w:hAnsi="Aptos" w:cs="Aptos"/>
          <w:b/>
          <w:snapToGrid/>
          <w:color w:val="0070C0"/>
          <w:sz w:val="20"/>
          <w:szCs w:val="20"/>
          <w:lang w:val="en-US"/>
        </w:rPr>
        <w:t>to</w:t>
      </w:r>
      <w:proofErr w:type="gramEnd"/>
      <w:r w:rsidRPr="0084305F">
        <w:rPr>
          <w:rFonts w:ascii="Aptos" w:eastAsia="Aptos" w:hAnsi="Aptos" w:cs="Aptos"/>
          <w:b/>
          <w:snapToGrid/>
          <w:color w:val="0070C0"/>
          <w:sz w:val="20"/>
          <w:szCs w:val="20"/>
          <w:lang w:val="en-US"/>
        </w:rPr>
        <w:t xml:space="preserve"> TOWS Task Teams</w:t>
      </w:r>
    </w:p>
    <w:p w14:paraId="192DAC87" w14:textId="77777777" w:rsidR="0084305F" w:rsidRPr="0084305F" w:rsidRDefault="0084305F" w:rsidP="0084305F">
      <w:pP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b/>
          <w:snapToGrid/>
          <w:color w:val="000000"/>
          <w:sz w:val="20"/>
          <w:szCs w:val="20"/>
          <w:lang w:val="en-US"/>
        </w:rPr>
        <w:lastRenderedPageBreak/>
        <w:t xml:space="preserve">Recommends </w:t>
      </w:r>
      <w:r w:rsidRPr="0084305F">
        <w:rPr>
          <w:rFonts w:ascii="Aptos" w:eastAsia="Aptos" w:hAnsi="Aptos" w:cs="Aptos"/>
          <w:snapToGrid/>
          <w:color w:val="000000"/>
          <w:sz w:val="20"/>
          <w:szCs w:val="20"/>
          <w:lang w:val="en-US"/>
        </w:rPr>
        <w:t xml:space="preserve">the TTWO and </w:t>
      </w:r>
      <w:proofErr w:type="gramStart"/>
      <w:r w:rsidRPr="0084305F">
        <w:rPr>
          <w:rFonts w:ascii="Aptos" w:eastAsia="Aptos" w:hAnsi="Aptos" w:cs="Aptos"/>
          <w:snapToGrid/>
          <w:color w:val="000000"/>
          <w:sz w:val="20"/>
          <w:szCs w:val="20"/>
          <w:lang w:val="en-US"/>
        </w:rPr>
        <w:t>or</w:t>
      </w:r>
      <w:proofErr w:type="gramEnd"/>
      <w:r w:rsidRPr="0084305F">
        <w:rPr>
          <w:rFonts w:ascii="Aptos" w:eastAsia="Aptos" w:hAnsi="Aptos" w:cs="Aptos"/>
          <w:snapToGrid/>
          <w:color w:val="000000"/>
          <w:sz w:val="20"/>
          <w:szCs w:val="20"/>
          <w:lang w:val="en-US"/>
        </w:rPr>
        <w:t xml:space="preserve"> Joint TTDMP-TTTWO to consider this issue in its work </w:t>
      </w:r>
      <w:proofErr w:type="spellStart"/>
      <w:r w:rsidRPr="0084305F">
        <w:rPr>
          <w:rFonts w:ascii="Aptos" w:eastAsia="Aptos" w:hAnsi="Aptos" w:cs="Aptos"/>
          <w:snapToGrid/>
          <w:color w:val="000000"/>
          <w:sz w:val="20"/>
          <w:szCs w:val="20"/>
          <w:lang w:val="en-US"/>
        </w:rPr>
        <w:t>programme</w:t>
      </w:r>
      <w:proofErr w:type="spellEnd"/>
      <w:r w:rsidRPr="0084305F">
        <w:rPr>
          <w:rFonts w:ascii="Aptos" w:eastAsia="Aptos" w:hAnsi="Aptos" w:cs="Aptos"/>
          <w:snapToGrid/>
          <w:color w:val="000000"/>
          <w:sz w:val="20"/>
          <w:szCs w:val="20"/>
          <w:lang w:val="en-US"/>
        </w:rPr>
        <w:t xml:space="preserve"> with the aim </w:t>
      </w:r>
      <w:proofErr w:type="gramStart"/>
      <w:r w:rsidRPr="0084305F">
        <w:rPr>
          <w:rFonts w:ascii="Aptos" w:eastAsia="Aptos" w:hAnsi="Aptos" w:cs="Aptos"/>
          <w:snapToGrid/>
          <w:color w:val="000000"/>
          <w:sz w:val="20"/>
          <w:szCs w:val="20"/>
          <w:lang w:val="en-US"/>
        </w:rPr>
        <w:t>for</w:t>
      </w:r>
      <w:proofErr w:type="gramEnd"/>
      <w:r w:rsidRPr="0084305F">
        <w:rPr>
          <w:rFonts w:ascii="Aptos" w:eastAsia="Aptos" w:hAnsi="Aptos" w:cs="Aptos"/>
          <w:snapToGrid/>
          <w:color w:val="000000"/>
          <w:sz w:val="20"/>
          <w:szCs w:val="20"/>
          <w:lang w:val="en-US"/>
        </w:rPr>
        <w:t xml:space="preserve"> developing a revised form to collect TNC/TWFP/NTWC data from Member States and agree on a mechanism that would simplify and standardize the procedures both in collecting and making this data available to TSPs and TNCs</w:t>
      </w:r>
    </w:p>
    <w:p w14:paraId="08406C65"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A8B1EC2"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Recommends</w:t>
      </w:r>
      <w:r w:rsidRPr="0084305F">
        <w:rPr>
          <w:rFonts w:ascii="Aptos" w:eastAsia="Aptos" w:hAnsi="Aptos" w:cs="Aptos"/>
          <w:snapToGrid/>
          <w:sz w:val="20"/>
          <w:szCs w:val="20"/>
          <w:lang w:val="en-US"/>
        </w:rPr>
        <w:t xml:space="preserve"> the review of the IOC Tsunami Post-Event Assessment process and questionnaire (TOWS 2015, PAE) considering its use in the past decade, and consideration of other post-event processes undertaken for smaller events that did not meet the PEA? </w:t>
      </w:r>
      <w:proofErr w:type="gramStart"/>
      <w:r w:rsidRPr="0084305F">
        <w:rPr>
          <w:rFonts w:ascii="Aptos" w:eastAsia="Aptos" w:hAnsi="Aptos" w:cs="Aptos"/>
          <w:snapToGrid/>
          <w:sz w:val="20"/>
          <w:szCs w:val="20"/>
          <w:lang w:val="en-US"/>
        </w:rPr>
        <w:t>threshold..</w:t>
      </w:r>
      <w:proofErr w:type="gramEnd"/>
    </w:p>
    <w:p w14:paraId="3627B791"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CBA0D45"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proofErr w:type="gramStart"/>
      <w:r w:rsidRPr="0084305F">
        <w:rPr>
          <w:rFonts w:ascii="Aptos" w:eastAsia="Aptos" w:hAnsi="Aptos" w:cs="Aptos"/>
          <w:b/>
          <w:snapToGrid/>
          <w:color w:val="000000"/>
          <w:sz w:val="20"/>
          <w:szCs w:val="20"/>
          <w:lang w:val="en-US"/>
        </w:rPr>
        <w:t>Further</w:t>
      </w:r>
      <w:proofErr w:type="gramEnd"/>
      <w:r w:rsidRPr="0084305F">
        <w:rPr>
          <w:rFonts w:ascii="Aptos" w:eastAsia="Aptos" w:hAnsi="Aptos" w:cs="Aptos"/>
          <w:b/>
          <w:snapToGrid/>
          <w:color w:val="000000"/>
          <w:sz w:val="20"/>
          <w:szCs w:val="20"/>
          <w:lang w:val="en-US"/>
        </w:rPr>
        <w:t xml:space="preserve"> recommends</w:t>
      </w:r>
      <w:r w:rsidRPr="0084305F">
        <w:rPr>
          <w:rFonts w:ascii="Aptos" w:eastAsia="Aptos" w:hAnsi="Aptos" w:cs="Aptos"/>
          <w:snapToGrid/>
          <w:color w:val="000000"/>
          <w:sz w:val="20"/>
          <w:szCs w:val="20"/>
          <w:lang w:val="en-US"/>
        </w:rPr>
        <w:t xml:space="preserve"> having a standard reporting template for all ICGs, providing granularity on the number of participants with respect to the type of activity they </w:t>
      </w:r>
      <w:proofErr w:type="gramStart"/>
      <w:r w:rsidRPr="0084305F">
        <w:rPr>
          <w:rFonts w:ascii="Aptos" w:eastAsia="Aptos" w:hAnsi="Aptos" w:cs="Aptos"/>
          <w:snapToGrid/>
          <w:color w:val="000000"/>
          <w:sz w:val="20"/>
          <w:szCs w:val="20"/>
          <w:lang w:val="en-US"/>
        </w:rPr>
        <w:t>participated</w:t>
      </w:r>
      <w:proofErr w:type="gramEnd"/>
      <w:r w:rsidRPr="0084305F">
        <w:rPr>
          <w:rFonts w:ascii="Aptos" w:eastAsia="Aptos" w:hAnsi="Aptos" w:cs="Aptos"/>
          <w:snapToGrid/>
          <w:color w:val="000000"/>
          <w:sz w:val="20"/>
          <w:szCs w:val="20"/>
          <w:lang w:val="en-US"/>
        </w:rPr>
        <w:t xml:space="preserve"> during an exercise, which would allow inter-ICG comparison.</w:t>
      </w:r>
    </w:p>
    <w:p w14:paraId="789BD080"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Play" w:eastAsia="Play" w:hAnsi="Play" w:cs="Play"/>
          <w:snapToGrid/>
          <w:color w:val="0F4761"/>
          <w:sz w:val="28"/>
          <w:szCs w:val="28"/>
          <w:lang w:val="en-US"/>
        </w:rPr>
      </w:pPr>
      <w:bookmarkStart w:id="234" w:name="_2et92p0" w:colFirst="0" w:colLast="0"/>
      <w:bookmarkStart w:id="235" w:name="_Toc195258133"/>
      <w:bookmarkEnd w:id="234"/>
      <w:r w:rsidRPr="0084305F">
        <w:rPr>
          <w:rFonts w:ascii="Aptos" w:eastAsia="Aptos" w:hAnsi="Aptos" w:cs="Aptos"/>
          <w:snapToGrid/>
          <w:color w:val="0F4761"/>
          <w:sz w:val="28"/>
          <w:szCs w:val="28"/>
          <w:lang w:val="en-US"/>
        </w:rPr>
        <w:t>4.0 Planning for Ocean Decade</w:t>
      </w:r>
      <w:bookmarkEnd w:id="235"/>
    </w:p>
    <w:p w14:paraId="0C9AC6CC"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snapToGrid/>
          <w:color w:val="0F4761"/>
          <w:lang w:val="en-US"/>
        </w:rPr>
      </w:pPr>
      <w:bookmarkStart w:id="236" w:name="_tyjcwt" w:colFirst="0" w:colLast="0"/>
      <w:bookmarkStart w:id="237" w:name="_Toc195258134"/>
      <w:bookmarkEnd w:id="236"/>
      <w:r w:rsidRPr="0084305F">
        <w:rPr>
          <w:rFonts w:ascii="Aptos" w:eastAsia="Aptos" w:hAnsi="Aptos" w:cs="Aptos"/>
          <w:snapToGrid/>
          <w:color w:val="0F4761"/>
          <w:lang w:val="en-US"/>
        </w:rPr>
        <w:t>4.1 Ocean Decade Tsunami Programme (Report of the ODTP -SC)</w:t>
      </w:r>
      <w:bookmarkEnd w:id="237"/>
    </w:p>
    <w:p w14:paraId="28C9432C"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Dr. Silvia Chacon, interim chairperson of the Ocean Decade Tsunami Programme Scientific Committee (ODTPSC) reported on the key highlights of the 5th ODTP-</w:t>
      </w:r>
      <w:proofErr w:type="gramStart"/>
      <w:r w:rsidRPr="0084305F">
        <w:rPr>
          <w:rFonts w:ascii="Aptos" w:eastAsia="Aptos" w:hAnsi="Aptos" w:cs="Aptos"/>
          <w:snapToGrid/>
          <w:sz w:val="20"/>
          <w:szCs w:val="20"/>
          <w:lang w:val="en-US"/>
        </w:rPr>
        <w:t>SC  meeting</w:t>
      </w:r>
      <w:proofErr w:type="gramEnd"/>
      <w:r w:rsidRPr="0084305F">
        <w:rPr>
          <w:rFonts w:ascii="Aptos" w:eastAsia="Aptos" w:hAnsi="Aptos" w:cs="Aptos"/>
          <w:snapToGrid/>
          <w:sz w:val="20"/>
          <w:szCs w:val="20"/>
          <w:lang w:val="en-US"/>
        </w:rPr>
        <w:t xml:space="preserve"> organized between 16-17 January 2025.  Key achievements include new Tsunami Ready Recognized communities, additional seismic devices, and the development of a global real-time tsunami alarm software. The meeting discussed a comprehensive Tsunami Performance Monitoring &amp; Tracking Tool, aligning various key performance indicators (KPIs) to streamline assessments and reporting. ODTP’s recent actions cover hazard risk knowledge, monitoring and detection, and preparedness, with significant financial investments to support these initiatives. Coordination efforts are set for 2025, including webinars and conferences in November Hyderabad, India, fostering collaboration across endorsed projects. The Tsunami Ready Coalition’s implementation plan was refined to focus on sustainability, governance, and communication, with a revised draft expected in early 2025. </w:t>
      </w:r>
    </w:p>
    <w:p w14:paraId="4C22B844"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snapToGrid/>
          <w:color w:val="0F4761"/>
          <w:lang w:val="en-US"/>
        </w:rPr>
      </w:pPr>
      <w:bookmarkStart w:id="238" w:name="_3dy6vkm" w:colFirst="0" w:colLast="0"/>
      <w:bookmarkStart w:id="239" w:name="_Toc195258135"/>
      <w:bookmarkEnd w:id="238"/>
      <w:r w:rsidRPr="0084305F">
        <w:rPr>
          <w:rFonts w:ascii="Aptos" w:eastAsia="Aptos" w:hAnsi="Aptos" w:cs="Aptos"/>
          <w:snapToGrid/>
          <w:color w:val="0F4761"/>
          <w:lang w:val="en-US"/>
        </w:rPr>
        <w:t>4.2 Ocean Decade: Safe Ocean (Resilient Communities Actions)</w:t>
      </w:r>
      <w:bookmarkEnd w:id="239"/>
    </w:p>
    <w:p w14:paraId="6B03D4E7" w14:textId="77777777" w:rsidR="0084305F" w:rsidRPr="0084305F" w:rsidRDefault="0084305F" w:rsidP="0084305F">
      <w:pP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snapToGrid/>
          <w:sz w:val="22"/>
          <w:szCs w:val="22"/>
          <w:lang w:val="en-US"/>
        </w:rPr>
        <w:br/>
      </w:r>
      <w:r w:rsidRPr="0084305F">
        <w:rPr>
          <w:rFonts w:ascii="Aptos" w:eastAsia="Aptos" w:hAnsi="Aptos" w:cs="Aptos"/>
          <w:snapToGrid/>
          <w:sz w:val="20"/>
          <w:szCs w:val="20"/>
          <w:lang w:val="en-US"/>
        </w:rPr>
        <w:t xml:space="preserve">Dr. </w:t>
      </w:r>
      <w:r w:rsidRPr="0084305F">
        <w:rPr>
          <w:rFonts w:ascii="Aptos" w:eastAsia="Aptos" w:hAnsi="Aptos" w:cs="Aptos"/>
          <w:snapToGrid/>
          <w:color w:val="000000"/>
          <w:sz w:val="20"/>
          <w:szCs w:val="20"/>
          <w:lang w:val="en-US"/>
        </w:rPr>
        <w:t xml:space="preserve">Denis Chang Seng reported on the Ocean Decade Tsunami Programme related actions submitted based on call 7 and 8. Seven projects were submitted under call 7 and one contribution. Two of these actions have already been approved while </w:t>
      </w:r>
      <w:r w:rsidRPr="0084305F">
        <w:rPr>
          <w:rFonts w:ascii="Aptos" w:eastAsia="Aptos" w:hAnsi="Aptos" w:cs="Aptos"/>
          <w:snapToGrid/>
          <w:sz w:val="20"/>
          <w:szCs w:val="20"/>
          <w:lang w:val="en-US"/>
        </w:rPr>
        <w:t>others</w:t>
      </w:r>
      <w:r w:rsidRPr="0084305F">
        <w:rPr>
          <w:rFonts w:ascii="Aptos" w:eastAsia="Aptos" w:hAnsi="Aptos" w:cs="Aptos"/>
          <w:snapToGrid/>
          <w:color w:val="000000"/>
          <w:sz w:val="20"/>
          <w:szCs w:val="20"/>
          <w:lang w:val="en-US"/>
        </w:rPr>
        <w:t xml:space="preserve"> are still being reviewed. </w:t>
      </w:r>
    </w:p>
    <w:p w14:paraId="0D0B97B5" w14:textId="77777777" w:rsidR="0084305F" w:rsidRPr="0084305F" w:rsidRDefault="0084305F" w:rsidP="0084305F">
      <w:pPr>
        <w:widowControl w:val="0"/>
        <w:numPr>
          <w:ilvl w:val="0"/>
          <w:numId w:val="144"/>
        </w:numPr>
        <w:pBdr>
          <w:top w:val="nil"/>
          <w:left w:val="nil"/>
          <w:bottom w:val="nil"/>
          <w:right w:val="nil"/>
          <w:between w:val="nil"/>
        </w:pBdr>
        <w:tabs>
          <w:tab w:val="clear" w:pos="709"/>
        </w:tabs>
        <w:snapToGrid/>
        <w:spacing w:after="160" w:line="259" w:lineRule="auto"/>
        <w:jc w:val="both"/>
        <w:rPr>
          <w:rFonts w:ascii="Aptos" w:eastAsia="Aptos" w:hAnsi="Aptos" w:cs="Aptos"/>
          <w:i/>
          <w:snapToGrid/>
          <w:color w:val="000000"/>
          <w:sz w:val="20"/>
          <w:szCs w:val="20"/>
          <w:lang w:val="en-US"/>
        </w:rPr>
      </w:pPr>
      <w:r w:rsidRPr="0084305F">
        <w:rPr>
          <w:rFonts w:ascii="Aptos" w:eastAsia="Aptos" w:hAnsi="Aptos" w:cs="Aptos"/>
          <w:b/>
          <w:snapToGrid/>
          <w:color w:val="000000"/>
          <w:sz w:val="20"/>
          <w:szCs w:val="20"/>
          <w:lang w:val="en-US"/>
        </w:rPr>
        <w:t>IOC DG ECHO Project</w:t>
      </w:r>
      <w:r w:rsidRPr="0084305F">
        <w:rPr>
          <w:rFonts w:ascii="Aptos" w:eastAsia="Aptos" w:hAnsi="Aptos" w:cs="Aptos"/>
          <w:snapToGrid/>
          <w:color w:val="000000"/>
          <w:sz w:val="20"/>
          <w:szCs w:val="20"/>
          <w:lang w:val="en-US"/>
        </w:rPr>
        <w:t xml:space="preserve">: </w:t>
      </w:r>
      <w:r w:rsidRPr="0084305F">
        <w:rPr>
          <w:rFonts w:ascii="Aptos" w:eastAsia="Aptos" w:hAnsi="Aptos" w:cs="Aptos"/>
          <w:i/>
          <w:snapToGrid/>
          <w:color w:val="000000"/>
          <w:sz w:val="20"/>
          <w:szCs w:val="20"/>
          <w:lang w:val="en-US"/>
        </w:rPr>
        <w:t>Scaling-up and strengthening the resilience of coastal communities in the North-Eastern Atlantic and Mediterranean regions to the impact of tsunamis and other sea level-related coastal hazards (</w:t>
      </w:r>
      <w:proofErr w:type="spellStart"/>
      <w:r w:rsidRPr="0084305F">
        <w:rPr>
          <w:rFonts w:ascii="Aptos" w:eastAsia="Aptos" w:hAnsi="Aptos" w:cs="Aptos"/>
          <w:i/>
          <w:snapToGrid/>
          <w:color w:val="000000"/>
          <w:sz w:val="20"/>
          <w:szCs w:val="20"/>
          <w:lang w:val="en-US"/>
        </w:rPr>
        <w:t>CoastWAVE</w:t>
      </w:r>
      <w:proofErr w:type="spellEnd"/>
      <w:r w:rsidRPr="0084305F">
        <w:rPr>
          <w:rFonts w:ascii="Aptos" w:eastAsia="Aptos" w:hAnsi="Aptos" w:cs="Aptos"/>
          <w:i/>
          <w:snapToGrid/>
          <w:color w:val="000000"/>
          <w:sz w:val="20"/>
          <w:szCs w:val="20"/>
          <w:lang w:val="en-US"/>
        </w:rPr>
        <w:t xml:space="preserve"> 2.0, July 2024-July 2026) (approved 18 dec 2024).</w:t>
      </w:r>
    </w:p>
    <w:p w14:paraId="10C7C2EA" w14:textId="77777777" w:rsidR="0084305F" w:rsidRPr="0084305F" w:rsidRDefault="0084305F" w:rsidP="0084305F">
      <w:pPr>
        <w:widowControl w:val="0"/>
        <w:numPr>
          <w:ilvl w:val="0"/>
          <w:numId w:val="144"/>
        </w:numPr>
        <w:pBdr>
          <w:top w:val="nil"/>
          <w:left w:val="nil"/>
          <w:bottom w:val="nil"/>
          <w:right w:val="nil"/>
          <w:between w:val="nil"/>
        </w:pBdr>
        <w:tabs>
          <w:tab w:val="clear" w:pos="709"/>
        </w:tabs>
        <w:snapToGrid/>
        <w:spacing w:after="160" w:line="259" w:lineRule="auto"/>
        <w:jc w:val="both"/>
        <w:rPr>
          <w:rFonts w:ascii="Aptos" w:eastAsia="Aptos" w:hAnsi="Aptos" w:cs="Aptos"/>
          <w:i/>
          <w:snapToGrid/>
          <w:color w:val="000000"/>
          <w:sz w:val="20"/>
          <w:szCs w:val="20"/>
          <w:lang w:val="en-US"/>
        </w:rPr>
      </w:pPr>
      <w:r w:rsidRPr="0084305F">
        <w:rPr>
          <w:rFonts w:ascii="Aptos" w:eastAsia="Aptos" w:hAnsi="Aptos" w:cs="Aptos"/>
          <w:b/>
          <w:snapToGrid/>
          <w:color w:val="000000"/>
          <w:sz w:val="20"/>
          <w:szCs w:val="20"/>
          <w:lang w:val="en-US"/>
        </w:rPr>
        <w:t>Tokushima University Contribution</w:t>
      </w:r>
      <w:proofErr w:type="gramStart"/>
      <w:r w:rsidRPr="0084305F">
        <w:rPr>
          <w:rFonts w:ascii="Aptos" w:eastAsia="Aptos" w:hAnsi="Aptos" w:cs="Aptos"/>
          <w:snapToGrid/>
          <w:color w:val="000000"/>
          <w:sz w:val="20"/>
          <w:szCs w:val="20"/>
          <w:lang w:val="en-US"/>
        </w:rPr>
        <w:t xml:space="preserve">:  </w:t>
      </w:r>
      <w:r w:rsidRPr="0084305F">
        <w:rPr>
          <w:rFonts w:ascii="Aptos" w:eastAsia="Aptos" w:hAnsi="Aptos" w:cs="Aptos"/>
          <w:i/>
          <w:snapToGrid/>
          <w:color w:val="000000"/>
          <w:sz w:val="20"/>
          <w:szCs w:val="20"/>
          <w:lang w:val="en-US"/>
        </w:rPr>
        <w:t>Development</w:t>
      </w:r>
      <w:proofErr w:type="gramEnd"/>
      <w:r w:rsidRPr="0084305F">
        <w:rPr>
          <w:rFonts w:ascii="Aptos" w:eastAsia="Aptos" w:hAnsi="Aptos" w:cs="Aptos"/>
          <w:i/>
          <w:snapToGrid/>
          <w:color w:val="000000"/>
          <w:sz w:val="20"/>
          <w:szCs w:val="20"/>
          <w:lang w:val="en-US"/>
        </w:rPr>
        <w:t xml:space="preserve"> of comprehensive tsunami software, 2024-2030 (approved 8 Jan 2025).</w:t>
      </w:r>
    </w:p>
    <w:p w14:paraId="5A8D3B69" w14:textId="77777777" w:rsidR="0084305F" w:rsidRPr="0084305F" w:rsidRDefault="0084305F" w:rsidP="0084305F">
      <w:pPr>
        <w:widowControl w:val="0"/>
        <w:pBdr>
          <w:top w:val="nil"/>
          <w:left w:val="nil"/>
          <w:bottom w:val="nil"/>
          <w:right w:val="nil"/>
          <w:between w:val="nil"/>
        </w:pBdr>
        <w:tabs>
          <w:tab w:val="clear" w:pos="709"/>
        </w:tabs>
        <w:snapToGrid/>
        <w:ind w:left="720"/>
        <w:jc w:val="both"/>
        <w:rPr>
          <w:rFonts w:ascii="Aptos" w:eastAsia="Aptos" w:hAnsi="Aptos" w:cs="Aptos"/>
          <w:i/>
          <w:snapToGrid/>
          <w:sz w:val="20"/>
          <w:szCs w:val="20"/>
          <w:lang w:val="en-US"/>
        </w:rPr>
      </w:pPr>
    </w:p>
    <w:p w14:paraId="772D1205" w14:textId="77777777" w:rsidR="0084305F" w:rsidRPr="0084305F" w:rsidRDefault="0084305F" w:rsidP="0084305F">
      <w:pP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 xml:space="preserve">He highlighted </w:t>
      </w:r>
      <w:r w:rsidRPr="0084305F">
        <w:rPr>
          <w:rFonts w:ascii="Aptos" w:eastAsia="Aptos" w:hAnsi="Aptos" w:cs="Aptos"/>
          <w:snapToGrid/>
          <w:sz w:val="20"/>
          <w:szCs w:val="20"/>
          <w:lang w:val="en-US"/>
        </w:rPr>
        <w:t>that the Tsunami</w:t>
      </w:r>
      <w:r w:rsidRPr="0084305F">
        <w:rPr>
          <w:rFonts w:ascii="Aptos" w:eastAsia="Aptos" w:hAnsi="Aptos" w:cs="Aptos"/>
          <w:snapToGrid/>
          <w:color w:val="000000"/>
          <w:sz w:val="20"/>
          <w:szCs w:val="20"/>
          <w:lang w:val="en-US"/>
        </w:rPr>
        <w:t xml:space="preserve"> Resilience Section </w:t>
      </w:r>
      <w:r w:rsidRPr="0084305F">
        <w:rPr>
          <w:rFonts w:ascii="Aptos" w:eastAsia="Aptos" w:hAnsi="Aptos" w:cs="Aptos"/>
          <w:snapToGrid/>
          <w:sz w:val="20"/>
          <w:szCs w:val="20"/>
          <w:lang w:val="en-US"/>
        </w:rPr>
        <w:t>has</w:t>
      </w:r>
      <w:r w:rsidRPr="0084305F">
        <w:rPr>
          <w:rFonts w:ascii="Aptos" w:eastAsia="Aptos" w:hAnsi="Aptos" w:cs="Aptos"/>
          <w:snapToGrid/>
          <w:color w:val="000000"/>
          <w:sz w:val="20"/>
          <w:szCs w:val="20"/>
          <w:lang w:val="en-US"/>
        </w:rPr>
        <w:t xml:space="preserve"> been informed that three new projects have been submitted under the call 8 for the ODTP. </w:t>
      </w:r>
    </w:p>
    <w:p w14:paraId="171932B8" w14:textId="77777777" w:rsidR="0084305F" w:rsidRPr="0084305F" w:rsidRDefault="0084305F" w:rsidP="0084305F">
      <w:pPr>
        <w:numPr>
          <w:ilvl w:val="0"/>
          <w:numId w:val="145"/>
        </w:numPr>
        <w:pBdr>
          <w:top w:val="nil"/>
          <w:left w:val="nil"/>
          <w:bottom w:val="nil"/>
          <w:right w:val="nil"/>
          <w:between w:val="nil"/>
        </w:pBd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b/>
          <w:snapToGrid/>
          <w:color w:val="000000"/>
          <w:sz w:val="20"/>
          <w:szCs w:val="20"/>
          <w:lang w:val="en-US"/>
        </w:rPr>
        <w:t>SUSTAIN (</w:t>
      </w:r>
      <w:proofErr w:type="spellStart"/>
      <w:r w:rsidRPr="0084305F">
        <w:rPr>
          <w:rFonts w:ascii="Aptos" w:eastAsia="Aptos" w:hAnsi="Aptos" w:cs="Aptos"/>
          <w:b/>
          <w:snapToGrid/>
          <w:color w:val="000000"/>
          <w:sz w:val="20"/>
          <w:szCs w:val="20"/>
          <w:lang w:val="en-US"/>
        </w:rPr>
        <w:t>tSUnami</w:t>
      </w:r>
      <w:proofErr w:type="spellEnd"/>
      <w:r w:rsidRPr="0084305F">
        <w:rPr>
          <w:rFonts w:ascii="Aptos" w:eastAsia="Aptos" w:hAnsi="Aptos" w:cs="Aptos"/>
          <w:b/>
          <w:snapToGrid/>
          <w:color w:val="000000"/>
          <w:sz w:val="20"/>
          <w:szCs w:val="20"/>
          <w:lang w:val="en-US"/>
        </w:rPr>
        <w:t xml:space="preserve"> </w:t>
      </w:r>
      <w:proofErr w:type="spellStart"/>
      <w:r w:rsidRPr="0084305F">
        <w:rPr>
          <w:rFonts w:ascii="Aptos" w:eastAsia="Aptos" w:hAnsi="Aptos" w:cs="Aptos"/>
          <w:b/>
          <w:snapToGrid/>
          <w:color w:val="000000"/>
          <w:sz w:val="20"/>
          <w:szCs w:val="20"/>
          <w:lang w:val="en-US"/>
        </w:rPr>
        <w:t>reSilient</w:t>
      </w:r>
      <w:proofErr w:type="spellEnd"/>
      <w:r w:rsidRPr="0084305F">
        <w:rPr>
          <w:rFonts w:ascii="Aptos" w:eastAsia="Aptos" w:hAnsi="Aptos" w:cs="Aptos"/>
          <w:b/>
          <w:snapToGrid/>
          <w:color w:val="000000"/>
          <w:sz w:val="20"/>
          <w:szCs w:val="20"/>
          <w:lang w:val="en-US"/>
        </w:rPr>
        <w:t xml:space="preserve"> </w:t>
      </w:r>
      <w:proofErr w:type="spellStart"/>
      <w:r w:rsidRPr="0084305F">
        <w:rPr>
          <w:rFonts w:ascii="Aptos" w:eastAsia="Aptos" w:hAnsi="Aptos" w:cs="Aptos"/>
          <w:b/>
          <w:snapToGrid/>
          <w:color w:val="000000"/>
          <w:sz w:val="20"/>
          <w:szCs w:val="20"/>
          <w:lang w:val="en-US"/>
        </w:rPr>
        <w:t>criTicAl</w:t>
      </w:r>
      <w:proofErr w:type="spellEnd"/>
      <w:r w:rsidRPr="0084305F">
        <w:rPr>
          <w:rFonts w:ascii="Aptos" w:eastAsia="Aptos" w:hAnsi="Aptos" w:cs="Aptos"/>
          <w:b/>
          <w:snapToGrid/>
          <w:color w:val="000000"/>
          <w:sz w:val="20"/>
          <w:szCs w:val="20"/>
          <w:lang w:val="en-US"/>
        </w:rPr>
        <w:t xml:space="preserve"> Infrastructure)</w:t>
      </w:r>
      <w:r w:rsidRPr="0084305F">
        <w:rPr>
          <w:rFonts w:ascii="Aptos" w:eastAsia="Aptos" w:hAnsi="Aptos" w:cs="Aptos"/>
          <w:snapToGrid/>
          <w:color w:val="000000"/>
          <w:sz w:val="20"/>
          <w:szCs w:val="20"/>
          <w:lang w:val="en-US"/>
        </w:rPr>
        <w:t xml:space="preserve"> to benefit four Indian ocean region countries </w:t>
      </w:r>
    </w:p>
    <w:p w14:paraId="3CBB7BB6" w14:textId="77777777" w:rsidR="0084305F" w:rsidRPr="0084305F" w:rsidRDefault="0084305F" w:rsidP="0084305F">
      <w:pPr>
        <w:numPr>
          <w:ilvl w:val="0"/>
          <w:numId w:val="145"/>
        </w:numPr>
        <w:pBdr>
          <w:top w:val="nil"/>
          <w:left w:val="nil"/>
          <w:bottom w:val="nil"/>
          <w:right w:val="nil"/>
          <w:between w:val="nil"/>
        </w:pBd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b/>
          <w:snapToGrid/>
          <w:color w:val="000000"/>
          <w:sz w:val="20"/>
          <w:szCs w:val="20"/>
          <w:lang w:val="en-US"/>
        </w:rPr>
        <w:t>Global Tsunami Model Association</w:t>
      </w:r>
      <w:r w:rsidRPr="0084305F">
        <w:rPr>
          <w:rFonts w:ascii="Aptos" w:eastAsia="Aptos" w:hAnsi="Aptos" w:cs="Aptos"/>
          <w:snapToGrid/>
          <w:color w:val="000000"/>
          <w:sz w:val="20"/>
          <w:szCs w:val="20"/>
          <w:lang w:val="en-US"/>
        </w:rPr>
        <w:t>, North Atlantic Ocean, South Atlantic Ocean, North Pacific Ocean, South Pacific Ocean, Indian Ocean, Southern Ocean, Mediterranean Sea,</w:t>
      </w:r>
    </w:p>
    <w:p w14:paraId="7F85B7CD" w14:textId="77777777" w:rsidR="0084305F" w:rsidRPr="0084305F" w:rsidRDefault="0084305F" w:rsidP="0084305F">
      <w:pPr>
        <w:numPr>
          <w:ilvl w:val="0"/>
          <w:numId w:val="145"/>
        </w:numPr>
        <w:pBdr>
          <w:top w:val="nil"/>
          <w:left w:val="nil"/>
          <w:bottom w:val="nil"/>
          <w:right w:val="nil"/>
          <w:between w:val="nil"/>
        </w:pBd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b/>
          <w:snapToGrid/>
          <w:color w:val="000000"/>
          <w:sz w:val="20"/>
          <w:szCs w:val="20"/>
          <w:lang w:val="en-US"/>
        </w:rPr>
        <w:t>NEAM-COMMITMENT</w:t>
      </w:r>
      <w:r w:rsidRPr="0084305F">
        <w:rPr>
          <w:rFonts w:ascii="Aptos" w:eastAsia="Aptos" w:hAnsi="Aptos" w:cs="Aptos"/>
          <w:snapToGrid/>
          <w:color w:val="000000"/>
          <w:sz w:val="20"/>
          <w:szCs w:val="20"/>
          <w:lang w:val="en-US"/>
        </w:rPr>
        <w:t xml:space="preserve">, NEAM </w:t>
      </w:r>
      <w:proofErr w:type="gramStart"/>
      <w:r w:rsidRPr="0084305F">
        <w:rPr>
          <w:rFonts w:ascii="Aptos" w:eastAsia="Aptos" w:hAnsi="Aptos" w:cs="Aptos"/>
          <w:snapToGrid/>
          <w:color w:val="000000"/>
          <w:sz w:val="20"/>
          <w:szCs w:val="20"/>
          <w:lang w:val="en-US"/>
        </w:rPr>
        <w:t>region</w:t>
      </w:r>
      <w:proofErr w:type="gramEnd"/>
      <w:r w:rsidRPr="0084305F">
        <w:rPr>
          <w:rFonts w:ascii="Aptos" w:eastAsia="Aptos" w:hAnsi="Aptos" w:cs="Aptos"/>
          <w:snapToGrid/>
          <w:color w:val="000000"/>
          <w:sz w:val="20"/>
          <w:szCs w:val="20"/>
          <w:lang w:val="en-US"/>
        </w:rPr>
        <w:t xml:space="preserve"> countries </w:t>
      </w:r>
    </w:p>
    <w:p w14:paraId="47E926A3" w14:textId="77777777" w:rsidR="0084305F" w:rsidRPr="0084305F" w:rsidRDefault="0084305F" w:rsidP="0084305F">
      <w:pP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 xml:space="preserve">Experts will be identified to review the </w:t>
      </w:r>
      <w:proofErr w:type="gramStart"/>
      <w:r w:rsidRPr="0084305F">
        <w:rPr>
          <w:rFonts w:ascii="Aptos" w:eastAsia="Aptos" w:hAnsi="Aptos" w:cs="Aptos"/>
          <w:snapToGrid/>
          <w:color w:val="000000"/>
          <w:sz w:val="20"/>
          <w:szCs w:val="20"/>
          <w:lang w:val="en-US"/>
        </w:rPr>
        <w:t>submitted actions</w:t>
      </w:r>
      <w:proofErr w:type="gramEnd"/>
      <w:r w:rsidRPr="0084305F">
        <w:rPr>
          <w:rFonts w:ascii="Aptos" w:eastAsia="Aptos" w:hAnsi="Aptos" w:cs="Aptos"/>
          <w:snapToGrid/>
          <w:color w:val="000000"/>
          <w:sz w:val="20"/>
          <w:szCs w:val="20"/>
          <w:lang w:val="en-US"/>
        </w:rPr>
        <w:t xml:space="preserve"> for endorsement by the ODU. The total estimated investment for all these new projects is estimated at close to 20 million Euros.</w:t>
      </w:r>
    </w:p>
    <w:p w14:paraId="567C1C19" w14:textId="77777777" w:rsidR="0084305F" w:rsidRPr="0084305F" w:rsidRDefault="0084305F" w:rsidP="0084305F">
      <w:pPr>
        <w:tabs>
          <w:tab w:val="clear" w:pos="709"/>
        </w:tabs>
        <w:snapToGrid/>
        <w:spacing w:after="160" w:line="259" w:lineRule="auto"/>
        <w:jc w:val="both"/>
        <w:rPr>
          <w:rFonts w:ascii="Aptos" w:eastAsia="Aptos" w:hAnsi="Aptos" w:cs="Aptos"/>
          <w:snapToGrid/>
          <w:color w:val="000000"/>
          <w:sz w:val="22"/>
          <w:szCs w:val="22"/>
          <w:lang w:val="en-US"/>
        </w:rPr>
      </w:pPr>
      <w:r w:rsidRPr="0084305F">
        <w:rPr>
          <w:rFonts w:ascii="Aptos" w:eastAsia="Aptos" w:hAnsi="Aptos" w:cs="Aptos"/>
          <w:snapToGrid/>
          <w:color w:val="000000"/>
          <w:sz w:val="20"/>
          <w:szCs w:val="20"/>
          <w:lang w:val="en-US"/>
        </w:rPr>
        <w:lastRenderedPageBreak/>
        <w:t>He informed in a meeting that UNESCO DRR Unit organized, it was suggested to increase the focus of DRR actions on the application on AI across differ</w:t>
      </w:r>
      <w:r w:rsidRPr="0084305F">
        <w:rPr>
          <w:rFonts w:ascii="Aptos" w:eastAsia="Aptos" w:hAnsi="Aptos" w:cs="Aptos"/>
          <w:snapToGrid/>
          <w:sz w:val="20"/>
          <w:szCs w:val="20"/>
          <w:lang w:val="en-US"/>
        </w:rPr>
        <w:t xml:space="preserve">ent </w:t>
      </w:r>
      <w:r w:rsidRPr="0084305F">
        <w:rPr>
          <w:rFonts w:ascii="Aptos" w:eastAsia="Aptos" w:hAnsi="Aptos" w:cs="Aptos"/>
          <w:snapToGrid/>
          <w:color w:val="000000"/>
          <w:sz w:val="20"/>
          <w:szCs w:val="20"/>
          <w:lang w:val="en-US"/>
        </w:rPr>
        <w:t>sectors, and it may be a good idea to recommend an ODTP call to focus on A.I, noting  there is already an endorsed ODTP project (GREAT )focused on machine learning to improve tsunami forecast and warning</w:t>
      </w:r>
      <w:r w:rsidRPr="0084305F">
        <w:rPr>
          <w:rFonts w:ascii="Aptos" w:eastAsia="Aptos" w:hAnsi="Aptos" w:cs="Aptos"/>
          <w:snapToGrid/>
          <w:color w:val="000000"/>
          <w:sz w:val="22"/>
          <w:szCs w:val="22"/>
          <w:lang w:val="en-US"/>
        </w:rPr>
        <w:t>.</w:t>
      </w:r>
    </w:p>
    <w:p w14:paraId="724EBF99"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52194C96" w14:textId="77777777" w:rsidR="0084305F" w:rsidRPr="0084305F" w:rsidRDefault="0084305F" w:rsidP="0084305F">
      <w:pPr>
        <w:tabs>
          <w:tab w:val="clear" w:pos="709"/>
        </w:tabs>
        <w:snapToGrid/>
        <w:spacing w:after="160" w:line="259" w:lineRule="auto"/>
        <w:jc w:val="both"/>
        <w:rPr>
          <w:rFonts w:ascii="Aptos" w:eastAsia="Aptos" w:hAnsi="Aptos" w:cs="Aptos"/>
          <w:i/>
          <w:snapToGrid/>
          <w:color w:val="000000"/>
          <w:sz w:val="21"/>
          <w:szCs w:val="21"/>
          <w:lang w:val="en-US"/>
        </w:rPr>
      </w:pPr>
      <w:r w:rsidRPr="0084305F">
        <w:rPr>
          <w:rFonts w:ascii="Aptos" w:eastAsia="Aptos" w:hAnsi="Aptos" w:cs="Aptos"/>
          <w:b/>
          <w:snapToGrid/>
          <w:color w:val="000000"/>
          <w:sz w:val="20"/>
          <w:szCs w:val="20"/>
          <w:lang w:val="en-US"/>
        </w:rPr>
        <w:t xml:space="preserve">Notes and </w:t>
      </w:r>
      <w:proofErr w:type="gramStart"/>
      <w:r w:rsidRPr="0084305F">
        <w:rPr>
          <w:rFonts w:ascii="Aptos" w:eastAsia="Aptos" w:hAnsi="Aptos" w:cs="Aptos"/>
          <w:b/>
          <w:snapToGrid/>
          <w:color w:val="000000"/>
          <w:sz w:val="20"/>
          <w:szCs w:val="20"/>
          <w:lang w:val="en-US"/>
        </w:rPr>
        <w:t>appreciates</w:t>
      </w:r>
      <w:proofErr w:type="gramEnd"/>
      <w:r w:rsidRPr="0084305F">
        <w:rPr>
          <w:rFonts w:ascii="Aptos" w:eastAsia="Aptos" w:hAnsi="Aptos" w:cs="Aptos"/>
          <w:snapToGrid/>
          <w:color w:val="000000"/>
          <w:sz w:val="20"/>
          <w:szCs w:val="20"/>
          <w:lang w:val="en-US"/>
        </w:rPr>
        <w:t xml:space="preserve"> the </w:t>
      </w:r>
      <w:r w:rsidRPr="0084305F">
        <w:rPr>
          <w:rFonts w:ascii="Aptos" w:eastAsia="Aptos" w:hAnsi="Aptos" w:cs="Aptos"/>
          <w:snapToGrid/>
          <w:sz w:val="20"/>
          <w:szCs w:val="20"/>
          <w:lang w:val="en-US"/>
        </w:rPr>
        <w:t>increased</w:t>
      </w:r>
      <w:r w:rsidRPr="0084305F">
        <w:rPr>
          <w:rFonts w:ascii="Aptos" w:eastAsia="Aptos" w:hAnsi="Aptos" w:cs="Aptos"/>
          <w:snapToGrid/>
          <w:color w:val="000000"/>
          <w:sz w:val="20"/>
          <w:szCs w:val="20"/>
          <w:lang w:val="en-US"/>
        </w:rPr>
        <w:t xml:space="preserve"> O</w:t>
      </w:r>
      <w:r w:rsidRPr="0084305F">
        <w:rPr>
          <w:rFonts w:ascii="Aptos" w:eastAsia="Aptos" w:hAnsi="Aptos" w:cs="Aptos"/>
          <w:snapToGrid/>
          <w:sz w:val="20"/>
          <w:szCs w:val="20"/>
          <w:lang w:val="en-US"/>
        </w:rPr>
        <w:t xml:space="preserve">cean Decade </w:t>
      </w:r>
      <w:r w:rsidRPr="0084305F">
        <w:rPr>
          <w:rFonts w:ascii="Aptos" w:eastAsia="Aptos" w:hAnsi="Aptos" w:cs="Aptos"/>
          <w:snapToGrid/>
          <w:color w:val="000000"/>
          <w:sz w:val="20"/>
          <w:szCs w:val="20"/>
          <w:lang w:val="en-US"/>
        </w:rPr>
        <w:t>actions submitted contributing to the ODTP.</w:t>
      </w:r>
    </w:p>
    <w:p w14:paraId="2F9C0803"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color w:val="000000"/>
          <w:sz w:val="20"/>
          <w:szCs w:val="20"/>
          <w:lang w:val="en-US"/>
        </w:rPr>
      </w:pPr>
      <w:r w:rsidRPr="0084305F">
        <w:rPr>
          <w:rFonts w:ascii="Aptos" w:eastAsia="Aptos" w:hAnsi="Aptos" w:cs="Aptos"/>
          <w:b/>
          <w:snapToGrid/>
          <w:color w:val="000000"/>
          <w:sz w:val="20"/>
          <w:szCs w:val="20"/>
          <w:lang w:val="en-US"/>
        </w:rPr>
        <w:t xml:space="preserve">Recommends </w:t>
      </w:r>
      <w:r w:rsidRPr="0084305F">
        <w:rPr>
          <w:rFonts w:ascii="Aptos" w:eastAsia="Aptos" w:hAnsi="Aptos" w:cs="Aptos"/>
          <w:snapToGrid/>
          <w:color w:val="000000"/>
          <w:sz w:val="20"/>
          <w:szCs w:val="20"/>
          <w:lang w:val="en-US"/>
        </w:rPr>
        <w:t>experts (to be identified) to support the review of the three new ODTP actions for endorsement by O</w:t>
      </w:r>
      <w:r w:rsidRPr="0084305F">
        <w:rPr>
          <w:rFonts w:ascii="Aptos" w:eastAsia="Aptos" w:hAnsi="Aptos" w:cs="Aptos"/>
          <w:snapToGrid/>
          <w:sz w:val="20"/>
          <w:szCs w:val="20"/>
          <w:lang w:val="en-US"/>
        </w:rPr>
        <w:t>cean Decade Unit.</w:t>
      </w:r>
    </w:p>
    <w:p w14:paraId="0FEC15B0"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2"/>
          <w:szCs w:val="22"/>
          <w:lang w:val="en-US"/>
        </w:rPr>
      </w:pPr>
      <w:r w:rsidRPr="0084305F">
        <w:rPr>
          <w:rFonts w:ascii="Aptos" w:eastAsia="Aptos" w:hAnsi="Aptos" w:cs="Aptos"/>
          <w:b/>
          <w:snapToGrid/>
          <w:color w:val="000000"/>
          <w:sz w:val="20"/>
          <w:szCs w:val="20"/>
          <w:lang w:val="en-US"/>
        </w:rPr>
        <w:t>Further recommends</w:t>
      </w:r>
      <w:r w:rsidRPr="0084305F">
        <w:rPr>
          <w:rFonts w:ascii="Aptos" w:eastAsia="Aptos" w:hAnsi="Aptos" w:cs="Aptos"/>
          <w:snapToGrid/>
          <w:color w:val="000000"/>
          <w:sz w:val="20"/>
          <w:szCs w:val="20"/>
          <w:lang w:val="en-US"/>
        </w:rPr>
        <w:t xml:space="preserve"> a future OD-ODTP call to focus on A.I application </w:t>
      </w:r>
      <w:r w:rsidRPr="0084305F">
        <w:rPr>
          <w:rFonts w:ascii="Aptos" w:eastAsia="Aptos" w:hAnsi="Aptos" w:cs="Aptos"/>
          <w:snapToGrid/>
          <w:sz w:val="20"/>
          <w:szCs w:val="20"/>
          <w:lang w:val="en-US"/>
        </w:rPr>
        <w:t>in Tsunami Early Warning Systems.</w:t>
      </w:r>
      <w:r w:rsidRPr="0084305F">
        <w:rPr>
          <w:rFonts w:ascii="Aptos" w:eastAsia="Aptos" w:hAnsi="Aptos" w:cs="Aptos"/>
          <w:snapToGrid/>
          <w:color w:val="000000"/>
          <w:sz w:val="20"/>
          <w:szCs w:val="20"/>
          <w:lang w:val="en-US"/>
        </w:rPr>
        <w:t xml:space="preserve"> </w:t>
      </w:r>
      <w:r w:rsidRPr="0084305F">
        <w:rPr>
          <w:rFonts w:ascii="Aptos" w:eastAsia="Aptos" w:hAnsi="Aptos" w:cs="Aptos"/>
          <w:snapToGrid/>
          <w:sz w:val="20"/>
          <w:szCs w:val="20"/>
          <w:lang w:val="en-US"/>
        </w:rPr>
        <w:br/>
      </w:r>
    </w:p>
    <w:p w14:paraId="6F08B60F"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snapToGrid/>
          <w:color w:val="0F4761"/>
          <w:lang w:val="en-US"/>
        </w:rPr>
      </w:pPr>
      <w:bookmarkStart w:id="240" w:name="_1t3h5sf" w:colFirst="0" w:colLast="0"/>
      <w:bookmarkStart w:id="241" w:name="_Toc195258136"/>
      <w:bookmarkEnd w:id="240"/>
      <w:r w:rsidRPr="0084305F">
        <w:rPr>
          <w:rFonts w:ascii="Aptos" w:eastAsia="Aptos" w:hAnsi="Aptos" w:cs="Aptos"/>
          <w:snapToGrid/>
          <w:color w:val="0F4761"/>
          <w:lang w:val="en-US"/>
        </w:rPr>
        <w:t>4.3 TRRP- Methodology for Estimating Eligibility for TRR and Assessment of Risk at Community Level</w:t>
      </w:r>
      <w:bookmarkEnd w:id="241"/>
      <w:r w:rsidRPr="0084305F">
        <w:rPr>
          <w:rFonts w:ascii="Aptos" w:eastAsia="Aptos" w:hAnsi="Aptos" w:cs="Aptos"/>
          <w:snapToGrid/>
          <w:color w:val="0F4761"/>
          <w:lang w:val="en-US"/>
        </w:rPr>
        <w:t xml:space="preserve"> </w:t>
      </w:r>
    </w:p>
    <w:p w14:paraId="3C3D5556" w14:textId="77777777" w:rsidR="0084305F" w:rsidRPr="0084305F" w:rsidRDefault="0084305F" w:rsidP="0084305F">
      <w:pPr>
        <w:tabs>
          <w:tab w:val="clear" w:pos="709"/>
        </w:tabs>
        <w:snapToGrid/>
        <w:spacing w:before="240" w:after="240" w:line="259" w:lineRule="auto"/>
        <w:ind w:right="120"/>
        <w:jc w:val="both"/>
        <w:rPr>
          <w:rFonts w:ascii="Aptos" w:eastAsia="Aptos" w:hAnsi="Aptos" w:cs="Aptos"/>
          <w:snapToGrid/>
          <w:sz w:val="20"/>
          <w:szCs w:val="20"/>
          <w:highlight w:val="white"/>
          <w:lang w:val="en-US"/>
        </w:rPr>
      </w:pPr>
      <w:r w:rsidRPr="0084305F">
        <w:rPr>
          <w:rFonts w:ascii="Aptos" w:eastAsia="Aptos" w:hAnsi="Aptos" w:cs="Aptos"/>
          <w:snapToGrid/>
          <w:sz w:val="20"/>
          <w:szCs w:val="20"/>
          <w:lang w:val="en-US"/>
        </w:rPr>
        <w:t xml:space="preserve">Dr. Matthieu Péroche and Dr. Marion Le Texier introduced the </w:t>
      </w:r>
      <w:r w:rsidRPr="0084305F">
        <w:rPr>
          <w:rFonts w:ascii="Aptos" w:eastAsia="Aptos" w:hAnsi="Aptos" w:cs="Aptos"/>
          <w:snapToGrid/>
          <w:sz w:val="20"/>
          <w:szCs w:val="20"/>
          <w:highlight w:val="white"/>
          <w:lang w:val="en-US"/>
        </w:rPr>
        <w:t>ongoing work in developing a</w:t>
      </w:r>
      <w:hyperlink r:id="rId78">
        <w:r w:rsidRPr="0084305F">
          <w:rPr>
            <w:rFonts w:ascii="Aptos" w:eastAsia="Aptos" w:hAnsi="Aptos" w:cs="Aptos"/>
            <w:snapToGrid/>
            <w:sz w:val="20"/>
            <w:szCs w:val="20"/>
            <w:highlight w:val="white"/>
            <w:lang w:val="en-US"/>
          </w:rPr>
          <w:t xml:space="preserve"> </w:t>
        </w:r>
      </w:hyperlink>
      <w:hyperlink r:id="rId79">
        <w:r w:rsidRPr="0084305F">
          <w:rPr>
            <w:rFonts w:ascii="Aptos" w:eastAsia="Aptos" w:hAnsi="Aptos" w:cs="Aptos"/>
            <w:snapToGrid/>
            <w:color w:val="0000FF"/>
            <w:sz w:val="20"/>
            <w:szCs w:val="20"/>
            <w:highlight w:val="white"/>
            <w:u w:val="single"/>
            <w:lang w:val="en-US"/>
          </w:rPr>
          <w:t>Methodological Protocol for Tsunami Risk Ranking at the Community Level in the Caribbean Basin</w:t>
        </w:r>
      </w:hyperlink>
      <w:r w:rsidRPr="0084305F">
        <w:rPr>
          <w:rFonts w:ascii="Aptos" w:eastAsia="Aptos" w:hAnsi="Aptos" w:cs="Aptos"/>
          <w:snapToGrid/>
          <w:sz w:val="20"/>
          <w:szCs w:val="20"/>
          <w:highlight w:val="white"/>
          <w:lang w:val="en-US"/>
        </w:rPr>
        <w:t xml:space="preserve">, with the potential for global scaling if feasible, commissioned by the TSR. The main objective is to determine the number and population of communities that could apply for IOC-UNESCO Tsunami Ready recognition, rank evacuation needs, rank Tsunami Hazard Exposure and rank Tsunami Risk.  Further information is available at the </w:t>
      </w:r>
      <w:hyperlink r:id="rId80">
        <w:r w:rsidRPr="0084305F">
          <w:rPr>
            <w:rFonts w:ascii="Aptos" w:eastAsia="Aptos" w:hAnsi="Aptos" w:cs="Aptos"/>
            <w:snapToGrid/>
            <w:color w:val="1155CC"/>
            <w:sz w:val="20"/>
            <w:szCs w:val="20"/>
            <w:highlight w:val="white"/>
            <w:u w:val="single"/>
            <w:lang w:val="en-US"/>
          </w:rPr>
          <w:t>5th ODTP-SC</w:t>
        </w:r>
      </w:hyperlink>
      <w:r w:rsidRPr="0084305F">
        <w:rPr>
          <w:rFonts w:ascii="Aptos" w:eastAsia="Aptos" w:hAnsi="Aptos" w:cs="Aptos"/>
          <w:snapToGrid/>
          <w:sz w:val="20"/>
          <w:szCs w:val="20"/>
          <w:highlight w:val="white"/>
          <w:lang w:val="en-US"/>
        </w:rPr>
        <w:t xml:space="preserve"> .</w:t>
      </w:r>
    </w:p>
    <w:p w14:paraId="17FF8FB3" w14:textId="77777777" w:rsidR="0084305F" w:rsidRPr="0084305F" w:rsidRDefault="0084305F" w:rsidP="0084305F">
      <w:pPr>
        <w:tabs>
          <w:tab w:val="clear" w:pos="709"/>
        </w:tabs>
        <w:snapToGrid/>
        <w:spacing w:after="160" w:line="259" w:lineRule="auto"/>
        <w:rPr>
          <w:rFonts w:ascii="Aptos" w:eastAsia="Aptos" w:hAnsi="Aptos" w:cs="Aptos"/>
          <w:snapToGrid/>
          <w:sz w:val="22"/>
          <w:szCs w:val="22"/>
          <w:lang w:val="en-US"/>
        </w:rPr>
      </w:pPr>
      <w:r w:rsidRPr="0084305F">
        <w:rPr>
          <w:rFonts w:ascii="Aptos" w:eastAsia="Aptos" w:hAnsi="Aptos" w:cs="Aptos"/>
          <w:snapToGrid/>
          <w:sz w:val="20"/>
          <w:szCs w:val="20"/>
          <w:lang w:val="en-US"/>
        </w:rPr>
        <w:t xml:space="preserve">The TOWS Joint Task Team discussed the </w:t>
      </w:r>
      <w:proofErr w:type="gramStart"/>
      <w:r w:rsidRPr="0084305F">
        <w:rPr>
          <w:rFonts w:ascii="Aptos" w:eastAsia="Aptos" w:hAnsi="Aptos" w:cs="Aptos"/>
          <w:snapToGrid/>
          <w:sz w:val="20"/>
          <w:szCs w:val="20"/>
          <w:lang w:val="en-US"/>
        </w:rPr>
        <w:t>following;</w:t>
      </w:r>
      <w:proofErr w:type="gramEnd"/>
    </w:p>
    <w:p w14:paraId="42387622" w14:textId="77777777" w:rsidR="0084305F" w:rsidRPr="0084305F" w:rsidRDefault="0084305F" w:rsidP="0084305F">
      <w:pPr>
        <w:numPr>
          <w:ilvl w:val="0"/>
          <w:numId w:val="148"/>
        </w:num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 xml:space="preserve">Risk of underestimating the hazard. There are over 100 scenarios for just Puerto Rico deterministic models and   thousands in the case of probabilistic </w:t>
      </w:r>
      <w:proofErr w:type="gramStart"/>
      <w:r w:rsidRPr="0084305F">
        <w:rPr>
          <w:rFonts w:ascii="Aptos" w:eastAsia="Aptos" w:hAnsi="Aptos" w:cs="Aptos"/>
          <w:snapToGrid/>
          <w:sz w:val="20"/>
          <w:szCs w:val="20"/>
          <w:lang w:val="en-US"/>
        </w:rPr>
        <w:t>approaches ).</w:t>
      </w:r>
      <w:r w:rsidRPr="0084305F">
        <w:rPr>
          <w:rFonts w:ascii="Roboto" w:eastAsia="Roboto" w:hAnsi="Roboto" w:cs="Roboto"/>
          <w:snapToGrid/>
          <w:color w:val="444746"/>
          <w:sz w:val="21"/>
          <w:szCs w:val="21"/>
          <w:lang w:val="en-US"/>
        </w:rPr>
        <w:t>T</w:t>
      </w:r>
      <w:r w:rsidRPr="0084305F">
        <w:rPr>
          <w:rFonts w:ascii="Roboto" w:eastAsia="Roboto" w:hAnsi="Roboto" w:cs="Roboto"/>
          <w:snapToGrid/>
          <w:sz w:val="21"/>
          <w:szCs w:val="21"/>
          <w:lang w:val="en-US"/>
        </w:rPr>
        <w:t>hose</w:t>
      </w:r>
      <w:proofErr w:type="gramEnd"/>
      <w:r w:rsidRPr="0084305F">
        <w:rPr>
          <w:rFonts w:ascii="Roboto" w:eastAsia="Roboto" w:hAnsi="Roboto" w:cs="Roboto"/>
          <w:snapToGrid/>
          <w:sz w:val="21"/>
          <w:szCs w:val="21"/>
          <w:lang w:val="en-US"/>
        </w:rPr>
        <w:t xml:space="preserve"> in </w:t>
      </w:r>
      <w:proofErr w:type="spellStart"/>
      <w:r w:rsidRPr="0084305F">
        <w:rPr>
          <w:rFonts w:ascii="Roboto" w:eastAsia="Roboto" w:hAnsi="Roboto" w:cs="Roboto"/>
          <w:snapToGrid/>
          <w:sz w:val="21"/>
          <w:szCs w:val="21"/>
          <w:lang w:val="en-US"/>
        </w:rPr>
        <w:t>CatSAM</w:t>
      </w:r>
      <w:proofErr w:type="spellEnd"/>
      <w:r w:rsidRPr="0084305F">
        <w:rPr>
          <w:rFonts w:ascii="Roboto" w:eastAsia="Roboto" w:hAnsi="Roboto" w:cs="Roboto"/>
          <w:snapToGrid/>
          <w:sz w:val="21"/>
          <w:szCs w:val="21"/>
          <w:lang w:val="en-US"/>
        </w:rPr>
        <w:t xml:space="preserve"> are limited and thus the full hazard is not accounted for. Member </w:t>
      </w:r>
      <w:proofErr w:type="gramStart"/>
      <w:r w:rsidRPr="0084305F">
        <w:rPr>
          <w:rFonts w:ascii="Roboto" w:eastAsia="Roboto" w:hAnsi="Roboto" w:cs="Roboto"/>
          <w:snapToGrid/>
          <w:sz w:val="21"/>
          <w:szCs w:val="21"/>
          <w:lang w:val="en-US"/>
        </w:rPr>
        <w:t>States  should</w:t>
      </w:r>
      <w:proofErr w:type="gramEnd"/>
      <w:r w:rsidRPr="0084305F">
        <w:rPr>
          <w:rFonts w:ascii="Roboto" w:eastAsia="Roboto" w:hAnsi="Roboto" w:cs="Roboto"/>
          <w:snapToGrid/>
          <w:sz w:val="21"/>
          <w:szCs w:val="21"/>
          <w:lang w:val="en-US"/>
        </w:rPr>
        <w:t xml:space="preserve"> be encouraged to use this method as a rough estimate as a starting point only as it does underestimate exposure due to the limited scope of model</w:t>
      </w:r>
      <w:r w:rsidRPr="0084305F">
        <w:rPr>
          <w:rFonts w:ascii="Roboto" w:eastAsia="Roboto" w:hAnsi="Roboto" w:cs="Roboto"/>
          <w:snapToGrid/>
          <w:color w:val="444746"/>
          <w:sz w:val="21"/>
          <w:szCs w:val="21"/>
          <w:lang w:val="en-US"/>
        </w:rPr>
        <w:t>s.</w:t>
      </w:r>
    </w:p>
    <w:p w14:paraId="0B18C15C" w14:textId="77777777" w:rsidR="0084305F" w:rsidRPr="0084305F" w:rsidRDefault="0084305F" w:rsidP="0084305F">
      <w:pPr>
        <w:numPr>
          <w:ilvl w:val="0"/>
          <w:numId w:val="148"/>
        </w:num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Initially, more scenarios were included, but experts were reluctant to use them due to a lack of validation. Non-validated scenarios were removed.</w:t>
      </w:r>
    </w:p>
    <w:p w14:paraId="4FBE9314" w14:textId="77777777" w:rsidR="0084305F" w:rsidRPr="0084305F" w:rsidRDefault="0084305F" w:rsidP="0084305F">
      <w:pPr>
        <w:numPr>
          <w:ilvl w:val="0"/>
          <w:numId w:val="148"/>
        </w:num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Notes that the methodology should be consistently applied across other ocean basins/ ICGs.</w:t>
      </w:r>
    </w:p>
    <w:p w14:paraId="5D1D49FE" w14:textId="77777777" w:rsidR="0084305F" w:rsidRPr="0084305F" w:rsidRDefault="0084305F" w:rsidP="0084305F">
      <w:pPr>
        <w:numPr>
          <w:ilvl w:val="0"/>
          <w:numId w:val="148"/>
        </w:num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Probabilistic approach: What are the key drivers and methodology?</w:t>
      </w:r>
    </w:p>
    <w:p w14:paraId="47AC8C69" w14:textId="77777777" w:rsidR="0084305F" w:rsidRPr="0084305F" w:rsidRDefault="0084305F" w:rsidP="0084305F">
      <w:pPr>
        <w:numPr>
          <w:ilvl w:val="0"/>
          <w:numId w:val="148"/>
        </w:num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A mechanism should be presented, allowing each Member State to determine thresholds.</w:t>
      </w:r>
    </w:p>
    <w:p w14:paraId="41936AA4" w14:textId="77777777" w:rsidR="0084305F" w:rsidRPr="0084305F" w:rsidRDefault="0084305F" w:rsidP="0084305F">
      <w:pPr>
        <w:numPr>
          <w:ilvl w:val="0"/>
          <w:numId w:val="148"/>
        </w:num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Interpretations will vary, so flexibility is essential.</w:t>
      </w:r>
    </w:p>
    <w:p w14:paraId="4F6EEEE4" w14:textId="77777777" w:rsidR="0084305F" w:rsidRPr="0084305F" w:rsidRDefault="0084305F" w:rsidP="0084305F">
      <w:pPr>
        <w:numPr>
          <w:ilvl w:val="0"/>
          <w:numId w:val="148"/>
        </w:num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Peer review of methodology (see TT DMP recommendation)</w:t>
      </w:r>
    </w:p>
    <w:p w14:paraId="6DCF8E72"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4E98A1A6" w14:textId="77777777" w:rsidR="0084305F" w:rsidRPr="0084305F" w:rsidRDefault="0084305F" w:rsidP="0084305F">
      <w:pPr>
        <w:shd w:val="clear" w:color="auto" w:fill="FFFFFF"/>
        <w:tabs>
          <w:tab w:val="clear" w:pos="709"/>
        </w:tabs>
        <w:snapToGrid/>
        <w:spacing w:before="240" w:after="240" w:line="256" w:lineRule="auto"/>
        <w:ind w:right="120"/>
        <w:jc w:val="both"/>
        <w:rPr>
          <w:rFonts w:ascii="Aptos" w:eastAsia="Aptos" w:hAnsi="Aptos" w:cs="Aptos"/>
          <w:snapToGrid/>
          <w:sz w:val="22"/>
          <w:szCs w:val="22"/>
          <w:lang w:val="en-US"/>
        </w:rPr>
      </w:pPr>
      <w:r w:rsidRPr="0084305F">
        <w:rPr>
          <w:rFonts w:ascii="Aptos" w:eastAsia="Aptos" w:hAnsi="Aptos" w:cs="Aptos"/>
          <w:b/>
          <w:snapToGrid/>
          <w:sz w:val="21"/>
          <w:szCs w:val="21"/>
          <w:lang w:val="en-US"/>
        </w:rPr>
        <w:t>Appreciates</w:t>
      </w:r>
      <w:r w:rsidRPr="0084305F">
        <w:rPr>
          <w:rFonts w:ascii="Aptos" w:eastAsia="Aptos" w:hAnsi="Aptos" w:cs="Aptos"/>
          <w:b/>
          <w:snapToGrid/>
          <w:color w:val="0070C0"/>
          <w:sz w:val="21"/>
          <w:szCs w:val="21"/>
          <w:lang w:val="en-US"/>
        </w:rPr>
        <w:t xml:space="preserve"> </w:t>
      </w:r>
      <w:r w:rsidRPr="0084305F">
        <w:rPr>
          <w:rFonts w:ascii="Aptos" w:eastAsia="Aptos" w:hAnsi="Aptos" w:cs="Aptos"/>
          <w:snapToGrid/>
          <w:sz w:val="22"/>
          <w:szCs w:val="22"/>
          <w:lang w:val="en-US"/>
        </w:rPr>
        <w:t xml:space="preserve">the work commissioned by the IOC/TSR on a Methodological Protocol for mapping, identifying and estimating administrative units (“communities”) eligible for the TRRP and assess the level of risk of each community in the Caribbean Basin and its wider application in other ocean basins/ICGs. </w:t>
      </w:r>
    </w:p>
    <w:p w14:paraId="507E4F6B" w14:textId="77777777" w:rsidR="0084305F" w:rsidRPr="0084305F" w:rsidRDefault="0084305F" w:rsidP="0084305F">
      <w:pPr>
        <w:tabs>
          <w:tab w:val="clear" w:pos="709"/>
        </w:tabs>
        <w:snapToGrid/>
        <w:spacing w:after="160" w:line="278" w:lineRule="auto"/>
        <w:jc w:val="both"/>
        <w:rPr>
          <w:rFonts w:ascii="Aptos" w:eastAsia="Aptos" w:hAnsi="Aptos" w:cs="Aptos"/>
          <w:b/>
          <w:snapToGrid/>
          <w:color w:val="0000FF"/>
          <w:sz w:val="22"/>
          <w:szCs w:val="22"/>
          <w:lang w:val="en-US"/>
        </w:rPr>
      </w:pPr>
      <w:r w:rsidRPr="0084305F">
        <w:rPr>
          <w:rFonts w:ascii="Aptos" w:eastAsia="Aptos" w:hAnsi="Aptos" w:cs="Aptos"/>
          <w:b/>
          <w:snapToGrid/>
          <w:color w:val="0070C0"/>
          <w:sz w:val="20"/>
          <w:szCs w:val="20"/>
          <w:lang w:val="en-US"/>
        </w:rPr>
        <w:t>Recommendations to TOWS-WG (as per TT DMP report)</w:t>
      </w:r>
    </w:p>
    <w:p w14:paraId="18B9AE37" w14:textId="77777777" w:rsidR="0084305F" w:rsidRPr="0084305F" w:rsidRDefault="0084305F" w:rsidP="0084305F">
      <w:pPr>
        <w:tabs>
          <w:tab w:val="clear" w:pos="709"/>
        </w:tabs>
        <w:snapToGrid/>
        <w:spacing w:after="160" w:line="278" w:lineRule="auto"/>
        <w:jc w:val="both"/>
        <w:rPr>
          <w:rFonts w:ascii="Aptos" w:eastAsia="Aptos" w:hAnsi="Aptos" w:cs="Aptos"/>
          <w:snapToGrid/>
          <w:sz w:val="22"/>
          <w:szCs w:val="22"/>
          <w:lang w:val="en-US"/>
        </w:rPr>
      </w:pPr>
      <w:r w:rsidRPr="0084305F">
        <w:rPr>
          <w:rFonts w:ascii="Aptos" w:eastAsia="Aptos" w:hAnsi="Aptos" w:cs="Aptos"/>
          <w:b/>
          <w:snapToGrid/>
          <w:sz w:val="22"/>
          <w:szCs w:val="22"/>
          <w:lang w:val="en-US"/>
        </w:rPr>
        <w:lastRenderedPageBreak/>
        <w:t>Requests</w:t>
      </w:r>
      <w:r w:rsidRPr="0084305F">
        <w:rPr>
          <w:rFonts w:ascii="Aptos" w:eastAsia="Aptos" w:hAnsi="Aptos" w:cs="Aptos"/>
          <w:snapToGrid/>
          <w:sz w:val="22"/>
          <w:szCs w:val="22"/>
          <w:lang w:val="en-US"/>
        </w:rPr>
        <w:t xml:space="preserve"> to perform a scientific peer review on the Methodology for Estimating Eligibility for TRR and Assessment of Tsunami Risk at Community Level to ensure the indices developed are accepted as a scientifically credible methodology and endorsed by ICGs. </w:t>
      </w:r>
    </w:p>
    <w:p w14:paraId="265D2E80" w14:textId="77777777" w:rsidR="0084305F" w:rsidRPr="0084305F" w:rsidRDefault="0084305F" w:rsidP="0084305F">
      <w:pPr>
        <w:tabs>
          <w:tab w:val="clear" w:pos="709"/>
        </w:tabs>
        <w:snapToGrid/>
        <w:spacing w:after="160" w:line="278" w:lineRule="auto"/>
        <w:jc w:val="both"/>
        <w:rPr>
          <w:rFonts w:ascii="Aptos" w:eastAsia="Aptos" w:hAnsi="Aptos" w:cs="Aptos"/>
          <w:b/>
          <w:snapToGrid/>
          <w:color w:val="0070C0"/>
          <w:sz w:val="20"/>
          <w:szCs w:val="20"/>
          <w:lang w:val="en-US"/>
        </w:rPr>
      </w:pPr>
      <w:r w:rsidRPr="0084305F">
        <w:rPr>
          <w:rFonts w:ascii="Aptos" w:eastAsia="Aptos" w:hAnsi="Aptos" w:cs="Aptos"/>
          <w:b/>
          <w:snapToGrid/>
          <w:sz w:val="22"/>
          <w:szCs w:val="22"/>
          <w:lang w:val="en-US"/>
        </w:rPr>
        <w:t xml:space="preserve">Recommends </w:t>
      </w:r>
      <w:r w:rsidRPr="0084305F">
        <w:rPr>
          <w:rFonts w:ascii="Aptos" w:eastAsia="Aptos" w:hAnsi="Aptos" w:cs="Aptos"/>
          <w:snapToGrid/>
          <w:sz w:val="22"/>
          <w:szCs w:val="22"/>
          <w:lang w:val="en-US"/>
        </w:rPr>
        <w:t>secretariat, once peer review is completed, to prepare an IOC Technical Series document on the Methodology for Estimating Eligibility for TRR and Assessment of Tsunami Risk at Community Level.</w:t>
      </w:r>
    </w:p>
    <w:p w14:paraId="5FCDB904"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p>
    <w:p w14:paraId="723FCA75"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snapToGrid/>
          <w:color w:val="000000"/>
          <w:lang w:val="en-US"/>
        </w:rPr>
      </w:pPr>
      <w:bookmarkStart w:id="242" w:name="_4d34og8" w:colFirst="0" w:colLast="0"/>
      <w:bookmarkStart w:id="243" w:name="_Toc195258137"/>
      <w:bookmarkEnd w:id="242"/>
      <w:r w:rsidRPr="0084305F">
        <w:rPr>
          <w:rFonts w:ascii="Aptos" w:eastAsia="Aptos" w:hAnsi="Aptos" w:cs="Aptos"/>
          <w:snapToGrid/>
          <w:color w:val="0F4761"/>
          <w:lang w:val="en-US"/>
        </w:rPr>
        <w:t xml:space="preserve">4.4 The Development of ODTP Tracking and Monitoring Tool &amp; </w:t>
      </w:r>
      <w:r w:rsidRPr="0084305F">
        <w:rPr>
          <w:rFonts w:ascii="Aptos" w:eastAsia="Aptos" w:hAnsi="Aptos" w:cs="Aptos"/>
          <w:snapToGrid/>
          <w:color w:val="000000"/>
          <w:lang w:val="en-US"/>
        </w:rPr>
        <w:t>Global Tsunami Performance Monitoring Framework (of the PTWS)</w:t>
      </w:r>
      <w:bookmarkEnd w:id="243"/>
    </w:p>
    <w:p w14:paraId="1446DBF3" w14:textId="77777777" w:rsidR="0084305F" w:rsidRPr="0084305F" w:rsidRDefault="0084305F" w:rsidP="0084305F">
      <w:pPr>
        <w:tabs>
          <w:tab w:val="clear" w:pos="709"/>
          <w:tab w:val="left" w:pos="476"/>
          <w:tab w:val="left" w:pos="478"/>
        </w:tabs>
        <w:snapToGrid/>
        <w:spacing w:after="160" w:line="259" w:lineRule="auto"/>
        <w:ind w:right="115"/>
        <w:jc w:val="both"/>
        <w:rPr>
          <w:rFonts w:ascii="Aptos" w:eastAsia="Aptos" w:hAnsi="Aptos" w:cs="Aptos"/>
          <w:snapToGrid/>
          <w:color w:val="000000"/>
          <w:sz w:val="20"/>
          <w:szCs w:val="20"/>
          <w:lang w:val="en-US"/>
        </w:rPr>
      </w:pPr>
      <w:r w:rsidRPr="0084305F">
        <w:rPr>
          <w:rFonts w:ascii="Aptos" w:eastAsia="Aptos" w:hAnsi="Aptos" w:cs="Aptos"/>
          <w:snapToGrid/>
          <w:sz w:val="22"/>
          <w:szCs w:val="22"/>
          <w:lang w:val="en-US"/>
        </w:rPr>
        <w:br/>
      </w:r>
      <w:r w:rsidRPr="0084305F">
        <w:rPr>
          <w:rFonts w:ascii="Aptos" w:eastAsia="Aptos" w:hAnsi="Aptos" w:cs="Aptos"/>
          <w:snapToGrid/>
          <w:sz w:val="20"/>
          <w:szCs w:val="20"/>
          <w:lang w:val="en-US"/>
        </w:rPr>
        <w:t xml:space="preserve">Dr. </w:t>
      </w:r>
      <w:r w:rsidRPr="0084305F">
        <w:rPr>
          <w:rFonts w:ascii="Aptos" w:eastAsia="Aptos" w:hAnsi="Aptos" w:cs="Aptos"/>
          <w:snapToGrid/>
          <w:color w:val="000000"/>
          <w:sz w:val="20"/>
          <w:szCs w:val="20"/>
          <w:lang w:val="en-US"/>
        </w:rPr>
        <w:t>Denis Chang Seng provided a presentation on the work on ODTP RDI Monitoring and Tracking Tool. He noted that TOWS TT DMP recommendation in Sendai, Japan, from 19 to 20 February 2024 requested the Secretariat to develop a reporting mechanism to enable ICGs to report progress on related projects within the Ocean Decade and in alignment with the ODTP RDI KPIs, ensuring coherence with the proposed Global KPI Framework for the UNESCO-IOC Tsunami Programme.</w:t>
      </w:r>
    </w:p>
    <w:p w14:paraId="7D70AD0D" w14:textId="77777777" w:rsidR="0084305F" w:rsidRPr="0084305F" w:rsidRDefault="0084305F" w:rsidP="0084305F">
      <w:pPr>
        <w:tabs>
          <w:tab w:val="clear" w:pos="709"/>
          <w:tab w:val="left" w:pos="476"/>
          <w:tab w:val="left" w:pos="478"/>
        </w:tabs>
        <w:snapToGrid/>
        <w:spacing w:after="160" w:line="259" w:lineRule="auto"/>
        <w:ind w:right="115"/>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The IOC/TRS Secretariat is actively preparing to develop the Performance Monitoring and Tracking Tool for ODTP actions, following an unsuccessful attempt to recruit a consultant. This tool is designed to closely align with both the Monitoring and Evaluation Framework of the United Nations Decade of Ocean Science for Sustainable Development (2021–2030) and the Global Tsunami Performance Monitoring Framework. The design concept prioritizes the efficient integration of KPIs from multiple assessment frameworks, ensuring streamlined assessments and reporting while minimizing duplication. The overarching goal is to create a unified Tsunami Performance Monitoring and Tracking Tool that offers users the flexibility to choose their assessment application—whether using ICG-KPIs, ODTP-KPIs, or other relevant indicators, from detailed micro-level to broader macro-level applications. The Pacific/ICG-KPI serves as the foundational layer for this tool, with additional layers incorporating KPIs derived from the ODTP RDI and other relevant frameworks. A key remaining task is the alignment and mapping of ODTP-RDI and Vision 2030 indicators onto the ICG-KPI structure. A proposed work plan includes the following milestones:</w:t>
      </w:r>
    </w:p>
    <w:p w14:paraId="66ABB944" w14:textId="77777777" w:rsidR="0084305F" w:rsidRPr="0084305F" w:rsidRDefault="0084305F" w:rsidP="0084305F">
      <w:pPr>
        <w:widowControl w:val="0"/>
        <w:numPr>
          <w:ilvl w:val="0"/>
          <w:numId w:val="151"/>
        </w:numPr>
        <w:pBdr>
          <w:top w:val="nil"/>
          <w:left w:val="nil"/>
          <w:bottom w:val="nil"/>
          <w:right w:val="nil"/>
          <w:between w:val="nil"/>
        </w:pBdr>
        <w:tabs>
          <w:tab w:val="clear" w:pos="709"/>
          <w:tab w:val="left" w:pos="476"/>
          <w:tab w:val="left" w:pos="478"/>
        </w:tabs>
        <w:snapToGrid/>
        <w:spacing w:after="160" w:line="259" w:lineRule="auto"/>
        <w:ind w:right="115"/>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Gathering feedback from ODTP-SC and TOWS meetings, as well as online feedback, by August 2025.</w:t>
      </w:r>
    </w:p>
    <w:p w14:paraId="64EF551F" w14:textId="77777777" w:rsidR="0084305F" w:rsidRPr="0084305F" w:rsidRDefault="0084305F" w:rsidP="0084305F">
      <w:pPr>
        <w:widowControl w:val="0"/>
        <w:numPr>
          <w:ilvl w:val="0"/>
          <w:numId w:val="151"/>
        </w:numPr>
        <w:pBdr>
          <w:top w:val="nil"/>
          <w:left w:val="nil"/>
          <w:bottom w:val="nil"/>
          <w:right w:val="nil"/>
          <w:between w:val="nil"/>
        </w:pBdr>
        <w:tabs>
          <w:tab w:val="clear" w:pos="709"/>
          <w:tab w:val="left" w:pos="476"/>
          <w:tab w:val="left" w:pos="478"/>
        </w:tabs>
        <w:snapToGrid/>
        <w:spacing w:after="160" w:line="259" w:lineRule="auto"/>
        <w:ind w:right="115"/>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Developing an online platform tool by September with the expertise of a consultant.</w:t>
      </w:r>
    </w:p>
    <w:p w14:paraId="4CA163EC" w14:textId="77777777" w:rsidR="0084305F" w:rsidRPr="0084305F" w:rsidRDefault="0084305F" w:rsidP="0084305F">
      <w:pPr>
        <w:widowControl w:val="0"/>
        <w:numPr>
          <w:ilvl w:val="0"/>
          <w:numId w:val="151"/>
        </w:numPr>
        <w:pBdr>
          <w:top w:val="nil"/>
          <w:left w:val="nil"/>
          <w:bottom w:val="nil"/>
          <w:right w:val="nil"/>
          <w:between w:val="nil"/>
        </w:pBdr>
        <w:tabs>
          <w:tab w:val="clear" w:pos="709"/>
          <w:tab w:val="left" w:pos="476"/>
          <w:tab w:val="left" w:pos="478"/>
        </w:tabs>
        <w:snapToGrid/>
        <w:spacing w:after="160" w:line="259" w:lineRule="auto"/>
        <w:ind w:right="115"/>
        <w:jc w:val="both"/>
        <w:rPr>
          <w:rFonts w:ascii="Aptos" w:eastAsia="Aptos" w:hAnsi="Aptos" w:cs="Aptos"/>
          <w:snapToGrid/>
          <w:color w:val="000000"/>
          <w:sz w:val="20"/>
          <w:szCs w:val="20"/>
          <w:lang w:val="en-US"/>
        </w:rPr>
      </w:pPr>
      <w:r w:rsidRPr="0084305F">
        <w:rPr>
          <w:rFonts w:ascii="Aptos" w:eastAsia="Aptos" w:hAnsi="Aptos" w:cs="Aptos"/>
          <w:snapToGrid/>
          <w:sz w:val="20"/>
          <w:szCs w:val="20"/>
          <w:lang w:val="en-US"/>
        </w:rPr>
        <w:t>T</w:t>
      </w:r>
      <w:r w:rsidRPr="0084305F">
        <w:rPr>
          <w:rFonts w:ascii="Aptos" w:eastAsia="Aptos" w:hAnsi="Aptos" w:cs="Aptos"/>
          <w:snapToGrid/>
          <w:color w:val="000000"/>
          <w:sz w:val="20"/>
          <w:szCs w:val="20"/>
          <w:lang w:val="en-US"/>
        </w:rPr>
        <w:t>esting by November 2025.</w:t>
      </w:r>
    </w:p>
    <w:p w14:paraId="66833085" w14:textId="77777777" w:rsidR="0084305F" w:rsidRPr="0084305F" w:rsidRDefault="0084305F" w:rsidP="0084305F">
      <w:pPr>
        <w:widowControl w:val="0"/>
        <w:numPr>
          <w:ilvl w:val="0"/>
          <w:numId w:val="151"/>
        </w:numPr>
        <w:pBdr>
          <w:top w:val="nil"/>
          <w:left w:val="nil"/>
          <w:bottom w:val="nil"/>
          <w:right w:val="nil"/>
          <w:between w:val="nil"/>
        </w:pBdr>
        <w:tabs>
          <w:tab w:val="clear" w:pos="709"/>
          <w:tab w:val="left" w:pos="476"/>
          <w:tab w:val="left" w:pos="478"/>
        </w:tabs>
        <w:snapToGrid/>
        <w:spacing w:after="160" w:line="259" w:lineRule="auto"/>
        <w:ind w:right="115"/>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Operationalizing the tool by January 2026 to align with the next O</w:t>
      </w:r>
      <w:r w:rsidRPr="0084305F">
        <w:rPr>
          <w:rFonts w:ascii="Aptos" w:eastAsia="Aptos" w:hAnsi="Aptos" w:cs="Aptos"/>
          <w:snapToGrid/>
          <w:sz w:val="20"/>
          <w:szCs w:val="20"/>
          <w:lang w:val="en-US"/>
        </w:rPr>
        <w:t xml:space="preserve">cean </w:t>
      </w:r>
      <w:proofErr w:type="gramStart"/>
      <w:r w:rsidRPr="0084305F">
        <w:rPr>
          <w:rFonts w:ascii="Aptos" w:eastAsia="Aptos" w:hAnsi="Aptos" w:cs="Aptos"/>
          <w:snapToGrid/>
          <w:sz w:val="20"/>
          <w:szCs w:val="20"/>
          <w:lang w:val="en-US"/>
        </w:rPr>
        <w:t xml:space="preserve">Decade  </w:t>
      </w:r>
      <w:r w:rsidRPr="0084305F">
        <w:rPr>
          <w:rFonts w:ascii="Aptos" w:eastAsia="Aptos" w:hAnsi="Aptos" w:cs="Aptos"/>
          <w:snapToGrid/>
          <w:color w:val="000000"/>
          <w:sz w:val="20"/>
          <w:szCs w:val="20"/>
          <w:lang w:val="en-US"/>
        </w:rPr>
        <w:t>Monitoring</w:t>
      </w:r>
      <w:proofErr w:type="gramEnd"/>
      <w:r w:rsidRPr="0084305F">
        <w:rPr>
          <w:rFonts w:ascii="Aptos" w:eastAsia="Aptos" w:hAnsi="Aptos" w:cs="Aptos"/>
          <w:snapToGrid/>
          <w:color w:val="000000"/>
          <w:sz w:val="20"/>
          <w:szCs w:val="20"/>
          <w:lang w:val="en-US"/>
        </w:rPr>
        <w:t xml:space="preserve"> and Tracking annual exercise, considering the possibility of using a testing group of M</w:t>
      </w:r>
      <w:r w:rsidRPr="0084305F">
        <w:rPr>
          <w:rFonts w:ascii="Aptos" w:eastAsia="Aptos" w:hAnsi="Aptos" w:cs="Aptos"/>
          <w:snapToGrid/>
          <w:sz w:val="20"/>
          <w:szCs w:val="20"/>
          <w:lang w:val="en-US"/>
        </w:rPr>
        <w:t>ember States</w:t>
      </w:r>
    </w:p>
    <w:p w14:paraId="51E94BB6" w14:textId="77777777" w:rsidR="0084305F" w:rsidRPr="0084305F" w:rsidRDefault="0084305F" w:rsidP="0084305F">
      <w:pPr>
        <w:widowControl w:val="0"/>
        <w:pBdr>
          <w:top w:val="nil"/>
          <w:left w:val="nil"/>
          <w:bottom w:val="nil"/>
          <w:right w:val="nil"/>
          <w:between w:val="nil"/>
        </w:pBdr>
        <w:tabs>
          <w:tab w:val="clear" w:pos="709"/>
          <w:tab w:val="left" w:pos="476"/>
          <w:tab w:val="left" w:pos="478"/>
        </w:tabs>
        <w:snapToGrid/>
        <w:ind w:left="720" w:right="115"/>
        <w:jc w:val="both"/>
        <w:rPr>
          <w:rFonts w:ascii="Aptos" w:eastAsia="Aptos" w:hAnsi="Aptos" w:cs="Aptos"/>
          <w:snapToGrid/>
          <w:color w:val="000000"/>
          <w:sz w:val="20"/>
          <w:szCs w:val="20"/>
          <w:lang w:val="en-US"/>
        </w:rPr>
      </w:pPr>
    </w:p>
    <w:p w14:paraId="7E0A6672" w14:textId="77777777" w:rsidR="0084305F" w:rsidRPr="0084305F" w:rsidRDefault="0084305F" w:rsidP="0084305F">
      <w:pPr>
        <w:tabs>
          <w:tab w:val="clear" w:pos="709"/>
          <w:tab w:val="left" w:pos="476"/>
          <w:tab w:val="left" w:pos="478"/>
        </w:tabs>
        <w:snapToGrid/>
        <w:spacing w:after="160" w:line="259" w:lineRule="auto"/>
        <w:ind w:right="115"/>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The</w:t>
      </w:r>
      <w:r w:rsidRPr="0084305F">
        <w:rPr>
          <w:rFonts w:ascii="Aptos" w:eastAsia="Aptos" w:hAnsi="Aptos" w:cs="Aptos"/>
          <w:snapToGrid/>
          <w:sz w:val="20"/>
          <w:szCs w:val="20"/>
          <w:lang w:val="en-US"/>
        </w:rPr>
        <w:t>re are</w:t>
      </w:r>
      <w:r w:rsidRPr="0084305F">
        <w:rPr>
          <w:rFonts w:ascii="Aptos" w:eastAsia="Aptos" w:hAnsi="Aptos" w:cs="Aptos"/>
          <w:snapToGrid/>
          <w:color w:val="000000"/>
          <w:sz w:val="20"/>
          <w:szCs w:val="20"/>
          <w:lang w:val="en-US"/>
        </w:rPr>
        <w:t xml:space="preserve"> two levels of questions requiring attention. At the operational level, key considerations include determining who will conduct the assessments, what training will be necessary, and the timeline for operationalizing the tool. At the strategic level, the focus is on how the TRS can effectively and sustainably manage the tool to ensure standardization and alignment with best practices for KPIs and performance measures. This encompasses data collection, analysis, knowledge dissemination, and continuous adaptation. Additionally, strategies and resource planning approaches are needed to support the coordination and management of s</w:t>
      </w:r>
      <w:r w:rsidRPr="0084305F">
        <w:rPr>
          <w:rFonts w:ascii="Aptos" w:eastAsia="Aptos" w:hAnsi="Aptos" w:cs="Aptos"/>
          <w:snapToGrid/>
          <w:sz w:val="20"/>
          <w:szCs w:val="20"/>
          <w:lang w:val="en-US"/>
        </w:rPr>
        <w:t xml:space="preserve">uch an important initiative. </w:t>
      </w:r>
      <w:r w:rsidRPr="0084305F">
        <w:rPr>
          <w:rFonts w:ascii="Aptos" w:eastAsia="Aptos" w:hAnsi="Aptos" w:cs="Aptos"/>
          <w:snapToGrid/>
          <w:color w:val="000000"/>
          <w:sz w:val="20"/>
          <w:szCs w:val="20"/>
          <w:lang w:val="en-US"/>
        </w:rPr>
        <w:t xml:space="preserve"> </w:t>
      </w:r>
    </w:p>
    <w:p w14:paraId="700921BE" w14:textId="77777777" w:rsidR="0084305F" w:rsidRPr="0084305F" w:rsidRDefault="0084305F" w:rsidP="0084305F">
      <w:pPr>
        <w:tabs>
          <w:tab w:val="clear" w:pos="709"/>
          <w:tab w:val="left" w:pos="476"/>
          <w:tab w:val="left" w:pos="478"/>
        </w:tabs>
        <w:snapToGrid/>
        <w:spacing w:after="160" w:line="259" w:lineRule="auto"/>
        <w:ind w:right="115"/>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He reported the outcomes of the 5</w:t>
      </w:r>
      <w:r w:rsidRPr="0084305F">
        <w:rPr>
          <w:rFonts w:ascii="Aptos" w:eastAsia="Aptos" w:hAnsi="Aptos" w:cs="Aptos"/>
          <w:snapToGrid/>
          <w:color w:val="000000"/>
          <w:sz w:val="20"/>
          <w:szCs w:val="20"/>
          <w:vertAlign w:val="superscript"/>
          <w:lang w:val="en-US"/>
        </w:rPr>
        <w:t>th</w:t>
      </w:r>
      <w:r w:rsidRPr="0084305F">
        <w:rPr>
          <w:rFonts w:ascii="Aptos" w:eastAsia="Aptos" w:hAnsi="Aptos" w:cs="Aptos"/>
          <w:snapToGrid/>
          <w:color w:val="000000"/>
          <w:sz w:val="20"/>
          <w:szCs w:val="20"/>
          <w:lang w:val="en-US"/>
        </w:rPr>
        <w:t xml:space="preserve"> ODTP-SC discussion, which included the following points:</w:t>
      </w:r>
    </w:p>
    <w:p w14:paraId="29605974" w14:textId="77777777" w:rsidR="0084305F" w:rsidRPr="0084305F" w:rsidRDefault="0084305F" w:rsidP="0084305F">
      <w:pPr>
        <w:numPr>
          <w:ilvl w:val="0"/>
          <w:numId w:val="146"/>
        </w:numPr>
        <w:pBdr>
          <w:top w:val="nil"/>
          <w:left w:val="nil"/>
          <w:bottom w:val="nil"/>
          <w:right w:val="nil"/>
          <w:between w:val="nil"/>
        </w:pBdr>
        <w:tabs>
          <w:tab w:val="clear" w:pos="709"/>
          <w:tab w:val="left" w:pos="476"/>
          <w:tab w:val="left" w:pos="478"/>
        </w:tabs>
        <w:snapToGrid/>
        <w:spacing w:after="160" w:line="259" w:lineRule="auto"/>
        <w:ind w:right="115"/>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 xml:space="preserve">The SC emphasized the critical role of Tsunami National Contacts (TNCs) as primary national representatives. However, it </w:t>
      </w:r>
      <w:proofErr w:type="gramStart"/>
      <w:r w:rsidRPr="0084305F">
        <w:rPr>
          <w:rFonts w:ascii="Aptos" w:eastAsia="Aptos" w:hAnsi="Aptos" w:cs="Aptos"/>
          <w:snapToGrid/>
          <w:color w:val="000000"/>
          <w:sz w:val="20"/>
          <w:szCs w:val="20"/>
          <w:lang w:val="en-US"/>
        </w:rPr>
        <w:t>recommended</w:t>
      </w:r>
      <w:proofErr w:type="gramEnd"/>
      <w:r w:rsidRPr="0084305F">
        <w:rPr>
          <w:rFonts w:ascii="Aptos" w:eastAsia="Aptos" w:hAnsi="Aptos" w:cs="Aptos"/>
          <w:snapToGrid/>
          <w:color w:val="000000"/>
          <w:sz w:val="20"/>
          <w:szCs w:val="20"/>
          <w:lang w:val="en-US"/>
        </w:rPr>
        <w:t xml:space="preserve"> that requests be communicated through Circular </w:t>
      </w:r>
      <w:r w:rsidRPr="0084305F">
        <w:rPr>
          <w:rFonts w:ascii="Aptos" w:eastAsia="Aptos" w:hAnsi="Aptos" w:cs="Aptos"/>
          <w:snapToGrid/>
          <w:color w:val="000000"/>
          <w:sz w:val="20"/>
          <w:szCs w:val="20"/>
          <w:lang w:val="en-US"/>
        </w:rPr>
        <w:lastRenderedPageBreak/>
        <w:t>Letters (CLs) to ensure Tsunami Warning Focal Points (TWFPs), National Tsunami Warning Centers (NTWCs), and IOC Focal Points are also informed. An alternative suggestion was to leverage ICG structures, particularly their Working Groups (WGs), to conduct assessments.</w:t>
      </w:r>
    </w:p>
    <w:p w14:paraId="7054927A" w14:textId="77777777" w:rsidR="0084305F" w:rsidRPr="0084305F" w:rsidRDefault="0084305F" w:rsidP="0084305F">
      <w:pPr>
        <w:numPr>
          <w:ilvl w:val="0"/>
          <w:numId w:val="146"/>
        </w:numPr>
        <w:pBdr>
          <w:top w:val="nil"/>
          <w:left w:val="nil"/>
          <w:bottom w:val="nil"/>
          <w:right w:val="nil"/>
          <w:between w:val="nil"/>
        </w:pBdr>
        <w:tabs>
          <w:tab w:val="clear" w:pos="709"/>
          <w:tab w:val="left" w:pos="476"/>
          <w:tab w:val="left" w:pos="478"/>
        </w:tabs>
        <w:snapToGrid/>
        <w:spacing w:after="160" w:line="259" w:lineRule="auto"/>
        <w:ind w:right="115"/>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The SC welcomed the proposal for flexible data entry by various stakeholders in coordination with TNCs, as successfully demonstrated in past IOTWMS survey practices. It agreed that assessments should move beyond simple "tick-box" exercises and include concise narrative responses to KPI surveys. Clarifications are needed regarding how Member States with memberships in multiple ICGs or territories will respond to these surveys, with the SC expressing a preference for an ICG-based approach.</w:t>
      </w:r>
    </w:p>
    <w:p w14:paraId="77843C44"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In addition, Dr. Necmioglu provided the following, as reflected in IOC/TOWS-WG-XV/3 (2022) which will now be aligned with the proposed</w:t>
      </w:r>
      <w:r w:rsidRPr="0084305F">
        <w:rPr>
          <w:rFonts w:ascii="Aptos" w:eastAsia="Aptos" w:hAnsi="Aptos" w:cs="Aptos"/>
          <w:snapToGrid/>
          <w:sz w:val="22"/>
          <w:szCs w:val="22"/>
          <w:lang w:val="en-US"/>
        </w:rPr>
        <w:t xml:space="preserve"> </w:t>
      </w:r>
      <w:r w:rsidRPr="0084305F">
        <w:rPr>
          <w:rFonts w:ascii="Aptos" w:eastAsia="Aptos" w:hAnsi="Aptos" w:cs="Aptos"/>
          <w:snapToGrid/>
          <w:sz w:val="20"/>
          <w:szCs w:val="20"/>
          <w:lang w:val="en-US"/>
        </w:rPr>
        <w:t>Global Tsunami Performance Monitoring Framework</w:t>
      </w:r>
      <w:r w:rsidRPr="0084305F">
        <w:rPr>
          <w:rFonts w:ascii="Aptos" w:eastAsia="Aptos" w:hAnsi="Aptos" w:cs="Aptos"/>
          <w:snapToGrid/>
          <w:sz w:val="22"/>
          <w:szCs w:val="22"/>
          <w:lang w:val="en-US"/>
        </w:rPr>
        <w:t>.</w:t>
      </w:r>
      <w:r w:rsidRPr="0084305F">
        <w:rPr>
          <w:rFonts w:ascii="Aptos" w:eastAsia="Aptos" w:hAnsi="Aptos" w:cs="Aptos"/>
          <w:snapToGrid/>
          <w:sz w:val="20"/>
          <w:szCs w:val="20"/>
          <w:lang w:val="en-US"/>
        </w:rPr>
        <w:t xml:space="preserve"> In February 2019 ‘Action Item 6’ from the 'Report of the Inter-ICG Task Team on Disaster Management and Preparedness' stated:</w:t>
      </w:r>
    </w:p>
    <w:p w14:paraId="2708F6EA"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1DF52C60" w14:textId="77777777" w:rsidR="0084305F" w:rsidRPr="0084305F" w:rsidRDefault="0084305F" w:rsidP="0084305F">
      <w:pPr>
        <w:tabs>
          <w:tab w:val="clear" w:pos="709"/>
        </w:tabs>
        <w:snapToGrid/>
        <w:ind w:left="567"/>
        <w:jc w:val="both"/>
        <w:rPr>
          <w:rFonts w:ascii="Aptos" w:eastAsia="Aptos" w:hAnsi="Aptos" w:cs="Aptos"/>
          <w:snapToGrid/>
          <w:sz w:val="20"/>
          <w:szCs w:val="20"/>
          <w:lang w:val="en-US"/>
        </w:rPr>
      </w:pPr>
      <w:r w:rsidRPr="0084305F">
        <w:rPr>
          <w:rFonts w:ascii="Aptos" w:eastAsia="Aptos" w:hAnsi="Aptos" w:cs="Aptos"/>
          <w:snapToGrid/>
          <w:sz w:val="20"/>
          <w:szCs w:val="20"/>
          <w:lang w:val="en-US"/>
        </w:rPr>
        <w:t>• Develop key performance indicators that are harmonized with the goals and actions of the Sendai Framework for Disaster Risk Reduction.</w:t>
      </w:r>
    </w:p>
    <w:p w14:paraId="61B42FA5" w14:textId="77777777" w:rsidR="0084305F" w:rsidRPr="0084305F" w:rsidRDefault="0084305F" w:rsidP="0084305F">
      <w:pPr>
        <w:tabs>
          <w:tab w:val="clear" w:pos="709"/>
        </w:tabs>
        <w:snapToGrid/>
        <w:ind w:left="567"/>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 Review the current PTWS performance monitoring framework and compare this with </w:t>
      </w:r>
      <w:proofErr w:type="gramStart"/>
      <w:r w:rsidRPr="0084305F">
        <w:rPr>
          <w:rFonts w:ascii="Aptos" w:eastAsia="Aptos" w:hAnsi="Aptos" w:cs="Aptos"/>
          <w:snapToGrid/>
          <w:sz w:val="20"/>
          <w:szCs w:val="20"/>
          <w:lang w:val="en-US"/>
        </w:rPr>
        <w:t>other,</w:t>
      </w:r>
      <w:proofErr w:type="gramEnd"/>
      <w:r w:rsidRPr="0084305F">
        <w:rPr>
          <w:rFonts w:ascii="Aptos" w:eastAsia="Aptos" w:hAnsi="Aptos" w:cs="Aptos"/>
          <w:snapToGrid/>
          <w:sz w:val="20"/>
          <w:szCs w:val="20"/>
          <w:lang w:val="en-US"/>
        </w:rPr>
        <w:t xml:space="preserve"> similar ICG initiatives; and</w:t>
      </w:r>
    </w:p>
    <w:p w14:paraId="5894C5CD" w14:textId="77777777" w:rsidR="0084305F" w:rsidRPr="0084305F" w:rsidRDefault="0084305F" w:rsidP="0084305F">
      <w:pPr>
        <w:tabs>
          <w:tab w:val="clear" w:pos="709"/>
        </w:tabs>
        <w:snapToGrid/>
        <w:ind w:left="567"/>
        <w:jc w:val="both"/>
        <w:rPr>
          <w:rFonts w:ascii="Aptos" w:eastAsia="Aptos" w:hAnsi="Aptos" w:cs="Aptos"/>
          <w:snapToGrid/>
          <w:sz w:val="20"/>
          <w:szCs w:val="20"/>
          <w:lang w:val="en-US"/>
        </w:rPr>
      </w:pPr>
      <w:r w:rsidRPr="0084305F">
        <w:rPr>
          <w:rFonts w:ascii="Aptos" w:eastAsia="Aptos" w:hAnsi="Aptos" w:cs="Aptos"/>
          <w:snapToGrid/>
          <w:sz w:val="20"/>
          <w:szCs w:val="20"/>
          <w:lang w:val="en-US"/>
        </w:rPr>
        <w:t>• Develop a consistent global performance monitoring framework, which includes data collection tools/questionnaire and reporting formats.</w:t>
      </w:r>
    </w:p>
    <w:p w14:paraId="5E7522C9"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4EC466A4"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To achieve the above, a Task Team was formed from members of the CARIBE- EWS, PTWS, IOTWMS and NEAMTWS. All meetings of this Task Team have occurred online due to the global pandemic. The Task Team have developed a global framework with goals, targets and corresponding measures.  The mission of this work is to promote a “...modern and effective global tsunami warning and mitigation system based on global ICG and Member State participation. A key focus is to substantially improve community access to tsunami hazard and risk information, resulting in prepared, aware and resilient countries at risk of tsunami. </w:t>
      </w:r>
    </w:p>
    <w:p w14:paraId="5FA27173"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75E73ABE"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The framework aligns with the Sendai Framework for Disaster Risk Reduction 2015- 2030; United Nations Decade of Ocean Sciences for Sustainable Development – A Safe Ocean; IOC Tsunami Programme; Tsunami Ready – enabling communities to reach a high level of tsunami resilience, current ICG Strategy’s and the ICG/PTWS KPI Framework completed in 2018/2019. It is anticipated that countries with responsibilities to report on other international frameworks or </w:t>
      </w:r>
      <w:proofErr w:type="spellStart"/>
      <w:r w:rsidRPr="0084305F">
        <w:rPr>
          <w:rFonts w:ascii="Aptos" w:eastAsia="Aptos" w:hAnsi="Aptos" w:cs="Aptos"/>
          <w:snapToGrid/>
          <w:sz w:val="20"/>
          <w:szCs w:val="20"/>
          <w:lang w:val="en-US"/>
        </w:rPr>
        <w:t>programmes</w:t>
      </w:r>
      <w:proofErr w:type="spellEnd"/>
      <w:r w:rsidRPr="0084305F">
        <w:rPr>
          <w:rFonts w:ascii="Aptos" w:eastAsia="Aptos" w:hAnsi="Aptos" w:cs="Aptos"/>
          <w:snapToGrid/>
          <w:sz w:val="20"/>
          <w:szCs w:val="20"/>
          <w:lang w:val="en-US"/>
        </w:rPr>
        <w:t xml:space="preserve"> of </w:t>
      </w:r>
      <w:proofErr w:type="gramStart"/>
      <w:r w:rsidRPr="0084305F">
        <w:rPr>
          <w:rFonts w:ascii="Aptos" w:eastAsia="Aptos" w:hAnsi="Aptos" w:cs="Aptos"/>
          <w:snapToGrid/>
          <w:sz w:val="20"/>
          <w:szCs w:val="20"/>
          <w:lang w:val="en-US"/>
        </w:rPr>
        <w:t>work,</w:t>
      </w:r>
      <w:proofErr w:type="gramEnd"/>
      <w:r w:rsidRPr="0084305F">
        <w:rPr>
          <w:rFonts w:ascii="Aptos" w:eastAsia="Aptos" w:hAnsi="Aptos" w:cs="Aptos"/>
          <w:snapToGrid/>
          <w:sz w:val="20"/>
          <w:szCs w:val="20"/>
          <w:lang w:val="en-US"/>
        </w:rPr>
        <w:t xml:space="preserve"> will have a much simpler task with the development of the online service.</w:t>
      </w:r>
    </w:p>
    <w:p w14:paraId="42C56F6D"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B5091B9"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Once the overall framework is approved, </w:t>
      </w:r>
      <w:proofErr w:type="gramStart"/>
      <w:r w:rsidRPr="0084305F">
        <w:rPr>
          <w:rFonts w:ascii="Aptos" w:eastAsia="Aptos" w:hAnsi="Aptos" w:cs="Aptos"/>
          <w:snapToGrid/>
          <w:sz w:val="20"/>
          <w:szCs w:val="20"/>
          <w:lang w:val="en-US"/>
        </w:rPr>
        <w:t>next</w:t>
      </w:r>
      <w:proofErr w:type="gramEnd"/>
      <w:r w:rsidRPr="0084305F">
        <w:rPr>
          <w:rFonts w:ascii="Aptos" w:eastAsia="Aptos" w:hAnsi="Aptos" w:cs="Aptos"/>
          <w:snapToGrid/>
          <w:sz w:val="20"/>
          <w:szCs w:val="20"/>
          <w:lang w:val="en-US"/>
        </w:rPr>
        <w:t xml:space="preserve">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w:t>
      </w:r>
      <w:proofErr w:type="gramStart"/>
      <w:r w:rsidRPr="0084305F">
        <w:rPr>
          <w:rFonts w:ascii="Aptos" w:eastAsia="Aptos" w:hAnsi="Aptos" w:cs="Aptos"/>
          <w:snapToGrid/>
          <w:sz w:val="20"/>
          <w:szCs w:val="20"/>
          <w:lang w:val="en-US"/>
        </w:rPr>
        <w:t>country</w:t>
      </w:r>
      <w:proofErr w:type="gramEnd"/>
      <w:r w:rsidRPr="0084305F">
        <w:rPr>
          <w:rFonts w:ascii="Aptos" w:eastAsia="Aptos" w:hAnsi="Aptos" w:cs="Aptos"/>
          <w:snapToGrid/>
          <w:sz w:val="20"/>
          <w:szCs w:val="20"/>
          <w:lang w:val="en-US"/>
        </w:rPr>
        <w:t xml:space="preserve"> size and capability and capacity for tsunami hazard risk management including tsunami hazard risk assessment; warning system requirements; community awareness and preparedness; and planning.</w:t>
      </w:r>
    </w:p>
    <w:p w14:paraId="4CF339FA"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A040882"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77C73126"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FB57B69"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The expectations of IOC-ICG Member States are that they will monitor and evaluate progress against the new global framework and provide yearly reports via the annual ICG meeting structures. These will replace the current national reporting process. Participation in annual TOW’s meetings/workshops will allow gaps, opportunities, improvement and successes to be discussed, </w:t>
      </w:r>
      <w:proofErr w:type="gramStart"/>
      <w:r w:rsidRPr="0084305F">
        <w:rPr>
          <w:rFonts w:ascii="Aptos" w:eastAsia="Aptos" w:hAnsi="Aptos" w:cs="Aptos"/>
          <w:snapToGrid/>
          <w:sz w:val="20"/>
          <w:szCs w:val="20"/>
          <w:lang w:val="en-US"/>
        </w:rPr>
        <w:t>specific</w:t>
      </w:r>
      <w:proofErr w:type="gramEnd"/>
      <w:r w:rsidRPr="0084305F">
        <w:rPr>
          <w:rFonts w:ascii="Aptos" w:eastAsia="Aptos" w:hAnsi="Aptos" w:cs="Aptos"/>
          <w:snapToGrid/>
          <w:sz w:val="20"/>
          <w:szCs w:val="20"/>
          <w:lang w:val="en-US"/>
        </w:rPr>
        <w:t xml:space="preserve"> to their ICG countries evaluation against the framework. ICG Steering Committee meetings across the four ICG’s will also work on the same evaluation results in their early reporting.</w:t>
      </w:r>
    </w:p>
    <w:p w14:paraId="604C47AE"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6966C490"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lastRenderedPageBreak/>
        <w:t>Recommendations to TOWS-WG</w:t>
      </w:r>
    </w:p>
    <w:p w14:paraId="268FA6CD" w14:textId="77777777" w:rsidR="0084305F" w:rsidRPr="0084305F" w:rsidRDefault="0084305F" w:rsidP="0084305F">
      <w:p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Acknowledges </w:t>
      </w:r>
      <w:r w:rsidRPr="0084305F">
        <w:rPr>
          <w:rFonts w:ascii="Aptos" w:eastAsia="Aptos" w:hAnsi="Aptos" w:cs="Aptos"/>
          <w:snapToGrid/>
          <w:sz w:val="20"/>
          <w:szCs w:val="20"/>
          <w:lang w:val="en-US"/>
        </w:rPr>
        <w:t xml:space="preserve">the ongoing efforts in developing the ODTP Tracking and Monitoring Tool and the Global Tsunami Performance Monitoring Framework (PTWS) </w:t>
      </w:r>
    </w:p>
    <w:p w14:paraId="6FFEBBD2" w14:textId="77777777" w:rsidR="0084305F" w:rsidRPr="0084305F" w:rsidRDefault="0084305F" w:rsidP="0084305F">
      <w:p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b/>
          <w:snapToGrid/>
          <w:sz w:val="20"/>
          <w:szCs w:val="20"/>
          <w:lang w:val="en-US"/>
        </w:rPr>
        <w:t>Notes</w:t>
      </w:r>
      <w:r w:rsidRPr="0084305F">
        <w:rPr>
          <w:rFonts w:ascii="Aptos" w:eastAsia="Aptos" w:hAnsi="Aptos" w:cs="Aptos"/>
          <w:snapToGrid/>
          <w:sz w:val="20"/>
          <w:szCs w:val="20"/>
          <w:lang w:val="en-US"/>
        </w:rPr>
        <w:t xml:space="preserve"> the opportunity to TOWS Task Teams to engage and contribute through an online meeting in August 2025 on the ongoing work.  </w:t>
      </w:r>
    </w:p>
    <w:p w14:paraId="1A784DB8" w14:textId="77777777" w:rsidR="0084305F" w:rsidRPr="0084305F" w:rsidRDefault="0084305F" w:rsidP="0084305F">
      <w:p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b/>
          <w:snapToGrid/>
          <w:sz w:val="20"/>
          <w:szCs w:val="20"/>
          <w:lang w:val="en-US"/>
        </w:rPr>
        <w:t>Recommends</w:t>
      </w:r>
      <w:r w:rsidRPr="0084305F">
        <w:rPr>
          <w:rFonts w:ascii="Aptos" w:eastAsia="Aptos" w:hAnsi="Aptos" w:cs="Aptos"/>
          <w:snapToGrid/>
          <w:sz w:val="20"/>
          <w:szCs w:val="20"/>
          <w:lang w:val="en-US"/>
        </w:rPr>
        <w:t xml:space="preserve"> ICGs to develop and adopt a harmonized set of KPIs based on the GKPI, to support consistent and effective global reporting.</w:t>
      </w:r>
    </w:p>
    <w:p w14:paraId="144A4B03"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snapToGrid/>
          <w:color w:val="0F4761"/>
          <w:lang w:val="en-US"/>
        </w:rPr>
      </w:pPr>
      <w:bookmarkStart w:id="244" w:name="_2s8eyo1" w:colFirst="0" w:colLast="0"/>
      <w:bookmarkStart w:id="245" w:name="_Toc195258138"/>
      <w:bookmarkEnd w:id="244"/>
      <w:r w:rsidRPr="0084305F">
        <w:rPr>
          <w:rFonts w:ascii="Aptos" w:eastAsia="Aptos" w:hAnsi="Aptos" w:cs="Aptos"/>
          <w:snapToGrid/>
          <w:color w:val="0F4761"/>
          <w:lang w:val="en-US"/>
        </w:rPr>
        <w:t>4.5 Tsunami Ready Coalition</w:t>
      </w:r>
      <w:bookmarkEnd w:id="245"/>
    </w:p>
    <w:p w14:paraId="012C6A4A" w14:textId="77777777" w:rsidR="0084305F" w:rsidRPr="0084305F" w:rsidRDefault="0084305F" w:rsidP="0084305F">
      <w:p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Laura Kong reported </w:t>
      </w:r>
      <w:proofErr w:type="gramStart"/>
      <w:r w:rsidRPr="0084305F">
        <w:rPr>
          <w:rFonts w:ascii="Aptos" w:eastAsia="Aptos" w:hAnsi="Aptos" w:cs="Aptos"/>
          <w:snapToGrid/>
          <w:sz w:val="20"/>
          <w:szCs w:val="20"/>
          <w:lang w:val="en-US"/>
        </w:rPr>
        <w:t>to</w:t>
      </w:r>
      <w:proofErr w:type="gramEnd"/>
      <w:r w:rsidRPr="0084305F">
        <w:rPr>
          <w:rFonts w:ascii="Aptos" w:eastAsia="Aptos" w:hAnsi="Aptos" w:cs="Aptos"/>
          <w:snapToGrid/>
          <w:sz w:val="20"/>
          <w:szCs w:val="20"/>
          <w:lang w:val="en-US"/>
        </w:rPr>
        <w:t xml:space="preserve"> the Implementation </w:t>
      </w:r>
      <w:proofErr w:type="gramStart"/>
      <w:r w:rsidRPr="0084305F">
        <w:rPr>
          <w:rFonts w:ascii="Aptos" w:eastAsia="Aptos" w:hAnsi="Aptos" w:cs="Aptos"/>
          <w:snapToGrid/>
          <w:sz w:val="20"/>
          <w:szCs w:val="20"/>
          <w:lang w:val="en-US"/>
        </w:rPr>
        <w:t>Plan  for</w:t>
      </w:r>
      <w:proofErr w:type="gramEnd"/>
      <w:r w:rsidRPr="0084305F">
        <w:rPr>
          <w:rFonts w:ascii="Aptos" w:eastAsia="Aptos" w:hAnsi="Aptos" w:cs="Aptos"/>
          <w:snapToGrid/>
          <w:sz w:val="20"/>
          <w:szCs w:val="20"/>
          <w:lang w:val="en-US"/>
        </w:rPr>
        <w:t xml:space="preserve"> TR </w:t>
      </w:r>
      <w:proofErr w:type="gramStart"/>
      <w:r w:rsidRPr="0084305F">
        <w:rPr>
          <w:rFonts w:ascii="Aptos" w:eastAsia="Aptos" w:hAnsi="Aptos" w:cs="Aptos"/>
          <w:snapToGrid/>
          <w:sz w:val="20"/>
          <w:szCs w:val="20"/>
          <w:lang w:val="en-US"/>
        </w:rPr>
        <w:t>Coalition(</w:t>
      </w:r>
      <w:proofErr w:type="gramEnd"/>
      <w:r w:rsidRPr="0084305F">
        <w:rPr>
          <w:rFonts w:ascii="Aptos" w:eastAsia="Aptos" w:hAnsi="Aptos" w:cs="Aptos"/>
          <w:snapToGrid/>
          <w:sz w:val="20"/>
          <w:szCs w:val="20"/>
          <w:lang w:val="en-US"/>
        </w:rPr>
        <w:t>see TT DMP report for updates)</w:t>
      </w:r>
    </w:p>
    <w:p w14:paraId="1FF65534" w14:textId="77777777" w:rsidR="0084305F" w:rsidRPr="0084305F" w:rsidRDefault="0084305F" w:rsidP="0084305F">
      <w:p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The meeting </w:t>
      </w:r>
      <w:proofErr w:type="gramStart"/>
      <w:r w:rsidRPr="0084305F">
        <w:rPr>
          <w:rFonts w:ascii="Aptos" w:eastAsia="Aptos" w:hAnsi="Aptos" w:cs="Aptos"/>
          <w:snapToGrid/>
          <w:sz w:val="20"/>
          <w:szCs w:val="20"/>
          <w:lang w:val="en-US"/>
        </w:rPr>
        <w:t>noted :</w:t>
      </w:r>
      <w:proofErr w:type="gramEnd"/>
    </w:p>
    <w:p w14:paraId="482F67D6" w14:textId="77777777" w:rsidR="0084305F" w:rsidRPr="0084305F" w:rsidRDefault="0084305F" w:rsidP="0084305F">
      <w:pPr>
        <w:numPr>
          <w:ilvl w:val="0"/>
          <w:numId w:val="141"/>
        </w:num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Value of engaging with High-End Businessmen or Private Sector as partners.</w:t>
      </w:r>
    </w:p>
    <w:p w14:paraId="5DAF47B5" w14:textId="77777777" w:rsidR="0084305F" w:rsidRPr="0084305F" w:rsidRDefault="0084305F" w:rsidP="0084305F">
      <w:pPr>
        <w:numPr>
          <w:ilvl w:val="0"/>
          <w:numId w:val="141"/>
        </w:num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Coalition </w:t>
      </w:r>
      <w:proofErr w:type="gramStart"/>
      <w:r w:rsidRPr="0084305F">
        <w:rPr>
          <w:rFonts w:ascii="Aptos" w:eastAsia="Aptos" w:hAnsi="Aptos" w:cs="Aptos"/>
          <w:snapToGrid/>
          <w:sz w:val="20"/>
          <w:szCs w:val="20"/>
          <w:lang w:val="en-US"/>
        </w:rPr>
        <w:t>aims  at</w:t>
      </w:r>
      <w:proofErr w:type="gramEnd"/>
      <w:r w:rsidRPr="0084305F">
        <w:rPr>
          <w:rFonts w:ascii="Aptos" w:eastAsia="Aptos" w:hAnsi="Aptos" w:cs="Aptos"/>
          <w:snapToGrid/>
          <w:sz w:val="20"/>
          <w:szCs w:val="20"/>
          <w:lang w:val="en-US"/>
        </w:rPr>
        <w:t xml:space="preserve"> discovering new entities that accelerate and </w:t>
      </w:r>
      <w:proofErr w:type="gramStart"/>
      <w:r w:rsidRPr="0084305F">
        <w:rPr>
          <w:rFonts w:ascii="Aptos" w:eastAsia="Aptos" w:hAnsi="Aptos" w:cs="Aptos"/>
          <w:snapToGrid/>
          <w:sz w:val="20"/>
          <w:szCs w:val="20"/>
          <w:lang w:val="en-US"/>
        </w:rPr>
        <w:t>upscale  TRRP</w:t>
      </w:r>
      <w:proofErr w:type="gramEnd"/>
      <w:r w:rsidRPr="0084305F">
        <w:rPr>
          <w:rFonts w:ascii="Aptos" w:eastAsia="Aptos" w:hAnsi="Aptos" w:cs="Aptos"/>
          <w:snapToGrid/>
          <w:sz w:val="20"/>
          <w:szCs w:val="20"/>
          <w:lang w:val="en-US"/>
        </w:rPr>
        <w:t xml:space="preserve"> </w:t>
      </w:r>
      <w:proofErr w:type="gramStart"/>
      <w:r w:rsidRPr="0084305F">
        <w:rPr>
          <w:rFonts w:ascii="Aptos" w:eastAsia="Aptos" w:hAnsi="Aptos" w:cs="Aptos"/>
          <w:snapToGrid/>
          <w:sz w:val="20"/>
          <w:szCs w:val="20"/>
          <w:lang w:val="en-US"/>
        </w:rPr>
        <w:t>implementation  efforts</w:t>
      </w:r>
      <w:proofErr w:type="gramEnd"/>
      <w:r w:rsidRPr="0084305F">
        <w:rPr>
          <w:rFonts w:ascii="Aptos" w:eastAsia="Aptos" w:hAnsi="Aptos" w:cs="Aptos"/>
          <w:snapToGrid/>
          <w:sz w:val="20"/>
          <w:szCs w:val="20"/>
          <w:lang w:val="en-US"/>
        </w:rPr>
        <w:t>.</w:t>
      </w:r>
    </w:p>
    <w:p w14:paraId="285ECD83" w14:textId="77777777" w:rsidR="0084305F" w:rsidRPr="0084305F" w:rsidRDefault="0084305F" w:rsidP="0084305F">
      <w:pPr>
        <w:numPr>
          <w:ilvl w:val="0"/>
          <w:numId w:val="141"/>
        </w:num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TRRP must continue beyond 2030, so </w:t>
      </w:r>
      <w:proofErr w:type="gramStart"/>
      <w:r w:rsidRPr="0084305F">
        <w:rPr>
          <w:rFonts w:ascii="Aptos" w:eastAsia="Aptos" w:hAnsi="Aptos" w:cs="Aptos"/>
          <w:snapToGrid/>
          <w:sz w:val="20"/>
          <w:szCs w:val="20"/>
          <w:lang w:val="en-US"/>
        </w:rPr>
        <w:t>the  initiative</w:t>
      </w:r>
      <w:proofErr w:type="gramEnd"/>
      <w:r w:rsidRPr="0084305F">
        <w:rPr>
          <w:rFonts w:ascii="Aptos" w:eastAsia="Aptos" w:hAnsi="Aptos" w:cs="Aptos"/>
          <w:snapToGrid/>
          <w:sz w:val="20"/>
          <w:szCs w:val="20"/>
          <w:lang w:val="en-US"/>
        </w:rPr>
        <w:t xml:space="preserve"> is not only about securing financial support but also </w:t>
      </w:r>
      <w:proofErr w:type="gramStart"/>
      <w:r w:rsidRPr="0084305F">
        <w:rPr>
          <w:rFonts w:ascii="Aptos" w:eastAsia="Aptos" w:hAnsi="Aptos" w:cs="Aptos"/>
          <w:snapToGrid/>
          <w:sz w:val="20"/>
          <w:szCs w:val="20"/>
          <w:lang w:val="en-US"/>
        </w:rPr>
        <w:t>about  providing</w:t>
      </w:r>
      <w:proofErr w:type="gramEnd"/>
      <w:r w:rsidRPr="0084305F">
        <w:rPr>
          <w:rFonts w:ascii="Aptos" w:eastAsia="Aptos" w:hAnsi="Aptos" w:cs="Aptos"/>
          <w:snapToGrid/>
          <w:sz w:val="20"/>
          <w:szCs w:val="20"/>
          <w:lang w:val="en-US"/>
        </w:rPr>
        <w:t xml:space="preserve"> advocacy and promoting UNESCO-IOC Tsunami Ready Programme. </w:t>
      </w:r>
    </w:p>
    <w:p w14:paraId="57FEDD80" w14:textId="77777777" w:rsidR="0084305F" w:rsidRPr="0084305F" w:rsidRDefault="0084305F" w:rsidP="0084305F">
      <w:pPr>
        <w:numPr>
          <w:ilvl w:val="0"/>
          <w:numId w:val="141"/>
        </w:numPr>
        <w:tabs>
          <w:tab w:val="clear" w:pos="709"/>
        </w:tabs>
        <w:snapToGrid/>
        <w:spacing w:after="160" w:line="259" w:lineRule="auto"/>
        <w:jc w:val="both"/>
        <w:rPr>
          <w:rFonts w:ascii="Aptos" w:eastAsia="Aptos" w:hAnsi="Aptos" w:cs="Aptos"/>
          <w:snapToGrid/>
          <w:sz w:val="20"/>
          <w:szCs w:val="20"/>
          <w:lang w:val="en-US"/>
        </w:rPr>
      </w:pPr>
      <w:proofErr w:type="gramStart"/>
      <w:r w:rsidRPr="0084305F">
        <w:rPr>
          <w:rFonts w:ascii="Aptos" w:eastAsia="Aptos" w:hAnsi="Aptos" w:cs="Aptos"/>
          <w:snapToGrid/>
          <w:sz w:val="20"/>
          <w:szCs w:val="20"/>
          <w:lang w:val="en-US"/>
        </w:rPr>
        <w:t>Important</w:t>
      </w:r>
      <w:proofErr w:type="gramEnd"/>
      <w:r w:rsidRPr="0084305F">
        <w:rPr>
          <w:rFonts w:ascii="Aptos" w:eastAsia="Aptos" w:hAnsi="Aptos" w:cs="Aptos"/>
          <w:snapToGrid/>
          <w:sz w:val="20"/>
          <w:szCs w:val="20"/>
          <w:lang w:val="en-US"/>
        </w:rPr>
        <w:t xml:space="preserve"> to describe a clear process for the Partners to join the Coalition.</w:t>
      </w:r>
    </w:p>
    <w:p w14:paraId="67845934" w14:textId="77777777" w:rsidR="0084305F" w:rsidRPr="0084305F" w:rsidRDefault="0084305F" w:rsidP="0084305F">
      <w:pPr>
        <w:numPr>
          <w:ilvl w:val="0"/>
          <w:numId w:val="141"/>
        </w:num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Advantages and benefits of joining the Coalition should be highlighted.</w:t>
      </w:r>
    </w:p>
    <w:p w14:paraId="5B5F1AB2" w14:textId="77777777" w:rsidR="0084305F" w:rsidRPr="0084305F" w:rsidRDefault="0084305F" w:rsidP="0084305F">
      <w:pPr>
        <w:numPr>
          <w:ilvl w:val="0"/>
          <w:numId w:val="141"/>
        </w:numPr>
        <w:tabs>
          <w:tab w:val="clear" w:pos="709"/>
        </w:tabs>
        <w:snapToGrid/>
        <w:spacing w:after="160" w:line="259" w:lineRule="auto"/>
        <w:jc w:val="both"/>
        <w:rPr>
          <w:rFonts w:ascii="Aptos" w:eastAsia="Aptos" w:hAnsi="Aptos" w:cs="Aptos"/>
          <w:snapToGrid/>
          <w:sz w:val="20"/>
          <w:szCs w:val="20"/>
          <w:lang w:val="en-US"/>
        </w:rPr>
      </w:pPr>
      <w:proofErr w:type="gramStart"/>
      <w:r w:rsidRPr="0084305F">
        <w:rPr>
          <w:rFonts w:ascii="Aptos" w:eastAsia="Aptos" w:hAnsi="Aptos" w:cs="Aptos"/>
          <w:snapToGrid/>
          <w:sz w:val="20"/>
          <w:szCs w:val="20"/>
          <w:lang w:val="en-US"/>
        </w:rPr>
        <w:t>Important</w:t>
      </w:r>
      <w:proofErr w:type="gramEnd"/>
      <w:r w:rsidRPr="0084305F">
        <w:rPr>
          <w:rFonts w:ascii="Aptos" w:eastAsia="Aptos" w:hAnsi="Aptos" w:cs="Aptos"/>
          <w:snapToGrid/>
          <w:sz w:val="20"/>
          <w:szCs w:val="20"/>
          <w:lang w:val="en-US"/>
        </w:rPr>
        <w:t xml:space="preserve"> to note that </w:t>
      </w:r>
      <w:proofErr w:type="gramStart"/>
      <w:r w:rsidRPr="0084305F">
        <w:rPr>
          <w:rFonts w:ascii="Aptos" w:eastAsia="Aptos" w:hAnsi="Aptos" w:cs="Aptos"/>
          <w:snapToGrid/>
          <w:sz w:val="20"/>
          <w:szCs w:val="20"/>
          <w:lang w:val="en-US"/>
        </w:rPr>
        <w:t>the Coalition</w:t>
      </w:r>
      <w:proofErr w:type="gramEnd"/>
      <w:r w:rsidRPr="0084305F">
        <w:rPr>
          <w:rFonts w:ascii="Aptos" w:eastAsia="Aptos" w:hAnsi="Aptos" w:cs="Aptos"/>
          <w:snapToGrid/>
          <w:sz w:val="20"/>
          <w:szCs w:val="20"/>
          <w:lang w:val="en-US"/>
        </w:rPr>
        <w:t xml:space="preserve"> reports to the TOW WG, and its role is not technical.  The TRRP technical considerations are the responsibility of the TOWS Task Teams, who represent the ICGs.</w:t>
      </w:r>
    </w:p>
    <w:p w14:paraId="6A9013B3" w14:textId="77777777" w:rsidR="0084305F" w:rsidRPr="0084305F" w:rsidRDefault="0084305F" w:rsidP="0084305F">
      <w:pPr>
        <w:numPr>
          <w:ilvl w:val="0"/>
          <w:numId w:val="141"/>
        </w:num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Coalition ‘Ambassador’ terms of reference may be confused with UN Ambassador definition, so it may be wise to use a different name.  Suggestions included Champions and </w:t>
      </w:r>
      <w:proofErr w:type="spellStart"/>
      <w:r w:rsidRPr="0084305F">
        <w:rPr>
          <w:rFonts w:ascii="Aptos" w:eastAsia="Aptos" w:hAnsi="Aptos" w:cs="Aptos"/>
          <w:snapToGrid/>
          <w:sz w:val="20"/>
          <w:szCs w:val="20"/>
          <w:lang w:val="en-US"/>
        </w:rPr>
        <w:t>Heros."TR</w:t>
      </w:r>
      <w:proofErr w:type="spellEnd"/>
      <w:r w:rsidRPr="0084305F">
        <w:rPr>
          <w:rFonts w:ascii="Aptos" w:eastAsia="Aptos" w:hAnsi="Aptos" w:cs="Aptos"/>
          <w:snapToGrid/>
          <w:sz w:val="20"/>
          <w:szCs w:val="20"/>
          <w:lang w:val="en-US"/>
        </w:rPr>
        <w:t xml:space="preserve"> Coalition Champion" could be used to differentiate it from existing TR Champions at the local level. Further discussion and proposals were addressed by the TT-DMP.</w:t>
      </w:r>
    </w:p>
    <w:p w14:paraId="3450AF97" w14:textId="77777777" w:rsidR="0084305F" w:rsidRPr="0084305F" w:rsidRDefault="0084305F" w:rsidP="0084305F">
      <w:pPr>
        <w:numPr>
          <w:ilvl w:val="0"/>
          <w:numId w:val="141"/>
        </w:num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The Coalition Ambassador should not be confused with Tsunami Ready Focal Point (TRFP), which is the national </w:t>
      </w:r>
      <w:proofErr w:type="gramStart"/>
      <w:r w:rsidRPr="0084305F">
        <w:rPr>
          <w:rFonts w:ascii="Aptos" w:eastAsia="Aptos" w:hAnsi="Aptos" w:cs="Aptos"/>
          <w:snapToGrid/>
          <w:sz w:val="20"/>
          <w:szCs w:val="20"/>
          <w:lang w:val="en-US"/>
        </w:rPr>
        <w:t>contact</w:t>
      </w:r>
      <w:proofErr w:type="gramEnd"/>
      <w:r w:rsidRPr="0084305F">
        <w:rPr>
          <w:rFonts w:ascii="Aptos" w:eastAsia="Aptos" w:hAnsi="Aptos" w:cs="Aptos"/>
          <w:snapToGrid/>
          <w:sz w:val="20"/>
          <w:szCs w:val="20"/>
          <w:lang w:val="en-US"/>
        </w:rPr>
        <w:t xml:space="preserve"> for Tsunami Ready.   This currently exists only in the Indian Ocean (IO) region, </w:t>
      </w:r>
      <w:proofErr w:type="gramStart"/>
      <w:r w:rsidRPr="0084305F">
        <w:rPr>
          <w:rFonts w:ascii="Aptos" w:eastAsia="Aptos" w:hAnsi="Aptos" w:cs="Aptos"/>
          <w:snapToGrid/>
          <w:sz w:val="20"/>
          <w:szCs w:val="20"/>
          <w:lang w:val="en-US"/>
        </w:rPr>
        <w:t>but  is</w:t>
      </w:r>
      <w:proofErr w:type="gramEnd"/>
      <w:r w:rsidRPr="0084305F">
        <w:rPr>
          <w:rFonts w:ascii="Aptos" w:eastAsia="Aptos" w:hAnsi="Aptos" w:cs="Aptos"/>
          <w:snapToGrid/>
          <w:sz w:val="20"/>
          <w:szCs w:val="20"/>
          <w:lang w:val="en-US"/>
        </w:rPr>
        <w:t xml:space="preserve"> under discussion in </w:t>
      </w:r>
      <w:proofErr w:type="gramStart"/>
      <w:r w:rsidRPr="0084305F">
        <w:rPr>
          <w:rFonts w:ascii="Aptos" w:eastAsia="Aptos" w:hAnsi="Aptos" w:cs="Aptos"/>
          <w:snapToGrid/>
          <w:sz w:val="20"/>
          <w:szCs w:val="20"/>
          <w:lang w:val="en-US"/>
        </w:rPr>
        <w:t>NEAM .</w:t>
      </w:r>
      <w:proofErr w:type="gramEnd"/>
      <w:r w:rsidRPr="0084305F">
        <w:rPr>
          <w:rFonts w:ascii="Aptos" w:eastAsia="Aptos" w:hAnsi="Aptos" w:cs="Aptos"/>
          <w:snapToGrid/>
          <w:sz w:val="20"/>
          <w:szCs w:val="20"/>
          <w:lang w:val="en-US"/>
        </w:rPr>
        <w:t xml:space="preserve"> Further discussion and recommendation for TRFP by the TT DMP.</w:t>
      </w:r>
    </w:p>
    <w:p w14:paraId="166D0D79"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sz w:val="22"/>
          <w:szCs w:val="22"/>
          <w:lang w:val="en-US"/>
        </w:rPr>
      </w:pPr>
      <w:r w:rsidRPr="0084305F">
        <w:rPr>
          <w:rFonts w:ascii="Aptos" w:eastAsia="Aptos" w:hAnsi="Aptos" w:cs="Aptos"/>
          <w:b/>
          <w:snapToGrid/>
          <w:color w:val="0070C0"/>
          <w:sz w:val="22"/>
          <w:szCs w:val="22"/>
          <w:lang w:val="en-US"/>
        </w:rPr>
        <w:t xml:space="preserve">Recommendations to TOWS WG </w:t>
      </w:r>
      <w:proofErr w:type="gramStart"/>
      <w:r w:rsidRPr="0084305F">
        <w:rPr>
          <w:rFonts w:ascii="Aptos" w:eastAsia="Aptos" w:hAnsi="Aptos" w:cs="Aptos"/>
          <w:b/>
          <w:snapToGrid/>
          <w:color w:val="0070C0"/>
          <w:sz w:val="22"/>
          <w:szCs w:val="22"/>
          <w:lang w:val="en-US"/>
        </w:rPr>
        <w:t>[ As</w:t>
      </w:r>
      <w:proofErr w:type="gramEnd"/>
      <w:r w:rsidRPr="0084305F">
        <w:rPr>
          <w:rFonts w:ascii="Aptos" w:eastAsia="Aptos" w:hAnsi="Aptos" w:cs="Aptos"/>
          <w:b/>
          <w:snapToGrid/>
          <w:color w:val="0070C0"/>
          <w:sz w:val="22"/>
          <w:szCs w:val="22"/>
          <w:lang w:val="en-US"/>
        </w:rPr>
        <w:t xml:space="preserve"> per TT </w:t>
      </w:r>
      <w:proofErr w:type="gramStart"/>
      <w:r w:rsidRPr="0084305F">
        <w:rPr>
          <w:rFonts w:ascii="Aptos" w:eastAsia="Aptos" w:hAnsi="Aptos" w:cs="Aptos"/>
          <w:b/>
          <w:snapToGrid/>
          <w:color w:val="0070C0"/>
          <w:sz w:val="22"/>
          <w:szCs w:val="22"/>
          <w:lang w:val="en-US"/>
        </w:rPr>
        <w:t>DMP ]</w:t>
      </w:r>
      <w:proofErr w:type="gramEnd"/>
    </w:p>
    <w:p w14:paraId="70AA97B9" w14:textId="77777777" w:rsidR="0084305F" w:rsidRPr="0084305F" w:rsidRDefault="0084305F" w:rsidP="0084305F">
      <w:pPr>
        <w:tabs>
          <w:tab w:val="clear" w:pos="709"/>
        </w:tabs>
        <w:snapToGrid/>
        <w:spacing w:before="240" w:after="240" w:line="254" w:lineRule="auto"/>
        <w:rPr>
          <w:rFonts w:ascii="Arial" w:eastAsia="Arial" w:hAnsi="Arial" w:cs="Arial"/>
          <w:snapToGrid/>
          <w:sz w:val="20"/>
          <w:szCs w:val="20"/>
          <w:lang w:val="en-US"/>
        </w:rPr>
      </w:pPr>
      <w:r w:rsidRPr="0084305F">
        <w:rPr>
          <w:rFonts w:ascii="Arial" w:eastAsia="Arial" w:hAnsi="Arial" w:cs="Arial"/>
          <w:b/>
          <w:snapToGrid/>
          <w:sz w:val="20"/>
          <w:szCs w:val="20"/>
          <w:lang w:val="en-US"/>
        </w:rPr>
        <w:t xml:space="preserve">Notes </w:t>
      </w:r>
      <w:r w:rsidRPr="0084305F">
        <w:rPr>
          <w:rFonts w:ascii="Arial" w:eastAsia="Arial" w:hAnsi="Arial" w:cs="Arial"/>
          <w:snapToGrid/>
          <w:sz w:val="20"/>
          <w:szCs w:val="20"/>
          <w:lang w:val="en-US"/>
        </w:rPr>
        <w:t xml:space="preserve">that TOWS-WG-XVI (2023) requested the Tsunami Ready Coalition Chair to propose a governing structure for the Tsunami Ready Coalition and that TOWS WG approval is </w:t>
      </w:r>
      <w:proofErr w:type="gramStart"/>
      <w:r w:rsidRPr="0084305F">
        <w:rPr>
          <w:rFonts w:ascii="Arial" w:eastAsia="Arial" w:hAnsi="Arial" w:cs="Arial"/>
          <w:snapToGrid/>
          <w:sz w:val="20"/>
          <w:szCs w:val="20"/>
          <w:lang w:val="en-US"/>
        </w:rPr>
        <w:t>essential  for</w:t>
      </w:r>
      <w:proofErr w:type="gramEnd"/>
      <w:r w:rsidRPr="0084305F">
        <w:rPr>
          <w:rFonts w:ascii="Arial" w:eastAsia="Arial" w:hAnsi="Arial" w:cs="Arial"/>
          <w:snapToGrid/>
          <w:sz w:val="20"/>
          <w:szCs w:val="20"/>
          <w:lang w:val="en-US"/>
        </w:rPr>
        <w:t xml:space="preserve"> advancing the work of the Tsunami Ready Coalition.</w:t>
      </w:r>
    </w:p>
    <w:p w14:paraId="5B8B79F5" w14:textId="77777777" w:rsidR="0084305F" w:rsidRPr="0084305F" w:rsidRDefault="0084305F" w:rsidP="0084305F">
      <w:pPr>
        <w:tabs>
          <w:tab w:val="clear" w:pos="709"/>
        </w:tabs>
        <w:snapToGrid/>
        <w:spacing w:line="254" w:lineRule="auto"/>
        <w:rPr>
          <w:rFonts w:ascii="Arial" w:eastAsia="Arial" w:hAnsi="Arial" w:cs="Arial"/>
          <w:snapToGrid/>
          <w:sz w:val="20"/>
          <w:szCs w:val="20"/>
          <w:lang w:val="en-US"/>
        </w:rPr>
      </w:pPr>
      <w:r w:rsidRPr="0084305F">
        <w:rPr>
          <w:rFonts w:ascii="Arial" w:eastAsia="Arial" w:hAnsi="Arial" w:cs="Arial"/>
          <w:b/>
          <w:snapToGrid/>
          <w:sz w:val="20"/>
          <w:szCs w:val="20"/>
          <w:lang w:val="en-US"/>
        </w:rPr>
        <w:t xml:space="preserve">Also notes </w:t>
      </w:r>
      <w:proofErr w:type="gramStart"/>
      <w:r w:rsidRPr="0084305F">
        <w:rPr>
          <w:rFonts w:ascii="Arial" w:eastAsia="Arial" w:hAnsi="Arial" w:cs="Arial"/>
          <w:snapToGrid/>
          <w:sz w:val="20"/>
          <w:szCs w:val="20"/>
          <w:lang w:val="en-US"/>
        </w:rPr>
        <w:t>that  the</w:t>
      </w:r>
      <w:proofErr w:type="gramEnd"/>
      <w:r w:rsidRPr="0084305F">
        <w:rPr>
          <w:rFonts w:ascii="Arial" w:eastAsia="Arial" w:hAnsi="Arial" w:cs="Arial"/>
          <w:snapToGrid/>
          <w:sz w:val="20"/>
          <w:szCs w:val="20"/>
          <w:lang w:val="en-US"/>
        </w:rPr>
        <w:t xml:space="preserve"> Tsunami Ready Implementation Plan was reviewed by the Ocean Decade Scientific Committee (16-17 January 2025) and the TOWS-TT-DMP (21 February 2025</w:t>
      </w:r>
      <w:proofErr w:type="gramStart"/>
      <w:r w:rsidRPr="0084305F">
        <w:rPr>
          <w:rFonts w:ascii="Arial" w:eastAsia="Arial" w:hAnsi="Arial" w:cs="Arial"/>
          <w:snapToGrid/>
          <w:sz w:val="20"/>
          <w:szCs w:val="20"/>
          <w:lang w:val="en-US"/>
        </w:rPr>
        <w:t>), and</w:t>
      </w:r>
      <w:proofErr w:type="gramEnd"/>
      <w:r w:rsidRPr="0084305F">
        <w:rPr>
          <w:rFonts w:ascii="Arial" w:eastAsia="Arial" w:hAnsi="Arial" w:cs="Arial"/>
          <w:snapToGrid/>
          <w:sz w:val="20"/>
          <w:szCs w:val="20"/>
          <w:lang w:val="en-US"/>
        </w:rPr>
        <w:t xml:space="preserve"> is included as part of the Coalition Chair’s report to TOWS-WG-XVIII).</w:t>
      </w:r>
      <w:r w:rsidRPr="0084305F">
        <w:rPr>
          <w:rFonts w:ascii="Arial" w:eastAsia="Arial" w:hAnsi="Arial" w:cs="Arial"/>
          <w:snapToGrid/>
          <w:sz w:val="20"/>
          <w:szCs w:val="20"/>
          <w:lang w:val="en-US"/>
        </w:rPr>
        <w:br/>
      </w:r>
    </w:p>
    <w:p w14:paraId="10D29F9F" w14:textId="77777777" w:rsidR="0084305F" w:rsidRPr="0084305F" w:rsidRDefault="0084305F" w:rsidP="0084305F">
      <w:pPr>
        <w:tabs>
          <w:tab w:val="clear" w:pos="709"/>
        </w:tabs>
        <w:snapToGrid/>
        <w:spacing w:line="276" w:lineRule="auto"/>
        <w:rPr>
          <w:rFonts w:ascii="Arial" w:eastAsia="Arial" w:hAnsi="Arial" w:cs="Arial"/>
          <w:snapToGrid/>
          <w:sz w:val="20"/>
          <w:szCs w:val="20"/>
          <w:lang w:val="en-US"/>
        </w:rPr>
      </w:pPr>
      <w:r w:rsidRPr="0084305F">
        <w:rPr>
          <w:rFonts w:ascii="Arial" w:eastAsia="Arial" w:hAnsi="Arial" w:cs="Arial"/>
          <w:b/>
          <w:snapToGrid/>
          <w:sz w:val="20"/>
          <w:szCs w:val="20"/>
          <w:lang w:val="en-US"/>
        </w:rPr>
        <w:t xml:space="preserve">Having </w:t>
      </w:r>
      <w:proofErr w:type="gramStart"/>
      <w:r w:rsidRPr="0084305F">
        <w:rPr>
          <w:rFonts w:ascii="Arial" w:eastAsia="Arial" w:hAnsi="Arial" w:cs="Arial"/>
          <w:b/>
          <w:snapToGrid/>
          <w:sz w:val="20"/>
          <w:szCs w:val="20"/>
          <w:lang w:val="en-US"/>
        </w:rPr>
        <w:t xml:space="preserve">considered </w:t>
      </w:r>
      <w:r w:rsidRPr="0084305F">
        <w:rPr>
          <w:rFonts w:ascii="Arial" w:eastAsia="Arial" w:hAnsi="Arial" w:cs="Arial"/>
          <w:snapToGrid/>
          <w:sz w:val="20"/>
          <w:szCs w:val="20"/>
          <w:lang w:val="en-US"/>
        </w:rPr>
        <w:t xml:space="preserve"> the</w:t>
      </w:r>
      <w:proofErr w:type="gramEnd"/>
      <w:r w:rsidRPr="0084305F">
        <w:rPr>
          <w:rFonts w:ascii="Arial" w:eastAsia="Arial" w:hAnsi="Arial" w:cs="Arial"/>
          <w:snapToGrid/>
          <w:sz w:val="20"/>
          <w:szCs w:val="20"/>
          <w:lang w:val="en-US"/>
        </w:rPr>
        <w:t xml:space="preserve"> Tsunami Ready Coalition Implementation Plan, </w:t>
      </w:r>
    </w:p>
    <w:p w14:paraId="7B4254A6" w14:textId="77777777" w:rsidR="0084305F" w:rsidRPr="0084305F" w:rsidRDefault="0084305F" w:rsidP="0084305F">
      <w:pPr>
        <w:numPr>
          <w:ilvl w:val="0"/>
          <w:numId w:val="142"/>
        </w:numPr>
        <w:tabs>
          <w:tab w:val="clear" w:pos="709"/>
        </w:tabs>
        <w:snapToGrid/>
        <w:spacing w:after="160" w:line="276" w:lineRule="auto"/>
        <w:rPr>
          <w:rFonts w:ascii="Aptos" w:eastAsia="Aptos" w:hAnsi="Aptos" w:cs="Aptos"/>
          <w:snapToGrid/>
          <w:sz w:val="20"/>
          <w:szCs w:val="20"/>
          <w:lang w:val="en-US"/>
        </w:rPr>
      </w:pPr>
      <w:r w:rsidRPr="0084305F">
        <w:rPr>
          <w:rFonts w:eastAsia="Times New Roman"/>
          <w:b/>
          <w:snapToGrid/>
          <w:sz w:val="20"/>
          <w:szCs w:val="20"/>
          <w:lang w:val="en-US"/>
        </w:rPr>
        <w:t xml:space="preserve"> </w:t>
      </w:r>
      <w:r w:rsidRPr="0084305F">
        <w:rPr>
          <w:rFonts w:ascii="Arial" w:eastAsia="Arial" w:hAnsi="Arial" w:cs="Arial"/>
          <w:b/>
          <w:snapToGrid/>
          <w:sz w:val="20"/>
          <w:szCs w:val="20"/>
          <w:lang w:val="en-US"/>
        </w:rPr>
        <w:t>Approves</w:t>
      </w:r>
      <w:r w:rsidRPr="0084305F">
        <w:rPr>
          <w:rFonts w:ascii="Arial" w:eastAsia="Arial" w:hAnsi="Arial" w:cs="Arial"/>
          <w:snapToGrid/>
          <w:sz w:val="20"/>
          <w:szCs w:val="20"/>
          <w:lang w:val="en-US"/>
        </w:rPr>
        <w:t xml:space="preserve"> the Implementation Plan, including:</w:t>
      </w:r>
    </w:p>
    <w:p w14:paraId="3AB665DB" w14:textId="77777777" w:rsidR="0084305F" w:rsidRPr="0084305F" w:rsidRDefault="0084305F" w:rsidP="0084305F">
      <w:pPr>
        <w:numPr>
          <w:ilvl w:val="1"/>
          <w:numId w:val="142"/>
        </w:numPr>
        <w:tabs>
          <w:tab w:val="clear" w:pos="709"/>
        </w:tabs>
        <w:snapToGrid/>
        <w:spacing w:after="160" w:line="276" w:lineRule="auto"/>
        <w:rPr>
          <w:rFonts w:ascii="Arial" w:eastAsia="Arial" w:hAnsi="Arial" w:cs="Arial"/>
          <w:snapToGrid/>
          <w:sz w:val="20"/>
          <w:szCs w:val="20"/>
          <w:lang w:val="en-US"/>
        </w:rPr>
      </w:pPr>
      <w:r w:rsidRPr="0084305F">
        <w:rPr>
          <w:rFonts w:ascii="Arial" w:eastAsia="Arial" w:hAnsi="Arial" w:cs="Arial"/>
          <w:snapToGrid/>
          <w:sz w:val="20"/>
          <w:szCs w:val="20"/>
          <w:lang w:val="en-US"/>
        </w:rPr>
        <w:t>The Coalition mandate and terms of reference,</w:t>
      </w:r>
    </w:p>
    <w:p w14:paraId="026E5EA6" w14:textId="77777777" w:rsidR="0084305F" w:rsidRPr="0084305F" w:rsidRDefault="0084305F" w:rsidP="0084305F">
      <w:pPr>
        <w:numPr>
          <w:ilvl w:val="1"/>
          <w:numId w:val="142"/>
        </w:numPr>
        <w:tabs>
          <w:tab w:val="clear" w:pos="709"/>
        </w:tabs>
        <w:snapToGrid/>
        <w:spacing w:after="160" w:line="276" w:lineRule="auto"/>
        <w:rPr>
          <w:rFonts w:ascii="Arial" w:eastAsia="Arial" w:hAnsi="Arial" w:cs="Arial"/>
          <w:snapToGrid/>
          <w:sz w:val="20"/>
          <w:szCs w:val="20"/>
          <w:lang w:val="en-US"/>
        </w:rPr>
      </w:pPr>
      <w:r w:rsidRPr="0084305F">
        <w:rPr>
          <w:rFonts w:ascii="Arial" w:eastAsia="Arial" w:hAnsi="Arial" w:cs="Arial"/>
          <w:snapToGrid/>
          <w:sz w:val="20"/>
          <w:szCs w:val="20"/>
          <w:lang w:val="en-US"/>
        </w:rPr>
        <w:t>The Coalition structure, and</w:t>
      </w:r>
    </w:p>
    <w:p w14:paraId="5F31C2D8" w14:textId="77777777" w:rsidR="0084305F" w:rsidRPr="0084305F" w:rsidRDefault="0084305F" w:rsidP="0084305F">
      <w:pPr>
        <w:numPr>
          <w:ilvl w:val="1"/>
          <w:numId w:val="142"/>
        </w:numPr>
        <w:tabs>
          <w:tab w:val="clear" w:pos="709"/>
        </w:tabs>
        <w:snapToGrid/>
        <w:spacing w:after="160" w:line="300" w:lineRule="auto"/>
        <w:rPr>
          <w:rFonts w:ascii="Arial" w:eastAsia="Arial" w:hAnsi="Arial" w:cs="Arial"/>
          <w:snapToGrid/>
          <w:sz w:val="20"/>
          <w:szCs w:val="20"/>
          <w:lang w:val="en-US"/>
        </w:rPr>
      </w:pPr>
      <w:r w:rsidRPr="0084305F">
        <w:rPr>
          <w:rFonts w:ascii="Arial" w:eastAsia="Arial" w:hAnsi="Arial" w:cs="Arial"/>
          <w:snapToGrid/>
          <w:sz w:val="20"/>
          <w:szCs w:val="20"/>
          <w:lang w:val="en-US"/>
        </w:rPr>
        <w:t>The identified key Coalition Partners.</w:t>
      </w:r>
    </w:p>
    <w:p w14:paraId="130CCFAF" w14:textId="77777777" w:rsidR="0084305F" w:rsidRPr="0084305F" w:rsidRDefault="0084305F" w:rsidP="0084305F">
      <w:pPr>
        <w:numPr>
          <w:ilvl w:val="0"/>
          <w:numId w:val="155"/>
        </w:numPr>
        <w:tabs>
          <w:tab w:val="clear" w:pos="709"/>
        </w:tabs>
        <w:snapToGrid/>
        <w:spacing w:after="160" w:line="276" w:lineRule="auto"/>
        <w:ind w:left="810"/>
        <w:rPr>
          <w:rFonts w:ascii="Arial" w:eastAsia="Arial" w:hAnsi="Arial" w:cs="Arial"/>
          <w:snapToGrid/>
          <w:sz w:val="20"/>
          <w:szCs w:val="20"/>
          <w:highlight w:val="white"/>
          <w:lang w:val="en-US"/>
        </w:rPr>
      </w:pPr>
      <w:r w:rsidRPr="0084305F">
        <w:rPr>
          <w:rFonts w:ascii="Arial" w:eastAsia="Arial" w:hAnsi="Arial" w:cs="Arial"/>
          <w:b/>
          <w:snapToGrid/>
          <w:color w:val="222222"/>
          <w:sz w:val="20"/>
          <w:szCs w:val="20"/>
          <w:lang w:val="en-US"/>
        </w:rPr>
        <w:lastRenderedPageBreak/>
        <w:t>Notes</w:t>
      </w:r>
      <w:r w:rsidRPr="0084305F">
        <w:rPr>
          <w:rFonts w:ascii="Arial" w:eastAsia="Arial" w:hAnsi="Arial" w:cs="Arial"/>
          <w:snapToGrid/>
          <w:color w:val="222222"/>
          <w:sz w:val="20"/>
          <w:szCs w:val="20"/>
          <w:lang w:val="en-US"/>
        </w:rPr>
        <w:t xml:space="preserve"> </w:t>
      </w:r>
      <w:r w:rsidRPr="0084305F">
        <w:rPr>
          <w:rFonts w:ascii="Arial" w:eastAsia="Arial" w:hAnsi="Arial" w:cs="Arial"/>
          <w:snapToGrid/>
          <w:sz w:val="20"/>
          <w:szCs w:val="20"/>
          <w:lang w:val="en-US"/>
        </w:rPr>
        <w:t>that the Plan will remain a dynamic document to allow for updates to the Plan, with updates reflected in the Coalition’s reports to the TOWS-W</w:t>
      </w:r>
      <w:r w:rsidRPr="0084305F">
        <w:rPr>
          <w:rFonts w:ascii="Arial" w:eastAsia="Arial" w:hAnsi="Arial" w:cs="Arial"/>
          <w:snapToGrid/>
          <w:color w:val="222222"/>
          <w:sz w:val="20"/>
          <w:szCs w:val="20"/>
          <w:lang w:val="en-US"/>
        </w:rPr>
        <w:t>G</w:t>
      </w:r>
    </w:p>
    <w:p w14:paraId="6D8836AD" w14:textId="77777777" w:rsidR="0084305F" w:rsidRPr="0084305F" w:rsidRDefault="0084305F" w:rsidP="0084305F">
      <w:pPr>
        <w:numPr>
          <w:ilvl w:val="0"/>
          <w:numId w:val="155"/>
        </w:numPr>
        <w:tabs>
          <w:tab w:val="clear" w:pos="709"/>
        </w:tabs>
        <w:snapToGrid/>
        <w:spacing w:after="160" w:line="276" w:lineRule="auto"/>
        <w:ind w:left="810"/>
        <w:rPr>
          <w:rFonts w:ascii="Arial" w:eastAsia="Arial" w:hAnsi="Arial" w:cs="Arial"/>
          <w:snapToGrid/>
          <w:sz w:val="20"/>
          <w:szCs w:val="20"/>
          <w:highlight w:val="white"/>
          <w:lang w:val="en-US"/>
        </w:rPr>
      </w:pPr>
      <w:r w:rsidRPr="0084305F">
        <w:rPr>
          <w:rFonts w:ascii="Arial" w:eastAsia="Arial" w:hAnsi="Arial" w:cs="Arial"/>
          <w:b/>
          <w:snapToGrid/>
          <w:sz w:val="20"/>
          <w:szCs w:val="20"/>
          <w:lang w:val="en-US"/>
        </w:rPr>
        <w:t>Recommends</w:t>
      </w:r>
      <w:r w:rsidRPr="0084305F">
        <w:rPr>
          <w:rFonts w:ascii="Arial" w:eastAsia="Arial" w:hAnsi="Arial" w:cs="Arial"/>
          <w:snapToGrid/>
          <w:sz w:val="20"/>
          <w:szCs w:val="20"/>
          <w:lang w:val="en-US"/>
        </w:rPr>
        <w:t xml:space="preserve"> the Se</w:t>
      </w:r>
      <w:r w:rsidRPr="0084305F">
        <w:rPr>
          <w:rFonts w:ascii="Arial" w:eastAsia="Arial" w:hAnsi="Arial" w:cs="Arial"/>
          <w:snapToGrid/>
          <w:sz w:val="20"/>
          <w:szCs w:val="20"/>
          <w:highlight w:val="white"/>
          <w:lang w:val="en-US"/>
        </w:rPr>
        <w:t>cretariat to finalize in consultation with the Tsunami Ready Coalition Chair the Coalition Partners, 'Ambassadors' or similar namesake, and Coalition Co-Chair.</w:t>
      </w:r>
    </w:p>
    <w:p w14:paraId="1DA67D57" w14:textId="77777777" w:rsidR="0084305F" w:rsidRPr="0084305F" w:rsidRDefault="0084305F" w:rsidP="0084305F">
      <w:pPr>
        <w:numPr>
          <w:ilvl w:val="0"/>
          <w:numId w:val="155"/>
        </w:numPr>
        <w:tabs>
          <w:tab w:val="clear" w:pos="709"/>
        </w:tabs>
        <w:snapToGrid/>
        <w:spacing w:after="240" w:line="276" w:lineRule="auto"/>
        <w:ind w:left="810"/>
        <w:rPr>
          <w:rFonts w:ascii="Arial" w:eastAsia="Arial" w:hAnsi="Arial" w:cs="Arial"/>
          <w:snapToGrid/>
          <w:sz w:val="20"/>
          <w:szCs w:val="20"/>
          <w:lang w:val="en-US"/>
        </w:rPr>
      </w:pPr>
      <w:proofErr w:type="gramStart"/>
      <w:r w:rsidRPr="0084305F">
        <w:rPr>
          <w:rFonts w:ascii="Arial" w:eastAsia="Arial" w:hAnsi="Arial" w:cs="Arial"/>
          <w:b/>
          <w:snapToGrid/>
          <w:sz w:val="20"/>
          <w:szCs w:val="20"/>
          <w:lang w:val="en-US"/>
        </w:rPr>
        <w:t xml:space="preserve">Recommends  </w:t>
      </w:r>
      <w:r w:rsidRPr="0084305F">
        <w:rPr>
          <w:rFonts w:ascii="Arial" w:eastAsia="Arial" w:hAnsi="Arial" w:cs="Arial"/>
          <w:snapToGrid/>
          <w:sz w:val="20"/>
          <w:szCs w:val="20"/>
          <w:lang w:val="en-US"/>
        </w:rPr>
        <w:t>the</w:t>
      </w:r>
      <w:proofErr w:type="gramEnd"/>
      <w:r w:rsidRPr="0084305F">
        <w:rPr>
          <w:rFonts w:ascii="Arial" w:eastAsia="Arial" w:hAnsi="Arial" w:cs="Arial"/>
          <w:snapToGrid/>
          <w:sz w:val="20"/>
          <w:szCs w:val="20"/>
          <w:lang w:val="en-US"/>
        </w:rPr>
        <w:t xml:space="preserve"> IOC Executive Secretary </w:t>
      </w:r>
      <w:proofErr w:type="gramStart"/>
      <w:r w:rsidRPr="0084305F">
        <w:rPr>
          <w:rFonts w:ascii="Arial" w:eastAsia="Arial" w:hAnsi="Arial" w:cs="Arial"/>
          <w:snapToGrid/>
          <w:sz w:val="20"/>
          <w:szCs w:val="20"/>
          <w:lang w:val="en-US"/>
        </w:rPr>
        <w:t>to extend</w:t>
      </w:r>
      <w:proofErr w:type="gramEnd"/>
      <w:r w:rsidRPr="0084305F">
        <w:rPr>
          <w:rFonts w:ascii="Arial" w:eastAsia="Arial" w:hAnsi="Arial" w:cs="Arial"/>
          <w:snapToGrid/>
          <w:sz w:val="20"/>
          <w:szCs w:val="20"/>
          <w:lang w:val="en-US"/>
        </w:rPr>
        <w:t xml:space="preserve"> invitations to the proposed Coalition Partners and Ambassadors, and a Coalition Co-chair.</w:t>
      </w:r>
    </w:p>
    <w:p w14:paraId="17233B10" w14:textId="77777777" w:rsidR="0084305F" w:rsidRPr="0084305F" w:rsidRDefault="0084305F" w:rsidP="0084305F">
      <w:pPr>
        <w:numPr>
          <w:ilvl w:val="0"/>
          <w:numId w:val="155"/>
        </w:numPr>
        <w:tabs>
          <w:tab w:val="clear" w:pos="709"/>
        </w:tabs>
        <w:snapToGrid/>
        <w:spacing w:before="240" w:after="240" w:line="276" w:lineRule="auto"/>
        <w:rPr>
          <w:rFonts w:ascii="Arial" w:eastAsia="Arial" w:hAnsi="Arial" w:cs="Arial"/>
          <w:snapToGrid/>
          <w:sz w:val="20"/>
          <w:szCs w:val="20"/>
          <w:lang w:val="en-US"/>
        </w:rPr>
      </w:pPr>
      <w:r w:rsidRPr="0084305F">
        <w:rPr>
          <w:rFonts w:eastAsia="Times New Roman"/>
          <w:snapToGrid/>
          <w:sz w:val="20"/>
          <w:szCs w:val="20"/>
          <w:lang w:val="en-US"/>
        </w:rPr>
        <w:t xml:space="preserve"> </w:t>
      </w:r>
      <w:r w:rsidRPr="0084305F">
        <w:rPr>
          <w:rFonts w:ascii="Arial" w:eastAsia="Arial" w:hAnsi="Arial" w:cs="Arial"/>
          <w:b/>
          <w:snapToGrid/>
          <w:sz w:val="20"/>
          <w:szCs w:val="20"/>
          <w:lang w:val="en-US"/>
        </w:rPr>
        <w:t>Requests</w:t>
      </w:r>
      <w:r w:rsidRPr="0084305F">
        <w:rPr>
          <w:rFonts w:ascii="Arial" w:eastAsia="Arial" w:hAnsi="Arial" w:cs="Arial"/>
          <w:snapToGrid/>
          <w:sz w:val="20"/>
          <w:szCs w:val="20"/>
          <w:lang w:val="en-US"/>
        </w:rPr>
        <w:t xml:space="preserve"> ICGs to prioritize regional Tsunami Ready workshops or summits in 2025 and conduct further workshops or summits before 2030.</w:t>
      </w:r>
    </w:p>
    <w:p w14:paraId="3D9DA117" w14:textId="77777777" w:rsidR="0084305F" w:rsidRPr="0084305F" w:rsidRDefault="0084305F" w:rsidP="0084305F">
      <w:pPr>
        <w:numPr>
          <w:ilvl w:val="0"/>
          <w:numId w:val="155"/>
        </w:numPr>
        <w:tabs>
          <w:tab w:val="clear" w:pos="709"/>
        </w:tabs>
        <w:snapToGrid/>
        <w:spacing w:before="240" w:after="240" w:line="276" w:lineRule="auto"/>
        <w:rPr>
          <w:rFonts w:ascii="Arial" w:eastAsia="Arial" w:hAnsi="Arial" w:cs="Arial"/>
          <w:snapToGrid/>
          <w:sz w:val="20"/>
          <w:szCs w:val="20"/>
          <w:lang w:val="en-US"/>
        </w:rPr>
      </w:pPr>
      <w:r w:rsidRPr="0084305F">
        <w:rPr>
          <w:rFonts w:ascii="Arial" w:eastAsia="Arial" w:hAnsi="Arial" w:cs="Arial"/>
          <w:b/>
          <w:snapToGrid/>
          <w:sz w:val="20"/>
          <w:szCs w:val="20"/>
          <w:lang w:val="en-US"/>
        </w:rPr>
        <w:t>Notes</w:t>
      </w:r>
      <w:r w:rsidRPr="0084305F">
        <w:rPr>
          <w:rFonts w:ascii="Arial" w:eastAsia="Arial" w:hAnsi="Arial" w:cs="Arial"/>
          <w:snapToGrid/>
          <w:sz w:val="20"/>
          <w:szCs w:val="20"/>
          <w:lang w:val="en-US"/>
        </w:rPr>
        <w:t xml:space="preserve"> resource and capacity constraints that will stymie progress of the TRC Coalition Implementation Plan, requests the IOC Executive Secretary to urgently address.</w:t>
      </w:r>
    </w:p>
    <w:p w14:paraId="6339C5BF"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snapToGrid/>
          <w:color w:val="0F4761"/>
          <w:lang w:val="en-US"/>
        </w:rPr>
      </w:pPr>
      <w:bookmarkStart w:id="246" w:name="_17dp8vu" w:colFirst="0" w:colLast="0"/>
      <w:bookmarkStart w:id="247" w:name="_Toc195258139"/>
      <w:bookmarkEnd w:id="246"/>
      <w:r w:rsidRPr="0084305F">
        <w:rPr>
          <w:rFonts w:ascii="Aptos" w:eastAsia="Aptos" w:hAnsi="Aptos" w:cs="Aptos"/>
          <w:snapToGrid/>
          <w:color w:val="0F4761"/>
          <w:lang w:val="en-US"/>
        </w:rPr>
        <w:t>4.6 Online Coordination Webinar</w:t>
      </w:r>
      <w:bookmarkEnd w:id="247"/>
    </w:p>
    <w:p w14:paraId="3A641AC9"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p>
    <w:p w14:paraId="2D64682A"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Mr Bernardo Aliaga provided a presentation on the proposal for the ODTP Webinars and Conference for 2025. He outlined a comprehensive plan, with key milestones including the World Tsunami Awareness Day (WTAD) events, regional engagements, and high-level lectures. The 5</w:t>
      </w:r>
      <w:r w:rsidRPr="0084305F">
        <w:rPr>
          <w:rFonts w:ascii="Aptos" w:eastAsia="Aptos" w:hAnsi="Aptos" w:cs="Aptos"/>
          <w:snapToGrid/>
          <w:sz w:val="20"/>
          <w:szCs w:val="20"/>
          <w:vertAlign w:val="superscript"/>
          <w:lang w:val="en-US"/>
        </w:rPr>
        <w:t>th</w:t>
      </w:r>
      <w:r w:rsidRPr="0084305F">
        <w:rPr>
          <w:rFonts w:ascii="Aptos" w:eastAsia="Aptos" w:hAnsi="Aptos" w:cs="Aptos"/>
          <w:snapToGrid/>
          <w:sz w:val="20"/>
          <w:szCs w:val="20"/>
          <w:lang w:val="en-US"/>
        </w:rPr>
        <w:t xml:space="preserve"> ODTP Steering Committee refined an initial proposal and shaped the 2025–2027 plan accordingly and suggested three conferences in this period.</w:t>
      </w:r>
    </w:p>
    <w:p w14:paraId="7FFCD03F" w14:textId="77777777" w:rsidR="0084305F" w:rsidRPr="0084305F" w:rsidRDefault="0084305F" w:rsidP="0084305F">
      <w:pPr>
        <w:numPr>
          <w:ilvl w:val="0"/>
          <w:numId w:val="147"/>
        </w:numPr>
        <w:pBdr>
          <w:top w:val="nil"/>
          <w:left w:val="nil"/>
          <w:bottom w:val="nil"/>
          <w:right w:val="nil"/>
          <w:between w:val="nil"/>
        </w:pBdr>
        <w:tabs>
          <w:tab w:val="clear" w:pos="709"/>
        </w:tabs>
        <w:snapToGrid/>
        <w:spacing w:after="160" w:line="259" w:lineRule="auto"/>
        <w:rPr>
          <w:rFonts w:ascii="Aptos" w:eastAsia="Aptos" w:hAnsi="Aptos" w:cs="Aptos"/>
          <w:snapToGrid/>
          <w:color w:val="000000"/>
          <w:sz w:val="20"/>
          <w:szCs w:val="20"/>
          <w:lang w:val="en-US"/>
        </w:rPr>
      </w:pPr>
      <w:r w:rsidRPr="0084305F">
        <w:rPr>
          <w:rFonts w:ascii="Aptos" w:eastAsia="Aptos" w:hAnsi="Aptos" w:cs="Aptos"/>
          <w:b/>
          <w:snapToGrid/>
          <w:color w:val="000000"/>
          <w:sz w:val="20"/>
          <w:szCs w:val="20"/>
          <w:lang w:val="en-US"/>
        </w:rPr>
        <w:t>June 2025:</w:t>
      </w:r>
      <w:r w:rsidRPr="0084305F">
        <w:rPr>
          <w:rFonts w:ascii="Aptos" w:eastAsia="Aptos" w:hAnsi="Aptos" w:cs="Aptos"/>
          <w:snapToGrid/>
          <w:color w:val="000000"/>
          <w:sz w:val="20"/>
          <w:szCs w:val="20"/>
          <w:lang w:val="en-US"/>
        </w:rPr>
        <w:t xml:space="preserve"> Webinar on ODTO High Level Objective 11 at the IOC Assembly, ICG reporting, </w:t>
      </w:r>
    </w:p>
    <w:p w14:paraId="20CDFB8C" w14:textId="77777777" w:rsidR="0084305F" w:rsidRPr="0084305F" w:rsidRDefault="0084305F" w:rsidP="0084305F">
      <w:pPr>
        <w:numPr>
          <w:ilvl w:val="0"/>
          <w:numId w:val="147"/>
        </w:numPr>
        <w:pBdr>
          <w:top w:val="nil"/>
          <w:left w:val="nil"/>
          <w:bottom w:val="nil"/>
          <w:right w:val="nil"/>
          <w:between w:val="nil"/>
        </w:pBdr>
        <w:tabs>
          <w:tab w:val="clear" w:pos="709"/>
        </w:tabs>
        <w:snapToGrid/>
        <w:spacing w:after="160" w:line="259" w:lineRule="auto"/>
        <w:rPr>
          <w:rFonts w:ascii="Aptos" w:eastAsia="Aptos" w:hAnsi="Aptos" w:cs="Aptos"/>
          <w:snapToGrid/>
          <w:color w:val="000000"/>
          <w:sz w:val="20"/>
          <w:szCs w:val="20"/>
          <w:lang w:val="en-US"/>
        </w:rPr>
      </w:pPr>
      <w:r w:rsidRPr="0084305F">
        <w:rPr>
          <w:rFonts w:ascii="Aptos" w:eastAsia="Aptos" w:hAnsi="Aptos" w:cs="Aptos"/>
          <w:b/>
          <w:snapToGrid/>
          <w:color w:val="000000"/>
          <w:sz w:val="20"/>
          <w:szCs w:val="20"/>
          <w:lang w:val="en-US"/>
        </w:rPr>
        <w:t>Between July-November</w:t>
      </w:r>
      <w:r w:rsidRPr="0084305F">
        <w:rPr>
          <w:rFonts w:ascii="Aptos" w:eastAsia="Aptos" w:hAnsi="Aptos" w:cs="Aptos"/>
          <w:snapToGrid/>
          <w:color w:val="000000"/>
          <w:sz w:val="20"/>
          <w:szCs w:val="20"/>
          <w:lang w:val="en-US"/>
        </w:rPr>
        <w:t xml:space="preserve">: Webinar </w:t>
      </w:r>
      <w:proofErr w:type="spellStart"/>
      <w:proofErr w:type="gramStart"/>
      <w:r w:rsidRPr="0084305F">
        <w:rPr>
          <w:rFonts w:ascii="Aptos" w:eastAsia="Aptos" w:hAnsi="Aptos" w:cs="Aptos"/>
          <w:snapToGrid/>
          <w:color w:val="000000"/>
          <w:sz w:val="20"/>
          <w:szCs w:val="20"/>
          <w:lang w:val="en-US"/>
        </w:rPr>
        <w:t>onODTP</w:t>
      </w:r>
      <w:proofErr w:type="spellEnd"/>
      <w:r w:rsidRPr="0084305F">
        <w:rPr>
          <w:rFonts w:ascii="Aptos" w:eastAsia="Aptos" w:hAnsi="Aptos" w:cs="Aptos"/>
          <w:snapToGrid/>
          <w:color w:val="000000"/>
          <w:sz w:val="20"/>
          <w:szCs w:val="20"/>
          <w:lang w:val="en-US"/>
        </w:rPr>
        <w:t xml:space="preserve">  H</w:t>
      </w:r>
      <w:r w:rsidRPr="0084305F">
        <w:rPr>
          <w:rFonts w:ascii="Aptos" w:eastAsia="Aptos" w:hAnsi="Aptos" w:cs="Aptos"/>
          <w:snapToGrid/>
          <w:sz w:val="20"/>
          <w:szCs w:val="20"/>
          <w:lang w:val="en-US"/>
        </w:rPr>
        <w:t>igh</w:t>
      </w:r>
      <w:proofErr w:type="gramEnd"/>
      <w:r w:rsidRPr="0084305F">
        <w:rPr>
          <w:rFonts w:ascii="Aptos" w:eastAsia="Aptos" w:hAnsi="Aptos" w:cs="Aptos"/>
          <w:snapToGrid/>
          <w:sz w:val="20"/>
          <w:szCs w:val="20"/>
          <w:lang w:val="en-US"/>
        </w:rPr>
        <w:t xml:space="preserve"> Level </w:t>
      </w:r>
      <w:proofErr w:type="gramStart"/>
      <w:r w:rsidRPr="0084305F">
        <w:rPr>
          <w:rFonts w:ascii="Aptos" w:eastAsia="Aptos" w:hAnsi="Aptos" w:cs="Aptos"/>
          <w:snapToGrid/>
          <w:sz w:val="20"/>
          <w:szCs w:val="20"/>
          <w:lang w:val="en-US"/>
        </w:rPr>
        <w:t xml:space="preserve">Objective </w:t>
      </w:r>
      <w:r w:rsidRPr="0084305F">
        <w:rPr>
          <w:rFonts w:ascii="Aptos" w:eastAsia="Aptos" w:hAnsi="Aptos" w:cs="Aptos"/>
          <w:snapToGrid/>
          <w:color w:val="000000"/>
          <w:sz w:val="20"/>
          <w:szCs w:val="20"/>
          <w:lang w:val="en-US"/>
        </w:rPr>
        <w:t xml:space="preserve"> 2</w:t>
      </w:r>
      <w:proofErr w:type="gramEnd"/>
    </w:p>
    <w:p w14:paraId="1937EAAD" w14:textId="77777777" w:rsidR="0084305F" w:rsidRPr="0084305F" w:rsidRDefault="0084305F" w:rsidP="0084305F">
      <w:pPr>
        <w:numPr>
          <w:ilvl w:val="0"/>
          <w:numId w:val="147"/>
        </w:numPr>
        <w:pBdr>
          <w:top w:val="nil"/>
          <w:left w:val="nil"/>
          <w:bottom w:val="nil"/>
          <w:right w:val="nil"/>
          <w:between w:val="nil"/>
        </w:pBdr>
        <w:tabs>
          <w:tab w:val="clear" w:pos="709"/>
        </w:tabs>
        <w:snapToGrid/>
        <w:spacing w:after="160" w:line="259" w:lineRule="auto"/>
        <w:rPr>
          <w:rFonts w:ascii="Aptos" w:eastAsia="Aptos" w:hAnsi="Aptos" w:cs="Aptos"/>
          <w:snapToGrid/>
          <w:color w:val="000000"/>
          <w:sz w:val="20"/>
          <w:szCs w:val="20"/>
          <w:lang w:val="en-US"/>
        </w:rPr>
      </w:pPr>
      <w:r w:rsidRPr="0084305F">
        <w:rPr>
          <w:rFonts w:ascii="Aptos" w:eastAsia="Aptos" w:hAnsi="Aptos" w:cs="Aptos"/>
          <w:b/>
          <w:snapToGrid/>
          <w:color w:val="000000"/>
          <w:sz w:val="20"/>
          <w:szCs w:val="20"/>
          <w:lang w:val="en-US"/>
        </w:rPr>
        <w:t>November 10–11, 2025</w:t>
      </w:r>
      <w:r w:rsidRPr="0084305F">
        <w:rPr>
          <w:rFonts w:ascii="Aptos" w:eastAsia="Aptos" w:hAnsi="Aptos" w:cs="Aptos"/>
          <w:snapToGrid/>
          <w:color w:val="000000"/>
          <w:sz w:val="20"/>
          <w:szCs w:val="20"/>
          <w:lang w:val="en-US"/>
        </w:rPr>
        <w:t xml:space="preserve">: First ODTP Conference in Hyderabad, alongside IUGG-JTC (Nov 12–14, 2025) to </w:t>
      </w:r>
      <w:r w:rsidRPr="0084305F">
        <w:rPr>
          <w:rFonts w:ascii="Aptos" w:eastAsia="Aptos" w:hAnsi="Aptos" w:cs="Aptos"/>
          <w:snapToGrid/>
          <w:sz w:val="20"/>
          <w:szCs w:val="20"/>
          <w:lang w:val="en-US"/>
        </w:rPr>
        <w:t>be hosted</w:t>
      </w:r>
      <w:r w:rsidRPr="0084305F">
        <w:rPr>
          <w:rFonts w:ascii="Aptos" w:eastAsia="Aptos" w:hAnsi="Aptos" w:cs="Aptos"/>
          <w:snapToGrid/>
          <w:color w:val="000000"/>
          <w:sz w:val="20"/>
          <w:szCs w:val="20"/>
          <w:lang w:val="en-US"/>
        </w:rPr>
        <w:t xml:space="preserve"> by INCOIS focusing on both ODTP High Level </w:t>
      </w:r>
      <w:r w:rsidRPr="0084305F">
        <w:rPr>
          <w:rFonts w:ascii="Aptos" w:eastAsia="Aptos" w:hAnsi="Aptos" w:cs="Aptos"/>
          <w:snapToGrid/>
          <w:sz w:val="20"/>
          <w:szCs w:val="20"/>
          <w:lang w:val="en-US"/>
        </w:rPr>
        <w:t>Objectives.</w:t>
      </w:r>
      <w:r w:rsidRPr="0084305F">
        <w:rPr>
          <w:rFonts w:ascii="Aptos" w:eastAsia="Aptos" w:hAnsi="Aptos" w:cs="Aptos"/>
          <w:snapToGrid/>
          <w:color w:val="000000"/>
          <w:sz w:val="20"/>
          <w:szCs w:val="20"/>
          <w:lang w:val="en-US"/>
        </w:rPr>
        <w:t xml:space="preserve"> </w:t>
      </w:r>
    </w:p>
    <w:p w14:paraId="1132A6E6" w14:textId="77777777" w:rsidR="0084305F" w:rsidRPr="0084305F" w:rsidRDefault="0084305F" w:rsidP="0084305F">
      <w:p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The webinar on the ODTP High Level Objective 2is not defined yet. The meeting noted that the webinars will be opened but subject to some management of participants and the first ODTP agenda and </w:t>
      </w:r>
      <w:proofErr w:type="spellStart"/>
      <w:r w:rsidRPr="0084305F">
        <w:rPr>
          <w:rFonts w:ascii="Aptos" w:eastAsia="Aptos" w:hAnsi="Aptos" w:cs="Aptos"/>
          <w:snapToGrid/>
          <w:sz w:val="20"/>
          <w:szCs w:val="20"/>
          <w:lang w:val="en-US"/>
        </w:rPr>
        <w:t>programme</w:t>
      </w:r>
      <w:proofErr w:type="spellEnd"/>
      <w:r w:rsidRPr="0084305F">
        <w:rPr>
          <w:rFonts w:ascii="Aptos" w:eastAsia="Aptos" w:hAnsi="Aptos" w:cs="Aptos"/>
          <w:snapToGrid/>
          <w:sz w:val="20"/>
          <w:szCs w:val="20"/>
          <w:lang w:val="en-US"/>
        </w:rPr>
        <w:t xml:space="preserve"> is still being refined. </w:t>
      </w:r>
    </w:p>
    <w:p w14:paraId="5F3973EF" w14:textId="77777777" w:rsidR="0084305F" w:rsidRPr="0084305F" w:rsidRDefault="0084305F" w:rsidP="0084305F">
      <w:pPr>
        <w:tabs>
          <w:tab w:val="clear" w:pos="709"/>
        </w:tabs>
        <w:snapToGrid/>
        <w:spacing w:after="160" w:line="259" w:lineRule="auto"/>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3A21825F" w14:textId="77777777" w:rsidR="0084305F" w:rsidRPr="0084305F" w:rsidRDefault="0084305F" w:rsidP="0084305F">
      <w:p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Notes </w:t>
      </w:r>
      <w:r w:rsidRPr="0084305F">
        <w:rPr>
          <w:rFonts w:ascii="Aptos" w:eastAsia="Aptos" w:hAnsi="Aptos" w:cs="Aptos"/>
          <w:snapToGrid/>
          <w:sz w:val="20"/>
          <w:szCs w:val="20"/>
          <w:lang w:val="en-US"/>
        </w:rPr>
        <w:t>the proposal for the ODTP Webinars on each of the high-level objectives of the ODTP and the first ODTP Conference for 2025 in Hyderabad, alongside IUGG-JTC (Nov 12–14, 2025) possibly hosted by INCOIS.</w:t>
      </w:r>
    </w:p>
    <w:p w14:paraId="32935B97" w14:textId="77777777" w:rsidR="0084305F" w:rsidRPr="0084305F" w:rsidRDefault="0084305F" w:rsidP="0084305F">
      <w:pP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b/>
          <w:snapToGrid/>
          <w:sz w:val="20"/>
          <w:szCs w:val="20"/>
          <w:lang w:val="en-US"/>
        </w:rPr>
        <w:t>Agrees</w:t>
      </w:r>
      <w:r w:rsidRPr="0084305F">
        <w:rPr>
          <w:rFonts w:ascii="Aptos" w:eastAsia="Aptos" w:hAnsi="Aptos" w:cs="Aptos"/>
          <w:snapToGrid/>
          <w:sz w:val="20"/>
          <w:szCs w:val="20"/>
          <w:lang w:val="en-US"/>
        </w:rPr>
        <w:t xml:space="preserve"> to make connections with other relevant webinars (volcano among others).</w:t>
      </w:r>
    </w:p>
    <w:p w14:paraId="5A2D8AF8" w14:textId="77777777" w:rsidR="0084305F" w:rsidRPr="0084305F" w:rsidRDefault="0084305F" w:rsidP="0084305F">
      <w:pPr>
        <w:tabs>
          <w:tab w:val="clear" w:pos="709"/>
        </w:tabs>
        <w:snapToGrid/>
        <w:spacing w:after="160" w:line="259" w:lineRule="auto"/>
        <w:rPr>
          <w:rFonts w:ascii="Aptos" w:eastAsia="Aptos" w:hAnsi="Aptos" w:cs="Aptos"/>
          <w:snapToGrid/>
          <w:sz w:val="22"/>
          <w:szCs w:val="22"/>
          <w:lang w:val="en-US"/>
        </w:rPr>
      </w:pPr>
      <w:r w:rsidRPr="0084305F">
        <w:rPr>
          <w:rFonts w:ascii="Aptos" w:eastAsia="Aptos" w:hAnsi="Aptos" w:cs="Aptos"/>
          <w:snapToGrid/>
          <w:sz w:val="20"/>
          <w:szCs w:val="20"/>
          <w:lang w:val="en-US"/>
        </w:rPr>
        <w:t xml:space="preserve"> </w:t>
      </w:r>
    </w:p>
    <w:p w14:paraId="20392124"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snapToGrid/>
          <w:color w:val="0F4761"/>
          <w:lang w:val="en-US"/>
        </w:rPr>
      </w:pPr>
      <w:bookmarkStart w:id="248" w:name="_3rdcrjn" w:colFirst="0" w:colLast="0"/>
      <w:bookmarkStart w:id="249" w:name="_Toc195258140"/>
      <w:bookmarkEnd w:id="248"/>
      <w:r w:rsidRPr="0084305F">
        <w:rPr>
          <w:rFonts w:ascii="Aptos" w:eastAsia="Aptos" w:hAnsi="Aptos" w:cs="Aptos"/>
          <w:snapToGrid/>
          <w:color w:val="0F4761"/>
          <w:lang w:val="en-US"/>
        </w:rPr>
        <w:t>4.7 Roles for TT TWO and TT DMP</w:t>
      </w:r>
      <w:bookmarkEnd w:id="249"/>
    </w:p>
    <w:p w14:paraId="4AB91BC6"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The meeting discussed </w:t>
      </w:r>
      <w:proofErr w:type="gramStart"/>
      <w:r w:rsidRPr="0084305F">
        <w:rPr>
          <w:rFonts w:ascii="Aptos" w:eastAsia="Aptos" w:hAnsi="Aptos" w:cs="Aptos"/>
          <w:snapToGrid/>
          <w:sz w:val="20"/>
          <w:szCs w:val="20"/>
          <w:lang w:val="en-US"/>
        </w:rPr>
        <w:t>new</w:t>
      </w:r>
      <w:proofErr w:type="gramEnd"/>
      <w:r w:rsidRPr="0084305F">
        <w:rPr>
          <w:rFonts w:ascii="Aptos" w:eastAsia="Aptos" w:hAnsi="Aptos" w:cs="Aptos"/>
          <w:snapToGrid/>
          <w:sz w:val="20"/>
          <w:szCs w:val="20"/>
          <w:lang w:val="en-US"/>
        </w:rPr>
        <w:t xml:space="preserve"> roles of the two task teams in relation to </w:t>
      </w:r>
      <w:proofErr w:type="gramStart"/>
      <w:r w:rsidRPr="0084305F">
        <w:rPr>
          <w:rFonts w:ascii="Aptos" w:eastAsia="Aptos" w:hAnsi="Aptos" w:cs="Aptos"/>
          <w:snapToGrid/>
          <w:sz w:val="20"/>
          <w:szCs w:val="20"/>
          <w:lang w:val="en-US"/>
        </w:rPr>
        <w:t>the ODTP</w:t>
      </w:r>
      <w:proofErr w:type="gramEnd"/>
      <w:r w:rsidRPr="0084305F">
        <w:rPr>
          <w:rFonts w:ascii="Aptos" w:eastAsia="Aptos" w:hAnsi="Aptos" w:cs="Aptos"/>
          <w:snapToGrid/>
          <w:sz w:val="20"/>
          <w:szCs w:val="20"/>
          <w:lang w:val="en-US"/>
        </w:rPr>
        <w:t xml:space="preserve">. It was noted that the Technical Secretary of TT TWO and TT DMP are already requested to report to the ODTP-SC. The meeting noted that the TT DMP is revising their </w:t>
      </w:r>
      <w:proofErr w:type="spellStart"/>
      <w:r w:rsidRPr="0084305F">
        <w:rPr>
          <w:rFonts w:ascii="Aptos" w:eastAsia="Aptos" w:hAnsi="Aptos" w:cs="Aptos"/>
          <w:snapToGrid/>
          <w:sz w:val="20"/>
          <w:szCs w:val="20"/>
          <w:lang w:val="en-US"/>
        </w:rPr>
        <w:t>ToR</w:t>
      </w:r>
      <w:proofErr w:type="spellEnd"/>
      <w:r w:rsidRPr="0084305F">
        <w:rPr>
          <w:rFonts w:ascii="Aptos" w:eastAsia="Aptos" w:hAnsi="Aptos" w:cs="Aptos"/>
          <w:snapToGrid/>
          <w:sz w:val="20"/>
          <w:szCs w:val="20"/>
          <w:lang w:val="en-US"/>
        </w:rPr>
        <w:t xml:space="preserve">. The Joint Task Team agreed to revise respective </w:t>
      </w:r>
      <w:proofErr w:type="spellStart"/>
      <w:r w:rsidRPr="0084305F">
        <w:rPr>
          <w:rFonts w:ascii="Aptos" w:eastAsia="Aptos" w:hAnsi="Aptos" w:cs="Aptos"/>
          <w:snapToGrid/>
          <w:sz w:val="20"/>
          <w:szCs w:val="20"/>
          <w:lang w:val="en-US"/>
        </w:rPr>
        <w:t>ToRs</w:t>
      </w:r>
      <w:proofErr w:type="spellEnd"/>
      <w:r w:rsidRPr="0084305F">
        <w:rPr>
          <w:rFonts w:ascii="Aptos" w:eastAsia="Aptos" w:hAnsi="Aptos" w:cs="Aptos"/>
          <w:snapToGrid/>
          <w:sz w:val="20"/>
          <w:szCs w:val="20"/>
          <w:lang w:val="en-US"/>
        </w:rPr>
        <w:t xml:space="preserve"> to maintain consistency. </w:t>
      </w:r>
    </w:p>
    <w:p w14:paraId="3A6B4F86"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b/>
          <w:snapToGrid/>
          <w:color w:val="0070C0"/>
          <w:sz w:val="20"/>
          <w:szCs w:val="20"/>
          <w:lang w:val="en-US"/>
        </w:rPr>
        <w:t>Recommendation to TOWS Joint Task Teams</w:t>
      </w:r>
      <w:r w:rsidRPr="0084305F">
        <w:rPr>
          <w:rFonts w:ascii="Aptos" w:eastAsia="Aptos" w:hAnsi="Aptos" w:cs="Aptos"/>
          <w:snapToGrid/>
          <w:sz w:val="20"/>
          <w:szCs w:val="20"/>
          <w:lang w:val="en-US"/>
        </w:rPr>
        <w:t xml:space="preserve"> </w:t>
      </w:r>
    </w:p>
    <w:p w14:paraId="41D6A44B"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Recommends</w:t>
      </w:r>
      <w:r w:rsidRPr="0084305F">
        <w:rPr>
          <w:rFonts w:ascii="Aptos" w:eastAsia="Aptos" w:hAnsi="Aptos" w:cs="Aptos"/>
          <w:snapToGrid/>
          <w:sz w:val="20"/>
          <w:szCs w:val="20"/>
          <w:lang w:val="en-US"/>
        </w:rPr>
        <w:t xml:space="preserve"> </w:t>
      </w:r>
      <w:proofErr w:type="gramStart"/>
      <w:r w:rsidRPr="0084305F">
        <w:rPr>
          <w:rFonts w:ascii="Aptos" w:eastAsia="Aptos" w:hAnsi="Aptos" w:cs="Aptos"/>
          <w:snapToGrid/>
          <w:sz w:val="20"/>
          <w:szCs w:val="20"/>
          <w:lang w:val="en-US"/>
        </w:rPr>
        <w:t>to revise</w:t>
      </w:r>
      <w:proofErr w:type="gramEnd"/>
      <w:r w:rsidRPr="0084305F">
        <w:rPr>
          <w:rFonts w:ascii="Aptos" w:eastAsia="Aptos" w:hAnsi="Aptos" w:cs="Aptos"/>
          <w:snapToGrid/>
          <w:sz w:val="20"/>
          <w:szCs w:val="20"/>
          <w:lang w:val="en-US"/>
        </w:rPr>
        <w:t xml:space="preserve"> both TOWS Task Team Terms of Reference to reflect </w:t>
      </w:r>
      <w:r w:rsidRPr="0084305F">
        <w:rPr>
          <w:rFonts w:ascii="Aptos" w:eastAsia="Aptos" w:hAnsi="Aptos" w:cs="Aptos"/>
          <w:snapToGrid/>
          <w:color w:val="222222"/>
          <w:sz w:val="20"/>
          <w:szCs w:val="20"/>
          <w:lang w:val="en-US"/>
        </w:rPr>
        <w:t xml:space="preserve">the fact that many advances have been made, and new needs have been identified particularly concerning the implementation of the </w:t>
      </w:r>
      <w:r w:rsidRPr="0084305F">
        <w:rPr>
          <w:rFonts w:ascii="Aptos" w:eastAsia="Aptos" w:hAnsi="Aptos" w:cs="Aptos"/>
          <w:snapToGrid/>
          <w:color w:val="222222"/>
          <w:sz w:val="20"/>
          <w:szCs w:val="20"/>
          <w:lang w:val="en-US"/>
        </w:rPr>
        <w:lastRenderedPageBreak/>
        <w:t xml:space="preserve">Tsunami Ready Programme, Ocean Decade Tsunami Programme, capacity building and coastal resilience etc.   since TTs </w:t>
      </w:r>
      <w:proofErr w:type="spellStart"/>
      <w:r w:rsidRPr="0084305F">
        <w:rPr>
          <w:rFonts w:ascii="Aptos" w:eastAsia="Aptos" w:hAnsi="Aptos" w:cs="Aptos"/>
          <w:snapToGrid/>
          <w:color w:val="222222"/>
          <w:sz w:val="20"/>
          <w:szCs w:val="20"/>
          <w:lang w:val="en-US"/>
        </w:rPr>
        <w:t>ToR</w:t>
      </w:r>
      <w:proofErr w:type="spellEnd"/>
      <w:r w:rsidRPr="0084305F">
        <w:rPr>
          <w:rFonts w:ascii="Aptos" w:eastAsia="Aptos" w:hAnsi="Aptos" w:cs="Aptos"/>
          <w:snapToGrid/>
          <w:color w:val="222222"/>
          <w:sz w:val="20"/>
          <w:szCs w:val="20"/>
          <w:lang w:val="en-US"/>
        </w:rPr>
        <w:t xml:space="preserve"> were prepared in </w:t>
      </w:r>
      <w:proofErr w:type="gramStart"/>
      <w:r w:rsidRPr="0084305F">
        <w:rPr>
          <w:rFonts w:ascii="Aptos" w:eastAsia="Aptos" w:hAnsi="Aptos" w:cs="Aptos"/>
          <w:snapToGrid/>
          <w:color w:val="222222"/>
          <w:sz w:val="20"/>
          <w:szCs w:val="20"/>
          <w:lang w:val="en-US"/>
        </w:rPr>
        <w:t>2010 .</w:t>
      </w:r>
      <w:proofErr w:type="gramEnd"/>
      <w:r w:rsidRPr="0084305F">
        <w:rPr>
          <w:rFonts w:ascii="Aptos" w:eastAsia="Aptos" w:hAnsi="Aptos" w:cs="Aptos"/>
          <w:snapToGrid/>
          <w:color w:val="222222"/>
          <w:sz w:val="20"/>
          <w:szCs w:val="20"/>
          <w:lang w:val="en-US"/>
        </w:rPr>
        <w:t xml:space="preserve"> </w:t>
      </w:r>
      <w:r w:rsidRPr="0084305F">
        <w:rPr>
          <w:rFonts w:ascii="Aptos" w:eastAsia="Aptos" w:hAnsi="Aptos" w:cs="Aptos"/>
          <w:snapToGrid/>
          <w:sz w:val="20"/>
          <w:szCs w:val="20"/>
          <w:lang w:val="en-US"/>
        </w:rPr>
        <w:t xml:space="preserve"> </w:t>
      </w:r>
    </w:p>
    <w:p w14:paraId="62699834"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ptos" w:eastAsia="Aptos" w:hAnsi="Aptos" w:cs="Aptos"/>
          <w:snapToGrid/>
          <w:color w:val="0F4761"/>
          <w:sz w:val="28"/>
          <w:szCs w:val="28"/>
          <w:lang w:val="en-US"/>
        </w:rPr>
      </w:pPr>
      <w:bookmarkStart w:id="250" w:name="_26in1rg" w:colFirst="0" w:colLast="0"/>
      <w:bookmarkStart w:id="251" w:name="_Toc195258141"/>
      <w:bookmarkEnd w:id="250"/>
      <w:r w:rsidRPr="0084305F">
        <w:rPr>
          <w:rFonts w:ascii="Aptos" w:eastAsia="Aptos" w:hAnsi="Aptos" w:cs="Aptos"/>
          <w:snapToGrid/>
          <w:color w:val="0F4761"/>
          <w:sz w:val="28"/>
          <w:szCs w:val="28"/>
          <w:lang w:val="en-US"/>
        </w:rPr>
        <w:t>5.0 Update on PTWS NTWC Competency Framework and Development of Global Framework</w:t>
      </w:r>
      <w:bookmarkEnd w:id="251"/>
    </w:p>
    <w:p w14:paraId="0800DD42"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p>
    <w:p w14:paraId="2434E2B4"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1BE9CFEF"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color w:val="000000"/>
          <w:sz w:val="20"/>
          <w:szCs w:val="20"/>
          <w:lang w:val="en-US"/>
        </w:rPr>
        <w:t>The ICG/PTWS-XXX (202</w:t>
      </w:r>
      <w:r w:rsidRPr="0084305F">
        <w:rPr>
          <w:rFonts w:ascii="Aptos" w:eastAsia="Aptos" w:hAnsi="Aptos" w:cs="Aptos"/>
          <w:snapToGrid/>
          <w:sz w:val="20"/>
          <w:szCs w:val="20"/>
          <w:lang w:val="en-US"/>
        </w:rPr>
        <w:t>3)</w:t>
      </w:r>
      <w:r w:rsidRPr="0084305F">
        <w:rPr>
          <w:rFonts w:ascii="Aptos" w:eastAsia="Aptos" w:hAnsi="Aptos" w:cs="Aptos"/>
          <w:snapToGrid/>
          <w:color w:val="000000"/>
          <w:sz w:val="20"/>
          <w:szCs w:val="20"/>
          <w:lang w:val="en-US"/>
        </w:rPr>
        <w:t xml:space="preserve"> approved the PTWS National Tsunami Warning Centre competencies framework, and training requirements, and welcomed the ITIC proposal to pilot the PTWS Minimum NTWC Competency Framework through the development and conduct of a training course </w:t>
      </w:r>
      <w:r w:rsidRPr="0084305F">
        <w:rPr>
          <w:rFonts w:ascii="Aptos" w:eastAsia="Aptos" w:hAnsi="Aptos" w:cs="Aptos"/>
          <w:snapToGrid/>
          <w:sz w:val="20"/>
          <w:szCs w:val="20"/>
          <w:lang w:val="en-US"/>
        </w:rPr>
        <w:t>covering the Core Competencies</w:t>
      </w:r>
      <w:r w:rsidRPr="0084305F">
        <w:rPr>
          <w:rFonts w:ascii="Aptos" w:eastAsia="Aptos" w:hAnsi="Aptos" w:cs="Aptos"/>
          <w:snapToGrid/>
          <w:color w:val="000000"/>
          <w:sz w:val="20"/>
          <w:szCs w:val="20"/>
          <w:lang w:val="en-US"/>
        </w:rPr>
        <w:t xml:space="preserve"> </w:t>
      </w:r>
      <w:r w:rsidRPr="0084305F">
        <w:rPr>
          <w:rFonts w:ascii="Aptos" w:eastAsia="Aptos" w:hAnsi="Aptos" w:cs="Aptos"/>
          <w:snapToGrid/>
          <w:sz w:val="20"/>
          <w:szCs w:val="20"/>
          <w:lang w:val="en-US"/>
        </w:rPr>
        <w:t xml:space="preserve">and to pilot it for a small cohort from the Pacific Island </w:t>
      </w:r>
      <w:proofErr w:type="spellStart"/>
      <w:r w:rsidRPr="0084305F">
        <w:rPr>
          <w:rFonts w:ascii="Aptos" w:eastAsia="Aptos" w:hAnsi="Aptos" w:cs="Aptos"/>
          <w:snapToGrid/>
          <w:sz w:val="20"/>
          <w:szCs w:val="20"/>
          <w:lang w:val="en-US"/>
        </w:rPr>
        <w:t>Countries.From</w:t>
      </w:r>
      <w:proofErr w:type="spellEnd"/>
      <w:r w:rsidRPr="0084305F">
        <w:rPr>
          <w:rFonts w:ascii="Aptos" w:eastAsia="Aptos" w:hAnsi="Aptos" w:cs="Aptos"/>
          <w:snapToGrid/>
          <w:sz w:val="20"/>
          <w:szCs w:val="20"/>
          <w:lang w:val="en-US"/>
        </w:rPr>
        <w:t xml:space="preserve"> the </w:t>
      </w:r>
      <w:r w:rsidRPr="0084305F">
        <w:rPr>
          <w:rFonts w:ascii="Aptos" w:eastAsia="Aptos" w:hAnsi="Aptos" w:cs="Aptos"/>
          <w:snapToGrid/>
          <w:color w:val="000000"/>
          <w:sz w:val="20"/>
          <w:szCs w:val="20"/>
          <w:lang w:val="en-US"/>
        </w:rPr>
        <w:t>TOWS</w:t>
      </w:r>
      <w:r w:rsidRPr="0084305F">
        <w:rPr>
          <w:rFonts w:ascii="Aptos" w:eastAsia="Aptos" w:hAnsi="Aptos" w:cs="Aptos"/>
          <w:snapToGrid/>
          <w:sz w:val="20"/>
          <w:szCs w:val="20"/>
          <w:lang w:val="en-US"/>
        </w:rPr>
        <w:t xml:space="preserve">-WG-XVI (2023), the importance and value of establishing minimum tsunami warning center competencies under a global framework was noted.  </w:t>
      </w:r>
      <w:r w:rsidRPr="0084305F">
        <w:rPr>
          <w:rFonts w:ascii="Aptos" w:eastAsia="Aptos" w:hAnsi="Aptos" w:cs="Aptos"/>
          <w:snapToGrid/>
          <w:color w:val="000000"/>
          <w:sz w:val="20"/>
          <w:szCs w:val="20"/>
          <w:lang w:val="en-US"/>
        </w:rPr>
        <w:t>The Minimum Staf</w:t>
      </w:r>
      <w:r w:rsidRPr="0084305F">
        <w:rPr>
          <w:rFonts w:ascii="Aptos" w:eastAsia="Aptos" w:hAnsi="Aptos" w:cs="Aptos"/>
          <w:snapToGrid/>
          <w:sz w:val="20"/>
          <w:szCs w:val="20"/>
          <w:lang w:val="en-US"/>
        </w:rPr>
        <w:t xml:space="preserve">f </w:t>
      </w:r>
      <w:r w:rsidRPr="0084305F">
        <w:rPr>
          <w:rFonts w:ascii="Aptos" w:eastAsia="Aptos" w:hAnsi="Aptos" w:cs="Aptos"/>
          <w:snapToGrid/>
          <w:color w:val="000000"/>
          <w:sz w:val="20"/>
          <w:szCs w:val="20"/>
          <w:lang w:val="en-US"/>
        </w:rPr>
        <w:t>Competency Level for National Tsunami Warning Centre Operations Staff addresses K</w:t>
      </w:r>
      <w:r w:rsidRPr="0084305F">
        <w:rPr>
          <w:rFonts w:ascii="Aptos" w:eastAsia="Aptos" w:hAnsi="Aptos" w:cs="Aptos"/>
          <w:snapToGrid/>
          <w:sz w:val="20"/>
          <w:szCs w:val="20"/>
          <w:lang w:val="en-US"/>
        </w:rPr>
        <w:t xml:space="preserve">nowledge, Operations, and National Agency </w:t>
      </w:r>
      <w:r w:rsidRPr="0084305F">
        <w:rPr>
          <w:rFonts w:ascii="Aptos" w:eastAsia="Aptos" w:hAnsi="Aptos" w:cs="Aptos"/>
          <w:snapToGrid/>
          <w:color w:val="000000"/>
          <w:sz w:val="20"/>
          <w:szCs w:val="20"/>
          <w:lang w:val="en-US"/>
        </w:rPr>
        <w:t xml:space="preserve">competencies, </w:t>
      </w:r>
      <w:r w:rsidRPr="0084305F">
        <w:rPr>
          <w:rFonts w:ascii="Aptos" w:eastAsia="Aptos" w:hAnsi="Aptos" w:cs="Aptos"/>
          <w:snapToGrid/>
          <w:sz w:val="20"/>
          <w:szCs w:val="20"/>
          <w:lang w:val="en-US"/>
        </w:rPr>
        <w:t xml:space="preserve">and divides these </w:t>
      </w:r>
      <w:proofErr w:type="gramStart"/>
      <w:r w:rsidRPr="0084305F">
        <w:rPr>
          <w:rFonts w:ascii="Aptos" w:eastAsia="Aptos" w:hAnsi="Aptos" w:cs="Aptos"/>
          <w:snapToGrid/>
          <w:sz w:val="20"/>
          <w:szCs w:val="20"/>
          <w:lang w:val="en-US"/>
        </w:rPr>
        <w:t xml:space="preserve">into </w:t>
      </w:r>
      <w:r w:rsidRPr="0084305F">
        <w:rPr>
          <w:rFonts w:ascii="Aptos" w:eastAsia="Aptos" w:hAnsi="Aptos" w:cs="Aptos"/>
          <w:snapToGrid/>
          <w:color w:val="000000"/>
          <w:sz w:val="20"/>
          <w:szCs w:val="20"/>
          <w:lang w:val="en-US"/>
        </w:rPr>
        <w:t xml:space="preserve"> Core</w:t>
      </w:r>
      <w:proofErr w:type="gramEnd"/>
      <w:r w:rsidRPr="0084305F">
        <w:rPr>
          <w:rFonts w:ascii="Aptos" w:eastAsia="Aptos" w:hAnsi="Aptos" w:cs="Aptos"/>
          <w:snapToGrid/>
          <w:color w:val="000000"/>
          <w:sz w:val="20"/>
          <w:szCs w:val="20"/>
          <w:lang w:val="en-US"/>
        </w:rPr>
        <w:t xml:space="preserve"> (basic) and Advanced (comprehensive) modules. The </w:t>
      </w:r>
      <w:r w:rsidRPr="0084305F">
        <w:rPr>
          <w:rFonts w:ascii="Aptos" w:eastAsia="Aptos" w:hAnsi="Aptos" w:cs="Aptos"/>
          <w:snapToGrid/>
          <w:sz w:val="20"/>
          <w:szCs w:val="20"/>
          <w:lang w:val="en-US"/>
        </w:rPr>
        <w:t xml:space="preserve">training will be part of the </w:t>
      </w:r>
      <w:proofErr w:type="spellStart"/>
      <w:r w:rsidRPr="0084305F">
        <w:rPr>
          <w:rFonts w:ascii="Aptos" w:eastAsia="Aptos" w:hAnsi="Aptos" w:cs="Aptos"/>
          <w:snapToGrid/>
          <w:sz w:val="20"/>
          <w:szCs w:val="20"/>
          <w:lang w:val="en-US"/>
        </w:rPr>
        <w:t>OceanTeacher</w:t>
      </w:r>
      <w:proofErr w:type="spellEnd"/>
      <w:r w:rsidRPr="0084305F">
        <w:rPr>
          <w:rFonts w:ascii="Aptos" w:eastAsia="Aptos" w:hAnsi="Aptos" w:cs="Aptos"/>
          <w:snapToGrid/>
          <w:sz w:val="20"/>
          <w:szCs w:val="20"/>
          <w:lang w:val="en-US"/>
        </w:rPr>
        <w:t xml:space="preserve"> Global Academy UNESCO-IOC Tsunami Training Course.  The Tsunami Warning Centre Minimum Staff Competencies (TWC-MSC) training course will consist of </w:t>
      </w:r>
      <w:proofErr w:type="gramStart"/>
      <w:r w:rsidRPr="0084305F">
        <w:rPr>
          <w:rFonts w:ascii="Aptos" w:eastAsia="Aptos" w:hAnsi="Aptos" w:cs="Aptos"/>
          <w:snapToGrid/>
          <w:sz w:val="20"/>
          <w:szCs w:val="20"/>
          <w:lang w:val="en-US"/>
        </w:rPr>
        <w:t xml:space="preserve">a </w:t>
      </w:r>
      <w:r w:rsidRPr="0084305F">
        <w:rPr>
          <w:rFonts w:ascii="Aptos" w:eastAsia="Aptos" w:hAnsi="Aptos" w:cs="Aptos"/>
          <w:snapToGrid/>
          <w:color w:val="000000"/>
          <w:sz w:val="20"/>
          <w:szCs w:val="20"/>
          <w:lang w:val="en-US"/>
        </w:rPr>
        <w:t xml:space="preserve"> series</w:t>
      </w:r>
      <w:proofErr w:type="gramEnd"/>
      <w:r w:rsidRPr="0084305F">
        <w:rPr>
          <w:rFonts w:ascii="Aptos" w:eastAsia="Aptos" w:hAnsi="Aptos" w:cs="Aptos"/>
          <w:snapToGrid/>
          <w:color w:val="000000"/>
          <w:sz w:val="20"/>
          <w:szCs w:val="20"/>
          <w:lang w:val="en-US"/>
        </w:rPr>
        <w:t xml:space="preserve"> of </w:t>
      </w:r>
      <w:r w:rsidRPr="0084305F">
        <w:rPr>
          <w:rFonts w:ascii="Aptos" w:eastAsia="Aptos" w:hAnsi="Aptos" w:cs="Aptos"/>
          <w:snapToGrid/>
          <w:sz w:val="20"/>
          <w:szCs w:val="20"/>
          <w:lang w:val="en-US"/>
        </w:rPr>
        <w:t xml:space="preserve">individual modules covering the Core </w:t>
      </w:r>
      <w:proofErr w:type="gramStart"/>
      <w:r w:rsidRPr="0084305F">
        <w:rPr>
          <w:rFonts w:ascii="Aptos" w:eastAsia="Aptos" w:hAnsi="Aptos" w:cs="Aptos"/>
          <w:snapToGrid/>
          <w:sz w:val="20"/>
          <w:szCs w:val="20"/>
          <w:lang w:val="en-US"/>
        </w:rPr>
        <w:t>Competencies;  trainees</w:t>
      </w:r>
      <w:proofErr w:type="gramEnd"/>
      <w:r w:rsidRPr="0084305F">
        <w:rPr>
          <w:rFonts w:ascii="Aptos" w:eastAsia="Aptos" w:hAnsi="Aptos" w:cs="Aptos"/>
          <w:snapToGrid/>
          <w:sz w:val="20"/>
          <w:szCs w:val="20"/>
          <w:lang w:val="en-US"/>
        </w:rPr>
        <w:t xml:space="preserve"> will need to receive a passing grade in the previous module to proceed to the next module.  Module formats will start with </w:t>
      </w:r>
      <w:r w:rsidRPr="0084305F">
        <w:rPr>
          <w:rFonts w:ascii="Aptos" w:eastAsia="Aptos" w:hAnsi="Aptos" w:cs="Aptos"/>
          <w:snapToGrid/>
          <w:color w:val="000000"/>
          <w:sz w:val="20"/>
          <w:szCs w:val="20"/>
          <w:lang w:val="en-US"/>
        </w:rPr>
        <w:t>self-paced courses</w:t>
      </w:r>
      <w:r w:rsidRPr="0084305F">
        <w:rPr>
          <w:rFonts w:ascii="Aptos" w:eastAsia="Aptos" w:hAnsi="Aptos" w:cs="Aptos"/>
          <w:snapToGrid/>
          <w:sz w:val="20"/>
          <w:szCs w:val="20"/>
          <w:lang w:val="en-US"/>
        </w:rPr>
        <w:t>, then to hybrid, and culminate in a 3-4 week in-person training at the ITIC and PTWC</w:t>
      </w:r>
      <w:r w:rsidRPr="0084305F">
        <w:rPr>
          <w:rFonts w:ascii="Aptos" w:eastAsia="Aptos" w:hAnsi="Aptos" w:cs="Aptos"/>
          <w:snapToGrid/>
          <w:color w:val="000000"/>
          <w:sz w:val="20"/>
          <w:szCs w:val="20"/>
          <w:lang w:val="en-US"/>
        </w:rPr>
        <w:t xml:space="preserve"> During </w:t>
      </w:r>
      <w:r w:rsidRPr="0084305F">
        <w:rPr>
          <w:rFonts w:ascii="Aptos" w:eastAsia="Aptos" w:hAnsi="Aptos" w:cs="Aptos"/>
          <w:snapToGrid/>
          <w:sz w:val="20"/>
          <w:szCs w:val="20"/>
          <w:lang w:val="en-US"/>
        </w:rPr>
        <w:t xml:space="preserve">October to December 2024, the ITIC hosted two </w:t>
      </w:r>
      <w:r w:rsidRPr="0084305F">
        <w:rPr>
          <w:rFonts w:ascii="Aptos" w:eastAsia="Aptos" w:hAnsi="Aptos" w:cs="Aptos"/>
          <w:snapToGrid/>
          <w:color w:val="000000"/>
          <w:sz w:val="20"/>
          <w:szCs w:val="20"/>
          <w:lang w:val="en-US"/>
        </w:rPr>
        <w:t>IOC Ocean Training Interns, who worked on the OTG</w:t>
      </w:r>
      <w:r w:rsidRPr="0084305F">
        <w:rPr>
          <w:rFonts w:ascii="Aptos" w:eastAsia="Aptos" w:hAnsi="Aptos" w:cs="Aptos"/>
          <w:snapToGrid/>
          <w:sz w:val="20"/>
          <w:szCs w:val="20"/>
          <w:lang w:val="en-US"/>
        </w:rPr>
        <w:t xml:space="preserve">A Tsunami Ready and OTGA TWC-MSC Core Tsunami and Earthquake Science modules.  Funding was received from USAID in 2024, and the ITIC engaged two experienced tsunami subject matter experts to lead the project.  Funding is now </w:t>
      </w:r>
      <w:proofErr w:type="gramStart"/>
      <w:r w:rsidRPr="0084305F">
        <w:rPr>
          <w:rFonts w:ascii="Aptos" w:eastAsia="Aptos" w:hAnsi="Aptos" w:cs="Aptos"/>
          <w:snapToGrid/>
          <w:sz w:val="20"/>
          <w:szCs w:val="20"/>
          <w:lang w:val="en-US"/>
        </w:rPr>
        <w:t>paused</w:t>
      </w:r>
      <w:proofErr w:type="gramEnd"/>
      <w:r w:rsidRPr="0084305F">
        <w:rPr>
          <w:rFonts w:ascii="Aptos" w:eastAsia="Aptos" w:hAnsi="Aptos" w:cs="Aptos"/>
          <w:snapToGrid/>
          <w:sz w:val="20"/>
          <w:szCs w:val="20"/>
          <w:lang w:val="en-US"/>
        </w:rPr>
        <w:t xml:space="preserve"> and if not </w:t>
      </w:r>
      <w:proofErr w:type="gramStart"/>
      <w:r w:rsidRPr="0084305F">
        <w:rPr>
          <w:rFonts w:ascii="Aptos" w:eastAsia="Aptos" w:hAnsi="Aptos" w:cs="Aptos"/>
          <w:snapToGrid/>
          <w:sz w:val="20"/>
          <w:szCs w:val="20"/>
          <w:lang w:val="en-US"/>
        </w:rPr>
        <w:t>continued</w:t>
      </w:r>
      <w:proofErr w:type="gramEnd"/>
      <w:r w:rsidRPr="0084305F">
        <w:rPr>
          <w:rFonts w:ascii="Aptos" w:eastAsia="Aptos" w:hAnsi="Aptos" w:cs="Aptos"/>
          <w:snapToGrid/>
          <w:sz w:val="20"/>
          <w:szCs w:val="20"/>
          <w:lang w:val="en-US"/>
        </w:rPr>
        <w:t xml:space="preserve"> will result in large delays in course completion.</w:t>
      </w:r>
    </w:p>
    <w:p w14:paraId="73DAD4AB"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p>
    <w:p w14:paraId="2D1DA3F3"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r w:rsidRPr="0084305F">
        <w:rPr>
          <w:rFonts w:ascii="Aptos" w:eastAsia="Aptos" w:hAnsi="Aptos" w:cs="Aptos"/>
          <w:snapToGrid/>
          <w:sz w:val="20"/>
          <w:szCs w:val="20"/>
          <w:lang w:val="en-US"/>
        </w:rPr>
        <w:t xml:space="preserve">A Kick-off meeting took place during 15-17 July 2024 in Wellington, New Zealand, </w:t>
      </w:r>
      <w:r w:rsidRPr="0084305F">
        <w:rPr>
          <w:rFonts w:ascii="Aptos" w:eastAsia="Aptos" w:hAnsi="Aptos" w:cs="Aptos"/>
          <w:snapToGrid/>
          <w:color w:val="000000"/>
          <w:sz w:val="20"/>
          <w:szCs w:val="20"/>
          <w:lang w:val="en-US"/>
        </w:rPr>
        <w:t>hosted  by the New Zeal</w:t>
      </w:r>
      <w:r w:rsidRPr="0084305F">
        <w:rPr>
          <w:rFonts w:ascii="Aptos" w:eastAsia="Aptos" w:hAnsi="Aptos" w:cs="Aptos"/>
          <w:snapToGrid/>
          <w:sz w:val="20"/>
          <w:szCs w:val="20"/>
          <w:lang w:val="en-US"/>
        </w:rPr>
        <w:t xml:space="preserve">and </w:t>
      </w:r>
      <w:r w:rsidRPr="0084305F">
        <w:rPr>
          <w:rFonts w:ascii="Aptos" w:eastAsia="Aptos" w:hAnsi="Aptos" w:cs="Aptos"/>
          <w:snapToGrid/>
          <w:color w:val="000000"/>
          <w:sz w:val="20"/>
          <w:szCs w:val="20"/>
          <w:lang w:val="en-US"/>
        </w:rPr>
        <w:t xml:space="preserve"> National Emergency Management Agency (NEMA), in which existing schema and training material from Australia, New Zealand, USA w</w:t>
      </w:r>
      <w:r w:rsidRPr="0084305F">
        <w:rPr>
          <w:rFonts w:ascii="Aptos" w:eastAsia="Aptos" w:hAnsi="Aptos" w:cs="Aptos"/>
          <w:snapToGrid/>
          <w:sz w:val="20"/>
          <w:szCs w:val="20"/>
          <w:lang w:val="en-US"/>
        </w:rPr>
        <w:t>ere</w:t>
      </w:r>
      <w:r w:rsidRPr="0084305F">
        <w:rPr>
          <w:rFonts w:ascii="Aptos" w:eastAsia="Aptos" w:hAnsi="Aptos" w:cs="Aptos"/>
          <w:snapToGrid/>
          <w:color w:val="000000"/>
          <w:sz w:val="20"/>
          <w:szCs w:val="20"/>
          <w:lang w:val="en-US"/>
        </w:rPr>
        <w:t xml:space="preserve"> reviewed, OTGA modules </w:t>
      </w:r>
      <w:r w:rsidRPr="0084305F">
        <w:rPr>
          <w:rFonts w:ascii="Aptos" w:eastAsia="Aptos" w:hAnsi="Aptos" w:cs="Aptos"/>
          <w:snapToGrid/>
          <w:sz w:val="20"/>
          <w:szCs w:val="20"/>
          <w:lang w:val="en-US"/>
        </w:rPr>
        <w:t xml:space="preserve">discussed, </w:t>
      </w:r>
      <w:r w:rsidRPr="0084305F">
        <w:rPr>
          <w:rFonts w:ascii="Aptos" w:eastAsia="Aptos" w:hAnsi="Aptos" w:cs="Aptos"/>
          <w:snapToGrid/>
          <w:color w:val="000000"/>
          <w:sz w:val="20"/>
          <w:szCs w:val="20"/>
          <w:lang w:val="en-US"/>
        </w:rPr>
        <w:t xml:space="preserve">and </w:t>
      </w:r>
      <w:r w:rsidRPr="0084305F">
        <w:rPr>
          <w:rFonts w:ascii="Aptos" w:eastAsia="Aptos" w:hAnsi="Aptos" w:cs="Aptos"/>
          <w:snapToGrid/>
          <w:sz w:val="20"/>
          <w:szCs w:val="20"/>
          <w:lang w:val="en-US"/>
        </w:rPr>
        <w:t>requests made</w:t>
      </w:r>
      <w:r w:rsidRPr="0084305F">
        <w:rPr>
          <w:rFonts w:ascii="Aptos" w:eastAsia="Aptos" w:hAnsi="Aptos" w:cs="Aptos"/>
          <w:snapToGrid/>
          <w:color w:val="000000"/>
          <w:sz w:val="20"/>
          <w:szCs w:val="20"/>
          <w:lang w:val="en-US"/>
        </w:rPr>
        <w:t xml:space="preserve"> to include their material </w:t>
      </w:r>
      <w:r w:rsidRPr="0084305F">
        <w:rPr>
          <w:rFonts w:ascii="Aptos" w:eastAsia="Aptos" w:hAnsi="Aptos" w:cs="Aptos"/>
          <w:snapToGrid/>
          <w:sz w:val="20"/>
          <w:szCs w:val="20"/>
          <w:lang w:val="en-US"/>
        </w:rPr>
        <w:t xml:space="preserve">An </w:t>
      </w:r>
      <w:r w:rsidRPr="0084305F">
        <w:rPr>
          <w:rFonts w:ascii="Aptos" w:eastAsia="Aptos" w:hAnsi="Aptos" w:cs="Aptos"/>
          <w:snapToGrid/>
          <w:color w:val="000000"/>
          <w:sz w:val="20"/>
          <w:szCs w:val="20"/>
          <w:lang w:val="en-US"/>
        </w:rPr>
        <w:t>Expert Panel will be estab</w:t>
      </w:r>
      <w:r w:rsidRPr="0084305F">
        <w:rPr>
          <w:rFonts w:ascii="Aptos" w:eastAsia="Aptos" w:hAnsi="Aptos" w:cs="Aptos"/>
          <w:snapToGrid/>
          <w:sz w:val="20"/>
          <w:szCs w:val="20"/>
          <w:lang w:val="en-US"/>
        </w:rPr>
        <w:t>lished</w:t>
      </w:r>
      <w:r w:rsidRPr="0084305F">
        <w:rPr>
          <w:rFonts w:ascii="Aptos" w:eastAsia="Aptos" w:hAnsi="Aptos" w:cs="Aptos"/>
          <w:snapToGrid/>
          <w:color w:val="000000"/>
          <w:sz w:val="20"/>
          <w:szCs w:val="20"/>
          <w:lang w:val="en-US"/>
        </w:rPr>
        <w:t xml:space="preserve"> compris</w:t>
      </w:r>
      <w:r w:rsidRPr="0084305F">
        <w:rPr>
          <w:rFonts w:ascii="Aptos" w:eastAsia="Aptos" w:hAnsi="Aptos" w:cs="Aptos"/>
          <w:snapToGrid/>
          <w:sz w:val="20"/>
          <w:szCs w:val="20"/>
          <w:lang w:val="en-US"/>
        </w:rPr>
        <w:t>ed</w:t>
      </w:r>
      <w:r w:rsidRPr="0084305F">
        <w:rPr>
          <w:rFonts w:ascii="Aptos" w:eastAsia="Aptos" w:hAnsi="Aptos" w:cs="Aptos"/>
          <w:snapToGrid/>
          <w:color w:val="000000"/>
          <w:sz w:val="20"/>
          <w:szCs w:val="20"/>
          <w:lang w:val="en-US"/>
        </w:rPr>
        <w:t xml:space="preserve"> representatives from Australia, New Zealand, USA, </w:t>
      </w:r>
      <w:r w:rsidRPr="0084305F">
        <w:rPr>
          <w:rFonts w:ascii="Aptos" w:eastAsia="Aptos" w:hAnsi="Aptos" w:cs="Aptos"/>
          <w:snapToGrid/>
          <w:sz w:val="20"/>
          <w:szCs w:val="20"/>
          <w:lang w:val="en-US"/>
        </w:rPr>
        <w:t>and</w:t>
      </w:r>
      <w:r w:rsidRPr="0084305F">
        <w:rPr>
          <w:rFonts w:ascii="Aptos" w:eastAsia="Aptos" w:hAnsi="Aptos" w:cs="Aptos"/>
          <w:snapToGrid/>
          <w:color w:val="000000"/>
          <w:sz w:val="20"/>
          <w:szCs w:val="20"/>
          <w:lang w:val="en-US"/>
        </w:rPr>
        <w:t xml:space="preserve"> other experienced NTWCs. </w:t>
      </w:r>
      <w:r w:rsidRPr="0084305F">
        <w:rPr>
          <w:rFonts w:ascii="Aptos" w:eastAsia="Aptos" w:hAnsi="Aptos" w:cs="Aptos"/>
          <w:snapToGrid/>
          <w:sz w:val="20"/>
          <w:szCs w:val="20"/>
          <w:lang w:val="en-US"/>
        </w:rPr>
        <w:t xml:space="preserve">The TWS-MSC modules will also include training modules developed in collaboration with the USA </w:t>
      </w:r>
      <w:proofErr w:type="spellStart"/>
      <w:r w:rsidRPr="0084305F">
        <w:rPr>
          <w:rFonts w:ascii="Aptos" w:eastAsia="Aptos" w:hAnsi="Aptos" w:cs="Aptos"/>
          <w:snapToGrid/>
          <w:sz w:val="20"/>
          <w:szCs w:val="20"/>
          <w:lang w:val="en-US"/>
        </w:rPr>
        <w:t>MetEd</w:t>
      </w:r>
      <w:proofErr w:type="spellEnd"/>
      <w:r w:rsidRPr="0084305F">
        <w:rPr>
          <w:rFonts w:ascii="Aptos" w:eastAsia="Aptos" w:hAnsi="Aptos" w:cs="Aptos"/>
          <w:snapToGrid/>
          <w:sz w:val="20"/>
          <w:szCs w:val="20"/>
          <w:lang w:val="en-US"/>
        </w:rPr>
        <w:t xml:space="preserve"> COMET training program.</w:t>
      </w:r>
    </w:p>
    <w:p w14:paraId="6527769E"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p>
    <w:p w14:paraId="35FE8755"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r w:rsidRPr="0084305F">
        <w:rPr>
          <w:rFonts w:ascii="Aptos" w:eastAsia="Aptos" w:hAnsi="Aptos" w:cs="Aptos"/>
          <w:snapToGrid/>
          <w:color w:val="000000"/>
          <w:sz w:val="20"/>
          <w:szCs w:val="20"/>
          <w:lang w:val="en-US"/>
        </w:rPr>
        <w:t xml:space="preserve">OTGA Core Tsunami Science Competencies </w:t>
      </w:r>
      <w:r w:rsidRPr="0084305F">
        <w:rPr>
          <w:rFonts w:ascii="Aptos" w:eastAsia="Aptos" w:hAnsi="Aptos" w:cs="Aptos"/>
          <w:snapToGrid/>
          <w:sz w:val="20"/>
          <w:szCs w:val="20"/>
          <w:lang w:val="en-US"/>
        </w:rPr>
        <w:t xml:space="preserve">will utilize materials </w:t>
      </w:r>
      <w:proofErr w:type="gramStart"/>
      <w:r w:rsidRPr="0084305F">
        <w:rPr>
          <w:rFonts w:ascii="Aptos" w:eastAsia="Aptos" w:hAnsi="Aptos" w:cs="Aptos"/>
          <w:snapToGrid/>
          <w:sz w:val="20"/>
          <w:szCs w:val="20"/>
          <w:lang w:val="en-US"/>
        </w:rPr>
        <w:t xml:space="preserve">from </w:t>
      </w:r>
      <w:r w:rsidRPr="0084305F">
        <w:rPr>
          <w:rFonts w:ascii="Aptos" w:eastAsia="Aptos" w:hAnsi="Aptos" w:cs="Aptos"/>
          <w:snapToGrid/>
          <w:color w:val="000000"/>
          <w:sz w:val="20"/>
          <w:szCs w:val="20"/>
          <w:lang w:val="en-US"/>
        </w:rPr>
        <w:t xml:space="preserve"> the</w:t>
      </w:r>
      <w:proofErr w:type="gramEnd"/>
      <w:r w:rsidRPr="0084305F">
        <w:rPr>
          <w:rFonts w:ascii="Aptos" w:eastAsia="Aptos" w:hAnsi="Aptos" w:cs="Aptos"/>
          <w:snapToGrid/>
          <w:color w:val="000000"/>
          <w:sz w:val="20"/>
          <w:szCs w:val="20"/>
          <w:lang w:val="en-US"/>
        </w:rPr>
        <w:t xml:space="preserve"> Bureau of Meteorology (BOM - Australia</w:t>
      </w:r>
      <w:proofErr w:type="gramStart"/>
      <w:r w:rsidRPr="0084305F">
        <w:rPr>
          <w:rFonts w:ascii="Aptos" w:eastAsia="Aptos" w:hAnsi="Aptos" w:cs="Aptos"/>
          <w:snapToGrid/>
          <w:color w:val="000000"/>
          <w:sz w:val="20"/>
          <w:szCs w:val="20"/>
          <w:lang w:val="en-US"/>
        </w:rPr>
        <w:t>), and</w:t>
      </w:r>
      <w:proofErr w:type="gramEnd"/>
      <w:r w:rsidRPr="0084305F">
        <w:rPr>
          <w:rFonts w:ascii="Aptos" w:eastAsia="Aptos" w:hAnsi="Aptos" w:cs="Aptos"/>
          <w:snapToGrid/>
          <w:color w:val="000000"/>
          <w:sz w:val="20"/>
          <w:szCs w:val="20"/>
          <w:lang w:val="en-US"/>
        </w:rPr>
        <w:t xml:space="preserve"> focus on </w:t>
      </w:r>
      <w:proofErr w:type="gramStart"/>
      <w:r w:rsidRPr="0084305F">
        <w:rPr>
          <w:rFonts w:ascii="Aptos" w:eastAsia="Aptos" w:hAnsi="Aptos" w:cs="Aptos"/>
          <w:snapToGrid/>
          <w:sz w:val="20"/>
          <w:szCs w:val="20"/>
          <w:lang w:val="en-US"/>
        </w:rPr>
        <w:t xml:space="preserve">the </w:t>
      </w:r>
      <w:r w:rsidRPr="0084305F">
        <w:rPr>
          <w:rFonts w:ascii="Aptos" w:eastAsia="Aptos" w:hAnsi="Aptos" w:cs="Aptos"/>
          <w:snapToGrid/>
          <w:color w:val="000000"/>
          <w:sz w:val="20"/>
          <w:szCs w:val="20"/>
          <w:lang w:val="en-US"/>
        </w:rPr>
        <w:t xml:space="preserve"> science</w:t>
      </w:r>
      <w:proofErr w:type="gramEnd"/>
      <w:r w:rsidRPr="0084305F">
        <w:rPr>
          <w:rFonts w:ascii="Aptos" w:eastAsia="Aptos" w:hAnsi="Aptos" w:cs="Aptos"/>
          <w:snapToGrid/>
          <w:color w:val="000000"/>
          <w:sz w:val="20"/>
          <w:szCs w:val="20"/>
          <w:lang w:val="en-US"/>
        </w:rPr>
        <w:t xml:space="preserve"> needed to support   operational tsunami warning </w:t>
      </w:r>
      <w:proofErr w:type="spellStart"/>
      <w:r w:rsidRPr="0084305F">
        <w:rPr>
          <w:rFonts w:ascii="Aptos" w:eastAsia="Aptos" w:hAnsi="Aptos" w:cs="Aptos"/>
          <w:snapToGrid/>
          <w:color w:val="000000"/>
          <w:sz w:val="20"/>
          <w:szCs w:val="20"/>
          <w:lang w:val="en-US"/>
        </w:rPr>
        <w:t>cent</w:t>
      </w:r>
      <w:r w:rsidRPr="0084305F">
        <w:rPr>
          <w:rFonts w:ascii="Aptos" w:eastAsia="Aptos" w:hAnsi="Aptos" w:cs="Aptos"/>
          <w:snapToGrid/>
          <w:sz w:val="20"/>
          <w:szCs w:val="20"/>
          <w:lang w:val="en-US"/>
        </w:rPr>
        <w:t>re</w:t>
      </w:r>
      <w:proofErr w:type="spellEnd"/>
      <w:r w:rsidRPr="0084305F">
        <w:rPr>
          <w:rFonts w:ascii="Aptos" w:eastAsia="Aptos" w:hAnsi="Aptos" w:cs="Aptos"/>
          <w:snapToGrid/>
          <w:sz w:val="20"/>
          <w:szCs w:val="20"/>
          <w:lang w:val="en-US"/>
        </w:rPr>
        <w:t xml:space="preserve"> </w:t>
      </w:r>
      <w:r w:rsidRPr="0084305F">
        <w:rPr>
          <w:rFonts w:ascii="Aptos" w:eastAsia="Aptos" w:hAnsi="Aptos" w:cs="Aptos"/>
          <w:snapToGrid/>
          <w:color w:val="000000"/>
          <w:sz w:val="20"/>
          <w:szCs w:val="20"/>
          <w:lang w:val="en-US"/>
        </w:rPr>
        <w:t xml:space="preserve">decision-making. The OTGA Core Earthquake Science </w:t>
      </w:r>
      <w:r w:rsidRPr="0084305F">
        <w:rPr>
          <w:rFonts w:ascii="Aptos" w:eastAsia="Aptos" w:hAnsi="Aptos" w:cs="Aptos"/>
          <w:snapToGrid/>
          <w:sz w:val="20"/>
          <w:szCs w:val="20"/>
          <w:lang w:val="en-US"/>
        </w:rPr>
        <w:t xml:space="preserve">training course topics and knowledge have been compiled using </w:t>
      </w:r>
      <w:proofErr w:type="gramStart"/>
      <w:r w:rsidRPr="0084305F">
        <w:rPr>
          <w:rFonts w:ascii="Aptos" w:eastAsia="Aptos" w:hAnsi="Aptos" w:cs="Aptos"/>
          <w:snapToGrid/>
          <w:sz w:val="20"/>
          <w:szCs w:val="20"/>
          <w:lang w:val="en-US"/>
        </w:rPr>
        <w:t>a number of</w:t>
      </w:r>
      <w:proofErr w:type="gramEnd"/>
      <w:r w:rsidRPr="0084305F">
        <w:rPr>
          <w:rFonts w:ascii="Aptos" w:eastAsia="Aptos" w:hAnsi="Aptos" w:cs="Aptos"/>
          <w:snapToGrid/>
          <w:sz w:val="20"/>
          <w:szCs w:val="20"/>
          <w:lang w:val="en-US"/>
        </w:rPr>
        <w:t xml:space="preserve"> reference sources</w:t>
      </w:r>
      <w:r w:rsidRPr="0084305F">
        <w:rPr>
          <w:rFonts w:ascii="Aptos" w:eastAsia="Aptos" w:hAnsi="Aptos" w:cs="Aptos"/>
          <w:snapToGrid/>
          <w:color w:val="000000"/>
          <w:sz w:val="20"/>
          <w:szCs w:val="20"/>
          <w:lang w:val="en-US"/>
        </w:rPr>
        <w:t xml:space="preserve">. </w:t>
      </w:r>
      <w:r w:rsidRPr="0084305F">
        <w:rPr>
          <w:rFonts w:ascii="Aptos" w:eastAsia="Aptos" w:hAnsi="Aptos" w:cs="Aptos"/>
          <w:snapToGrid/>
          <w:sz w:val="20"/>
          <w:szCs w:val="20"/>
          <w:lang w:val="en-US"/>
        </w:rPr>
        <w:t xml:space="preserve">In addition, the TWC-MSC training course will use the USA </w:t>
      </w:r>
      <w:r w:rsidRPr="0084305F">
        <w:rPr>
          <w:rFonts w:ascii="Aptos" w:eastAsia="Aptos" w:hAnsi="Aptos" w:cs="Aptos"/>
          <w:snapToGrid/>
          <w:color w:val="000000"/>
          <w:sz w:val="20"/>
          <w:szCs w:val="20"/>
          <w:lang w:val="en-US"/>
        </w:rPr>
        <w:t xml:space="preserve">COMET </w:t>
      </w:r>
      <w:proofErr w:type="spellStart"/>
      <w:r w:rsidRPr="0084305F">
        <w:rPr>
          <w:rFonts w:ascii="Aptos" w:eastAsia="Aptos" w:hAnsi="Aptos" w:cs="Aptos"/>
          <w:snapToGrid/>
          <w:color w:val="000000"/>
          <w:sz w:val="20"/>
          <w:szCs w:val="20"/>
          <w:lang w:val="en-US"/>
        </w:rPr>
        <w:t>MetEd</w:t>
      </w:r>
      <w:proofErr w:type="spellEnd"/>
      <w:r w:rsidRPr="0084305F">
        <w:rPr>
          <w:rFonts w:ascii="Aptos" w:eastAsia="Aptos" w:hAnsi="Aptos" w:cs="Aptos"/>
          <w:snapToGrid/>
          <w:color w:val="000000"/>
          <w:sz w:val="20"/>
          <w:szCs w:val="20"/>
          <w:lang w:val="en-US"/>
        </w:rPr>
        <w:t xml:space="preserve"> “Tsunamis” course which addresses generation, initiation, propagation, inundation, and long-term effects of tsunamis. </w:t>
      </w:r>
      <w:proofErr w:type="spellStart"/>
      <w:r w:rsidRPr="0084305F">
        <w:rPr>
          <w:rFonts w:ascii="Arial" w:eastAsia="Arial" w:hAnsi="Arial" w:cs="Arial"/>
          <w:snapToGrid/>
          <w:color w:val="222E4A"/>
          <w:sz w:val="20"/>
          <w:szCs w:val="20"/>
          <w:highlight w:val="white"/>
          <w:lang w:val="en-US"/>
        </w:rPr>
        <w:t>MetEd</w:t>
      </w:r>
      <w:proofErr w:type="spellEnd"/>
      <w:r w:rsidRPr="0084305F">
        <w:rPr>
          <w:rFonts w:ascii="Arial" w:eastAsia="Arial" w:hAnsi="Arial" w:cs="Arial"/>
          <w:snapToGrid/>
          <w:color w:val="222E4A"/>
          <w:sz w:val="20"/>
          <w:szCs w:val="20"/>
          <w:highlight w:val="white"/>
          <w:lang w:val="en-US"/>
        </w:rPr>
        <w:t xml:space="preserve"> is a free collection of </w:t>
      </w:r>
      <w:r w:rsidRPr="0084305F">
        <w:rPr>
          <w:rFonts w:ascii="Arial" w:eastAsia="Arial" w:hAnsi="Arial" w:cs="Arial"/>
          <w:snapToGrid/>
          <w:color w:val="222E4A"/>
          <w:sz w:val="20"/>
          <w:szCs w:val="20"/>
          <w:lang w:val="en-US"/>
        </w:rPr>
        <w:t>hundreds of training resources</w:t>
      </w:r>
      <w:r w:rsidRPr="0084305F">
        <w:rPr>
          <w:rFonts w:ascii="Arial" w:eastAsia="Arial" w:hAnsi="Arial" w:cs="Arial"/>
          <w:snapToGrid/>
          <w:color w:val="222E4A"/>
          <w:sz w:val="20"/>
          <w:szCs w:val="20"/>
          <w:highlight w:val="white"/>
          <w:lang w:val="en-US"/>
        </w:rPr>
        <w:t xml:space="preserve"> intended for the </w:t>
      </w:r>
      <w:r w:rsidRPr="0084305F">
        <w:rPr>
          <w:rFonts w:ascii="Arial" w:eastAsia="Arial" w:hAnsi="Arial" w:cs="Arial"/>
          <w:snapToGrid/>
          <w:color w:val="222E4A"/>
          <w:sz w:val="20"/>
          <w:szCs w:val="20"/>
          <w:lang w:val="en-US"/>
        </w:rPr>
        <w:t>geoscience community</w:t>
      </w:r>
      <w:r w:rsidRPr="0084305F">
        <w:rPr>
          <w:rFonts w:ascii="Arial" w:eastAsia="Arial" w:hAnsi="Arial" w:cs="Arial"/>
          <w:snapToGrid/>
          <w:color w:val="222E4A"/>
          <w:sz w:val="20"/>
          <w:szCs w:val="20"/>
          <w:highlight w:val="white"/>
          <w:lang w:val="en-US"/>
        </w:rPr>
        <w:t xml:space="preserve">. </w:t>
      </w:r>
      <w:r w:rsidRPr="0084305F">
        <w:rPr>
          <w:rFonts w:ascii="Aptos" w:eastAsia="Aptos" w:hAnsi="Aptos" w:cs="Aptos"/>
          <w:snapToGrid/>
          <w:sz w:val="20"/>
          <w:szCs w:val="20"/>
          <w:lang w:val="en-US"/>
        </w:rPr>
        <w:t xml:space="preserve">“Tsunamis” will be </w:t>
      </w:r>
      <w:r w:rsidRPr="0084305F">
        <w:rPr>
          <w:rFonts w:ascii="Aptos" w:eastAsia="Aptos" w:hAnsi="Aptos" w:cs="Aptos"/>
          <w:snapToGrid/>
          <w:color w:val="000000"/>
          <w:sz w:val="20"/>
          <w:szCs w:val="20"/>
          <w:lang w:val="en-US"/>
        </w:rPr>
        <w:t xml:space="preserve">updated </w:t>
      </w:r>
      <w:r w:rsidRPr="0084305F">
        <w:rPr>
          <w:rFonts w:ascii="Aptos" w:eastAsia="Aptos" w:hAnsi="Aptos" w:cs="Aptos"/>
          <w:snapToGrid/>
          <w:sz w:val="20"/>
          <w:szCs w:val="20"/>
          <w:lang w:val="en-US"/>
        </w:rPr>
        <w:t>to</w:t>
      </w:r>
      <w:r w:rsidRPr="0084305F">
        <w:rPr>
          <w:rFonts w:ascii="Aptos" w:eastAsia="Aptos" w:hAnsi="Aptos" w:cs="Aptos"/>
          <w:snapToGrid/>
          <w:color w:val="000000"/>
          <w:sz w:val="20"/>
          <w:szCs w:val="20"/>
          <w:lang w:val="en-US"/>
        </w:rPr>
        <w:t xml:space="preserve"> inclu</w:t>
      </w:r>
      <w:r w:rsidRPr="0084305F">
        <w:rPr>
          <w:rFonts w:ascii="Aptos" w:eastAsia="Aptos" w:hAnsi="Aptos" w:cs="Aptos"/>
          <w:snapToGrid/>
          <w:sz w:val="20"/>
          <w:szCs w:val="20"/>
          <w:lang w:val="en-US"/>
        </w:rPr>
        <w:t xml:space="preserve">de the </w:t>
      </w:r>
      <w:proofErr w:type="gramStart"/>
      <w:r w:rsidRPr="0084305F">
        <w:rPr>
          <w:rFonts w:ascii="Aptos" w:eastAsia="Aptos" w:hAnsi="Aptos" w:cs="Aptos"/>
          <w:snapToGrid/>
          <w:sz w:val="20"/>
          <w:szCs w:val="20"/>
          <w:lang w:val="en-US"/>
        </w:rPr>
        <w:t xml:space="preserve">2018 </w:t>
      </w:r>
      <w:r w:rsidRPr="0084305F">
        <w:rPr>
          <w:rFonts w:ascii="Aptos" w:eastAsia="Aptos" w:hAnsi="Aptos" w:cs="Aptos"/>
          <w:snapToGrid/>
          <w:color w:val="000000"/>
          <w:sz w:val="20"/>
          <w:szCs w:val="20"/>
          <w:lang w:val="en-US"/>
        </w:rPr>
        <w:t xml:space="preserve"> Palu</w:t>
      </w:r>
      <w:proofErr w:type="gramEnd"/>
      <w:r w:rsidRPr="0084305F">
        <w:rPr>
          <w:rFonts w:ascii="Aptos" w:eastAsia="Aptos" w:hAnsi="Aptos" w:cs="Aptos"/>
          <w:snapToGrid/>
          <w:color w:val="000000"/>
          <w:sz w:val="20"/>
          <w:szCs w:val="20"/>
          <w:lang w:val="en-US"/>
        </w:rPr>
        <w:t xml:space="preserve"> tsunami and Hunga Tonga 2022 eruption and tsunami. The COMET TWC Operations course, “Communicating Threats and Impacts During Tsunami Events using </w:t>
      </w:r>
      <w:r w:rsidRPr="0084305F">
        <w:rPr>
          <w:rFonts w:ascii="Aptos" w:eastAsia="Aptos" w:hAnsi="Aptos" w:cs="Aptos"/>
          <w:snapToGrid/>
          <w:sz w:val="20"/>
          <w:szCs w:val="20"/>
          <w:lang w:val="en-US"/>
        </w:rPr>
        <w:t>the IOC</w:t>
      </w:r>
      <w:r w:rsidRPr="0084305F">
        <w:rPr>
          <w:rFonts w:ascii="Aptos" w:eastAsia="Aptos" w:hAnsi="Aptos" w:cs="Aptos"/>
          <w:snapToGrid/>
          <w:color w:val="000000"/>
          <w:sz w:val="20"/>
          <w:szCs w:val="20"/>
          <w:lang w:val="en-US"/>
        </w:rPr>
        <w:t xml:space="preserve"> PTW</w:t>
      </w:r>
      <w:r w:rsidRPr="0084305F">
        <w:rPr>
          <w:rFonts w:ascii="Aptos" w:eastAsia="Aptos" w:hAnsi="Aptos" w:cs="Aptos"/>
          <w:snapToGrid/>
          <w:sz w:val="20"/>
          <w:szCs w:val="20"/>
          <w:lang w:val="en-US"/>
        </w:rPr>
        <w:t>S Tsunami Service Provider</w:t>
      </w:r>
      <w:r w:rsidRPr="0084305F">
        <w:rPr>
          <w:rFonts w:ascii="Aptos" w:eastAsia="Aptos" w:hAnsi="Aptos" w:cs="Aptos"/>
          <w:snapToGrid/>
          <w:color w:val="000000"/>
          <w:sz w:val="20"/>
          <w:szCs w:val="20"/>
          <w:lang w:val="en-US"/>
        </w:rPr>
        <w:t xml:space="preserve"> </w:t>
      </w:r>
      <w:proofErr w:type="spellStart"/>
      <w:r w:rsidRPr="0084305F">
        <w:rPr>
          <w:rFonts w:ascii="Aptos" w:eastAsia="Aptos" w:hAnsi="Aptos" w:cs="Aptos"/>
          <w:snapToGrid/>
          <w:color w:val="000000"/>
          <w:sz w:val="20"/>
          <w:szCs w:val="20"/>
          <w:lang w:val="en-US"/>
        </w:rPr>
        <w:t>products</w:t>
      </w:r>
      <w:proofErr w:type="gramStart"/>
      <w:r w:rsidRPr="0084305F">
        <w:rPr>
          <w:rFonts w:ascii="Aptos" w:eastAsia="Aptos" w:hAnsi="Aptos" w:cs="Aptos"/>
          <w:snapToGrid/>
          <w:color w:val="000000"/>
          <w:sz w:val="20"/>
          <w:szCs w:val="20"/>
          <w:lang w:val="en-US"/>
        </w:rPr>
        <w:t>,”will</w:t>
      </w:r>
      <w:proofErr w:type="spellEnd"/>
      <w:proofErr w:type="gramEnd"/>
      <w:r w:rsidRPr="0084305F">
        <w:rPr>
          <w:rFonts w:ascii="Aptos" w:eastAsia="Aptos" w:hAnsi="Aptos" w:cs="Aptos"/>
          <w:snapToGrid/>
          <w:color w:val="000000"/>
          <w:sz w:val="20"/>
          <w:szCs w:val="20"/>
          <w:lang w:val="en-US"/>
        </w:rPr>
        <w:t xml:space="preserve"> include </w:t>
      </w:r>
      <w:r w:rsidRPr="0084305F">
        <w:rPr>
          <w:rFonts w:ascii="Aptos" w:eastAsia="Aptos" w:hAnsi="Aptos" w:cs="Aptos"/>
          <w:snapToGrid/>
          <w:sz w:val="20"/>
          <w:szCs w:val="20"/>
          <w:lang w:val="en-US"/>
        </w:rPr>
        <w:t xml:space="preserve">an </w:t>
      </w:r>
      <w:proofErr w:type="gramStart"/>
      <w:r w:rsidRPr="0084305F">
        <w:rPr>
          <w:rFonts w:ascii="Aptos" w:eastAsia="Aptos" w:hAnsi="Aptos" w:cs="Aptos"/>
          <w:snapToGrid/>
          <w:sz w:val="20"/>
          <w:szCs w:val="20"/>
          <w:lang w:val="en-US"/>
        </w:rPr>
        <w:t xml:space="preserve">interactive </w:t>
      </w:r>
      <w:r w:rsidRPr="0084305F">
        <w:rPr>
          <w:rFonts w:ascii="Aptos" w:eastAsia="Aptos" w:hAnsi="Aptos" w:cs="Aptos"/>
          <w:snapToGrid/>
          <w:color w:val="000000"/>
          <w:sz w:val="20"/>
          <w:szCs w:val="20"/>
          <w:lang w:val="en-US"/>
        </w:rPr>
        <w:t xml:space="preserve"> tsunami</w:t>
      </w:r>
      <w:proofErr w:type="gramEnd"/>
      <w:r w:rsidRPr="0084305F">
        <w:rPr>
          <w:rFonts w:ascii="Aptos" w:eastAsia="Aptos" w:hAnsi="Aptos" w:cs="Aptos"/>
          <w:snapToGrid/>
          <w:color w:val="000000"/>
          <w:sz w:val="20"/>
          <w:szCs w:val="20"/>
          <w:lang w:val="en-US"/>
        </w:rPr>
        <w:t xml:space="preserve"> event exercise </w:t>
      </w:r>
      <w:r w:rsidRPr="0084305F">
        <w:rPr>
          <w:rFonts w:ascii="Aptos" w:eastAsia="Aptos" w:hAnsi="Aptos" w:cs="Aptos"/>
          <w:snapToGrid/>
          <w:sz w:val="20"/>
          <w:szCs w:val="20"/>
          <w:lang w:val="en-US"/>
        </w:rPr>
        <w:t xml:space="preserve">where trainees role </w:t>
      </w:r>
      <w:proofErr w:type="gramStart"/>
      <w:r w:rsidRPr="0084305F">
        <w:rPr>
          <w:rFonts w:ascii="Aptos" w:eastAsia="Aptos" w:hAnsi="Aptos" w:cs="Aptos"/>
          <w:snapToGrid/>
          <w:sz w:val="20"/>
          <w:szCs w:val="20"/>
          <w:lang w:val="en-US"/>
        </w:rPr>
        <w:t>play</w:t>
      </w:r>
      <w:proofErr w:type="gramEnd"/>
      <w:r w:rsidRPr="0084305F">
        <w:rPr>
          <w:rFonts w:ascii="Aptos" w:eastAsia="Aptos" w:hAnsi="Aptos" w:cs="Aptos"/>
          <w:snapToGrid/>
          <w:sz w:val="20"/>
          <w:szCs w:val="20"/>
          <w:lang w:val="en-US"/>
        </w:rPr>
        <w:t xml:space="preserve"> as TWC staff responding to a </w:t>
      </w:r>
      <w:r w:rsidRPr="0084305F">
        <w:rPr>
          <w:rFonts w:ascii="Aptos" w:eastAsia="Aptos" w:hAnsi="Aptos" w:cs="Aptos"/>
          <w:snapToGrid/>
          <w:color w:val="000000"/>
          <w:sz w:val="20"/>
          <w:szCs w:val="20"/>
          <w:lang w:val="en-US"/>
        </w:rPr>
        <w:t xml:space="preserve">local, regional </w:t>
      </w:r>
      <w:r w:rsidRPr="0084305F">
        <w:rPr>
          <w:rFonts w:ascii="Aptos" w:eastAsia="Aptos" w:hAnsi="Aptos" w:cs="Aptos"/>
          <w:snapToGrid/>
          <w:sz w:val="20"/>
          <w:szCs w:val="20"/>
          <w:lang w:val="en-US"/>
        </w:rPr>
        <w:t>or</w:t>
      </w:r>
      <w:r w:rsidRPr="0084305F">
        <w:rPr>
          <w:rFonts w:ascii="Aptos" w:eastAsia="Aptos" w:hAnsi="Aptos" w:cs="Aptos"/>
          <w:snapToGrid/>
          <w:color w:val="000000"/>
          <w:sz w:val="20"/>
          <w:szCs w:val="20"/>
          <w:lang w:val="en-US"/>
        </w:rPr>
        <w:t xml:space="preserve"> distant </w:t>
      </w:r>
      <w:proofErr w:type="spellStart"/>
      <w:r w:rsidRPr="0084305F">
        <w:rPr>
          <w:rFonts w:ascii="Aptos" w:eastAsia="Aptos" w:hAnsi="Aptos" w:cs="Aptos"/>
          <w:snapToGrid/>
          <w:color w:val="000000"/>
          <w:sz w:val="20"/>
          <w:szCs w:val="20"/>
          <w:lang w:val="en-US"/>
        </w:rPr>
        <w:t>tsunamif</w:t>
      </w:r>
      <w:proofErr w:type="spellEnd"/>
      <w:r w:rsidRPr="0084305F">
        <w:rPr>
          <w:rFonts w:ascii="Aptos" w:eastAsia="Aptos" w:hAnsi="Aptos" w:cs="Aptos"/>
          <w:snapToGrid/>
          <w:color w:val="000000"/>
          <w:sz w:val="20"/>
          <w:szCs w:val="20"/>
          <w:lang w:val="en-US"/>
        </w:rPr>
        <w:t xml:space="preserve">. </w:t>
      </w:r>
      <w:r w:rsidRPr="0084305F">
        <w:rPr>
          <w:rFonts w:ascii="Aptos" w:eastAsia="Aptos" w:hAnsi="Aptos" w:cs="Aptos"/>
          <w:snapToGrid/>
          <w:sz w:val="20"/>
          <w:szCs w:val="20"/>
          <w:lang w:val="en-US"/>
        </w:rPr>
        <w:t xml:space="preserve"> </w:t>
      </w:r>
    </w:p>
    <w:p w14:paraId="009A8BFE"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43F94705"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color w:val="0070C0"/>
          <w:sz w:val="20"/>
          <w:szCs w:val="20"/>
          <w:lang w:val="en-US"/>
        </w:rPr>
        <w:t>Recommendations</w:t>
      </w:r>
    </w:p>
    <w:p w14:paraId="4D266A0D"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Notes </w:t>
      </w:r>
      <w:r w:rsidRPr="0084305F">
        <w:rPr>
          <w:rFonts w:ascii="Aptos" w:eastAsia="Aptos" w:hAnsi="Aptos" w:cs="Aptos"/>
          <w:snapToGrid/>
          <w:sz w:val="20"/>
          <w:szCs w:val="20"/>
          <w:lang w:val="en-US"/>
        </w:rPr>
        <w:t>the importance and value of establishing minimum tsunami warning center competencies under a global framework</w:t>
      </w:r>
    </w:p>
    <w:p w14:paraId="55BF54DB" w14:textId="77777777" w:rsidR="0084305F" w:rsidRPr="0084305F" w:rsidRDefault="0084305F" w:rsidP="0084305F">
      <w:pPr>
        <w:tabs>
          <w:tab w:val="clear" w:pos="709"/>
        </w:tabs>
        <w:snapToGrid/>
        <w:jc w:val="both"/>
        <w:rPr>
          <w:rFonts w:ascii="Aptos" w:eastAsia="Aptos" w:hAnsi="Aptos" w:cs="Aptos"/>
          <w:b/>
          <w:snapToGrid/>
          <w:sz w:val="20"/>
          <w:szCs w:val="20"/>
          <w:lang w:val="en-US"/>
        </w:rPr>
      </w:pPr>
    </w:p>
    <w:p w14:paraId="2827311F"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Acknowledges </w:t>
      </w:r>
      <w:r w:rsidRPr="0084305F">
        <w:rPr>
          <w:rFonts w:ascii="Aptos" w:eastAsia="Aptos" w:hAnsi="Aptos" w:cs="Aptos"/>
          <w:snapToGrid/>
          <w:sz w:val="20"/>
          <w:szCs w:val="20"/>
          <w:lang w:val="en-US"/>
        </w:rPr>
        <w:t xml:space="preserve">the progress of the PTWS under the leadership of the ITIC to develop the Tsunami Warning Center Minimum Staff Competencies (TWC-MSC) Training Course, which will consist of Tsunami and Earthquake Science, Tsunami Warning Center Operations, and National Training Modules, all to be enabled under the IOC’s </w:t>
      </w:r>
      <w:proofErr w:type="spellStart"/>
      <w:r w:rsidRPr="0084305F">
        <w:rPr>
          <w:rFonts w:ascii="Aptos" w:eastAsia="Aptos" w:hAnsi="Aptos" w:cs="Aptos"/>
          <w:snapToGrid/>
          <w:sz w:val="20"/>
          <w:szCs w:val="20"/>
          <w:lang w:val="en-US"/>
        </w:rPr>
        <w:t>OceanTeacher</w:t>
      </w:r>
      <w:proofErr w:type="spellEnd"/>
      <w:r w:rsidRPr="0084305F">
        <w:rPr>
          <w:rFonts w:ascii="Aptos" w:eastAsia="Aptos" w:hAnsi="Aptos" w:cs="Aptos"/>
          <w:snapToGrid/>
          <w:sz w:val="20"/>
          <w:szCs w:val="20"/>
          <w:lang w:val="en-US"/>
        </w:rPr>
        <w:t xml:space="preserve"> Global Academy.</w:t>
      </w:r>
    </w:p>
    <w:p w14:paraId="02944AC2"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0E049573" w14:textId="77777777" w:rsidR="0084305F" w:rsidRPr="0084305F" w:rsidRDefault="0084305F" w:rsidP="0084305F">
      <w:pPr>
        <w:tabs>
          <w:tab w:val="clear" w:pos="709"/>
        </w:tabs>
        <w:snapToGrid/>
        <w:jc w:val="both"/>
        <w:rPr>
          <w:rFonts w:ascii="Aptos" w:eastAsia="Aptos" w:hAnsi="Aptos" w:cs="Aptos"/>
          <w:b/>
          <w:snapToGrid/>
          <w:sz w:val="20"/>
          <w:szCs w:val="20"/>
          <w:lang w:val="en-US"/>
        </w:rPr>
      </w:pPr>
      <w:r w:rsidRPr="0084305F">
        <w:rPr>
          <w:rFonts w:ascii="Aptos" w:eastAsia="Aptos" w:hAnsi="Aptos" w:cs="Aptos"/>
          <w:b/>
          <w:snapToGrid/>
          <w:sz w:val="20"/>
          <w:szCs w:val="20"/>
          <w:lang w:val="en-US"/>
        </w:rPr>
        <w:lastRenderedPageBreak/>
        <w:t xml:space="preserve">Appreciates </w:t>
      </w:r>
      <w:r w:rsidRPr="0084305F">
        <w:rPr>
          <w:rFonts w:ascii="Aptos" w:eastAsia="Aptos" w:hAnsi="Aptos" w:cs="Aptos"/>
          <w:snapToGrid/>
          <w:sz w:val="20"/>
          <w:szCs w:val="20"/>
          <w:lang w:val="en-US"/>
        </w:rPr>
        <w:t>the contribution of the IOC Ocean Training Internship Programme to provide interns from Indonesia and Tonga to the ITIC in 2024 to work on the development of the OTGA UNESCO-IOC Training Courses on Tsunami Ready and Tsunami Warning Center Minimum Staff Competencies.</w:t>
      </w:r>
    </w:p>
    <w:p w14:paraId="60E60D42" w14:textId="77777777" w:rsidR="0084305F" w:rsidRPr="0084305F" w:rsidRDefault="0084305F" w:rsidP="0084305F">
      <w:pPr>
        <w:tabs>
          <w:tab w:val="clear" w:pos="709"/>
        </w:tabs>
        <w:snapToGrid/>
        <w:jc w:val="both"/>
        <w:rPr>
          <w:rFonts w:ascii="Aptos" w:eastAsia="Aptos" w:hAnsi="Aptos" w:cs="Aptos"/>
          <w:b/>
          <w:snapToGrid/>
          <w:sz w:val="20"/>
          <w:szCs w:val="20"/>
          <w:lang w:val="en-US"/>
        </w:rPr>
      </w:pPr>
    </w:p>
    <w:p w14:paraId="74977B75"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Further </w:t>
      </w:r>
      <w:proofErr w:type="gramStart"/>
      <w:r w:rsidRPr="0084305F">
        <w:rPr>
          <w:rFonts w:ascii="Aptos" w:eastAsia="Aptos" w:hAnsi="Aptos" w:cs="Aptos"/>
          <w:b/>
          <w:snapToGrid/>
          <w:sz w:val="20"/>
          <w:szCs w:val="20"/>
          <w:lang w:val="en-US"/>
        </w:rPr>
        <w:t xml:space="preserve">appreciates </w:t>
      </w:r>
      <w:r w:rsidRPr="0084305F">
        <w:rPr>
          <w:rFonts w:ascii="Aptos" w:eastAsia="Aptos" w:hAnsi="Aptos" w:cs="Aptos"/>
          <w:snapToGrid/>
          <w:sz w:val="20"/>
          <w:szCs w:val="20"/>
          <w:lang w:val="en-US"/>
        </w:rPr>
        <w:t xml:space="preserve"> the</w:t>
      </w:r>
      <w:proofErr w:type="gramEnd"/>
      <w:r w:rsidRPr="0084305F">
        <w:rPr>
          <w:rFonts w:ascii="Aptos" w:eastAsia="Aptos" w:hAnsi="Aptos" w:cs="Aptos"/>
          <w:snapToGrid/>
          <w:sz w:val="20"/>
          <w:szCs w:val="20"/>
          <w:lang w:val="en-US"/>
        </w:rPr>
        <w:t xml:space="preserve"> contribution of United States COMET Program to develop </w:t>
      </w:r>
      <w:proofErr w:type="spellStart"/>
      <w:r w:rsidRPr="0084305F">
        <w:rPr>
          <w:rFonts w:ascii="Aptos" w:eastAsia="Aptos" w:hAnsi="Aptos" w:cs="Aptos"/>
          <w:snapToGrid/>
          <w:sz w:val="20"/>
          <w:szCs w:val="20"/>
          <w:lang w:val="en-US"/>
        </w:rPr>
        <w:t>MetED</w:t>
      </w:r>
      <w:proofErr w:type="spellEnd"/>
      <w:r w:rsidRPr="0084305F">
        <w:rPr>
          <w:rFonts w:ascii="Aptos" w:eastAsia="Aptos" w:hAnsi="Aptos" w:cs="Aptos"/>
          <w:snapToGrid/>
          <w:sz w:val="20"/>
          <w:szCs w:val="20"/>
          <w:lang w:val="en-US"/>
        </w:rPr>
        <w:t xml:space="preserve"> training modules for the TWC-MSC Training Course, including modules on “Tsunamis” and ‘Communicating and Understanding Tsunami Risks using IOC PTWS Tsunami Service Provider Products” </w:t>
      </w:r>
    </w:p>
    <w:p w14:paraId="72683994"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375C932"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Further notes</w:t>
      </w:r>
      <w:r w:rsidRPr="0084305F">
        <w:rPr>
          <w:rFonts w:ascii="Aptos" w:eastAsia="Aptos" w:hAnsi="Aptos" w:cs="Aptos"/>
          <w:snapToGrid/>
          <w:sz w:val="20"/>
          <w:szCs w:val="20"/>
          <w:lang w:val="en-US"/>
        </w:rPr>
        <w:t xml:space="preserve"> that the OTGA PTWS TWC-MSC Training Course Pilot is expected to be ready to receive a small cohort in 2026, pending funding and ITIC staff resources. </w:t>
      </w:r>
    </w:p>
    <w:p w14:paraId="78B44253"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36616F13"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ptos" w:eastAsia="Aptos" w:hAnsi="Aptos" w:cs="Aptos"/>
          <w:snapToGrid/>
          <w:color w:val="0F4761"/>
          <w:sz w:val="28"/>
          <w:szCs w:val="28"/>
          <w:lang w:val="en-US"/>
        </w:rPr>
      </w:pPr>
      <w:bookmarkStart w:id="252" w:name="_lnxbz9" w:colFirst="0" w:colLast="0"/>
      <w:bookmarkStart w:id="253" w:name="_Toc195258142"/>
      <w:bookmarkEnd w:id="252"/>
      <w:r w:rsidRPr="0084305F">
        <w:rPr>
          <w:rFonts w:ascii="Aptos" w:eastAsia="Aptos" w:hAnsi="Aptos" w:cs="Aptos"/>
          <w:snapToGrid/>
          <w:color w:val="0F4761"/>
          <w:sz w:val="28"/>
          <w:szCs w:val="28"/>
          <w:lang w:val="en-US"/>
        </w:rPr>
        <w:t>6.0 Tsunami Glossary Update</w:t>
      </w:r>
      <w:bookmarkEnd w:id="253"/>
      <w:r w:rsidRPr="0084305F">
        <w:rPr>
          <w:rFonts w:ascii="Aptos" w:eastAsia="Aptos" w:hAnsi="Aptos" w:cs="Aptos"/>
          <w:snapToGrid/>
          <w:color w:val="0F4761"/>
          <w:sz w:val="28"/>
          <w:szCs w:val="28"/>
          <w:lang w:val="en-US"/>
        </w:rPr>
        <w:t xml:space="preserve"> </w:t>
      </w:r>
    </w:p>
    <w:p w14:paraId="52EF0EBB"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Laura Kong reported on the Tsunami Glossary update to the 2019 version.  Edits were approved by the TOWS-WG-XVII (2024) and currently with the IOC for final layout and publication in English, French, Spanish, Arabic and Chinese (UN languages).  The update to “meteotsunami” definition was not approved, and is under further discussion, noting that IOC TS 200 on Meteotsunamis was published in 2025.  </w:t>
      </w:r>
    </w:p>
    <w:p w14:paraId="38150C2D" w14:textId="77777777" w:rsidR="0084305F" w:rsidRPr="0084305F" w:rsidRDefault="0084305F" w:rsidP="0084305F">
      <w:pPr>
        <w:pBdr>
          <w:top w:val="nil"/>
          <w:left w:val="nil"/>
          <w:bottom w:val="nil"/>
          <w:right w:val="nil"/>
          <w:between w:val="nil"/>
        </w:pBd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At the TOWS-WG-XVI (2023), the IUGG Joint Tsunami Commission (JTC) and ITIC were </w:t>
      </w:r>
      <w:proofErr w:type="gramStart"/>
      <w:r w:rsidRPr="0084305F">
        <w:rPr>
          <w:rFonts w:ascii="Aptos" w:eastAsia="Aptos" w:hAnsi="Aptos" w:cs="Aptos"/>
          <w:snapToGrid/>
          <w:sz w:val="20"/>
          <w:szCs w:val="20"/>
          <w:lang w:val="en-US"/>
        </w:rPr>
        <w:t>requested  to</w:t>
      </w:r>
      <w:proofErr w:type="gramEnd"/>
      <w:r w:rsidRPr="0084305F">
        <w:rPr>
          <w:rFonts w:ascii="Aptos" w:eastAsia="Aptos" w:hAnsi="Aptos" w:cs="Aptos"/>
          <w:snapToGrid/>
          <w:sz w:val="20"/>
          <w:szCs w:val="20"/>
          <w:lang w:val="en-US"/>
        </w:rPr>
        <w:t xml:space="preserve"> undertake review to advise on whether the existing tsunami glossary is sufficient to meet the needs of the scientific community, tsunami stakeholders, and other practitioners, or </w:t>
      </w:r>
      <w:proofErr w:type="gramStart"/>
      <w:r w:rsidRPr="0084305F">
        <w:rPr>
          <w:rFonts w:ascii="Aptos" w:eastAsia="Aptos" w:hAnsi="Aptos" w:cs="Aptos"/>
          <w:snapToGrid/>
          <w:sz w:val="20"/>
          <w:szCs w:val="20"/>
          <w:lang w:val="en-US"/>
        </w:rPr>
        <w:t>if is</w:t>
      </w:r>
      <w:proofErr w:type="gramEnd"/>
      <w:r w:rsidRPr="0084305F">
        <w:rPr>
          <w:rFonts w:ascii="Aptos" w:eastAsia="Aptos" w:hAnsi="Aptos" w:cs="Aptos"/>
          <w:snapToGrid/>
          <w:sz w:val="20"/>
          <w:szCs w:val="20"/>
          <w:lang w:val="en-US"/>
        </w:rPr>
        <w:t xml:space="preserve"> a new version or versions are required.  </w:t>
      </w:r>
    </w:p>
    <w:p w14:paraId="1A80F7F0" w14:textId="77777777" w:rsidR="0084305F" w:rsidRPr="0084305F" w:rsidRDefault="0084305F" w:rsidP="0084305F">
      <w:pPr>
        <w:pBdr>
          <w:top w:val="nil"/>
          <w:left w:val="nil"/>
          <w:bottom w:val="nil"/>
          <w:right w:val="nil"/>
          <w:between w:val="nil"/>
        </w:pBd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The ITIC and Chair of the IUGG JTC Working Group on Terminology responded that there is no compelling need nor request for additional versions.  The IOC Tsunami Resilience Section confirmed that no requests had been received.  It was noted that it may be difficult to agree on short clear, simple definitions for some words in the Glossary.  Additionally, there are already many correct ‘simple’ versions in use, and there may be a challenge to ensure everyone uses the Glossary version.  It was suggested that simpler definitions may be useful for some terms, and that this can be addressed in the future.</w:t>
      </w:r>
    </w:p>
    <w:p w14:paraId="60B460A4"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Joint Task Teams Recommendations</w:t>
      </w:r>
    </w:p>
    <w:p w14:paraId="02EC6519"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Notes with appreciation </w:t>
      </w:r>
      <w:r w:rsidRPr="0084305F">
        <w:rPr>
          <w:rFonts w:ascii="Aptos" w:eastAsia="Aptos" w:hAnsi="Aptos" w:cs="Aptos"/>
          <w:snapToGrid/>
          <w:sz w:val="20"/>
          <w:szCs w:val="20"/>
          <w:lang w:val="en-US"/>
        </w:rPr>
        <w:t>the work of the IUGG Joint Tsunami Commission and the ITIC for reviewing and recommending updates to the Tsunami Glossary of the IOC.</w:t>
      </w:r>
    </w:p>
    <w:p w14:paraId="41EF2AAD"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Notes</w:t>
      </w:r>
      <w:r w:rsidRPr="0084305F">
        <w:rPr>
          <w:rFonts w:ascii="Aptos" w:eastAsia="Aptos" w:hAnsi="Aptos" w:cs="Aptos"/>
          <w:snapToGrid/>
          <w:sz w:val="20"/>
          <w:szCs w:val="20"/>
          <w:lang w:val="en-US"/>
        </w:rPr>
        <w:t xml:space="preserve"> the approved edits of the 2025 Tsunami Glossary Update excludes </w:t>
      </w:r>
      <w:proofErr w:type="spellStart"/>
      <w:r w:rsidRPr="0084305F">
        <w:rPr>
          <w:rFonts w:ascii="Aptos" w:eastAsia="Aptos" w:hAnsi="Aptos" w:cs="Aptos"/>
          <w:snapToGrid/>
          <w:sz w:val="20"/>
          <w:szCs w:val="20"/>
          <w:lang w:val="en-US"/>
        </w:rPr>
        <w:t>meteotsunamis</w:t>
      </w:r>
      <w:proofErr w:type="spellEnd"/>
      <w:r w:rsidRPr="0084305F">
        <w:rPr>
          <w:rFonts w:ascii="Aptos" w:eastAsia="Aptos" w:hAnsi="Aptos" w:cs="Aptos"/>
          <w:snapToGrid/>
          <w:sz w:val="20"/>
          <w:szCs w:val="20"/>
          <w:lang w:val="en-US"/>
        </w:rPr>
        <w:t xml:space="preserve">. </w:t>
      </w:r>
    </w:p>
    <w:p w14:paraId="0F450A57"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Notes</w:t>
      </w:r>
      <w:r w:rsidRPr="0084305F">
        <w:rPr>
          <w:rFonts w:ascii="Aptos" w:eastAsia="Aptos" w:hAnsi="Aptos" w:cs="Aptos"/>
          <w:snapToGrid/>
          <w:sz w:val="20"/>
          <w:szCs w:val="20"/>
          <w:lang w:val="en-US"/>
        </w:rPr>
        <w:t xml:space="preserve"> the Tsunami Glossary will be published in Quarter 1 of 2025 by the IOC. </w:t>
      </w:r>
    </w:p>
    <w:p w14:paraId="66AA6DC4"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Further notes</w:t>
      </w:r>
      <w:r w:rsidRPr="0084305F">
        <w:rPr>
          <w:rFonts w:ascii="Aptos" w:eastAsia="Aptos" w:hAnsi="Aptos" w:cs="Aptos"/>
          <w:snapToGrid/>
          <w:sz w:val="20"/>
          <w:szCs w:val="20"/>
          <w:lang w:val="en-US"/>
        </w:rPr>
        <w:t xml:space="preserve"> that there are no specific requests of the need to change the format and style of </w:t>
      </w:r>
      <w:proofErr w:type="gramStart"/>
      <w:r w:rsidRPr="0084305F">
        <w:rPr>
          <w:rFonts w:ascii="Aptos" w:eastAsia="Aptos" w:hAnsi="Aptos" w:cs="Aptos"/>
          <w:snapToGrid/>
          <w:sz w:val="20"/>
          <w:szCs w:val="20"/>
          <w:lang w:val="en-US"/>
        </w:rPr>
        <w:t>the  existing</w:t>
      </w:r>
      <w:proofErr w:type="gramEnd"/>
      <w:r w:rsidRPr="0084305F">
        <w:rPr>
          <w:rFonts w:ascii="Aptos" w:eastAsia="Aptos" w:hAnsi="Aptos" w:cs="Aptos"/>
          <w:snapToGrid/>
          <w:sz w:val="20"/>
          <w:szCs w:val="20"/>
          <w:lang w:val="en-US"/>
        </w:rPr>
        <w:t xml:space="preserve"> Tsunami Glossary.</w:t>
      </w:r>
    </w:p>
    <w:p w14:paraId="3341E0F4"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ptos" w:eastAsia="Aptos" w:hAnsi="Aptos" w:cs="Aptos"/>
          <w:snapToGrid/>
          <w:color w:val="0F4761"/>
          <w:sz w:val="28"/>
          <w:szCs w:val="28"/>
          <w:lang w:val="en-US"/>
        </w:rPr>
      </w:pPr>
      <w:bookmarkStart w:id="254" w:name="_Toc195258143"/>
      <w:r w:rsidRPr="0084305F">
        <w:rPr>
          <w:rFonts w:ascii="Aptos" w:eastAsia="Aptos" w:hAnsi="Aptos" w:cs="Aptos"/>
          <w:snapToGrid/>
          <w:color w:val="0F4761"/>
          <w:sz w:val="28"/>
          <w:szCs w:val="28"/>
          <w:lang w:val="en-US"/>
        </w:rPr>
        <w:t>7.0 IUGG update</w:t>
      </w:r>
      <w:bookmarkEnd w:id="254"/>
      <w:r w:rsidRPr="0084305F">
        <w:rPr>
          <w:rFonts w:ascii="Aptos" w:eastAsia="Aptos" w:hAnsi="Aptos" w:cs="Aptos"/>
          <w:snapToGrid/>
          <w:color w:val="0F4761"/>
          <w:sz w:val="28"/>
          <w:szCs w:val="28"/>
          <w:lang w:val="en-US"/>
        </w:rPr>
        <w:t xml:space="preserve">  </w:t>
      </w:r>
    </w:p>
    <w:p w14:paraId="015FC7F0"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Dr. Laura Kong, on behalf of the IUGG Chair and Vice-Chairs, provided an update on IUGG. The IUGG Joint Tsunami Commission (JTC), established in 1960, promotes global collaboration on tsunami science and hazard mitigation. It consists of around 70 member countries and operates through specialized working groups focused on tsunami terminology, science-based warning systems, tsunami magnitude studies, GNSS data utilization, </w:t>
      </w:r>
      <w:proofErr w:type="spellStart"/>
      <w:r w:rsidRPr="0084305F">
        <w:rPr>
          <w:rFonts w:ascii="Aptos" w:eastAsia="Aptos" w:hAnsi="Aptos" w:cs="Aptos"/>
          <w:snapToGrid/>
          <w:sz w:val="20"/>
          <w:szCs w:val="20"/>
          <w:lang w:val="en-US"/>
        </w:rPr>
        <w:t>meteotsunamis</w:t>
      </w:r>
      <w:proofErr w:type="spellEnd"/>
      <w:r w:rsidRPr="0084305F">
        <w:rPr>
          <w:rFonts w:ascii="Aptos" w:eastAsia="Aptos" w:hAnsi="Aptos" w:cs="Aptos"/>
          <w:snapToGrid/>
          <w:sz w:val="20"/>
          <w:szCs w:val="20"/>
          <w:lang w:val="en-US"/>
        </w:rPr>
        <w:t>, and data management. Recent and upcoming key events include the 2nd UNESCO-IOC Global Tsunami Symposium in Banda Aceh (Nov 2024), the 60th Anniversary of the ICG/PTWS in China (April 2025), and the International Tsunami Symposium (ITS 2025) in Hyderabad, India. The commission also contributes to major international conferences and scientific publications, including research on the 2022 Tonga Volcanic Eruption.</w:t>
      </w:r>
    </w:p>
    <w:p w14:paraId="5285E6C0"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lastRenderedPageBreak/>
        <w:t>JTC plays a vital role in tsunami preparedness and risk reduction through its involvement in the UN Ocean Decade Tsunami Programme, the IOC Tsunami Ready Recognition Programme, and the development of the Tsunami Glossary 2025 in multiple languages. It actively collaborates with organizations such as UNESCO, ITIC, WMO, and IGCP to advance scientific research, capacity development, and early warning initiatives. Additionally, JTC members support projects like the SMART Subsea Cables Initiative for real-time tsunami detection. Through its research, publications, and international partnerships, JTC aims to enhance global resilience against tsunami hazards.</w:t>
      </w:r>
    </w:p>
    <w:p w14:paraId="75F2462A"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6A7AAC92"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proofErr w:type="gramStart"/>
      <w:r w:rsidRPr="0084305F">
        <w:rPr>
          <w:rFonts w:ascii="Aptos" w:eastAsia="Aptos" w:hAnsi="Aptos" w:cs="Aptos"/>
          <w:b/>
          <w:snapToGrid/>
          <w:sz w:val="20"/>
          <w:szCs w:val="20"/>
          <w:lang w:val="en-US"/>
        </w:rPr>
        <w:t>Appreciates</w:t>
      </w:r>
      <w:proofErr w:type="gramEnd"/>
      <w:r w:rsidRPr="0084305F">
        <w:rPr>
          <w:rFonts w:ascii="Aptos" w:eastAsia="Aptos" w:hAnsi="Aptos" w:cs="Aptos"/>
          <w:snapToGrid/>
          <w:sz w:val="20"/>
          <w:szCs w:val="20"/>
          <w:lang w:val="en-US"/>
        </w:rPr>
        <w:t xml:space="preserve"> the continued efforts and contributions of IUGG on promoting global collaboration on tsunami science, hazard assessment, </w:t>
      </w:r>
      <w:proofErr w:type="gramStart"/>
      <w:r w:rsidRPr="0084305F">
        <w:rPr>
          <w:rFonts w:ascii="Aptos" w:eastAsia="Aptos" w:hAnsi="Aptos" w:cs="Aptos"/>
          <w:snapToGrid/>
          <w:sz w:val="20"/>
          <w:szCs w:val="20"/>
          <w:lang w:val="en-US"/>
        </w:rPr>
        <w:t>mitigation,  and</w:t>
      </w:r>
      <w:proofErr w:type="gramEnd"/>
      <w:r w:rsidRPr="0084305F">
        <w:rPr>
          <w:rFonts w:ascii="Aptos" w:eastAsia="Aptos" w:hAnsi="Aptos" w:cs="Aptos"/>
          <w:snapToGrid/>
          <w:sz w:val="20"/>
          <w:szCs w:val="20"/>
          <w:lang w:val="en-US"/>
        </w:rPr>
        <w:t xml:space="preserve"> preparedness.</w:t>
      </w:r>
    </w:p>
    <w:p w14:paraId="7F3B4BDB" w14:textId="77777777" w:rsidR="0084305F" w:rsidRPr="0084305F" w:rsidRDefault="0084305F" w:rsidP="0084305F">
      <w:pPr>
        <w:tabs>
          <w:tab w:val="clear" w:pos="709"/>
        </w:tabs>
        <w:snapToGrid/>
        <w:spacing w:after="160" w:line="259" w:lineRule="auto"/>
        <w:jc w:val="both"/>
        <w:rPr>
          <w:rFonts w:ascii="Aptos" w:eastAsia="Aptos" w:hAnsi="Aptos" w:cs="Aptos"/>
          <w:snapToGrid/>
          <w:sz w:val="22"/>
          <w:szCs w:val="22"/>
          <w:lang w:val="en-US"/>
        </w:rPr>
      </w:pPr>
      <w:r w:rsidRPr="0084305F">
        <w:rPr>
          <w:rFonts w:ascii="Aptos" w:eastAsia="Aptos" w:hAnsi="Aptos" w:cs="Aptos"/>
          <w:b/>
          <w:snapToGrid/>
          <w:sz w:val="20"/>
          <w:szCs w:val="20"/>
          <w:lang w:val="en-US"/>
        </w:rPr>
        <w:t xml:space="preserve">Further appreciates </w:t>
      </w:r>
      <w:r w:rsidRPr="0084305F">
        <w:rPr>
          <w:rFonts w:ascii="Aptos" w:eastAsia="Aptos" w:hAnsi="Aptos" w:cs="Aptos"/>
          <w:snapToGrid/>
          <w:sz w:val="20"/>
          <w:szCs w:val="20"/>
          <w:lang w:val="en-US"/>
        </w:rPr>
        <w:t xml:space="preserve">IUGG's contributions to tsunami science and preparedness, working with the IOC, and especially its role in the 2nd UNESCO-IOC Global Tsunami Symposium, major conferences, research on the 2022 Tonga Volcanic Eruption, and key initiatives like the UN Ocean Decade Tsunami Programme, and IOC publications on Tsunamis Generated by Volcanoes, Meteotsunamis, and the Tsunami Glossary 2025. </w:t>
      </w:r>
    </w:p>
    <w:p w14:paraId="20DA0333" w14:textId="77777777" w:rsidR="0084305F" w:rsidRPr="0084305F" w:rsidRDefault="0084305F" w:rsidP="0084305F">
      <w:pPr>
        <w:keepNext/>
        <w:keepLines/>
        <w:numPr>
          <w:ilvl w:val="0"/>
          <w:numId w:val="149"/>
        </w:numPr>
        <w:tabs>
          <w:tab w:val="clear" w:pos="709"/>
        </w:tabs>
        <w:snapToGrid/>
        <w:spacing w:before="360" w:after="80" w:line="259" w:lineRule="auto"/>
        <w:outlineLvl w:val="0"/>
        <w:rPr>
          <w:rFonts w:ascii="Aptos" w:eastAsia="Aptos" w:hAnsi="Aptos" w:cs="Aptos"/>
          <w:snapToGrid/>
          <w:color w:val="0F4761"/>
          <w:sz w:val="28"/>
          <w:szCs w:val="28"/>
          <w:lang w:val="en-US"/>
        </w:rPr>
      </w:pPr>
      <w:bookmarkStart w:id="255" w:name="_Toc195258144"/>
      <w:r w:rsidRPr="0084305F">
        <w:rPr>
          <w:rFonts w:ascii="Aptos" w:eastAsia="Aptos" w:hAnsi="Aptos" w:cs="Aptos"/>
          <w:snapToGrid/>
          <w:color w:val="0F4761"/>
          <w:sz w:val="28"/>
          <w:szCs w:val="28"/>
          <w:lang w:val="en-US"/>
        </w:rPr>
        <w:t xml:space="preserve">Update UN Sec General “Early Warnings </w:t>
      </w:r>
      <w:proofErr w:type="gramStart"/>
      <w:r w:rsidRPr="0084305F">
        <w:rPr>
          <w:rFonts w:ascii="Aptos" w:eastAsia="Aptos" w:hAnsi="Aptos" w:cs="Aptos"/>
          <w:snapToGrid/>
          <w:color w:val="0F4761"/>
          <w:sz w:val="28"/>
          <w:szCs w:val="28"/>
          <w:lang w:val="en-US"/>
        </w:rPr>
        <w:t>For</w:t>
      </w:r>
      <w:proofErr w:type="gramEnd"/>
      <w:r w:rsidRPr="0084305F">
        <w:rPr>
          <w:rFonts w:ascii="Aptos" w:eastAsia="Aptos" w:hAnsi="Aptos" w:cs="Aptos"/>
          <w:snapToGrid/>
          <w:color w:val="0F4761"/>
          <w:sz w:val="28"/>
          <w:szCs w:val="28"/>
          <w:lang w:val="en-US"/>
        </w:rPr>
        <w:t xml:space="preserve"> All” Initiative and 8</w:t>
      </w:r>
      <w:r w:rsidRPr="0084305F">
        <w:rPr>
          <w:rFonts w:ascii="Aptos" w:eastAsia="Aptos" w:hAnsi="Aptos" w:cs="Aptos"/>
          <w:snapToGrid/>
          <w:color w:val="0F4761"/>
          <w:sz w:val="28"/>
          <w:szCs w:val="28"/>
          <w:vertAlign w:val="superscript"/>
          <w:lang w:val="en-US"/>
        </w:rPr>
        <w:t>th</w:t>
      </w:r>
      <w:r w:rsidRPr="0084305F">
        <w:rPr>
          <w:rFonts w:ascii="Aptos" w:eastAsia="Aptos" w:hAnsi="Aptos" w:cs="Aptos"/>
          <w:snapToGrid/>
          <w:color w:val="0F4761"/>
          <w:sz w:val="28"/>
          <w:szCs w:val="28"/>
          <w:lang w:val="en-US"/>
        </w:rPr>
        <w:t xml:space="preserve"> GPDRR</w:t>
      </w:r>
      <w:bookmarkEnd w:id="255"/>
      <w:r w:rsidRPr="0084305F">
        <w:rPr>
          <w:rFonts w:ascii="Aptos" w:eastAsia="Aptos" w:hAnsi="Aptos" w:cs="Aptos"/>
          <w:snapToGrid/>
          <w:color w:val="0F4761"/>
          <w:sz w:val="28"/>
          <w:szCs w:val="28"/>
          <w:lang w:val="en-US"/>
        </w:rPr>
        <w:t xml:space="preserve"> </w:t>
      </w:r>
    </w:p>
    <w:p w14:paraId="66B99211" w14:textId="77777777" w:rsidR="0084305F" w:rsidRPr="0084305F" w:rsidRDefault="0084305F" w:rsidP="0084305F">
      <w:pPr>
        <w:tabs>
          <w:tab w:val="clear" w:pos="709"/>
        </w:tabs>
        <w:snapToGrid/>
        <w:spacing w:after="160" w:line="259" w:lineRule="auto"/>
        <w:jc w:val="both"/>
        <w:rPr>
          <w:rFonts w:ascii="Aptos" w:eastAsia="Aptos" w:hAnsi="Aptos" w:cs="Aptos"/>
          <w:snapToGrid/>
          <w:color w:val="000000"/>
          <w:sz w:val="20"/>
          <w:szCs w:val="20"/>
          <w:lang w:val="en-US"/>
        </w:rPr>
      </w:pPr>
      <w:r w:rsidRPr="0084305F">
        <w:rPr>
          <w:rFonts w:ascii="Aptos" w:eastAsia="Aptos" w:hAnsi="Aptos" w:cs="Aptos"/>
          <w:snapToGrid/>
          <w:sz w:val="20"/>
          <w:szCs w:val="20"/>
          <w:lang w:val="en-US"/>
        </w:rPr>
        <w:t xml:space="preserve">Dr. Denis Chang Seng reported on the upcoming events on Early Warnings </w:t>
      </w:r>
      <w:proofErr w:type="gramStart"/>
      <w:r w:rsidRPr="0084305F">
        <w:rPr>
          <w:rFonts w:ascii="Aptos" w:eastAsia="Aptos" w:hAnsi="Aptos" w:cs="Aptos"/>
          <w:snapToGrid/>
          <w:sz w:val="20"/>
          <w:szCs w:val="20"/>
          <w:lang w:val="en-US"/>
        </w:rPr>
        <w:t>For</w:t>
      </w:r>
      <w:proofErr w:type="gramEnd"/>
      <w:r w:rsidRPr="0084305F">
        <w:rPr>
          <w:rFonts w:ascii="Aptos" w:eastAsia="Aptos" w:hAnsi="Aptos" w:cs="Aptos"/>
          <w:snapToGrid/>
          <w:sz w:val="20"/>
          <w:szCs w:val="20"/>
          <w:lang w:val="en-US"/>
        </w:rPr>
        <w:t xml:space="preserve"> Al Multistakeholder Forum and the 8</w:t>
      </w:r>
      <w:r w:rsidRPr="0084305F">
        <w:rPr>
          <w:rFonts w:ascii="Aptos" w:eastAsia="Aptos" w:hAnsi="Aptos" w:cs="Aptos"/>
          <w:snapToGrid/>
          <w:sz w:val="20"/>
          <w:szCs w:val="20"/>
          <w:vertAlign w:val="superscript"/>
          <w:lang w:val="en-US"/>
        </w:rPr>
        <w:t>th</w:t>
      </w:r>
      <w:r w:rsidRPr="0084305F">
        <w:rPr>
          <w:rFonts w:ascii="Aptos" w:eastAsia="Aptos" w:hAnsi="Aptos" w:cs="Aptos"/>
          <w:snapToGrid/>
          <w:sz w:val="20"/>
          <w:szCs w:val="20"/>
          <w:lang w:val="en-US"/>
        </w:rPr>
        <w:t xml:space="preserve"> Global Platform for Disaster </w:t>
      </w:r>
      <w:proofErr w:type="spellStart"/>
      <w:r w:rsidRPr="0084305F">
        <w:rPr>
          <w:rFonts w:ascii="Aptos" w:eastAsia="Aptos" w:hAnsi="Aptos" w:cs="Aptos"/>
          <w:snapToGrid/>
          <w:sz w:val="20"/>
          <w:szCs w:val="20"/>
          <w:lang w:val="en-US"/>
        </w:rPr>
        <w:t>RIsk</w:t>
      </w:r>
      <w:proofErr w:type="spellEnd"/>
      <w:r w:rsidRPr="0084305F">
        <w:rPr>
          <w:rFonts w:ascii="Aptos" w:eastAsia="Aptos" w:hAnsi="Aptos" w:cs="Aptos"/>
          <w:snapToGrid/>
          <w:sz w:val="20"/>
          <w:szCs w:val="20"/>
          <w:lang w:val="en-US"/>
        </w:rPr>
        <w:t xml:space="preserve"> Reduction (GDRR) to be held between 2-6 June 2025, Geneva, Switzerland. IOC/ TRS is </w:t>
      </w:r>
      <w:proofErr w:type="gramStart"/>
      <w:r w:rsidRPr="0084305F">
        <w:rPr>
          <w:rFonts w:ascii="Aptos" w:eastAsia="Aptos" w:hAnsi="Aptos" w:cs="Aptos"/>
          <w:snapToGrid/>
          <w:sz w:val="20"/>
          <w:szCs w:val="20"/>
          <w:lang w:val="en-US"/>
        </w:rPr>
        <w:t>co</w:t>
      </w:r>
      <w:proofErr w:type="gramEnd"/>
      <w:r w:rsidRPr="0084305F">
        <w:rPr>
          <w:rFonts w:ascii="Aptos" w:eastAsia="Aptos" w:hAnsi="Aptos" w:cs="Aptos"/>
          <w:snapToGrid/>
          <w:sz w:val="20"/>
          <w:szCs w:val="20"/>
          <w:lang w:val="en-US"/>
        </w:rPr>
        <w:t xml:space="preserve">-organizer with UNDP and WMO for thematic </w:t>
      </w:r>
      <w:r w:rsidRPr="0084305F">
        <w:rPr>
          <w:rFonts w:ascii="Aptos" w:eastAsia="Aptos" w:hAnsi="Aptos" w:cs="Aptos"/>
          <w:snapToGrid/>
          <w:color w:val="000000"/>
          <w:sz w:val="20"/>
          <w:szCs w:val="20"/>
          <w:lang w:val="en-US"/>
        </w:rPr>
        <w:t xml:space="preserve">session 5 on Fostering international, regional and national cooperation and partnerships. The next step is to participate in planning meetings to prepare session concept notes and propose speakers etc. </w:t>
      </w:r>
    </w:p>
    <w:p w14:paraId="78258E82" w14:textId="77777777" w:rsidR="0084305F" w:rsidRPr="0084305F" w:rsidRDefault="0084305F" w:rsidP="0084305F">
      <w:pPr>
        <w:tabs>
          <w:tab w:val="clear" w:pos="709"/>
          <w:tab w:val="left" w:pos="478"/>
        </w:tabs>
        <w:snapToGrid/>
        <w:spacing w:after="160" w:line="259" w:lineRule="auto"/>
        <w:jc w:val="both"/>
        <w:rPr>
          <w:rFonts w:ascii="Aptos" w:eastAsia="Aptos" w:hAnsi="Aptos" w:cs="Aptos"/>
          <w:snapToGrid/>
          <w:sz w:val="20"/>
          <w:szCs w:val="20"/>
          <w:lang w:val="en-US"/>
        </w:rPr>
      </w:pPr>
      <w:r w:rsidRPr="0084305F">
        <w:rPr>
          <w:rFonts w:ascii="Aptos" w:eastAsia="Aptos" w:hAnsi="Aptos" w:cs="Aptos"/>
          <w:snapToGrid/>
          <w:sz w:val="20"/>
          <w:szCs w:val="20"/>
          <w:lang w:val="en-US"/>
        </w:rPr>
        <w:t xml:space="preserve">In the case of the 8th Global Platform for Disaster Risk Reduction (GPDRR, 2028), the meeting noted that a TSR side event proposal was not successful. The meeting further noted that the Executive Secretary may be invited by UNDRR as a speaker on the High-Level Dialogue scheduled between 4-6 June 2025, and the subject could focus on Indian Ocean Tsunami-20 years after. TSR has been successful </w:t>
      </w:r>
      <w:proofErr w:type="gramStart"/>
      <w:r w:rsidRPr="0084305F">
        <w:rPr>
          <w:rFonts w:ascii="Aptos" w:eastAsia="Aptos" w:hAnsi="Aptos" w:cs="Aptos"/>
          <w:snapToGrid/>
          <w:sz w:val="20"/>
          <w:szCs w:val="20"/>
          <w:lang w:val="en-US"/>
        </w:rPr>
        <w:t>to have</w:t>
      </w:r>
      <w:proofErr w:type="gramEnd"/>
      <w:r w:rsidRPr="0084305F">
        <w:rPr>
          <w:rFonts w:ascii="Aptos" w:eastAsia="Aptos" w:hAnsi="Aptos" w:cs="Aptos"/>
          <w:snapToGrid/>
          <w:sz w:val="20"/>
          <w:szCs w:val="20"/>
          <w:lang w:val="en-US"/>
        </w:rPr>
        <w:t xml:space="preserve"> two spots for Ignite Stage focused on the </w:t>
      </w:r>
      <w:proofErr w:type="spellStart"/>
      <w:r w:rsidRPr="0084305F">
        <w:rPr>
          <w:rFonts w:ascii="Aptos" w:eastAsia="Aptos" w:hAnsi="Aptos" w:cs="Aptos"/>
          <w:snapToGrid/>
          <w:sz w:val="20"/>
          <w:szCs w:val="20"/>
          <w:lang w:val="en-US"/>
        </w:rPr>
        <w:t>CoastWAVE</w:t>
      </w:r>
      <w:proofErr w:type="spellEnd"/>
      <w:r w:rsidRPr="0084305F">
        <w:rPr>
          <w:rFonts w:ascii="Aptos" w:eastAsia="Aptos" w:hAnsi="Aptos" w:cs="Aptos"/>
          <w:snapToGrid/>
          <w:sz w:val="20"/>
          <w:szCs w:val="20"/>
          <w:lang w:val="en-US"/>
        </w:rPr>
        <w:t xml:space="preserve"> project and Tsunami Ready.</w:t>
      </w:r>
    </w:p>
    <w:p w14:paraId="53D9067D"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47DACD97"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color w:val="000000"/>
          <w:sz w:val="20"/>
          <w:szCs w:val="20"/>
          <w:lang w:val="en-US"/>
        </w:rPr>
      </w:pPr>
      <w:r w:rsidRPr="0084305F">
        <w:rPr>
          <w:rFonts w:ascii="Aptos" w:eastAsia="Aptos" w:hAnsi="Aptos" w:cs="Aptos"/>
          <w:b/>
          <w:snapToGrid/>
          <w:color w:val="000000"/>
          <w:sz w:val="20"/>
          <w:szCs w:val="20"/>
          <w:lang w:val="en-US"/>
        </w:rPr>
        <w:t>Note</w:t>
      </w:r>
      <w:r w:rsidRPr="0084305F">
        <w:rPr>
          <w:rFonts w:ascii="Aptos" w:eastAsia="Aptos" w:hAnsi="Aptos" w:cs="Aptos"/>
          <w:b/>
          <w:snapToGrid/>
          <w:sz w:val="20"/>
          <w:szCs w:val="20"/>
          <w:lang w:val="en-US"/>
        </w:rPr>
        <w:t>s</w:t>
      </w:r>
      <w:r w:rsidRPr="0084305F">
        <w:rPr>
          <w:rFonts w:ascii="Aptos" w:eastAsia="Aptos" w:hAnsi="Aptos" w:cs="Aptos"/>
          <w:snapToGrid/>
          <w:color w:val="000000"/>
          <w:sz w:val="20"/>
          <w:szCs w:val="20"/>
          <w:lang w:val="en-US"/>
        </w:rPr>
        <w:t xml:space="preserve"> that IOC/ TRS is a co-organizer with UNDP and WMO for thematic session 5 on fostering international, regional and national cooperation and partnerships (2-3 June 2025) and the likely participation of the IOC Executive Secretary in the High-Level Dialogue of the 8th GPDRR</w:t>
      </w:r>
      <w:r w:rsidRPr="0084305F">
        <w:rPr>
          <w:rFonts w:ascii="Aptos" w:eastAsia="Aptos" w:hAnsi="Aptos" w:cs="Aptos"/>
          <w:snapToGrid/>
          <w:sz w:val="20"/>
          <w:szCs w:val="20"/>
          <w:lang w:val="en-US"/>
        </w:rPr>
        <w:t xml:space="preserve"> (</w:t>
      </w:r>
      <w:r w:rsidRPr="0084305F">
        <w:rPr>
          <w:rFonts w:ascii="Aptos" w:eastAsia="Aptos" w:hAnsi="Aptos" w:cs="Aptos"/>
          <w:snapToGrid/>
          <w:color w:val="000000"/>
          <w:sz w:val="20"/>
          <w:szCs w:val="20"/>
          <w:lang w:val="en-US"/>
        </w:rPr>
        <w:t>4-</w:t>
      </w:r>
      <w:r w:rsidRPr="0084305F">
        <w:rPr>
          <w:rFonts w:ascii="Aptos" w:eastAsia="Aptos" w:hAnsi="Aptos" w:cs="Aptos"/>
          <w:snapToGrid/>
          <w:sz w:val="20"/>
          <w:szCs w:val="20"/>
          <w:lang w:val="en-US"/>
        </w:rPr>
        <w:t>6 June 2025)</w:t>
      </w:r>
      <w:r w:rsidRPr="0084305F">
        <w:rPr>
          <w:rFonts w:ascii="Aptos" w:eastAsia="Aptos" w:hAnsi="Aptos" w:cs="Aptos"/>
          <w:snapToGrid/>
          <w:color w:val="000000"/>
          <w:sz w:val="20"/>
          <w:szCs w:val="20"/>
          <w:lang w:val="en-US"/>
        </w:rPr>
        <w:t xml:space="preserve"> and </w:t>
      </w:r>
      <w:proofErr w:type="gramStart"/>
      <w:r w:rsidRPr="0084305F">
        <w:rPr>
          <w:rFonts w:ascii="Aptos" w:eastAsia="Aptos" w:hAnsi="Aptos" w:cs="Aptos"/>
          <w:snapToGrid/>
          <w:sz w:val="20"/>
          <w:szCs w:val="20"/>
          <w:lang w:val="en-US"/>
        </w:rPr>
        <w:t xml:space="preserve">TRS </w:t>
      </w:r>
      <w:r w:rsidRPr="0084305F">
        <w:rPr>
          <w:rFonts w:ascii="Aptos" w:eastAsia="Aptos" w:hAnsi="Aptos" w:cs="Aptos"/>
          <w:snapToGrid/>
          <w:color w:val="000000"/>
          <w:sz w:val="20"/>
          <w:szCs w:val="20"/>
          <w:lang w:val="en-US"/>
        </w:rPr>
        <w:t xml:space="preserve"> participation</w:t>
      </w:r>
      <w:proofErr w:type="gramEnd"/>
      <w:r w:rsidRPr="0084305F">
        <w:rPr>
          <w:rFonts w:ascii="Aptos" w:eastAsia="Aptos" w:hAnsi="Aptos" w:cs="Aptos"/>
          <w:snapToGrid/>
          <w:color w:val="000000"/>
          <w:sz w:val="20"/>
          <w:szCs w:val="20"/>
          <w:lang w:val="en-US"/>
        </w:rPr>
        <w:t xml:space="preserve"> in the </w:t>
      </w:r>
      <w:r w:rsidRPr="0084305F">
        <w:rPr>
          <w:rFonts w:ascii="Aptos" w:eastAsia="Aptos" w:hAnsi="Aptos" w:cs="Aptos"/>
          <w:snapToGrid/>
          <w:sz w:val="20"/>
          <w:szCs w:val="20"/>
          <w:lang w:val="en-US"/>
        </w:rPr>
        <w:t>I</w:t>
      </w:r>
      <w:r w:rsidRPr="0084305F">
        <w:rPr>
          <w:rFonts w:ascii="Aptos" w:eastAsia="Aptos" w:hAnsi="Aptos" w:cs="Aptos"/>
          <w:snapToGrid/>
          <w:color w:val="000000"/>
          <w:sz w:val="20"/>
          <w:szCs w:val="20"/>
          <w:lang w:val="en-US"/>
        </w:rPr>
        <w:t>gnite stage ev</w:t>
      </w:r>
      <w:r w:rsidRPr="0084305F">
        <w:rPr>
          <w:rFonts w:ascii="Aptos" w:eastAsia="Aptos" w:hAnsi="Aptos" w:cs="Aptos"/>
          <w:snapToGrid/>
          <w:sz w:val="20"/>
          <w:szCs w:val="20"/>
          <w:lang w:val="en-US"/>
        </w:rPr>
        <w:t>ents</w:t>
      </w:r>
      <w:r w:rsidRPr="0084305F">
        <w:rPr>
          <w:rFonts w:ascii="Aptos" w:eastAsia="Aptos" w:hAnsi="Aptos" w:cs="Aptos"/>
          <w:snapToGrid/>
          <w:color w:val="000000"/>
          <w:sz w:val="20"/>
          <w:szCs w:val="20"/>
          <w:lang w:val="en-US"/>
        </w:rPr>
        <w:t>.</w:t>
      </w:r>
    </w:p>
    <w:p w14:paraId="300DEE13"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ptos" w:eastAsia="Aptos" w:hAnsi="Aptos" w:cs="Aptos"/>
          <w:snapToGrid/>
          <w:color w:val="0F4761"/>
          <w:sz w:val="28"/>
          <w:szCs w:val="28"/>
          <w:lang w:val="en-US"/>
        </w:rPr>
      </w:pPr>
      <w:bookmarkStart w:id="256" w:name="_Toc195258145"/>
      <w:r w:rsidRPr="0084305F">
        <w:rPr>
          <w:rFonts w:ascii="Aptos" w:eastAsia="Aptos" w:hAnsi="Aptos" w:cs="Aptos"/>
          <w:snapToGrid/>
          <w:color w:val="0F4761"/>
          <w:sz w:val="28"/>
          <w:szCs w:val="28"/>
          <w:lang w:val="en-US"/>
        </w:rPr>
        <w:t>9.0 Review of Outcomes from the 2nd Global Tsunami Symposium in Indonesia in November 2024</w:t>
      </w:r>
      <w:bookmarkEnd w:id="256"/>
      <w:r w:rsidRPr="0084305F">
        <w:rPr>
          <w:rFonts w:ascii="Aptos" w:eastAsia="Aptos" w:hAnsi="Aptos" w:cs="Aptos"/>
          <w:snapToGrid/>
          <w:color w:val="0F4761"/>
          <w:sz w:val="28"/>
          <w:szCs w:val="28"/>
          <w:lang w:val="en-US"/>
        </w:rPr>
        <w:t xml:space="preserve"> </w:t>
      </w:r>
    </w:p>
    <w:p w14:paraId="21732F0A"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r w:rsidRPr="0084305F">
        <w:rPr>
          <w:rFonts w:ascii="Aptos" w:eastAsia="Aptos" w:hAnsi="Aptos" w:cs="Aptos"/>
          <w:snapToGrid/>
          <w:sz w:val="20"/>
          <w:szCs w:val="20"/>
          <w:lang w:val="en-US"/>
        </w:rPr>
        <w:t xml:space="preserve">Dr. </w:t>
      </w:r>
      <w:r w:rsidRPr="0084305F">
        <w:rPr>
          <w:rFonts w:ascii="Aptos" w:eastAsia="Aptos" w:hAnsi="Aptos" w:cs="Aptos"/>
          <w:snapToGrid/>
          <w:color w:val="000000"/>
          <w:sz w:val="20"/>
          <w:szCs w:val="20"/>
          <w:lang w:val="en-US"/>
        </w:rPr>
        <w:t xml:space="preserve">Harkunti Rahayu presented the agenda item. The symposium on ‘Two Decades After the Indian Ocean Tsunami: Reflection and Way Forward’ took place during 11-14 November 2024 in Banda Aceh, Indonesia and was attended by 682 in-person participants from 54 countries and 170 online participants. The symposium was hosted by the Republic of Indonesia through its Agency of Meteorology, Climatology, and Geophysics (BMKG) in collaboration with the UNESCO-IOC Tsunami Resilience Section and IUGG Joint Tsunami Commission. The symposium brought together tsunami warning specialists, disaster managers, scientists, engineers, disaster risk reduction practitioners, and policymakers from around the world to discuss the status of tsunami warning systems and the latest advances in tsunami science and engineering to help globally enhance tsunami disaster preparedness and mitigation. </w:t>
      </w:r>
    </w:p>
    <w:p w14:paraId="5AE047D5"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p>
    <w:p w14:paraId="69308EDE"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color w:val="000000"/>
          <w:sz w:val="20"/>
          <w:szCs w:val="20"/>
          <w:lang w:val="en-US"/>
        </w:rPr>
        <w:lastRenderedPageBreak/>
        <w:t xml:space="preserve">The symposium also served as a global platform to review the contributions of each regional tsunami warning and mitigation system towards achieving the objectives of the UN Ocean Decade Tsunami Programme (ODTP) under the “Safe Ocean” outcome of the UN Decade of Ocean Science for Sustainable Development by 2030. </w:t>
      </w:r>
      <w:r w:rsidRPr="0084305F">
        <w:rPr>
          <w:rFonts w:ascii="Aptos" w:eastAsia="Aptos" w:hAnsi="Aptos" w:cs="Aptos"/>
          <w:snapToGrid/>
          <w:sz w:val="20"/>
          <w:szCs w:val="20"/>
          <w:lang w:val="en-US"/>
        </w:rPr>
        <w:t xml:space="preserve">The Summary </w:t>
      </w:r>
      <w:hyperlink r:id="rId81">
        <w:r w:rsidRPr="0084305F">
          <w:rPr>
            <w:rFonts w:ascii="Aptos" w:eastAsia="Aptos" w:hAnsi="Aptos" w:cs="Aptos"/>
            <w:snapToGrid/>
            <w:color w:val="467886"/>
            <w:sz w:val="20"/>
            <w:szCs w:val="20"/>
            <w:u w:val="single"/>
            <w:lang w:val="en-US"/>
          </w:rPr>
          <w:t>Report</w:t>
        </w:r>
      </w:hyperlink>
      <w:r w:rsidRPr="0084305F">
        <w:rPr>
          <w:rFonts w:ascii="Aptos" w:eastAsia="Aptos" w:hAnsi="Aptos" w:cs="Aptos"/>
          <w:snapToGrid/>
          <w:sz w:val="20"/>
          <w:szCs w:val="20"/>
          <w:lang w:val="en-US"/>
        </w:rPr>
        <w:t xml:space="preserve"> and the </w:t>
      </w:r>
      <w:hyperlink r:id="rId82">
        <w:r w:rsidRPr="0084305F">
          <w:rPr>
            <w:rFonts w:ascii="Aptos" w:eastAsia="Aptos" w:hAnsi="Aptos" w:cs="Aptos"/>
            <w:snapToGrid/>
            <w:color w:val="467886"/>
            <w:sz w:val="20"/>
            <w:szCs w:val="20"/>
            <w:u w:val="single"/>
            <w:lang w:val="en-US"/>
          </w:rPr>
          <w:t>Statement</w:t>
        </w:r>
      </w:hyperlink>
      <w:r w:rsidRPr="0084305F">
        <w:rPr>
          <w:rFonts w:ascii="Aptos" w:eastAsia="Aptos" w:hAnsi="Aptos" w:cs="Aptos"/>
          <w:snapToGrid/>
          <w:sz w:val="20"/>
          <w:szCs w:val="20"/>
          <w:lang w:val="en-US"/>
        </w:rPr>
        <w:t xml:space="preserve"> of the 2nd UNESCO-IOC Global Tsunami Symposium Two Decades After 2004 Indian Ocean Tsunami: Reflection and the Way Forward is now available. The corresponding Banda Aceh statement underlined the need to build sustainability for the next decade through Transformation and Innovation. UNESCO and its partners call on States and civil society to drastically step up their investments and efforts to strengthen Tsunami Early Warning Systems and achieve 100% of Tsunami Ready Communities across the world by 2030.</w:t>
      </w:r>
    </w:p>
    <w:p w14:paraId="06E5C859"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3843AED0"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snapToGrid/>
          <w:sz w:val="20"/>
          <w:szCs w:val="20"/>
          <w:lang w:val="en-US"/>
        </w:rPr>
        <w:t>The meeting confirmed that the summary report is published and available online.</w:t>
      </w:r>
    </w:p>
    <w:p w14:paraId="1796290C" w14:textId="77777777" w:rsidR="0084305F" w:rsidRPr="0084305F" w:rsidRDefault="0084305F" w:rsidP="0084305F">
      <w:pPr>
        <w:tabs>
          <w:tab w:val="clear" w:pos="709"/>
        </w:tabs>
        <w:snapToGrid/>
        <w:jc w:val="both"/>
        <w:rPr>
          <w:rFonts w:ascii="Aptos" w:eastAsia="Aptos" w:hAnsi="Aptos" w:cs="Aptos"/>
          <w:snapToGrid/>
          <w:color w:val="000000"/>
          <w:sz w:val="20"/>
          <w:szCs w:val="20"/>
          <w:lang w:val="en-US"/>
        </w:rPr>
      </w:pPr>
    </w:p>
    <w:p w14:paraId="76B16FC6"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sz w:val="20"/>
          <w:szCs w:val="20"/>
          <w:lang w:val="en-US"/>
        </w:rPr>
      </w:pPr>
      <w:r w:rsidRPr="0084305F">
        <w:rPr>
          <w:rFonts w:ascii="Aptos" w:eastAsia="Aptos" w:hAnsi="Aptos" w:cs="Aptos"/>
          <w:b/>
          <w:snapToGrid/>
          <w:color w:val="0070C0"/>
          <w:sz w:val="20"/>
          <w:szCs w:val="20"/>
          <w:lang w:val="en-US"/>
        </w:rPr>
        <w:t>Recommendations to TOWS-WG</w:t>
      </w:r>
    </w:p>
    <w:p w14:paraId="1019E489" w14:textId="77777777" w:rsidR="0084305F" w:rsidRPr="0084305F" w:rsidRDefault="0084305F" w:rsidP="0084305F">
      <w:pPr>
        <w:tabs>
          <w:tab w:val="clear" w:pos="709"/>
        </w:tabs>
        <w:snapToGrid/>
        <w:spacing w:after="160" w:line="259" w:lineRule="auto"/>
        <w:jc w:val="both"/>
        <w:rPr>
          <w:rFonts w:ascii="Arial" w:eastAsia="Arial" w:hAnsi="Arial" w:cs="Arial"/>
          <w:b/>
          <w:snapToGrid/>
          <w:color w:val="0070C0"/>
          <w:sz w:val="32"/>
          <w:szCs w:val="32"/>
          <w:lang w:val="en-US"/>
        </w:rPr>
      </w:pPr>
      <w:r w:rsidRPr="0084305F">
        <w:rPr>
          <w:rFonts w:ascii="Aptos" w:eastAsia="Aptos" w:hAnsi="Aptos" w:cs="Aptos"/>
          <w:b/>
          <w:snapToGrid/>
          <w:sz w:val="20"/>
          <w:szCs w:val="20"/>
          <w:lang w:val="en-US"/>
        </w:rPr>
        <w:t>A</w:t>
      </w:r>
      <w:r w:rsidRPr="0084305F">
        <w:rPr>
          <w:rFonts w:ascii="Aptos" w:eastAsia="Aptos" w:hAnsi="Aptos" w:cs="Aptos"/>
          <w:b/>
          <w:snapToGrid/>
          <w:color w:val="000000"/>
          <w:sz w:val="20"/>
          <w:szCs w:val="20"/>
          <w:lang w:val="en-US"/>
        </w:rPr>
        <w:t>ppreciat</w:t>
      </w:r>
      <w:r w:rsidRPr="0084305F">
        <w:rPr>
          <w:rFonts w:ascii="Aptos" w:eastAsia="Aptos" w:hAnsi="Aptos" w:cs="Aptos"/>
          <w:b/>
          <w:snapToGrid/>
          <w:sz w:val="20"/>
          <w:szCs w:val="20"/>
          <w:lang w:val="en-US"/>
        </w:rPr>
        <w:t>es</w:t>
      </w:r>
      <w:r w:rsidRPr="0084305F">
        <w:rPr>
          <w:rFonts w:ascii="Aptos" w:eastAsia="Aptos" w:hAnsi="Aptos" w:cs="Aptos"/>
          <w:snapToGrid/>
          <w:color w:val="000000"/>
          <w:sz w:val="20"/>
          <w:szCs w:val="20"/>
          <w:lang w:val="en-US"/>
        </w:rPr>
        <w:t xml:space="preserve"> and thanked Harkunti Pertiwi Rahayu, Research Center for Disaster Mitigation, Institute of Technology Bandung, Indonesia, for her outstanding leadership in coordinating and organizing the 2nd UNESCO-IOC Global Tsunami Symposium</w:t>
      </w:r>
    </w:p>
    <w:p w14:paraId="6CA3F63D" w14:textId="77777777" w:rsidR="0084305F" w:rsidRDefault="0084305F">
      <w:pPr>
        <w:tabs>
          <w:tab w:val="clear" w:pos="709"/>
        </w:tabs>
        <w:snapToGrid/>
        <w:rPr>
          <w:rFonts w:ascii="Arial" w:eastAsia="Arial" w:hAnsi="Arial" w:cs="Arial"/>
          <w:b/>
          <w:snapToGrid/>
          <w:color w:val="0070C0"/>
          <w:sz w:val="32"/>
          <w:szCs w:val="32"/>
          <w:lang w:val="en-US"/>
        </w:rPr>
      </w:pPr>
      <w:r>
        <w:rPr>
          <w:rFonts w:ascii="Arial" w:eastAsia="Arial" w:hAnsi="Arial" w:cs="Arial"/>
          <w:b/>
          <w:snapToGrid/>
          <w:color w:val="0070C0"/>
          <w:sz w:val="32"/>
          <w:szCs w:val="32"/>
          <w:lang w:val="en-US"/>
        </w:rPr>
        <w:br w:type="page"/>
      </w:r>
    </w:p>
    <w:p w14:paraId="7294B285" w14:textId="1A5C93EF" w:rsidR="0084305F" w:rsidRPr="0084305F" w:rsidRDefault="0084305F" w:rsidP="0084305F">
      <w:pPr>
        <w:pBdr>
          <w:top w:val="nil"/>
          <w:left w:val="nil"/>
          <w:bottom w:val="nil"/>
          <w:right w:val="nil"/>
          <w:between w:val="nil"/>
        </w:pBdr>
        <w:tabs>
          <w:tab w:val="clear" w:pos="709"/>
        </w:tabs>
        <w:snapToGrid/>
        <w:spacing w:before="42" w:after="160" w:line="276" w:lineRule="auto"/>
        <w:ind w:right="1704"/>
        <w:jc w:val="center"/>
        <w:rPr>
          <w:rFonts w:ascii="Arial" w:eastAsia="Arial" w:hAnsi="Arial" w:cs="Arial"/>
          <w:b/>
          <w:snapToGrid/>
          <w:color w:val="0070C0"/>
          <w:sz w:val="22"/>
          <w:szCs w:val="22"/>
          <w:lang w:val="en-US"/>
        </w:rPr>
      </w:pPr>
      <w:r w:rsidRPr="0084305F">
        <w:rPr>
          <w:rFonts w:ascii="Arial" w:eastAsia="Arial" w:hAnsi="Arial" w:cs="Arial"/>
          <w:b/>
          <w:snapToGrid/>
          <w:color w:val="0070C0"/>
          <w:sz w:val="22"/>
          <w:szCs w:val="22"/>
          <w:lang w:val="en-US"/>
        </w:rPr>
        <w:lastRenderedPageBreak/>
        <w:t>LIST OF TOWS JOINT TASK TEAMS RECOMMENDATIONS</w:t>
      </w:r>
    </w:p>
    <w:p w14:paraId="4D919DEA" w14:textId="77777777" w:rsidR="0084305F" w:rsidRPr="0084305F" w:rsidRDefault="0084305F" w:rsidP="0084305F">
      <w:pPr>
        <w:pBdr>
          <w:top w:val="nil"/>
          <w:left w:val="nil"/>
          <w:bottom w:val="nil"/>
          <w:right w:val="nil"/>
          <w:between w:val="nil"/>
        </w:pBdr>
        <w:tabs>
          <w:tab w:val="clear" w:pos="709"/>
        </w:tabs>
        <w:snapToGrid/>
        <w:spacing w:before="42" w:after="160" w:line="276" w:lineRule="auto"/>
        <w:ind w:right="1704"/>
        <w:jc w:val="center"/>
        <w:rPr>
          <w:rFonts w:ascii="Arial" w:eastAsia="Arial" w:hAnsi="Arial" w:cs="Arial"/>
          <w:b/>
          <w:snapToGrid/>
          <w:color w:val="0070C0"/>
          <w:sz w:val="22"/>
          <w:szCs w:val="22"/>
          <w:lang w:val="en-US"/>
        </w:rPr>
      </w:pPr>
    </w:p>
    <w:p w14:paraId="6663EEC0" w14:textId="77777777" w:rsidR="0084305F" w:rsidRPr="0084305F" w:rsidRDefault="0084305F" w:rsidP="0084305F">
      <w:pPr>
        <w:tabs>
          <w:tab w:val="clear" w:pos="709"/>
        </w:tabs>
        <w:snapToGrid/>
        <w:rPr>
          <w:rFonts w:ascii="Arial" w:eastAsia="Arial" w:hAnsi="Arial" w:cs="Arial"/>
          <w:b/>
          <w:snapToGrid/>
          <w:color w:val="980000"/>
          <w:sz w:val="22"/>
          <w:szCs w:val="22"/>
          <w:lang w:val="en-US"/>
        </w:rPr>
      </w:pPr>
      <w:r w:rsidRPr="0084305F">
        <w:rPr>
          <w:rFonts w:ascii="Aptos" w:eastAsia="Aptos" w:hAnsi="Aptos" w:cs="Aptos"/>
          <w:b/>
          <w:i/>
          <w:snapToGrid/>
          <w:color w:val="980000"/>
          <w:sz w:val="22"/>
          <w:szCs w:val="22"/>
          <w:lang w:val="en-US"/>
        </w:rPr>
        <w:t>Wave Exercises</w:t>
      </w:r>
    </w:p>
    <w:p w14:paraId="22CB264D"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i/>
          <w:snapToGrid/>
          <w:sz w:val="20"/>
          <w:szCs w:val="20"/>
          <w:lang w:val="en-US"/>
        </w:rPr>
      </w:pPr>
      <w:r w:rsidRPr="0084305F">
        <w:rPr>
          <w:rFonts w:ascii="Aptos" w:eastAsia="Aptos" w:hAnsi="Aptos" w:cs="Aptos"/>
          <w:b/>
          <w:snapToGrid/>
          <w:color w:val="0070C0"/>
          <w:sz w:val="20"/>
          <w:szCs w:val="20"/>
          <w:lang w:val="en-US"/>
        </w:rPr>
        <w:t>Recommendations to TOWS-WG</w:t>
      </w:r>
    </w:p>
    <w:p w14:paraId="668916B0" w14:textId="77777777" w:rsidR="0084305F" w:rsidRPr="0084305F" w:rsidRDefault="0084305F" w:rsidP="0084305F">
      <w:pPr>
        <w:tabs>
          <w:tab w:val="clear" w:pos="709"/>
        </w:tabs>
        <w:snapToGrid/>
        <w:spacing w:before="240" w:line="276" w:lineRule="auto"/>
        <w:jc w:val="both"/>
        <w:rPr>
          <w:rFonts w:ascii="Arial" w:eastAsia="Arial" w:hAnsi="Arial" w:cs="Arial"/>
          <w:snapToGrid/>
          <w:sz w:val="20"/>
          <w:szCs w:val="20"/>
          <w:lang w:val="en-US"/>
        </w:rPr>
      </w:pPr>
      <w:r w:rsidRPr="0084305F">
        <w:rPr>
          <w:rFonts w:ascii="Arial" w:eastAsia="Arial" w:hAnsi="Arial" w:cs="Arial"/>
          <w:b/>
          <w:snapToGrid/>
          <w:sz w:val="20"/>
          <w:szCs w:val="20"/>
          <w:lang w:val="en-US"/>
        </w:rPr>
        <w:t>Appreciates</w:t>
      </w:r>
      <w:r w:rsidRPr="0084305F">
        <w:rPr>
          <w:rFonts w:ascii="Arial" w:eastAsia="Arial" w:hAnsi="Arial" w:cs="Arial"/>
          <w:b/>
          <w:i/>
          <w:snapToGrid/>
          <w:sz w:val="20"/>
          <w:szCs w:val="20"/>
          <w:lang w:val="en-US"/>
        </w:rPr>
        <w:t xml:space="preserve"> </w:t>
      </w:r>
      <w:r w:rsidRPr="0084305F">
        <w:rPr>
          <w:rFonts w:ascii="Arial" w:eastAsia="Arial" w:hAnsi="Arial" w:cs="Arial"/>
          <w:snapToGrid/>
          <w:sz w:val="20"/>
          <w:szCs w:val="20"/>
          <w:lang w:val="en-US"/>
        </w:rPr>
        <w:t xml:space="preserve">the execution of the Wave exercises, </w:t>
      </w:r>
      <w:proofErr w:type="spellStart"/>
      <w:r w:rsidRPr="0084305F">
        <w:rPr>
          <w:rFonts w:ascii="Arial" w:eastAsia="Arial" w:hAnsi="Arial" w:cs="Arial"/>
          <w:snapToGrid/>
          <w:sz w:val="20"/>
          <w:szCs w:val="20"/>
          <w:lang w:val="en-US"/>
        </w:rPr>
        <w:t>PacWave</w:t>
      </w:r>
      <w:proofErr w:type="spellEnd"/>
      <w:r w:rsidRPr="0084305F">
        <w:rPr>
          <w:rFonts w:ascii="Arial" w:eastAsia="Arial" w:hAnsi="Arial" w:cs="Arial"/>
          <w:snapToGrid/>
          <w:sz w:val="20"/>
          <w:szCs w:val="20"/>
          <w:lang w:val="en-US"/>
        </w:rPr>
        <w:t xml:space="preserve"> 24 (September to November 2024), the CARIBE-Wave 24 (21 March 2024), </w:t>
      </w:r>
      <w:proofErr w:type="gramStart"/>
      <w:r w:rsidRPr="0084305F">
        <w:rPr>
          <w:rFonts w:ascii="Arial" w:eastAsia="Arial" w:hAnsi="Arial" w:cs="Arial"/>
          <w:snapToGrid/>
          <w:sz w:val="20"/>
          <w:szCs w:val="20"/>
          <w:lang w:val="en-US"/>
        </w:rPr>
        <w:t xml:space="preserve">the  </w:t>
      </w:r>
      <w:proofErr w:type="spellStart"/>
      <w:r w:rsidRPr="0084305F">
        <w:rPr>
          <w:rFonts w:ascii="Arial" w:eastAsia="Arial" w:hAnsi="Arial" w:cs="Arial"/>
          <w:snapToGrid/>
          <w:sz w:val="20"/>
          <w:szCs w:val="20"/>
          <w:lang w:val="en-US"/>
        </w:rPr>
        <w:t>NEAMWave</w:t>
      </w:r>
      <w:proofErr w:type="spellEnd"/>
      <w:proofErr w:type="gramEnd"/>
      <w:r w:rsidRPr="0084305F">
        <w:rPr>
          <w:rFonts w:ascii="Arial" w:eastAsia="Arial" w:hAnsi="Arial" w:cs="Arial"/>
          <w:snapToGrid/>
          <w:sz w:val="20"/>
          <w:szCs w:val="20"/>
          <w:lang w:val="en-US"/>
        </w:rPr>
        <w:t xml:space="preserve"> 23 (6–7 November 2023) and the IOWave</w:t>
      </w:r>
      <w:proofErr w:type="gramStart"/>
      <w:r w:rsidRPr="0084305F">
        <w:rPr>
          <w:rFonts w:ascii="Arial" w:eastAsia="Arial" w:hAnsi="Arial" w:cs="Arial"/>
          <w:snapToGrid/>
          <w:sz w:val="20"/>
          <w:szCs w:val="20"/>
          <w:lang w:val="en-US"/>
        </w:rPr>
        <w:t>23  (</w:t>
      </w:r>
      <w:proofErr w:type="gramEnd"/>
      <w:r w:rsidRPr="0084305F">
        <w:rPr>
          <w:rFonts w:ascii="Arial" w:eastAsia="Arial" w:hAnsi="Arial" w:cs="Arial"/>
          <w:snapToGrid/>
          <w:sz w:val="20"/>
          <w:szCs w:val="20"/>
          <w:lang w:val="en-US"/>
        </w:rPr>
        <w:t>4-25 October 2023).</w:t>
      </w:r>
    </w:p>
    <w:p w14:paraId="3438390D" w14:textId="77777777" w:rsidR="0084305F" w:rsidRPr="0084305F" w:rsidRDefault="0084305F" w:rsidP="0084305F">
      <w:pPr>
        <w:tabs>
          <w:tab w:val="clear" w:pos="709"/>
        </w:tabs>
        <w:snapToGrid/>
        <w:spacing w:before="240" w:line="276" w:lineRule="auto"/>
        <w:jc w:val="both"/>
        <w:rPr>
          <w:rFonts w:ascii="Arial" w:eastAsia="Arial" w:hAnsi="Arial" w:cs="Arial"/>
          <w:snapToGrid/>
          <w:sz w:val="20"/>
          <w:szCs w:val="20"/>
          <w:lang w:val="en-US"/>
        </w:rPr>
      </w:pPr>
      <w:r w:rsidRPr="0084305F">
        <w:rPr>
          <w:rFonts w:ascii="Arial" w:eastAsia="Arial" w:hAnsi="Arial" w:cs="Arial"/>
          <w:b/>
          <w:snapToGrid/>
          <w:sz w:val="20"/>
          <w:szCs w:val="20"/>
          <w:lang w:val="en-US"/>
        </w:rPr>
        <w:t xml:space="preserve">Notes </w:t>
      </w:r>
      <w:r w:rsidRPr="0084305F">
        <w:rPr>
          <w:rFonts w:ascii="Arial" w:eastAsia="Arial" w:hAnsi="Arial" w:cs="Arial"/>
          <w:snapToGrid/>
          <w:sz w:val="20"/>
          <w:szCs w:val="20"/>
          <w:lang w:val="en-US"/>
        </w:rPr>
        <w:t xml:space="preserve">the upcoming CARIBE-Wave 25 exercise scheduled for March 20, 2025, and </w:t>
      </w:r>
      <w:proofErr w:type="spellStart"/>
      <w:r w:rsidRPr="0084305F">
        <w:rPr>
          <w:rFonts w:ascii="Arial" w:eastAsia="Arial" w:hAnsi="Arial" w:cs="Arial"/>
          <w:snapToGrid/>
          <w:sz w:val="20"/>
          <w:szCs w:val="20"/>
          <w:lang w:val="en-US"/>
        </w:rPr>
        <w:t>NEAMWave</w:t>
      </w:r>
      <w:proofErr w:type="spellEnd"/>
      <w:r w:rsidRPr="0084305F">
        <w:rPr>
          <w:rFonts w:ascii="Arial" w:eastAsia="Arial" w:hAnsi="Arial" w:cs="Arial"/>
          <w:snapToGrid/>
          <w:sz w:val="20"/>
          <w:szCs w:val="20"/>
          <w:lang w:val="en-US"/>
        </w:rPr>
        <w:t xml:space="preserve"> 26 planned for March 2026.</w:t>
      </w:r>
      <w:r w:rsidRPr="0084305F">
        <w:rPr>
          <w:rFonts w:ascii="Arial" w:eastAsia="Arial" w:hAnsi="Arial" w:cs="Arial"/>
          <w:snapToGrid/>
          <w:sz w:val="20"/>
          <w:szCs w:val="20"/>
          <w:lang w:val="en-US"/>
        </w:rPr>
        <w:br/>
      </w:r>
    </w:p>
    <w:p w14:paraId="6BF17CC4" w14:textId="77777777" w:rsidR="0084305F" w:rsidRPr="0084305F" w:rsidRDefault="0084305F" w:rsidP="0084305F">
      <w:pPr>
        <w:tabs>
          <w:tab w:val="clear" w:pos="709"/>
        </w:tabs>
        <w:snapToGrid/>
        <w:rPr>
          <w:rFonts w:ascii="Arial" w:eastAsia="Arial" w:hAnsi="Arial" w:cs="Arial"/>
          <w:b/>
          <w:snapToGrid/>
          <w:color w:val="980000"/>
          <w:sz w:val="32"/>
          <w:szCs w:val="32"/>
          <w:lang w:val="en-US"/>
        </w:rPr>
      </w:pPr>
      <w:r w:rsidRPr="0084305F">
        <w:rPr>
          <w:rFonts w:ascii="Aptos" w:eastAsia="Aptos" w:hAnsi="Aptos" w:cs="Aptos"/>
          <w:b/>
          <w:i/>
          <w:snapToGrid/>
          <w:color w:val="980000"/>
          <w:sz w:val="22"/>
          <w:szCs w:val="22"/>
          <w:lang w:val="en-US"/>
        </w:rPr>
        <w:t>Significant Tsunami Events</w:t>
      </w:r>
    </w:p>
    <w:p w14:paraId="2A4C4B43"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Member States</w:t>
      </w:r>
    </w:p>
    <w:p w14:paraId="4BF01E15" w14:textId="77777777" w:rsidR="0084305F" w:rsidRPr="0084305F" w:rsidRDefault="0084305F" w:rsidP="0084305F">
      <w:pPr>
        <w:tabs>
          <w:tab w:val="clear" w:pos="709"/>
        </w:tabs>
        <w:snapToGrid/>
        <w:jc w:val="both"/>
        <w:rPr>
          <w:rFonts w:ascii="Arial" w:eastAsia="Arial" w:hAnsi="Arial" w:cs="Arial"/>
          <w:snapToGrid/>
          <w:sz w:val="20"/>
          <w:szCs w:val="20"/>
          <w:lang w:val="en-US"/>
        </w:rPr>
      </w:pPr>
      <w:r w:rsidRPr="0084305F">
        <w:rPr>
          <w:rFonts w:ascii="Arial" w:eastAsia="Arial" w:hAnsi="Arial" w:cs="Arial"/>
          <w:b/>
          <w:snapToGrid/>
          <w:sz w:val="20"/>
          <w:szCs w:val="20"/>
          <w:lang w:val="en-US"/>
        </w:rPr>
        <w:t>Recalled</w:t>
      </w:r>
      <w:r w:rsidRPr="0084305F">
        <w:rPr>
          <w:rFonts w:ascii="Arial" w:eastAsia="Arial" w:hAnsi="Arial" w:cs="Arial"/>
          <w:snapToGrid/>
          <w:sz w:val="20"/>
          <w:szCs w:val="20"/>
          <w:lang w:val="en-US"/>
        </w:rPr>
        <w:t xml:space="preserve"> the critical importance of coastal tide gauges and offshore tsunami detection/observation systems for tsunami detection and verification.</w:t>
      </w:r>
    </w:p>
    <w:p w14:paraId="55BEF62D" w14:textId="77777777" w:rsidR="0084305F" w:rsidRPr="0084305F" w:rsidRDefault="0084305F" w:rsidP="0084305F">
      <w:pPr>
        <w:tabs>
          <w:tab w:val="clear" w:pos="709"/>
        </w:tabs>
        <w:snapToGrid/>
        <w:jc w:val="both"/>
        <w:rPr>
          <w:rFonts w:ascii="Arial" w:eastAsia="Arial" w:hAnsi="Arial" w:cs="Arial"/>
          <w:snapToGrid/>
          <w:sz w:val="20"/>
          <w:szCs w:val="20"/>
          <w:lang w:val="en-US"/>
        </w:rPr>
      </w:pPr>
    </w:p>
    <w:p w14:paraId="19F7016E" w14:textId="77777777" w:rsidR="0084305F" w:rsidRPr="0084305F" w:rsidRDefault="0084305F" w:rsidP="0084305F">
      <w:pPr>
        <w:tabs>
          <w:tab w:val="clear" w:pos="709"/>
        </w:tabs>
        <w:snapToGrid/>
        <w:jc w:val="both"/>
        <w:rPr>
          <w:rFonts w:ascii="Arial" w:eastAsia="Arial" w:hAnsi="Arial" w:cs="Arial"/>
          <w:snapToGrid/>
          <w:sz w:val="20"/>
          <w:szCs w:val="20"/>
          <w:lang w:val="en-US"/>
        </w:rPr>
      </w:pPr>
      <w:r w:rsidRPr="0084305F">
        <w:rPr>
          <w:rFonts w:ascii="Arial" w:eastAsia="Arial" w:hAnsi="Arial" w:cs="Arial"/>
          <w:b/>
          <w:snapToGrid/>
          <w:sz w:val="20"/>
          <w:szCs w:val="20"/>
          <w:lang w:val="en-US"/>
        </w:rPr>
        <w:t>Requested</w:t>
      </w:r>
      <w:r w:rsidRPr="0084305F">
        <w:rPr>
          <w:rFonts w:ascii="Arial" w:eastAsia="Arial" w:hAnsi="Arial" w:cs="Arial"/>
          <w:snapToGrid/>
          <w:sz w:val="20"/>
          <w:szCs w:val="20"/>
          <w:lang w:val="en-US"/>
        </w:rPr>
        <w:t xml:space="preserve"> the Member States to prioritize installation/deployment of additional coastal tide gauges and tsunami detection/observation systems in regions under high tsunami risk with priority areas with known coverage gaps (in alphabetical order: Aegean Sea, Caribbean Sea (West, North and South-East), Indian Ocean (East and North), North Africa, Philippine Sea, Solomon Sea, South China Sea, Timor Sea, and Yellow Sea), to ensure tsunami detection and verification as early as possible.</w:t>
      </w:r>
    </w:p>
    <w:p w14:paraId="33FE8DB6" w14:textId="77777777" w:rsidR="0084305F" w:rsidRPr="0084305F" w:rsidRDefault="0084305F" w:rsidP="0084305F">
      <w:pPr>
        <w:tabs>
          <w:tab w:val="clear" w:pos="709"/>
        </w:tabs>
        <w:snapToGrid/>
        <w:jc w:val="both"/>
        <w:rPr>
          <w:rFonts w:ascii="Arial" w:eastAsia="Arial" w:hAnsi="Arial" w:cs="Arial"/>
          <w:snapToGrid/>
          <w:sz w:val="20"/>
          <w:szCs w:val="20"/>
          <w:lang w:val="en-US"/>
        </w:rPr>
      </w:pPr>
    </w:p>
    <w:p w14:paraId="478F5429"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rial" w:eastAsia="Arial" w:hAnsi="Arial" w:cs="Arial"/>
          <w:snapToGrid/>
          <w:color w:val="0F4761"/>
          <w:sz w:val="20"/>
          <w:szCs w:val="20"/>
          <w:lang w:val="en-US"/>
        </w:rPr>
      </w:pPr>
      <w:bookmarkStart w:id="257" w:name="_v9g3394f4991" w:colFirst="0" w:colLast="0"/>
      <w:bookmarkStart w:id="258" w:name="_Toc195258146"/>
      <w:bookmarkEnd w:id="257"/>
      <w:r w:rsidRPr="0084305F">
        <w:rPr>
          <w:rFonts w:ascii="Aptos" w:eastAsia="Aptos" w:hAnsi="Aptos" w:cs="Aptos"/>
          <w:b/>
          <w:snapToGrid/>
          <w:color w:val="980000"/>
          <w:sz w:val="22"/>
          <w:szCs w:val="22"/>
          <w:lang w:val="en-US"/>
        </w:rPr>
        <w:t>Global criteria and methodology to report on WAVE EXERCISE</w:t>
      </w:r>
      <w:bookmarkEnd w:id="258"/>
    </w:p>
    <w:p w14:paraId="609C88F3"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color w:val="0070C0"/>
          <w:sz w:val="20"/>
          <w:szCs w:val="20"/>
          <w:lang w:val="en-US"/>
        </w:rPr>
        <w:t>Recommendations to TOWS-WG</w:t>
      </w:r>
    </w:p>
    <w:p w14:paraId="703ECD3B"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Recommends </w:t>
      </w:r>
      <w:r w:rsidRPr="0084305F">
        <w:rPr>
          <w:rFonts w:ascii="Aptos" w:eastAsia="Aptos" w:hAnsi="Aptos" w:cs="Aptos"/>
          <w:snapToGrid/>
          <w:sz w:val="20"/>
          <w:szCs w:val="20"/>
          <w:lang w:val="en-US"/>
        </w:rPr>
        <w:t xml:space="preserve">Member States monitor the health of their sea level gauges that are used for detecting and monitoring tsunamis, to restore them as quickly as possible when they fail, and add sea level gauges when </w:t>
      </w:r>
      <w:proofErr w:type="gramStart"/>
      <w:r w:rsidRPr="0084305F">
        <w:rPr>
          <w:rFonts w:ascii="Aptos" w:eastAsia="Aptos" w:hAnsi="Aptos" w:cs="Aptos"/>
          <w:snapToGrid/>
          <w:sz w:val="20"/>
          <w:szCs w:val="20"/>
          <w:lang w:val="en-US"/>
        </w:rPr>
        <w:t>possible</w:t>
      </w:r>
      <w:proofErr w:type="gramEnd"/>
      <w:r w:rsidRPr="0084305F">
        <w:rPr>
          <w:rFonts w:ascii="Aptos" w:eastAsia="Aptos" w:hAnsi="Aptos" w:cs="Aptos"/>
          <w:snapToGrid/>
          <w:sz w:val="20"/>
          <w:szCs w:val="20"/>
          <w:lang w:val="en-US"/>
        </w:rPr>
        <w:t xml:space="preserve"> in places identified by their ICG as gaps.</w:t>
      </w:r>
    </w:p>
    <w:p w14:paraId="34545369"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 xml:space="preserve">Recommendations </w:t>
      </w:r>
      <w:proofErr w:type="gramStart"/>
      <w:r w:rsidRPr="0084305F">
        <w:rPr>
          <w:rFonts w:ascii="Aptos" w:eastAsia="Aptos" w:hAnsi="Aptos" w:cs="Aptos"/>
          <w:b/>
          <w:snapToGrid/>
          <w:color w:val="0070C0"/>
          <w:sz w:val="20"/>
          <w:szCs w:val="20"/>
          <w:lang w:val="en-US"/>
        </w:rPr>
        <w:t>to</w:t>
      </w:r>
      <w:proofErr w:type="gramEnd"/>
      <w:r w:rsidRPr="0084305F">
        <w:rPr>
          <w:rFonts w:ascii="Aptos" w:eastAsia="Aptos" w:hAnsi="Aptos" w:cs="Aptos"/>
          <w:b/>
          <w:snapToGrid/>
          <w:color w:val="0070C0"/>
          <w:sz w:val="20"/>
          <w:szCs w:val="20"/>
          <w:lang w:val="en-US"/>
        </w:rPr>
        <w:t xml:space="preserve"> TOWS Task Teams</w:t>
      </w:r>
    </w:p>
    <w:p w14:paraId="2210AA1B" w14:textId="77777777" w:rsidR="0084305F" w:rsidRPr="0084305F" w:rsidRDefault="0084305F" w:rsidP="0084305F">
      <w:pPr>
        <w:tabs>
          <w:tab w:val="clear" w:pos="709"/>
        </w:tabs>
        <w:snapToGrid/>
        <w:spacing w:after="160" w:line="259" w:lineRule="auto"/>
        <w:jc w:val="both"/>
        <w:rPr>
          <w:rFonts w:ascii="Aptos" w:eastAsia="Aptos" w:hAnsi="Aptos" w:cs="Aptos"/>
          <w:snapToGrid/>
          <w:sz w:val="22"/>
          <w:szCs w:val="22"/>
          <w:lang w:val="en-US"/>
        </w:rPr>
      </w:pPr>
      <w:r w:rsidRPr="0084305F">
        <w:rPr>
          <w:rFonts w:ascii="Aptos" w:eastAsia="Aptos" w:hAnsi="Aptos" w:cs="Aptos"/>
          <w:b/>
          <w:snapToGrid/>
          <w:sz w:val="20"/>
          <w:szCs w:val="20"/>
          <w:lang w:val="en-US"/>
        </w:rPr>
        <w:t xml:space="preserve">Recommends </w:t>
      </w:r>
      <w:proofErr w:type="gramStart"/>
      <w:r w:rsidRPr="0084305F">
        <w:rPr>
          <w:rFonts w:ascii="Aptos" w:eastAsia="Aptos" w:hAnsi="Aptos" w:cs="Aptos"/>
          <w:snapToGrid/>
          <w:sz w:val="20"/>
          <w:szCs w:val="20"/>
          <w:lang w:val="en-US"/>
        </w:rPr>
        <w:t>the TTTWO</w:t>
      </w:r>
      <w:proofErr w:type="gramEnd"/>
      <w:r w:rsidRPr="0084305F">
        <w:rPr>
          <w:rFonts w:ascii="Aptos" w:eastAsia="Aptos" w:hAnsi="Aptos" w:cs="Aptos"/>
          <w:snapToGrid/>
          <w:sz w:val="20"/>
          <w:szCs w:val="20"/>
          <w:lang w:val="en-US"/>
        </w:rPr>
        <w:t xml:space="preserve"> and </w:t>
      </w:r>
      <w:proofErr w:type="gramStart"/>
      <w:r w:rsidRPr="0084305F">
        <w:rPr>
          <w:rFonts w:ascii="Aptos" w:eastAsia="Aptos" w:hAnsi="Aptos" w:cs="Aptos"/>
          <w:snapToGrid/>
          <w:sz w:val="20"/>
          <w:szCs w:val="20"/>
          <w:lang w:val="en-US"/>
        </w:rPr>
        <w:t>or</w:t>
      </w:r>
      <w:proofErr w:type="gramEnd"/>
      <w:r w:rsidRPr="0084305F">
        <w:rPr>
          <w:rFonts w:ascii="Aptos" w:eastAsia="Aptos" w:hAnsi="Aptos" w:cs="Aptos"/>
          <w:snapToGrid/>
          <w:sz w:val="20"/>
          <w:szCs w:val="20"/>
          <w:lang w:val="en-US"/>
        </w:rPr>
        <w:t xml:space="preserve"> Joint TTDMP-TTTWO to consider this issue in its work </w:t>
      </w:r>
      <w:proofErr w:type="spellStart"/>
      <w:r w:rsidRPr="0084305F">
        <w:rPr>
          <w:rFonts w:ascii="Aptos" w:eastAsia="Aptos" w:hAnsi="Aptos" w:cs="Aptos"/>
          <w:snapToGrid/>
          <w:sz w:val="20"/>
          <w:szCs w:val="20"/>
          <w:lang w:val="en-US"/>
        </w:rPr>
        <w:t>programme</w:t>
      </w:r>
      <w:proofErr w:type="spellEnd"/>
      <w:r w:rsidRPr="0084305F">
        <w:rPr>
          <w:rFonts w:ascii="Aptos" w:eastAsia="Aptos" w:hAnsi="Aptos" w:cs="Aptos"/>
          <w:snapToGrid/>
          <w:sz w:val="20"/>
          <w:szCs w:val="20"/>
          <w:lang w:val="en-US"/>
        </w:rPr>
        <w:t xml:space="preserve"> with the aim </w:t>
      </w:r>
      <w:proofErr w:type="gramStart"/>
      <w:r w:rsidRPr="0084305F">
        <w:rPr>
          <w:rFonts w:ascii="Aptos" w:eastAsia="Aptos" w:hAnsi="Aptos" w:cs="Aptos"/>
          <w:snapToGrid/>
          <w:sz w:val="20"/>
          <w:szCs w:val="20"/>
          <w:lang w:val="en-US"/>
        </w:rPr>
        <w:t>for</w:t>
      </w:r>
      <w:proofErr w:type="gramEnd"/>
      <w:r w:rsidRPr="0084305F">
        <w:rPr>
          <w:rFonts w:ascii="Aptos" w:eastAsia="Aptos" w:hAnsi="Aptos" w:cs="Aptos"/>
          <w:snapToGrid/>
          <w:sz w:val="20"/>
          <w:szCs w:val="20"/>
          <w:lang w:val="en-US"/>
        </w:rPr>
        <w:t xml:space="preserve"> developing a revised form to collect TNC/TWFP/NTWC data from Member States and agree on a mechanism that would simplify and standardize the procedures both in collecting and making this data available to TSPs and TNCs.</w:t>
      </w:r>
    </w:p>
    <w:p w14:paraId="745A81CE"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4F32BE49"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Recommends</w:t>
      </w:r>
      <w:r w:rsidRPr="0084305F">
        <w:rPr>
          <w:rFonts w:ascii="Aptos" w:eastAsia="Aptos" w:hAnsi="Aptos" w:cs="Aptos"/>
          <w:snapToGrid/>
          <w:sz w:val="20"/>
          <w:szCs w:val="20"/>
          <w:lang w:val="en-US"/>
        </w:rPr>
        <w:t xml:space="preserve"> the review of the IOC Tsunami Post-Event Assessment process and questionnaire (TOWS 2015, PAE) considering its use in the past decade, and consideration of other post-event processes undertaken for smaller events that did not meet the PAE threshold.</w:t>
      </w:r>
    </w:p>
    <w:p w14:paraId="68BAD97F"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6336DB50"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Further </w:t>
      </w:r>
      <w:proofErr w:type="gramStart"/>
      <w:r w:rsidRPr="0084305F">
        <w:rPr>
          <w:rFonts w:ascii="Aptos" w:eastAsia="Aptos" w:hAnsi="Aptos" w:cs="Aptos"/>
          <w:b/>
          <w:snapToGrid/>
          <w:sz w:val="20"/>
          <w:szCs w:val="20"/>
          <w:lang w:val="en-US"/>
        </w:rPr>
        <w:t>recommends</w:t>
      </w:r>
      <w:proofErr w:type="gramEnd"/>
      <w:r w:rsidRPr="0084305F">
        <w:rPr>
          <w:rFonts w:ascii="Aptos" w:eastAsia="Aptos" w:hAnsi="Aptos" w:cs="Aptos"/>
          <w:snapToGrid/>
          <w:sz w:val="20"/>
          <w:szCs w:val="20"/>
          <w:lang w:val="en-US"/>
        </w:rPr>
        <w:t xml:space="preserve"> having a standard reporting template and platform for all ICGs, providing granularity </w:t>
      </w:r>
      <w:proofErr w:type="gramStart"/>
      <w:r w:rsidRPr="0084305F">
        <w:rPr>
          <w:rFonts w:ascii="Aptos" w:eastAsia="Aptos" w:hAnsi="Aptos" w:cs="Aptos"/>
          <w:snapToGrid/>
          <w:sz w:val="20"/>
          <w:szCs w:val="20"/>
          <w:lang w:val="en-US"/>
        </w:rPr>
        <w:t>on</w:t>
      </w:r>
      <w:proofErr w:type="gramEnd"/>
      <w:r w:rsidRPr="0084305F">
        <w:rPr>
          <w:rFonts w:ascii="Aptos" w:eastAsia="Aptos" w:hAnsi="Aptos" w:cs="Aptos"/>
          <w:snapToGrid/>
          <w:sz w:val="20"/>
          <w:szCs w:val="20"/>
          <w:lang w:val="en-US"/>
        </w:rPr>
        <w:t xml:space="preserve"> the number of participants with respect to the type of activity they </w:t>
      </w:r>
      <w:proofErr w:type="gramStart"/>
      <w:r w:rsidRPr="0084305F">
        <w:rPr>
          <w:rFonts w:ascii="Aptos" w:eastAsia="Aptos" w:hAnsi="Aptos" w:cs="Aptos"/>
          <w:snapToGrid/>
          <w:sz w:val="20"/>
          <w:szCs w:val="20"/>
          <w:lang w:val="en-US"/>
        </w:rPr>
        <w:t>participated</w:t>
      </w:r>
      <w:proofErr w:type="gramEnd"/>
      <w:r w:rsidRPr="0084305F">
        <w:rPr>
          <w:rFonts w:ascii="Aptos" w:eastAsia="Aptos" w:hAnsi="Aptos" w:cs="Aptos"/>
          <w:snapToGrid/>
          <w:sz w:val="20"/>
          <w:szCs w:val="20"/>
          <w:lang w:val="en-US"/>
        </w:rPr>
        <w:t xml:space="preserve"> during an exercise, which would allow inter-ICG comparison.</w:t>
      </w:r>
    </w:p>
    <w:p w14:paraId="4A8887C5"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rial" w:eastAsia="Arial" w:hAnsi="Arial" w:cs="Arial"/>
          <w:b/>
          <w:snapToGrid/>
          <w:color w:val="980000"/>
          <w:sz w:val="26"/>
          <w:szCs w:val="26"/>
          <w:lang w:val="en-US"/>
        </w:rPr>
      </w:pPr>
      <w:bookmarkStart w:id="259" w:name="_f8xd05wzily9" w:colFirst="0" w:colLast="0"/>
      <w:bookmarkStart w:id="260" w:name="_Toc195258147"/>
      <w:bookmarkEnd w:id="259"/>
      <w:r w:rsidRPr="0084305F">
        <w:rPr>
          <w:rFonts w:ascii="Aptos" w:eastAsia="Aptos" w:hAnsi="Aptos" w:cs="Aptos"/>
          <w:b/>
          <w:snapToGrid/>
          <w:color w:val="980000"/>
          <w:sz w:val="22"/>
          <w:szCs w:val="22"/>
          <w:lang w:val="en-US"/>
        </w:rPr>
        <w:t>Planning for Ocean Decade</w:t>
      </w:r>
      <w:bookmarkEnd w:id="260"/>
    </w:p>
    <w:p w14:paraId="72CD6622"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4CD410D3" w14:textId="77777777" w:rsidR="0084305F" w:rsidRPr="0084305F" w:rsidRDefault="0084305F" w:rsidP="0084305F">
      <w:pPr>
        <w:tabs>
          <w:tab w:val="clear" w:pos="709"/>
        </w:tabs>
        <w:snapToGrid/>
        <w:spacing w:after="160" w:line="259" w:lineRule="auto"/>
        <w:jc w:val="both"/>
        <w:rPr>
          <w:rFonts w:ascii="Aptos" w:eastAsia="Aptos" w:hAnsi="Aptos" w:cs="Aptos"/>
          <w:i/>
          <w:snapToGrid/>
          <w:sz w:val="21"/>
          <w:szCs w:val="21"/>
          <w:lang w:val="en-US"/>
        </w:rPr>
      </w:pPr>
      <w:r w:rsidRPr="0084305F">
        <w:rPr>
          <w:rFonts w:ascii="Aptos" w:eastAsia="Aptos" w:hAnsi="Aptos" w:cs="Aptos"/>
          <w:b/>
          <w:snapToGrid/>
          <w:sz w:val="20"/>
          <w:szCs w:val="20"/>
          <w:lang w:val="en-US"/>
        </w:rPr>
        <w:lastRenderedPageBreak/>
        <w:t xml:space="preserve">Notes and </w:t>
      </w:r>
      <w:proofErr w:type="gramStart"/>
      <w:r w:rsidRPr="0084305F">
        <w:rPr>
          <w:rFonts w:ascii="Aptos" w:eastAsia="Aptos" w:hAnsi="Aptos" w:cs="Aptos"/>
          <w:b/>
          <w:snapToGrid/>
          <w:sz w:val="20"/>
          <w:szCs w:val="20"/>
          <w:lang w:val="en-US"/>
        </w:rPr>
        <w:t>appreciates</w:t>
      </w:r>
      <w:proofErr w:type="gramEnd"/>
      <w:r w:rsidRPr="0084305F">
        <w:rPr>
          <w:rFonts w:ascii="Aptos" w:eastAsia="Aptos" w:hAnsi="Aptos" w:cs="Aptos"/>
          <w:snapToGrid/>
          <w:sz w:val="20"/>
          <w:szCs w:val="20"/>
          <w:lang w:val="en-US"/>
        </w:rPr>
        <w:t xml:space="preserve"> the increased Ocean Decade actions submitted contributing to the ODTP.</w:t>
      </w:r>
    </w:p>
    <w:p w14:paraId="7E964CD5"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Recommends </w:t>
      </w:r>
      <w:r w:rsidRPr="0084305F">
        <w:rPr>
          <w:rFonts w:ascii="Aptos" w:eastAsia="Aptos" w:hAnsi="Aptos" w:cs="Aptos"/>
          <w:snapToGrid/>
          <w:sz w:val="20"/>
          <w:szCs w:val="20"/>
          <w:lang w:val="en-US"/>
        </w:rPr>
        <w:t>experts (to be identified) to support the review of the three new ODTP actions for endorsement by Ocean Decade Unit.</w:t>
      </w:r>
    </w:p>
    <w:p w14:paraId="670E93F1" w14:textId="77777777" w:rsidR="0084305F" w:rsidRPr="0084305F" w:rsidRDefault="0084305F" w:rsidP="0084305F">
      <w:pPr>
        <w:shd w:val="clear" w:color="auto" w:fill="FFFFFF"/>
        <w:tabs>
          <w:tab w:val="clear" w:pos="709"/>
        </w:tabs>
        <w:snapToGrid/>
        <w:spacing w:before="240" w:after="160" w:line="256" w:lineRule="auto"/>
        <w:jc w:val="both"/>
        <w:rPr>
          <w:rFonts w:ascii="Arial" w:eastAsia="Arial" w:hAnsi="Arial" w:cs="Arial"/>
          <w:b/>
          <w:snapToGrid/>
          <w:color w:val="0070C0"/>
          <w:sz w:val="32"/>
          <w:szCs w:val="32"/>
          <w:lang w:val="en-US"/>
        </w:rPr>
      </w:pPr>
      <w:r w:rsidRPr="0084305F">
        <w:rPr>
          <w:rFonts w:ascii="Aptos" w:eastAsia="Aptos" w:hAnsi="Aptos" w:cs="Aptos"/>
          <w:b/>
          <w:snapToGrid/>
          <w:sz w:val="20"/>
          <w:szCs w:val="20"/>
          <w:lang w:val="en-US"/>
        </w:rPr>
        <w:t>Further recommends</w:t>
      </w:r>
      <w:r w:rsidRPr="0084305F">
        <w:rPr>
          <w:rFonts w:ascii="Aptos" w:eastAsia="Aptos" w:hAnsi="Aptos" w:cs="Aptos"/>
          <w:snapToGrid/>
          <w:sz w:val="20"/>
          <w:szCs w:val="20"/>
          <w:lang w:val="en-US"/>
        </w:rPr>
        <w:t xml:space="preserve"> a future OD-ODTP call to focus on A.I application in Tsunami Early Warning Systems</w:t>
      </w:r>
    </w:p>
    <w:p w14:paraId="354E7B77"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b/>
          <w:snapToGrid/>
          <w:color w:val="980000"/>
          <w:sz w:val="22"/>
          <w:szCs w:val="22"/>
          <w:lang w:val="en-US"/>
        </w:rPr>
      </w:pPr>
      <w:bookmarkStart w:id="261" w:name="_4eyqsw82dweo" w:colFirst="0" w:colLast="0"/>
      <w:bookmarkStart w:id="262" w:name="_Toc195258148"/>
      <w:bookmarkEnd w:id="261"/>
      <w:r w:rsidRPr="0084305F">
        <w:rPr>
          <w:rFonts w:ascii="Aptos" w:eastAsia="Aptos" w:hAnsi="Aptos" w:cs="Aptos"/>
          <w:b/>
          <w:snapToGrid/>
          <w:color w:val="980000"/>
          <w:sz w:val="22"/>
          <w:szCs w:val="22"/>
          <w:lang w:val="en-US"/>
        </w:rPr>
        <w:t>TRRP- Methodology for Estimating Eligibility for TRR and Assessment of Risk at Community Level</w:t>
      </w:r>
      <w:bookmarkEnd w:id="262"/>
      <w:r w:rsidRPr="0084305F">
        <w:rPr>
          <w:rFonts w:ascii="Aptos" w:eastAsia="Aptos" w:hAnsi="Aptos" w:cs="Aptos"/>
          <w:b/>
          <w:snapToGrid/>
          <w:color w:val="980000"/>
          <w:sz w:val="22"/>
          <w:szCs w:val="22"/>
          <w:lang w:val="en-US"/>
        </w:rPr>
        <w:t xml:space="preserve"> </w:t>
      </w:r>
    </w:p>
    <w:p w14:paraId="1EE341D3"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0F60FAF8" w14:textId="77777777" w:rsidR="0084305F" w:rsidRPr="0084305F" w:rsidRDefault="0084305F" w:rsidP="0084305F">
      <w:pPr>
        <w:shd w:val="clear" w:color="auto" w:fill="FFFFFF"/>
        <w:tabs>
          <w:tab w:val="clear" w:pos="709"/>
        </w:tabs>
        <w:snapToGrid/>
        <w:spacing w:before="240" w:after="240" w:line="256" w:lineRule="auto"/>
        <w:ind w:right="120"/>
        <w:jc w:val="both"/>
        <w:rPr>
          <w:rFonts w:ascii="Aptos" w:eastAsia="Aptos" w:hAnsi="Aptos" w:cs="Aptos"/>
          <w:snapToGrid/>
          <w:sz w:val="22"/>
          <w:szCs w:val="22"/>
          <w:lang w:val="en-US"/>
        </w:rPr>
      </w:pPr>
      <w:r w:rsidRPr="0084305F">
        <w:rPr>
          <w:rFonts w:ascii="Aptos" w:eastAsia="Aptos" w:hAnsi="Aptos" w:cs="Aptos"/>
          <w:b/>
          <w:snapToGrid/>
          <w:sz w:val="21"/>
          <w:szCs w:val="21"/>
          <w:lang w:val="en-US"/>
        </w:rPr>
        <w:t>Appreciates</w:t>
      </w:r>
      <w:r w:rsidRPr="0084305F">
        <w:rPr>
          <w:rFonts w:ascii="Aptos" w:eastAsia="Aptos" w:hAnsi="Aptos" w:cs="Aptos"/>
          <w:snapToGrid/>
          <w:color w:val="0070C0"/>
          <w:sz w:val="21"/>
          <w:szCs w:val="21"/>
          <w:lang w:val="en-US"/>
        </w:rPr>
        <w:t xml:space="preserve"> </w:t>
      </w:r>
      <w:r w:rsidRPr="0084305F">
        <w:rPr>
          <w:rFonts w:ascii="Aptos" w:eastAsia="Aptos" w:hAnsi="Aptos" w:cs="Aptos"/>
          <w:snapToGrid/>
          <w:sz w:val="22"/>
          <w:szCs w:val="22"/>
          <w:lang w:val="en-US"/>
        </w:rPr>
        <w:t xml:space="preserve">the work commissioned by the IOC/TSR on a Methodological Protocol for Mapping, Identifying and estimating administrative units (“communities”) eligible for the TRRP and assess the level of risk of each community in the Caribbean Basin and its wider application in other ocean basins/ICGs. </w:t>
      </w:r>
    </w:p>
    <w:p w14:paraId="1688C23B" w14:textId="77777777" w:rsidR="0084305F" w:rsidRPr="0084305F" w:rsidRDefault="0084305F" w:rsidP="0084305F">
      <w:pPr>
        <w:tabs>
          <w:tab w:val="clear" w:pos="709"/>
        </w:tabs>
        <w:snapToGrid/>
        <w:spacing w:after="160" w:line="278" w:lineRule="auto"/>
        <w:jc w:val="both"/>
        <w:rPr>
          <w:rFonts w:ascii="Aptos" w:eastAsia="Aptos" w:hAnsi="Aptos" w:cs="Aptos"/>
          <w:b/>
          <w:snapToGrid/>
          <w:color w:val="0000FF"/>
          <w:sz w:val="22"/>
          <w:szCs w:val="22"/>
          <w:lang w:val="en-US"/>
        </w:rPr>
      </w:pPr>
      <w:r w:rsidRPr="0084305F">
        <w:rPr>
          <w:rFonts w:ascii="Aptos" w:eastAsia="Aptos" w:hAnsi="Aptos" w:cs="Aptos"/>
          <w:b/>
          <w:snapToGrid/>
          <w:color w:val="0070C0"/>
          <w:sz w:val="20"/>
          <w:szCs w:val="20"/>
          <w:lang w:val="en-US"/>
        </w:rPr>
        <w:t>Recommendations to TOWS-WG (as per TT DMP Report)</w:t>
      </w:r>
    </w:p>
    <w:p w14:paraId="17900583" w14:textId="77777777" w:rsidR="0084305F" w:rsidRPr="0084305F" w:rsidRDefault="0084305F" w:rsidP="0084305F">
      <w:pPr>
        <w:tabs>
          <w:tab w:val="clear" w:pos="709"/>
        </w:tabs>
        <w:snapToGrid/>
        <w:spacing w:after="160" w:line="278" w:lineRule="auto"/>
        <w:jc w:val="both"/>
        <w:rPr>
          <w:rFonts w:ascii="Aptos" w:eastAsia="Aptos" w:hAnsi="Aptos" w:cs="Aptos"/>
          <w:snapToGrid/>
          <w:sz w:val="22"/>
          <w:szCs w:val="22"/>
          <w:lang w:val="en-US"/>
        </w:rPr>
      </w:pPr>
      <w:r w:rsidRPr="0084305F">
        <w:rPr>
          <w:rFonts w:ascii="Aptos" w:eastAsia="Aptos" w:hAnsi="Aptos" w:cs="Aptos"/>
          <w:b/>
          <w:snapToGrid/>
          <w:sz w:val="22"/>
          <w:szCs w:val="22"/>
          <w:lang w:val="en-US"/>
        </w:rPr>
        <w:t>Requests</w:t>
      </w:r>
      <w:r w:rsidRPr="0084305F">
        <w:rPr>
          <w:rFonts w:ascii="Aptos" w:eastAsia="Aptos" w:hAnsi="Aptos" w:cs="Aptos"/>
          <w:snapToGrid/>
          <w:sz w:val="22"/>
          <w:szCs w:val="22"/>
          <w:lang w:val="en-US"/>
        </w:rPr>
        <w:t xml:space="preserve"> to perform a scientific peer review on the Methodology for Estimating Eligibility for TRR and Assessment of Tsunami Risk at Community Level to ensure the indices developed are accepted as a scientifically credible methodology and endorsed by ICGs. </w:t>
      </w:r>
    </w:p>
    <w:p w14:paraId="0B302F49" w14:textId="77777777" w:rsidR="0084305F" w:rsidRPr="0084305F" w:rsidRDefault="0084305F" w:rsidP="0084305F">
      <w:pPr>
        <w:tabs>
          <w:tab w:val="clear" w:pos="709"/>
        </w:tabs>
        <w:snapToGrid/>
        <w:spacing w:after="160" w:line="278" w:lineRule="auto"/>
        <w:jc w:val="both"/>
        <w:rPr>
          <w:rFonts w:ascii="Aptos" w:eastAsia="Aptos" w:hAnsi="Aptos" w:cs="Aptos"/>
          <w:snapToGrid/>
          <w:sz w:val="22"/>
          <w:szCs w:val="22"/>
          <w:lang w:val="en-US"/>
        </w:rPr>
      </w:pPr>
      <w:r w:rsidRPr="0084305F">
        <w:rPr>
          <w:rFonts w:ascii="Aptos" w:eastAsia="Aptos" w:hAnsi="Aptos" w:cs="Aptos"/>
          <w:b/>
          <w:snapToGrid/>
          <w:sz w:val="22"/>
          <w:szCs w:val="22"/>
          <w:lang w:val="en-US"/>
        </w:rPr>
        <w:t xml:space="preserve">Recommends </w:t>
      </w:r>
      <w:r w:rsidRPr="0084305F">
        <w:rPr>
          <w:rFonts w:ascii="Aptos" w:eastAsia="Aptos" w:hAnsi="Aptos" w:cs="Aptos"/>
          <w:snapToGrid/>
          <w:sz w:val="22"/>
          <w:szCs w:val="22"/>
          <w:lang w:val="en-US"/>
        </w:rPr>
        <w:t>secretariat, once peer review is completed, to prepare an IOC Technical Series document on the Methodology for Estimating Eligibility for TRR and Assessment of Tsunami Risk at Community Level.</w:t>
      </w:r>
    </w:p>
    <w:p w14:paraId="5292BBF1"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Play" w:eastAsia="Play" w:hAnsi="Play" w:cs="Play"/>
          <w:b/>
          <w:snapToGrid/>
          <w:color w:val="980000"/>
          <w:sz w:val="22"/>
          <w:szCs w:val="22"/>
          <w:lang w:val="en-US"/>
        </w:rPr>
      </w:pPr>
      <w:bookmarkStart w:id="263" w:name="_4leh161rwhad" w:colFirst="0" w:colLast="0"/>
      <w:bookmarkStart w:id="264" w:name="_Toc195258149"/>
      <w:bookmarkEnd w:id="263"/>
      <w:r w:rsidRPr="0084305F">
        <w:rPr>
          <w:rFonts w:ascii="Aptos" w:eastAsia="Aptos" w:hAnsi="Aptos" w:cs="Aptos"/>
          <w:b/>
          <w:snapToGrid/>
          <w:color w:val="980000"/>
          <w:sz w:val="22"/>
          <w:szCs w:val="22"/>
          <w:lang w:val="en-US"/>
        </w:rPr>
        <w:t>The Development of ODTP Tracking and Monitoring Tool &amp; Global Tsunami Performance Monitoring Framework (of the PTWS)</w:t>
      </w:r>
      <w:bookmarkEnd w:id="264"/>
    </w:p>
    <w:p w14:paraId="6240DDC5"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6D88CADF"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Acknowledges </w:t>
      </w:r>
      <w:r w:rsidRPr="0084305F">
        <w:rPr>
          <w:rFonts w:ascii="Aptos" w:eastAsia="Aptos" w:hAnsi="Aptos" w:cs="Aptos"/>
          <w:snapToGrid/>
          <w:sz w:val="20"/>
          <w:szCs w:val="20"/>
          <w:lang w:val="en-US"/>
        </w:rPr>
        <w:t xml:space="preserve">the ongoing efforts in developing the ODTP Tracking and Monitoring Tool and the Global Tsunami Performance Monitoring Framework </w:t>
      </w:r>
    </w:p>
    <w:p w14:paraId="33DBB3F7"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Notes</w:t>
      </w:r>
      <w:r w:rsidRPr="0084305F">
        <w:rPr>
          <w:rFonts w:ascii="Aptos" w:eastAsia="Aptos" w:hAnsi="Aptos" w:cs="Aptos"/>
          <w:snapToGrid/>
          <w:sz w:val="20"/>
          <w:szCs w:val="20"/>
          <w:lang w:val="en-US"/>
        </w:rPr>
        <w:t xml:space="preserve"> the opportunity to TOWS Task Teams to engage and contribute through an online meeting in August 2025 on the ongoing work.  </w:t>
      </w:r>
    </w:p>
    <w:p w14:paraId="0E93D463" w14:textId="77777777" w:rsidR="0084305F" w:rsidRPr="0084305F" w:rsidRDefault="0084305F" w:rsidP="0084305F">
      <w:pPr>
        <w:tabs>
          <w:tab w:val="clear" w:pos="709"/>
        </w:tabs>
        <w:snapToGrid/>
        <w:spacing w:after="160" w:line="259" w:lineRule="auto"/>
        <w:jc w:val="both"/>
        <w:rPr>
          <w:rFonts w:ascii="Aptos" w:eastAsia="Aptos" w:hAnsi="Aptos" w:cs="Aptos"/>
          <w:snapToGrid/>
          <w:sz w:val="22"/>
          <w:szCs w:val="22"/>
          <w:lang w:val="en-US"/>
        </w:rPr>
      </w:pPr>
      <w:r w:rsidRPr="0084305F">
        <w:rPr>
          <w:rFonts w:ascii="Aptos" w:eastAsia="Aptos" w:hAnsi="Aptos" w:cs="Aptos"/>
          <w:b/>
          <w:snapToGrid/>
          <w:sz w:val="20"/>
          <w:szCs w:val="20"/>
          <w:lang w:val="en-US"/>
        </w:rPr>
        <w:t>Recommends</w:t>
      </w:r>
      <w:r w:rsidRPr="0084305F">
        <w:rPr>
          <w:rFonts w:ascii="Aptos" w:eastAsia="Aptos" w:hAnsi="Aptos" w:cs="Aptos"/>
          <w:snapToGrid/>
          <w:sz w:val="20"/>
          <w:szCs w:val="20"/>
          <w:lang w:val="en-US"/>
        </w:rPr>
        <w:t xml:space="preserve"> ICGs to develop and adopt a harmonized set of KPIs based on the GKPI, to support consistent and effective global reporting.</w:t>
      </w:r>
    </w:p>
    <w:p w14:paraId="5847A2A5"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Play" w:eastAsia="Play" w:hAnsi="Play" w:cs="Play"/>
          <w:b/>
          <w:snapToGrid/>
          <w:color w:val="980000"/>
          <w:sz w:val="22"/>
          <w:szCs w:val="22"/>
          <w:lang w:val="en-US"/>
        </w:rPr>
      </w:pPr>
      <w:bookmarkStart w:id="265" w:name="_vrtkc22byd3e" w:colFirst="0" w:colLast="0"/>
      <w:bookmarkStart w:id="266" w:name="_Toc195258150"/>
      <w:bookmarkEnd w:id="265"/>
      <w:r w:rsidRPr="0084305F">
        <w:rPr>
          <w:rFonts w:ascii="Aptos" w:eastAsia="Aptos" w:hAnsi="Aptos" w:cs="Aptos"/>
          <w:b/>
          <w:snapToGrid/>
          <w:color w:val="980000"/>
          <w:sz w:val="22"/>
          <w:szCs w:val="22"/>
          <w:lang w:val="en-US"/>
        </w:rPr>
        <w:t>Tsunami Ready Coalition (see TT DMP Report)</w:t>
      </w:r>
      <w:bookmarkEnd w:id="266"/>
    </w:p>
    <w:p w14:paraId="4F37751F"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b/>
          <w:snapToGrid/>
          <w:color w:val="980000"/>
          <w:sz w:val="22"/>
          <w:szCs w:val="22"/>
          <w:lang w:val="en-US"/>
        </w:rPr>
      </w:pPr>
      <w:bookmarkStart w:id="267" w:name="_bf42da2ignm8" w:colFirst="0" w:colLast="0"/>
      <w:bookmarkStart w:id="268" w:name="_Toc195258151"/>
      <w:bookmarkEnd w:id="267"/>
      <w:r w:rsidRPr="0084305F">
        <w:rPr>
          <w:rFonts w:ascii="Aptos" w:eastAsia="Aptos" w:hAnsi="Aptos" w:cs="Aptos"/>
          <w:b/>
          <w:snapToGrid/>
          <w:color w:val="980000"/>
          <w:sz w:val="22"/>
          <w:szCs w:val="22"/>
          <w:lang w:val="en-US"/>
        </w:rPr>
        <w:t>Online Coordination Webinar</w:t>
      </w:r>
      <w:bookmarkEnd w:id="268"/>
    </w:p>
    <w:p w14:paraId="1D9516A8"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7B92F030"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Notes </w:t>
      </w:r>
      <w:r w:rsidRPr="0084305F">
        <w:rPr>
          <w:rFonts w:ascii="Aptos" w:eastAsia="Aptos" w:hAnsi="Aptos" w:cs="Aptos"/>
          <w:snapToGrid/>
          <w:sz w:val="20"/>
          <w:szCs w:val="20"/>
          <w:lang w:val="en-US"/>
        </w:rPr>
        <w:t>the proposal for the ODTP Webinars on each of the high-level objectives of the ODTP and the first ODTP Conference for 2025 in Hyderabad, alongside IUGG-JTC (Nov 12–14, 2025) hosted by INCOIS.</w:t>
      </w:r>
    </w:p>
    <w:p w14:paraId="4F155460" w14:textId="77777777" w:rsidR="0084305F" w:rsidRPr="0084305F" w:rsidRDefault="0084305F" w:rsidP="0084305F">
      <w:pPr>
        <w:tabs>
          <w:tab w:val="clear" w:pos="709"/>
        </w:tabs>
        <w:snapToGrid/>
        <w:spacing w:after="160" w:line="259" w:lineRule="auto"/>
        <w:jc w:val="both"/>
        <w:rPr>
          <w:rFonts w:ascii="Aptos" w:eastAsia="Aptos" w:hAnsi="Aptos" w:cs="Aptos"/>
          <w:b/>
          <w:snapToGrid/>
          <w:color w:val="980000"/>
          <w:sz w:val="22"/>
          <w:szCs w:val="22"/>
          <w:lang w:val="en-US"/>
        </w:rPr>
      </w:pPr>
      <w:r w:rsidRPr="0084305F">
        <w:rPr>
          <w:rFonts w:ascii="Aptos" w:eastAsia="Aptos" w:hAnsi="Aptos" w:cs="Aptos"/>
          <w:b/>
          <w:snapToGrid/>
          <w:sz w:val="20"/>
          <w:szCs w:val="20"/>
          <w:lang w:val="en-US"/>
        </w:rPr>
        <w:t>Agrees</w:t>
      </w:r>
      <w:r w:rsidRPr="0084305F">
        <w:rPr>
          <w:rFonts w:ascii="Aptos" w:eastAsia="Aptos" w:hAnsi="Aptos" w:cs="Aptos"/>
          <w:snapToGrid/>
          <w:sz w:val="20"/>
          <w:szCs w:val="20"/>
          <w:lang w:val="en-US"/>
        </w:rPr>
        <w:t xml:space="preserve"> to make connections with other relevant webinars (volcano among others).</w:t>
      </w:r>
    </w:p>
    <w:p w14:paraId="0052D94B" w14:textId="77777777" w:rsidR="0084305F" w:rsidRPr="0084305F" w:rsidRDefault="0084305F" w:rsidP="0084305F">
      <w:pPr>
        <w:keepNext/>
        <w:keepLines/>
        <w:numPr>
          <w:ilvl w:val="0"/>
          <w:numId w:val="156"/>
        </w:numPr>
        <w:tabs>
          <w:tab w:val="clear" w:pos="709"/>
        </w:tabs>
        <w:snapToGrid/>
        <w:spacing w:before="160" w:after="80" w:line="259" w:lineRule="auto"/>
        <w:ind w:left="0" w:firstLine="0"/>
        <w:outlineLvl w:val="1"/>
        <w:rPr>
          <w:rFonts w:ascii="Aptos" w:eastAsia="Aptos" w:hAnsi="Aptos" w:cs="Aptos"/>
          <w:b/>
          <w:snapToGrid/>
          <w:color w:val="980000"/>
          <w:sz w:val="22"/>
          <w:szCs w:val="22"/>
          <w:lang w:val="en-US"/>
        </w:rPr>
      </w:pPr>
      <w:bookmarkStart w:id="269" w:name="_d9zjiy24r3yx" w:colFirst="0" w:colLast="0"/>
      <w:bookmarkStart w:id="270" w:name="_Toc195258152"/>
      <w:bookmarkEnd w:id="269"/>
      <w:r w:rsidRPr="0084305F">
        <w:rPr>
          <w:rFonts w:ascii="Aptos" w:eastAsia="Aptos" w:hAnsi="Aptos" w:cs="Aptos"/>
          <w:b/>
          <w:snapToGrid/>
          <w:color w:val="980000"/>
          <w:sz w:val="22"/>
          <w:szCs w:val="22"/>
          <w:lang w:val="en-US"/>
        </w:rPr>
        <w:t>Roles for TT TWO and TT DMP</w:t>
      </w:r>
      <w:bookmarkEnd w:id="270"/>
    </w:p>
    <w:p w14:paraId="0566D3BD" w14:textId="77777777" w:rsidR="0084305F" w:rsidRPr="0084305F" w:rsidRDefault="0084305F" w:rsidP="0084305F">
      <w:pPr>
        <w:tabs>
          <w:tab w:val="clear" w:pos="709"/>
        </w:tabs>
        <w:snapToGrid/>
        <w:spacing w:after="160" w:line="259" w:lineRule="auto"/>
        <w:jc w:val="both"/>
        <w:rPr>
          <w:rFonts w:ascii="Aptos" w:eastAsia="Aptos" w:hAnsi="Aptos" w:cs="Aptos"/>
          <w:snapToGrid/>
          <w:sz w:val="20"/>
          <w:szCs w:val="20"/>
          <w:lang w:val="en-US"/>
        </w:rPr>
      </w:pPr>
      <w:r w:rsidRPr="0084305F">
        <w:rPr>
          <w:rFonts w:ascii="Aptos" w:eastAsia="Aptos" w:hAnsi="Aptos" w:cs="Aptos"/>
          <w:b/>
          <w:snapToGrid/>
          <w:color w:val="0070C0"/>
          <w:sz w:val="20"/>
          <w:szCs w:val="20"/>
          <w:lang w:val="en-US"/>
        </w:rPr>
        <w:t>Recommendation to TOWS Joint Task Teams</w:t>
      </w:r>
      <w:r w:rsidRPr="0084305F">
        <w:rPr>
          <w:rFonts w:ascii="Aptos" w:eastAsia="Aptos" w:hAnsi="Aptos" w:cs="Aptos"/>
          <w:snapToGrid/>
          <w:sz w:val="20"/>
          <w:szCs w:val="20"/>
          <w:lang w:val="en-US"/>
        </w:rPr>
        <w:t xml:space="preserve"> </w:t>
      </w:r>
    </w:p>
    <w:p w14:paraId="54D5A3B2" w14:textId="77777777" w:rsidR="0084305F" w:rsidRPr="0084305F" w:rsidRDefault="0084305F" w:rsidP="0084305F">
      <w:pPr>
        <w:tabs>
          <w:tab w:val="clear" w:pos="709"/>
        </w:tabs>
        <w:snapToGrid/>
        <w:spacing w:after="160" w:line="259" w:lineRule="auto"/>
        <w:jc w:val="both"/>
        <w:rPr>
          <w:rFonts w:ascii="Aptos" w:eastAsia="Aptos" w:hAnsi="Aptos" w:cs="Aptos"/>
          <w:snapToGrid/>
          <w:sz w:val="22"/>
          <w:szCs w:val="22"/>
          <w:lang w:val="en-US"/>
        </w:rPr>
      </w:pPr>
      <w:r w:rsidRPr="0084305F">
        <w:rPr>
          <w:rFonts w:ascii="Aptos" w:eastAsia="Aptos" w:hAnsi="Aptos" w:cs="Aptos"/>
          <w:b/>
          <w:snapToGrid/>
          <w:sz w:val="20"/>
          <w:szCs w:val="20"/>
          <w:lang w:val="en-US"/>
        </w:rPr>
        <w:lastRenderedPageBreak/>
        <w:t>Recommends</w:t>
      </w:r>
      <w:r w:rsidRPr="0084305F">
        <w:rPr>
          <w:rFonts w:ascii="Aptos" w:eastAsia="Aptos" w:hAnsi="Aptos" w:cs="Aptos"/>
          <w:snapToGrid/>
          <w:sz w:val="20"/>
          <w:szCs w:val="20"/>
          <w:lang w:val="en-US"/>
        </w:rPr>
        <w:t xml:space="preserve"> </w:t>
      </w:r>
      <w:proofErr w:type="gramStart"/>
      <w:r w:rsidRPr="0084305F">
        <w:rPr>
          <w:rFonts w:ascii="Aptos" w:eastAsia="Aptos" w:hAnsi="Aptos" w:cs="Aptos"/>
          <w:snapToGrid/>
          <w:sz w:val="20"/>
          <w:szCs w:val="20"/>
          <w:lang w:val="en-US"/>
        </w:rPr>
        <w:t>to revise</w:t>
      </w:r>
      <w:proofErr w:type="gramEnd"/>
      <w:r w:rsidRPr="0084305F">
        <w:rPr>
          <w:rFonts w:ascii="Aptos" w:eastAsia="Aptos" w:hAnsi="Aptos" w:cs="Aptos"/>
          <w:snapToGrid/>
          <w:sz w:val="20"/>
          <w:szCs w:val="20"/>
          <w:lang w:val="en-US"/>
        </w:rPr>
        <w:t xml:space="preserve"> both TOWS Task Team Terms of Reference to reflect </w:t>
      </w:r>
      <w:r w:rsidRPr="0084305F">
        <w:rPr>
          <w:rFonts w:ascii="Aptos" w:eastAsia="Aptos" w:hAnsi="Aptos" w:cs="Aptos"/>
          <w:snapToGrid/>
          <w:color w:val="222222"/>
          <w:sz w:val="20"/>
          <w:szCs w:val="20"/>
          <w:lang w:val="en-US"/>
        </w:rPr>
        <w:t xml:space="preserve">the fact that many advances have been made, and new needs have been identified particularly concerning the implementation of the Tsunami Ready Programme, Ocean Decade Tsunami Programme, capacity building and coastal resilience etc.   since TTs </w:t>
      </w:r>
      <w:proofErr w:type="spellStart"/>
      <w:r w:rsidRPr="0084305F">
        <w:rPr>
          <w:rFonts w:ascii="Aptos" w:eastAsia="Aptos" w:hAnsi="Aptos" w:cs="Aptos"/>
          <w:snapToGrid/>
          <w:color w:val="222222"/>
          <w:sz w:val="20"/>
          <w:szCs w:val="20"/>
          <w:lang w:val="en-US"/>
        </w:rPr>
        <w:t>ToR</w:t>
      </w:r>
      <w:proofErr w:type="spellEnd"/>
      <w:r w:rsidRPr="0084305F">
        <w:rPr>
          <w:rFonts w:ascii="Aptos" w:eastAsia="Aptos" w:hAnsi="Aptos" w:cs="Aptos"/>
          <w:snapToGrid/>
          <w:color w:val="222222"/>
          <w:sz w:val="20"/>
          <w:szCs w:val="20"/>
          <w:lang w:val="en-US"/>
        </w:rPr>
        <w:t xml:space="preserve"> were prepared in </w:t>
      </w:r>
      <w:proofErr w:type="gramStart"/>
      <w:r w:rsidRPr="0084305F">
        <w:rPr>
          <w:rFonts w:ascii="Aptos" w:eastAsia="Aptos" w:hAnsi="Aptos" w:cs="Aptos"/>
          <w:snapToGrid/>
          <w:color w:val="222222"/>
          <w:sz w:val="20"/>
          <w:szCs w:val="20"/>
          <w:lang w:val="en-US"/>
        </w:rPr>
        <w:t>2010 .</w:t>
      </w:r>
      <w:proofErr w:type="gramEnd"/>
      <w:r w:rsidRPr="0084305F">
        <w:rPr>
          <w:rFonts w:ascii="Aptos" w:eastAsia="Aptos" w:hAnsi="Aptos" w:cs="Aptos"/>
          <w:snapToGrid/>
          <w:color w:val="222222"/>
          <w:sz w:val="20"/>
          <w:szCs w:val="20"/>
          <w:lang w:val="en-US"/>
        </w:rPr>
        <w:t xml:space="preserve"> </w:t>
      </w:r>
    </w:p>
    <w:p w14:paraId="22F5C80E"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ptos" w:eastAsia="Aptos" w:hAnsi="Aptos" w:cs="Aptos"/>
          <w:b/>
          <w:snapToGrid/>
          <w:color w:val="980000"/>
          <w:sz w:val="22"/>
          <w:szCs w:val="22"/>
          <w:lang w:val="en-US"/>
        </w:rPr>
      </w:pPr>
      <w:bookmarkStart w:id="271" w:name="_bnto4ocni1si" w:colFirst="0" w:colLast="0"/>
      <w:bookmarkStart w:id="272" w:name="_Toc195258153"/>
      <w:bookmarkEnd w:id="271"/>
      <w:r w:rsidRPr="0084305F">
        <w:rPr>
          <w:rFonts w:ascii="Aptos" w:eastAsia="Aptos" w:hAnsi="Aptos" w:cs="Aptos"/>
          <w:b/>
          <w:snapToGrid/>
          <w:color w:val="980000"/>
          <w:sz w:val="22"/>
          <w:szCs w:val="22"/>
          <w:lang w:val="en-US"/>
        </w:rPr>
        <w:t>Update on PTWS NTWC Competency Framework and Development of Global Framework</w:t>
      </w:r>
      <w:bookmarkEnd w:id="272"/>
    </w:p>
    <w:p w14:paraId="4A08935B" w14:textId="77777777" w:rsidR="0084305F" w:rsidRPr="0084305F" w:rsidRDefault="0084305F" w:rsidP="0084305F">
      <w:pPr>
        <w:tabs>
          <w:tab w:val="clear" w:pos="709"/>
        </w:tabs>
        <w:snapToGrid/>
        <w:spacing w:after="160" w:line="259" w:lineRule="auto"/>
        <w:rPr>
          <w:rFonts w:ascii="Aptos" w:eastAsia="Aptos" w:hAnsi="Aptos" w:cs="Aptos"/>
          <w:snapToGrid/>
          <w:sz w:val="22"/>
          <w:szCs w:val="22"/>
          <w:lang w:val="en-US"/>
        </w:rPr>
      </w:pPr>
    </w:p>
    <w:p w14:paraId="4609F4D5"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Notes </w:t>
      </w:r>
      <w:r w:rsidRPr="0084305F">
        <w:rPr>
          <w:rFonts w:ascii="Aptos" w:eastAsia="Aptos" w:hAnsi="Aptos" w:cs="Aptos"/>
          <w:snapToGrid/>
          <w:sz w:val="20"/>
          <w:szCs w:val="20"/>
          <w:lang w:val="en-US"/>
        </w:rPr>
        <w:t>the importance and value of establishing minimum tsunami warning center competencies under a global framework</w:t>
      </w:r>
    </w:p>
    <w:p w14:paraId="07026301" w14:textId="77777777" w:rsidR="0084305F" w:rsidRPr="0084305F" w:rsidRDefault="0084305F" w:rsidP="0084305F">
      <w:pPr>
        <w:tabs>
          <w:tab w:val="clear" w:pos="709"/>
        </w:tabs>
        <w:snapToGrid/>
        <w:jc w:val="both"/>
        <w:rPr>
          <w:rFonts w:ascii="Aptos" w:eastAsia="Aptos" w:hAnsi="Aptos" w:cs="Aptos"/>
          <w:b/>
          <w:snapToGrid/>
          <w:sz w:val="20"/>
          <w:szCs w:val="20"/>
          <w:lang w:val="en-US"/>
        </w:rPr>
      </w:pPr>
    </w:p>
    <w:p w14:paraId="019CC5C1"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Acknowledges Notes</w:t>
      </w:r>
      <w:r w:rsidRPr="0084305F">
        <w:rPr>
          <w:rFonts w:ascii="Aptos" w:eastAsia="Aptos" w:hAnsi="Aptos" w:cs="Aptos"/>
          <w:snapToGrid/>
          <w:sz w:val="20"/>
          <w:szCs w:val="20"/>
          <w:lang w:val="en-US"/>
        </w:rPr>
        <w:t xml:space="preserve"> the progress of the PTWS under the leadership of the ITIC to develop the Tsunami Warning Center Minimum Staff Competencies (TWC-MSC) Training Course, which will consist of Tsunami and Earthquake Science, Tsunami Warning Center Operations, and National Training Modules, all to be enabled under the IOC’s </w:t>
      </w:r>
      <w:proofErr w:type="spellStart"/>
      <w:r w:rsidRPr="0084305F">
        <w:rPr>
          <w:rFonts w:ascii="Aptos" w:eastAsia="Aptos" w:hAnsi="Aptos" w:cs="Aptos"/>
          <w:snapToGrid/>
          <w:sz w:val="20"/>
          <w:szCs w:val="20"/>
          <w:lang w:val="en-US"/>
        </w:rPr>
        <w:t>OceanTeacher</w:t>
      </w:r>
      <w:proofErr w:type="spellEnd"/>
      <w:r w:rsidRPr="0084305F">
        <w:rPr>
          <w:rFonts w:ascii="Aptos" w:eastAsia="Aptos" w:hAnsi="Aptos" w:cs="Aptos"/>
          <w:snapToGrid/>
          <w:sz w:val="20"/>
          <w:szCs w:val="20"/>
          <w:lang w:val="en-US"/>
        </w:rPr>
        <w:t xml:space="preserve"> Global Academy.</w:t>
      </w:r>
    </w:p>
    <w:p w14:paraId="765B2CEA"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22D708DE" w14:textId="77777777" w:rsidR="0084305F" w:rsidRPr="0084305F" w:rsidRDefault="0084305F" w:rsidP="0084305F">
      <w:pPr>
        <w:tabs>
          <w:tab w:val="clear" w:pos="709"/>
        </w:tabs>
        <w:snapToGrid/>
        <w:jc w:val="both"/>
        <w:rPr>
          <w:rFonts w:ascii="Aptos" w:eastAsia="Aptos" w:hAnsi="Aptos" w:cs="Aptos"/>
          <w:b/>
          <w:snapToGrid/>
          <w:sz w:val="20"/>
          <w:szCs w:val="20"/>
          <w:lang w:val="en-US"/>
        </w:rPr>
      </w:pPr>
      <w:r w:rsidRPr="0084305F">
        <w:rPr>
          <w:rFonts w:ascii="Aptos" w:eastAsia="Aptos" w:hAnsi="Aptos" w:cs="Aptos"/>
          <w:b/>
          <w:snapToGrid/>
          <w:sz w:val="20"/>
          <w:szCs w:val="20"/>
          <w:lang w:val="en-US"/>
        </w:rPr>
        <w:t xml:space="preserve">Appreciates </w:t>
      </w:r>
      <w:r w:rsidRPr="0084305F">
        <w:rPr>
          <w:rFonts w:ascii="Aptos" w:eastAsia="Aptos" w:hAnsi="Aptos" w:cs="Aptos"/>
          <w:snapToGrid/>
          <w:sz w:val="20"/>
          <w:szCs w:val="20"/>
          <w:lang w:val="en-US"/>
        </w:rPr>
        <w:t>the contribution of the IOC Ocean Training Internship Programme to provide interns from Indonesia and Tonga to the ITIC in 2024 to work on the development of the OTGA UNESCO-IOC Training Courses on Tsunami Ready and Tsunami Warning Center Minimum Staff Competencies.</w:t>
      </w:r>
    </w:p>
    <w:p w14:paraId="2E7BF568" w14:textId="77777777" w:rsidR="0084305F" w:rsidRPr="0084305F" w:rsidRDefault="0084305F" w:rsidP="0084305F">
      <w:pPr>
        <w:tabs>
          <w:tab w:val="clear" w:pos="709"/>
        </w:tabs>
        <w:snapToGrid/>
        <w:jc w:val="both"/>
        <w:rPr>
          <w:rFonts w:ascii="Aptos" w:eastAsia="Aptos" w:hAnsi="Aptos" w:cs="Aptos"/>
          <w:b/>
          <w:snapToGrid/>
          <w:sz w:val="20"/>
          <w:szCs w:val="20"/>
          <w:lang w:val="en-US"/>
        </w:rPr>
      </w:pPr>
    </w:p>
    <w:p w14:paraId="64825891" w14:textId="77777777" w:rsidR="0084305F" w:rsidRPr="0084305F" w:rsidRDefault="0084305F" w:rsidP="0084305F">
      <w:pPr>
        <w:tabs>
          <w:tab w:val="clear" w:pos="709"/>
        </w:tabs>
        <w:snapToGrid/>
        <w:jc w:val="both"/>
        <w:rPr>
          <w:rFonts w:ascii="Aptos" w:eastAsia="Aptos" w:hAnsi="Aptos" w:cs="Aptos"/>
          <w:snapToGrid/>
          <w:sz w:val="20"/>
          <w:szCs w:val="20"/>
          <w:lang w:val="en-US"/>
        </w:rPr>
      </w:pPr>
      <w:r w:rsidRPr="0084305F">
        <w:rPr>
          <w:rFonts w:ascii="Aptos" w:eastAsia="Aptos" w:hAnsi="Aptos" w:cs="Aptos"/>
          <w:b/>
          <w:snapToGrid/>
          <w:sz w:val="20"/>
          <w:szCs w:val="20"/>
          <w:lang w:val="en-US"/>
        </w:rPr>
        <w:t>Further appreciates</w:t>
      </w:r>
      <w:r w:rsidRPr="0084305F">
        <w:rPr>
          <w:rFonts w:ascii="Aptos" w:eastAsia="Aptos" w:hAnsi="Aptos" w:cs="Aptos"/>
          <w:snapToGrid/>
          <w:sz w:val="20"/>
          <w:szCs w:val="20"/>
          <w:lang w:val="en-US"/>
        </w:rPr>
        <w:t xml:space="preserve"> the </w:t>
      </w:r>
      <w:proofErr w:type="spellStart"/>
      <w:r w:rsidRPr="0084305F">
        <w:rPr>
          <w:rFonts w:ascii="Aptos" w:eastAsia="Aptos" w:hAnsi="Aptos" w:cs="Aptos"/>
          <w:snapToGrid/>
          <w:sz w:val="20"/>
          <w:szCs w:val="20"/>
          <w:lang w:val="en-US"/>
        </w:rPr>
        <w:t>the</w:t>
      </w:r>
      <w:proofErr w:type="spellEnd"/>
      <w:r w:rsidRPr="0084305F">
        <w:rPr>
          <w:rFonts w:ascii="Aptos" w:eastAsia="Aptos" w:hAnsi="Aptos" w:cs="Aptos"/>
          <w:snapToGrid/>
          <w:sz w:val="20"/>
          <w:szCs w:val="20"/>
          <w:lang w:val="en-US"/>
        </w:rPr>
        <w:t xml:space="preserve"> contribution of United States COMET Program to develop </w:t>
      </w:r>
      <w:proofErr w:type="spellStart"/>
      <w:r w:rsidRPr="0084305F">
        <w:rPr>
          <w:rFonts w:ascii="Aptos" w:eastAsia="Aptos" w:hAnsi="Aptos" w:cs="Aptos"/>
          <w:snapToGrid/>
          <w:sz w:val="20"/>
          <w:szCs w:val="20"/>
          <w:lang w:val="en-US"/>
        </w:rPr>
        <w:t>MetED</w:t>
      </w:r>
      <w:proofErr w:type="spellEnd"/>
      <w:r w:rsidRPr="0084305F">
        <w:rPr>
          <w:rFonts w:ascii="Aptos" w:eastAsia="Aptos" w:hAnsi="Aptos" w:cs="Aptos"/>
          <w:snapToGrid/>
          <w:sz w:val="20"/>
          <w:szCs w:val="20"/>
          <w:lang w:val="en-US"/>
        </w:rPr>
        <w:t xml:space="preserve"> training modules for the TWC-MSC Training Course, including modules on ongoing work on updating the COMET “Tsunamis” and ‘Communicating and Understanding Tsunami Risks using IOC PTWS Tsunami Service Provider Products” module with the aim to complete by early second quarter of 2025.</w:t>
      </w:r>
    </w:p>
    <w:p w14:paraId="778C9EF2" w14:textId="77777777" w:rsidR="0084305F" w:rsidRPr="0084305F" w:rsidRDefault="0084305F" w:rsidP="0084305F">
      <w:pPr>
        <w:tabs>
          <w:tab w:val="clear" w:pos="709"/>
        </w:tabs>
        <w:snapToGrid/>
        <w:jc w:val="both"/>
        <w:rPr>
          <w:rFonts w:ascii="Aptos" w:eastAsia="Aptos" w:hAnsi="Aptos" w:cs="Aptos"/>
          <w:snapToGrid/>
          <w:sz w:val="20"/>
          <w:szCs w:val="20"/>
          <w:lang w:val="en-US"/>
        </w:rPr>
      </w:pPr>
    </w:p>
    <w:p w14:paraId="68BA95CF" w14:textId="77777777" w:rsidR="0084305F" w:rsidRPr="0084305F" w:rsidRDefault="0084305F" w:rsidP="0084305F">
      <w:pPr>
        <w:tabs>
          <w:tab w:val="clear" w:pos="709"/>
        </w:tabs>
        <w:snapToGrid/>
        <w:jc w:val="both"/>
        <w:rPr>
          <w:rFonts w:ascii="Aptos" w:eastAsia="Aptos" w:hAnsi="Aptos" w:cs="Aptos"/>
          <w:snapToGrid/>
          <w:sz w:val="22"/>
          <w:szCs w:val="22"/>
          <w:lang w:val="en-US"/>
        </w:rPr>
      </w:pPr>
      <w:r w:rsidRPr="0084305F">
        <w:rPr>
          <w:rFonts w:ascii="Aptos" w:eastAsia="Aptos" w:hAnsi="Aptos" w:cs="Aptos"/>
          <w:b/>
          <w:snapToGrid/>
          <w:sz w:val="20"/>
          <w:szCs w:val="20"/>
          <w:lang w:val="en-US"/>
        </w:rPr>
        <w:t>Further notes</w:t>
      </w:r>
      <w:r w:rsidRPr="0084305F">
        <w:rPr>
          <w:rFonts w:ascii="Aptos" w:eastAsia="Aptos" w:hAnsi="Aptos" w:cs="Aptos"/>
          <w:snapToGrid/>
          <w:sz w:val="20"/>
          <w:szCs w:val="20"/>
          <w:lang w:val="en-US"/>
        </w:rPr>
        <w:t xml:space="preserve"> that the Work on OTGA PTWS TWC-MSC Training Course Pilot is expected to be ready to receive a small cohort in 2026, pending funding and ITIC staff resources. </w:t>
      </w:r>
    </w:p>
    <w:p w14:paraId="5912159E"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ptos" w:eastAsia="Aptos" w:hAnsi="Aptos" w:cs="Aptos"/>
          <w:b/>
          <w:snapToGrid/>
          <w:color w:val="980000"/>
          <w:sz w:val="22"/>
          <w:szCs w:val="22"/>
          <w:lang w:val="en-US"/>
        </w:rPr>
      </w:pPr>
      <w:bookmarkStart w:id="273" w:name="_ive46eb0220h" w:colFirst="0" w:colLast="0"/>
      <w:bookmarkStart w:id="274" w:name="_Toc195258154"/>
      <w:bookmarkEnd w:id="273"/>
      <w:r w:rsidRPr="0084305F">
        <w:rPr>
          <w:rFonts w:ascii="Aptos" w:eastAsia="Aptos" w:hAnsi="Aptos" w:cs="Aptos"/>
          <w:b/>
          <w:snapToGrid/>
          <w:color w:val="980000"/>
          <w:sz w:val="22"/>
          <w:szCs w:val="22"/>
          <w:lang w:val="en-US"/>
        </w:rPr>
        <w:t>Tsunami Glossary Update</w:t>
      </w:r>
      <w:bookmarkEnd w:id="274"/>
      <w:r w:rsidRPr="0084305F">
        <w:rPr>
          <w:rFonts w:ascii="Aptos" w:eastAsia="Aptos" w:hAnsi="Aptos" w:cs="Aptos"/>
          <w:b/>
          <w:snapToGrid/>
          <w:color w:val="980000"/>
          <w:sz w:val="22"/>
          <w:szCs w:val="22"/>
          <w:lang w:val="en-US"/>
        </w:rPr>
        <w:t xml:space="preserve"> </w:t>
      </w:r>
    </w:p>
    <w:p w14:paraId="25D42C10"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 xml:space="preserve">Recommendations </w:t>
      </w:r>
      <w:proofErr w:type="gramStart"/>
      <w:r w:rsidRPr="0084305F">
        <w:rPr>
          <w:rFonts w:ascii="Aptos" w:eastAsia="Aptos" w:hAnsi="Aptos" w:cs="Aptos"/>
          <w:b/>
          <w:snapToGrid/>
          <w:color w:val="0070C0"/>
          <w:sz w:val="20"/>
          <w:szCs w:val="20"/>
          <w:lang w:val="en-US"/>
        </w:rPr>
        <w:t>to</w:t>
      </w:r>
      <w:proofErr w:type="gramEnd"/>
      <w:r w:rsidRPr="0084305F">
        <w:rPr>
          <w:rFonts w:ascii="Aptos" w:eastAsia="Aptos" w:hAnsi="Aptos" w:cs="Aptos"/>
          <w:b/>
          <w:snapToGrid/>
          <w:color w:val="0070C0"/>
          <w:sz w:val="20"/>
          <w:szCs w:val="20"/>
          <w:lang w:val="en-US"/>
        </w:rPr>
        <w:t xml:space="preserve"> TOWS Joint Task Teams</w:t>
      </w:r>
    </w:p>
    <w:p w14:paraId="57AB173C"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 xml:space="preserve">Notes with appreciation </w:t>
      </w:r>
      <w:r w:rsidRPr="0084305F">
        <w:rPr>
          <w:rFonts w:ascii="Aptos" w:eastAsia="Aptos" w:hAnsi="Aptos" w:cs="Aptos"/>
          <w:snapToGrid/>
          <w:sz w:val="20"/>
          <w:szCs w:val="20"/>
          <w:lang w:val="en-US"/>
        </w:rPr>
        <w:t>of the work of the IUGG Joint Tsunami Commission and the ITIC for reviewing and recommending updated to the Tsunami Glossary of the IOC</w:t>
      </w:r>
    </w:p>
    <w:p w14:paraId="59A74631"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Notes</w:t>
      </w:r>
      <w:r w:rsidRPr="0084305F">
        <w:rPr>
          <w:rFonts w:ascii="Aptos" w:eastAsia="Aptos" w:hAnsi="Aptos" w:cs="Aptos"/>
          <w:snapToGrid/>
          <w:sz w:val="20"/>
          <w:szCs w:val="20"/>
          <w:lang w:val="en-US"/>
        </w:rPr>
        <w:t xml:space="preserve"> the approved edits of the 2025 Tsunami Glossary Update excludes </w:t>
      </w:r>
      <w:proofErr w:type="spellStart"/>
      <w:r w:rsidRPr="0084305F">
        <w:rPr>
          <w:rFonts w:ascii="Aptos" w:eastAsia="Aptos" w:hAnsi="Aptos" w:cs="Aptos"/>
          <w:snapToGrid/>
          <w:sz w:val="20"/>
          <w:szCs w:val="20"/>
          <w:lang w:val="en-US"/>
        </w:rPr>
        <w:t>meteotsunamis</w:t>
      </w:r>
      <w:proofErr w:type="spellEnd"/>
      <w:r w:rsidRPr="0084305F">
        <w:rPr>
          <w:rFonts w:ascii="Aptos" w:eastAsia="Aptos" w:hAnsi="Aptos" w:cs="Aptos"/>
          <w:snapToGrid/>
          <w:sz w:val="20"/>
          <w:szCs w:val="20"/>
          <w:lang w:val="en-US"/>
        </w:rPr>
        <w:t xml:space="preserve">, </w:t>
      </w:r>
    </w:p>
    <w:p w14:paraId="013CA723"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Notes</w:t>
      </w:r>
      <w:r w:rsidRPr="0084305F">
        <w:rPr>
          <w:rFonts w:ascii="Aptos" w:eastAsia="Aptos" w:hAnsi="Aptos" w:cs="Aptos"/>
          <w:snapToGrid/>
          <w:sz w:val="20"/>
          <w:szCs w:val="20"/>
          <w:lang w:val="en-US"/>
        </w:rPr>
        <w:t xml:space="preserve"> the Tsunami Glossary will be published in Quarter 1 of 2025 by the </w:t>
      </w:r>
      <w:proofErr w:type="gramStart"/>
      <w:r w:rsidRPr="0084305F">
        <w:rPr>
          <w:rFonts w:ascii="Aptos" w:eastAsia="Aptos" w:hAnsi="Aptos" w:cs="Aptos"/>
          <w:snapToGrid/>
          <w:sz w:val="20"/>
          <w:szCs w:val="20"/>
          <w:lang w:val="en-US"/>
        </w:rPr>
        <w:t>IOC,.</w:t>
      </w:r>
      <w:proofErr w:type="gramEnd"/>
      <w:r w:rsidRPr="0084305F">
        <w:rPr>
          <w:rFonts w:ascii="Aptos" w:eastAsia="Aptos" w:hAnsi="Aptos" w:cs="Aptos"/>
          <w:snapToGrid/>
          <w:sz w:val="20"/>
          <w:szCs w:val="20"/>
          <w:lang w:val="en-US"/>
        </w:rPr>
        <w:t xml:space="preserve"> </w:t>
      </w:r>
    </w:p>
    <w:p w14:paraId="0EE49B52"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2"/>
          <w:szCs w:val="22"/>
          <w:lang w:val="en-US"/>
        </w:rPr>
      </w:pPr>
      <w:r w:rsidRPr="0084305F">
        <w:rPr>
          <w:rFonts w:ascii="Aptos" w:eastAsia="Aptos" w:hAnsi="Aptos" w:cs="Aptos"/>
          <w:b/>
          <w:snapToGrid/>
          <w:sz w:val="20"/>
          <w:szCs w:val="20"/>
          <w:lang w:val="en-US"/>
        </w:rPr>
        <w:t>Further notes</w:t>
      </w:r>
      <w:r w:rsidRPr="0084305F">
        <w:rPr>
          <w:rFonts w:ascii="Aptos" w:eastAsia="Aptos" w:hAnsi="Aptos" w:cs="Aptos"/>
          <w:snapToGrid/>
          <w:sz w:val="20"/>
          <w:szCs w:val="20"/>
          <w:lang w:val="en-US"/>
        </w:rPr>
        <w:t xml:space="preserve"> that there are no specific requests of the need to change the format and style of </w:t>
      </w:r>
      <w:proofErr w:type="gramStart"/>
      <w:r w:rsidRPr="0084305F">
        <w:rPr>
          <w:rFonts w:ascii="Aptos" w:eastAsia="Aptos" w:hAnsi="Aptos" w:cs="Aptos"/>
          <w:snapToGrid/>
          <w:sz w:val="20"/>
          <w:szCs w:val="20"/>
          <w:lang w:val="en-US"/>
        </w:rPr>
        <w:t>the  existing</w:t>
      </w:r>
      <w:proofErr w:type="gramEnd"/>
      <w:r w:rsidRPr="0084305F">
        <w:rPr>
          <w:rFonts w:ascii="Aptos" w:eastAsia="Aptos" w:hAnsi="Aptos" w:cs="Aptos"/>
          <w:snapToGrid/>
          <w:sz w:val="20"/>
          <w:szCs w:val="20"/>
          <w:lang w:val="en-US"/>
        </w:rPr>
        <w:t xml:space="preserve"> Tsunami Glossary.</w:t>
      </w:r>
    </w:p>
    <w:p w14:paraId="732755B4"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Play" w:eastAsia="Play" w:hAnsi="Play" w:cs="Play"/>
          <w:snapToGrid/>
          <w:color w:val="0F4761"/>
          <w:sz w:val="28"/>
          <w:szCs w:val="28"/>
          <w:lang w:val="en-US"/>
        </w:rPr>
      </w:pPr>
      <w:bookmarkStart w:id="275" w:name="_m3wcosry0nty" w:colFirst="0" w:colLast="0"/>
      <w:bookmarkStart w:id="276" w:name="_Toc195258155"/>
      <w:bookmarkEnd w:id="275"/>
      <w:r w:rsidRPr="0084305F">
        <w:rPr>
          <w:rFonts w:ascii="Aptos" w:eastAsia="Aptos" w:hAnsi="Aptos" w:cs="Aptos"/>
          <w:b/>
          <w:snapToGrid/>
          <w:color w:val="980000"/>
          <w:sz w:val="22"/>
          <w:szCs w:val="22"/>
          <w:lang w:val="en-US"/>
        </w:rPr>
        <w:t>IUGG update</w:t>
      </w:r>
      <w:bookmarkEnd w:id="276"/>
      <w:r w:rsidRPr="0084305F">
        <w:rPr>
          <w:rFonts w:ascii="Aptos" w:eastAsia="Aptos" w:hAnsi="Aptos" w:cs="Aptos"/>
          <w:b/>
          <w:snapToGrid/>
          <w:color w:val="980000"/>
          <w:sz w:val="22"/>
          <w:szCs w:val="22"/>
          <w:lang w:val="en-US"/>
        </w:rPr>
        <w:t xml:space="preserve"> </w:t>
      </w:r>
    </w:p>
    <w:p w14:paraId="470FD995"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461AFCAD"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proofErr w:type="gramStart"/>
      <w:r w:rsidRPr="0084305F">
        <w:rPr>
          <w:rFonts w:ascii="Aptos" w:eastAsia="Aptos" w:hAnsi="Aptos" w:cs="Aptos"/>
          <w:b/>
          <w:snapToGrid/>
          <w:sz w:val="20"/>
          <w:szCs w:val="20"/>
          <w:lang w:val="en-US"/>
        </w:rPr>
        <w:t>Appreciates</w:t>
      </w:r>
      <w:proofErr w:type="gramEnd"/>
      <w:r w:rsidRPr="0084305F">
        <w:rPr>
          <w:rFonts w:ascii="Aptos" w:eastAsia="Aptos" w:hAnsi="Aptos" w:cs="Aptos"/>
          <w:snapToGrid/>
          <w:sz w:val="20"/>
          <w:szCs w:val="20"/>
          <w:lang w:val="en-US"/>
        </w:rPr>
        <w:t xml:space="preserve"> the continued efforts and contributions of IUGG on promoting global collaboration on tsunami science, hazard assessment, mitigation and preparedness.</w:t>
      </w:r>
    </w:p>
    <w:p w14:paraId="145C40A2" w14:textId="77777777" w:rsidR="0084305F" w:rsidRPr="0084305F" w:rsidRDefault="0084305F" w:rsidP="0084305F">
      <w:pPr>
        <w:tabs>
          <w:tab w:val="clear" w:pos="709"/>
        </w:tabs>
        <w:snapToGrid/>
        <w:spacing w:after="160" w:line="259" w:lineRule="auto"/>
        <w:jc w:val="both"/>
        <w:rPr>
          <w:rFonts w:ascii="Aptos" w:eastAsia="Aptos" w:hAnsi="Aptos" w:cs="Aptos"/>
          <w:snapToGrid/>
          <w:sz w:val="22"/>
          <w:szCs w:val="22"/>
          <w:lang w:val="en-US"/>
        </w:rPr>
      </w:pPr>
      <w:r w:rsidRPr="0084305F">
        <w:rPr>
          <w:rFonts w:ascii="Aptos" w:eastAsia="Aptos" w:hAnsi="Aptos" w:cs="Aptos"/>
          <w:b/>
          <w:snapToGrid/>
          <w:sz w:val="20"/>
          <w:szCs w:val="20"/>
          <w:lang w:val="en-US"/>
        </w:rPr>
        <w:t xml:space="preserve">Further appreciates </w:t>
      </w:r>
      <w:r w:rsidRPr="0084305F">
        <w:rPr>
          <w:rFonts w:ascii="Aptos" w:eastAsia="Aptos" w:hAnsi="Aptos" w:cs="Aptos"/>
          <w:snapToGrid/>
          <w:sz w:val="20"/>
          <w:szCs w:val="20"/>
          <w:lang w:val="en-US"/>
        </w:rPr>
        <w:t xml:space="preserve">IUGG's contributions to tsunami science and preparedness, working with the IOC, and especially its role in the 2nd UNESCO-IOC Global Tsunami Symposium, major conferences, research on the 2022 Tonga Volcanic Eruption, and key initiatives like the UN Ocean Decade Tsunami Programme, </w:t>
      </w:r>
      <w:r w:rsidRPr="0084305F">
        <w:rPr>
          <w:rFonts w:ascii="Aptos" w:eastAsia="Aptos" w:hAnsi="Aptos" w:cs="Aptos"/>
          <w:snapToGrid/>
          <w:sz w:val="20"/>
          <w:szCs w:val="20"/>
          <w:lang w:val="en-US"/>
        </w:rPr>
        <w:lastRenderedPageBreak/>
        <w:t>and IOC publications on Tsunamis Generated by Volcanoes, Meteotsunamis, and the Tsunami Glossary 2025.</w:t>
      </w:r>
    </w:p>
    <w:p w14:paraId="32283AC7"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Play" w:eastAsia="Play" w:hAnsi="Play" w:cs="Play"/>
          <w:b/>
          <w:snapToGrid/>
          <w:color w:val="980000"/>
          <w:sz w:val="22"/>
          <w:szCs w:val="22"/>
          <w:lang w:val="en-US"/>
        </w:rPr>
      </w:pPr>
      <w:bookmarkStart w:id="277" w:name="_15xusrt2x3iz" w:colFirst="0" w:colLast="0"/>
      <w:bookmarkStart w:id="278" w:name="_Toc195258156"/>
      <w:bookmarkEnd w:id="277"/>
      <w:r w:rsidRPr="0084305F">
        <w:rPr>
          <w:rFonts w:ascii="Aptos" w:eastAsia="Aptos" w:hAnsi="Aptos" w:cs="Aptos"/>
          <w:b/>
          <w:snapToGrid/>
          <w:color w:val="980000"/>
          <w:sz w:val="22"/>
          <w:szCs w:val="22"/>
          <w:lang w:val="en-US"/>
        </w:rPr>
        <w:t xml:space="preserve">Update UN Sec General “Early Warnings </w:t>
      </w:r>
      <w:proofErr w:type="gramStart"/>
      <w:r w:rsidRPr="0084305F">
        <w:rPr>
          <w:rFonts w:ascii="Aptos" w:eastAsia="Aptos" w:hAnsi="Aptos" w:cs="Aptos"/>
          <w:b/>
          <w:snapToGrid/>
          <w:color w:val="980000"/>
          <w:sz w:val="22"/>
          <w:szCs w:val="22"/>
          <w:lang w:val="en-US"/>
        </w:rPr>
        <w:t>For</w:t>
      </w:r>
      <w:proofErr w:type="gramEnd"/>
      <w:r w:rsidRPr="0084305F">
        <w:rPr>
          <w:rFonts w:ascii="Aptos" w:eastAsia="Aptos" w:hAnsi="Aptos" w:cs="Aptos"/>
          <w:b/>
          <w:snapToGrid/>
          <w:color w:val="980000"/>
          <w:sz w:val="22"/>
          <w:szCs w:val="22"/>
          <w:lang w:val="en-US"/>
        </w:rPr>
        <w:t xml:space="preserve"> All” Initiative and 8</w:t>
      </w:r>
      <w:r w:rsidRPr="0084305F">
        <w:rPr>
          <w:rFonts w:ascii="Aptos" w:eastAsia="Aptos" w:hAnsi="Aptos" w:cs="Aptos"/>
          <w:b/>
          <w:snapToGrid/>
          <w:color w:val="980000"/>
          <w:sz w:val="22"/>
          <w:szCs w:val="22"/>
          <w:vertAlign w:val="superscript"/>
          <w:lang w:val="en-US"/>
        </w:rPr>
        <w:t>th</w:t>
      </w:r>
      <w:r w:rsidRPr="0084305F">
        <w:rPr>
          <w:rFonts w:ascii="Aptos" w:eastAsia="Aptos" w:hAnsi="Aptos" w:cs="Aptos"/>
          <w:b/>
          <w:snapToGrid/>
          <w:color w:val="980000"/>
          <w:sz w:val="22"/>
          <w:szCs w:val="22"/>
          <w:lang w:val="en-US"/>
        </w:rPr>
        <w:t xml:space="preserve"> GPDRR</w:t>
      </w:r>
      <w:bookmarkEnd w:id="278"/>
    </w:p>
    <w:p w14:paraId="4C63B969"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color w:val="0070C0"/>
          <w:sz w:val="20"/>
          <w:szCs w:val="20"/>
          <w:lang w:val="en-US"/>
        </w:rPr>
      </w:pPr>
      <w:r w:rsidRPr="0084305F">
        <w:rPr>
          <w:rFonts w:ascii="Aptos" w:eastAsia="Aptos" w:hAnsi="Aptos" w:cs="Aptos"/>
          <w:b/>
          <w:snapToGrid/>
          <w:color w:val="0070C0"/>
          <w:sz w:val="20"/>
          <w:szCs w:val="20"/>
          <w:lang w:val="en-US"/>
        </w:rPr>
        <w:t>Recommendations to TOWS-WG</w:t>
      </w:r>
    </w:p>
    <w:p w14:paraId="28CCD82C"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r w:rsidRPr="0084305F">
        <w:rPr>
          <w:rFonts w:ascii="Aptos" w:eastAsia="Aptos" w:hAnsi="Aptos" w:cs="Aptos"/>
          <w:b/>
          <w:snapToGrid/>
          <w:sz w:val="20"/>
          <w:szCs w:val="20"/>
          <w:lang w:val="en-US"/>
        </w:rPr>
        <w:t>Notes</w:t>
      </w:r>
      <w:r w:rsidRPr="0084305F">
        <w:rPr>
          <w:rFonts w:ascii="Aptos" w:eastAsia="Aptos" w:hAnsi="Aptos" w:cs="Aptos"/>
          <w:snapToGrid/>
          <w:sz w:val="20"/>
          <w:szCs w:val="20"/>
          <w:lang w:val="en-US"/>
        </w:rPr>
        <w:t xml:space="preserve"> that IOC/ TRS is a co-organizer with UNDP and WMO for thematic session 5 on fostering international, regional and national cooperation and partnerships (2-3 June 2025) and the likely participation of the IOC Executive Secretary in the High-Level Dialogue of the 8th GPDRR (4-6 June 2025) and its participation in the Ignite stage events.</w:t>
      </w:r>
    </w:p>
    <w:p w14:paraId="558DE075" w14:textId="77777777" w:rsidR="0084305F" w:rsidRPr="0084305F" w:rsidRDefault="0084305F" w:rsidP="0084305F">
      <w:pPr>
        <w:keepNext/>
        <w:keepLines/>
        <w:numPr>
          <w:ilvl w:val="0"/>
          <w:numId w:val="156"/>
        </w:numPr>
        <w:tabs>
          <w:tab w:val="clear" w:pos="709"/>
        </w:tabs>
        <w:snapToGrid/>
        <w:spacing w:before="360" w:after="80" w:line="259" w:lineRule="auto"/>
        <w:ind w:left="0" w:firstLine="0"/>
        <w:outlineLvl w:val="0"/>
        <w:rPr>
          <w:rFonts w:ascii="Aptos" w:eastAsia="Aptos" w:hAnsi="Aptos" w:cs="Aptos"/>
          <w:b/>
          <w:snapToGrid/>
          <w:color w:val="980000"/>
          <w:sz w:val="22"/>
          <w:szCs w:val="22"/>
          <w:lang w:val="en-US"/>
        </w:rPr>
      </w:pPr>
      <w:bookmarkStart w:id="279" w:name="_uffubjup40pr" w:colFirst="0" w:colLast="0"/>
      <w:bookmarkStart w:id="280" w:name="_Toc195258157"/>
      <w:bookmarkEnd w:id="279"/>
      <w:r w:rsidRPr="0084305F">
        <w:rPr>
          <w:rFonts w:ascii="Aptos" w:eastAsia="Aptos" w:hAnsi="Aptos" w:cs="Aptos"/>
          <w:b/>
          <w:snapToGrid/>
          <w:color w:val="980000"/>
          <w:sz w:val="22"/>
          <w:szCs w:val="22"/>
          <w:lang w:val="en-US"/>
        </w:rPr>
        <w:t>Review of Outcomes from the 2nd Global Tsunami Symposium in Indonesia in November 2024</w:t>
      </w:r>
      <w:bookmarkEnd w:id="280"/>
    </w:p>
    <w:p w14:paraId="3EE8C57E"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b/>
          <w:snapToGrid/>
          <w:sz w:val="20"/>
          <w:szCs w:val="20"/>
          <w:lang w:val="en-US"/>
        </w:rPr>
      </w:pPr>
      <w:r w:rsidRPr="0084305F">
        <w:rPr>
          <w:rFonts w:ascii="Aptos" w:eastAsia="Aptos" w:hAnsi="Aptos" w:cs="Aptos"/>
          <w:b/>
          <w:snapToGrid/>
          <w:color w:val="0070C0"/>
          <w:sz w:val="20"/>
          <w:szCs w:val="20"/>
          <w:lang w:val="en-US"/>
        </w:rPr>
        <w:t>Recommendations to TOWS-WG?</w:t>
      </w:r>
    </w:p>
    <w:p w14:paraId="02ED3637" w14:textId="77777777" w:rsidR="0084305F" w:rsidRPr="0084305F" w:rsidRDefault="0084305F" w:rsidP="0084305F">
      <w:pPr>
        <w:tabs>
          <w:tab w:val="clear" w:pos="709"/>
        </w:tabs>
        <w:snapToGrid/>
        <w:spacing w:after="160" w:line="259" w:lineRule="auto"/>
        <w:jc w:val="both"/>
        <w:rPr>
          <w:rFonts w:ascii="Aptos" w:eastAsia="Aptos" w:hAnsi="Aptos" w:cs="Aptos"/>
          <w:snapToGrid/>
          <w:sz w:val="22"/>
          <w:szCs w:val="22"/>
          <w:lang w:val="en-US"/>
        </w:rPr>
      </w:pPr>
      <w:r w:rsidRPr="0084305F">
        <w:rPr>
          <w:rFonts w:ascii="Aptos" w:eastAsia="Aptos" w:hAnsi="Aptos" w:cs="Aptos"/>
          <w:b/>
          <w:snapToGrid/>
          <w:sz w:val="20"/>
          <w:szCs w:val="20"/>
          <w:lang w:val="en-US"/>
        </w:rPr>
        <w:t>Appreciates</w:t>
      </w:r>
      <w:r w:rsidRPr="0084305F">
        <w:rPr>
          <w:rFonts w:ascii="Aptos" w:eastAsia="Aptos" w:hAnsi="Aptos" w:cs="Aptos"/>
          <w:snapToGrid/>
          <w:sz w:val="20"/>
          <w:szCs w:val="20"/>
          <w:lang w:val="en-US"/>
        </w:rPr>
        <w:t xml:space="preserve"> and thanked Harkunti Pertiwi Rahayu, Research Center for Disaster Mitigation, Institute of Technology Bandung, Indonesia, for her outstanding leadership in coordinating and organizing the 2nd UNESCO-IOC Global Tsunami Symposium</w:t>
      </w:r>
    </w:p>
    <w:p w14:paraId="7BCC8F00" w14:textId="692A67C3" w:rsidR="0084305F" w:rsidRDefault="0084305F">
      <w:pPr>
        <w:tabs>
          <w:tab w:val="clear" w:pos="709"/>
        </w:tabs>
        <w:snapToGrid/>
        <w:rPr>
          <w:rFonts w:ascii="Aptos" w:eastAsia="Aptos" w:hAnsi="Aptos" w:cs="Aptos"/>
          <w:snapToGrid/>
          <w:sz w:val="20"/>
          <w:szCs w:val="20"/>
          <w:lang w:val="en-US"/>
        </w:rPr>
      </w:pPr>
      <w:r>
        <w:rPr>
          <w:rFonts w:ascii="Aptos" w:eastAsia="Aptos" w:hAnsi="Aptos" w:cs="Aptos"/>
          <w:snapToGrid/>
          <w:sz w:val="20"/>
          <w:szCs w:val="20"/>
          <w:lang w:val="en-US"/>
        </w:rPr>
        <w:br w:type="page"/>
      </w:r>
    </w:p>
    <w:p w14:paraId="1ADB895F" w14:textId="77777777" w:rsidR="0084305F" w:rsidRPr="0084305F" w:rsidRDefault="0084305F" w:rsidP="0084305F">
      <w:pPr>
        <w:shd w:val="clear" w:color="auto" w:fill="FFFFFF"/>
        <w:tabs>
          <w:tab w:val="clear" w:pos="709"/>
        </w:tabs>
        <w:snapToGrid/>
        <w:spacing w:before="240" w:after="160" w:line="256" w:lineRule="auto"/>
        <w:jc w:val="both"/>
        <w:rPr>
          <w:rFonts w:ascii="Aptos" w:eastAsia="Aptos" w:hAnsi="Aptos" w:cs="Aptos"/>
          <w:snapToGrid/>
          <w:sz w:val="20"/>
          <w:szCs w:val="20"/>
          <w:lang w:val="en-US"/>
        </w:rPr>
      </w:pPr>
    </w:p>
    <w:p w14:paraId="7196F9CB" w14:textId="77777777" w:rsidR="0084305F" w:rsidRPr="0084305F" w:rsidRDefault="0084305F" w:rsidP="0084305F">
      <w:pPr>
        <w:pBdr>
          <w:top w:val="nil"/>
          <w:left w:val="nil"/>
          <w:bottom w:val="nil"/>
          <w:right w:val="nil"/>
          <w:between w:val="nil"/>
        </w:pBdr>
        <w:tabs>
          <w:tab w:val="clear" w:pos="709"/>
        </w:tabs>
        <w:snapToGrid/>
        <w:spacing w:before="42" w:after="160" w:line="276" w:lineRule="auto"/>
        <w:ind w:left="1795" w:right="1704"/>
        <w:jc w:val="center"/>
        <w:rPr>
          <w:rFonts w:ascii="Arial" w:eastAsia="Arial" w:hAnsi="Arial" w:cs="Arial"/>
          <w:snapToGrid/>
          <w:color w:val="000000"/>
          <w:sz w:val="20"/>
          <w:szCs w:val="20"/>
          <w:lang w:val="en-US"/>
        </w:rPr>
      </w:pPr>
      <w:r w:rsidRPr="0084305F">
        <w:rPr>
          <w:rFonts w:ascii="Arial" w:eastAsia="Arial" w:hAnsi="Arial" w:cs="Arial"/>
          <w:b/>
          <w:snapToGrid/>
          <w:color w:val="000000"/>
          <w:sz w:val="20"/>
          <w:szCs w:val="20"/>
          <w:lang w:val="en-US"/>
        </w:rPr>
        <w:t xml:space="preserve">Thursday, 20 February 2025, 0900-1730 Local Time </w:t>
      </w:r>
    </w:p>
    <w:p w14:paraId="47F9D842" w14:textId="77777777" w:rsidR="0084305F" w:rsidRPr="0084305F" w:rsidRDefault="0084305F" w:rsidP="0084305F">
      <w:pPr>
        <w:keepNext/>
        <w:keepLines/>
        <w:numPr>
          <w:ilvl w:val="0"/>
          <w:numId w:val="156"/>
        </w:numPr>
        <w:tabs>
          <w:tab w:val="clear" w:pos="709"/>
        </w:tabs>
        <w:snapToGrid/>
        <w:spacing w:before="360" w:after="80" w:line="276" w:lineRule="auto"/>
        <w:ind w:left="0" w:firstLine="0"/>
        <w:jc w:val="center"/>
        <w:outlineLvl w:val="0"/>
        <w:rPr>
          <w:rFonts w:ascii="Arial" w:eastAsia="Arial" w:hAnsi="Arial" w:cs="Arial"/>
          <w:snapToGrid/>
          <w:color w:val="0E2841"/>
          <w:sz w:val="20"/>
          <w:szCs w:val="20"/>
          <w:lang w:val="en-US"/>
        </w:rPr>
      </w:pPr>
      <w:r w:rsidRPr="0084305F">
        <w:rPr>
          <w:rFonts w:ascii="Arial" w:eastAsia="Arial" w:hAnsi="Arial" w:cs="Arial"/>
          <w:snapToGrid/>
          <w:color w:val="0E2841"/>
          <w:sz w:val="20"/>
          <w:szCs w:val="20"/>
          <w:lang w:val="en-US"/>
        </w:rPr>
        <w:t xml:space="preserve"> </w:t>
      </w:r>
      <w:bookmarkStart w:id="281" w:name="_Toc195258158"/>
      <w:r w:rsidRPr="0084305F">
        <w:rPr>
          <w:rFonts w:ascii="Arial" w:eastAsia="Arial" w:hAnsi="Arial" w:cs="Arial"/>
          <w:snapToGrid/>
          <w:color w:val="0E2841"/>
          <w:sz w:val="20"/>
          <w:szCs w:val="20"/>
          <w:lang w:val="en-US"/>
        </w:rPr>
        <w:t xml:space="preserve">Agenda of Joint Session of Task Team Tsunami Watch Operations and </w:t>
      </w:r>
      <w:r w:rsidRPr="0084305F">
        <w:rPr>
          <w:rFonts w:ascii="Play" w:eastAsia="Play" w:hAnsi="Play" w:cs="Play"/>
          <w:snapToGrid/>
          <w:color w:val="0F4761"/>
          <w:sz w:val="28"/>
          <w:szCs w:val="28"/>
          <w:lang w:val="en-US"/>
        </w:rPr>
        <w:br/>
      </w:r>
      <w:r w:rsidRPr="0084305F">
        <w:rPr>
          <w:rFonts w:ascii="Arial" w:eastAsia="Arial" w:hAnsi="Arial" w:cs="Arial"/>
          <w:snapToGrid/>
          <w:color w:val="0E2841"/>
          <w:sz w:val="20"/>
          <w:szCs w:val="20"/>
          <w:lang w:val="en-US"/>
        </w:rPr>
        <w:t>Task Team Disaster Management and Preparedness</w:t>
      </w:r>
      <w:bookmarkEnd w:id="281"/>
      <w:r w:rsidRPr="0084305F">
        <w:rPr>
          <w:rFonts w:ascii="Arial" w:eastAsia="Arial" w:hAnsi="Arial" w:cs="Arial"/>
          <w:snapToGrid/>
          <w:color w:val="0E2841"/>
          <w:sz w:val="20"/>
          <w:szCs w:val="20"/>
          <w:lang w:val="en-US"/>
        </w:rPr>
        <w:t xml:space="preserve"> </w:t>
      </w:r>
    </w:p>
    <w:p w14:paraId="56EA2B06" w14:textId="77777777" w:rsidR="0084305F" w:rsidRPr="0084305F" w:rsidRDefault="0084305F" w:rsidP="0084305F">
      <w:pPr>
        <w:tabs>
          <w:tab w:val="clear" w:pos="709"/>
        </w:tabs>
        <w:snapToGrid/>
        <w:spacing w:after="160" w:line="259" w:lineRule="auto"/>
        <w:rPr>
          <w:rFonts w:ascii="Arial" w:eastAsia="Arial" w:hAnsi="Arial" w:cs="Arial"/>
          <w:b/>
          <w:snapToGrid/>
          <w:sz w:val="22"/>
          <w:szCs w:val="22"/>
          <w:lang w:val="en-US"/>
        </w:rPr>
      </w:pPr>
    </w:p>
    <w:tbl>
      <w:tblPr>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1425"/>
        <w:gridCol w:w="5910"/>
        <w:gridCol w:w="2325"/>
      </w:tblGrid>
      <w:tr w:rsidR="0084305F" w:rsidRPr="0084305F" w14:paraId="2D840ADC" w14:textId="77777777" w:rsidTr="00493FEF">
        <w:trPr>
          <w:trHeight w:val="791"/>
          <w:jc w:val="center"/>
        </w:trPr>
        <w:tc>
          <w:tcPr>
            <w:tcW w:w="8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817738" w14:textId="77777777" w:rsidR="0084305F" w:rsidRPr="0084305F" w:rsidRDefault="0084305F" w:rsidP="0084305F">
            <w:pPr>
              <w:tabs>
                <w:tab w:val="clear" w:pos="709"/>
              </w:tabs>
              <w:snapToGrid/>
              <w:ind w:left="101" w:right="30"/>
              <w:jc w:val="center"/>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Item</w:t>
            </w:r>
          </w:p>
        </w:tc>
        <w:tc>
          <w:tcPr>
            <w:tcW w:w="1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C78AB8" w14:textId="77777777" w:rsidR="0084305F" w:rsidRPr="0084305F" w:rsidRDefault="0084305F" w:rsidP="0084305F">
            <w:pPr>
              <w:tabs>
                <w:tab w:val="clear" w:pos="709"/>
              </w:tabs>
              <w:snapToGrid/>
              <w:ind w:left="172" w:right="130" w:hanging="75"/>
              <w:jc w:val="center"/>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Local time</w:t>
            </w:r>
          </w:p>
        </w:tc>
        <w:tc>
          <w:tcPr>
            <w:tcW w:w="5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21738F" w14:textId="77777777" w:rsidR="0084305F" w:rsidRPr="0084305F" w:rsidRDefault="0084305F" w:rsidP="0084305F">
            <w:pPr>
              <w:tabs>
                <w:tab w:val="clear" w:pos="709"/>
              </w:tabs>
              <w:snapToGrid/>
              <w:ind w:left="2557" w:right="1920"/>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Topic</w:t>
            </w:r>
          </w:p>
        </w:tc>
        <w:tc>
          <w:tcPr>
            <w:tcW w:w="23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5B1010" w14:textId="77777777" w:rsidR="0084305F" w:rsidRPr="0084305F" w:rsidRDefault="0084305F" w:rsidP="0084305F">
            <w:pPr>
              <w:tabs>
                <w:tab w:val="clear" w:pos="709"/>
              </w:tabs>
              <w:snapToGrid/>
              <w:ind w:left="812" w:right="804"/>
              <w:jc w:val="center"/>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Lead</w:t>
            </w:r>
          </w:p>
        </w:tc>
      </w:tr>
      <w:tr w:rsidR="0084305F" w:rsidRPr="0084305F" w14:paraId="252EC41A" w14:textId="77777777" w:rsidTr="00493FEF">
        <w:trPr>
          <w:trHeight w:val="794"/>
          <w:jc w:val="center"/>
        </w:trPr>
        <w:tc>
          <w:tcPr>
            <w:tcW w:w="840" w:type="dxa"/>
            <w:tcBorders>
              <w:top w:val="single" w:sz="4" w:space="0" w:color="000000"/>
              <w:left w:val="single" w:sz="4" w:space="0" w:color="000000"/>
              <w:bottom w:val="single" w:sz="4" w:space="0" w:color="000000"/>
              <w:right w:val="single" w:sz="4" w:space="0" w:color="000000"/>
            </w:tcBorders>
            <w:vAlign w:val="center"/>
          </w:tcPr>
          <w:p w14:paraId="3DA1539E" w14:textId="77777777" w:rsidR="0084305F" w:rsidRPr="0084305F" w:rsidRDefault="0084305F" w:rsidP="0084305F">
            <w:pPr>
              <w:tabs>
                <w:tab w:val="clear" w:pos="709"/>
              </w:tabs>
              <w:snapToGrid/>
              <w:ind w:left="13"/>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w:t>
            </w:r>
          </w:p>
        </w:tc>
        <w:tc>
          <w:tcPr>
            <w:tcW w:w="1425" w:type="dxa"/>
            <w:tcBorders>
              <w:top w:val="single" w:sz="4" w:space="0" w:color="000000"/>
              <w:left w:val="single" w:sz="4" w:space="0" w:color="000000"/>
              <w:bottom w:val="single" w:sz="4" w:space="0" w:color="000000"/>
              <w:right w:val="single" w:sz="4" w:space="0" w:color="000000"/>
            </w:tcBorders>
            <w:vAlign w:val="center"/>
          </w:tcPr>
          <w:p w14:paraId="7111A8FD"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0900-0915</w:t>
            </w:r>
          </w:p>
        </w:tc>
        <w:tc>
          <w:tcPr>
            <w:tcW w:w="5910" w:type="dxa"/>
            <w:tcBorders>
              <w:top w:val="single" w:sz="4" w:space="0" w:color="000000"/>
              <w:left w:val="single" w:sz="4" w:space="0" w:color="000000"/>
              <w:bottom w:val="single" w:sz="4" w:space="0" w:color="000000"/>
              <w:right w:val="single" w:sz="4" w:space="0" w:color="000000"/>
            </w:tcBorders>
            <w:vAlign w:val="center"/>
          </w:tcPr>
          <w:p w14:paraId="4D8CF4E2" w14:textId="77777777" w:rsidR="0084305F" w:rsidRPr="0084305F" w:rsidRDefault="0084305F" w:rsidP="0084305F">
            <w:pPr>
              <w:pBdr>
                <w:top w:val="nil"/>
                <w:left w:val="nil"/>
                <w:bottom w:val="nil"/>
                <w:right w:val="nil"/>
                <w:between w:val="nil"/>
              </w:pBdr>
              <w:tabs>
                <w:tab w:val="clear" w:pos="709"/>
              </w:tabs>
              <w:snapToGrid/>
              <w:ind w:left="360"/>
              <w:rPr>
                <w:rFonts w:ascii="Arial" w:eastAsia="Arial" w:hAnsi="Arial" w:cs="Arial"/>
                <w:b/>
                <w:snapToGrid/>
                <w:color w:val="000000"/>
                <w:sz w:val="20"/>
                <w:szCs w:val="20"/>
                <w:lang w:val="en-US"/>
              </w:rPr>
            </w:pPr>
          </w:p>
          <w:p w14:paraId="339B6F6C" w14:textId="77777777" w:rsidR="0084305F" w:rsidRPr="0084305F" w:rsidRDefault="0084305F" w:rsidP="0084305F">
            <w:pPr>
              <w:numPr>
                <w:ilvl w:val="0"/>
                <w:numId w:val="150"/>
              </w:numPr>
              <w:pBdr>
                <w:top w:val="nil"/>
                <w:left w:val="nil"/>
                <w:bottom w:val="nil"/>
                <w:right w:val="nil"/>
                <w:between w:val="nil"/>
              </w:pBdr>
              <w:tabs>
                <w:tab w:val="clear" w:pos="709"/>
              </w:tabs>
              <w:snapToGrid/>
              <w:spacing w:after="160" w:line="259" w:lineRule="auto"/>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Welcome &amp; Introductions</w:t>
            </w:r>
          </w:p>
        </w:tc>
        <w:tc>
          <w:tcPr>
            <w:tcW w:w="2325" w:type="dxa"/>
            <w:tcBorders>
              <w:top w:val="single" w:sz="4" w:space="0" w:color="000000"/>
              <w:left w:val="single" w:sz="4" w:space="0" w:color="000000"/>
              <w:bottom w:val="single" w:sz="4" w:space="0" w:color="000000"/>
              <w:right w:val="single" w:sz="4" w:space="0" w:color="000000"/>
            </w:tcBorders>
          </w:tcPr>
          <w:p w14:paraId="6D0E5C98"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Head, IOC-TRS</w:t>
            </w:r>
          </w:p>
          <w:p w14:paraId="5B0335AB" w14:textId="77777777" w:rsidR="0084305F" w:rsidRPr="0084305F" w:rsidRDefault="0084305F" w:rsidP="0084305F">
            <w:pPr>
              <w:tabs>
                <w:tab w:val="clear" w:pos="709"/>
              </w:tabs>
              <w:snapToGrid/>
              <w:ind w:left="2" w:right="1213"/>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Chairs TTs Members</w:t>
            </w:r>
          </w:p>
        </w:tc>
      </w:tr>
      <w:tr w:rsidR="0084305F" w:rsidRPr="0084305F" w14:paraId="32C320DE" w14:textId="77777777" w:rsidTr="00493FEF">
        <w:trPr>
          <w:trHeight w:val="704"/>
          <w:jc w:val="center"/>
        </w:trPr>
        <w:tc>
          <w:tcPr>
            <w:tcW w:w="840" w:type="dxa"/>
            <w:tcBorders>
              <w:top w:val="single" w:sz="4" w:space="0" w:color="000000"/>
              <w:left w:val="single" w:sz="4" w:space="0" w:color="000000"/>
              <w:bottom w:val="single" w:sz="4" w:space="0" w:color="000000"/>
              <w:right w:val="single" w:sz="4" w:space="0" w:color="000000"/>
            </w:tcBorders>
            <w:vAlign w:val="center"/>
          </w:tcPr>
          <w:p w14:paraId="0E25F144" w14:textId="77777777" w:rsidR="0084305F" w:rsidRPr="0084305F" w:rsidRDefault="0084305F" w:rsidP="0084305F">
            <w:pPr>
              <w:tabs>
                <w:tab w:val="clear" w:pos="709"/>
              </w:tabs>
              <w:snapToGrid/>
              <w:ind w:left="13"/>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2</w:t>
            </w:r>
          </w:p>
        </w:tc>
        <w:tc>
          <w:tcPr>
            <w:tcW w:w="1425" w:type="dxa"/>
            <w:tcBorders>
              <w:top w:val="single" w:sz="4" w:space="0" w:color="000000"/>
              <w:left w:val="single" w:sz="4" w:space="0" w:color="000000"/>
              <w:bottom w:val="single" w:sz="4" w:space="0" w:color="000000"/>
              <w:right w:val="single" w:sz="4" w:space="0" w:color="000000"/>
            </w:tcBorders>
            <w:vAlign w:val="center"/>
          </w:tcPr>
          <w:p w14:paraId="60A56CAE" w14:textId="77777777" w:rsidR="0084305F" w:rsidRPr="0084305F" w:rsidRDefault="0084305F" w:rsidP="0084305F">
            <w:pPr>
              <w:tabs>
                <w:tab w:val="clear" w:pos="709"/>
              </w:tabs>
              <w:snapToGrid/>
              <w:ind w:left="96"/>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0915-0930</w:t>
            </w:r>
          </w:p>
        </w:tc>
        <w:tc>
          <w:tcPr>
            <w:tcW w:w="5910" w:type="dxa"/>
            <w:tcBorders>
              <w:top w:val="single" w:sz="4" w:space="0" w:color="000000"/>
              <w:left w:val="single" w:sz="4" w:space="0" w:color="000000"/>
              <w:bottom w:val="single" w:sz="4" w:space="0" w:color="000000"/>
              <w:right w:val="single" w:sz="4" w:space="0" w:color="000000"/>
            </w:tcBorders>
            <w:vAlign w:val="center"/>
          </w:tcPr>
          <w:p w14:paraId="45474B24" w14:textId="77777777" w:rsidR="0084305F" w:rsidRPr="0084305F" w:rsidRDefault="0084305F" w:rsidP="0084305F">
            <w:pPr>
              <w:pBdr>
                <w:top w:val="nil"/>
                <w:left w:val="nil"/>
                <w:bottom w:val="nil"/>
                <w:right w:val="nil"/>
                <w:between w:val="nil"/>
              </w:pBdr>
              <w:tabs>
                <w:tab w:val="clear" w:pos="709"/>
              </w:tabs>
              <w:snapToGrid/>
              <w:ind w:left="720"/>
              <w:rPr>
                <w:rFonts w:ascii="Arial" w:eastAsia="Arial" w:hAnsi="Arial" w:cs="Arial"/>
                <w:b/>
                <w:snapToGrid/>
                <w:color w:val="000000"/>
                <w:sz w:val="20"/>
                <w:szCs w:val="20"/>
                <w:lang w:val="en-US"/>
              </w:rPr>
            </w:pPr>
          </w:p>
          <w:p w14:paraId="5B1A8E8D" w14:textId="77777777" w:rsidR="0084305F" w:rsidRPr="0084305F" w:rsidRDefault="0084305F" w:rsidP="0084305F">
            <w:pPr>
              <w:numPr>
                <w:ilvl w:val="0"/>
                <w:numId w:val="150"/>
              </w:numPr>
              <w:pBdr>
                <w:top w:val="nil"/>
                <w:left w:val="nil"/>
                <w:bottom w:val="nil"/>
                <w:right w:val="nil"/>
                <w:between w:val="nil"/>
              </w:pBdr>
              <w:tabs>
                <w:tab w:val="clear" w:pos="709"/>
              </w:tabs>
              <w:snapToGrid/>
              <w:spacing w:after="160" w:line="259" w:lineRule="auto"/>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Session Organisation</w:t>
            </w:r>
          </w:p>
          <w:p w14:paraId="24DB9556" w14:textId="77777777" w:rsidR="0084305F" w:rsidRPr="0084305F" w:rsidRDefault="0084305F" w:rsidP="0084305F">
            <w:pPr>
              <w:tabs>
                <w:tab w:val="clear" w:pos="709"/>
              </w:tabs>
              <w:snapToGrid/>
              <w:ind w:left="109"/>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 xml:space="preserve">           Logistics and agenda</w:t>
            </w:r>
          </w:p>
        </w:tc>
        <w:tc>
          <w:tcPr>
            <w:tcW w:w="2325" w:type="dxa"/>
            <w:tcBorders>
              <w:top w:val="single" w:sz="4" w:space="0" w:color="000000"/>
              <w:left w:val="single" w:sz="4" w:space="0" w:color="000000"/>
              <w:bottom w:val="single" w:sz="4" w:space="0" w:color="000000"/>
              <w:right w:val="single" w:sz="4" w:space="0" w:color="000000"/>
            </w:tcBorders>
          </w:tcPr>
          <w:p w14:paraId="16FCBD1E"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Chairs TTs Moderate</w:t>
            </w:r>
          </w:p>
          <w:p w14:paraId="78EFD633" w14:textId="77777777" w:rsidR="0084305F" w:rsidRPr="0084305F" w:rsidRDefault="0084305F" w:rsidP="0084305F">
            <w:pPr>
              <w:tabs>
                <w:tab w:val="clear" w:pos="709"/>
              </w:tabs>
              <w:snapToGrid/>
              <w:rPr>
                <w:rFonts w:ascii="Arial" w:eastAsia="Arial" w:hAnsi="Arial" w:cs="Arial"/>
                <w:b/>
                <w:snapToGrid/>
                <w:color w:val="000000"/>
                <w:sz w:val="20"/>
                <w:szCs w:val="20"/>
                <w:lang w:val="en-US"/>
              </w:rPr>
            </w:pPr>
          </w:p>
          <w:p w14:paraId="23F96C79"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Secretariat</w:t>
            </w:r>
          </w:p>
        </w:tc>
      </w:tr>
      <w:tr w:rsidR="0084305F" w:rsidRPr="0084305F" w14:paraId="0492B353" w14:textId="77777777" w:rsidTr="00493FEF">
        <w:trPr>
          <w:trHeight w:val="1073"/>
          <w:jc w:val="center"/>
        </w:trPr>
        <w:tc>
          <w:tcPr>
            <w:tcW w:w="840" w:type="dxa"/>
            <w:tcBorders>
              <w:top w:val="single" w:sz="4" w:space="0" w:color="000000"/>
              <w:left w:val="single" w:sz="4" w:space="0" w:color="000000"/>
              <w:bottom w:val="single" w:sz="4" w:space="0" w:color="000000"/>
              <w:right w:val="single" w:sz="4" w:space="0" w:color="000000"/>
            </w:tcBorders>
            <w:vAlign w:val="center"/>
          </w:tcPr>
          <w:p w14:paraId="02D0C65C" w14:textId="77777777" w:rsidR="0084305F" w:rsidRPr="0084305F" w:rsidRDefault="0084305F" w:rsidP="0084305F">
            <w:pPr>
              <w:tabs>
                <w:tab w:val="clear" w:pos="709"/>
              </w:tabs>
              <w:snapToGrid/>
              <w:ind w:left="13"/>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3</w:t>
            </w:r>
          </w:p>
        </w:tc>
        <w:tc>
          <w:tcPr>
            <w:tcW w:w="1425" w:type="dxa"/>
            <w:tcBorders>
              <w:top w:val="single" w:sz="4" w:space="0" w:color="000000"/>
              <w:left w:val="single" w:sz="4" w:space="0" w:color="000000"/>
              <w:bottom w:val="single" w:sz="4" w:space="0" w:color="000000"/>
              <w:right w:val="single" w:sz="4" w:space="0" w:color="000000"/>
            </w:tcBorders>
            <w:vAlign w:val="center"/>
          </w:tcPr>
          <w:p w14:paraId="1E566581"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0930-1030</w:t>
            </w:r>
          </w:p>
        </w:tc>
        <w:tc>
          <w:tcPr>
            <w:tcW w:w="5910" w:type="dxa"/>
            <w:tcBorders>
              <w:top w:val="single" w:sz="4" w:space="0" w:color="000000"/>
              <w:left w:val="single" w:sz="4" w:space="0" w:color="000000"/>
              <w:bottom w:val="single" w:sz="4" w:space="0" w:color="000000"/>
              <w:right w:val="single" w:sz="4" w:space="0" w:color="000000"/>
            </w:tcBorders>
            <w:vAlign w:val="center"/>
          </w:tcPr>
          <w:p w14:paraId="7380D48A" w14:textId="77777777" w:rsidR="0084305F" w:rsidRPr="0084305F" w:rsidRDefault="0084305F" w:rsidP="0084305F">
            <w:pPr>
              <w:pBdr>
                <w:top w:val="nil"/>
                <w:left w:val="nil"/>
                <w:bottom w:val="nil"/>
                <w:right w:val="nil"/>
                <w:between w:val="nil"/>
              </w:pBdr>
              <w:tabs>
                <w:tab w:val="clear" w:pos="709"/>
              </w:tabs>
              <w:snapToGrid/>
              <w:ind w:left="720"/>
              <w:rPr>
                <w:rFonts w:ascii="Arial" w:eastAsia="Arial" w:hAnsi="Arial" w:cs="Arial"/>
                <w:b/>
                <w:snapToGrid/>
                <w:color w:val="000000"/>
                <w:sz w:val="20"/>
                <w:szCs w:val="20"/>
                <w:lang w:val="en-US"/>
              </w:rPr>
            </w:pPr>
          </w:p>
          <w:p w14:paraId="30669856" w14:textId="77777777" w:rsidR="0084305F" w:rsidRPr="0084305F" w:rsidRDefault="0084305F" w:rsidP="0084305F">
            <w:pPr>
              <w:numPr>
                <w:ilvl w:val="0"/>
                <w:numId w:val="150"/>
              </w:numPr>
              <w:pBdr>
                <w:top w:val="nil"/>
                <w:left w:val="nil"/>
                <w:bottom w:val="nil"/>
                <w:right w:val="nil"/>
                <w:between w:val="nil"/>
              </w:pBdr>
              <w:tabs>
                <w:tab w:val="clear" w:pos="709"/>
              </w:tabs>
              <w:snapToGrid/>
              <w:spacing w:after="160" w:line="259" w:lineRule="auto"/>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Wave Exercises and Significant Tsunami Events in each ICG</w:t>
            </w:r>
          </w:p>
          <w:p w14:paraId="6AEEEBCA" w14:textId="77777777" w:rsidR="0084305F" w:rsidRPr="0084305F" w:rsidRDefault="0084305F" w:rsidP="0084305F">
            <w:pPr>
              <w:pBdr>
                <w:top w:val="nil"/>
                <w:left w:val="nil"/>
                <w:bottom w:val="nil"/>
                <w:right w:val="nil"/>
                <w:between w:val="nil"/>
              </w:pBdr>
              <w:tabs>
                <w:tab w:val="clear" w:pos="709"/>
              </w:tabs>
              <w:snapToGrid/>
              <w:ind w:left="720"/>
              <w:rPr>
                <w:rFonts w:ascii="Calibri" w:eastAsia="Calibri" w:hAnsi="Calibri" w:cs="Calibri"/>
                <w:snapToGrid/>
                <w:color w:val="000000"/>
                <w:sz w:val="22"/>
                <w:szCs w:val="22"/>
                <w:lang w:val="en-US"/>
              </w:rPr>
            </w:pPr>
          </w:p>
          <w:p w14:paraId="6AD88856" w14:textId="77777777" w:rsidR="0084305F" w:rsidRPr="0084305F" w:rsidRDefault="0084305F" w:rsidP="0084305F">
            <w:pPr>
              <w:numPr>
                <w:ilvl w:val="1"/>
                <w:numId w:val="152"/>
              </w:numPr>
              <w:pBdr>
                <w:top w:val="nil"/>
                <w:left w:val="nil"/>
                <w:bottom w:val="nil"/>
                <w:right w:val="nil"/>
                <w:between w:val="nil"/>
              </w:pBdr>
              <w:tabs>
                <w:tab w:val="clear" w:pos="709"/>
              </w:tabs>
              <w:snapToGrid/>
              <w:spacing w:after="160" w:line="259" w:lineRule="auto"/>
              <w:rPr>
                <w:rFonts w:ascii="Aptos" w:eastAsia="Aptos" w:hAnsi="Aptos" w:cs="Aptos"/>
                <w:snapToGrid/>
                <w:sz w:val="20"/>
                <w:szCs w:val="20"/>
                <w:lang w:val="en-US"/>
              </w:rPr>
            </w:pPr>
            <w:r w:rsidRPr="0084305F">
              <w:rPr>
                <w:rFonts w:ascii="Aptos" w:eastAsia="Aptos" w:hAnsi="Aptos" w:cs="Aptos"/>
                <w:snapToGrid/>
                <w:color w:val="000000"/>
                <w:sz w:val="20"/>
                <w:szCs w:val="20"/>
                <w:lang w:val="en-US"/>
              </w:rPr>
              <w:t>Global criteria and methodology to report on WAVE EXERCISEs</w:t>
            </w:r>
          </w:p>
          <w:p w14:paraId="0FF33113" w14:textId="77777777" w:rsidR="0084305F" w:rsidRPr="0084305F" w:rsidRDefault="0084305F" w:rsidP="0084305F">
            <w:pPr>
              <w:tabs>
                <w:tab w:val="clear" w:pos="709"/>
              </w:tabs>
              <w:snapToGrid/>
              <w:ind w:left="109"/>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 xml:space="preserve">                       (</w:t>
            </w:r>
            <w:proofErr w:type="gramStart"/>
            <w:r w:rsidRPr="0084305F">
              <w:rPr>
                <w:rFonts w:ascii="Arial" w:eastAsia="Arial" w:hAnsi="Arial" w:cs="Arial"/>
                <w:snapToGrid/>
                <w:color w:val="000000"/>
                <w:sz w:val="20"/>
                <w:szCs w:val="20"/>
                <w:lang w:val="en-US"/>
              </w:rPr>
              <w:t>share</w:t>
            </w:r>
            <w:proofErr w:type="gramEnd"/>
            <w:r w:rsidRPr="0084305F">
              <w:rPr>
                <w:rFonts w:ascii="Arial" w:eastAsia="Arial" w:hAnsi="Arial" w:cs="Arial"/>
                <w:snapToGrid/>
                <w:color w:val="000000"/>
                <w:sz w:val="20"/>
                <w:szCs w:val="20"/>
                <w:lang w:val="en-US"/>
              </w:rPr>
              <w:t xml:space="preserve"> outcomes, lessons learned, and   </w:t>
            </w:r>
          </w:p>
          <w:p w14:paraId="7FAE53AE" w14:textId="77777777" w:rsidR="0084305F" w:rsidRPr="0084305F" w:rsidRDefault="0084305F" w:rsidP="0084305F">
            <w:pPr>
              <w:tabs>
                <w:tab w:val="clear" w:pos="709"/>
              </w:tabs>
              <w:snapToGrid/>
              <w:ind w:left="109"/>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 xml:space="preserve">                       coordination on exercise surveys)</w:t>
            </w:r>
          </w:p>
        </w:tc>
        <w:tc>
          <w:tcPr>
            <w:tcW w:w="2325" w:type="dxa"/>
            <w:tcBorders>
              <w:top w:val="single" w:sz="4" w:space="0" w:color="000000"/>
              <w:left w:val="single" w:sz="4" w:space="0" w:color="000000"/>
              <w:bottom w:val="single" w:sz="4" w:space="0" w:color="000000"/>
              <w:right w:val="single" w:sz="4" w:space="0" w:color="000000"/>
            </w:tcBorders>
          </w:tcPr>
          <w:p w14:paraId="5DCD39BD"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Chair TT TWO Moderate Joint presentations by</w:t>
            </w:r>
          </w:p>
          <w:p w14:paraId="252CE77F"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TT reps each ICG</w:t>
            </w:r>
          </w:p>
          <w:p w14:paraId="46B9B2D3"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p>
          <w:p w14:paraId="5D0E31A0"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70C0"/>
                <w:sz w:val="20"/>
                <w:szCs w:val="20"/>
                <w:lang w:val="en-US"/>
              </w:rPr>
              <w:t>[Nishimae to chair 3.0 Denis to provide text for report for Wave Exercises, otherwise Ocal lead on 3.0 for summary report]</w:t>
            </w:r>
          </w:p>
        </w:tc>
      </w:tr>
      <w:tr w:rsidR="0084305F" w:rsidRPr="0084305F" w14:paraId="301065C0" w14:textId="77777777" w:rsidTr="00493FEF">
        <w:trPr>
          <w:trHeight w:val="474"/>
          <w:jc w:val="center"/>
        </w:trPr>
        <w:tc>
          <w:tcPr>
            <w:tcW w:w="8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F635B9"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77A106" w14:textId="77777777" w:rsidR="0084305F" w:rsidRPr="0084305F" w:rsidRDefault="0084305F" w:rsidP="0084305F">
            <w:pPr>
              <w:tabs>
                <w:tab w:val="clear" w:pos="709"/>
              </w:tabs>
              <w:snapToGrid/>
              <w:ind w:left="96"/>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1030-1130</w:t>
            </w:r>
          </w:p>
        </w:tc>
        <w:tc>
          <w:tcPr>
            <w:tcW w:w="5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691A1A" w14:textId="77777777" w:rsidR="0084305F" w:rsidRPr="0084305F" w:rsidRDefault="0084305F" w:rsidP="0084305F">
            <w:pPr>
              <w:tabs>
                <w:tab w:val="clear" w:pos="709"/>
              </w:tabs>
              <w:snapToGrid/>
              <w:ind w:left="109"/>
              <w:rPr>
                <w:rFonts w:ascii="Arial" w:eastAsia="Arial" w:hAnsi="Arial" w:cs="Arial"/>
                <w:b/>
                <w:i/>
                <w:snapToGrid/>
                <w:color w:val="000000"/>
                <w:sz w:val="20"/>
                <w:szCs w:val="20"/>
                <w:lang w:val="en-US"/>
              </w:rPr>
            </w:pPr>
            <w:r w:rsidRPr="0084305F">
              <w:rPr>
                <w:rFonts w:ascii="Arial" w:eastAsia="Arial" w:hAnsi="Arial" w:cs="Arial"/>
                <w:b/>
                <w:i/>
                <w:snapToGrid/>
                <w:color w:val="000000"/>
                <w:sz w:val="20"/>
                <w:szCs w:val="20"/>
                <w:lang w:val="en-US"/>
              </w:rPr>
              <w:t>Break and photo</w:t>
            </w:r>
          </w:p>
        </w:tc>
        <w:tc>
          <w:tcPr>
            <w:tcW w:w="2325" w:type="dxa"/>
            <w:tcBorders>
              <w:top w:val="single" w:sz="4" w:space="0" w:color="000000"/>
              <w:left w:val="single" w:sz="4" w:space="0" w:color="000000"/>
              <w:bottom w:val="single" w:sz="4" w:space="0" w:color="000000"/>
              <w:right w:val="single" w:sz="4" w:space="0" w:color="000000"/>
            </w:tcBorders>
            <w:shd w:val="clear" w:color="auto" w:fill="D9D9D9"/>
          </w:tcPr>
          <w:p w14:paraId="751B36C0"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tc>
      </w:tr>
      <w:tr w:rsidR="0084305F" w:rsidRPr="0084305F" w14:paraId="4330A9B0" w14:textId="77777777" w:rsidTr="00493FEF">
        <w:trPr>
          <w:trHeight w:val="300"/>
          <w:jc w:val="center"/>
        </w:trPr>
        <w:tc>
          <w:tcPr>
            <w:tcW w:w="840" w:type="dxa"/>
            <w:tcBorders>
              <w:top w:val="single" w:sz="4" w:space="0" w:color="000000"/>
              <w:left w:val="single" w:sz="4" w:space="0" w:color="000000"/>
              <w:bottom w:val="single" w:sz="4" w:space="0" w:color="000000"/>
              <w:right w:val="single" w:sz="4" w:space="0" w:color="000000"/>
            </w:tcBorders>
            <w:vAlign w:val="center"/>
          </w:tcPr>
          <w:p w14:paraId="001C564A"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425" w:type="dxa"/>
            <w:tcBorders>
              <w:top w:val="single" w:sz="4" w:space="0" w:color="000000"/>
              <w:left w:val="single" w:sz="4" w:space="0" w:color="000000"/>
              <w:bottom w:val="single" w:sz="4" w:space="0" w:color="000000"/>
              <w:right w:val="single" w:sz="4" w:space="0" w:color="000000"/>
            </w:tcBorders>
            <w:vAlign w:val="center"/>
          </w:tcPr>
          <w:p w14:paraId="5A26F8B3"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1130-1145</w:t>
            </w:r>
          </w:p>
        </w:tc>
        <w:tc>
          <w:tcPr>
            <w:tcW w:w="5910" w:type="dxa"/>
            <w:tcBorders>
              <w:top w:val="single" w:sz="4" w:space="0" w:color="000000"/>
              <w:left w:val="single" w:sz="4" w:space="0" w:color="000000"/>
              <w:bottom w:val="single" w:sz="4" w:space="0" w:color="000000"/>
              <w:right w:val="single" w:sz="4" w:space="0" w:color="000000"/>
            </w:tcBorders>
            <w:vAlign w:val="center"/>
          </w:tcPr>
          <w:p w14:paraId="241FBE20" w14:textId="77777777" w:rsidR="0084305F" w:rsidRPr="0084305F" w:rsidRDefault="0084305F" w:rsidP="0084305F">
            <w:pPr>
              <w:pBdr>
                <w:top w:val="nil"/>
                <w:left w:val="nil"/>
                <w:bottom w:val="nil"/>
                <w:right w:val="nil"/>
                <w:between w:val="nil"/>
              </w:pBdr>
              <w:tabs>
                <w:tab w:val="clear" w:pos="709"/>
              </w:tabs>
              <w:snapToGrid/>
              <w:ind w:left="720"/>
              <w:rPr>
                <w:rFonts w:ascii="Arial" w:eastAsia="Arial" w:hAnsi="Arial" w:cs="Arial"/>
                <w:b/>
                <w:snapToGrid/>
                <w:color w:val="000000"/>
                <w:sz w:val="20"/>
                <w:szCs w:val="20"/>
                <w:lang w:val="en-US"/>
              </w:rPr>
            </w:pPr>
          </w:p>
          <w:p w14:paraId="70CDA458" w14:textId="77777777" w:rsidR="0084305F" w:rsidRPr="0084305F" w:rsidRDefault="0084305F" w:rsidP="0084305F">
            <w:pPr>
              <w:pBdr>
                <w:top w:val="nil"/>
                <w:left w:val="nil"/>
                <w:bottom w:val="nil"/>
                <w:right w:val="nil"/>
                <w:between w:val="nil"/>
              </w:pBdr>
              <w:tabs>
                <w:tab w:val="clear" w:pos="709"/>
              </w:tabs>
              <w:snapToGrid/>
              <w:ind w:left="720"/>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Wave Exercises and Significant Tsunami Events in each ICG (</w:t>
            </w:r>
            <w:proofErr w:type="spellStart"/>
            <w:r w:rsidRPr="0084305F">
              <w:rPr>
                <w:rFonts w:ascii="Arial" w:eastAsia="Arial" w:hAnsi="Arial" w:cs="Arial"/>
                <w:b/>
                <w:snapToGrid/>
                <w:color w:val="000000"/>
                <w:sz w:val="20"/>
                <w:szCs w:val="20"/>
                <w:lang w:val="en-US"/>
              </w:rPr>
              <w:t>Con’t</w:t>
            </w:r>
            <w:proofErr w:type="spellEnd"/>
            <w:r w:rsidRPr="0084305F">
              <w:rPr>
                <w:rFonts w:ascii="Arial" w:eastAsia="Arial" w:hAnsi="Arial" w:cs="Arial"/>
                <w:b/>
                <w:snapToGrid/>
                <w:color w:val="000000"/>
                <w:sz w:val="20"/>
                <w:szCs w:val="20"/>
                <w:lang w:val="en-US"/>
              </w:rPr>
              <w:t>)</w:t>
            </w:r>
          </w:p>
          <w:p w14:paraId="1C26B231" w14:textId="77777777" w:rsidR="0084305F" w:rsidRPr="0084305F" w:rsidRDefault="0084305F" w:rsidP="0084305F">
            <w:pPr>
              <w:pBdr>
                <w:top w:val="nil"/>
                <w:left w:val="nil"/>
                <w:bottom w:val="nil"/>
                <w:right w:val="nil"/>
                <w:between w:val="nil"/>
              </w:pBdr>
              <w:tabs>
                <w:tab w:val="clear" w:pos="709"/>
              </w:tabs>
              <w:snapToGrid/>
              <w:ind w:left="720"/>
              <w:rPr>
                <w:rFonts w:ascii="Arial" w:eastAsia="Arial" w:hAnsi="Arial" w:cs="Arial"/>
                <w:b/>
                <w:snapToGrid/>
                <w:color w:val="000000"/>
                <w:sz w:val="20"/>
                <w:szCs w:val="20"/>
                <w:lang w:val="en-US"/>
              </w:rPr>
            </w:pPr>
          </w:p>
          <w:p w14:paraId="138EBCC6" w14:textId="77777777" w:rsidR="0084305F" w:rsidRPr="0084305F" w:rsidRDefault="0084305F" w:rsidP="0084305F">
            <w:pPr>
              <w:tabs>
                <w:tab w:val="clear" w:pos="709"/>
              </w:tabs>
              <w:snapToGrid/>
              <w:rPr>
                <w:rFonts w:ascii="Arial" w:eastAsia="Arial" w:hAnsi="Arial" w:cs="Arial"/>
                <w:b/>
                <w:i/>
                <w:snapToGrid/>
                <w:color w:val="000000"/>
                <w:sz w:val="20"/>
                <w:szCs w:val="20"/>
                <w:lang w:val="en-US"/>
              </w:rPr>
            </w:pPr>
          </w:p>
        </w:tc>
        <w:tc>
          <w:tcPr>
            <w:tcW w:w="2325" w:type="dxa"/>
            <w:tcBorders>
              <w:top w:val="single" w:sz="4" w:space="0" w:color="000000"/>
              <w:left w:val="single" w:sz="4" w:space="0" w:color="000000"/>
              <w:bottom w:val="single" w:sz="4" w:space="0" w:color="000000"/>
              <w:right w:val="single" w:sz="4" w:space="0" w:color="000000"/>
            </w:tcBorders>
          </w:tcPr>
          <w:p w14:paraId="65ECA988"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tc>
      </w:tr>
      <w:tr w:rsidR="0084305F" w:rsidRPr="0084305F" w14:paraId="5335818A" w14:textId="77777777" w:rsidTr="00493FEF">
        <w:trPr>
          <w:trHeight w:val="467"/>
          <w:jc w:val="center"/>
        </w:trPr>
        <w:tc>
          <w:tcPr>
            <w:tcW w:w="8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EA9244"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F9FF91" w14:textId="77777777" w:rsidR="0084305F" w:rsidRPr="0084305F" w:rsidRDefault="0084305F" w:rsidP="0084305F">
            <w:pPr>
              <w:tabs>
                <w:tab w:val="clear" w:pos="709"/>
              </w:tabs>
              <w:snapToGrid/>
              <w:ind w:left="96"/>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1145-1300</w:t>
            </w:r>
          </w:p>
        </w:tc>
        <w:tc>
          <w:tcPr>
            <w:tcW w:w="5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CE0E61" w14:textId="77777777" w:rsidR="0084305F" w:rsidRPr="0084305F" w:rsidRDefault="0084305F" w:rsidP="0084305F">
            <w:pPr>
              <w:numPr>
                <w:ilvl w:val="0"/>
                <w:numId w:val="150"/>
              </w:numPr>
              <w:pBdr>
                <w:top w:val="nil"/>
                <w:left w:val="nil"/>
                <w:bottom w:val="nil"/>
                <w:right w:val="nil"/>
                <w:between w:val="nil"/>
              </w:pBdr>
              <w:tabs>
                <w:tab w:val="clear" w:pos="709"/>
              </w:tabs>
              <w:snapToGrid/>
              <w:spacing w:after="160" w:line="259" w:lineRule="auto"/>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Planning for Ocean Decade</w:t>
            </w:r>
          </w:p>
        </w:tc>
        <w:tc>
          <w:tcPr>
            <w:tcW w:w="2325" w:type="dxa"/>
            <w:tcBorders>
              <w:top w:val="single" w:sz="4" w:space="0" w:color="000000"/>
              <w:left w:val="single" w:sz="4" w:space="0" w:color="000000"/>
              <w:bottom w:val="single" w:sz="4" w:space="0" w:color="000000"/>
              <w:right w:val="single" w:sz="4" w:space="0" w:color="000000"/>
            </w:tcBorders>
            <w:shd w:val="clear" w:color="auto" w:fill="D9D9D9"/>
          </w:tcPr>
          <w:p w14:paraId="5E0A7BA0"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r w:rsidRPr="0084305F">
              <w:rPr>
                <w:rFonts w:ascii="Arial" w:eastAsia="Arial" w:hAnsi="Arial" w:cs="Arial"/>
                <w:snapToGrid/>
                <w:color w:val="0070C0"/>
                <w:sz w:val="20"/>
                <w:szCs w:val="20"/>
                <w:lang w:val="en-US"/>
              </w:rPr>
              <w:t>[Harkunti Chair for 4.0 and Denis Secretariat support to prepare summary report]</w:t>
            </w:r>
          </w:p>
        </w:tc>
      </w:tr>
      <w:tr w:rsidR="0084305F" w:rsidRPr="0084305F" w14:paraId="0D5EA074" w14:textId="77777777" w:rsidTr="00493FEF">
        <w:trPr>
          <w:trHeight w:val="494"/>
          <w:jc w:val="center"/>
        </w:trPr>
        <w:tc>
          <w:tcPr>
            <w:tcW w:w="840" w:type="dxa"/>
            <w:tcBorders>
              <w:top w:val="single" w:sz="4" w:space="0" w:color="000000"/>
              <w:left w:val="single" w:sz="4" w:space="0" w:color="000000"/>
              <w:bottom w:val="single" w:sz="4" w:space="0" w:color="000000"/>
              <w:right w:val="single" w:sz="4" w:space="0" w:color="000000"/>
            </w:tcBorders>
            <w:vAlign w:val="center"/>
          </w:tcPr>
          <w:p w14:paraId="46B771DC" w14:textId="77777777" w:rsidR="0084305F" w:rsidRPr="0084305F" w:rsidRDefault="0084305F" w:rsidP="0084305F">
            <w:pPr>
              <w:tabs>
                <w:tab w:val="clear" w:pos="709"/>
              </w:tabs>
              <w:snapToGrid/>
              <w:ind w:left="13"/>
              <w:jc w:val="center"/>
              <w:rPr>
                <w:rFonts w:ascii="Arial" w:eastAsia="Arial" w:hAnsi="Arial" w:cs="Arial"/>
                <w:snapToGrid/>
                <w:color w:val="000000"/>
                <w:sz w:val="20"/>
                <w:szCs w:val="20"/>
                <w:lang w:val="en-US"/>
              </w:rPr>
            </w:pPr>
          </w:p>
        </w:tc>
        <w:tc>
          <w:tcPr>
            <w:tcW w:w="1425" w:type="dxa"/>
            <w:tcBorders>
              <w:top w:val="single" w:sz="4" w:space="0" w:color="000000"/>
              <w:left w:val="single" w:sz="4" w:space="0" w:color="000000"/>
              <w:bottom w:val="single" w:sz="4" w:space="0" w:color="000000"/>
              <w:right w:val="single" w:sz="4" w:space="0" w:color="000000"/>
            </w:tcBorders>
            <w:vAlign w:val="center"/>
          </w:tcPr>
          <w:p w14:paraId="0697DFE3" w14:textId="77777777" w:rsidR="0084305F" w:rsidRPr="0084305F" w:rsidRDefault="0084305F" w:rsidP="0084305F">
            <w:pPr>
              <w:tabs>
                <w:tab w:val="clear" w:pos="709"/>
              </w:tabs>
              <w:snapToGrid/>
              <w:ind w:left="92"/>
              <w:jc w:val="center"/>
              <w:rPr>
                <w:rFonts w:ascii="Arial" w:eastAsia="Arial" w:hAnsi="Arial" w:cs="Arial"/>
                <w:snapToGrid/>
                <w:color w:val="000000"/>
                <w:sz w:val="20"/>
                <w:szCs w:val="20"/>
                <w:lang w:val="en-US"/>
              </w:rPr>
            </w:pPr>
          </w:p>
        </w:tc>
        <w:tc>
          <w:tcPr>
            <w:tcW w:w="5910" w:type="dxa"/>
            <w:tcBorders>
              <w:top w:val="single" w:sz="4" w:space="0" w:color="000000"/>
              <w:left w:val="single" w:sz="4" w:space="0" w:color="000000"/>
              <w:bottom w:val="single" w:sz="4" w:space="0" w:color="000000"/>
              <w:right w:val="single" w:sz="4" w:space="0" w:color="000000"/>
            </w:tcBorders>
            <w:vAlign w:val="center"/>
          </w:tcPr>
          <w:p w14:paraId="0B74CE93" w14:textId="77777777" w:rsidR="0084305F" w:rsidRPr="0084305F" w:rsidRDefault="0084305F" w:rsidP="0084305F">
            <w:pPr>
              <w:numPr>
                <w:ilvl w:val="1"/>
                <w:numId w:val="143"/>
              </w:numPr>
              <w:pBdr>
                <w:top w:val="nil"/>
                <w:left w:val="nil"/>
                <w:bottom w:val="nil"/>
                <w:right w:val="nil"/>
                <w:between w:val="nil"/>
              </w:pBdr>
              <w:tabs>
                <w:tab w:val="clear" w:pos="709"/>
              </w:tabs>
              <w:snapToGrid/>
              <w:spacing w:after="160" w:line="259" w:lineRule="auto"/>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Ocean Decade Tsunami Programme (Report of the ODTP -SC)</w:t>
            </w:r>
          </w:p>
        </w:tc>
        <w:tc>
          <w:tcPr>
            <w:tcW w:w="2325" w:type="dxa"/>
            <w:tcBorders>
              <w:top w:val="single" w:sz="4" w:space="0" w:color="000000"/>
              <w:left w:val="single" w:sz="4" w:space="0" w:color="000000"/>
              <w:bottom w:val="single" w:sz="4" w:space="0" w:color="000000"/>
              <w:right w:val="single" w:sz="4" w:space="0" w:color="000000"/>
            </w:tcBorders>
          </w:tcPr>
          <w:p w14:paraId="1B259F58"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New Chair of ODTP-SC</w:t>
            </w:r>
          </w:p>
        </w:tc>
      </w:tr>
      <w:tr w:rsidR="0084305F" w:rsidRPr="0084305F" w14:paraId="37315454" w14:textId="77777777" w:rsidTr="00493FEF">
        <w:trPr>
          <w:trHeight w:val="494"/>
          <w:jc w:val="center"/>
        </w:trPr>
        <w:tc>
          <w:tcPr>
            <w:tcW w:w="840" w:type="dxa"/>
            <w:tcBorders>
              <w:top w:val="single" w:sz="4" w:space="0" w:color="000000"/>
              <w:left w:val="single" w:sz="4" w:space="0" w:color="000000"/>
              <w:bottom w:val="single" w:sz="4" w:space="0" w:color="000000"/>
              <w:right w:val="single" w:sz="4" w:space="0" w:color="000000"/>
            </w:tcBorders>
            <w:vAlign w:val="center"/>
          </w:tcPr>
          <w:p w14:paraId="023E3F70" w14:textId="77777777" w:rsidR="0084305F" w:rsidRPr="0084305F" w:rsidRDefault="0084305F" w:rsidP="0084305F">
            <w:pPr>
              <w:tabs>
                <w:tab w:val="clear" w:pos="709"/>
              </w:tabs>
              <w:snapToGrid/>
              <w:ind w:left="13"/>
              <w:jc w:val="center"/>
              <w:rPr>
                <w:rFonts w:ascii="Arial" w:eastAsia="Arial" w:hAnsi="Arial" w:cs="Arial"/>
                <w:snapToGrid/>
                <w:color w:val="000000"/>
                <w:sz w:val="20"/>
                <w:szCs w:val="20"/>
                <w:lang w:val="en-US"/>
              </w:rPr>
            </w:pPr>
          </w:p>
        </w:tc>
        <w:tc>
          <w:tcPr>
            <w:tcW w:w="1425" w:type="dxa"/>
            <w:tcBorders>
              <w:top w:val="single" w:sz="4" w:space="0" w:color="000000"/>
              <w:left w:val="single" w:sz="4" w:space="0" w:color="000000"/>
              <w:bottom w:val="single" w:sz="4" w:space="0" w:color="000000"/>
              <w:right w:val="single" w:sz="4" w:space="0" w:color="000000"/>
            </w:tcBorders>
            <w:vAlign w:val="center"/>
          </w:tcPr>
          <w:p w14:paraId="29144F21" w14:textId="77777777" w:rsidR="0084305F" w:rsidRPr="0084305F" w:rsidRDefault="0084305F" w:rsidP="0084305F">
            <w:pPr>
              <w:tabs>
                <w:tab w:val="clear" w:pos="709"/>
              </w:tabs>
              <w:snapToGrid/>
              <w:ind w:left="92"/>
              <w:jc w:val="center"/>
              <w:rPr>
                <w:rFonts w:ascii="Arial" w:eastAsia="Arial" w:hAnsi="Arial" w:cs="Arial"/>
                <w:snapToGrid/>
                <w:color w:val="000000"/>
                <w:sz w:val="20"/>
                <w:szCs w:val="20"/>
                <w:lang w:val="en-US"/>
              </w:rPr>
            </w:pPr>
          </w:p>
        </w:tc>
        <w:tc>
          <w:tcPr>
            <w:tcW w:w="5910" w:type="dxa"/>
            <w:tcBorders>
              <w:top w:val="single" w:sz="4" w:space="0" w:color="000000"/>
              <w:left w:val="single" w:sz="4" w:space="0" w:color="000000"/>
              <w:bottom w:val="single" w:sz="4" w:space="0" w:color="000000"/>
              <w:right w:val="single" w:sz="4" w:space="0" w:color="000000"/>
            </w:tcBorders>
            <w:vAlign w:val="center"/>
          </w:tcPr>
          <w:p w14:paraId="0B2C7B9C" w14:textId="77777777" w:rsidR="0084305F" w:rsidRPr="0084305F" w:rsidRDefault="0084305F" w:rsidP="0084305F">
            <w:pPr>
              <w:numPr>
                <w:ilvl w:val="1"/>
                <w:numId w:val="143"/>
              </w:numPr>
              <w:pBdr>
                <w:top w:val="nil"/>
                <w:left w:val="nil"/>
                <w:bottom w:val="nil"/>
                <w:right w:val="nil"/>
                <w:between w:val="nil"/>
              </w:pBdr>
              <w:tabs>
                <w:tab w:val="clear" w:pos="709"/>
              </w:tabs>
              <w:snapToGrid/>
              <w:spacing w:after="160" w:line="259" w:lineRule="auto"/>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Ocean Decade: Safe Ocean (Resilient Communities Actions)</w:t>
            </w:r>
          </w:p>
        </w:tc>
        <w:tc>
          <w:tcPr>
            <w:tcW w:w="2325" w:type="dxa"/>
            <w:tcBorders>
              <w:top w:val="single" w:sz="4" w:space="0" w:color="000000"/>
              <w:left w:val="single" w:sz="4" w:space="0" w:color="000000"/>
              <w:bottom w:val="single" w:sz="4" w:space="0" w:color="000000"/>
              <w:right w:val="single" w:sz="4" w:space="0" w:color="000000"/>
            </w:tcBorders>
          </w:tcPr>
          <w:p w14:paraId="448ED940"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Denis</w:t>
            </w:r>
          </w:p>
        </w:tc>
      </w:tr>
      <w:tr w:rsidR="0084305F" w:rsidRPr="0084305F" w14:paraId="4A40CE69" w14:textId="77777777" w:rsidTr="00493FEF">
        <w:trPr>
          <w:trHeight w:val="791"/>
          <w:jc w:val="center"/>
        </w:trPr>
        <w:tc>
          <w:tcPr>
            <w:tcW w:w="840" w:type="dxa"/>
            <w:tcBorders>
              <w:top w:val="single" w:sz="4" w:space="0" w:color="000000"/>
              <w:left w:val="single" w:sz="4" w:space="0" w:color="000000"/>
              <w:bottom w:val="single" w:sz="4" w:space="0" w:color="000000"/>
              <w:right w:val="single" w:sz="4" w:space="0" w:color="000000"/>
            </w:tcBorders>
            <w:vAlign w:val="center"/>
          </w:tcPr>
          <w:p w14:paraId="7A7CD974" w14:textId="77777777" w:rsidR="0084305F" w:rsidRPr="0084305F" w:rsidRDefault="0084305F" w:rsidP="0084305F">
            <w:pPr>
              <w:tabs>
                <w:tab w:val="clear" w:pos="709"/>
              </w:tabs>
              <w:snapToGrid/>
              <w:ind w:left="13"/>
              <w:jc w:val="center"/>
              <w:rPr>
                <w:rFonts w:ascii="Arial" w:eastAsia="Arial" w:hAnsi="Arial" w:cs="Arial"/>
                <w:snapToGrid/>
                <w:color w:val="000000"/>
                <w:sz w:val="20"/>
                <w:szCs w:val="20"/>
                <w:lang w:val="en-US"/>
              </w:rPr>
            </w:pPr>
          </w:p>
        </w:tc>
        <w:tc>
          <w:tcPr>
            <w:tcW w:w="1425" w:type="dxa"/>
            <w:tcBorders>
              <w:top w:val="single" w:sz="4" w:space="0" w:color="000000"/>
              <w:left w:val="single" w:sz="4" w:space="0" w:color="000000"/>
              <w:bottom w:val="single" w:sz="4" w:space="0" w:color="000000"/>
              <w:right w:val="single" w:sz="4" w:space="0" w:color="000000"/>
            </w:tcBorders>
            <w:vAlign w:val="center"/>
          </w:tcPr>
          <w:p w14:paraId="22AF2729" w14:textId="77777777" w:rsidR="0084305F" w:rsidRPr="0084305F" w:rsidRDefault="0084305F" w:rsidP="0084305F">
            <w:pPr>
              <w:tabs>
                <w:tab w:val="clear" w:pos="709"/>
              </w:tabs>
              <w:snapToGrid/>
              <w:ind w:left="92"/>
              <w:jc w:val="center"/>
              <w:rPr>
                <w:rFonts w:ascii="Arial" w:eastAsia="Arial" w:hAnsi="Arial" w:cs="Arial"/>
                <w:snapToGrid/>
                <w:color w:val="000000"/>
                <w:sz w:val="20"/>
                <w:szCs w:val="20"/>
                <w:lang w:val="en-US"/>
              </w:rPr>
            </w:pPr>
          </w:p>
        </w:tc>
        <w:tc>
          <w:tcPr>
            <w:tcW w:w="5910" w:type="dxa"/>
            <w:tcBorders>
              <w:top w:val="single" w:sz="4" w:space="0" w:color="000000"/>
              <w:left w:val="single" w:sz="4" w:space="0" w:color="000000"/>
              <w:bottom w:val="single" w:sz="4" w:space="0" w:color="000000"/>
              <w:right w:val="single" w:sz="4" w:space="0" w:color="000000"/>
            </w:tcBorders>
            <w:vAlign w:val="center"/>
          </w:tcPr>
          <w:p w14:paraId="347E18A7" w14:textId="77777777" w:rsidR="0084305F" w:rsidRPr="0084305F" w:rsidRDefault="0084305F" w:rsidP="0084305F">
            <w:pPr>
              <w:numPr>
                <w:ilvl w:val="1"/>
                <w:numId w:val="143"/>
              </w:numPr>
              <w:pBdr>
                <w:top w:val="nil"/>
                <w:left w:val="nil"/>
                <w:bottom w:val="nil"/>
                <w:right w:val="nil"/>
                <w:between w:val="nil"/>
              </w:pBdr>
              <w:tabs>
                <w:tab w:val="clear" w:pos="709"/>
              </w:tabs>
              <w:snapToGrid/>
              <w:spacing w:after="160" w:line="259" w:lineRule="auto"/>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 xml:space="preserve">TRRP- Methodology for Estimating Eligibility for TRR and Assessment of Risk at Community Level </w:t>
            </w:r>
          </w:p>
        </w:tc>
        <w:tc>
          <w:tcPr>
            <w:tcW w:w="2325" w:type="dxa"/>
            <w:tcBorders>
              <w:top w:val="single" w:sz="4" w:space="0" w:color="000000"/>
              <w:left w:val="single" w:sz="4" w:space="0" w:color="000000"/>
              <w:bottom w:val="single" w:sz="4" w:space="0" w:color="000000"/>
              <w:right w:val="single" w:sz="4" w:space="0" w:color="000000"/>
            </w:tcBorders>
          </w:tcPr>
          <w:p w14:paraId="64848074"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Bernardo</w:t>
            </w:r>
          </w:p>
        </w:tc>
      </w:tr>
      <w:tr w:rsidR="0084305F" w:rsidRPr="0084305F" w14:paraId="37349B5C" w14:textId="77777777" w:rsidTr="00493FEF">
        <w:trPr>
          <w:trHeight w:val="791"/>
          <w:jc w:val="center"/>
        </w:trPr>
        <w:tc>
          <w:tcPr>
            <w:tcW w:w="840" w:type="dxa"/>
            <w:tcBorders>
              <w:top w:val="single" w:sz="4" w:space="0" w:color="000000"/>
              <w:left w:val="single" w:sz="4" w:space="0" w:color="000000"/>
              <w:bottom w:val="single" w:sz="4" w:space="0" w:color="000000"/>
              <w:right w:val="single" w:sz="4" w:space="0" w:color="000000"/>
            </w:tcBorders>
            <w:vAlign w:val="center"/>
          </w:tcPr>
          <w:p w14:paraId="333B7E0B" w14:textId="77777777" w:rsidR="0084305F" w:rsidRPr="0084305F" w:rsidRDefault="0084305F" w:rsidP="0084305F">
            <w:pPr>
              <w:tabs>
                <w:tab w:val="clear" w:pos="709"/>
              </w:tabs>
              <w:snapToGrid/>
              <w:ind w:left="13"/>
              <w:jc w:val="center"/>
              <w:rPr>
                <w:rFonts w:ascii="Arial" w:eastAsia="Arial" w:hAnsi="Arial" w:cs="Arial"/>
                <w:snapToGrid/>
                <w:color w:val="000000"/>
                <w:sz w:val="20"/>
                <w:szCs w:val="20"/>
                <w:lang w:val="en-US"/>
              </w:rPr>
            </w:pPr>
          </w:p>
        </w:tc>
        <w:tc>
          <w:tcPr>
            <w:tcW w:w="1425" w:type="dxa"/>
            <w:tcBorders>
              <w:top w:val="single" w:sz="4" w:space="0" w:color="000000"/>
              <w:left w:val="single" w:sz="4" w:space="0" w:color="000000"/>
              <w:bottom w:val="single" w:sz="4" w:space="0" w:color="000000"/>
              <w:right w:val="single" w:sz="4" w:space="0" w:color="000000"/>
            </w:tcBorders>
            <w:vAlign w:val="center"/>
          </w:tcPr>
          <w:p w14:paraId="0C5F350E" w14:textId="77777777" w:rsidR="0084305F" w:rsidRPr="0084305F" w:rsidRDefault="0084305F" w:rsidP="0084305F">
            <w:pPr>
              <w:tabs>
                <w:tab w:val="clear" w:pos="709"/>
              </w:tabs>
              <w:snapToGrid/>
              <w:ind w:left="92"/>
              <w:jc w:val="center"/>
              <w:rPr>
                <w:rFonts w:ascii="Arial" w:eastAsia="Arial" w:hAnsi="Arial" w:cs="Arial"/>
                <w:snapToGrid/>
                <w:color w:val="000000"/>
                <w:sz w:val="20"/>
                <w:szCs w:val="20"/>
                <w:lang w:val="en-US"/>
              </w:rPr>
            </w:pPr>
          </w:p>
        </w:tc>
        <w:tc>
          <w:tcPr>
            <w:tcW w:w="5910" w:type="dxa"/>
            <w:tcBorders>
              <w:top w:val="single" w:sz="4" w:space="0" w:color="000000"/>
              <w:left w:val="single" w:sz="4" w:space="0" w:color="000000"/>
              <w:bottom w:val="single" w:sz="4" w:space="0" w:color="000000"/>
              <w:right w:val="single" w:sz="4" w:space="0" w:color="000000"/>
            </w:tcBorders>
            <w:vAlign w:val="center"/>
          </w:tcPr>
          <w:p w14:paraId="3B831162" w14:textId="77777777" w:rsidR="0084305F" w:rsidRPr="0084305F" w:rsidRDefault="0084305F" w:rsidP="0084305F">
            <w:pPr>
              <w:numPr>
                <w:ilvl w:val="1"/>
                <w:numId w:val="143"/>
              </w:numPr>
              <w:pBdr>
                <w:top w:val="nil"/>
                <w:left w:val="nil"/>
                <w:bottom w:val="nil"/>
                <w:right w:val="nil"/>
                <w:between w:val="nil"/>
              </w:pBdr>
              <w:tabs>
                <w:tab w:val="clear" w:pos="709"/>
              </w:tabs>
              <w:snapToGrid/>
              <w:spacing w:after="160" w:line="259" w:lineRule="auto"/>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The Development of ODTP Tracking and Monitoring Tool &amp; Global Tsunami Performance Monitoring Framework (of the PTWS)</w:t>
            </w:r>
          </w:p>
        </w:tc>
        <w:tc>
          <w:tcPr>
            <w:tcW w:w="2325" w:type="dxa"/>
            <w:tcBorders>
              <w:top w:val="single" w:sz="4" w:space="0" w:color="000000"/>
              <w:left w:val="single" w:sz="4" w:space="0" w:color="000000"/>
              <w:bottom w:val="single" w:sz="4" w:space="0" w:color="000000"/>
              <w:right w:val="single" w:sz="4" w:space="0" w:color="000000"/>
            </w:tcBorders>
          </w:tcPr>
          <w:p w14:paraId="2E3EB864"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Denis &amp; Bernardo</w:t>
            </w:r>
          </w:p>
        </w:tc>
      </w:tr>
      <w:tr w:rsidR="0084305F" w:rsidRPr="0084305F" w14:paraId="558C0114" w14:textId="77777777" w:rsidTr="00493FEF">
        <w:trPr>
          <w:trHeight w:val="474"/>
          <w:jc w:val="center"/>
        </w:trPr>
        <w:tc>
          <w:tcPr>
            <w:tcW w:w="8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38F9C0"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D23914" w14:textId="77777777" w:rsidR="0084305F" w:rsidRPr="0084305F" w:rsidRDefault="0084305F" w:rsidP="0084305F">
            <w:pPr>
              <w:tabs>
                <w:tab w:val="clear" w:pos="709"/>
              </w:tabs>
              <w:snapToGrid/>
              <w:ind w:left="96"/>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1300 - 1430</w:t>
            </w:r>
          </w:p>
        </w:tc>
        <w:tc>
          <w:tcPr>
            <w:tcW w:w="5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E497B1" w14:textId="77777777" w:rsidR="0084305F" w:rsidRPr="0084305F" w:rsidRDefault="0084305F" w:rsidP="0084305F">
            <w:pPr>
              <w:tabs>
                <w:tab w:val="clear" w:pos="709"/>
              </w:tabs>
              <w:snapToGrid/>
              <w:ind w:left="109"/>
              <w:rPr>
                <w:rFonts w:ascii="Arial" w:eastAsia="Arial" w:hAnsi="Arial" w:cs="Arial"/>
                <w:b/>
                <w:i/>
                <w:snapToGrid/>
                <w:color w:val="000000"/>
                <w:sz w:val="20"/>
                <w:szCs w:val="20"/>
                <w:lang w:val="en-US"/>
              </w:rPr>
            </w:pPr>
            <w:r w:rsidRPr="0084305F">
              <w:rPr>
                <w:rFonts w:ascii="Arial" w:eastAsia="Arial" w:hAnsi="Arial" w:cs="Arial"/>
                <w:b/>
                <w:i/>
                <w:snapToGrid/>
                <w:color w:val="000000"/>
                <w:sz w:val="20"/>
                <w:szCs w:val="20"/>
                <w:lang w:val="en-US"/>
              </w:rPr>
              <w:t>Lunch</w:t>
            </w:r>
          </w:p>
        </w:tc>
        <w:tc>
          <w:tcPr>
            <w:tcW w:w="2325" w:type="dxa"/>
            <w:tcBorders>
              <w:top w:val="single" w:sz="4" w:space="0" w:color="000000"/>
              <w:left w:val="single" w:sz="4" w:space="0" w:color="000000"/>
              <w:bottom w:val="single" w:sz="4" w:space="0" w:color="000000"/>
              <w:right w:val="single" w:sz="4" w:space="0" w:color="000000"/>
            </w:tcBorders>
            <w:shd w:val="clear" w:color="auto" w:fill="D9D9D9"/>
          </w:tcPr>
          <w:p w14:paraId="479C62ED"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tc>
      </w:tr>
    </w:tbl>
    <w:p w14:paraId="77123414" w14:textId="77777777" w:rsidR="0084305F" w:rsidRPr="0084305F" w:rsidRDefault="0084305F" w:rsidP="0084305F">
      <w:pPr>
        <w:tabs>
          <w:tab w:val="clear" w:pos="709"/>
        </w:tabs>
        <w:snapToGrid/>
        <w:spacing w:after="160" w:line="259" w:lineRule="auto"/>
        <w:rPr>
          <w:rFonts w:ascii="Aptos" w:eastAsia="Aptos" w:hAnsi="Aptos" w:cs="Aptos"/>
          <w:snapToGrid/>
          <w:sz w:val="22"/>
          <w:szCs w:val="22"/>
          <w:lang w:val="en-US"/>
        </w:rPr>
      </w:pPr>
    </w:p>
    <w:tbl>
      <w:tblPr>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500"/>
        <w:gridCol w:w="5910"/>
        <w:gridCol w:w="2325"/>
      </w:tblGrid>
      <w:tr w:rsidR="0084305F" w:rsidRPr="0084305F" w14:paraId="2BD3F6E4" w14:textId="77777777" w:rsidTr="00493FEF">
        <w:trPr>
          <w:trHeight w:val="300"/>
          <w:jc w:val="center"/>
        </w:trPr>
        <w:tc>
          <w:tcPr>
            <w:tcW w:w="7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64DEFA"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5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CACC1B"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5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04CC85" w14:textId="77777777" w:rsidR="0084305F" w:rsidRPr="0084305F" w:rsidRDefault="0084305F" w:rsidP="0084305F">
            <w:pPr>
              <w:pBdr>
                <w:top w:val="nil"/>
                <w:left w:val="nil"/>
                <w:bottom w:val="nil"/>
                <w:right w:val="nil"/>
                <w:between w:val="nil"/>
              </w:pBdr>
              <w:tabs>
                <w:tab w:val="clear" w:pos="709"/>
              </w:tabs>
              <w:snapToGrid/>
              <w:ind w:left="720"/>
              <w:rPr>
                <w:rFonts w:ascii="Arial" w:eastAsia="Arial" w:hAnsi="Arial" w:cs="Arial"/>
                <w:b/>
                <w:snapToGrid/>
                <w:color w:val="000000"/>
                <w:sz w:val="20"/>
                <w:szCs w:val="20"/>
                <w:lang w:val="en-US"/>
              </w:rPr>
            </w:pPr>
          </w:p>
          <w:p w14:paraId="3E270AAB" w14:textId="77777777" w:rsidR="0084305F" w:rsidRPr="0084305F" w:rsidRDefault="0084305F" w:rsidP="0084305F">
            <w:pPr>
              <w:pBdr>
                <w:top w:val="nil"/>
                <w:left w:val="nil"/>
                <w:bottom w:val="nil"/>
                <w:right w:val="nil"/>
                <w:between w:val="nil"/>
              </w:pBdr>
              <w:tabs>
                <w:tab w:val="clear" w:pos="709"/>
              </w:tabs>
              <w:snapToGrid/>
              <w:ind w:left="720"/>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Planning for Ocean Decade (</w:t>
            </w:r>
            <w:proofErr w:type="spellStart"/>
            <w:r w:rsidRPr="0084305F">
              <w:rPr>
                <w:rFonts w:ascii="Arial" w:eastAsia="Arial" w:hAnsi="Arial" w:cs="Arial"/>
                <w:b/>
                <w:snapToGrid/>
                <w:color w:val="000000"/>
                <w:sz w:val="20"/>
                <w:szCs w:val="20"/>
                <w:lang w:val="en-US"/>
              </w:rPr>
              <w:t>Con’t</w:t>
            </w:r>
            <w:proofErr w:type="spellEnd"/>
            <w:r w:rsidRPr="0084305F">
              <w:rPr>
                <w:rFonts w:ascii="Arial" w:eastAsia="Arial" w:hAnsi="Arial" w:cs="Arial"/>
                <w:b/>
                <w:snapToGrid/>
                <w:color w:val="000000"/>
                <w:sz w:val="20"/>
                <w:szCs w:val="20"/>
                <w:lang w:val="en-US"/>
              </w:rPr>
              <w:t>)</w:t>
            </w:r>
          </w:p>
          <w:p w14:paraId="7AD121BA" w14:textId="77777777" w:rsidR="0084305F" w:rsidRPr="0084305F" w:rsidRDefault="0084305F" w:rsidP="0084305F">
            <w:pPr>
              <w:pBdr>
                <w:top w:val="nil"/>
                <w:left w:val="nil"/>
                <w:bottom w:val="nil"/>
                <w:right w:val="nil"/>
                <w:between w:val="nil"/>
              </w:pBdr>
              <w:tabs>
                <w:tab w:val="clear" w:pos="709"/>
              </w:tabs>
              <w:snapToGrid/>
              <w:ind w:left="720"/>
              <w:rPr>
                <w:rFonts w:ascii="Arial" w:eastAsia="Arial" w:hAnsi="Arial" w:cs="Arial"/>
                <w:b/>
                <w:snapToGrid/>
                <w:color w:val="000000"/>
                <w:sz w:val="20"/>
                <w:szCs w:val="20"/>
                <w:lang w:val="en-US"/>
              </w:rPr>
            </w:pPr>
          </w:p>
          <w:p w14:paraId="4407D415" w14:textId="77777777" w:rsidR="0084305F" w:rsidRPr="0084305F" w:rsidRDefault="0084305F" w:rsidP="0084305F">
            <w:pPr>
              <w:tabs>
                <w:tab w:val="clear" w:pos="709"/>
              </w:tabs>
              <w:snapToGrid/>
              <w:rPr>
                <w:rFonts w:ascii="Arial" w:eastAsia="Arial" w:hAnsi="Arial" w:cs="Arial"/>
                <w:b/>
                <w:i/>
                <w:snapToGrid/>
                <w:color w:val="000000"/>
                <w:sz w:val="20"/>
                <w:szCs w:val="20"/>
                <w:lang w:val="en-US"/>
              </w:rPr>
            </w:pPr>
          </w:p>
        </w:tc>
        <w:tc>
          <w:tcPr>
            <w:tcW w:w="2325" w:type="dxa"/>
            <w:tcBorders>
              <w:top w:val="single" w:sz="4" w:space="0" w:color="000000"/>
              <w:left w:val="single" w:sz="4" w:space="0" w:color="000000"/>
              <w:bottom w:val="single" w:sz="4" w:space="0" w:color="000000"/>
              <w:right w:val="single" w:sz="4" w:space="0" w:color="000000"/>
            </w:tcBorders>
            <w:shd w:val="clear" w:color="auto" w:fill="D9D9D9"/>
          </w:tcPr>
          <w:p w14:paraId="7B5FF8AD"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tc>
      </w:tr>
      <w:tr w:rsidR="0084305F" w:rsidRPr="0084305F" w14:paraId="6C765F8A" w14:textId="77777777" w:rsidTr="00493FEF">
        <w:trPr>
          <w:trHeight w:val="360"/>
          <w:jc w:val="center"/>
        </w:trPr>
        <w:tc>
          <w:tcPr>
            <w:tcW w:w="765" w:type="dxa"/>
            <w:tcBorders>
              <w:top w:val="single" w:sz="4" w:space="0" w:color="000000"/>
              <w:left w:val="single" w:sz="4" w:space="0" w:color="000000"/>
              <w:bottom w:val="single" w:sz="4" w:space="0" w:color="000000"/>
              <w:right w:val="single" w:sz="4" w:space="0" w:color="000000"/>
            </w:tcBorders>
            <w:vAlign w:val="center"/>
          </w:tcPr>
          <w:p w14:paraId="7DB34DFC"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2C3AF7C"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1430-1510</w:t>
            </w:r>
          </w:p>
        </w:tc>
        <w:tc>
          <w:tcPr>
            <w:tcW w:w="5910" w:type="dxa"/>
            <w:tcBorders>
              <w:top w:val="single" w:sz="4" w:space="0" w:color="000000"/>
              <w:left w:val="single" w:sz="4" w:space="0" w:color="000000"/>
              <w:bottom w:val="single" w:sz="4" w:space="0" w:color="000000"/>
              <w:right w:val="single" w:sz="4" w:space="0" w:color="000000"/>
            </w:tcBorders>
            <w:vAlign w:val="center"/>
          </w:tcPr>
          <w:p w14:paraId="08301A77"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4.5 Tsunami Ready Coalition</w:t>
            </w:r>
          </w:p>
        </w:tc>
        <w:tc>
          <w:tcPr>
            <w:tcW w:w="2325" w:type="dxa"/>
            <w:tcBorders>
              <w:top w:val="single" w:sz="4" w:space="0" w:color="000000"/>
              <w:left w:val="single" w:sz="4" w:space="0" w:color="000000"/>
              <w:bottom w:val="single" w:sz="4" w:space="0" w:color="000000"/>
              <w:right w:val="single" w:sz="4" w:space="0" w:color="000000"/>
            </w:tcBorders>
          </w:tcPr>
          <w:p w14:paraId="387408B8"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 xml:space="preserve">Laura </w:t>
            </w:r>
          </w:p>
          <w:p w14:paraId="567F4B3E"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tc>
      </w:tr>
      <w:tr w:rsidR="0084305F" w:rsidRPr="0084305F" w14:paraId="7740923F" w14:textId="77777777" w:rsidTr="00493FEF">
        <w:trPr>
          <w:trHeight w:val="600"/>
          <w:jc w:val="center"/>
        </w:trPr>
        <w:tc>
          <w:tcPr>
            <w:tcW w:w="765" w:type="dxa"/>
            <w:tcBorders>
              <w:top w:val="single" w:sz="4" w:space="0" w:color="000000"/>
              <w:left w:val="single" w:sz="4" w:space="0" w:color="000000"/>
              <w:bottom w:val="single" w:sz="4" w:space="0" w:color="000000"/>
              <w:right w:val="single" w:sz="4" w:space="0" w:color="000000"/>
            </w:tcBorders>
            <w:vAlign w:val="center"/>
          </w:tcPr>
          <w:p w14:paraId="143C1F0E"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180218B"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1510-1520</w:t>
            </w:r>
          </w:p>
        </w:tc>
        <w:tc>
          <w:tcPr>
            <w:tcW w:w="5910" w:type="dxa"/>
            <w:tcBorders>
              <w:top w:val="single" w:sz="4" w:space="0" w:color="000000"/>
              <w:left w:val="single" w:sz="4" w:space="0" w:color="000000"/>
              <w:bottom w:val="single" w:sz="4" w:space="0" w:color="000000"/>
              <w:right w:val="single" w:sz="4" w:space="0" w:color="000000"/>
            </w:tcBorders>
            <w:vAlign w:val="center"/>
          </w:tcPr>
          <w:p w14:paraId="0B93B9F3" w14:textId="77777777" w:rsidR="0084305F" w:rsidRPr="0084305F" w:rsidRDefault="0084305F" w:rsidP="0084305F">
            <w:pPr>
              <w:tabs>
                <w:tab w:val="clear" w:pos="709"/>
              </w:tabs>
              <w:snapToGrid/>
              <w:rPr>
                <w:rFonts w:ascii="Arial" w:eastAsia="Arial" w:hAnsi="Arial" w:cs="Arial"/>
                <w:snapToGrid/>
                <w:sz w:val="20"/>
                <w:szCs w:val="20"/>
                <w:lang w:val="en-US"/>
              </w:rPr>
            </w:pPr>
          </w:p>
          <w:p w14:paraId="3D515AB2" w14:textId="77777777" w:rsidR="0084305F" w:rsidRPr="0084305F" w:rsidRDefault="0084305F" w:rsidP="0084305F">
            <w:pPr>
              <w:tabs>
                <w:tab w:val="clear" w:pos="709"/>
              </w:tabs>
              <w:snapToGrid/>
              <w:rPr>
                <w:rFonts w:ascii="Arial" w:eastAsia="Arial" w:hAnsi="Arial" w:cs="Arial"/>
                <w:snapToGrid/>
                <w:sz w:val="20"/>
                <w:szCs w:val="20"/>
                <w:lang w:val="en-US"/>
              </w:rPr>
            </w:pPr>
            <w:r w:rsidRPr="0084305F">
              <w:rPr>
                <w:rFonts w:ascii="Arial" w:eastAsia="Arial" w:hAnsi="Arial" w:cs="Arial"/>
                <w:snapToGrid/>
                <w:sz w:val="20"/>
                <w:szCs w:val="20"/>
                <w:lang w:val="en-US"/>
              </w:rPr>
              <w:t>4.6 Online Coordination Webinar</w:t>
            </w:r>
          </w:p>
          <w:p w14:paraId="75113A13" w14:textId="77777777" w:rsidR="0084305F" w:rsidRPr="0084305F" w:rsidRDefault="0084305F" w:rsidP="0084305F">
            <w:pPr>
              <w:tabs>
                <w:tab w:val="clear" w:pos="709"/>
              </w:tabs>
              <w:snapToGrid/>
              <w:rPr>
                <w:rFonts w:ascii="Arial" w:eastAsia="Arial" w:hAnsi="Arial" w:cs="Arial"/>
                <w:b/>
                <w:i/>
                <w:snapToGrid/>
                <w:color w:val="000000"/>
                <w:sz w:val="20"/>
                <w:szCs w:val="20"/>
                <w:lang w:val="en-US"/>
              </w:rPr>
            </w:pPr>
          </w:p>
        </w:tc>
        <w:tc>
          <w:tcPr>
            <w:tcW w:w="2325" w:type="dxa"/>
            <w:tcBorders>
              <w:top w:val="single" w:sz="4" w:space="0" w:color="000000"/>
              <w:left w:val="single" w:sz="4" w:space="0" w:color="000000"/>
              <w:bottom w:val="single" w:sz="4" w:space="0" w:color="000000"/>
              <w:right w:val="single" w:sz="4" w:space="0" w:color="000000"/>
            </w:tcBorders>
          </w:tcPr>
          <w:p w14:paraId="30EDDBD2"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Bernardo</w:t>
            </w:r>
          </w:p>
          <w:p w14:paraId="3016D6F0"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tc>
      </w:tr>
      <w:tr w:rsidR="0084305F" w:rsidRPr="0084305F" w14:paraId="02E8048A" w14:textId="77777777" w:rsidTr="00493FEF">
        <w:trPr>
          <w:trHeight w:val="300"/>
          <w:jc w:val="center"/>
        </w:trPr>
        <w:tc>
          <w:tcPr>
            <w:tcW w:w="765" w:type="dxa"/>
            <w:tcBorders>
              <w:top w:val="single" w:sz="4" w:space="0" w:color="000000"/>
              <w:left w:val="single" w:sz="4" w:space="0" w:color="000000"/>
              <w:bottom w:val="single" w:sz="4" w:space="0" w:color="000000"/>
              <w:right w:val="single" w:sz="4" w:space="0" w:color="000000"/>
            </w:tcBorders>
            <w:vAlign w:val="center"/>
          </w:tcPr>
          <w:p w14:paraId="03376BA8"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029CDBF"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1520-1530</w:t>
            </w:r>
          </w:p>
        </w:tc>
        <w:tc>
          <w:tcPr>
            <w:tcW w:w="5910" w:type="dxa"/>
            <w:tcBorders>
              <w:top w:val="single" w:sz="4" w:space="0" w:color="000000"/>
              <w:left w:val="single" w:sz="4" w:space="0" w:color="000000"/>
              <w:bottom w:val="single" w:sz="4" w:space="0" w:color="000000"/>
              <w:right w:val="single" w:sz="4" w:space="0" w:color="000000"/>
            </w:tcBorders>
            <w:vAlign w:val="center"/>
          </w:tcPr>
          <w:p w14:paraId="5EC6D754" w14:textId="77777777" w:rsidR="0084305F" w:rsidRPr="0084305F" w:rsidRDefault="0084305F" w:rsidP="0084305F">
            <w:pPr>
              <w:tabs>
                <w:tab w:val="clear" w:pos="709"/>
              </w:tabs>
              <w:snapToGrid/>
              <w:rPr>
                <w:rFonts w:ascii="Arial" w:eastAsia="Arial" w:hAnsi="Arial" w:cs="Arial"/>
                <w:snapToGrid/>
                <w:sz w:val="20"/>
                <w:szCs w:val="20"/>
                <w:lang w:val="en-US"/>
              </w:rPr>
            </w:pPr>
          </w:p>
          <w:p w14:paraId="0D3F922C" w14:textId="77777777" w:rsidR="0084305F" w:rsidRPr="0084305F" w:rsidRDefault="0084305F" w:rsidP="0084305F">
            <w:pPr>
              <w:tabs>
                <w:tab w:val="clear" w:pos="709"/>
              </w:tabs>
              <w:snapToGrid/>
              <w:rPr>
                <w:rFonts w:ascii="Arial" w:eastAsia="Arial" w:hAnsi="Arial" w:cs="Arial"/>
                <w:snapToGrid/>
                <w:sz w:val="20"/>
                <w:szCs w:val="20"/>
                <w:lang w:val="en-US"/>
              </w:rPr>
            </w:pPr>
            <w:r w:rsidRPr="0084305F">
              <w:rPr>
                <w:rFonts w:ascii="Arial" w:eastAsia="Arial" w:hAnsi="Arial" w:cs="Arial"/>
                <w:snapToGrid/>
                <w:sz w:val="20"/>
                <w:szCs w:val="20"/>
                <w:lang w:val="en-US"/>
              </w:rPr>
              <w:t>4.7 Roles for TT TWO and TT DMP</w:t>
            </w:r>
          </w:p>
          <w:p w14:paraId="5AD75156" w14:textId="77777777" w:rsidR="0084305F" w:rsidRPr="0084305F" w:rsidRDefault="0084305F" w:rsidP="0084305F">
            <w:pPr>
              <w:tabs>
                <w:tab w:val="clear" w:pos="709"/>
              </w:tabs>
              <w:snapToGrid/>
              <w:rPr>
                <w:rFonts w:ascii="Arial" w:eastAsia="Arial" w:hAnsi="Arial" w:cs="Arial"/>
                <w:b/>
                <w:i/>
                <w:snapToGrid/>
                <w:color w:val="000000"/>
                <w:sz w:val="20"/>
                <w:szCs w:val="20"/>
                <w:lang w:val="en-US"/>
              </w:rPr>
            </w:pPr>
          </w:p>
        </w:tc>
        <w:tc>
          <w:tcPr>
            <w:tcW w:w="2325" w:type="dxa"/>
            <w:tcBorders>
              <w:top w:val="single" w:sz="4" w:space="0" w:color="000000"/>
              <w:left w:val="single" w:sz="4" w:space="0" w:color="000000"/>
              <w:bottom w:val="single" w:sz="4" w:space="0" w:color="000000"/>
              <w:right w:val="single" w:sz="4" w:space="0" w:color="000000"/>
            </w:tcBorders>
          </w:tcPr>
          <w:p w14:paraId="115848A8"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All</w:t>
            </w:r>
          </w:p>
        </w:tc>
      </w:tr>
      <w:tr w:rsidR="0084305F" w:rsidRPr="0084305F" w14:paraId="00122F7E" w14:textId="77777777" w:rsidTr="00493FEF">
        <w:trPr>
          <w:trHeight w:val="420"/>
          <w:jc w:val="center"/>
        </w:trPr>
        <w:tc>
          <w:tcPr>
            <w:tcW w:w="765" w:type="dxa"/>
            <w:tcBorders>
              <w:top w:val="single" w:sz="4" w:space="0" w:color="000000"/>
              <w:left w:val="single" w:sz="4" w:space="0" w:color="000000"/>
              <w:bottom w:val="single" w:sz="4" w:space="0" w:color="000000"/>
              <w:right w:val="single" w:sz="4" w:space="0" w:color="000000"/>
            </w:tcBorders>
            <w:vAlign w:val="center"/>
          </w:tcPr>
          <w:p w14:paraId="1A02DBC1"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AB548BD"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1530-1600</w:t>
            </w:r>
          </w:p>
        </w:tc>
        <w:tc>
          <w:tcPr>
            <w:tcW w:w="5910" w:type="dxa"/>
            <w:tcBorders>
              <w:top w:val="single" w:sz="4" w:space="0" w:color="000000"/>
              <w:left w:val="single" w:sz="4" w:space="0" w:color="000000"/>
              <w:bottom w:val="single" w:sz="4" w:space="0" w:color="000000"/>
              <w:right w:val="single" w:sz="4" w:space="0" w:color="000000"/>
            </w:tcBorders>
            <w:vAlign w:val="center"/>
          </w:tcPr>
          <w:p w14:paraId="17B47266" w14:textId="77777777" w:rsidR="0084305F" w:rsidRPr="0084305F" w:rsidRDefault="0084305F" w:rsidP="0084305F">
            <w:pPr>
              <w:pBdr>
                <w:top w:val="nil"/>
                <w:left w:val="nil"/>
                <w:bottom w:val="nil"/>
                <w:right w:val="nil"/>
                <w:between w:val="nil"/>
              </w:pBdr>
              <w:tabs>
                <w:tab w:val="clear" w:pos="709"/>
              </w:tabs>
              <w:snapToGrid/>
              <w:ind w:left="1080"/>
              <w:rPr>
                <w:rFonts w:ascii="Arial" w:eastAsia="Arial" w:hAnsi="Arial" w:cs="Arial"/>
                <w:b/>
                <w:i/>
                <w:snapToGrid/>
                <w:color w:val="000000"/>
                <w:sz w:val="20"/>
                <w:szCs w:val="20"/>
                <w:lang w:val="en-US"/>
              </w:rPr>
            </w:pPr>
            <w:r w:rsidRPr="0084305F">
              <w:rPr>
                <w:rFonts w:ascii="Arial" w:eastAsia="Arial" w:hAnsi="Arial" w:cs="Arial"/>
                <w:b/>
                <w:i/>
                <w:snapToGrid/>
                <w:color w:val="000000"/>
                <w:sz w:val="20"/>
                <w:szCs w:val="20"/>
                <w:lang w:val="en-US"/>
              </w:rPr>
              <w:t>Break</w:t>
            </w:r>
          </w:p>
        </w:tc>
        <w:tc>
          <w:tcPr>
            <w:tcW w:w="2325" w:type="dxa"/>
            <w:tcBorders>
              <w:top w:val="single" w:sz="4" w:space="0" w:color="000000"/>
              <w:left w:val="single" w:sz="4" w:space="0" w:color="000000"/>
              <w:bottom w:val="single" w:sz="4" w:space="0" w:color="000000"/>
              <w:right w:val="single" w:sz="4" w:space="0" w:color="000000"/>
            </w:tcBorders>
          </w:tcPr>
          <w:p w14:paraId="009570BA"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tc>
      </w:tr>
      <w:tr w:rsidR="0084305F" w:rsidRPr="0084305F" w14:paraId="10154EC7" w14:textId="77777777" w:rsidTr="00493FEF">
        <w:trPr>
          <w:trHeight w:val="857"/>
          <w:jc w:val="center"/>
        </w:trPr>
        <w:tc>
          <w:tcPr>
            <w:tcW w:w="765" w:type="dxa"/>
            <w:tcBorders>
              <w:top w:val="single" w:sz="4" w:space="0" w:color="000000"/>
              <w:left w:val="single" w:sz="4" w:space="0" w:color="000000"/>
              <w:bottom w:val="single" w:sz="4" w:space="0" w:color="000000"/>
              <w:right w:val="single" w:sz="4" w:space="0" w:color="000000"/>
            </w:tcBorders>
            <w:vAlign w:val="center"/>
          </w:tcPr>
          <w:p w14:paraId="54B4B6C9" w14:textId="77777777" w:rsidR="0084305F" w:rsidRPr="0084305F" w:rsidRDefault="0084305F" w:rsidP="0084305F">
            <w:pPr>
              <w:tabs>
                <w:tab w:val="clear" w:pos="709"/>
              </w:tabs>
              <w:snapToGrid/>
              <w:ind w:left="13"/>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6</w:t>
            </w:r>
          </w:p>
        </w:tc>
        <w:tc>
          <w:tcPr>
            <w:tcW w:w="1500" w:type="dxa"/>
            <w:tcBorders>
              <w:top w:val="single" w:sz="4" w:space="0" w:color="000000"/>
              <w:left w:val="single" w:sz="4" w:space="0" w:color="000000"/>
              <w:bottom w:val="single" w:sz="4" w:space="0" w:color="000000"/>
              <w:right w:val="single" w:sz="4" w:space="0" w:color="000000"/>
            </w:tcBorders>
            <w:vAlign w:val="center"/>
          </w:tcPr>
          <w:p w14:paraId="33D52355"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1600-1630</w:t>
            </w:r>
          </w:p>
        </w:tc>
        <w:tc>
          <w:tcPr>
            <w:tcW w:w="5910" w:type="dxa"/>
            <w:tcBorders>
              <w:top w:val="single" w:sz="4" w:space="0" w:color="000000"/>
              <w:left w:val="single" w:sz="4" w:space="0" w:color="000000"/>
              <w:bottom w:val="single" w:sz="4" w:space="0" w:color="000000"/>
              <w:right w:val="single" w:sz="4" w:space="0" w:color="000000"/>
            </w:tcBorders>
            <w:vAlign w:val="center"/>
          </w:tcPr>
          <w:p w14:paraId="12B94D32" w14:textId="77777777" w:rsidR="0084305F" w:rsidRPr="0084305F" w:rsidRDefault="0084305F" w:rsidP="0084305F">
            <w:pPr>
              <w:numPr>
                <w:ilvl w:val="0"/>
                <w:numId w:val="150"/>
              </w:numPr>
              <w:pBdr>
                <w:top w:val="nil"/>
                <w:left w:val="nil"/>
                <w:bottom w:val="nil"/>
                <w:right w:val="nil"/>
                <w:between w:val="nil"/>
              </w:pBdr>
              <w:tabs>
                <w:tab w:val="clear" w:pos="709"/>
              </w:tabs>
              <w:snapToGrid/>
              <w:spacing w:after="160" w:line="259" w:lineRule="auto"/>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Update on PTWS NTWC Competency Framework and Development of Global Framework</w:t>
            </w:r>
          </w:p>
        </w:tc>
        <w:tc>
          <w:tcPr>
            <w:tcW w:w="2325" w:type="dxa"/>
            <w:tcBorders>
              <w:top w:val="single" w:sz="4" w:space="0" w:color="000000"/>
              <w:left w:val="single" w:sz="4" w:space="0" w:color="000000"/>
              <w:bottom w:val="single" w:sz="4" w:space="0" w:color="000000"/>
              <w:right w:val="single" w:sz="4" w:space="0" w:color="000000"/>
            </w:tcBorders>
          </w:tcPr>
          <w:p w14:paraId="69D33E6B"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 xml:space="preserve">Laura </w:t>
            </w:r>
          </w:p>
          <w:p w14:paraId="680E851B" w14:textId="77777777" w:rsidR="0084305F" w:rsidRPr="0084305F" w:rsidRDefault="0084305F" w:rsidP="0084305F">
            <w:pPr>
              <w:tabs>
                <w:tab w:val="clear" w:pos="709"/>
              </w:tabs>
              <w:snapToGrid/>
              <w:ind w:left="2"/>
              <w:rPr>
                <w:rFonts w:ascii="Arial" w:eastAsia="Arial" w:hAnsi="Arial" w:cs="Arial"/>
                <w:snapToGrid/>
                <w:color w:val="000000"/>
                <w:sz w:val="20"/>
                <w:szCs w:val="20"/>
                <w:lang w:val="en-US"/>
              </w:rPr>
            </w:pPr>
            <w:r w:rsidRPr="0084305F">
              <w:rPr>
                <w:rFonts w:ascii="Arial" w:eastAsia="Arial" w:hAnsi="Arial" w:cs="Arial"/>
                <w:snapToGrid/>
                <w:color w:val="0070C0"/>
                <w:sz w:val="20"/>
                <w:szCs w:val="20"/>
                <w:lang w:val="en-US"/>
              </w:rPr>
              <w:t>[Nishimae to chair 5, 6. and 7. Ocal Secretariat for summary report]</w:t>
            </w:r>
          </w:p>
        </w:tc>
      </w:tr>
      <w:tr w:rsidR="0084305F" w:rsidRPr="0084305F" w14:paraId="30959C8F" w14:textId="77777777" w:rsidTr="00493FEF">
        <w:trPr>
          <w:trHeight w:val="512"/>
          <w:jc w:val="center"/>
        </w:trPr>
        <w:tc>
          <w:tcPr>
            <w:tcW w:w="765" w:type="dxa"/>
            <w:tcBorders>
              <w:top w:val="single" w:sz="4" w:space="0" w:color="000000"/>
              <w:left w:val="single" w:sz="4" w:space="0" w:color="000000"/>
              <w:bottom w:val="single" w:sz="4" w:space="0" w:color="000000"/>
              <w:right w:val="single" w:sz="4" w:space="0" w:color="000000"/>
            </w:tcBorders>
            <w:vAlign w:val="center"/>
          </w:tcPr>
          <w:p w14:paraId="1C7BE656" w14:textId="77777777" w:rsidR="0084305F" w:rsidRPr="0084305F" w:rsidRDefault="0084305F" w:rsidP="0084305F">
            <w:pPr>
              <w:tabs>
                <w:tab w:val="clear" w:pos="709"/>
              </w:tabs>
              <w:snapToGrid/>
              <w:ind w:left="13"/>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7</w:t>
            </w:r>
          </w:p>
        </w:tc>
        <w:tc>
          <w:tcPr>
            <w:tcW w:w="1500" w:type="dxa"/>
            <w:tcBorders>
              <w:top w:val="single" w:sz="4" w:space="0" w:color="000000"/>
              <w:left w:val="single" w:sz="4" w:space="0" w:color="000000"/>
              <w:bottom w:val="single" w:sz="4" w:space="0" w:color="000000"/>
              <w:right w:val="single" w:sz="4" w:space="0" w:color="000000"/>
            </w:tcBorders>
            <w:vAlign w:val="center"/>
          </w:tcPr>
          <w:p w14:paraId="58403401"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1630-1640</w:t>
            </w:r>
          </w:p>
        </w:tc>
        <w:tc>
          <w:tcPr>
            <w:tcW w:w="5910" w:type="dxa"/>
            <w:tcBorders>
              <w:top w:val="single" w:sz="4" w:space="0" w:color="000000"/>
              <w:left w:val="single" w:sz="4" w:space="0" w:color="000000"/>
              <w:bottom w:val="single" w:sz="4" w:space="0" w:color="000000"/>
              <w:right w:val="single" w:sz="4" w:space="0" w:color="000000"/>
            </w:tcBorders>
            <w:vAlign w:val="center"/>
          </w:tcPr>
          <w:p w14:paraId="3217DE22" w14:textId="77777777" w:rsidR="0084305F" w:rsidRPr="0084305F" w:rsidRDefault="0084305F" w:rsidP="0084305F">
            <w:pPr>
              <w:numPr>
                <w:ilvl w:val="0"/>
                <w:numId w:val="150"/>
              </w:numPr>
              <w:pBdr>
                <w:top w:val="nil"/>
                <w:left w:val="nil"/>
                <w:bottom w:val="nil"/>
                <w:right w:val="nil"/>
                <w:between w:val="nil"/>
              </w:pBdr>
              <w:tabs>
                <w:tab w:val="clear" w:pos="709"/>
              </w:tabs>
              <w:snapToGrid/>
              <w:spacing w:after="160" w:line="259" w:lineRule="auto"/>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Tsunami Glossary Update</w:t>
            </w:r>
          </w:p>
        </w:tc>
        <w:tc>
          <w:tcPr>
            <w:tcW w:w="2325" w:type="dxa"/>
            <w:tcBorders>
              <w:top w:val="single" w:sz="4" w:space="0" w:color="000000"/>
              <w:left w:val="single" w:sz="4" w:space="0" w:color="000000"/>
              <w:bottom w:val="single" w:sz="4" w:space="0" w:color="000000"/>
              <w:right w:val="single" w:sz="4" w:space="0" w:color="000000"/>
            </w:tcBorders>
          </w:tcPr>
          <w:p w14:paraId="58B19B09" w14:textId="77777777" w:rsidR="0084305F" w:rsidRPr="0084305F" w:rsidRDefault="0084305F" w:rsidP="0084305F">
            <w:pPr>
              <w:tabs>
                <w:tab w:val="clear" w:pos="709"/>
              </w:tabs>
              <w:snapToGrid/>
              <w:ind w:left="7"/>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 xml:space="preserve">Laura </w:t>
            </w:r>
          </w:p>
        </w:tc>
      </w:tr>
      <w:tr w:rsidR="0084305F" w:rsidRPr="0084305F" w14:paraId="5FE90EAE" w14:textId="77777777" w:rsidTr="00493FEF">
        <w:trPr>
          <w:trHeight w:val="674"/>
          <w:jc w:val="center"/>
        </w:trPr>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3F030"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26444"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1640-1650</w:t>
            </w:r>
          </w:p>
        </w:tc>
        <w:tc>
          <w:tcPr>
            <w:tcW w:w="59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D3DE0" w14:textId="77777777" w:rsidR="0084305F" w:rsidRPr="0084305F" w:rsidRDefault="0084305F" w:rsidP="0084305F">
            <w:pPr>
              <w:numPr>
                <w:ilvl w:val="0"/>
                <w:numId w:val="150"/>
              </w:numPr>
              <w:pBdr>
                <w:top w:val="nil"/>
                <w:left w:val="nil"/>
                <w:bottom w:val="nil"/>
                <w:right w:val="nil"/>
                <w:between w:val="nil"/>
              </w:pBdr>
              <w:tabs>
                <w:tab w:val="clear" w:pos="709"/>
              </w:tabs>
              <w:snapToGrid/>
              <w:spacing w:after="160" w:line="259" w:lineRule="auto"/>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IUGG update</w:t>
            </w:r>
          </w:p>
        </w:tc>
        <w:tc>
          <w:tcPr>
            <w:tcW w:w="2325" w:type="dxa"/>
            <w:tcBorders>
              <w:top w:val="single" w:sz="4" w:space="0" w:color="000000"/>
              <w:left w:val="single" w:sz="4" w:space="0" w:color="000000"/>
              <w:bottom w:val="single" w:sz="4" w:space="0" w:color="000000"/>
              <w:right w:val="single" w:sz="4" w:space="0" w:color="000000"/>
            </w:tcBorders>
            <w:shd w:val="clear" w:color="auto" w:fill="FFFFFF"/>
          </w:tcPr>
          <w:p w14:paraId="070B848F"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Laura /IUGG Officers</w:t>
            </w:r>
          </w:p>
        </w:tc>
      </w:tr>
      <w:tr w:rsidR="0084305F" w:rsidRPr="0084305F" w14:paraId="6DA8C744" w14:textId="77777777" w:rsidTr="00493FEF">
        <w:trPr>
          <w:trHeight w:val="483"/>
          <w:jc w:val="center"/>
        </w:trPr>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513EA"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99E4D"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1650-1705</w:t>
            </w:r>
          </w:p>
        </w:tc>
        <w:tc>
          <w:tcPr>
            <w:tcW w:w="59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A9C7A" w14:textId="77777777" w:rsidR="0084305F" w:rsidRPr="0084305F" w:rsidRDefault="0084305F" w:rsidP="0084305F">
            <w:pPr>
              <w:numPr>
                <w:ilvl w:val="0"/>
                <w:numId w:val="150"/>
              </w:numPr>
              <w:pBdr>
                <w:top w:val="nil"/>
                <w:left w:val="nil"/>
                <w:bottom w:val="nil"/>
                <w:right w:val="nil"/>
                <w:between w:val="nil"/>
              </w:pBdr>
              <w:tabs>
                <w:tab w:val="clear" w:pos="709"/>
              </w:tabs>
              <w:snapToGrid/>
              <w:spacing w:after="160" w:line="259" w:lineRule="auto"/>
              <w:rPr>
                <w:rFonts w:ascii="Arial" w:eastAsia="Arial" w:hAnsi="Arial" w:cs="Arial"/>
                <w:snapToGrid/>
                <w:color w:val="000000"/>
                <w:sz w:val="20"/>
                <w:szCs w:val="20"/>
                <w:lang w:val="en-US"/>
              </w:rPr>
            </w:pPr>
            <w:r w:rsidRPr="0084305F">
              <w:rPr>
                <w:rFonts w:ascii="Arial" w:eastAsia="Arial" w:hAnsi="Arial" w:cs="Arial"/>
                <w:b/>
                <w:snapToGrid/>
                <w:color w:val="000000"/>
                <w:sz w:val="20"/>
                <w:szCs w:val="20"/>
                <w:lang w:val="en-US"/>
              </w:rPr>
              <w:t xml:space="preserve">Update UN Sec General “Early Warnings </w:t>
            </w:r>
            <w:proofErr w:type="gramStart"/>
            <w:r w:rsidRPr="0084305F">
              <w:rPr>
                <w:rFonts w:ascii="Arial" w:eastAsia="Arial" w:hAnsi="Arial" w:cs="Arial"/>
                <w:b/>
                <w:snapToGrid/>
                <w:color w:val="000000"/>
                <w:sz w:val="20"/>
                <w:szCs w:val="20"/>
                <w:lang w:val="en-US"/>
              </w:rPr>
              <w:t>For</w:t>
            </w:r>
            <w:proofErr w:type="gramEnd"/>
            <w:r w:rsidRPr="0084305F">
              <w:rPr>
                <w:rFonts w:ascii="Arial" w:eastAsia="Arial" w:hAnsi="Arial" w:cs="Arial"/>
                <w:b/>
                <w:snapToGrid/>
                <w:color w:val="000000"/>
                <w:sz w:val="20"/>
                <w:szCs w:val="20"/>
                <w:lang w:val="en-US"/>
              </w:rPr>
              <w:t xml:space="preserve"> All” Initiative and 8</w:t>
            </w:r>
            <w:r w:rsidRPr="0084305F">
              <w:rPr>
                <w:rFonts w:ascii="Arial" w:eastAsia="Arial" w:hAnsi="Arial" w:cs="Arial"/>
                <w:b/>
                <w:snapToGrid/>
                <w:color w:val="000000"/>
                <w:sz w:val="20"/>
                <w:szCs w:val="20"/>
                <w:vertAlign w:val="superscript"/>
                <w:lang w:val="en-US"/>
              </w:rPr>
              <w:t>th</w:t>
            </w:r>
            <w:r w:rsidRPr="0084305F">
              <w:rPr>
                <w:rFonts w:ascii="Arial" w:eastAsia="Arial" w:hAnsi="Arial" w:cs="Arial"/>
                <w:b/>
                <w:snapToGrid/>
                <w:color w:val="000000"/>
                <w:sz w:val="20"/>
                <w:szCs w:val="20"/>
                <w:lang w:val="en-US"/>
              </w:rPr>
              <w:t xml:space="preserve"> GPDRR</w:t>
            </w:r>
          </w:p>
        </w:tc>
        <w:tc>
          <w:tcPr>
            <w:tcW w:w="2325" w:type="dxa"/>
            <w:tcBorders>
              <w:top w:val="single" w:sz="4" w:space="0" w:color="000000"/>
              <w:left w:val="single" w:sz="4" w:space="0" w:color="000000"/>
              <w:bottom w:val="single" w:sz="4" w:space="0" w:color="000000"/>
              <w:right w:val="single" w:sz="4" w:space="0" w:color="000000"/>
            </w:tcBorders>
            <w:shd w:val="clear" w:color="auto" w:fill="FFFFFF"/>
          </w:tcPr>
          <w:p w14:paraId="7CD1F079" w14:textId="77777777" w:rsidR="0084305F" w:rsidRPr="0084305F" w:rsidRDefault="0084305F" w:rsidP="0084305F">
            <w:pPr>
              <w:tabs>
                <w:tab w:val="clear" w:pos="709"/>
              </w:tabs>
              <w:snapToGrid/>
              <w:ind w:left="7" w:right="775"/>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Denis</w:t>
            </w:r>
            <w:r w:rsidRPr="0084305F">
              <w:rPr>
                <w:rFonts w:ascii="Arial" w:eastAsia="Arial" w:hAnsi="Arial" w:cs="Arial"/>
                <w:snapToGrid/>
                <w:sz w:val="22"/>
                <w:szCs w:val="22"/>
                <w:lang w:val="en-US"/>
              </w:rPr>
              <w:br/>
            </w:r>
            <w:r w:rsidRPr="0084305F">
              <w:rPr>
                <w:rFonts w:ascii="Arial" w:eastAsia="Arial" w:hAnsi="Arial" w:cs="Arial"/>
                <w:snapToGrid/>
                <w:color w:val="000000"/>
                <w:sz w:val="20"/>
                <w:szCs w:val="20"/>
                <w:lang w:val="en-US"/>
              </w:rPr>
              <w:t xml:space="preserve">Bernardo </w:t>
            </w:r>
            <w:r w:rsidRPr="0084305F">
              <w:rPr>
                <w:rFonts w:ascii="Arial" w:eastAsia="Arial" w:hAnsi="Arial" w:cs="Arial"/>
                <w:snapToGrid/>
                <w:sz w:val="22"/>
                <w:szCs w:val="22"/>
                <w:lang w:val="en-US"/>
              </w:rPr>
              <w:br/>
            </w:r>
            <w:r w:rsidRPr="0084305F">
              <w:rPr>
                <w:rFonts w:ascii="Arial" w:eastAsia="Arial" w:hAnsi="Arial" w:cs="Arial"/>
                <w:snapToGrid/>
                <w:color w:val="000000"/>
                <w:sz w:val="20"/>
                <w:szCs w:val="20"/>
                <w:lang w:val="en-US"/>
              </w:rPr>
              <w:t>Ocal /WMO, UNDRR</w:t>
            </w:r>
          </w:p>
          <w:p w14:paraId="1D035156" w14:textId="77777777" w:rsidR="0084305F" w:rsidRPr="0084305F" w:rsidRDefault="0084305F" w:rsidP="0084305F">
            <w:pPr>
              <w:tabs>
                <w:tab w:val="clear" w:pos="709"/>
              </w:tabs>
              <w:snapToGrid/>
              <w:ind w:left="7" w:right="775"/>
              <w:rPr>
                <w:rFonts w:ascii="Arial" w:eastAsia="Arial" w:hAnsi="Arial" w:cs="Arial"/>
                <w:snapToGrid/>
                <w:color w:val="000000"/>
                <w:sz w:val="20"/>
                <w:szCs w:val="20"/>
                <w:lang w:val="en-US"/>
              </w:rPr>
            </w:pPr>
            <w:r w:rsidRPr="0084305F">
              <w:rPr>
                <w:rFonts w:ascii="Arial" w:eastAsia="Arial" w:hAnsi="Arial" w:cs="Arial"/>
                <w:snapToGrid/>
                <w:color w:val="0070C0"/>
                <w:sz w:val="20"/>
                <w:szCs w:val="20"/>
                <w:lang w:val="en-US"/>
              </w:rPr>
              <w:t>Harkunti Chair for 8.0 and Denis Secretariat support to prepare summary report]</w:t>
            </w:r>
          </w:p>
          <w:p w14:paraId="235421FE" w14:textId="77777777" w:rsidR="0084305F" w:rsidRPr="0084305F" w:rsidRDefault="0084305F" w:rsidP="0084305F">
            <w:pPr>
              <w:tabs>
                <w:tab w:val="clear" w:pos="709"/>
              </w:tabs>
              <w:snapToGrid/>
              <w:ind w:left="7" w:right="775"/>
              <w:rPr>
                <w:rFonts w:ascii="Arial" w:eastAsia="Arial" w:hAnsi="Arial" w:cs="Arial"/>
                <w:snapToGrid/>
                <w:color w:val="000000"/>
                <w:sz w:val="20"/>
                <w:szCs w:val="20"/>
                <w:lang w:val="en-US"/>
              </w:rPr>
            </w:pPr>
          </w:p>
        </w:tc>
      </w:tr>
      <w:tr w:rsidR="0084305F" w:rsidRPr="0084305F" w14:paraId="7A103CBB" w14:textId="77777777" w:rsidTr="00493FEF">
        <w:trPr>
          <w:trHeight w:val="483"/>
          <w:jc w:val="center"/>
        </w:trPr>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16C2B"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FA031"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1705-1300</w:t>
            </w:r>
          </w:p>
        </w:tc>
        <w:tc>
          <w:tcPr>
            <w:tcW w:w="59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120F0" w14:textId="77777777" w:rsidR="0084305F" w:rsidRPr="0084305F" w:rsidRDefault="0084305F" w:rsidP="0084305F">
            <w:pPr>
              <w:pBdr>
                <w:top w:val="nil"/>
                <w:left w:val="nil"/>
                <w:bottom w:val="nil"/>
                <w:right w:val="nil"/>
                <w:between w:val="nil"/>
              </w:pBdr>
              <w:tabs>
                <w:tab w:val="clear" w:pos="709"/>
              </w:tabs>
              <w:snapToGrid/>
              <w:ind w:left="720"/>
              <w:rPr>
                <w:rFonts w:ascii="Arial" w:eastAsia="Arial" w:hAnsi="Arial" w:cs="Arial"/>
                <w:b/>
                <w:snapToGrid/>
                <w:color w:val="000000"/>
                <w:sz w:val="20"/>
                <w:szCs w:val="20"/>
                <w:lang w:val="en-US"/>
              </w:rPr>
            </w:pPr>
          </w:p>
          <w:p w14:paraId="33996650" w14:textId="77777777" w:rsidR="0084305F" w:rsidRPr="0084305F" w:rsidRDefault="0084305F" w:rsidP="0084305F">
            <w:pPr>
              <w:numPr>
                <w:ilvl w:val="0"/>
                <w:numId w:val="150"/>
              </w:numPr>
              <w:pBdr>
                <w:top w:val="nil"/>
                <w:left w:val="nil"/>
                <w:bottom w:val="nil"/>
                <w:right w:val="nil"/>
                <w:between w:val="nil"/>
              </w:pBdr>
              <w:tabs>
                <w:tab w:val="clear" w:pos="709"/>
              </w:tabs>
              <w:snapToGrid/>
              <w:spacing w:after="160" w:line="259" w:lineRule="auto"/>
              <w:rPr>
                <w:rFonts w:ascii="Arial" w:eastAsia="Arial" w:hAnsi="Arial" w:cs="Arial"/>
                <w:b/>
                <w:snapToGrid/>
                <w:color w:val="000000"/>
                <w:sz w:val="20"/>
                <w:szCs w:val="20"/>
                <w:lang w:val="en-US"/>
              </w:rPr>
            </w:pPr>
            <w:r w:rsidRPr="0084305F">
              <w:rPr>
                <w:rFonts w:ascii="Arial" w:eastAsia="Arial" w:hAnsi="Arial" w:cs="Arial"/>
                <w:b/>
                <w:snapToGrid/>
                <w:color w:val="000000"/>
                <w:sz w:val="20"/>
                <w:szCs w:val="20"/>
                <w:lang w:val="en-US"/>
              </w:rPr>
              <w:t>Review of Outcomes from the 2nd Global Tsunami Symposium in Indonesia in November 2024</w:t>
            </w:r>
          </w:p>
        </w:tc>
        <w:tc>
          <w:tcPr>
            <w:tcW w:w="2325" w:type="dxa"/>
            <w:tcBorders>
              <w:top w:val="single" w:sz="4" w:space="0" w:color="000000"/>
              <w:left w:val="single" w:sz="4" w:space="0" w:color="000000"/>
              <w:bottom w:val="single" w:sz="4" w:space="0" w:color="000000"/>
              <w:right w:val="single" w:sz="4" w:space="0" w:color="000000"/>
            </w:tcBorders>
            <w:shd w:val="clear" w:color="auto" w:fill="FFFFFF"/>
          </w:tcPr>
          <w:p w14:paraId="1EF6DDB6"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p w14:paraId="7FA45000"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Bernardo &amp; Harkunti</w:t>
            </w:r>
          </w:p>
          <w:p w14:paraId="5D9E1BBD"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r w:rsidRPr="0084305F">
              <w:rPr>
                <w:rFonts w:ascii="Arial" w:eastAsia="Arial" w:hAnsi="Arial" w:cs="Arial"/>
                <w:snapToGrid/>
                <w:color w:val="0070C0"/>
                <w:sz w:val="20"/>
                <w:szCs w:val="20"/>
                <w:lang w:val="en-US"/>
              </w:rPr>
              <w:t>[Nishimae to chair 9. Ocal Secretariat for summary report]</w:t>
            </w:r>
          </w:p>
          <w:p w14:paraId="159B18B9"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tc>
      </w:tr>
      <w:tr w:rsidR="0084305F" w:rsidRPr="0084305F" w14:paraId="1E2347FC" w14:textId="77777777" w:rsidTr="00493FEF">
        <w:trPr>
          <w:trHeight w:val="483"/>
          <w:jc w:val="center"/>
        </w:trPr>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F6D5BB"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25441"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59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71BFA" w14:textId="77777777" w:rsidR="0084305F" w:rsidRPr="0084305F" w:rsidRDefault="0084305F" w:rsidP="0084305F">
            <w:pPr>
              <w:tabs>
                <w:tab w:val="clear" w:pos="709"/>
              </w:tabs>
              <w:snapToGrid/>
              <w:ind w:left="130"/>
              <w:rPr>
                <w:rFonts w:ascii="Arial" w:eastAsia="Arial" w:hAnsi="Arial" w:cs="Arial"/>
                <w:snapToGrid/>
                <w:color w:val="000000"/>
                <w:sz w:val="20"/>
                <w:szCs w:val="20"/>
                <w:lang w:val="en-US"/>
              </w:rPr>
            </w:pPr>
          </w:p>
          <w:p w14:paraId="599921E8" w14:textId="77777777" w:rsidR="0084305F" w:rsidRPr="0084305F" w:rsidRDefault="0084305F" w:rsidP="0084305F">
            <w:pPr>
              <w:tabs>
                <w:tab w:val="clear" w:pos="709"/>
              </w:tabs>
              <w:snapToGrid/>
              <w:ind w:left="130"/>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END OF TOWS JOINT TASK TEAM MEETING</w:t>
            </w:r>
          </w:p>
        </w:tc>
        <w:tc>
          <w:tcPr>
            <w:tcW w:w="2325" w:type="dxa"/>
            <w:tcBorders>
              <w:top w:val="single" w:sz="4" w:space="0" w:color="000000"/>
              <w:left w:val="single" w:sz="4" w:space="0" w:color="000000"/>
              <w:bottom w:val="single" w:sz="4" w:space="0" w:color="000000"/>
              <w:right w:val="single" w:sz="4" w:space="0" w:color="000000"/>
            </w:tcBorders>
            <w:shd w:val="clear" w:color="auto" w:fill="FFFFFF"/>
          </w:tcPr>
          <w:p w14:paraId="62B6A42F" w14:textId="77777777" w:rsidR="0084305F" w:rsidRPr="0084305F" w:rsidRDefault="0084305F" w:rsidP="0084305F">
            <w:pPr>
              <w:tabs>
                <w:tab w:val="clear" w:pos="709"/>
              </w:tabs>
              <w:snapToGrid/>
              <w:rPr>
                <w:rFonts w:ascii="Arial" w:eastAsia="Arial" w:hAnsi="Arial" w:cs="Arial"/>
                <w:b/>
                <w:snapToGrid/>
                <w:color w:val="000000"/>
                <w:sz w:val="20"/>
                <w:szCs w:val="20"/>
                <w:lang w:val="en-US"/>
              </w:rPr>
            </w:pPr>
          </w:p>
          <w:p w14:paraId="13C5964A"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p>
        </w:tc>
      </w:tr>
      <w:tr w:rsidR="0084305F" w:rsidRPr="0084305F" w14:paraId="4DB233A5" w14:textId="77777777" w:rsidTr="00493FEF">
        <w:trPr>
          <w:trHeight w:val="483"/>
          <w:jc w:val="center"/>
        </w:trPr>
        <w:tc>
          <w:tcPr>
            <w:tcW w:w="7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8D63BD"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p>
        </w:tc>
        <w:tc>
          <w:tcPr>
            <w:tcW w:w="15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3837A8" w14:textId="77777777" w:rsidR="0084305F" w:rsidRPr="0084305F" w:rsidRDefault="0084305F" w:rsidP="0084305F">
            <w:pPr>
              <w:tabs>
                <w:tab w:val="clear" w:pos="709"/>
              </w:tabs>
              <w:snapToGrid/>
              <w:jc w:val="center"/>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1730</w:t>
            </w:r>
          </w:p>
        </w:tc>
        <w:tc>
          <w:tcPr>
            <w:tcW w:w="59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BBF462" w14:textId="77777777" w:rsidR="0084305F" w:rsidRPr="0084305F" w:rsidRDefault="0084305F" w:rsidP="0084305F">
            <w:pPr>
              <w:tabs>
                <w:tab w:val="clear" w:pos="709"/>
              </w:tabs>
              <w:snapToGrid/>
              <w:ind w:left="130"/>
              <w:rPr>
                <w:rFonts w:ascii="Arial" w:eastAsia="Arial" w:hAnsi="Arial" w:cs="Arial"/>
                <w:snapToGrid/>
                <w:color w:val="000000"/>
                <w:sz w:val="20"/>
                <w:szCs w:val="20"/>
                <w:lang w:val="en-US"/>
              </w:rPr>
            </w:pPr>
            <w:r w:rsidRPr="0084305F">
              <w:rPr>
                <w:rFonts w:ascii="Arial" w:eastAsia="Arial" w:hAnsi="Arial" w:cs="Arial"/>
                <w:b/>
                <w:i/>
                <w:snapToGrid/>
                <w:color w:val="000000"/>
                <w:sz w:val="20"/>
                <w:szCs w:val="20"/>
                <w:lang w:val="en-US"/>
              </w:rPr>
              <w:t>Day close</w:t>
            </w:r>
          </w:p>
        </w:tc>
        <w:tc>
          <w:tcPr>
            <w:tcW w:w="2325" w:type="dxa"/>
            <w:tcBorders>
              <w:top w:val="single" w:sz="4" w:space="0" w:color="000000"/>
              <w:left w:val="single" w:sz="4" w:space="0" w:color="000000"/>
              <w:bottom w:val="single" w:sz="4" w:space="0" w:color="000000"/>
              <w:right w:val="single" w:sz="4" w:space="0" w:color="000000"/>
            </w:tcBorders>
            <w:shd w:val="clear" w:color="auto" w:fill="D9D9D9"/>
          </w:tcPr>
          <w:p w14:paraId="259B30F7" w14:textId="77777777" w:rsidR="0084305F" w:rsidRPr="0084305F" w:rsidRDefault="0084305F" w:rsidP="0084305F">
            <w:pPr>
              <w:tabs>
                <w:tab w:val="clear" w:pos="709"/>
              </w:tabs>
              <w:snapToGrid/>
              <w:rPr>
                <w:rFonts w:ascii="Arial" w:eastAsia="Arial" w:hAnsi="Arial" w:cs="Arial"/>
                <w:snapToGrid/>
                <w:color w:val="000000"/>
                <w:sz w:val="20"/>
                <w:szCs w:val="20"/>
                <w:lang w:val="en-US"/>
              </w:rPr>
            </w:pPr>
            <w:r w:rsidRPr="0084305F">
              <w:rPr>
                <w:rFonts w:ascii="Arial" w:eastAsia="Arial" w:hAnsi="Arial" w:cs="Arial"/>
                <w:snapToGrid/>
                <w:color w:val="000000"/>
                <w:sz w:val="20"/>
                <w:szCs w:val="20"/>
                <w:lang w:val="en-US"/>
              </w:rPr>
              <w:t>Chairs TTs</w:t>
            </w:r>
          </w:p>
        </w:tc>
      </w:tr>
    </w:tbl>
    <w:p w14:paraId="28DB2057" w14:textId="77777777" w:rsidR="0084305F" w:rsidRPr="0084305F" w:rsidRDefault="0084305F" w:rsidP="0084305F">
      <w:pPr>
        <w:keepNext/>
        <w:keepLines/>
        <w:numPr>
          <w:ilvl w:val="0"/>
          <w:numId w:val="156"/>
        </w:numPr>
        <w:tabs>
          <w:tab w:val="clear" w:pos="709"/>
        </w:tabs>
        <w:snapToGrid/>
        <w:spacing w:before="360" w:after="80" w:line="276" w:lineRule="auto"/>
        <w:ind w:left="90" w:firstLine="0"/>
        <w:jc w:val="center"/>
        <w:outlineLvl w:val="0"/>
        <w:rPr>
          <w:rFonts w:ascii="Arial" w:eastAsia="Arial" w:hAnsi="Arial" w:cs="Arial"/>
          <w:snapToGrid/>
          <w:color w:val="0F4761"/>
          <w:sz w:val="20"/>
          <w:szCs w:val="20"/>
          <w:lang w:val="en-US"/>
        </w:rPr>
      </w:pPr>
      <w:bookmarkStart w:id="282" w:name="_z337ya" w:colFirst="0" w:colLast="0"/>
      <w:bookmarkStart w:id="283" w:name="_Toc195258159"/>
      <w:bookmarkEnd w:id="282"/>
      <w:r w:rsidRPr="0084305F">
        <w:rPr>
          <w:rFonts w:ascii="Arial" w:eastAsia="Arial" w:hAnsi="Arial" w:cs="Arial"/>
          <w:snapToGrid/>
          <w:color w:val="0F4761"/>
          <w:sz w:val="20"/>
          <w:szCs w:val="20"/>
          <w:lang w:val="en-US"/>
        </w:rPr>
        <w:t>Members and Observers of TOWS Task Team on Disaster Management</w:t>
      </w:r>
      <w:bookmarkEnd w:id="283"/>
    </w:p>
    <w:p w14:paraId="7974694B" w14:textId="77777777" w:rsidR="0084305F" w:rsidRPr="0084305F" w:rsidRDefault="0084305F" w:rsidP="0084305F">
      <w:pPr>
        <w:tabs>
          <w:tab w:val="clear" w:pos="709"/>
        </w:tabs>
        <w:snapToGrid/>
        <w:spacing w:before="93" w:after="160" w:line="276" w:lineRule="auto"/>
        <w:ind w:left="3929" w:right="680" w:hanging="2482"/>
        <w:rPr>
          <w:rFonts w:ascii="Arial" w:eastAsia="Arial" w:hAnsi="Arial" w:cs="Arial"/>
          <w:b/>
          <w:snapToGrid/>
          <w:sz w:val="20"/>
          <w:szCs w:val="20"/>
          <w:lang w:val="en-US"/>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4"/>
        <w:gridCol w:w="1842"/>
        <w:gridCol w:w="2268"/>
        <w:gridCol w:w="2796"/>
      </w:tblGrid>
      <w:tr w:rsidR="0084305F" w:rsidRPr="0084305F" w14:paraId="5DCBBE42" w14:textId="77777777" w:rsidTr="00493FEF">
        <w:trPr>
          <w:trHeight w:val="299"/>
        </w:trPr>
        <w:tc>
          <w:tcPr>
            <w:tcW w:w="2814" w:type="dxa"/>
            <w:vAlign w:val="center"/>
          </w:tcPr>
          <w:p w14:paraId="01F84B3A"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Name</w:t>
            </w:r>
          </w:p>
        </w:tc>
        <w:tc>
          <w:tcPr>
            <w:tcW w:w="1842" w:type="dxa"/>
            <w:vAlign w:val="center"/>
          </w:tcPr>
          <w:p w14:paraId="2D6A8F9E"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p>
          <w:p w14:paraId="6C1465EF"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Country</w:t>
            </w:r>
          </w:p>
        </w:tc>
        <w:tc>
          <w:tcPr>
            <w:tcW w:w="2268" w:type="dxa"/>
            <w:vAlign w:val="center"/>
          </w:tcPr>
          <w:p w14:paraId="659761E1"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p>
          <w:p w14:paraId="7B92EFD8"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Organisation</w:t>
            </w:r>
          </w:p>
        </w:tc>
        <w:tc>
          <w:tcPr>
            <w:tcW w:w="2796" w:type="dxa"/>
            <w:vAlign w:val="center"/>
          </w:tcPr>
          <w:p w14:paraId="4F081C04"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p>
          <w:p w14:paraId="0527AAAF"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Region/Role</w:t>
            </w:r>
          </w:p>
        </w:tc>
      </w:tr>
      <w:tr w:rsidR="0084305F" w:rsidRPr="0084305F" w14:paraId="3A270FDF" w14:textId="77777777" w:rsidTr="00493FEF">
        <w:trPr>
          <w:trHeight w:val="569"/>
        </w:trPr>
        <w:tc>
          <w:tcPr>
            <w:tcW w:w="2814" w:type="dxa"/>
            <w:vAlign w:val="center"/>
          </w:tcPr>
          <w:p w14:paraId="6C4EDD24"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r w:rsidRPr="0084305F">
              <w:rPr>
                <w:rFonts w:ascii="Arial" w:eastAsia="Arial" w:hAnsi="Arial" w:cs="Arial"/>
                <w:snapToGrid/>
                <w:sz w:val="20"/>
                <w:szCs w:val="20"/>
                <w:lang w:val="en-US"/>
              </w:rPr>
              <w:t>Denis Chang Seng</w:t>
            </w:r>
          </w:p>
          <w:p w14:paraId="28868EE3"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p>
        </w:tc>
        <w:tc>
          <w:tcPr>
            <w:tcW w:w="1842" w:type="dxa"/>
            <w:vAlign w:val="center"/>
          </w:tcPr>
          <w:p w14:paraId="4D246804"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France</w:t>
            </w:r>
          </w:p>
        </w:tc>
        <w:tc>
          <w:tcPr>
            <w:tcW w:w="2268" w:type="dxa"/>
            <w:vAlign w:val="center"/>
          </w:tcPr>
          <w:p w14:paraId="08B73B39"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IOC</w:t>
            </w:r>
          </w:p>
        </w:tc>
        <w:tc>
          <w:tcPr>
            <w:tcW w:w="2796" w:type="dxa"/>
            <w:vAlign w:val="center"/>
          </w:tcPr>
          <w:p w14:paraId="78679E0B"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TT- DMP Technical Secretary ICG/NEAMTWS/NEAMTIC</w:t>
            </w:r>
            <w:r w:rsidRPr="0084305F">
              <w:rPr>
                <w:rFonts w:ascii="Arial" w:eastAsia="Arial" w:hAnsi="Arial" w:cs="Arial"/>
                <w:snapToGrid/>
                <w:sz w:val="20"/>
                <w:szCs w:val="20"/>
                <w:lang w:val="en-US"/>
              </w:rPr>
              <w:lastRenderedPageBreak/>
              <w:t>/</w:t>
            </w:r>
            <w:r w:rsidRPr="0084305F">
              <w:rPr>
                <w:rFonts w:ascii="Arial" w:eastAsia="Arial" w:hAnsi="Arial" w:cs="Arial"/>
                <w:snapToGrid/>
                <w:sz w:val="20"/>
                <w:szCs w:val="20"/>
                <w:lang w:val="en-US"/>
              </w:rPr>
              <w:br/>
            </w:r>
            <w:proofErr w:type="spellStart"/>
            <w:r w:rsidRPr="0084305F">
              <w:rPr>
                <w:rFonts w:ascii="Arial" w:eastAsia="Arial" w:hAnsi="Arial" w:cs="Arial"/>
                <w:snapToGrid/>
                <w:sz w:val="20"/>
                <w:szCs w:val="20"/>
                <w:lang w:val="en-US"/>
              </w:rPr>
              <w:t>CoastWAVE</w:t>
            </w:r>
            <w:proofErr w:type="spellEnd"/>
          </w:p>
        </w:tc>
      </w:tr>
      <w:tr w:rsidR="0084305F" w:rsidRPr="0084305F" w14:paraId="07060C90" w14:textId="77777777" w:rsidTr="00493FEF">
        <w:trPr>
          <w:trHeight w:val="520"/>
        </w:trPr>
        <w:tc>
          <w:tcPr>
            <w:tcW w:w="9720" w:type="dxa"/>
            <w:gridSpan w:val="4"/>
            <w:vAlign w:val="center"/>
          </w:tcPr>
          <w:p w14:paraId="0798ABDE" w14:textId="77777777" w:rsidR="0084305F" w:rsidRPr="0084305F" w:rsidRDefault="0084305F" w:rsidP="0084305F">
            <w:pPr>
              <w:tabs>
                <w:tab w:val="clear" w:pos="709"/>
              </w:tabs>
              <w:snapToGrid/>
              <w:spacing w:after="160" w:line="276" w:lineRule="auto"/>
              <w:ind w:left="150"/>
              <w:rPr>
                <w:rFonts w:ascii="Arial" w:eastAsia="Arial" w:hAnsi="Arial" w:cs="Arial"/>
                <w:snapToGrid/>
                <w:sz w:val="20"/>
                <w:szCs w:val="20"/>
                <w:lang w:val="en-US"/>
              </w:rPr>
            </w:pPr>
            <w:r w:rsidRPr="0084305F">
              <w:rPr>
                <w:rFonts w:ascii="Arial" w:eastAsia="Arial" w:hAnsi="Arial" w:cs="Arial"/>
                <w:b/>
                <w:snapToGrid/>
                <w:sz w:val="20"/>
                <w:szCs w:val="20"/>
                <w:lang w:val="en-US"/>
              </w:rPr>
              <w:lastRenderedPageBreak/>
              <w:t>Task Team Members</w:t>
            </w:r>
          </w:p>
        </w:tc>
      </w:tr>
      <w:tr w:rsidR="0084305F" w:rsidRPr="0084305F" w14:paraId="4E6AE3C4" w14:textId="77777777" w:rsidTr="00493FEF">
        <w:trPr>
          <w:trHeight w:val="802"/>
        </w:trPr>
        <w:tc>
          <w:tcPr>
            <w:tcW w:w="2814" w:type="dxa"/>
            <w:shd w:val="clear" w:color="auto" w:fill="D9E1F3"/>
            <w:vAlign w:val="center"/>
          </w:tcPr>
          <w:p w14:paraId="0E1CAA89"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Harkunti Pertiwi Rahayu</w:t>
            </w:r>
          </w:p>
        </w:tc>
        <w:tc>
          <w:tcPr>
            <w:tcW w:w="1842" w:type="dxa"/>
            <w:shd w:val="clear" w:color="auto" w:fill="D9E1F3"/>
            <w:vAlign w:val="center"/>
          </w:tcPr>
          <w:p w14:paraId="7CC70269"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Indonesia</w:t>
            </w:r>
          </w:p>
        </w:tc>
        <w:tc>
          <w:tcPr>
            <w:tcW w:w="2268" w:type="dxa"/>
            <w:shd w:val="clear" w:color="auto" w:fill="D9E1F3"/>
            <w:vAlign w:val="center"/>
          </w:tcPr>
          <w:p w14:paraId="79B482A2"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Research Center for DM Institute of Technology</w:t>
            </w:r>
          </w:p>
        </w:tc>
        <w:tc>
          <w:tcPr>
            <w:tcW w:w="2796" w:type="dxa"/>
            <w:shd w:val="clear" w:color="auto" w:fill="D9E1F3"/>
            <w:vAlign w:val="center"/>
          </w:tcPr>
          <w:p w14:paraId="1D0470DF"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ICG/IOTWMS/ Chair TT DMP</w:t>
            </w:r>
          </w:p>
        </w:tc>
      </w:tr>
      <w:tr w:rsidR="0084305F" w:rsidRPr="0084305F" w14:paraId="3B8F8E0C" w14:textId="77777777" w:rsidTr="00493FEF">
        <w:trPr>
          <w:trHeight w:val="520"/>
        </w:trPr>
        <w:tc>
          <w:tcPr>
            <w:tcW w:w="2814" w:type="dxa"/>
            <w:vAlign w:val="center"/>
          </w:tcPr>
          <w:p w14:paraId="75B0BE5A"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Ardito Kodijat</w:t>
            </w:r>
          </w:p>
        </w:tc>
        <w:tc>
          <w:tcPr>
            <w:tcW w:w="1842" w:type="dxa"/>
            <w:vAlign w:val="center"/>
          </w:tcPr>
          <w:p w14:paraId="18836EF8"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Indonesia</w:t>
            </w:r>
          </w:p>
        </w:tc>
        <w:tc>
          <w:tcPr>
            <w:tcW w:w="2268" w:type="dxa"/>
            <w:vAlign w:val="center"/>
          </w:tcPr>
          <w:p w14:paraId="0544E5B5"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IOC</w:t>
            </w:r>
          </w:p>
        </w:tc>
        <w:tc>
          <w:tcPr>
            <w:tcW w:w="2796" w:type="dxa"/>
            <w:vAlign w:val="center"/>
          </w:tcPr>
          <w:p w14:paraId="3F2CFA6A"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IOTIC, ICG/IOTWMS</w:t>
            </w:r>
          </w:p>
        </w:tc>
      </w:tr>
      <w:tr w:rsidR="0084305F" w:rsidRPr="0084305F" w14:paraId="25B10DC6" w14:textId="77777777" w:rsidTr="00493FEF">
        <w:trPr>
          <w:trHeight w:val="560"/>
        </w:trPr>
        <w:tc>
          <w:tcPr>
            <w:tcW w:w="2814" w:type="dxa"/>
            <w:vAlign w:val="center"/>
          </w:tcPr>
          <w:p w14:paraId="0D493E86"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Ignacio Aguirre Ayerbe</w:t>
            </w:r>
          </w:p>
        </w:tc>
        <w:tc>
          <w:tcPr>
            <w:tcW w:w="1842" w:type="dxa"/>
            <w:vAlign w:val="center"/>
          </w:tcPr>
          <w:p w14:paraId="4DF05E31"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Spain</w:t>
            </w:r>
          </w:p>
        </w:tc>
        <w:tc>
          <w:tcPr>
            <w:tcW w:w="2268" w:type="dxa"/>
            <w:vAlign w:val="center"/>
          </w:tcPr>
          <w:p w14:paraId="195A4A88"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IH Cantabria</w:t>
            </w:r>
          </w:p>
        </w:tc>
        <w:tc>
          <w:tcPr>
            <w:tcW w:w="2796" w:type="dxa"/>
            <w:vAlign w:val="center"/>
          </w:tcPr>
          <w:p w14:paraId="37E9F6E2"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ICG/NEAMTWS Vice-Chair</w:t>
            </w:r>
          </w:p>
        </w:tc>
      </w:tr>
      <w:tr w:rsidR="0084305F" w:rsidRPr="0084305F" w14:paraId="15ADC452" w14:textId="77777777" w:rsidTr="00493FEF">
        <w:trPr>
          <w:trHeight w:val="520"/>
        </w:trPr>
        <w:tc>
          <w:tcPr>
            <w:tcW w:w="2814" w:type="dxa"/>
            <w:vAlign w:val="center"/>
          </w:tcPr>
          <w:p w14:paraId="146A3E52"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Marinos Charalampakis</w:t>
            </w:r>
          </w:p>
        </w:tc>
        <w:tc>
          <w:tcPr>
            <w:tcW w:w="1842" w:type="dxa"/>
            <w:vAlign w:val="center"/>
          </w:tcPr>
          <w:p w14:paraId="4AE59E04"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Greece</w:t>
            </w:r>
          </w:p>
        </w:tc>
        <w:tc>
          <w:tcPr>
            <w:tcW w:w="2268" w:type="dxa"/>
            <w:vAlign w:val="center"/>
          </w:tcPr>
          <w:p w14:paraId="65EBCB34"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NOA</w:t>
            </w:r>
          </w:p>
        </w:tc>
        <w:tc>
          <w:tcPr>
            <w:tcW w:w="2796" w:type="dxa"/>
            <w:vAlign w:val="center"/>
          </w:tcPr>
          <w:p w14:paraId="21DF7C3C"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ICG/NEAMTWS</w:t>
            </w:r>
          </w:p>
        </w:tc>
      </w:tr>
      <w:tr w:rsidR="0084305F" w:rsidRPr="0084305F" w14:paraId="07542818" w14:textId="77777777" w:rsidTr="00493FEF">
        <w:trPr>
          <w:trHeight w:val="720"/>
        </w:trPr>
        <w:tc>
          <w:tcPr>
            <w:tcW w:w="2814" w:type="dxa"/>
            <w:vAlign w:val="center"/>
          </w:tcPr>
          <w:p w14:paraId="46512BF2"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Laura Kong</w:t>
            </w:r>
          </w:p>
        </w:tc>
        <w:tc>
          <w:tcPr>
            <w:tcW w:w="1842" w:type="dxa"/>
            <w:vAlign w:val="center"/>
          </w:tcPr>
          <w:p w14:paraId="330FB88F"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USA</w:t>
            </w:r>
          </w:p>
        </w:tc>
        <w:tc>
          <w:tcPr>
            <w:tcW w:w="2268" w:type="dxa"/>
            <w:vAlign w:val="center"/>
          </w:tcPr>
          <w:p w14:paraId="7D281106"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ITIC</w:t>
            </w:r>
          </w:p>
        </w:tc>
        <w:tc>
          <w:tcPr>
            <w:tcW w:w="2796" w:type="dxa"/>
            <w:vAlign w:val="center"/>
          </w:tcPr>
          <w:p w14:paraId="05221389"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ITIC, ICG/PTWS</w:t>
            </w:r>
          </w:p>
        </w:tc>
      </w:tr>
      <w:tr w:rsidR="0084305F" w:rsidRPr="0084305F" w14:paraId="44605008" w14:textId="77777777" w:rsidTr="00493FEF">
        <w:trPr>
          <w:trHeight w:val="720"/>
        </w:trPr>
        <w:tc>
          <w:tcPr>
            <w:tcW w:w="2814" w:type="dxa"/>
            <w:vAlign w:val="center"/>
          </w:tcPr>
          <w:p w14:paraId="4292D279"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Ashleigh Fromont</w:t>
            </w:r>
          </w:p>
        </w:tc>
        <w:tc>
          <w:tcPr>
            <w:tcW w:w="1842" w:type="dxa"/>
            <w:vAlign w:val="center"/>
          </w:tcPr>
          <w:p w14:paraId="15A136D0"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New Zealand</w:t>
            </w:r>
          </w:p>
        </w:tc>
        <w:tc>
          <w:tcPr>
            <w:tcW w:w="2268" w:type="dxa"/>
            <w:vAlign w:val="center"/>
          </w:tcPr>
          <w:p w14:paraId="64C08EA5"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NEMA</w:t>
            </w:r>
          </w:p>
        </w:tc>
        <w:tc>
          <w:tcPr>
            <w:tcW w:w="2796" w:type="dxa"/>
            <w:vAlign w:val="center"/>
          </w:tcPr>
          <w:p w14:paraId="4A2D3BEA"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ICG/PTWS</w:t>
            </w:r>
          </w:p>
        </w:tc>
      </w:tr>
      <w:tr w:rsidR="0084305F" w:rsidRPr="0084305F" w14:paraId="0AB7221B" w14:textId="77777777" w:rsidTr="00493FEF">
        <w:trPr>
          <w:trHeight w:val="720"/>
        </w:trPr>
        <w:tc>
          <w:tcPr>
            <w:tcW w:w="2814" w:type="dxa"/>
            <w:vAlign w:val="center"/>
          </w:tcPr>
          <w:p w14:paraId="3DEB1C72"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Alison Brome</w:t>
            </w:r>
          </w:p>
        </w:tc>
        <w:tc>
          <w:tcPr>
            <w:tcW w:w="1842" w:type="dxa"/>
            <w:vAlign w:val="center"/>
          </w:tcPr>
          <w:p w14:paraId="7FAF1D93"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Caribbean</w:t>
            </w:r>
          </w:p>
        </w:tc>
        <w:tc>
          <w:tcPr>
            <w:tcW w:w="2268" w:type="dxa"/>
            <w:vAlign w:val="center"/>
          </w:tcPr>
          <w:p w14:paraId="7C0E7A46"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CTIC</w:t>
            </w:r>
          </w:p>
        </w:tc>
        <w:tc>
          <w:tcPr>
            <w:tcW w:w="2796" w:type="dxa"/>
            <w:vAlign w:val="center"/>
          </w:tcPr>
          <w:p w14:paraId="5275C298"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CTIC, ICG/CARIBE-EWS</w:t>
            </w:r>
          </w:p>
        </w:tc>
      </w:tr>
      <w:tr w:rsidR="0084305F" w:rsidRPr="0084305F" w14:paraId="097D971A" w14:textId="77777777" w:rsidTr="00493FEF">
        <w:trPr>
          <w:trHeight w:val="520"/>
        </w:trPr>
        <w:tc>
          <w:tcPr>
            <w:tcW w:w="2814" w:type="dxa"/>
            <w:vAlign w:val="center"/>
          </w:tcPr>
          <w:p w14:paraId="2EA413F7"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Silvia Chacon Barrantes</w:t>
            </w:r>
          </w:p>
        </w:tc>
        <w:tc>
          <w:tcPr>
            <w:tcW w:w="1842" w:type="dxa"/>
            <w:vAlign w:val="center"/>
          </w:tcPr>
          <w:p w14:paraId="679EC05F"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Costa Rica</w:t>
            </w:r>
          </w:p>
        </w:tc>
        <w:tc>
          <w:tcPr>
            <w:tcW w:w="2268" w:type="dxa"/>
            <w:vAlign w:val="center"/>
          </w:tcPr>
          <w:p w14:paraId="5046EDF4"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National Tsunami Monitoring System</w:t>
            </w:r>
          </w:p>
        </w:tc>
        <w:tc>
          <w:tcPr>
            <w:tcW w:w="2796" w:type="dxa"/>
            <w:vAlign w:val="center"/>
          </w:tcPr>
          <w:p w14:paraId="4C2383A1"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ICG/CARIBE-EWS</w:t>
            </w:r>
          </w:p>
        </w:tc>
      </w:tr>
      <w:tr w:rsidR="0084305F" w:rsidRPr="0084305F" w14:paraId="3F2F4F91" w14:textId="77777777" w:rsidTr="00493FEF">
        <w:trPr>
          <w:trHeight w:val="520"/>
        </w:trPr>
        <w:tc>
          <w:tcPr>
            <w:tcW w:w="2814" w:type="dxa"/>
            <w:vAlign w:val="center"/>
          </w:tcPr>
          <w:p w14:paraId="321A6B3B"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Derya Vennin</w:t>
            </w:r>
          </w:p>
        </w:tc>
        <w:tc>
          <w:tcPr>
            <w:tcW w:w="1842" w:type="dxa"/>
            <w:vAlign w:val="center"/>
          </w:tcPr>
          <w:p w14:paraId="3A908569"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France</w:t>
            </w:r>
          </w:p>
        </w:tc>
        <w:tc>
          <w:tcPr>
            <w:tcW w:w="2268" w:type="dxa"/>
            <w:vAlign w:val="center"/>
          </w:tcPr>
          <w:p w14:paraId="555AD1DA"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IOC</w:t>
            </w:r>
          </w:p>
        </w:tc>
        <w:tc>
          <w:tcPr>
            <w:tcW w:w="2796" w:type="dxa"/>
            <w:vAlign w:val="center"/>
          </w:tcPr>
          <w:p w14:paraId="183187B1"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 xml:space="preserve">ICG/NEAMTWS / </w:t>
            </w:r>
            <w:proofErr w:type="spellStart"/>
            <w:r w:rsidRPr="0084305F">
              <w:rPr>
                <w:rFonts w:ascii="Arial" w:eastAsia="Arial" w:hAnsi="Arial" w:cs="Arial"/>
                <w:snapToGrid/>
                <w:sz w:val="20"/>
                <w:szCs w:val="20"/>
                <w:lang w:val="en-US"/>
              </w:rPr>
              <w:t>CoastWave</w:t>
            </w:r>
            <w:proofErr w:type="spellEnd"/>
            <w:r w:rsidRPr="0084305F">
              <w:rPr>
                <w:rFonts w:ascii="Arial" w:eastAsia="Arial" w:hAnsi="Arial" w:cs="Arial"/>
                <w:snapToGrid/>
                <w:sz w:val="20"/>
                <w:szCs w:val="20"/>
                <w:lang w:val="en-US"/>
              </w:rPr>
              <w:t xml:space="preserve"> Project</w:t>
            </w:r>
          </w:p>
        </w:tc>
      </w:tr>
      <w:tr w:rsidR="0084305F" w:rsidRPr="0084305F" w14:paraId="12CD0861" w14:textId="77777777" w:rsidTr="00493FEF">
        <w:trPr>
          <w:trHeight w:val="521"/>
        </w:trPr>
        <w:tc>
          <w:tcPr>
            <w:tcW w:w="9720" w:type="dxa"/>
            <w:gridSpan w:val="4"/>
            <w:vAlign w:val="center"/>
          </w:tcPr>
          <w:p w14:paraId="150C4558" w14:textId="77777777" w:rsidR="0084305F" w:rsidRPr="0084305F" w:rsidRDefault="0084305F" w:rsidP="0084305F">
            <w:pPr>
              <w:tabs>
                <w:tab w:val="clear" w:pos="709"/>
              </w:tabs>
              <w:snapToGrid/>
              <w:spacing w:after="160" w:line="276" w:lineRule="auto"/>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Invited Experts and Observers</w:t>
            </w:r>
          </w:p>
        </w:tc>
      </w:tr>
      <w:tr w:rsidR="0084305F" w:rsidRPr="0084305F" w14:paraId="1A5B7FA9" w14:textId="77777777" w:rsidTr="00493FEF">
        <w:trPr>
          <w:trHeight w:val="520"/>
        </w:trPr>
        <w:tc>
          <w:tcPr>
            <w:tcW w:w="2814" w:type="dxa"/>
            <w:vAlign w:val="center"/>
          </w:tcPr>
          <w:p w14:paraId="5EC728AF"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p>
        </w:tc>
        <w:tc>
          <w:tcPr>
            <w:tcW w:w="1842" w:type="dxa"/>
            <w:vAlign w:val="center"/>
          </w:tcPr>
          <w:p w14:paraId="1970AB4D"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p>
        </w:tc>
        <w:tc>
          <w:tcPr>
            <w:tcW w:w="2268" w:type="dxa"/>
            <w:vAlign w:val="center"/>
          </w:tcPr>
          <w:p w14:paraId="126867C4"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p>
        </w:tc>
        <w:tc>
          <w:tcPr>
            <w:tcW w:w="2796" w:type="dxa"/>
            <w:vAlign w:val="center"/>
          </w:tcPr>
          <w:p w14:paraId="4A6185EC"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p>
        </w:tc>
      </w:tr>
      <w:tr w:rsidR="0084305F" w:rsidRPr="0084305F" w14:paraId="7F747C38" w14:textId="77777777" w:rsidTr="00493FEF">
        <w:trPr>
          <w:trHeight w:val="520"/>
        </w:trPr>
        <w:tc>
          <w:tcPr>
            <w:tcW w:w="2814" w:type="dxa"/>
            <w:vAlign w:val="center"/>
          </w:tcPr>
          <w:p w14:paraId="433D3077" w14:textId="77777777" w:rsidR="0084305F" w:rsidRPr="0084305F" w:rsidRDefault="0084305F" w:rsidP="0084305F">
            <w:pPr>
              <w:tabs>
                <w:tab w:val="clear" w:pos="709"/>
              </w:tabs>
              <w:snapToGrid/>
              <w:spacing w:after="160" w:line="259" w:lineRule="auto"/>
              <w:rPr>
                <w:rFonts w:ascii="Arial" w:eastAsia="Arial" w:hAnsi="Arial" w:cs="Arial"/>
                <w:snapToGrid/>
                <w:color w:val="000000"/>
                <w:sz w:val="20"/>
                <w:szCs w:val="20"/>
                <w:lang w:val="en-US"/>
              </w:rPr>
            </w:pPr>
            <w:r w:rsidRPr="0084305F">
              <w:rPr>
                <w:rFonts w:ascii="Arial" w:eastAsia="Arial" w:hAnsi="Arial" w:cs="Arial"/>
                <w:snapToGrid/>
                <w:color w:val="262626"/>
                <w:sz w:val="20"/>
                <w:szCs w:val="20"/>
                <w:lang w:val="en-US"/>
              </w:rPr>
              <w:t>Regina Khanbekova,</w:t>
            </w:r>
          </w:p>
          <w:p w14:paraId="1D79164E"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p>
        </w:tc>
        <w:tc>
          <w:tcPr>
            <w:tcW w:w="1842" w:type="dxa"/>
            <w:vAlign w:val="center"/>
          </w:tcPr>
          <w:p w14:paraId="49597657"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Geneva</w:t>
            </w:r>
          </w:p>
        </w:tc>
        <w:tc>
          <w:tcPr>
            <w:tcW w:w="2268" w:type="dxa"/>
            <w:vAlign w:val="center"/>
          </w:tcPr>
          <w:p w14:paraId="081DD6CE"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UNDRR</w:t>
            </w:r>
          </w:p>
        </w:tc>
        <w:tc>
          <w:tcPr>
            <w:tcW w:w="2796" w:type="dxa"/>
            <w:vAlign w:val="center"/>
          </w:tcPr>
          <w:p w14:paraId="7BC63F3A"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color w:val="000000"/>
                <w:sz w:val="20"/>
                <w:szCs w:val="20"/>
                <w:highlight w:val="white"/>
                <w:lang w:val="en-US"/>
              </w:rPr>
              <w:t xml:space="preserve">Communication, Advocacy, Knowledge Management and </w:t>
            </w:r>
            <w:proofErr w:type="spellStart"/>
            <w:r w:rsidRPr="0084305F">
              <w:rPr>
                <w:rFonts w:ascii="Arial" w:eastAsia="Arial" w:hAnsi="Arial" w:cs="Arial"/>
                <w:snapToGrid/>
                <w:color w:val="000000"/>
                <w:sz w:val="20"/>
                <w:szCs w:val="20"/>
                <w:highlight w:val="white"/>
                <w:lang w:val="en-US"/>
              </w:rPr>
              <w:t>Ict</w:t>
            </w:r>
            <w:proofErr w:type="spellEnd"/>
            <w:r w:rsidRPr="0084305F">
              <w:rPr>
                <w:rFonts w:ascii="Arial" w:eastAsia="Arial" w:hAnsi="Arial" w:cs="Arial"/>
                <w:snapToGrid/>
                <w:color w:val="000000"/>
                <w:sz w:val="20"/>
                <w:szCs w:val="20"/>
                <w:lang w:val="en-US"/>
              </w:rPr>
              <w:t xml:space="preserve"> UNDRR, Geneva.</w:t>
            </w:r>
          </w:p>
        </w:tc>
      </w:tr>
      <w:tr w:rsidR="0084305F" w:rsidRPr="0084305F" w14:paraId="4F14BBC8" w14:textId="77777777" w:rsidTr="00493FEF">
        <w:trPr>
          <w:trHeight w:val="520"/>
        </w:trPr>
        <w:tc>
          <w:tcPr>
            <w:tcW w:w="2814" w:type="dxa"/>
            <w:vAlign w:val="center"/>
          </w:tcPr>
          <w:p w14:paraId="32CE5CC4"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Alessandro Amato</w:t>
            </w:r>
          </w:p>
        </w:tc>
        <w:tc>
          <w:tcPr>
            <w:tcW w:w="1842" w:type="dxa"/>
            <w:vAlign w:val="center"/>
          </w:tcPr>
          <w:p w14:paraId="31C99EC0"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Italy</w:t>
            </w:r>
          </w:p>
        </w:tc>
        <w:tc>
          <w:tcPr>
            <w:tcW w:w="2268" w:type="dxa"/>
            <w:vAlign w:val="center"/>
          </w:tcPr>
          <w:p w14:paraId="1EDBF389"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INGV</w:t>
            </w:r>
          </w:p>
        </w:tc>
        <w:tc>
          <w:tcPr>
            <w:tcW w:w="2796" w:type="dxa"/>
            <w:vAlign w:val="center"/>
          </w:tcPr>
          <w:p w14:paraId="771A82B1"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ICG/NEAMTWS Chair</w:t>
            </w:r>
          </w:p>
        </w:tc>
      </w:tr>
      <w:tr w:rsidR="0084305F" w:rsidRPr="0084305F" w14:paraId="18747154" w14:textId="77777777" w:rsidTr="00493FEF">
        <w:trPr>
          <w:trHeight w:val="520"/>
        </w:trPr>
        <w:tc>
          <w:tcPr>
            <w:tcW w:w="2814" w:type="dxa"/>
            <w:vAlign w:val="center"/>
          </w:tcPr>
          <w:p w14:paraId="6974CEAE"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Elena Daskalaki</w:t>
            </w:r>
          </w:p>
        </w:tc>
        <w:tc>
          <w:tcPr>
            <w:tcW w:w="1842" w:type="dxa"/>
            <w:vAlign w:val="center"/>
          </w:tcPr>
          <w:p w14:paraId="4129E00C"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Greece</w:t>
            </w:r>
          </w:p>
        </w:tc>
        <w:tc>
          <w:tcPr>
            <w:tcW w:w="2268" w:type="dxa"/>
            <w:vAlign w:val="center"/>
          </w:tcPr>
          <w:p w14:paraId="7E850958"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NOA</w:t>
            </w:r>
          </w:p>
        </w:tc>
        <w:tc>
          <w:tcPr>
            <w:tcW w:w="2796" w:type="dxa"/>
            <w:vAlign w:val="center"/>
          </w:tcPr>
          <w:p w14:paraId="50C45EC4" w14:textId="77777777" w:rsidR="0084305F" w:rsidRPr="0084305F" w:rsidRDefault="0084305F" w:rsidP="0084305F">
            <w:pPr>
              <w:tabs>
                <w:tab w:val="clear" w:pos="709"/>
              </w:tabs>
              <w:snapToGrid/>
              <w:spacing w:after="160" w:line="276" w:lineRule="auto"/>
              <w:ind w:left="180"/>
              <w:rPr>
                <w:rFonts w:ascii="Arial" w:eastAsia="Arial" w:hAnsi="Arial" w:cs="Arial"/>
                <w:snapToGrid/>
                <w:color w:val="333333"/>
                <w:sz w:val="20"/>
                <w:szCs w:val="20"/>
                <w:lang w:val="en-US"/>
              </w:rPr>
            </w:pPr>
            <w:r w:rsidRPr="0084305F">
              <w:rPr>
                <w:rFonts w:ascii="Arial" w:eastAsia="Arial" w:hAnsi="Arial" w:cs="Arial"/>
                <w:snapToGrid/>
                <w:color w:val="333333"/>
                <w:sz w:val="20"/>
                <w:szCs w:val="20"/>
                <w:lang w:val="en-US"/>
              </w:rPr>
              <w:t>ICG/NEAMTWS co-chair TT-Tsunami Ready</w:t>
            </w:r>
          </w:p>
        </w:tc>
      </w:tr>
      <w:tr w:rsidR="0084305F" w:rsidRPr="0084305F" w14:paraId="5CD5CB5C" w14:textId="77777777" w:rsidTr="00493FEF">
        <w:trPr>
          <w:trHeight w:val="520"/>
        </w:trPr>
        <w:tc>
          <w:tcPr>
            <w:tcW w:w="2814" w:type="dxa"/>
            <w:vAlign w:val="center"/>
          </w:tcPr>
          <w:p w14:paraId="462C5B1D"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Prof Amr Hamouda</w:t>
            </w:r>
          </w:p>
        </w:tc>
        <w:tc>
          <w:tcPr>
            <w:tcW w:w="1842" w:type="dxa"/>
            <w:vAlign w:val="center"/>
          </w:tcPr>
          <w:p w14:paraId="2EB038D5"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Egypt</w:t>
            </w:r>
          </w:p>
        </w:tc>
        <w:tc>
          <w:tcPr>
            <w:tcW w:w="2268" w:type="dxa"/>
            <w:vAlign w:val="center"/>
          </w:tcPr>
          <w:p w14:paraId="3981204A"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NIOF</w:t>
            </w:r>
          </w:p>
        </w:tc>
        <w:tc>
          <w:tcPr>
            <w:tcW w:w="2796" w:type="dxa"/>
            <w:vAlign w:val="center"/>
          </w:tcPr>
          <w:p w14:paraId="29C099B7" w14:textId="77777777" w:rsidR="0084305F" w:rsidRPr="0084305F" w:rsidRDefault="0084305F" w:rsidP="0084305F">
            <w:pPr>
              <w:tabs>
                <w:tab w:val="clear" w:pos="709"/>
              </w:tabs>
              <w:snapToGrid/>
              <w:spacing w:after="160" w:line="276" w:lineRule="auto"/>
              <w:ind w:left="180"/>
              <w:rPr>
                <w:rFonts w:ascii="Arial" w:eastAsia="Arial" w:hAnsi="Arial" w:cs="Arial"/>
                <w:snapToGrid/>
                <w:sz w:val="20"/>
                <w:szCs w:val="20"/>
                <w:lang w:val="en-US"/>
              </w:rPr>
            </w:pPr>
            <w:r w:rsidRPr="0084305F">
              <w:rPr>
                <w:rFonts w:ascii="Arial" w:eastAsia="Arial" w:hAnsi="Arial" w:cs="Arial"/>
                <w:snapToGrid/>
                <w:sz w:val="20"/>
                <w:szCs w:val="20"/>
                <w:lang w:val="en-US"/>
              </w:rPr>
              <w:t>ICG/NEAMTWS Vice-Chair</w:t>
            </w:r>
          </w:p>
        </w:tc>
      </w:tr>
    </w:tbl>
    <w:p w14:paraId="10E76603" w14:textId="77777777" w:rsidR="0084305F" w:rsidRPr="0084305F" w:rsidRDefault="0084305F" w:rsidP="0084305F">
      <w:pPr>
        <w:keepNext/>
        <w:keepLines/>
        <w:numPr>
          <w:ilvl w:val="0"/>
          <w:numId w:val="156"/>
        </w:numPr>
        <w:tabs>
          <w:tab w:val="clear" w:pos="709"/>
        </w:tabs>
        <w:snapToGrid/>
        <w:spacing w:before="360" w:after="80" w:line="276" w:lineRule="auto"/>
        <w:ind w:left="90" w:firstLine="0"/>
        <w:jc w:val="center"/>
        <w:outlineLvl w:val="0"/>
        <w:rPr>
          <w:rFonts w:ascii="Arial" w:eastAsia="Arial" w:hAnsi="Arial" w:cs="Arial"/>
          <w:snapToGrid/>
          <w:color w:val="0F4761"/>
          <w:sz w:val="20"/>
          <w:szCs w:val="20"/>
          <w:lang w:val="en-US"/>
        </w:rPr>
      </w:pPr>
      <w:bookmarkStart w:id="284" w:name="_3j2qqm3" w:colFirst="0" w:colLast="0"/>
      <w:bookmarkStart w:id="285" w:name="_Toc195258160"/>
      <w:bookmarkEnd w:id="284"/>
      <w:r w:rsidRPr="0084305F">
        <w:rPr>
          <w:rFonts w:ascii="Arial" w:eastAsia="Arial" w:hAnsi="Arial" w:cs="Arial"/>
          <w:snapToGrid/>
          <w:color w:val="0F4761"/>
          <w:sz w:val="20"/>
          <w:szCs w:val="20"/>
          <w:lang w:val="en-US"/>
        </w:rPr>
        <w:t>Members and Observers of TOWS Task Team on Tsunami Watch Operations</w:t>
      </w:r>
      <w:bookmarkEnd w:id="285"/>
    </w:p>
    <w:p w14:paraId="18412F8C" w14:textId="77777777" w:rsidR="0084305F" w:rsidRPr="0084305F" w:rsidRDefault="0084305F" w:rsidP="0084305F">
      <w:pPr>
        <w:tabs>
          <w:tab w:val="clear" w:pos="709"/>
        </w:tabs>
        <w:snapToGrid/>
        <w:spacing w:after="160" w:line="259" w:lineRule="auto"/>
        <w:rPr>
          <w:rFonts w:ascii="Aptos" w:eastAsia="Aptos" w:hAnsi="Aptos" w:cs="Aptos"/>
          <w:snapToGrid/>
          <w:sz w:val="22"/>
          <w:szCs w:val="22"/>
          <w:lang w:val="en-US"/>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4"/>
        <w:gridCol w:w="1842"/>
        <w:gridCol w:w="2268"/>
        <w:gridCol w:w="2796"/>
      </w:tblGrid>
      <w:tr w:rsidR="0084305F" w:rsidRPr="0084305F" w14:paraId="4723C1E0" w14:textId="77777777" w:rsidTr="00493FEF">
        <w:trPr>
          <w:trHeight w:val="299"/>
        </w:trPr>
        <w:tc>
          <w:tcPr>
            <w:tcW w:w="2814" w:type="dxa"/>
          </w:tcPr>
          <w:p w14:paraId="17C9D904" w14:textId="77777777" w:rsidR="0084305F" w:rsidRPr="0084305F" w:rsidRDefault="0084305F" w:rsidP="0084305F">
            <w:pPr>
              <w:tabs>
                <w:tab w:val="clear" w:pos="709"/>
              </w:tabs>
              <w:snapToGrid/>
              <w:ind w:left="180"/>
              <w:rPr>
                <w:rFonts w:ascii="Arial" w:eastAsia="Arial" w:hAnsi="Arial" w:cs="Arial"/>
                <w:b/>
                <w:snapToGrid/>
                <w:sz w:val="20"/>
                <w:szCs w:val="20"/>
                <w:lang w:val="en-US"/>
              </w:rPr>
            </w:pPr>
          </w:p>
          <w:p w14:paraId="3597290C" w14:textId="77777777" w:rsidR="0084305F" w:rsidRPr="0084305F" w:rsidRDefault="0084305F" w:rsidP="0084305F">
            <w:pPr>
              <w:tabs>
                <w:tab w:val="clear" w:pos="709"/>
              </w:tabs>
              <w:snapToGrid/>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Name</w:t>
            </w:r>
          </w:p>
        </w:tc>
        <w:tc>
          <w:tcPr>
            <w:tcW w:w="1842" w:type="dxa"/>
          </w:tcPr>
          <w:p w14:paraId="030E8CDA" w14:textId="77777777" w:rsidR="0084305F" w:rsidRPr="0084305F" w:rsidRDefault="0084305F" w:rsidP="0084305F">
            <w:pPr>
              <w:tabs>
                <w:tab w:val="clear" w:pos="709"/>
              </w:tabs>
              <w:snapToGrid/>
              <w:ind w:left="180"/>
              <w:rPr>
                <w:rFonts w:ascii="Arial" w:eastAsia="Arial" w:hAnsi="Arial" w:cs="Arial"/>
                <w:b/>
                <w:snapToGrid/>
                <w:sz w:val="20"/>
                <w:szCs w:val="20"/>
                <w:lang w:val="en-US"/>
              </w:rPr>
            </w:pPr>
          </w:p>
          <w:p w14:paraId="603E325A" w14:textId="77777777" w:rsidR="0084305F" w:rsidRPr="0084305F" w:rsidRDefault="0084305F" w:rsidP="0084305F">
            <w:pPr>
              <w:tabs>
                <w:tab w:val="clear" w:pos="709"/>
              </w:tabs>
              <w:snapToGrid/>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Country</w:t>
            </w:r>
          </w:p>
        </w:tc>
        <w:tc>
          <w:tcPr>
            <w:tcW w:w="2268" w:type="dxa"/>
          </w:tcPr>
          <w:p w14:paraId="4D1E9883" w14:textId="77777777" w:rsidR="0084305F" w:rsidRPr="0084305F" w:rsidRDefault="0084305F" w:rsidP="0084305F">
            <w:pPr>
              <w:tabs>
                <w:tab w:val="clear" w:pos="709"/>
              </w:tabs>
              <w:snapToGrid/>
              <w:ind w:left="180"/>
              <w:rPr>
                <w:rFonts w:ascii="Arial" w:eastAsia="Arial" w:hAnsi="Arial" w:cs="Arial"/>
                <w:b/>
                <w:snapToGrid/>
                <w:sz w:val="20"/>
                <w:szCs w:val="20"/>
                <w:lang w:val="en-US"/>
              </w:rPr>
            </w:pPr>
          </w:p>
          <w:p w14:paraId="29CDC710" w14:textId="77777777" w:rsidR="0084305F" w:rsidRPr="0084305F" w:rsidRDefault="0084305F" w:rsidP="0084305F">
            <w:pPr>
              <w:tabs>
                <w:tab w:val="clear" w:pos="709"/>
              </w:tabs>
              <w:snapToGrid/>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Organisation</w:t>
            </w:r>
          </w:p>
        </w:tc>
        <w:tc>
          <w:tcPr>
            <w:tcW w:w="2796" w:type="dxa"/>
          </w:tcPr>
          <w:p w14:paraId="565A72C0" w14:textId="77777777" w:rsidR="0084305F" w:rsidRPr="0084305F" w:rsidRDefault="0084305F" w:rsidP="0084305F">
            <w:pPr>
              <w:tabs>
                <w:tab w:val="clear" w:pos="709"/>
              </w:tabs>
              <w:snapToGrid/>
              <w:ind w:left="180"/>
              <w:rPr>
                <w:rFonts w:ascii="Arial" w:eastAsia="Arial" w:hAnsi="Arial" w:cs="Arial"/>
                <w:b/>
                <w:snapToGrid/>
                <w:sz w:val="20"/>
                <w:szCs w:val="20"/>
                <w:lang w:val="en-US"/>
              </w:rPr>
            </w:pPr>
          </w:p>
          <w:p w14:paraId="66F10398" w14:textId="77777777" w:rsidR="0084305F" w:rsidRPr="0084305F" w:rsidRDefault="0084305F" w:rsidP="0084305F">
            <w:pPr>
              <w:tabs>
                <w:tab w:val="clear" w:pos="709"/>
              </w:tabs>
              <w:snapToGrid/>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Region/Role</w:t>
            </w:r>
          </w:p>
        </w:tc>
      </w:tr>
      <w:tr w:rsidR="0084305F" w:rsidRPr="0084305F" w14:paraId="4436BE47" w14:textId="77777777" w:rsidTr="00493FEF">
        <w:trPr>
          <w:trHeight w:val="569"/>
        </w:trPr>
        <w:tc>
          <w:tcPr>
            <w:tcW w:w="2814" w:type="dxa"/>
          </w:tcPr>
          <w:p w14:paraId="41D1782E" w14:textId="77777777" w:rsidR="0084305F" w:rsidRPr="0084305F" w:rsidRDefault="0084305F" w:rsidP="0084305F">
            <w:pPr>
              <w:tabs>
                <w:tab w:val="clear" w:pos="709"/>
              </w:tabs>
              <w:snapToGrid/>
              <w:ind w:left="180"/>
              <w:rPr>
                <w:rFonts w:ascii="Arial" w:eastAsia="Arial" w:hAnsi="Arial" w:cs="Arial"/>
                <w:snapToGrid/>
                <w:sz w:val="20"/>
                <w:szCs w:val="20"/>
                <w:lang w:val="en-US"/>
              </w:rPr>
            </w:pPr>
          </w:p>
          <w:p w14:paraId="1BFC5355"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Öcal Necmioğlu</w:t>
            </w:r>
          </w:p>
        </w:tc>
        <w:tc>
          <w:tcPr>
            <w:tcW w:w="1842" w:type="dxa"/>
          </w:tcPr>
          <w:p w14:paraId="3A159675" w14:textId="77777777" w:rsidR="0084305F" w:rsidRPr="0084305F" w:rsidRDefault="0084305F" w:rsidP="0084305F">
            <w:pPr>
              <w:tabs>
                <w:tab w:val="clear" w:pos="709"/>
              </w:tabs>
              <w:snapToGrid/>
              <w:ind w:left="180"/>
              <w:rPr>
                <w:rFonts w:ascii="Arial" w:eastAsia="Arial" w:hAnsi="Arial" w:cs="Arial"/>
                <w:snapToGrid/>
                <w:sz w:val="20"/>
                <w:szCs w:val="20"/>
                <w:lang w:val="en-US"/>
              </w:rPr>
            </w:pPr>
          </w:p>
          <w:p w14:paraId="6939D148"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Türkiye</w:t>
            </w:r>
          </w:p>
        </w:tc>
        <w:tc>
          <w:tcPr>
            <w:tcW w:w="2268" w:type="dxa"/>
          </w:tcPr>
          <w:p w14:paraId="6A1E9BA2" w14:textId="77777777" w:rsidR="0084305F" w:rsidRPr="0084305F" w:rsidRDefault="0084305F" w:rsidP="0084305F">
            <w:pPr>
              <w:tabs>
                <w:tab w:val="clear" w:pos="709"/>
              </w:tabs>
              <w:snapToGrid/>
              <w:ind w:left="180"/>
              <w:rPr>
                <w:rFonts w:ascii="Arial" w:eastAsia="Arial" w:hAnsi="Arial" w:cs="Arial"/>
                <w:snapToGrid/>
                <w:sz w:val="20"/>
                <w:szCs w:val="20"/>
                <w:lang w:val="en-US"/>
              </w:rPr>
            </w:pPr>
          </w:p>
          <w:p w14:paraId="334585F2"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IOC</w:t>
            </w:r>
          </w:p>
        </w:tc>
        <w:tc>
          <w:tcPr>
            <w:tcW w:w="2796" w:type="dxa"/>
          </w:tcPr>
          <w:p w14:paraId="0D306491"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 xml:space="preserve">TT- TWO Technical Secretary </w:t>
            </w:r>
          </w:p>
          <w:p w14:paraId="148EC560"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lastRenderedPageBreak/>
              <w:t>ICG/PTWS and ICG/CARIBE-EWS</w:t>
            </w:r>
          </w:p>
        </w:tc>
      </w:tr>
      <w:tr w:rsidR="0084305F" w:rsidRPr="0084305F" w14:paraId="2C9BF715" w14:textId="77777777" w:rsidTr="00493FEF">
        <w:trPr>
          <w:trHeight w:val="520"/>
        </w:trPr>
        <w:tc>
          <w:tcPr>
            <w:tcW w:w="9720" w:type="dxa"/>
            <w:gridSpan w:val="4"/>
            <w:vAlign w:val="center"/>
          </w:tcPr>
          <w:p w14:paraId="032E91CC" w14:textId="77777777" w:rsidR="0084305F" w:rsidRPr="0084305F" w:rsidRDefault="0084305F" w:rsidP="0084305F">
            <w:pPr>
              <w:tabs>
                <w:tab w:val="clear" w:pos="709"/>
              </w:tabs>
              <w:snapToGrid/>
              <w:ind w:left="150"/>
              <w:rPr>
                <w:rFonts w:ascii="Arial" w:eastAsia="Arial" w:hAnsi="Arial" w:cs="Arial"/>
                <w:snapToGrid/>
                <w:sz w:val="20"/>
                <w:szCs w:val="20"/>
                <w:lang w:val="en-US"/>
              </w:rPr>
            </w:pPr>
            <w:r w:rsidRPr="0084305F">
              <w:rPr>
                <w:rFonts w:ascii="Arial" w:eastAsia="Arial" w:hAnsi="Arial" w:cs="Arial"/>
                <w:b/>
                <w:snapToGrid/>
                <w:sz w:val="20"/>
                <w:szCs w:val="20"/>
                <w:lang w:val="en-US"/>
              </w:rPr>
              <w:lastRenderedPageBreak/>
              <w:t>Task Team Members</w:t>
            </w:r>
          </w:p>
        </w:tc>
      </w:tr>
      <w:tr w:rsidR="0084305F" w:rsidRPr="0084305F" w14:paraId="3C8F23D6" w14:textId="77777777" w:rsidTr="00493FEF">
        <w:trPr>
          <w:trHeight w:val="802"/>
        </w:trPr>
        <w:tc>
          <w:tcPr>
            <w:tcW w:w="2814" w:type="dxa"/>
            <w:shd w:val="clear" w:color="auto" w:fill="D9E1F3"/>
          </w:tcPr>
          <w:p w14:paraId="7662AE67" w14:textId="77777777" w:rsidR="0084305F" w:rsidRPr="0084305F" w:rsidRDefault="0084305F" w:rsidP="0084305F">
            <w:pPr>
              <w:tabs>
                <w:tab w:val="clear" w:pos="709"/>
              </w:tabs>
              <w:snapToGrid/>
              <w:ind w:left="180"/>
              <w:rPr>
                <w:rFonts w:ascii="Arial" w:eastAsia="Arial" w:hAnsi="Arial" w:cs="Arial"/>
                <w:snapToGrid/>
                <w:sz w:val="20"/>
                <w:szCs w:val="20"/>
                <w:lang w:val="en-US"/>
              </w:rPr>
            </w:pPr>
          </w:p>
          <w:p w14:paraId="42C9AB17"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Yuji Nishimae</w:t>
            </w:r>
          </w:p>
        </w:tc>
        <w:tc>
          <w:tcPr>
            <w:tcW w:w="1842" w:type="dxa"/>
            <w:shd w:val="clear" w:color="auto" w:fill="D9E1F3"/>
          </w:tcPr>
          <w:p w14:paraId="4DB56CFE" w14:textId="77777777" w:rsidR="0084305F" w:rsidRPr="0084305F" w:rsidRDefault="0084305F" w:rsidP="0084305F">
            <w:pPr>
              <w:tabs>
                <w:tab w:val="clear" w:pos="709"/>
              </w:tabs>
              <w:snapToGrid/>
              <w:ind w:left="180"/>
              <w:rPr>
                <w:rFonts w:ascii="Arial" w:eastAsia="Arial" w:hAnsi="Arial" w:cs="Arial"/>
                <w:snapToGrid/>
                <w:sz w:val="20"/>
                <w:szCs w:val="20"/>
                <w:lang w:val="en-US"/>
              </w:rPr>
            </w:pPr>
          </w:p>
          <w:p w14:paraId="44232BBB"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Japan</w:t>
            </w:r>
          </w:p>
        </w:tc>
        <w:tc>
          <w:tcPr>
            <w:tcW w:w="2268" w:type="dxa"/>
            <w:shd w:val="clear" w:color="auto" w:fill="D9E1F3"/>
          </w:tcPr>
          <w:p w14:paraId="14518E83" w14:textId="77777777" w:rsidR="0084305F" w:rsidRPr="0084305F" w:rsidRDefault="0084305F" w:rsidP="0084305F">
            <w:pPr>
              <w:tabs>
                <w:tab w:val="clear" w:pos="709"/>
              </w:tabs>
              <w:snapToGrid/>
              <w:ind w:left="180"/>
              <w:rPr>
                <w:rFonts w:ascii="Arial" w:eastAsia="Arial" w:hAnsi="Arial" w:cs="Arial"/>
                <w:snapToGrid/>
                <w:sz w:val="20"/>
                <w:szCs w:val="20"/>
                <w:lang w:val="en-US"/>
              </w:rPr>
            </w:pPr>
          </w:p>
          <w:p w14:paraId="17D4E872"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JMA</w:t>
            </w:r>
          </w:p>
        </w:tc>
        <w:tc>
          <w:tcPr>
            <w:tcW w:w="2796" w:type="dxa"/>
            <w:shd w:val="clear" w:color="auto" w:fill="D9E1F3"/>
          </w:tcPr>
          <w:p w14:paraId="5DE6215F" w14:textId="77777777" w:rsidR="0084305F" w:rsidRPr="0084305F" w:rsidRDefault="0084305F" w:rsidP="0084305F">
            <w:pPr>
              <w:tabs>
                <w:tab w:val="clear" w:pos="709"/>
              </w:tabs>
              <w:snapToGrid/>
              <w:rPr>
                <w:rFonts w:ascii="Arial" w:eastAsia="Arial" w:hAnsi="Arial" w:cs="Arial"/>
                <w:snapToGrid/>
                <w:sz w:val="20"/>
                <w:szCs w:val="20"/>
                <w:lang w:val="en-US"/>
              </w:rPr>
            </w:pPr>
            <w:r w:rsidRPr="0084305F">
              <w:rPr>
                <w:rFonts w:ascii="Arial" w:eastAsia="Arial" w:hAnsi="Arial" w:cs="Arial"/>
                <w:snapToGrid/>
                <w:sz w:val="20"/>
                <w:szCs w:val="20"/>
                <w:lang w:val="en-US"/>
              </w:rPr>
              <w:t xml:space="preserve">   Chair of TT-TWO</w:t>
            </w:r>
          </w:p>
          <w:p w14:paraId="609B300C"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Chair of ICG/PTWS</w:t>
            </w:r>
          </w:p>
        </w:tc>
      </w:tr>
      <w:tr w:rsidR="0084305F" w:rsidRPr="0084305F" w14:paraId="048446F0" w14:textId="77777777" w:rsidTr="00493FEF">
        <w:trPr>
          <w:trHeight w:val="520"/>
        </w:trPr>
        <w:tc>
          <w:tcPr>
            <w:tcW w:w="2814" w:type="dxa"/>
            <w:vAlign w:val="center"/>
          </w:tcPr>
          <w:p w14:paraId="5A5E9CA9"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Nasser Al Ismaili</w:t>
            </w:r>
          </w:p>
        </w:tc>
        <w:tc>
          <w:tcPr>
            <w:tcW w:w="1842" w:type="dxa"/>
            <w:vAlign w:val="center"/>
          </w:tcPr>
          <w:p w14:paraId="7AACEA04"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Oman</w:t>
            </w:r>
          </w:p>
        </w:tc>
        <w:tc>
          <w:tcPr>
            <w:tcW w:w="2268" w:type="dxa"/>
            <w:vAlign w:val="center"/>
          </w:tcPr>
          <w:p w14:paraId="569A8780"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DGMAN</w:t>
            </w:r>
          </w:p>
        </w:tc>
        <w:tc>
          <w:tcPr>
            <w:tcW w:w="2796" w:type="dxa"/>
            <w:vAlign w:val="center"/>
          </w:tcPr>
          <w:p w14:paraId="014D10A5"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ICG/IOTWMS</w:t>
            </w:r>
          </w:p>
        </w:tc>
      </w:tr>
      <w:tr w:rsidR="0084305F" w:rsidRPr="0084305F" w14:paraId="71DBE962" w14:textId="77777777" w:rsidTr="00493FEF">
        <w:trPr>
          <w:trHeight w:val="520"/>
        </w:trPr>
        <w:tc>
          <w:tcPr>
            <w:tcW w:w="2814" w:type="dxa"/>
            <w:vAlign w:val="center"/>
          </w:tcPr>
          <w:p w14:paraId="61A2131E"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Helene Hebert</w:t>
            </w:r>
          </w:p>
        </w:tc>
        <w:tc>
          <w:tcPr>
            <w:tcW w:w="1842" w:type="dxa"/>
            <w:vAlign w:val="center"/>
          </w:tcPr>
          <w:p w14:paraId="21C45880"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France</w:t>
            </w:r>
          </w:p>
        </w:tc>
        <w:tc>
          <w:tcPr>
            <w:tcW w:w="2268" w:type="dxa"/>
            <w:vAlign w:val="center"/>
          </w:tcPr>
          <w:p w14:paraId="0483DEA0"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CEA</w:t>
            </w:r>
          </w:p>
        </w:tc>
        <w:tc>
          <w:tcPr>
            <w:tcW w:w="2796" w:type="dxa"/>
            <w:vAlign w:val="center"/>
          </w:tcPr>
          <w:p w14:paraId="52005579"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ICG/NEAMTWS</w:t>
            </w:r>
          </w:p>
        </w:tc>
      </w:tr>
      <w:tr w:rsidR="0084305F" w:rsidRPr="0084305F" w14:paraId="2469B68E" w14:textId="77777777" w:rsidTr="00493FEF">
        <w:trPr>
          <w:trHeight w:val="520"/>
        </w:trPr>
        <w:tc>
          <w:tcPr>
            <w:tcW w:w="2814" w:type="dxa"/>
            <w:vAlign w:val="center"/>
          </w:tcPr>
          <w:p w14:paraId="1C953A0F"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Charles McCreery</w:t>
            </w:r>
          </w:p>
        </w:tc>
        <w:tc>
          <w:tcPr>
            <w:tcW w:w="1842" w:type="dxa"/>
            <w:vAlign w:val="center"/>
          </w:tcPr>
          <w:p w14:paraId="23E102D4"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USA</w:t>
            </w:r>
          </w:p>
        </w:tc>
        <w:tc>
          <w:tcPr>
            <w:tcW w:w="2268" w:type="dxa"/>
            <w:vAlign w:val="center"/>
          </w:tcPr>
          <w:p w14:paraId="0A364D65"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NOAA/PTWC</w:t>
            </w:r>
          </w:p>
        </w:tc>
        <w:tc>
          <w:tcPr>
            <w:tcW w:w="2796" w:type="dxa"/>
            <w:vAlign w:val="center"/>
          </w:tcPr>
          <w:p w14:paraId="6043CF04"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ICG/CARIBE-EWS</w:t>
            </w:r>
          </w:p>
        </w:tc>
      </w:tr>
      <w:tr w:rsidR="0084305F" w:rsidRPr="0084305F" w14:paraId="19F59316" w14:textId="77777777" w:rsidTr="00493FEF">
        <w:trPr>
          <w:trHeight w:val="520"/>
        </w:trPr>
        <w:tc>
          <w:tcPr>
            <w:tcW w:w="2814" w:type="dxa"/>
            <w:vAlign w:val="center"/>
          </w:tcPr>
          <w:p w14:paraId="068D20DC" w14:textId="77777777" w:rsidR="0084305F" w:rsidRPr="0084305F" w:rsidRDefault="0084305F" w:rsidP="0084305F">
            <w:pPr>
              <w:tabs>
                <w:tab w:val="clear" w:pos="709"/>
              </w:tabs>
              <w:snapToGrid/>
              <w:ind w:left="180"/>
              <w:rPr>
                <w:rFonts w:ascii="Arial" w:eastAsia="Arial" w:hAnsi="Arial" w:cs="Arial"/>
                <w:snapToGrid/>
                <w:sz w:val="20"/>
                <w:szCs w:val="20"/>
                <w:lang w:val="en-US"/>
              </w:rPr>
            </w:pPr>
            <w:proofErr w:type="spellStart"/>
            <w:r w:rsidRPr="0084305F">
              <w:rPr>
                <w:rFonts w:ascii="Arial" w:eastAsia="Arial" w:hAnsi="Arial" w:cs="Arial"/>
                <w:snapToGrid/>
                <w:sz w:val="20"/>
                <w:szCs w:val="20"/>
                <w:lang w:val="en-US"/>
              </w:rPr>
              <w:t>Jijjavarapu</w:t>
            </w:r>
            <w:proofErr w:type="spellEnd"/>
            <w:r w:rsidRPr="0084305F">
              <w:rPr>
                <w:rFonts w:ascii="Arial" w:eastAsia="Arial" w:hAnsi="Arial" w:cs="Arial"/>
                <w:snapToGrid/>
                <w:sz w:val="20"/>
                <w:szCs w:val="20"/>
                <w:lang w:val="en-US"/>
              </w:rPr>
              <w:t xml:space="preserve"> Padmanabham</w:t>
            </w:r>
          </w:p>
        </w:tc>
        <w:tc>
          <w:tcPr>
            <w:tcW w:w="1842" w:type="dxa"/>
            <w:vAlign w:val="center"/>
          </w:tcPr>
          <w:p w14:paraId="6F323F08"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India</w:t>
            </w:r>
          </w:p>
        </w:tc>
        <w:tc>
          <w:tcPr>
            <w:tcW w:w="2268" w:type="dxa"/>
            <w:vAlign w:val="center"/>
          </w:tcPr>
          <w:p w14:paraId="75A90F10"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INCOIS</w:t>
            </w:r>
          </w:p>
        </w:tc>
        <w:tc>
          <w:tcPr>
            <w:tcW w:w="2796" w:type="dxa"/>
            <w:vAlign w:val="center"/>
          </w:tcPr>
          <w:p w14:paraId="71B3CE13"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ICG/IOTWMS</w:t>
            </w:r>
          </w:p>
        </w:tc>
      </w:tr>
      <w:tr w:rsidR="0084305F" w:rsidRPr="0084305F" w14:paraId="72FBFD82" w14:textId="77777777" w:rsidTr="00493FEF">
        <w:trPr>
          <w:trHeight w:val="520"/>
        </w:trPr>
        <w:tc>
          <w:tcPr>
            <w:tcW w:w="2814" w:type="dxa"/>
            <w:vAlign w:val="center"/>
          </w:tcPr>
          <w:p w14:paraId="7D1860EB"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Alessio Piatanesi</w:t>
            </w:r>
          </w:p>
        </w:tc>
        <w:tc>
          <w:tcPr>
            <w:tcW w:w="1842" w:type="dxa"/>
            <w:vAlign w:val="center"/>
          </w:tcPr>
          <w:p w14:paraId="2B4B24D6"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Italy</w:t>
            </w:r>
          </w:p>
        </w:tc>
        <w:tc>
          <w:tcPr>
            <w:tcW w:w="2268" w:type="dxa"/>
            <w:vAlign w:val="center"/>
          </w:tcPr>
          <w:p w14:paraId="7CD0FD2E"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INGV</w:t>
            </w:r>
          </w:p>
        </w:tc>
        <w:tc>
          <w:tcPr>
            <w:tcW w:w="2796" w:type="dxa"/>
            <w:vAlign w:val="center"/>
          </w:tcPr>
          <w:p w14:paraId="788DCCF0"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ICG/NEAMTWS</w:t>
            </w:r>
          </w:p>
        </w:tc>
      </w:tr>
      <w:tr w:rsidR="0084305F" w:rsidRPr="0084305F" w14:paraId="76382F79" w14:textId="77777777" w:rsidTr="00493FEF">
        <w:trPr>
          <w:trHeight w:val="520"/>
        </w:trPr>
        <w:tc>
          <w:tcPr>
            <w:tcW w:w="2814" w:type="dxa"/>
            <w:vAlign w:val="center"/>
          </w:tcPr>
          <w:p w14:paraId="48395AD6"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Elizabeth Vanacore</w:t>
            </w:r>
          </w:p>
        </w:tc>
        <w:tc>
          <w:tcPr>
            <w:tcW w:w="1842" w:type="dxa"/>
            <w:vAlign w:val="center"/>
          </w:tcPr>
          <w:p w14:paraId="5B5EB243"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USA</w:t>
            </w:r>
          </w:p>
        </w:tc>
        <w:tc>
          <w:tcPr>
            <w:tcW w:w="2268" w:type="dxa"/>
            <w:vAlign w:val="center"/>
          </w:tcPr>
          <w:p w14:paraId="5AE98B1B"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University of Puerto Rico</w:t>
            </w:r>
          </w:p>
        </w:tc>
        <w:tc>
          <w:tcPr>
            <w:tcW w:w="2796" w:type="dxa"/>
            <w:vAlign w:val="center"/>
          </w:tcPr>
          <w:p w14:paraId="4C8A71AF"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ICG/CARIBE-EWS</w:t>
            </w:r>
          </w:p>
        </w:tc>
      </w:tr>
      <w:tr w:rsidR="0084305F" w:rsidRPr="0084305F" w14:paraId="54C86746" w14:textId="77777777" w:rsidTr="00493FEF">
        <w:trPr>
          <w:trHeight w:val="520"/>
        </w:trPr>
        <w:tc>
          <w:tcPr>
            <w:tcW w:w="2814" w:type="dxa"/>
            <w:vAlign w:val="center"/>
          </w:tcPr>
          <w:p w14:paraId="64821A2F"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Dakui Wang</w:t>
            </w:r>
          </w:p>
        </w:tc>
        <w:tc>
          <w:tcPr>
            <w:tcW w:w="1842" w:type="dxa"/>
            <w:vAlign w:val="center"/>
          </w:tcPr>
          <w:p w14:paraId="6E336632"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 xml:space="preserve">China </w:t>
            </w:r>
          </w:p>
        </w:tc>
        <w:tc>
          <w:tcPr>
            <w:tcW w:w="2268" w:type="dxa"/>
            <w:vAlign w:val="center"/>
          </w:tcPr>
          <w:p w14:paraId="44E4864C"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NMEFC</w:t>
            </w:r>
          </w:p>
        </w:tc>
        <w:tc>
          <w:tcPr>
            <w:tcW w:w="2796" w:type="dxa"/>
            <w:vAlign w:val="center"/>
          </w:tcPr>
          <w:p w14:paraId="0E00EE73"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ICG/PTWS</w:t>
            </w:r>
          </w:p>
        </w:tc>
      </w:tr>
      <w:tr w:rsidR="0084305F" w:rsidRPr="0084305F" w14:paraId="4BD934F5" w14:textId="77777777" w:rsidTr="00493FEF">
        <w:trPr>
          <w:trHeight w:val="521"/>
        </w:trPr>
        <w:tc>
          <w:tcPr>
            <w:tcW w:w="9720" w:type="dxa"/>
            <w:gridSpan w:val="4"/>
            <w:vAlign w:val="center"/>
          </w:tcPr>
          <w:p w14:paraId="272EDCCC" w14:textId="77777777" w:rsidR="0084305F" w:rsidRPr="0084305F" w:rsidRDefault="0084305F" w:rsidP="0084305F">
            <w:pPr>
              <w:tabs>
                <w:tab w:val="clear" w:pos="709"/>
              </w:tabs>
              <w:snapToGrid/>
              <w:ind w:left="180"/>
              <w:rPr>
                <w:rFonts w:ascii="Arial" w:eastAsia="Arial" w:hAnsi="Arial" w:cs="Arial"/>
                <w:b/>
                <w:snapToGrid/>
                <w:sz w:val="20"/>
                <w:szCs w:val="20"/>
                <w:lang w:val="en-US"/>
              </w:rPr>
            </w:pPr>
            <w:r w:rsidRPr="0084305F">
              <w:rPr>
                <w:rFonts w:ascii="Arial" w:eastAsia="Arial" w:hAnsi="Arial" w:cs="Arial"/>
                <w:b/>
                <w:snapToGrid/>
                <w:sz w:val="20"/>
                <w:szCs w:val="20"/>
                <w:lang w:val="en-US"/>
              </w:rPr>
              <w:t>Invited Experts and Observers</w:t>
            </w:r>
          </w:p>
        </w:tc>
      </w:tr>
      <w:tr w:rsidR="0084305F" w:rsidRPr="0084305F" w14:paraId="19C6C7AA" w14:textId="77777777" w:rsidTr="00493FEF">
        <w:trPr>
          <w:trHeight w:val="520"/>
        </w:trPr>
        <w:tc>
          <w:tcPr>
            <w:tcW w:w="2814" w:type="dxa"/>
            <w:vAlign w:val="center"/>
          </w:tcPr>
          <w:p w14:paraId="66D17358"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Bruce Howe</w:t>
            </w:r>
          </w:p>
        </w:tc>
        <w:tc>
          <w:tcPr>
            <w:tcW w:w="1842" w:type="dxa"/>
            <w:vAlign w:val="center"/>
          </w:tcPr>
          <w:p w14:paraId="0C42D6BB"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USA</w:t>
            </w:r>
          </w:p>
        </w:tc>
        <w:tc>
          <w:tcPr>
            <w:tcW w:w="2268" w:type="dxa"/>
            <w:vAlign w:val="center"/>
          </w:tcPr>
          <w:p w14:paraId="7B347CA7"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University of Hawaii</w:t>
            </w:r>
          </w:p>
        </w:tc>
        <w:tc>
          <w:tcPr>
            <w:tcW w:w="2796" w:type="dxa"/>
            <w:vAlign w:val="center"/>
          </w:tcPr>
          <w:p w14:paraId="279EFFC4"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SMART Cables JTF</w:t>
            </w:r>
          </w:p>
        </w:tc>
      </w:tr>
      <w:tr w:rsidR="0084305F" w:rsidRPr="0084305F" w14:paraId="20271287" w14:textId="77777777" w:rsidTr="00493FEF">
        <w:trPr>
          <w:trHeight w:val="520"/>
        </w:trPr>
        <w:tc>
          <w:tcPr>
            <w:tcW w:w="2814" w:type="dxa"/>
            <w:vAlign w:val="center"/>
          </w:tcPr>
          <w:p w14:paraId="79E686D7"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Ceci Rodriguez Cruz</w:t>
            </w:r>
          </w:p>
        </w:tc>
        <w:tc>
          <w:tcPr>
            <w:tcW w:w="1842" w:type="dxa"/>
            <w:vAlign w:val="center"/>
          </w:tcPr>
          <w:p w14:paraId="1BCFEE41"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USA</w:t>
            </w:r>
          </w:p>
        </w:tc>
        <w:tc>
          <w:tcPr>
            <w:tcW w:w="2268" w:type="dxa"/>
            <w:vAlign w:val="center"/>
          </w:tcPr>
          <w:p w14:paraId="12F3E8BE"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University of Hawaii</w:t>
            </w:r>
          </w:p>
        </w:tc>
        <w:tc>
          <w:tcPr>
            <w:tcW w:w="2796" w:type="dxa"/>
            <w:vAlign w:val="center"/>
          </w:tcPr>
          <w:p w14:paraId="32346C2F" w14:textId="77777777" w:rsidR="0084305F" w:rsidRPr="0084305F" w:rsidRDefault="0084305F" w:rsidP="0084305F">
            <w:pPr>
              <w:tabs>
                <w:tab w:val="clear" w:pos="709"/>
              </w:tabs>
              <w:snapToGrid/>
              <w:ind w:left="180"/>
              <w:rPr>
                <w:rFonts w:ascii="Arial" w:eastAsia="Arial" w:hAnsi="Arial" w:cs="Arial"/>
                <w:snapToGrid/>
                <w:sz w:val="20"/>
                <w:szCs w:val="20"/>
                <w:lang w:val="en-US"/>
              </w:rPr>
            </w:pPr>
            <w:r w:rsidRPr="0084305F">
              <w:rPr>
                <w:rFonts w:ascii="Arial" w:eastAsia="Arial" w:hAnsi="Arial" w:cs="Arial"/>
                <w:snapToGrid/>
                <w:sz w:val="20"/>
                <w:szCs w:val="20"/>
                <w:lang w:val="en-US"/>
              </w:rPr>
              <w:t>SMART Cables JTF</w:t>
            </w:r>
          </w:p>
        </w:tc>
      </w:tr>
    </w:tbl>
    <w:p w14:paraId="15FE9B83" w14:textId="77777777" w:rsidR="0084305F" w:rsidRPr="0084305F" w:rsidRDefault="0084305F" w:rsidP="0084305F">
      <w:pPr>
        <w:tabs>
          <w:tab w:val="clear" w:pos="709"/>
        </w:tabs>
        <w:snapToGrid/>
        <w:spacing w:before="240" w:after="240" w:line="276" w:lineRule="auto"/>
        <w:ind w:left="180"/>
        <w:jc w:val="center"/>
        <w:rPr>
          <w:rFonts w:ascii="Arial" w:eastAsia="Arial" w:hAnsi="Arial" w:cs="Arial"/>
          <w:snapToGrid/>
          <w:sz w:val="20"/>
          <w:szCs w:val="20"/>
          <w:lang w:val="en-US"/>
        </w:rPr>
      </w:pPr>
    </w:p>
    <w:p w14:paraId="63A0BB97" w14:textId="77777777" w:rsidR="0084305F" w:rsidRPr="0084305F" w:rsidRDefault="0084305F" w:rsidP="0084305F">
      <w:pPr>
        <w:tabs>
          <w:tab w:val="clear" w:pos="709"/>
        </w:tabs>
        <w:snapToGrid/>
        <w:spacing w:after="160" w:line="276" w:lineRule="auto"/>
        <w:ind w:left="180"/>
        <w:jc w:val="center"/>
        <w:rPr>
          <w:rFonts w:ascii="Arial" w:eastAsia="Arial" w:hAnsi="Arial" w:cs="Arial"/>
          <w:snapToGrid/>
          <w:sz w:val="20"/>
          <w:szCs w:val="20"/>
          <w:lang w:val="en-US"/>
        </w:rPr>
      </w:pPr>
    </w:p>
    <w:p w14:paraId="2849893E" w14:textId="77777777" w:rsidR="0084305F" w:rsidRPr="0084305F" w:rsidRDefault="0084305F" w:rsidP="0084305F">
      <w:pPr>
        <w:tabs>
          <w:tab w:val="clear" w:pos="709"/>
        </w:tabs>
        <w:snapToGrid/>
        <w:spacing w:after="160" w:line="259" w:lineRule="auto"/>
        <w:rPr>
          <w:rFonts w:ascii="Aptos" w:eastAsia="Aptos" w:hAnsi="Aptos" w:cs="Aptos"/>
          <w:snapToGrid/>
          <w:sz w:val="22"/>
          <w:szCs w:val="22"/>
          <w:lang w:val="en-US"/>
        </w:rPr>
      </w:pPr>
    </w:p>
    <w:p w14:paraId="542C1F58" w14:textId="77777777" w:rsidR="00B96A2A" w:rsidRPr="00B96A2A" w:rsidRDefault="00B96A2A" w:rsidP="00B96A2A">
      <w:pPr>
        <w:tabs>
          <w:tab w:val="clear" w:pos="709"/>
        </w:tabs>
        <w:snapToGrid/>
        <w:spacing w:after="160" w:line="278" w:lineRule="auto"/>
        <w:rPr>
          <w:rFonts w:ascii="Aptos" w:eastAsia="DengXian" w:hAnsi="Aptos" w:cs="Arial"/>
          <w:snapToGrid/>
          <w:kern w:val="2"/>
          <w:lang w:val="en-US"/>
          <w14:ligatures w14:val="standardContextual"/>
        </w:rPr>
      </w:pPr>
      <w:bookmarkStart w:id="286" w:name="_heading=h.30j0zll" w:colFirst="0" w:colLast="0"/>
      <w:bookmarkEnd w:id="286"/>
    </w:p>
    <w:p w14:paraId="3BBB4FE1" w14:textId="77777777" w:rsidR="00B96A2A" w:rsidRPr="00B96A2A" w:rsidRDefault="00B96A2A" w:rsidP="00B96A2A">
      <w:pPr>
        <w:tabs>
          <w:tab w:val="clear" w:pos="709"/>
        </w:tabs>
        <w:snapToGrid/>
        <w:spacing w:after="160" w:line="278" w:lineRule="auto"/>
        <w:rPr>
          <w:rFonts w:ascii="Aptos" w:eastAsia="DengXian" w:hAnsi="Aptos" w:cs="Arial"/>
          <w:snapToGrid/>
          <w:kern w:val="2"/>
          <w:lang w:val="en-US"/>
          <w14:ligatures w14:val="standardContextual"/>
        </w:rPr>
      </w:pPr>
    </w:p>
    <w:p w14:paraId="1BF44D92" w14:textId="77777777" w:rsidR="00B96A2A" w:rsidRPr="00B96A2A" w:rsidRDefault="00B96A2A" w:rsidP="00B96A2A">
      <w:pPr>
        <w:tabs>
          <w:tab w:val="clear" w:pos="709"/>
        </w:tabs>
        <w:snapToGrid/>
        <w:spacing w:after="160" w:line="278" w:lineRule="auto"/>
        <w:rPr>
          <w:rFonts w:ascii="Aptos" w:eastAsia="DengXian" w:hAnsi="Aptos" w:cs="Arial"/>
          <w:snapToGrid/>
          <w:kern w:val="2"/>
          <w:lang w:val="en-US"/>
          <w14:ligatures w14:val="standardContextual"/>
        </w:rPr>
        <w:sectPr w:rsidR="00B96A2A" w:rsidRPr="00B96A2A" w:rsidSect="008D5458">
          <w:headerReference w:type="default" r:id="rId83"/>
          <w:pgSz w:w="11906" w:h="16838"/>
          <w:pgMar w:top="1417" w:right="1417" w:bottom="1417" w:left="1417" w:header="708" w:footer="708" w:gutter="0"/>
          <w:pgNumType w:start="1"/>
          <w:cols w:space="708"/>
          <w:docGrid w:linePitch="360"/>
        </w:sectPr>
      </w:pPr>
    </w:p>
    <w:p w14:paraId="64158C2D" w14:textId="00731C96" w:rsidR="00B96A2A" w:rsidRDefault="00B96A2A" w:rsidP="00B96A2A">
      <w:pPr>
        <w:tabs>
          <w:tab w:val="clear" w:pos="709"/>
        </w:tabs>
        <w:snapToGrid/>
        <w:jc w:val="center"/>
        <w:rPr>
          <w:rFonts w:ascii="Arial" w:hAnsi="Arial" w:cs="Arial"/>
          <w:sz w:val="22"/>
        </w:rPr>
      </w:pPr>
      <w:bookmarkStart w:id="287" w:name="A5"/>
      <w:r w:rsidRPr="00414196">
        <w:rPr>
          <w:rFonts w:ascii="Arial" w:hAnsi="Arial" w:cs="Arial"/>
          <w:sz w:val="22"/>
        </w:rPr>
        <w:lastRenderedPageBreak/>
        <w:t>ANNEX V</w:t>
      </w:r>
      <w:bookmarkEnd w:id="287"/>
    </w:p>
    <w:p w14:paraId="29AF75D6" w14:textId="77777777" w:rsidR="00B96A2A" w:rsidRPr="006946D0" w:rsidRDefault="00B96A2A" w:rsidP="00B96A2A">
      <w:pPr>
        <w:tabs>
          <w:tab w:val="clear" w:pos="709"/>
        </w:tabs>
        <w:snapToGrid/>
        <w:jc w:val="center"/>
        <w:rPr>
          <w:rFonts w:ascii="Arial" w:hAnsi="Arial" w:cs="Arial"/>
          <w:color w:val="000000"/>
          <w:sz w:val="22"/>
          <w:szCs w:val="22"/>
        </w:rPr>
      </w:pPr>
    </w:p>
    <w:p w14:paraId="4B486444" w14:textId="77777777" w:rsidR="00B96A2A" w:rsidRPr="004766A7" w:rsidRDefault="00B96A2A" w:rsidP="00B96A2A">
      <w:pPr>
        <w:spacing w:after="120"/>
        <w:jc w:val="center"/>
      </w:pPr>
      <w:r w:rsidRPr="004766A7">
        <w:rPr>
          <w:rFonts w:ascii="Arial" w:hAnsi="Arial" w:cs="Arial"/>
          <w:b/>
          <w:sz w:val="22"/>
        </w:rPr>
        <w:t xml:space="preserve">REPORT OF THE TOWS-WG INTER-ICG TASK TEAM </w:t>
      </w:r>
      <w:r w:rsidRPr="004766A7">
        <w:rPr>
          <w:rFonts w:ascii="Arial" w:hAnsi="Arial" w:cs="Arial"/>
          <w:b/>
          <w:sz w:val="22"/>
        </w:rPr>
        <w:br/>
        <w:t>ON TSUNAMI WATCH OPERATIONS</w:t>
      </w:r>
    </w:p>
    <w:p w14:paraId="333B5028" w14:textId="77777777" w:rsidR="00B96A2A" w:rsidRPr="0016039C" w:rsidRDefault="00B96A2A" w:rsidP="00B96A2A">
      <w:pPr>
        <w:spacing w:after="240"/>
        <w:jc w:val="center"/>
        <w:rPr>
          <w:rFonts w:ascii="Arial" w:hAnsi="Arial" w:cs="Arial"/>
          <w:color w:val="000000"/>
          <w:sz w:val="22"/>
          <w:szCs w:val="22"/>
        </w:rPr>
      </w:pPr>
      <w:r>
        <w:rPr>
          <w:rFonts w:ascii="Arial" w:hAnsi="Arial" w:cs="Arial"/>
          <w:color w:val="000000"/>
          <w:sz w:val="22"/>
          <w:szCs w:val="22"/>
        </w:rPr>
        <w:t>21–22</w:t>
      </w:r>
      <w:r w:rsidRPr="0016039C">
        <w:rPr>
          <w:rFonts w:ascii="Arial" w:hAnsi="Arial" w:cs="Arial"/>
          <w:color w:val="000000"/>
          <w:sz w:val="22"/>
          <w:szCs w:val="22"/>
        </w:rPr>
        <w:t xml:space="preserve"> February 20</w:t>
      </w:r>
      <w:r>
        <w:rPr>
          <w:rFonts w:ascii="Arial" w:hAnsi="Arial" w:cs="Arial"/>
          <w:color w:val="000000"/>
          <w:sz w:val="22"/>
          <w:szCs w:val="22"/>
        </w:rPr>
        <w:t>25</w:t>
      </w:r>
      <w:r>
        <w:rPr>
          <w:rFonts w:ascii="Arial" w:hAnsi="Arial" w:cs="Arial"/>
          <w:color w:val="000000"/>
          <w:sz w:val="22"/>
          <w:szCs w:val="22"/>
        </w:rPr>
        <w:br/>
        <w:t>Paris, France</w:t>
      </w:r>
    </w:p>
    <w:p w14:paraId="057EE501" w14:textId="77777777" w:rsidR="00B96A2A" w:rsidRDefault="00B96A2A" w:rsidP="00B96A2A">
      <w:pPr>
        <w:rPr>
          <w:rFonts w:ascii="Arial" w:eastAsia="Arial" w:hAnsi="Arial" w:cs="Arial"/>
          <w:b/>
          <w:sz w:val="28"/>
          <w:szCs w:val="28"/>
        </w:rPr>
      </w:pPr>
      <w:bookmarkStart w:id="288" w:name="_heading=h.gjdgxs" w:colFirst="0" w:colLast="0"/>
      <w:bookmarkEnd w:id="288"/>
    </w:p>
    <w:tbl>
      <w:tblPr>
        <w:tblW w:w="10305"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325"/>
      </w:tblGrid>
      <w:tr w:rsidR="00B96A2A" w14:paraId="1CBFE251" w14:textId="77777777" w:rsidTr="00C436F6">
        <w:tc>
          <w:tcPr>
            <w:tcW w:w="1980" w:type="dxa"/>
            <w:shd w:val="clear" w:color="auto" w:fill="auto"/>
          </w:tcPr>
          <w:p w14:paraId="7023FC00" w14:textId="77777777" w:rsidR="00B96A2A" w:rsidRDefault="00B96A2A" w:rsidP="00C436F6">
            <w:pPr>
              <w:jc w:val="center"/>
              <w:rPr>
                <w:rFonts w:ascii="Arial" w:eastAsia="Arial" w:hAnsi="Arial" w:cs="Arial"/>
                <w:b/>
                <w:sz w:val="28"/>
                <w:szCs w:val="28"/>
              </w:rPr>
            </w:pPr>
            <w:r>
              <w:rPr>
                <w:rFonts w:ascii="Arial" w:eastAsia="Arial" w:hAnsi="Arial" w:cs="Arial"/>
                <w:b/>
                <w:noProof/>
                <w:sz w:val="28"/>
                <w:szCs w:val="28"/>
                <w:lang w:val="es-ES"/>
              </w:rPr>
              <w:drawing>
                <wp:inline distT="0" distB="0" distL="0" distR="0" wp14:anchorId="744477C9" wp14:editId="01B45415">
                  <wp:extent cx="1149350" cy="107505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6"/>
                          <a:srcRect/>
                          <a:stretch>
                            <a:fillRect/>
                          </a:stretch>
                        </pic:blipFill>
                        <pic:spPr>
                          <a:xfrm>
                            <a:off x="0" y="0"/>
                            <a:ext cx="1149350" cy="1075055"/>
                          </a:xfrm>
                          <a:prstGeom prst="rect">
                            <a:avLst/>
                          </a:prstGeom>
                          <a:ln/>
                        </pic:spPr>
                      </pic:pic>
                    </a:graphicData>
                  </a:graphic>
                </wp:inline>
              </w:drawing>
            </w:r>
          </w:p>
        </w:tc>
        <w:tc>
          <w:tcPr>
            <w:tcW w:w="8325" w:type="dxa"/>
            <w:shd w:val="clear" w:color="auto" w:fill="auto"/>
          </w:tcPr>
          <w:p w14:paraId="2F878563" w14:textId="77777777" w:rsidR="00B96A2A" w:rsidRDefault="00B96A2A" w:rsidP="00C436F6">
            <w:pPr>
              <w:ind w:left="-427"/>
              <w:jc w:val="center"/>
              <w:rPr>
                <w:rFonts w:ascii="Arial" w:eastAsia="Arial" w:hAnsi="Arial" w:cs="Arial"/>
                <w:b/>
                <w:sz w:val="28"/>
                <w:szCs w:val="28"/>
              </w:rPr>
            </w:pPr>
            <w:r>
              <w:rPr>
                <w:rFonts w:ascii="Arial" w:eastAsia="Arial" w:hAnsi="Arial" w:cs="Arial"/>
                <w:b/>
                <w:sz w:val="28"/>
                <w:szCs w:val="28"/>
              </w:rPr>
              <w:t xml:space="preserve">MEETING OF THE INTER-ICG TASK TEAM ON </w:t>
            </w:r>
          </w:p>
          <w:p w14:paraId="7D14E454" w14:textId="77777777" w:rsidR="00B96A2A" w:rsidRDefault="00B96A2A" w:rsidP="00C436F6">
            <w:pPr>
              <w:ind w:left="-427"/>
              <w:jc w:val="center"/>
              <w:rPr>
                <w:rFonts w:ascii="Arial" w:eastAsia="Arial" w:hAnsi="Arial" w:cs="Arial"/>
                <w:b/>
                <w:sz w:val="28"/>
                <w:szCs w:val="28"/>
              </w:rPr>
            </w:pPr>
            <w:r>
              <w:rPr>
                <w:rFonts w:ascii="Arial" w:eastAsia="Arial" w:hAnsi="Arial" w:cs="Arial"/>
                <w:b/>
                <w:sz w:val="28"/>
                <w:szCs w:val="28"/>
              </w:rPr>
              <w:t>TSUNAMI WATCH OPERATIONS</w:t>
            </w:r>
          </w:p>
          <w:p w14:paraId="258861A7" w14:textId="77777777" w:rsidR="00B96A2A" w:rsidRDefault="00B96A2A" w:rsidP="00C436F6">
            <w:pPr>
              <w:ind w:left="-427"/>
              <w:jc w:val="center"/>
              <w:rPr>
                <w:rFonts w:ascii="Arial" w:eastAsia="Arial" w:hAnsi="Arial" w:cs="Arial"/>
              </w:rPr>
            </w:pPr>
          </w:p>
          <w:p w14:paraId="7C17164F" w14:textId="77777777" w:rsidR="00B96A2A" w:rsidRDefault="00B96A2A" w:rsidP="00C436F6">
            <w:pPr>
              <w:ind w:left="-427"/>
              <w:jc w:val="center"/>
              <w:rPr>
                <w:rFonts w:ascii="Arial" w:eastAsia="Arial" w:hAnsi="Arial" w:cs="Arial"/>
                <w:b/>
              </w:rPr>
            </w:pPr>
            <w:r>
              <w:rPr>
                <w:rFonts w:ascii="Arial" w:eastAsia="Arial" w:hAnsi="Arial" w:cs="Arial"/>
                <w:b/>
              </w:rPr>
              <w:t>INTERGOVERNMENTAL OCEANOGRAPHIC COMMISSION (IOC) of UNESCO</w:t>
            </w:r>
          </w:p>
        </w:tc>
      </w:tr>
      <w:tr w:rsidR="00B96A2A" w14:paraId="3D8EC430" w14:textId="77777777" w:rsidTr="00C436F6">
        <w:tc>
          <w:tcPr>
            <w:tcW w:w="1980" w:type="dxa"/>
            <w:shd w:val="clear" w:color="auto" w:fill="auto"/>
          </w:tcPr>
          <w:p w14:paraId="0859FC98" w14:textId="77777777" w:rsidR="00B96A2A" w:rsidRDefault="00B96A2A" w:rsidP="00C436F6">
            <w:pPr>
              <w:jc w:val="center"/>
              <w:rPr>
                <w:rFonts w:ascii="Arial" w:eastAsia="Arial" w:hAnsi="Arial" w:cs="Arial"/>
                <w:b/>
                <w:sz w:val="28"/>
                <w:szCs w:val="28"/>
              </w:rPr>
            </w:pPr>
          </w:p>
        </w:tc>
        <w:tc>
          <w:tcPr>
            <w:tcW w:w="8325" w:type="dxa"/>
            <w:shd w:val="clear" w:color="auto" w:fill="auto"/>
          </w:tcPr>
          <w:p w14:paraId="7F3C0B69" w14:textId="77777777" w:rsidR="00B96A2A" w:rsidRDefault="00B96A2A" w:rsidP="00C436F6">
            <w:pPr>
              <w:ind w:left="-1136"/>
              <w:jc w:val="center"/>
              <w:rPr>
                <w:rFonts w:ascii="Arial" w:eastAsia="Arial" w:hAnsi="Arial" w:cs="Arial"/>
                <w:b/>
                <w:sz w:val="28"/>
                <w:szCs w:val="28"/>
              </w:rPr>
            </w:pPr>
            <w:r>
              <w:rPr>
                <w:rFonts w:ascii="Arial" w:eastAsia="Arial" w:hAnsi="Arial" w:cs="Arial"/>
                <w:color w:val="808080"/>
              </w:rPr>
              <w:t xml:space="preserve">21 - 22 February 2025 </w:t>
            </w:r>
          </w:p>
        </w:tc>
      </w:tr>
    </w:tbl>
    <w:p w14:paraId="290947D2" w14:textId="77777777" w:rsidR="00B96A2A" w:rsidRDefault="00B96A2A" w:rsidP="00B96A2A">
      <w:pPr>
        <w:jc w:val="center"/>
        <w:rPr>
          <w:rFonts w:ascii="Arial" w:eastAsia="Arial" w:hAnsi="Arial" w:cs="Arial"/>
        </w:rPr>
      </w:pPr>
    </w:p>
    <w:p w14:paraId="641509B8" w14:textId="77777777" w:rsidR="00B96A2A" w:rsidRDefault="00B96A2A" w:rsidP="00B96A2A">
      <w:pPr>
        <w:jc w:val="center"/>
        <w:rPr>
          <w:rFonts w:asciiTheme="minorBidi" w:eastAsia="Arial" w:hAnsiTheme="minorBidi"/>
        </w:rPr>
      </w:pPr>
      <w:r>
        <w:rPr>
          <w:rFonts w:ascii="Arial" w:eastAsia="Arial" w:hAnsi="Arial" w:cs="Arial"/>
        </w:rPr>
        <w:t xml:space="preserve">UNESCO/IOC </w:t>
      </w:r>
      <w:r w:rsidRPr="00931791">
        <w:rPr>
          <w:rFonts w:asciiTheme="minorBidi" w:eastAsia="Arial" w:hAnsiTheme="minorBidi"/>
        </w:rPr>
        <w:t xml:space="preserve">Working Group on Tsunamis and Other Hazards </w:t>
      </w:r>
    </w:p>
    <w:p w14:paraId="1622CE29" w14:textId="77777777" w:rsidR="00B96A2A" w:rsidRDefault="00B96A2A" w:rsidP="00B96A2A">
      <w:pPr>
        <w:jc w:val="center"/>
        <w:rPr>
          <w:rFonts w:ascii="Arial" w:eastAsia="Arial" w:hAnsi="Arial" w:cs="Arial"/>
        </w:rPr>
      </w:pPr>
      <w:r w:rsidRPr="00931791">
        <w:rPr>
          <w:rFonts w:asciiTheme="minorBidi" w:eastAsia="Arial" w:hAnsiTheme="minorBidi"/>
        </w:rPr>
        <w:t>Related to Sea-Level Warning and Mitigation Systems (</w:t>
      </w:r>
      <w:r w:rsidRPr="00310523">
        <w:rPr>
          <w:rFonts w:ascii="Arial" w:eastAsia="Arial" w:hAnsi="Arial" w:cs="Arial"/>
        </w:rPr>
        <w:t>TOWS-WG</w:t>
      </w:r>
      <w:r>
        <w:rPr>
          <w:rFonts w:ascii="Arial" w:eastAsia="Arial" w:hAnsi="Arial" w:cs="Arial"/>
        </w:rPr>
        <w:t>):</w:t>
      </w:r>
      <w:r w:rsidRPr="00310523">
        <w:rPr>
          <w:rFonts w:ascii="Arial" w:eastAsia="Arial" w:hAnsi="Arial" w:cs="Arial"/>
        </w:rPr>
        <w:t xml:space="preserve"> </w:t>
      </w:r>
    </w:p>
    <w:p w14:paraId="504BA71A" w14:textId="77777777" w:rsidR="00B96A2A" w:rsidRDefault="00B96A2A" w:rsidP="00B96A2A">
      <w:pPr>
        <w:widowControl w:val="0"/>
        <w:jc w:val="center"/>
        <w:rPr>
          <w:rFonts w:ascii="Arial" w:eastAsia="Arial" w:hAnsi="Arial" w:cs="Arial"/>
          <w:b/>
        </w:rPr>
      </w:pPr>
      <w:r>
        <w:rPr>
          <w:rFonts w:ascii="Arial" w:eastAsia="Arial" w:hAnsi="Arial" w:cs="Arial"/>
          <w:b/>
        </w:rPr>
        <w:t xml:space="preserve">Task Team on Tsunami Watch Operations (TT-TWO)  </w:t>
      </w:r>
    </w:p>
    <w:p w14:paraId="015670BB" w14:textId="77777777" w:rsidR="00B96A2A" w:rsidRDefault="00B96A2A" w:rsidP="00B96A2A">
      <w:pPr>
        <w:widowControl w:val="0"/>
        <w:jc w:val="center"/>
        <w:rPr>
          <w:rFonts w:ascii="Arial" w:eastAsia="Arial" w:hAnsi="Arial" w:cs="Arial"/>
          <w:b/>
        </w:rPr>
      </w:pPr>
    </w:p>
    <w:p w14:paraId="0650A3EC" w14:textId="77777777" w:rsidR="00B96A2A" w:rsidRPr="00B96A2A" w:rsidRDefault="00B96A2A" w:rsidP="00B96A2A">
      <w:pPr>
        <w:tabs>
          <w:tab w:val="clear" w:pos="709"/>
        </w:tabs>
        <w:snapToGrid/>
        <w:spacing w:after="160" w:line="278" w:lineRule="auto"/>
        <w:rPr>
          <w:rFonts w:ascii="Aptos" w:eastAsia="DengXian" w:hAnsi="Aptos" w:cs="Arial"/>
          <w:snapToGrid/>
          <w:kern w:val="2"/>
          <w14:ligatures w14:val="standardContextual"/>
        </w:rPr>
      </w:pPr>
    </w:p>
    <w:p w14:paraId="5EAD4BF4" w14:textId="77777777" w:rsidR="00B96A2A" w:rsidRPr="00B96A2A" w:rsidRDefault="00B96A2A" w:rsidP="00B96A2A">
      <w:pPr>
        <w:keepNext/>
        <w:keepLines/>
        <w:pBdr>
          <w:top w:val="nil"/>
          <w:left w:val="nil"/>
          <w:bottom w:val="nil"/>
          <w:right w:val="nil"/>
          <w:between w:val="nil"/>
        </w:pBdr>
        <w:tabs>
          <w:tab w:val="clear" w:pos="709"/>
        </w:tabs>
        <w:snapToGrid/>
        <w:spacing w:before="240"/>
        <w:rPr>
          <w:rFonts w:ascii="Arial" w:eastAsia="Arial" w:hAnsi="Arial" w:cs="Arial"/>
          <w:snapToGrid/>
          <w:color w:val="0F4761"/>
          <w:sz w:val="32"/>
          <w:szCs w:val="32"/>
          <w:lang w:eastAsia="en-GB"/>
        </w:rPr>
      </w:pPr>
      <w:r w:rsidRPr="00B96A2A">
        <w:rPr>
          <w:rFonts w:ascii="Arial" w:eastAsia="Arial" w:hAnsi="Arial" w:cs="Arial"/>
          <w:snapToGrid/>
          <w:color w:val="0F4761"/>
          <w:sz w:val="32"/>
          <w:szCs w:val="32"/>
          <w:lang w:eastAsia="en-GB"/>
        </w:rPr>
        <w:t>Contents</w:t>
      </w:r>
    </w:p>
    <w:sdt>
      <w:sdtPr>
        <w:rPr>
          <w:rFonts w:eastAsia="Times New Roman"/>
          <w:snapToGrid/>
          <w:lang w:eastAsia="en-GB"/>
        </w:rPr>
        <w:id w:val="-1312553097"/>
        <w:docPartObj>
          <w:docPartGallery w:val="Table of Contents"/>
          <w:docPartUnique/>
        </w:docPartObj>
      </w:sdtPr>
      <w:sdtContent>
        <w:p w14:paraId="3947CAD3"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r w:rsidRPr="00B96A2A">
            <w:rPr>
              <w:rFonts w:eastAsia="Times New Roman"/>
              <w:snapToGrid/>
              <w:lang w:eastAsia="en-GB"/>
            </w:rPr>
            <w:fldChar w:fldCharType="begin"/>
          </w:r>
          <w:r w:rsidRPr="00B96A2A">
            <w:rPr>
              <w:rFonts w:eastAsia="Times New Roman"/>
              <w:snapToGrid/>
              <w:lang w:eastAsia="en-GB"/>
            </w:rPr>
            <w:instrText xml:space="preserve"> TOC \h \u \z \t "Heading 1,1,Heading 2,2,Heading 3,3,"</w:instrText>
          </w:r>
          <w:r w:rsidRPr="00B96A2A">
            <w:rPr>
              <w:rFonts w:eastAsia="Times New Roman"/>
              <w:snapToGrid/>
              <w:lang w:eastAsia="en-GB"/>
            </w:rPr>
            <w:fldChar w:fldCharType="separate"/>
          </w:r>
          <w:hyperlink w:anchor="_heading=h.3whwml4">
            <w:r w:rsidRPr="00B96A2A">
              <w:rPr>
                <w:rFonts w:ascii="Arial" w:eastAsia="Arial" w:hAnsi="Arial" w:cs="Arial"/>
                <w:snapToGrid/>
                <w:color w:val="000000"/>
                <w:lang w:eastAsia="en-GB"/>
              </w:rPr>
              <w:t>1. Welcome and Introductions</w:t>
            </w:r>
          </w:hyperlink>
          <w:hyperlink w:anchor="_heading=h.3whwml4">
            <w:r w:rsidRPr="00B96A2A">
              <w:rPr>
                <w:rFonts w:eastAsia="Times New Roman"/>
                <w:snapToGrid/>
                <w:color w:val="000000"/>
                <w:lang w:eastAsia="en-GB"/>
              </w:rPr>
              <w:tab/>
              <w:t>3</w:t>
            </w:r>
          </w:hyperlink>
        </w:p>
        <w:p w14:paraId="123CCBCF"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gjdgxs">
            <w:r w:rsidRPr="00B96A2A">
              <w:rPr>
                <w:rFonts w:ascii="Arial" w:eastAsia="Arial" w:hAnsi="Arial" w:cs="Arial"/>
                <w:snapToGrid/>
                <w:color w:val="000000"/>
                <w:lang w:eastAsia="en-GB"/>
              </w:rPr>
              <w:t>2. Session Organisation (Logistics and agenda)</w:t>
            </w:r>
          </w:hyperlink>
          <w:hyperlink w:anchor="_heading=h.gjdgxs">
            <w:r w:rsidRPr="00B96A2A">
              <w:rPr>
                <w:rFonts w:eastAsia="Times New Roman"/>
                <w:snapToGrid/>
                <w:color w:val="000000"/>
                <w:lang w:eastAsia="en-GB"/>
              </w:rPr>
              <w:tab/>
              <w:t>3</w:t>
            </w:r>
          </w:hyperlink>
        </w:p>
        <w:p w14:paraId="41637ECB"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30j0zll">
            <w:r w:rsidRPr="00B96A2A">
              <w:rPr>
                <w:rFonts w:ascii="Arial" w:eastAsia="Arial" w:hAnsi="Arial" w:cs="Arial"/>
                <w:snapToGrid/>
                <w:color w:val="000000"/>
                <w:lang w:eastAsia="en-GB"/>
              </w:rPr>
              <w:t>3. Wave Discussion on the outcomes of the joint Meeting with TT-DMP</w:t>
            </w:r>
          </w:hyperlink>
          <w:hyperlink w:anchor="_heading=h.30j0zll">
            <w:r w:rsidRPr="00B96A2A">
              <w:rPr>
                <w:rFonts w:eastAsia="Times New Roman"/>
                <w:snapToGrid/>
                <w:color w:val="000000"/>
                <w:lang w:eastAsia="en-GB"/>
              </w:rPr>
              <w:tab/>
              <w:t>3</w:t>
            </w:r>
          </w:hyperlink>
        </w:p>
        <w:p w14:paraId="21040D3C"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1fob9te">
            <w:r w:rsidRPr="00B96A2A">
              <w:rPr>
                <w:rFonts w:ascii="Arial" w:eastAsia="Arial" w:hAnsi="Arial" w:cs="Arial"/>
                <w:snapToGrid/>
                <w:color w:val="000000"/>
                <w:lang w:eastAsia="en-GB"/>
              </w:rPr>
              <w:t>4. Planning Review of TTTWO Action Items</w:t>
            </w:r>
          </w:hyperlink>
          <w:hyperlink w:anchor="_heading=h.1fob9te">
            <w:r w:rsidRPr="00B96A2A">
              <w:rPr>
                <w:rFonts w:eastAsia="Times New Roman"/>
                <w:snapToGrid/>
                <w:color w:val="000000"/>
                <w:lang w:eastAsia="en-GB"/>
              </w:rPr>
              <w:tab/>
              <w:t>3</w:t>
            </w:r>
          </w:hyperlink>
        </w:p>
        <w:p w14:paraId="337C8852"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3znysh7">
            <w:r w:rsidRPr="00B96A2A">
              <w:rPr>
                <w:rFonts w:ascii="Arial" w:eastAsia="Arial" w:hAnsi="Arial" w:cs="Arial"/>
                <w:snapToGrid/>
                <w:color w:val="000000"/>
                <w:lang w:eastAsia="en-GB"/>
              </w:rPr>
              <w:t>5. Update on PTWS NTWC Competency Framework and Development of Global Framework [ Ocal]</w:t>
            </w:r>
          </w:hyperlink>
          <w:hyperlink w:anchor="_heading=h.3znysh7">
            <w:r w:rsidRPr="00B96A2A">
              <w:rPr>
                <w:rFonts w:eastAsia="Times New Roman"/>
                <w:snapToGrid/>
                <w:color w:val="000000"/>
                <w:lang w:eastAsia="en-GB"/>
              </w:rPr>
              <w:tab/>
              <w:t>3</w:t>
            </w:r>
          </w:hyperlink>
        </w:p>
        <w:p w14:paraId="4B867D3E"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ind w:left="220"/>
            <w:rPr>
              <w:rFonts w:ascii="Cambria" w:eastAsia="Cambria" w:hAnsi="Cambria" w:cs="Cambria"/>
              <w:snapToGrid/>
              <w:color w:val="000000"/>
              <w:lang w:eastAsia="en-GB"/>
            </w:rPr>
          </w:pPr>
          <w:hyperlink w:anchor="_heading=h.2et92p0">
            <w:r w:rsidRPr="00B96A2A">
              <w:rPr>
                <w:rFonts w:ascii="Arial" w:eastAsia="Arial" w:hAnsi="Arial" w:cs="Arial"/>
                <w:snapToGrid/>
                <w:color w:val="000000"/>
                <w:lang w:eastAsia="en-GB"/>
              </w:rPr>
              <w:t>5.1 ICG/CARIBE-EWS</w:t>
            </w:r>
          </w:hyperlink>
          <w:hyperlink w:anchor="_heading=h.2et92p0">
            <w:r w:rsidRPr="00B96A2A">
              <w:rPr>
                <w:rFonts w:eastAsia="Times New Roman"/>
                <w:snapToGrid/>
                <w:color w:val="000000"/>
                <w:lang w:eastAsia="en-GB"/>
              </w:rPr>
              <w:tab/>
              <w:t>3</w:t>
            </w:r>
          </w:hyperlink>
        </w:p>
        <w:p w14:paraId="017F89FF"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ind w:left="220"/>
            <w:rPr>
              <w:rFonts w:ascii="Cambria" w:eastAsia="Cambria" w:hAnsi="Cambria" w:cs="Cambria"/>
              <w:snapToGrid/>
              <w:color w:val="000000"/>
              <w:lang w:eastAsia="en-GB"/>
            </w:rPr>
          </w:pPr>
          <w:hyperlink w:anchor="_heading=h.tyjcwt">
            <w:r w:rsidRPr="00B96A2A">
              <w:rPr>
                <w:rFonts w:ascii="Arial" w:eastAsia="Arial" w:hAnsi="Arial" w:cs="Arial"/>
                <w:snapToGrid/>
                <w:color w:val="000000"/>
                <w:lang w:eastAsia="en-GB"/>
              </w:rPr>
              <w:t>5.2 ICG/IOTWMS</w:t>
            </w:r>
          </w:hyperlink>
          <w:hyperlink w:anchor="_heading=h.tyjcwt">
            <w:r w:rsidRPr="00B96A2A">
              <w:rPr>
                <w:rFonts w:eastAsia="Times New Roman"/>
                <w:snapToGrid/>
                <w:color w:val="000000"/>
                <w:lang w:eastAsia="en-GB"/>
              </w:rPr>
              <w:tab/>
              <w:t>3</w:t>
            </w:r>
          </w:hyperlink>
        </w:p>
        <w:p w14:paraId="14DDA048"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ind w:left="220"/>
            <w:rPr>
              <w:rFonts w:ascii="Cambria" w:eastAsia="Cambria" w:hAnsi="Cambria" w:cs="Cambria"/>
              <w:snapToGrid/>
              <w:color w:val="000000"/>
              <w:lang w:eastAsia="en-GB"/>
            </w:rPr>
          </w:pPr>
          <w:hyperlink w:anchor="_heading=h.3dy6vkm">
            <w:r w:rsidRPr="00B96A2A">
              <w:rPr>
                <w:rFonts w:ascii="Arial" w:eastAsia="Arial" w:hAnsi="Arial" w:cs="Arial"/>
                <w:snapToGrid/>
                <w:color w:val="000000"/>
                <w:lang w:eastAsia="en-GB"/>
              </w:rPr>
              <w:t>5.3 ICG/NEAMTWS</w:t>
            </w:r>
          </w:hyperlink>
          <w:hyperlink w:anchor="_heading=h.3dy6vkm">
            <w:r w:rsidRPr="00B96A2A">
              <w:rPr>
                <w:rFonts w:eastAsia="Times New Roman"/>
                <w:snapToGrid/>
                <w:color w:val="000000"/>
                <w:lang w:eastAsia="en-GB"/>
              </w:rPr>
              <w:tab/>
              <w:t>3</w:t>
            </w:r>
          </w:hyperlink>
        </w:p>
        <w:p w14:paraId="155A96D1"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ind w:left="220"/>
            <w:rPr>
              <w:rFonts w:ascii="Cambria" w:eastAsia="Cambria" w:hAnsi="Cambria" w:cs="Cambria"/>
              <w:snapToGrid/>
              <w:color w:val="000000"/>
              <w:lang w:eastAsia="en-GB"/>
            </w:rPr>
          </w:pPr>
          <w:hyperlink w:anchor="_heading=h.1t3h5sf">
            <w:r w:rsidRPr="00B96A2A">
              <w:rPr>
                <w:rFonts w:ascii="Arial" w:eastAsia="Arial" w:hAnsi="Arial" w:cs="Arial"/>
                <w:snapToGrid/>
                <w:color w:val="000000"/>
                <w:lang w:eastAsia="en-GB"/>
              </w:rPr>
              <w:t>5.4 ICG/PTWS</w:t>
            </w:r>
          </w:hyperlink>
          <w:hyperlink w:anchor="_heading=h.1t3h5sf">
            <w:r w:rsidRPr="00B96A2A">
              <w:rPr>
                <w:rFonts w:eastAsia="Times New Roman"/>
                <w:snapToGrid/>
                <w:color w:val="000000"/>
                <w:lang w:eastAsia="en-GB"/>
              </w:rPr>
              <w:tab/>
              <w:t>3</w:t>
            </w:r>
          </w:hyperlink>
        </w:p>
        <w:p w14:paraId="4F5898CB"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4d34og8">
            <w:r w:rsidRPr="00B96A2A">
              <w:rPr>
                <w:rFonts w:ascii="Arial" w:eastAsia="Arial" w:hAnsi="Arial" w:cs="Arial"/>
                <w:snapToGrid/>
                <w:color w:val="000000"/>
                <w:lang w:eastAsia="en-GB"/>
              </w:rPr>
              <w:t>6. Tsunami Updates to Area of Coverage and ESZ Maps of the ICGs</w:t>
            </w:r>
          </w:hyperlink>
          <w:hyperlink w:anchor="_heading=h.4d34og8">
            <w:r w:rsidRPr="00B96A2A">
              <w:rPr>
                <w:rFonts w:eastAsia="Times New Roman"/>
                <w:snapToGrid/>
                <w:color w:val="000000"/>
                <w:lang w:eastAsia="en-GB"/>
              </w:rPr>
              <w:tab/>
              <w:t>4</w:t>
            </w:r>
          </w:hyperlink>
        </w:p>
        <w:p w14:paraId="14EA832C"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2s8eyo1">
            <w:r w:rsidRPr="00B96A2A">
              <w:rPr>
                <w:rFonts w:ascii="Arial" w:eastAsia="Arial" w:hAnsi="Arial" w:cs="Arial"/>
                <w:snapToGrid/>
                <w:color w:val="000000"/>
                <w:lang w:eastAsia="en-GB"/>
              </w:rPr>
              <w:t>7. IUGG Tsunami Service Provision Considerations for Events Outside ICG Earthquake Source Zones</w:t>
            </w:r>
          </w:hyperlink>
          <w:hyperlink w:anchor="_heading=h.2s8eyo1">
            <w:r w:rsidRPr="00B96A2A">
              <w:rPr>
                <w:rFonts w:eastAsia="Times New Roman"/>
                <w:snapToGrid/>
                <w:color w:val="000000"/>
                <w:lang w:eastAsia="en-GB"/>
              </w:rPr>
              <w:tab/>
              <w:t>4</w:t>
            </w:r>
          </w:hyperlink>
        </w:p>
        <w:p w14:paraId="03B6DB7F"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17dp8vu">
            <w:r w:rsidRPr="00B96A2A">
              <w:rPr>
                <w:rFonts w:ascii="Arial" w:eastAsia="Arial" w:hAnsi="Arial" w:cs="Arial"/>
                <w:snapToGrid/>
                <w:color w:val="000000"/>
                <w:lang w:eastAsia="en-GB"/>
              </w:rPr>
              <w:t>8. Updates on Products for Maritime Community</w:t>
            </w:r>
          </w:hyperlink>
          <w:hyperlink w:anchor="_heading=h.17dp8vu">
            <w:r w:rsidRPr="00B96A2A">
              <w:rPr>
                <w:rFonts w:eastAsia="Times New Roman"/>
                <w:snapToGrid/>
                <w:color w:val="000000"/>
                <w:lang w:eastAsia="en-GB"/>
              </w:rPr>
              <w:tab/>
              <w:t>4</w:t>
            </w:r>
          </w:hyperlink>
        </w:p>
        <w:p w14:paraId="190F4692"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3rdcrjn">
            <w:r w:rsidRPr="00B96A2A">
              <w:rPr>
                <w:rFonts w:ascii="Arial" w:eastAsia="Arial" w:hAnsi="Arial" w:cs="Arial"/>
                <w:snapToGrid/>
                <w:color w:val="000000"/>
                <w:lang w:eastAsia="en-GB"/>
              </w:rPr>
              <w:t>9. Optimal Seismic and Sea level Monitoring Networks</w:t>
            </w:r>
          </w:hyperlink>
          <w:hyperlink w:anchor="_heading=h.3rdcrjn">
            <w:r w:rsidRPr="00B96A2A">
              <w:rPr>
                <w:rFonts w:eastAsia="Times New Roman"/>
                <w:snapToGrid/>
                <w:color w:val="000000"/>
                <w:lang w:eastAsia="en-GB"/>
              </w:rPr>
              <w:tab/>
              <w:t>4</w:t>
            </w:r>
          </w:hyperlink>
        </w:p>
        <w:p w14:paraId="7A1301B0"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26in1rg">
            <w:r w:rsidRPr="00B96A2A">
              <w:rPr>
                <w:rFonts w:ascii="Arial" w:eastAsia="Arial" w:hAnsi="Arial" w:cs="Arial"/>
                <w:snapToGrid/>
                <w:color w:val="000000"/>
                <w:lang w:eastAsia="en-GB"/>
              </w:rPr>
              <w:t>10. Discussion on SOPs for Tsunamis Generated by non-seismic sources</w:t>
            </w:r>
          </w:hyperlink>
          <w:hyperlink w:anchor="_heading=h.26in1rg">
            <w:r w:rsidRPr="00B96A2A">
              <w:rPr>
                <w:rFonts w:eastAsia="Times New Roman"/>
                <w:snapToGrid/>
                <w:color w:val="000000"/>
                <w:lang w:eastAsia="en-GB"/>
              </w:rPr>
              <w:tab/>
              <w:t>4</w:t>
            </w:r>
          </w:hyperlink>
        </w:p>
        <w:p w14:paraId="4634B50C"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ind w:left="220"/>
            <w:rPr>
              <w:rFonts w:ascii="Cambria" w:eastAsia="Cambria" w:hAnsi="Cambria" w:cs="Cambria"/>
              <w:snapToGrid/>
              <w:color w:val="000000"/>
              <w:lang w:eastAsia="en-GB"/>
            </w:rPr>
          </w:pPr>
          <w:hyperlink w:anchor="_heading=h.lnxbz9">
            <w:r w:rsidRPr="00B96A2A">
              <w:rPr>
                <w:rFonts w:ascii="Arial" w:eastAsia="Arial" w:hAnsi="Arial" w:cs="Arial"/>
                <w:snapToGrid/>
                <w:color w:val="000000"/>
                <w:lang w:eastAsia="en-GB"/>
              </w:rPr>
              <w:t>10.1 Tsunami Generated by Volcanoes</w:t>
            </w:r>
          </w:hyperlink>
          <w:hyperlink w:anchor="_heading=h.lnxbz9">
            <w:r w:rsidRPr="00B96A2A">
              <w:rPr>
                <w:rFonts w:eastAsia="Times New Roman"/>
                <w:snapToGrid/>
                <w:color w:val="000000"/>
                <w:lang w:eastAsia="en-GB"/>
              </w:rPr>
              <w:tab/>
              <w:t>4</w:t>
            </w:r>
          </w:hyperlink>
        </w:p>
        <w:p w14:paraId="6F126DCA"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ind w:left="220"/>
            <w:rPr>
              <w:rFonts w:ascii="Cambria" w:eastAsia="Cambria" w:hAnsi="Cambria" w:cs="Cambria"/>
              <w:snapToGrid/>
              <w:color w:val="000000"/>
              <w:lang w:eastAsia="en-GB"/>
            </w:rPr>
          </w:pPr>
          <w:hyperlink w:anchor="_heading=h.35nkun2">
            <w:r w:rsidRPr="00B96A2A">
              <w:rPr>
                <w:rFonts w:ascii="Arial" w:eastAsia="Arial" w:hAnsi="Arial" w:cs="Arial"/>
                <w:snapToGrid/>
                <w:color w:val="000000"/>
                <w:lang w:eastAsia="en-GB"/>
              </w:rPr>
              <w:t>10.2 Meteo-tsunami</w:t>
            </w:r>
          </w:hyperlink>
          <w:hyperlink w:anchor="_heading=h.35nkun2">
            <w:r w:rsidRPr="00B96A2A">
              <w:rPr>
                <w:rFonts w:eastAsia="Times New Roman"/>
                <w:snapToGrid/>
                <w:color w:val="000000"/>
                <w:lang w:eastAsia="en-GB"/>
              </w:rPr>
              <w:tab/>
              <w:t>4</w:t>
            </w:r>
          </w:hyperlink>
        </w:p>
        <w:p w14:paraId="310AD5D2"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ind w:left="220"/>
            <w:rPr>
              <w:rFonts w:ascii="Cambria" w:eastAsia="Cambria" w:hAnsi="Cambria" w:cs="Cambria"/>
              <w:snapToGrid/>
              <w:color w:val="000000"/>
              <w:lang w:eastAsia="en-GB"/>
            </w:rPr>
          </w:pPr>
          <w:hyperlink w:anchor="_heading=h.1ksv4uv">
            <w:r w:rsidRPr="00B96A2A">
              <w:rPr>
                <w:rFonts w:ascii="Arial" w:eastAsia="Arial" w:hAnsi="Arial" w:cs="Arial"/>
                <w:snapToGrid/>
                <w:color w:val="000000"/>
                <w:lang w:eastAsia="en-GB"/>
              </w:rPr>
              <w:t>10.3 Other non-seismic sources</w:t>
            </w:r>
          </w:hyperlink>
          <w:hyperlink w:anchor="_heading=h.1ksv4uv">
            <w:r w:rsidRPr="00B96A2A">
              <w:rPr>
                <w:rFonts w:eastAsia="Times New Roman"/>
                <w:snapToGrid/>
                <w:color w:val="000000"/>
                <w:lang w:eastAsia="en-GB"/>
              </w:rPr>
              <w:tab/>
              <w:t>4</w:t>
            </w:r>
          </w:hyperlink>
        </w:p>
        <w:p w14:paraId="07B9A173"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44sinio">
            <w:r w:rsidRPr="00B96A2A">
              <w:rPr>
                <w:rFonts w:ascii="Arial" w:eastAsia="Arial" w:hAnsi="Arial" w:cs="Arial"/>
                <w:snapToGrid/>
                <w:color w:val="000000"/>
                <w:lang w:eastAsia="en-GB"/>
              </w:rPr>
              <w:t>11. Common Format for the TSPs’ Tsunami Products</w:t>
            </w:r>
          </w:hyperlink>
          <w:hyperlink w:anchor="_heading=h.44sinio">
            <w:r w:rsidRPr="00B96A2A">
              <w:rPr>
                <w:rFonts w:eastAsia="Times New Roman"/>
                <w:snapToGrid/>
                <w:color w:val="000000"/>
                <w:lang w:eastAsia="en-GB"/>
              </w:rPr>
              <w:tab/>
              <w:t>5</w:t>
            </w:r>
          </w:hyperlink>
        </w:p>
        <w:p w14:paraId="7773692E"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2jxsxqh">
            <w:r w:rsidRPr="00B96A2A">
              <w:rPr>
                <w:rFonts w:ascii="Arial" w:eastAsia="Arial" w:hAnsi="Arial" w:cs="Arial"/>
                <w:snapToGrid/>
                <w:color w:val="000000"/>
                <w:lang w:eastAsia="en-GB"/>
              </w:rPr>
              <w:t>12. Updates on the Global Service Definition Document</w:t>
            </w:r>
          </w:hyperlink>
          <w:hyperlink w:anchor="_heading=h.2jxsxqh">
            <w:r w:rsidRPr="00B96A2A">
              <w:rPr>
                <w:rFonts w:eastAsia="Times New Roman"/>
                <w:snapToGrid/>
                <w:color w:val="000000"/>
                <w:lang w:eastAsia="en-GB"/>
              </w:rPr>
              <w:tab/>
              <w:t>5</w:t>
            </w:r>
          </w:hyperlink>
        </w:p>
        <w:p w14:paraId="2196F097"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z337ya">
            <w:r w:rsidRPr="00B96A2A">
              <w:rPr>
                <w:rFonts w:ascii="Arial" w:eastAsia="Arial" w:hAnsi="Arial" w:cs="Arial"/>
                <w:snapToGrid/>
                <w:color w:val="000000"/>
                <w:lang w:eastAsia="en-GB"/>
              </w:rPr>
              <w:t>13. Support for Ocean Decade Tsunami Programme Research &amp; Development Implementation Plan</w:t>
            </w:r>
          </w:hyperlink>
          <w:hyperlink w:anchor="_heading=h.z337ya">
            <w:r w:rsidRPr="00B96A2A">
              <w:rPr>
                <w:rFonts w:eastAsia="Times New Roman"/>
                <w:snapToGrid/>
                <w:color w:val="000000"/>
                <w:lang w:eastAsia="en-GB"/>
              </w:rPr>
              <w:tab/>
              <w:t>5</w:t>
            </w:r>
          </w:hyperlink>
        </w:p>
        <w:p w14:paraId="36989378"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3j2qqm3">
            <w:r w:rsidRPr="00B96A2A">
              <w:rPr>
                <w:rFonts w:ascii="Arial" w:eastAsia="Arial" w:hAnsi="Arial" w:cs="Arial"/>
                <w:snapToGrid/>
                <w:color w:val="000000"/>
                <w:lang w:eastAsia="en-GB"/>
              </w:rPr>
              <w:t>14. TT-TWO Work Plan</w:t>
            </w:r>
          </w:hyperlink>
          <w:hyperlink w:anchor="_heading=h.3j2qqm3">
            <w:r w:rsidRPr="00B96A2A">
              <w:rPr>
                <w:rFonts w:eastAsia="Times New Roman"/>
                <w:snapToGrid/>
                <w:color w:val="000000"/>
                <w:lang w:eastAsia="en-GB"/>
              </w:rPr>
              <w:tab/>
              <w:t>5</w:t>
            </w:r>
          </w:hyperlink>
        </w:p>
        <w:p w14:paraId="165E286E"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1y810tw">
            <w:r w:rsidRPr="00B96A2A">
              <w:rPr>
                <w:rFonts w:ascii="Arial" w:eastAsia="Arial" w:hAnsi="Arial" w:cs="Arial"/>
                <w:snapToGrid/>
                <w:color w:val="000000"/>
                <w:lang w:eastAsia="en-GB"/>
              </w:rPr>
              <w:t>15. AOB</w:t>
            </w:r>
          </w:hyperlink>
          <w:hyperlink w:anchor="_heading=h.1y810tw">
            <w:r w:rsidRPr="00B96A2A">
              <w:rPr>
                <w:rFonts w:eastAsia="Times New Roman"/>
                <w:snapToGrid/>
                <w:color w:val="000000"/>
                <w:lang w:eastAsia="en-GB"/>
              </w:rPr>
              <w:tab/>
              <w:t>5</w:t>
            </w:r>
          </w:hyperlink>
        </w:p>
        <w:p w14:paraId="3541C287"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4i7ojhp">
            <w:r w:rsidRPr="00B96A2A">
              <w:rPr>
                <w:rFonts w:ascii="Arial" w:eastAsia="Arial" w:hAnsi="Arial" w:cs="Arial"/>
                <w:snapToGrid/>
                <w:color w:val="000000"/>
                <w:lang w:eastAsia="en-GB"/>
              </w:rPr>
              <w:t>16. Recommendations and Report to the TOWS-WG</w:t>
            </w:r>
          </w:hyperlink>
          <w:hyperlink w:anchor="_heading=h.4i7ojhp">
            <w:r w:rsidRPr="00B96A2A">
              <w:rPr>
                <w:rFonts w:eastAsia="Times New Roman"/>
                <w:snapToGrid/>
                <w:color w:val="000000"/>
                <w:lang w:eastAsia="en-GB"/>
              </w:rPr>
              <w:tab/>
              <w:t>5</w:t>
            </w:r>
          </w:hyperlink>
        </w:p>
        <w:p w14:paraId="36D08238"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2xcytpi">
            <w:r w:rsidRPr="00B96A2A">
              <w:rPr>
                <w:rFonts w:ascii="Arial" w:eastAsia="Arial" w:hAnsi="Arial" w:cs="Arial"/>
                <w:snapToGrid/>
                <w:color w:val="000000"/>
                <w:lang w:eastAsia="en-GB"/>
              </w:rPr>
              <w:t>Agenda of Team Tsunami Watch Operations</w:t>
            </w:r>
          </w:hyperlink>
          <w:hyperlink w:anchor="_heading=h.2xcytpi">
            <w:r w:rsidRPr="00B96A2A">
              <w:rPr>
                <w:rFonts w:eastAsia="Times New Roman"/>
                <w:snapToGrid/>
                <w:color w:val="000000"/>
                <w:lang w:eastAsia="en-GB"/>
              </w:rPr>
              <w:tab/>
              <w:t>5</w:t>
            </w:r>
          </w:hyperlink>
        </w:p>
        <w:p w14:paraId="78207BA0" w14:textId="77777777" w:rsidR="00B96A2A" w:rsidRPr="00B96A2A" w:rsidRDefault="00B96A2A" w:rsidP="00B96A2A">
          <w:pPr>
            <w:pBdr>
              <w:top w:val="nil"/>
              <w:left w:val="nil"/>
              <w:bottom w:val="nil"/>
              <w:right w:val="nil"/>
              <w:between w:val="nil"/>
            </w:pBdr>
            <w:tabs>
              <w:tab w:val="clear" w:pos="709"/>
              <w:tab w:val="right" w:leader="dot" w:pos="9740"/>
            </w:tabs>
            <w:snapToGrid/>
            <w:spacing w:after="100"/>
            <w:rPr>
              <w:rFonts w:ascii="Cambria" w:eastAsia="Cambria" w:hAnsi="Cambria" w:cs="Cambria"/>
              <w:snapToGrid/>
              <w:color w:val="000000"/>
              <w:lang w:eastAsia="en-GB"/>
            </w:rPr>
          </w:pPr>
          <w:hyperlink w:anchor="_heading=h.1ci93xb">
            <w:r w:rsidRPr="00B96A2A">
              <w:rPr>
                <w:rFonts w:ascii="Arial" w:eastAsia="Arial" w:hAnsi="Arial" w:cs="Arial"/>
                <w:snapToGrid/>
                <w:color w:val="000000"/>
                <w:lang w:eastAsia="en-GB"/>
              </w:rPr>
              <w:t>Members and Observers of TOWS Task Team on Tsunami Watch Operations</w:t>
            </w:r>
          </w:hyperlink>
          <w:hyperlink w:anchor="_heading=h.1ci93xb">
            <w:r w:rsidRPr="00B96A2A">
              <w:rPr>
                <w:rFonts w:eastAsia="Times New Roman"/>
                <w:snapToGrid/>
                <w:color w:val="000000"/>
                <w:lang w:eastAsia="en-GB"/>
              </w:rPr>
              <w:tab/>
              <w:t>7</w:t>
            </w:r>
          </w:hyperlink>
        </w:p>
        <w:p w14:paraId="1133AECD" w14:textId="77777777" w:rsidR="00B96A2A" w:rsidRPr="00B96A2A" w:rsidRDefault="00B96A2A" w:rsidP="00B96A2A">
          <w:pPr>
            <w:tabs>
              <w:tab w:val="clear" w:pos="709"/>
            </w:tabs>
            <w:snapToGrid/>
            <w:rPr>
              <w:rFonts w:ascii="Arial" w:eastAsia="Arial" w:hAnsi="Arial" w:cs="Arial"/>
              <w:snapToGrid/>
              <w:lang w:eastAsia="en-GB"/>
            </w:rPr>
          </w:pPr>
          <w:r w:rsidRPr="00B96A2A">
            <w:rPr>
              <w:rFonts w:eastAsia="Times New Roman"/>
              <w:snapToGrid/>
              <w:lang w:eastAsia="en-GB"/>
            </w:rPr>
            <w:fldChar w:fldCharType="end"/>
          </w:r>
        </w:p>
      </w:sdtContent>
    </w:sdt>
    <w:p w14:paraId="06C5A3C0" w14:textId="77777777" w:rsidR="00B96A2A" w:rsidRPr="00B96A2A" w:rsidRDefault="00B96A2A" w:rsidP="00B96A2A">
      <w:pPr>
        <w:tabs>
          <w:tab w:val="clear" w:pos="709"/>
        </w:tabs>
        <w:snapToGrid/>
        <w:rPr>
          <w:rFonts w:ascii="Arial" w:eastAsia="Arial" w:hAnsi="Arial" w:cs="Arial"/>
          <w:snapToGrid/>
          <w:lang w:eastAsia="en-GB"/>
        </w:rPr>
      </w:pPr>
    </w:p>
    <w:p w14:paraId="5318A97E"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289" w:name="_Toc195258161"/>
      <w:r w:rsidRPr="00B96A2A">
        <w:rPr>
          <w:rFonts w:ascii="Arial" w:eastAsia="Arial" w:hAnsi="Arial" w:cs="Arial"/>
          <w:snapToGrid/>
          <w:color w:val="0F4761"/>
          <w:sz w:val="28"/>
          <w:szCs w:val="28"/>
          <w:lang w:eastAsia="en-GB"/>
        </w:rPr>
        <w:t>1. Welcome and Introductions</w:t>
      </w:r>
      <w:bookmarkEnd w:id="289"/>
    </w:p>
    <w:p w14:paraId="742B3165" w14:textId="77777777" w:rsidR="00B96A2A" w:rsidRPr="00B96A2A" w:rsidRDefault="00B96A2A" w:rsidP="00B96A2A">
      <w:pPr>
        <w:keepNext/>
        <w:keepLines/>
        <w:tabs>
          <w:tab w:val="clear" w:pos="709"/>
        </w:tabs>
        <w:snapToGrid/>
        <w:spacing w:before="360" w:after="80"/>
        <w:jc w:val="both"/>
        <w:outlineLvl w:val="0"/>
        <w:rPr>
          <w:rFonts w:ascii="Arial" w:eastAsia="Arial" w:hAnsi="Arial" w:cs="Arial"/>
          <w:snapToGrid/>
          <w:color w:val="000000"/>
          <w:sz w:val="22"/>
          <w:szCs w:val="22"/>
          <w:lang w:eastAsia="en-GB"/>
        </w:rPr>
      </w:pPr>
      <w:bookmarkStart w:id="290" w:name="_Toc195258162"/>
      <w:r w:rsidRPr="00B96A2A">
        <w:rPr>
          <w:rFonts w:ascii="Arial" w:eastAsia="Arial" w:hAnsi="Arial" w:cs="Arial"/>
          <w:snapToGrid/>
          <w:color w:val="000000"/>
          <w:sz w:val="22"/>
          <w:szCs w:val="22"/>
          <w:lang w:eastAsia="en-GB"/>
        </w:rPr>
        <w:t>The session was jointly opened by Mr Yuji Nishimae (Chair, Task Team on Tsunami Watch Operations – TT TWO), filled by the introduction of the TT-TWO Members, Observers, and the Technical Secretary.</w:t>
      </w:r>
      <w:bookmarkEnd w:id="290"/>
    </w:p>
    <w:p w14:paraId="3812DBBD"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291" w:name="_Toc195258163"/>
      <w:r w:rsidRPr="00B96A2A">
        <w:rPr>
          <w:rFonts w:ascii="Arial" w:eastAsia="Arial" w:hAnsi="Arial" w:cs="Arial"/>
          <w:snapToGrid/>
          <w:color w:val="0F4761"/>
          <w:sz w:val="28"/>
          <w:szCs w:val="28"/>
          <w:lang w:eastAsia="en-GB"/>
        </w:rPr>
        <w:t>2. Session Organisation (Logistics and agenda)</w:t>
      </w:r>
      <w:bookmarkEnd w:id="291"/>
    </w:p>
    <w:p w14:paraId="4684B8CD" w14:textId="77777777" w:rsidR="00B96A2A" w:rsidRPr="00B96A2A" w:rsidRDefault="00B96A2A" w:rsidP="00B96A2A">
      <w:pPr>
        <w:keepNext/>
        <w:keepLines/>
        <w:tabs>
          <w:tab w:val="clear" w:pos="709"/>
        </w:tabs>
        <w:snapToGrid/>
        <w:spacing w:before="360" w:after="80"/>
        <w:jc w:val="both"/>
        <w:outlineLvl w:val="0"/>
        <w:rPr>
          <w:rFonts w:ascii="Arial" w:eastAsia="Arial" w:hAnsi="Arial" w:cs="Arial"/>
          <w:snapToGrid/>
          <w:color w:val="0F4761"/>
          <w:sz w:val="28"/>
          <w:szCs w:val="28"/>
          <w:lang w:eastAsia="en-GB"/>
        </w:rPr>
      </w:pPr>
      <w:bookmarkStart w:id="292" w:name="_heading=h.ue2lzust3fbk" w:colFirst="0" w:colLast="0"/>
      <w:bookmarkStart w:id="293" w:name="_Toc195258164"/>
      <w:bookmarkEnd w:id="292"/>
      <w:r w:rsidRPr="00B96A2A">
        <w:rPr>
          <w:rFonts w:ascii="Arial" w:eastAsia="Arial" w:hAnsi="Arial" w:cs="Arial"/>
          <w:snapToGrid/>
          <w:color w:val="000000"/>
          <w:sz w:val="22"/>
          <w:szCs w:val="22"/>
          <w:lang w:eastAsia="en-GB"/>
        </w:rPr>
        <w:t>The Chair informed the participants on the agenda and provided information on the logistics. The agenda was approved as it was presented.</w:t>
      </w:r>
      <w:bookmarkEnd w:id="293"/>
    </w:p>
    <w:p w14:paraId="6CB273D3"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294" w:name="_Toc195258165"/>
      <w:r w:rsidRPr="00B96A2A">
        <w:rPr>
          <w:rFonts w:ascii="Arial" w:eastAsia="Arial" w:hAnsi="Arial" w:cs="Arial"/>
          <w:snapToGrid/>
          <w:color w:val="0F4761"/>
          <w:sz w:val="28"/>
          <w:szCs w:val="28"/>
          <w:lang w:eastAsia="en-GB"/>
        </w:rPr>
        <w:t>3. Discussion on the outcomes of the joint Meeting with TT-DMP</w:t>
      </w:r>
      <w:bookmarkEnd w:id="294"/>
    </w:p>
    <w:p w14:paraId="15126050" w14:textId="77777777" w:rsidR="00B96A2A" w:rsidRPr="00B96A2A" w:rsidRDefault="00B96A2A" w:rsidP="00B96A2A">
      <w:pPr>
        <w:keepNext/>
        <w:keepLines/>
        <w:tabs>
          <w:tab w:val="clear" w:pos="709"/>
        </w:tabs>
        <w:snapToGrid/>
        <w:spacing w:before="360" w:after="80"/>
        <w:jc w:val="both"/>
        <w:outlineLvl w:val="0"/>
        <w:rPr>
          <w:rFonts w:ascii="Arial" w:eastAsia="Arial" w:hAnsi="Arial" w:cs="Arial"/>
          <w:snapToGrid/>
          <w:color w:val="000000"/>
          <w:sz w:val="22"/>
          <w:szCs w:val="22"/>
          <w:lang w:eastAsia="en-GB"/>
        </w:rPr>
      </w:pPr>
      <w:bookmarkStart w:id="295" w:name="_heading=h.r10jie5hozqp" w:colFirst="0" w:colLast="0"/>
      <w:bookmarkStart w:id="296" w:name="_Toc195258166"/>
      <w:bookmarkEnd w:id="295"/>
      <w:r w:rsidRPr="00B96A2A">
        <w:rPr>
          <w:rFonts w:ascii="Arial" w:eastAsia="Arial" w:hAnsi="Arial" w:cs="Arial"/>
          <w:snapToGrid/>
          <w:color w:val="000000"/>
          <w:sz w:val="22"/>
          <w:szCs w:val="22"/>
          <w:lang w:eastAsia="en-GB"/>
        </w:rPr>
        <w:t xml:space="preserve">One important issue for this agenda item was the possible complexities and challenges which may arise from the “All Clear” messages issued by the National Disaster/Emergency Management Organizations (ND/EMO) of Member States and widely disseminated through social media, for others that may not have done so yet. Dr. McCreery reminded the advisory nature of the TSP messages, and Dr Vanacore underlined that the issuance of the “All Clear” message is the responsibility of the local D/EMO, if not the ND/EMO. Dr Hebert further reminded the group that this issue is also addressed in the GSDD, where it was recommended to NTWCs to work with national and local emergency management authorities to define the criteria for and institutions in charge of issuing the “All Clear”. Mr Padmanabham informed the group on the existing feedback mechanism in the IOTWMS between the </w:t>
      </w:r>
      <w:proofErr w:type="spellStart"/>
      <w:r w:rsidRPr="00B96A2A">
        <w:rPr>
          <w:rFonts w:ascii="Arial" w:eastAsia="Arial" w:hAnsi="Arial" w:cs="Arial"/>
          <w:snapToGrid/>
          <w:color w:val="000000"/>
          <w:sz w:val="22"/>
          <w:szCs w:val="22"/>
          <w:lang w:eastAsia="en-GB"/>
        </w:rPr>
        <w:t>TSps</w:t>
      </w:r>
      <w:proofErr w:type="spellEnd"/>
      <w:r w:rsidRPr="00B96A2A">
        <w:rPr>
          <w:rFonts w:ascii="Arial" w:eastAsia="Arial" w:hAnsi="Arial" w:cs="Arial"/>
          <w:snapToGrid/>
          <w:color w:val="000000"/>
          <w:sz w:val="22"/>
          <w:szCs w:val="22"/>
          <w:lang w:eastAsia="en-GB"/>
        </w:rPr>
        <w:t xml:space="preserve"> and NTWCs, and the TSP’s responsibility is limited to inform that the threat has passes, whereas issuance of the “All Clear” message is the responsibility of the sovereign nation and its responsible institutions.</w:t>
      </w:r>
      <w:bookmarkEnd w:id="296"/>
      <w:r w:rsidRPr="00B96A2A">
        <w:rPr>
          <w:rFonts w:ascii="Arial" w:eastAsia="Arial" w:hAnsi="Arial" w:cs="Arial"/>
          <w:snapToGrid/>
          <w:color w:val="000000"/>
          <w:sz w:val="22"/>
          <w:szCs w:val="22"/>
          <w:lang w:eastAsia="en-GB"/>
        </w:rPr>
        <w:t xml:space="preserve"> </w:t>
      </w:r>
    </w:p>
    <w:p w14:paraId="7D059DD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The second issue was on the continued challenges in maintaining an accurate TNC/TWFP/NTWC </w:t>
      </w:r>
      <w:proofErr w:type="gramStart"/>
      <w:r w:rsidRPr="00B96A2A">
        <w:rPr>
          <w:rFonts w:ascii="Arial" w:eastAsia="Arial" w:hAnsi="Arial" w:cs="Arial"/>
          <w:snapToGrid/>
          <w:sz w:val="22"/>
          <w:szCs w:val="22"/>
          <w:lang w:eastAsia="en-GB"/>
        </w:rPr>
        <w:t>contact</w:t>
      </w:r>
      <w:proofErr w:type="gramEnd"/>
      <w:r w:rsidRPr="00B96A2A">
        <w:rPr>
          <w:rFonts w:ascii="Arial" w:eastAsia="Arial" w:hAnsi="Arial" w:cs="Arial"/>
          <w:snapToGrid/>
          <w:sz w:val="22"/>
          <w:szCs w:val="22"/>
          <w:lang w:eastAsia="en-GB"/>
        </w:rPr>
        <w:t xml:space="preserve"> database. Currently, the collection of the TNC/TWFP/NTWC data is governed through </w:t>
      </w:r>
      <w:hyperlink r:id="rId84">
        <w:r w:rsidRPr="00B96A2A">
          <w:rPr>
            <w:rFonts w:ascii="Arial" w:eastAsia="Arial" w:hAnsi="Arial" w:cs="Arial"/>
            <w:snapToGrid/>
            <w:color w:val="1155CC"/>
            <w:sz w:val="22"/>
            <w:szCs w:val="22"/>
            <w:lang w:eastAsia="en-GB"/>
          </w:rPr>
          <w:t>CL-2558</w:t>
        </w:r>
      </w:hyperlink>
      <w:r w:rsidRPr="00B96A2A">
        <w:rPr>
          <w:rFonts w:ascii="Arial" w:eastAsia="Arial" w:hAnsi="Arial" w:cs="Arial"/>
          <w:snapToGrid/>
          <w:sz w:val="22"/>
          <w:szCs w:val="22"/>
          <w:lang w:eastAsia="en-GB"/>
        </w:rPr>
        <w:t xml:space="preserve"> and </w:t>
      </w:r>
      <w:hyperlink r:id="rId85">
        <w:r w:rsidRPr="00B96A2A">
          <w:rPr>
            <w:rFonts w:ascii="Arial" w:eastAsia="Arial" w:hAnsi="Arial" w:cs="Arial"/>
            <w:snapToGrid/>
            <w:color w:val="1155CC"/>
            <w:sz w:val="22"/>
            <w:szCs w:val="22"/>
            <w:lang w:eastAsia="en-GB"/>
          </w:rPr>
          <w:t>CL-2563</w:t>
        </w:r>
      </w:hyperlink>
      <w:r w:rsidRPr="00B96A2A">
        <w:rPr>
          <w:rFonts w:ascii="Arial" w:eastAsia="Arial" w:hAnsi="Arial" w:cs="Arial"/>
          <w:snapToGrid/>
          <w:sz w:val="22"/>
          <w:szCs w:val="22"/>
          <w:lang w:eastAsia="en-GB"/>
        </w:rPr>
        <w:t xml:space="preserve">, and there is a strong need to revisit how we collect/compile/serve such data, taking into considerations recent developments, such as cease of fax dissemination, but also some additional roles that have been defined in some ICGs (such as Tsunami Ready Focal Point in the IOTWMS), which does not necessarily exist (yet) in other ICGs. Some Member States have more than one TNC, and while to a certain degree it can be agreed to have two TNCs for a given Member State to balance the requirements of the upstream and downstream components of tsunami resilience, in some Member States there are more than 3 TNCs, and similar cases exist also for TWFPs up to 5 </w:t>
      </w:r>
      <w:r w:rsidRPr="00B96A2A">
        <w:rPr>
          <w:rFonts w:ascii="Arial" w:eastAsia="Arial" w:hAnsi="Arial" w:cs="Arial"/>
          <w:snapToGrid/>
          <w:sz w:val="22"/>
          <w:szCs w:val="22"/>
          <w:lang w:eastAsia="en-GB"/>
        </w:rPr>
        <w:lastRenderedPageBreak/>
        <w:t xml:space="preserve">TWFPs for a given Member States. In this respect, the Secretariat recalled its appeal made during the Joint TTDMP-TTTWO meeting on 20 February 2025 that the TTWO and perhaps even better the Joint TTDMP-TTTWO jointly could consider this issue in its work programme with the aim for developing a revised form to collect TNC/TWFP/NTWC data from Member States and agree on a mechanism that would simplify and standardize the procedures both in collecting and making this data available to TSPs and TNCs. In response to Dr McCreery’s question on who has the main responsibility of maintaining this database, Technical Secretary Dr Öcal Necmioğlu stated that while the overall responsibility lies within the Secretariat, it’s also important to note that the Secretariat is not a 7/24 entity and there is need to establish a direct connection between the TSPs and its “customers”. Dr. Vanacore pointed out the need for using a simple language in the forms used to collect such data, </w:t>
      </w:r>
      <w:proofErr w:type="gramStart"/>
      <w:r w:rsidRPr="00B96A2A">
        <w:rPr>
          <w:rFonts w:ascii="Arial" w:eastAsia="Arial" w:hAnsi="Arial" w:cs="Arial"/>
          <w:snapToGrid/>
          <w:sz w:val="22"/>
          <w:szCs w:val="22"/>
          <w:lang w:eastAsia="en-GB"/>
        </w:rPr>
        <w:t>and also</w:t>
      </w:r>
      <w:proofErr w:type="gramEnd"/>
      <w:r w:rsidRPr="00B96A2A">
        <w:rPr>
          <w:rFonts w:ascii="Arial" w:eastAsia="Arial" w:hAnsi="Arial" w:cs="Arial"/>
          <w:snapToGrid/>
          <w:sz w:val="22"/>
          <w:szCs w:val="22"/>
          <w:lang w:eastAsia="en-GB"/>
        </w:rPr>
        <w:t xml:space="preserve"> use of centralized/generic e-mail addresses to reduce the dependencies to the e-mail addresses of the individuals, and Mr Zuniga pointed to the importance of regular communication tests for the verification of correctness of the TWFP/NTWC</w:t>
      </w:r>
      <w:r w:rsidRPr="00B96A2A">
        <w:rPr>
          <w:rFonts w:ascii="Arial" w:eastAsia="Arial" w:hAnsi="Arial" w:cs="Arial"/>
          <w:snapToGrid/>
          <w:color w:val="000000"/>
          <w:sz w:val="22"/>
          <w:szCs w:val="22"/>
          <w:lang w:eastAsia="en-GB"/>
        </w:rPr>
        <w:t xml:space="preserve"> contact information. Dr. McCreery </w:t>
      </w:r>
      <w:r w:rsidRPr="00B96A2A">
        <w:rPr>
          <w:rFonts w:ascii="Arial" w:eastAsia="Arial" w:hAnsi="Arial" w:cs="Arial"/>
          <w:snapToGrid/>
          <w:sz w:val="22"/>
          <w:szCs w:val="22"/>
          <w:lang w:eastAsia="en-GB"/>
        </w:rPr>
        <w:t>reported that efforts are in place to seek such feedback from communication teste through online forms, but no real improvements regarding the low-level response should be expected. In response to Dr. Vanacore’s comments, Dr. Sato confirmed the use of centralized/generic e-mail addresses in the operations.</w:t>
      </w:r>
    </w:p>
    <w:p w14:paraId="5B8678C9"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297" w:name="_heading=h.1fob9te" w:colFirst="0" w:colLast="0"/>
      <w:bookmarkStart w:id="298" w:name="_Toc195258167"/>
      <w:bookmarkEnd w:id="297"/>
      <w:r w:rsidRPr="00B96A2A">
        <w:rPr>
          <w:rFonts w:ascii="Arial" w:eastAsia="Arial" w:hAnsi="Arial" w:cs="Arial"/>
          <w:snapToGrid/>
          <w:color w:val="0F4761"/>
          <w:sz w:val="28"/>
          <w:szCs w:val="28"/>
          <w:lang w:eastAsia="en-GB"/>
        </w:rPr>
        <w:t>4. Review of TTTWO Action Items</w:t>
      </w:r>
      <w:bookmarkEnd w:id="298"/>
    </w:p>
    <w:p w14:paraId="50D48BC3" w14:textId="77777777" w:rsidR="00B96A2A" w:rsidRPr="00B96A2A" w:rsidRDefault="00B96A2A" w:rsidP="00B96A2A">
      <w:pPr>
        <w:keepNext/>
        <w:keepLines/>
        <w:tabs>
          <w:tab w:val="clear" w:pos="709"/>
        </w:tabs>
        <w:snapToGrid/>
        <w:spacing w:before="360" w:after="80"/>
        <w:jc w:val="both"/>
        <w:outlineLvl w:val="0"/>
        <w:rPr>
          <w:rFonts w:ascii="Arial" w:eastAsia="Arial" w:hAnsi="Arial" w:cs="Arial"/>
          <w:snapToGrid/>
          <w:color w:val="0F4761"/>
          <w:sz w:val="28"/>
          <w:szCs w:val="28"/>
          <w:lang w:eastAsia="en-GB"/>
        </w:rPr>
      </w:pPr>
      <w:bookmarkStart w:id="299" w:name="_heading=h.rtzec7fd649t" w:colFirst="0" w:colLast="0"/>
      <w:bookmarkStart w:id="300" w:name="_Toc195258168"/>
      <w:bookmarkEnd w:id="299"/>
      <w:r w:rsidRPr="00B96A2A">
        <w:rPr>
          <w:rFonts w:ascii="Arial" w:eastAsia="Arial" w:hAnsi="Arial" w:cs="Arial"/>
          <w:snapToGrid/>
          <w:color w:val="000000"/>
          <w:sz w:val="22"/>
          <w:szCs w:val="22"/>
          <w:lang w:eastAsia="en-GB"/>
        </w:rPr>
        <w:t xml:space="preserve">The Chair presented the current version of the TT-TWO Action </w:t>
      </w:r>
      <w:proofErr w:type="gramStart"/>
      <w:r w:rsidRPr="00B96A2A">
        <w:rPr>
          <w:rFonts w:ascii="Arial" w:eastAsia="Arial" w:hAnsi="Arial" w:cs="Arial"/>
          <w:snapToGrid/>
          <w:color w:val="000000"/>
          <w:sz w:val="22"/>
          <w:szCs w:val="22"/>
          <w:lang w:eastAsia="en-GB"/>
        </w:rPr>
        <w:t>Monitor</w:t>
      </w:r>
      <w:proofErr w:type="gramEnd"/>
      <w:r w:rsidRPr="00B96A2A">
        <w:rPr>
          <w:rFonts w:ascii="Arial" w:eastAsia="Arial" w:hAnsi="Arial" w:cs="Arial"/>
          <w:snapToGrid/>
          <w:color w:val="000000"/>
          <w:sz w:val="22"/>
          <w:szCs w:val="22"/>
          <w:lang w:eastAsia="en-GB"/>
        </w:rPr>
        <w:t xml:space="preserve"> and the group collectively updated the document. The updated version of the TT-TWO Action Monitor can be found </w:t>
      </w:r>
      <w:sdt>
        <w:sdtPr>
          <w:rPr>
            <w:rFonts w:ascii="Play" w:eastAsia="Play" w:hAnsi="Play" w:cs="Play"/>
            <w:snapToGrid/>
            <w:color w:val="0F4761"/>
            <w:sz w:val="28"/>
            <w:szCs w:val="28"/>
            <w:lang w:eastAsia="en-GB"/>
          </w:rPr>
          <w:tag w:val="goog_rdk_0"/>
          <w:id w:val="-1299989070"/>
        </w:sdtPr>
        <w:sdtContent/>
      </w:sdt>
      <w:hyperlink r:id="rId86" w:history="1">
        <w:r w:rsidRPr="00B96A2A">
          <w:rPr>
            <w:rFonts w:ascii="Arial" w:eastAsia="Arial" w:hAnsi="Arial" w:cs="Arial"/>
            <w:snapToGrid/>
            <w:color w:val="0000FF"/>
            <w:sz w:val="22"/>
            <w:szCs w:val="22"/>
            <w:u w:val="single"/>
            <w:lang w:eastAsia="en-GB"/>
          </w:rPr>
          <w:t>here</w:t>
        </w:r>
      </w:hyperlink>
      <w:r w:rsidRPr="00B96A2A">
        <w:rPr>
          <w:rFonts w:ascii="Arial" w:eastAsia="Arial" w:hAnsi="Arial" w:cs="Arial"/>
          <w:snapToGrid/>
          <w:color w:val="000000"/>
          <w:sz w:val="22"/>
          <w:szCs w:val="22"/>
          <w:lang w:eastAsia="en-GB"/>
        </w:rPr>
        <w:t>, reflecting also the additional actions as agreed during the 18th Session of the TOWS-WG Meeting. As of 25 February 2025, 3 actions are delayed, 4 actions are in progress, and there are 8 new actions. 5 actions from the previous intersessional period have been migrated (integrated) into these new actions, in accordance with the considerations of the TT-TWO during the current meeting.  8 actions were successfully completed.</w:t>
      </w:r>
      <w:bookmarkEnd w:id="300"/>
    </w:p>
    <w:p w14:paraId="0502A264"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01" w:name="_heading=h.3znysh7" w:colFirst="0" w:colLast="0"/>
      <w:bookmarkStart w:id="302" w:name="_Toc195258169"/>
      <w:bookmarkEnd w:id="301"/>
      <w:r w:rsidRPr="00B96A2A">
        <w:rPr>
          <w:rFonts w:ascii="Arial" w:eastAsia="Arial" w:hAnsi="Arial" w:cs="Arial"/>
          <w:snapToGrid/>
          <w:color w:val="0F4761"/>
          <w:sz w:val="28"/>
          <w:szCs w:val="28"/>
          <w:lang w:eastAsia="en-GB"/>
        </w:rPr>
        <w:t>5. Tsunami Watch Operations status and plans in all ICGs</w:t>
      </w:r>
      <w:bookmarkEnd w:id="302"/>
      <w:r w:rsidRPr="00B96A2A">
        <w:rPr>
          <w:rFonts w:ascii="Arial" w:eastAsia="Arial" w:hAnsi="Arial" w:cs="Arial"/>
          <w:snapToGrid/>
          <w:color w:val="0F4761"/>
          <w:sz w:val="28"/>
          <w:szCs w:val="28"/>
          <w:lang w:eastAsia="en-GB"/>
        </w:rPr>
        <w:t xml:space="preserve"> </w:t>
      </w:r>
    </w:p>
    <w:p w14:paraId="511C950B" w14:textId="77777777" w:rsidR="00B96A2A" w:rsidRPr="00B96A2A" w:rsidRDefault="00B96A2A" w:rsidP="00B96A2A">
      <w:pPr>
        <w:keepNext/>
        <w:keepLines/>
        <w:tabs>
          <w:tab w:val="clear" w:pos="709"/>
        </w:tabs>
        <w:snapToGrid/>
        <w:spacing w:before="160" w:after="80"/>
        <w:ind w:left="284"/>
        <w:outlineLvl w:val="1"/>
        <w:rPr>
          <w:rFonts w:ascii="Arial" w:eastAsia="Arial" w:hAnsi="Arial" w:cs="Arial"/>
          <w:snapToGrid/>
          <w:color w:val="0F4761"/>
          <w:lang w:eastAsia="en-GB"/>
        </w:rPr>
      </w:pPr>
      <w:bookmarkStart w:id="303" w:name="_heading=h.2et92p0" w:colFirst="0" w:colLast="0"/>
      <w:bookmarkStart w:id="304" w:name="_Toc195258170"/>
      <w:bookmarkEnd w:id="303"/>
      <w:r w:rsidRPr="00B96A2A">
        <w:rPr>
          <w:rFonts w:ascii="Arial" w:eastAsia="Arial" w:hAnsi="Arial" w:cs="Arial"/>
          <w:snapToGrid/>
          <w:color w:val="0F4761"/>
          <w:lang w:eastAsia="en-GB"/>
        </w:rPr>
        <w:t>5.1 ICG/CARIBE-EWS</w:t>
      </w:r>
      <w:bookmarkEnd w:id="304"/>
    </w:p>
    <w:p w14:paraId="508EA21C" w14:textId="77777777" w:rsidR="00B96A2A" w:rsidRPr="00B96A2A" w:rsidRDefault="00B96A2A" w:rsidP="00B96A2A">
      <w:pPr>
        <w:tabs>
          <w:tab w:val="clear" w:pos="709"/>
        </w:tabs>
        <w:snapToGrid/>
        <w:rPr>
          <w:rFonts w:eastAsia="Times New Roman"/>
          <w:snapToGrid/>
          <w:lang w:eastAsia="en-GB"/>
        </w:rPr>
      </w:pPr>
    </w:p>
    <w:p w14:paraId="0AEDE13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McCreery introduced the agenda item, available as a </w:t>
      </w:r>
      <w:hyperlink r:id="rId87">
        <w:r w:rsidRPr="00B96A2A">
          <w:rPr>
            <w:rFonts w:ascii="Arial" w:eastAsia="Arial" w:hAnsi="Arial" w:cs="Arial"/>
            <w:snapToGrid/>
            <w:color w:val="1155CC"/>
            <w:sz w:val="22"/>
            <w:szCs w:val="22"/>
            <w:u w:val="single"/>
            <w:lang w:eastAsia="en-GB"/>
          </w:rPr>
          <w:t>presentation</w:t>
        </w:r>
      </w:hyperlink>
      <w:r w:rsidRPr="00B96A2A">
        <w:rPr>
          <w:rFonts w:ascii="Arial" w:eastAsia="Arial" w:hAnsi="Arial" w:cs="Arial"/>
          <w:snapToGrid/>
          <w:sz w:val="22"/>
          <w:szCs w:val="22"/>
          <w:lang w:eastAsia="en-GB"/>
        </w:rPr>
        <w:t xml:space="preserve">. The US Tsunami Program has embarked on a multi-year effort to better synchronize its two tsunami warning </w:t>
      </w:r>
      <w:proofErr w:type="spellStart"/>
      <w:r w:rsidRPr="00B96A2A">
        <w:rPr>
          <w:rFonts w:ascii="Arial" w:eastAsia="Arial" w:hAnsi="Arial" w:cs="Arial"/>
          <w:snapToGrid/>
          <w:sz w:val="22"/>
          <w:szCs w:val="22"/>
          <w:lang w:eastAsia="en-GB"/>
        </w:rPr>
        <w:t>centers</w:t>
      </w:r>
      <w:proofErr w:type="spellEnd"/>
      <w:r w:rsidRPr="00B96A2A">
        <w:rPr>
          <w:rFonts w:ascii="Arial" w:eastAsia="Arial" w:hAnsi="Arial" w:cs="Arial"/>
          <w:snapToGrid/>
          <w:sz w:val="22"/>
          <w:szCs w:val="22"/>
          <w:lang w:eastAsia="en-GB"/>
        </w:rPr>
        <w:t xml:space="preserve"> (PTWC and US NTWC) to facilitate more seamless backup, more efficient and effective operations, and more efficient enterprise support.  The effort also includes ITIC for more coordinated training and decision-support to </w:t>
      </w:r>
      <w:proofErr w:type="spellStart"/>
      <w:proofErr w:type="gramStart"/>
      <w:r w:rsidRPr="00B96A2A">
        <w:rPr>
          <w:rFonts w:ascii="Arial" w:eastAsia="Arial" w:hAnsi="Arial" w:cs="Arial"/>
          <w:snapToGrid/>
          <w:sz w:val="22"/>
          <w:szCs w:val="22"/>
          <w:lang w:eastAsia="en-GB"/>
        </w:rPr>
        <w:t>customers.This</w:t>
      </w:r>
      <w:proofErr w:type="spellEnd"/>
      <w:proofErr w:type="gramEnd"/>
      <w:r w:rsidRPr="00B96A2A">
        <w:rPr>
          <w:rFonts w:ascii="Arial" w:eastAsia="Arial" w:hAnsi="Arial" w:cs="Arial"/>
          <w:snapToGrid/>
          <w:sz w:val="22"/>
          <w:szCs w:val="22"/>
          <w:lang w:eastAsia="en-GB"/>
        </w:rPr>
        <w:t xml:space="preserve"> effort includes:</w:t>
      </w:r>
    </w:p>
    <w:p w14:paraId="62E5DB0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710E33B" w14:textId="77777777" w:rsidR="00B96A2A" w:rsidRPr="00B96A2A" w:rsidRDefault="00B96A2A" w:rsidP="00B96A2A">
      <w:pPr>
        <w:numPr>
          <w:ilvl w:val="0"/>
          <w:numId w:val="168"/>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Design, construction and implementation of an enterprise supported Common Analysis System with new features including probabilistic tsunami forecasting.</w:t>
      </w:r>
    </w:p>
    <w:p w14:paraId="4DEA04AE" w14:textId="77777777" w:rsidR="00B96A2A" w:rsidRPr="00B96A2A" w:rsidRDefault="00B96A2A" w:rsidP="00B96A2A">
      <w:pPr>
        <w:numPr>
          <w:ilvl w:val="0"/>
          <w:numId w:val="168"/>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Design, construction, and implementation of a common product generation and dissemination software</w:t>
      </w:r>
    </w:p>
    <w:p w14:paraId="25C27489" w14:textId="77777777" w:rsidR="00B96A2A" w:rsidRPr="00B96A2A" w:rsidRDefault="00B96A2A" w:rsidP="00B96A2A">
      <w:pPr>
        <w:numPr>
          <w:ilvl w:val="0"/>
          <w:numId w:val="168"/>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Design, construction and implementation of a new “tsunami.gov” website for posting products and lots of other information regarding US Tsunami Program services</w:t>
      </w:r>
    </w:p>
    <w:p w14:paraId="2FFD5FC5" w14:textId="77777777" w:rsidR="00B96A2A" w:rsidRPr="00B96A2A" w:rsidRDefault="00B96A2A" w:rsidP="00B96A2A">
      <w:pPr>
        <w:numPr>
          <w:ilvl w:val="0"/>
          <w:numId w:val="168"/>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Reorganization of the US Tsunami Program under a common management structure.</w:t>
      </w:r>
    </w:p>
    <w:p w14:paraId="264FE4A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203BD9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PTWC has also briefed the ICG/CARIBE-EWS on a variety of changes to its products – mostly a restructuring to make them easier to quickly understand. These changes have been included </w:t>
      </w:r>
      <w:r w:rsidRPr="00B96A2A">
        <w:rPr>
          <w:rFonts w:ascii="Arial" w:eastAsia="Arial" w:hAnsi="Arial" w:cs="Arial"/>
          <w:snapToGrid/>
          <w:sz w:val="22"/>
          <w:szCs w:val="22"/>
          <w:lang w:eastAsia="en-GB"/>
        </w:rPr>
        <w:lastRenderedPageBreak/>
        <w:t>in a new User’s Guide to PTWC Procedures and Products for the CARIBE-</w:t>
      </w:r>
      <w:proofErr w:type="spellStart"/>
      <w:r w:rsidRPr="00B96A2A">
        <w:rPr>
          <w:rFonts w:ascii="Arial" w:eastAsia="Arial" w:hAnsi="Arial" w:cs="Arial"/>
          <w:snapToGrid/>
          <w:sz w:val="22"/>
          <w:szCs w:val="22"/>
          <w:lang w:eastAsia="en-GB"/>
        </w:rPr>
        <w:t>EWS.If</w:t>
      </w:r>
      <w:proofErr w:type="spellEnd"/>
      <w:r w:rsidRPr="00B96A2A">
        <w:rPr>
          <w:rFonts w:ascii="Arial" w:eastAsia="Arial" w:hAnsi="Arial" w:cs="Arial"/>
          <w:snapToGrid/>
          <w:sz w:val="22"/>
          <w:szCs w:val="22"/>
          <w:lang w:eastAsia="en-GB"/>
        </w:rPr>
        <w:t xml:space="preserve"> accepted at the next ICG/CARIBE-EWS Session in 2025/05, the changes will be implemented at a designated date.</w:t>
      </w:r>
    </w:p>
    <w:p w14:paraId="448C814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D474DB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Vanacore reported on the detection capability of the seismic network in the Caribbean region </w:t>
      </w:r>
      <w:proofErr w:type="gramStart"/>
      <w:r w:rsidRPr="00B96A2A">
        <w:rPr>
          <w:rFonts w:ascii="Arial" w:eastAsia="Arial" w:hAnsi="Arial" w:cs="Arial"/>
          <w:snapToGrid/>
          <w:sz w:val="22"/>
          <w:szCs w:val="22"/>
          <w:lang w:eastAsia="en-GB"/>
        </w:rPr>
        <w:t>and also</w:t>
      </w:r>
      <w:proofErr w:type="gramEnd"/>
      <w:r w:rsidRPr="00B96A2A">
        <w:rPr>
          <w:rFonts w:ascii="Arial" w:eastAsia="Arial" w:hAnsi="Arial" w:cs="Arial"/>
          <w:snapToGrid/>
          <w:sz w:val="22"/>
          <w:szCs w:val="22"/>
          <w:lang w:eastAsia="en-GB"/>
        </w:rPr>
        <w:t xml:space="preserve"> informed the group on the ongoing study to demonstrate improvement in tsunami early warning times with two to four variations on SMART Cable designs. </w:t>
      </w:r>
      <w:proofErr w:type="gramStart"/>
      <w:r w:rsidRPr="00B96A2A">
        <w:rPr>
          <w:rFonts w:ascii="Arial" w:eastAsia="Arial" w:hAnsi="Arial" w:cs="Arial"/>
          <w:snapToGrid/>
          <w:sz w:val="22"/>
          <w:szCs w:val="22"/>
          <w:lang w:eastAsia="en-GB"/>
        </w:rPr>
        <w:t>A  code</w:t>
      </w:r>
      <w:proofErr w:type="gramEnd"/>
      <w:r w:rsidRPr="00B96A2A">
        <w:rPr>
          <w:rFonts w:ascii="Arial" w:eastAsia="Arial" w:hAnsi="Arial" w:cs="Arial"/>
          <w:snapToGrid/>
          <w:sz w:val="22"/>
          <w:szCs w:val="22"/>
          <w:lang w:eastAsia="en-GB"/>
        </w:rPr>
        <w:t xml:space="preserve"> has been written to determine improvements in detection time for seismic sources. and Dr Vanacore will create a GitHub to publicly share code. Dr. Vanacore also highlighted the ongoing challenges with the unavailability of sea-level data from the north, west, and south of Caribbean which drastically reduces the operational capabilities of the TSPs and NTWCs of the region. Lastly, Dr. Vanacore reported on the ongoing efforts for the conduct of a Sea Level Training Course in English, to be hosted in Puerto Rico during 7-11 July 2025 by PRSN and </w:t>
      </w:r>
      <w:proofErr w:type="spellStart"/>
      <w:r w:rsidRPr="00B96A2A">
        <w:rPr>
          <w:rFonts w:ascii="Arial" w:eastAsia="Arial" w:hAnsi="Arial" w:cs="Arial"/>
          <w:snapToGrid/>
          <w:sz w:val="22"/>
          <w:szCs w:val="22"/>
          <w:lang w:eastAsia="en-GB"/>
        </w:rPr>
        <w:t>CariCOOS</w:t>
      </w:r>
      <w:proofErr w:type="spellEnd"/>
      <w:r w:rsidRPr="00B96A2A">
        <w:rPr>
          <w:rFonts w:ascii="Arial" w:eastAsia="Arial" w:hAnsi="Arial" w:cs="Arial"/>
          <w:snapToGrid/>
          <w:sz w:val="22"/>
          <w:szCs w:val="22"/>
          <w:lang w:eastAsia="en-GB"/>
        </w:rPr>
        <w:t>, in close collaboration with the UNESCO-IOC, NOAA and IHO.  The training course is expected to be announced through a Circular Letter in 2025/03.</w:t>
      </w:r>
    </w:p>
    <w:p w14:paraId="137D3AAD" w14:textId="77777777" w:rsidR="00B96A2A" w:rsidRPr="00B96A2A" w:rsidRDefault="00B96A2A" w:rsidP="00B96A2A">
      <w:pPr>
        <w:tabs>
          <w:tab w:val="clear" w:pos="709"/>
        </w:tabs>
        <w:snapToGrid/>
        <w:rPr>
          <w:rFonts w:eastAsia="Times New Roman"/>
          <w:snapToGrid/>
          <w:lang w:eastAsia="en-GB"/>
        </w:rPr>
      </w:pPr>
    </w:p>
    <w:p w14:paraId="4640C67B" w14:textId="77777777" w:rsidR="00B96A2A" w:rsidRPr="00B96A2A" w:rsidRDefault="00B96A2A" w:rsidP="00B96A2A">
      <w:pPr>
        <w:keepNext/>
        <w:keepLines/>
        <w:tabs>
          <w:tab w:val="clear" w:pos="709"/>
        </w:tabs>
        <w:snapToGrid/>
        <w:spacing w:before="160" w:after="80"/>
        <w:ind w:left="284"/>
        <w:outlineLvl w:val="1"/>
        <w:rPr>
          <w:rFonts w:ascii="Arial" w:eastAsia="Arial" w:hAnsi="Arial" w:cs="Arial"/>
          <w:snapToGrid/>
          <w:color w:val="0F4761"/>
          <w:lang w:eastAsia="en-GB"/>
        </w:rPr>
      </w:pPr>
      <w:bookmarkStart w:id="305" w:name="_heading=h.tyjcwt" w:colFirst="0" w:colLast="0"/>
      <w:bookmarkStart w:id="306" w:name="_Toc195258171"/>
      <w:bookmarkEnd w:id="305"/>
      <w:r w:rsidRPr="00B96A2A">
        <w:rPr>
          <w:rFonts w:ascii="Arial" w:eastAsia="Arial" w:hAnsi="Arial" w:cs="Arial"/>
          <w:snapToGrid/>
          <w:color w:val="0F4761"/>
          <w:lang w:eastAsia="en-GB"/>
        </w:rPr>
        <w:t>5.2 ICG/IOTWMS</w:t>
      </w:r>
      <w:bookmarkEnd w:id="306"/>
    </w:p>
    <w:p w14:paraId="3E0B290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Mr Padmanabham introduced the agenda item, available as a </w:t>
      </w:r>
      <w:hyperlink r:id="rId88">
        <w:r w:rsidRPr="00B96A2A">
          <w:rPr>
            <w:rFonts w:ascii="Arial" w:eastAsia="Arial" w:hAnsi="Arial" w:cs="Arial"/>
            <w:snapToGrid/>
            <w:color w:val="1155CC"/>
            <w:sz w:val="22"/>
            <w:szCs w:val="22"/>
            <w:u w:val="single"/>
            <w:lang w:eastAsia="en-GB"/>
          </w:rPr>
          <w:t>presentation</w:t>
        </w:r>
      </w:hyperlink>
      <w:r w:rsidRPr="00B96A2A">
        <w:rPr>
          <w:rFonts w:ascii="Arial" w:eastAsia="Arial" w:hAnsi="Arial" w:cs="Arial"/>
          <w:snapToGrid/>
          <w:sz w:val="22"/>
          <w:szCs w:val="22"/>
          <w:lang w:eastAsia="en-GB"/>
        </w:rPr>
        <w:t xml:space="preserve">. Under ICG/IOTWMS, there are 3 Tsunami Service Providers (TSPs) (Australia, India, Indonesia) to provide tsunami threat information to National Tsunami Warning Centres (NTWCs). NTWCs operate within multi-hazard frameworks.  Maritime products for NAVAREAs to be </w:t>
      </w:r>
      <w:proofErr w:type="spellStart"/>
      <w:r w:rsidRPr="00B96A2A">
        <w:rPr>
          <w:rFonts w:ascii="Arial" w:eastAsia="Arial" w:hAnsi="Arial" w:cs="Arial"/>
          <w:snapToGrid/>
          <w:sz w:val="22"/>
          <w:szCs w:val="22"/>
          <w:lang w:eastAsia="en-GB"/>
        </w:rPr>
        <w:t>trialed</w:t>
      </w:r>
      <w:proofErr w:type="spellEnd"/>
      <w:r w:rsidRPr="00B96A2A">
        <w:rPr>
          <w:rFonts w:ascii="Arial" w:eastAsia="Arial" w:hAnsi="Arial" w:cs="Arial"/>
          <w:snapToGrid/>
          <w:sz w:val="22"/>
          <w:szCs w:val="22"/>
          <w:lang w:eastAsia="en-GB"/>
        </w:rPr>
        <w:t xml:space="preserve"> and implemented in 2025 by </w:t>
      </w:r>
      <w:proofErr w:type="spellStart"/>
      <w:r w:rsidRPr="00B96A2A">
        <w:rPr>
          <w:rFonts w:ascii="Arial" w:eastAsia="Arial" w:hAnsi="Arial" w:cs="Arial"/>
          <w:snapToGrid/>
          <w:sz w:val="22"/>
          <w:szCs w:val="22"/>
          <w:lang w:eastAsia="en-GB"/>
        </w:rPr>
        <w:t>TSPs.</w:t>
      </w:r>
      <w:proofErr w:type="spellEnd"/>
      <w:r w:rsidRPr="00B96A2A">
        <w:rPr>
          <w:rFonts w:ascii="Arial" w:eastAsia="Arial" w:hAnsi="Arial" w:cs="Arial"/>
          <w:snapToGrid/>
          <w:sz w:val="22"/>
          <w:szCs w:val="22"/>
          <w:lang w:eastAsia="en-GB"/>
        </w:rPr>
        <w:t xml:space="preserve"> Competency training framework being developed for NTWCs. TSP operations are ISO compliant: ISO 9001 (India &amp; Australia), ISO 22328-3 (Indonesia).</w:t>
      </w:r>
    </w:p>
    <w:p w14:paraId="4D321BA1"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165AD5C5"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TSP-Australia and TSP-India have implemented NAVAREA product issuance, set to be tested in the upcoming COMMS test.  TSP-Australia is operationally issuing bulletins for TGVs, while TSP-India and TSP-Indonesia are in development. TSP-India introduced the SAMUDRA Mobile App as a comprehensive multi-hazard early warning app to the coastal communities about oceanic threats; established the cutting-edge </w:t>
      </w:r>
      <w:proofErr w:type="spellStart"/>
      <w:r w:rsidRPr="00B96A2A">
        <w:rPr>
          <w:rFonts w:ascii="Arial" w:eastAsia="Arial" w:hAnsi="Arial" w:cs="Arial"/>
          <w:snapToGrid/>
          <w:sz w:val="22"/>
          <w:szCs w:val="22"/>
          <w:lang w:eastAsia="en-GB"/>
        </w:rPr>
        <w:t>SynOPS</w:t>
      </w:r>
      <w:proofErr w:type="spellEnd"/>
      <w:r w:rsidRPr="00B96A2A">
        <w:rPr>
          <w:rFonts w:ascii="Arial" w:eastAsia="Arial" w:hAnsi="Arial" w:cs="Arial"/>
          <w:snapToGrid/>
          <w:sz w:val="22"/>
          <w:szCs w:val="22"/>
          <w:lang w:eastAsia="en-GB"/>
        </w:rPr>
        <w:t xml:space="preserve"> Lab to advance ocean monitoring and predictive capabilities and HPC facility “TARANG” at INCOIS dedicated to real-time tsunami inundation </w:t>
      </w:r>
      <w:proofErr w:type="spellStart"/>
      <w:r w:rsidRPr="00B96A2A">
        <w:rPr>
          <w:rFonts w:ascii="Arial" w:eastAsia="Arial" w:hAnsi="Arial" w:cs="Arial"/>
          <w:snapToGrid/>
          <w:sz w:val="22"/>
          <w:szCs w:val="22"/>
          <w:lang w:eastAsia="en-GB"/>
        </w:rPr>
        <w:t>modeling</w:t>
      </w:r>
      <w:proofErr w:type="spellEnd"/>
      <w:r w:rsidRPr="00B96A2A">
        <w:rPr>
          <w:rFonts w:ascii="Arial" w:eastAsia="Arial" w:hAnsi="Arial" w:cs="Arial"/>
          <w:snapToGrid/>
          <w:sz w:val="22"/>
          <w:szCs w:val="22"/>
          <w:lang w:eastAsia="en-GB"/>
        </w:rPr>
        <w:t xml:space="preserve">, operational oceanography, and advanced simulations. 4000 </w:t>
      </w:r>
      <w:proofErr w:type="spellStart"/>
      <w:r w:rsidRPr="00B96A2A">
        <w:rPr>
          <w:rFonts w:ascii="Arial" w:eastAsia="Arial" w:hAnsi="Arial" w:cs="Arial"/>
          <w:snapToGrid/>
          <w:sz w:val="22"/>
          <w:szCs w:val="22"/>
          <w:lang w:eastAsia="en-GB"/>
        </w:rPr>
        <w:t>TsunAWI</w:t>
      </w:r>
      <w:proofErr w:type="spellEnd"/>
      <w:r w:rsidRPr="00B96A2A">
        <w:rPr>
          <w:rFonts w:ascii="Arial" w:eastAsia="Arial" w:hAnsi="Arial" w:cs="Arial"/>
          <w:snapToGrid/>
          <w:sz w:val="22"/>
          <w:szCs w:val="22"/>
          <w:lang w:eastAsia="en-GB"/>
        </w:rPr>
        <w:t xml:space="preserve"> scenarios were added into TOAST at TSP-Indonesia. Number of seismometers increase progressively and now reached 534. Indonesia Tsunami Non-Tectonic monitoring system (</w:t>
      </w:r>
      <w:proofErr w:type="spellStart"/>
      <w:r w:rsidRPr="00B96A2A">
        <w:rPr>
          <w:rFonts w:ascii="Arial" w:eastAsia="Arial" w:hAnsi="Arial" w:cs="Arial"/>
          <w:snapToGrid/>
          <w:sz w:val="22"/>
          <w:szCs w:val="22"/>
          <w:lang w:eastAsia="en-GB"/>
        </w:rPr>
        <w:t>InaTNT</w:t>
      </w:r>
      <w:proofErr w:type="spellEnd"/>
      <w:r w:rsidRPr="00B96A2A">
        <w:rPr>
          <w:rFonts w:ascii="Arial" w:eastAsia="Arial" w:hAnsi="Arial" w:cs="Arial"/>
          <w:snapToGrid/>
          <w:sz w:val="22"/>
          <w:szCs w:val="22"/>
          <w:lang w:eastAsia="en-GB"/>
        </w:rPr>
        <w:t>) is now in place to monitor the sea-level anomalies. A National Consortium of the EQ and Tsunami Experts has been established, which also supported the development of the impact based real time system of</w:t>
      </w:r>
    </w:p>
    <w:p w14:paraId="35C797B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roofErr w:type="spellStart"/>
      <w:r w:rsidRPr="00B96A2A">
        <w:rPr>
          <w:rFonts w:ascii="Arial" w:eastAsia="Arial" w:hAnsi="Arial" w:cs="Arial"/>
          <w:snapToGrid/>
          <w:sz w:val="22"/>
          <w:szCs w:val="22"/>
          <w:lang w:eastAsia="en-GB"/>
        </w:rPr>
        <w:t>InaTEWS</w:t>
      </w:r>
      <w:proofErr w:type="spellEnd"/>
      <w:r w:rsidRPr="00B96A2A">
        <w:rPr>
          <w:rFonts w:ascii="Arial" w:eastAsia="Arial" w:hAnsi="Arial" w:cs="Arial"/>
          <w:snapToGrid/>
          <w:sz w:val="22"/>
          <w:szCs w:val="22"/>
          <w:lang w:eastAsia="en-GB"/>
        </w:rPr>
        <w:t>.</w:t>
      </w:r>
    </w:p>
    <w:p w14:paraId="45144DA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36F4CBE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TSP Australia will integrate, test and operationalise seismic array processing as input to rapid earthquake detection and characterization and will commence work towards ISO 9001 accreditation for GA-JATWC systems. TSP India is developing SOPs and implementing products for non-seismic tsunamis; utilizing GNSS &amp; SMA for precise rupture characterization; establishing the GPS co-located tide Gauges along the Indian coast; archiving </w:t>
      </w:r>
      <w:proofErr w:type="spellStart"/>
      <w:r w:rsidRPr="00B96A2A">
        <w:rPr>
          <w:rFonts w:ascii="Arial" w:eastAsia="Arial" w:hAnsi="Arial" w:cs="Arial"/>
          <w:snapToGrid/>
          <w:sz w:val="22"/>
          <w:szCs w:val="22"/>
          <w:lang w:eastAsia="en-GB"/>
        </w:rPr>
        <w:t>Makran</w:t>
      </w:r>
      <w:proofErr w:type="spellEnd"/>
      <w:r w:rsidRPr="00B96A2A">
        <w:rPr>
          <w:rFonts w:ascii="Arial" w:eastAsia="Arial" w:hAnsi="Arial" w:cs="Arial"/>
          <w:snapToGrid/>
          <w:sz w:val="22"/>
          <w:szCs w:val="22"/>
          <w:lang w:eastAsia="en-GB"/>
        </w:rPr>
        <w:t xml:space="preserve"> source PTHA data for access to member states; establishing new technologies (undersea cable) for rapid tsunami detection; and providing on-the-job training for IO member states. TSP Indonesia will deploy 100 tsunami gauges, start with the utilization of GNSS data for earthquake parameter calculation, continue with the research on </w:t>
      </w:r>
      <w:proofErr w:type="spellStart"/>
      <w:r w:rsidRPr="00B96A2A">
        <w:rPr>
          <w:rFonts w:ascii="Arial" w:eastAsia="Arial" w:hAnsi="Arial" w:cs="Arial"/>
          <w:snapToGrid/>
          <w:sz w:val="22"/>
          <w:szCs w:val="22"/>
          <w:lang w:eastAsia="en-GB"/>
        </w:rPr>
        <w:t>non seismic</w:t>
      </w:r>
      <w:proofErr w:type="spellEnd"/>
      <w:r w:rsidRPr="00B96A2A">
        <w:rPr>
          <w:rFonts w:ascii="Arial" w:eastAsia="Arial" w:hAnsi="Arial" w:cs="Arial"/>
          <w:snapToGrid/>
          <w:sz w:val="22"/>
          <w:szCs w:val="22"/>
          <w:lang w:eastAsia="en-GB"/>
        </w:rPr>
        <w:t xml:space="preserve"> tsunamis, and will work on development of a processing system for Earthquake Early Warning.</w:t>
      </w:r>
    </w:p>
    <w:p w14:paraId="683F1F8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8A96A3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INCOIS (India) is hosting the International Tsunami Symposium 2025 ITS 2025 and the portal will be available for accepting the abstracts and</w:t>
      </w:r>
    </w:p>
    <w:p w14:paraId="765D8B1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registrations from the participants.</w:t>
      </w:r>
    </w:p>
    <w:p w14:paraId="7DADBE8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D7344D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lastRenderedPageBreak/>
        <w:t>ICG/IOTWMS conducted the 2024 UNESCO-IOC Capacity Assessment of Tsunami Preparedness in the Indian Ocean to track regional change and to identify gaps and challenges that could be addressed through future projects and activities. Survey responses from twenty-two (22) Member States have been received. The University of Huddersfield analysed the data and compared it with the results of the 2018 Assessment to produce a draft report. The Capacity Assessment Team, supported by the ESCAP Tsunami Trust Fund and the Asian Development Bank, convened a meeting in Bangkok from 4–6 September to formulate recommendations. The preliminary draft report is now available for review on the meeting website.</w:t>
      </w:r>
    </w:p>
    <w:p w14:paraId="1A24D96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2B604F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Major Decisions from the 14th Session of ICG/IOTWMS (14-19 Nov 2024, Jakarta, Indonesia) include i</w:t>
      </w:r>
      <w:proofErr w:type="gramStart"/>
      <w:r w:rsidRPr="00B96A2A">
        <w:rPr>
          <w:rFonts w:ascii="Arial" w:eastAsia="Arial" w:hAnsi="Arial" w:cs="Arial"/>
          <w:snapToGrid/>
          <w:sz w:val="22"/>
          <w:szCs w:val="22"/>
          <w:lang w:eastAsia="en-GB"/>
        </w:rPr>
        <w:t>)  extension</w:t>
      </w:r>
      <w:proofErr w:type="gramEnd"/>
      <w:r w:rsidRPr="00B96A2A">
        <w:rPr>
          <w:rFonts w:ascii="Arial" w:eastAsia="Arial" w:hAnsi="Arial" w:cs="Arial"/>
          <w:snapToGrid/>
          <w:sz w:val="22"/>
          <w:szCs w:val="22"/>
          <w:lang w:eastAsia="en-GB"/>
        </w:rPr>
        <w:t xml:space="preserve"> of the TSP services to include tsunamis generated by non-seismic and complex sources, and ii) establishing a new intersessional Task Team on New/Emerging Technologies for Observations and Forecasting under the WG2.</w:t>
      </w:r>
    </w:p>
    <w:p w14:paraId="6BE92D7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B819E0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Mr Nishimae expressed his interest in the SOPs developed for the TGVs and Mr Padmanabham informed that he will share the current version being developed by the WG2, noting that the process is ongoing. WG2 also has plans to create an atlas for volcanoes with tsunamigenic potential, through which a rough estimate of the tsunami arrival times can be presented. </w:t>
      </w:r>
    </w:p>
    <w:p w14:paraId="66990334" w14:textId="77777777" w:rsidR="00B96A2A" w:rsidRPr="00B96A2A" w:rsidRDefault="00B96A2A" w:rsidP="00B96A2A">
      <w:pPr>
        <w:tabs>
          <w:tab w:val="clear" w:pos="709"/>
        </w:tabs>
        <w:snapToGrid/>
        <w:rPr>
          <w:rFonts w:eastAsia="Times New Roman"/>
          <w:snapToGrid/>
          <w:lang w:eastAsia="en-GB"/>
        </w:rPr>
      </w:pPr>
    </w:p>
    <w:p w14:paraId="171CE1CC" w14:textId="77777777" w:rsidR="00B96A2A" w:rsidRPr="00B96A2A" w:rsidRDefault="00B96A2A" w:rsidP="00B96A2A">
      <w:pPr>
        <w:keepNext/>
        <w:keepLines/>
        <w:tabs>
          <w:tab w:val="clear" w:pos="709"/>
        </w:tabs>
        <w:snapToGrid/>
        <w:spacing w:before="160" w:after="80"/>
        <w:ind w:left="284"/>
        <w:outlineLvl w:val="1"/>
        <w:rPr>
          <w:rFonts w:ascii="Arial" w:eastAsia="Arial" w:hAnsi="Arial" w:cs="Arial"/>
          <w:snapToGrid/>
          <w:color w:val="0F4761"/>
          <w:lang w:eastAsia="en-GB"/>
        </w:rPr>
      </w:pPr>
      <w:bookmarkStart w:id="307" w:name="_heading=h.3dy6vkm" w:colFirst="0" w:colLast="0"/>
      <w:bookmarkStart w:id="308" w:name="_Toc195258172"/>
      <w:bookmarkEnd w:id="307"/>
      <w:r w:rsidRPr="00B96A2A">
        <w:rPr>
          <w:rFonts w:ascii="Arial" w:eastAsia="Arial" w:hAnsi="Arial" w:cs="Arial"/>
          <w:snapToGrid/>
          <w:color w:val="0F4761"/>
          <w:lang w:eastAsia="en-GB"/>
        </w:rPr>
        <w:t>5.3 ICG/NEAMTWS</w:t>
      </w:r>
      <w:bookmarkEnd w:id="308"/>
    </w:p>
    <w:p w14:paraId="4A0F04E8" w14:textId="77777777" w:rsidR="00B96A2A" w:rsidRPr="00B96A2A" w:rsidRDefault="00B96A2A" w:rsidP="00B96A2A">
      <w:pPr>
        <w:tabs>
          <w:tab w:val="clear" w:pos="709"/>
        </w:tabs>
        <w:snapToGrid/>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Alesio Piatanesi introduced the agenda item, available as a </w:t>
      </w:r>
      <w:hyperlink r:id="rId89">
        <w:r w:rsidRPr="00B96A2A">
          <w:rPr>
            <w:rFonts w:ascii="Arial" w:eastAsia="Arial" w:hAnsi="Arial" w:cs="Arial"/>
            <w:snapToGrid/>
            <w:color w:val="1155CC"/>
            <w:sz w:val="22"/>
            <w:szCs w:val="22"/>
            <w:u w:val="single"/>
            <w:lang w:eastAsia="en-GB"/>
          </w:rPr>
          <w:t>presentation</w:t>
        </w:r>
      </w:hyperlink>
      <w:r w:rsidRPr="00B96A2A">
        <w:rPr>
          <w:rFonts w:ascii="Arial" w:eastAsia="Arial" w:hAnsi="Arial" w:cs="Arial"/>
          <w:snapToGrid/>
          <w:sz w:val="22"/>
          <w:szCs w:val="22"/>
          <w:lang w:eastAsia="en-GB"/>
        </w:rPr>
        <w:t>. He pointed out the critical importance of the instrumental observations gap in North Africa. All TSPs are using the same 3 levels at the forecast points, namely</w:t>
      </w:r>
    </w:p>
    <w:p w14:paraId="3D3C2228"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46F72542" w14:textId="77777777" w:rsidR="00B96A2A" w:rsidRPr="00B96A2A" w:rsidRDefault="00B96A2A" w:rsidP="00B96A2A">
      <w:pPr>
        <w:tabs>
          <w:tab w:val="clear" w:pos="709"/>
        </w:tabs>
        <w:snapToGrid/>
        <w:ind w:firstLine="720"/>
        <w:rPr>
          <w:rFonts w:ascii="Arial" w:eastAsia="Arial" w:hAnsi="Arial" w:cs="Arial"/>
          <w:snapToGrid/>
          <w:sz w:val="22"/>
          <w:szCs w:val="22"/>
          <w:lang w:eastAsia="en-GB"/>
        </w:rPr>
      </w:pPr>
      <w:r w:rsidRPr="00B96A2A">
        <w:rPr>
          <w:rFonts w:ascii="Arial" w:eastAsia="Arial" w:hAnsi="Arial" w:cs="Arial"/>
          <w:snapToGrid/>
          <w:sz w:val="22"/>
          <w:szCs w:val="22"/>
          <w:lang w:eastAsia="en-GB"/>
        </w:rPr>
        <w:t>INFORMATION: no damage or relevant effect expected</w:t>
      </w:r>
    </w:p>
    <w:p w14:paraId="125D2ED2" w14:textId="77777777" w:rsidR="00B96A2A" w:rsidRPr="00B96A2A" w:rsidRDefault="00B96A2A" w:rsidP="00B96A2A">
      <w:pPr>
        <w:tabs>
          <w:tab w:val="clear" w:pos="709"/>
        </w:tabs>
        <w:snapToGrid/>
        <w:ind w:firstLine="720"/>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ADVISORY: wave height &lt; 0.5 m and/or runup &lt; 1 m </w:t>
      </w:r>
    </w:p>
    <w:p w14:paraId="1BD9D99A" w14:textId="77777777" w:rsidR="00B96A2A" w:rsidRPr="00B96A2A" w:rsidRDefault="00B96A2A" w:rsidP="00B96A2A">
      <w:pPr>
        <w:tabs>
          <w:tab w:val="clear" w:pos="709"/>
        </w:tabs>
        <w:snapToGrid/>
        <w:ind w:firstLine="720"/>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WATCH: wave height &gt; 0.5 m and/or runup &gt; 1 m </w:t>
      </w:r>
    </w:p>
    <w:p w14:paraId="0F7D9BFA"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60D56DA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ICG/NEAM XIX </w:t>
      </w:r>
      <w:proofErr w:type="gramStart"/>
      <w:r w:rsidRPr="00B96A2A">
        <w:rPr>
          <w:rFonts w:ascii="Arial" w:eastAsia="Arial" w:hAnsi="Arial" w:cs="Arial"/>
          <w:snapToGrid/>
          <w:sz w:val="22"/>
          <w:szCs w:val="22"/>
          <w:lang w:eastAsia="en-GB"/>
        </w:rPr>
        <w:t>( 2024</w:t>
      </w:r>
      <w:proofErr w:type="gramEnd"/>
      <w:r w:rsidRPr="00B96A2A">
        <w:rPr>
          <w:rFonts w:ascii="Arial" w:eastAsia="Arial" w:hAnsi="Arial" w:cs="Arial"/>
          <w:snapToGrid/>
          <w:sz w:val="22"/>
          <w:szCs w:val="22"/>
          <w:lang w:eastAsia="en-GB"/>
        </w:rPr>
        <w:t xml:space="preserve">/11) agrees to adopt the threat levels according to the request by the TT-TWO which is reflected in the draft of the new Global Service Definition Document (GSDD). TT Operations is currently preparing a template for the implementation of the threat levels in the TSP messages for consideration and feedback of the ICG/NEAMTWS WG4 </w:t>
      </w:r>
    </w:p>
    <w:p w14:paraId="76DD9E53"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F0FC87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All TSPs are using Decision Matrices (DMs) (differentiating between NE Atlantic and Mediterranean Sea). ICG/NEAM XIX (2025/11) welcomed the continued progress of the investigation and the possibility to adopt tsunami forecasting methods by TSPs which represent an improvement over DMs presently in use with a view to reducing uncertainty and false alarms, particularly the forecasting methods which consider tsunami numerical </w:t>
      </w:r>
      <w:proofErr w:type="spellStart"/>
      <w:r w:rsidRPr="00B96A2A">
        <w:rPr>
          <w:rFonts w:ascii="Arial" w:eastAsia="Arial" w:hAnsi="Arial" w:cs="Arial"/>
          <w:snapToGrid/>
          <w:sz w:val="22"/>
          <w:szCs w:val="22"/>
          <w:lang w:eastAsia="en-GB"/>
        </w:rPr>
        <w:t>modeling</w:t>
      </w:r>
      <w:proofErr w:type="spellEnd"/>
      <w:r w:rsidRPr="00B96A2A">
        <w:rPr>
          <w:rFonts w:ascii="Arial" w:eastAsia="Arial" w:hAnsi="Arial" w:cs="Arial"/>
          <w:snapToGrid/>
          <w:sz w:val="22"/>
          <w:szCs w:val="22"/>
          <w:lang w:eastAsia="en-GB"/>
        </w:rPr>
        <w:t xml:space="preserve"> and uncertainty quantification (e.g., the Probabilistic Tsunami Forecasting ( PTF), pre-calculated scenario databases, etc.). </w:t>
      </w:r>
    </w:p>
    <w:p w14:paraId="0B8B6AC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E8D434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EPOS-ON Horizon Europe project funds the development of the TSP-IOT prototype. This service is a virtual access to a web service including a common database (forecast points, sensor locations, bathymetry and topography models, etc.) that, along with additional tools will help warning centres to make their early warning operations interoperable and consistent, and to increase redundancy and fall-back solutions during event processing. This activity is supported in the framework of EPOS (European Plate Observing System) – The European distributed Research Infrastructure for solid Earth science.</w:t>
      </w:r>
    </w:p>
    <w:p w14:paraId="0C5B61A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8BDE935"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Ongoing activities include PROBABILISTIC TSUNAMI FORECASTING, COASTAL TSUNAMI FORECAST and NON-SEISMIC TSUNAMI SOURCES. Regarding PROBABILISTIC TSUNAMI FORECASTING, the </w:t>
      </w:r>
      <w:proofErr w:type="gramStart"/>
      <w:r w:rsidRPr="00B96A2A">
        <w:rPr>
          <w:rFonts w:ascii="Arial" w:eastAsia="Arial" w:hAnsi="Arial" w:cs="Arial"/>
          <w:snapToGrid/>
          <w:sz w:val="22"/>
          <w:szCs w:val="22"/>
          <w:lang w:eastAsia="en-GB"/>
        </w:rPr>
        <w:t>case  of</w:t>
      </w:r>
      <w:proofErr w:type="gramEnd"/>
      <w:r w:rsidRPr="00B96A2A">
        <w:rPr>
          <w:rFonts w:ascii="Arial" w:eastAsia="Arial" w:hAnsi="Arial" w:cs="Arial"/>
          <w:snapToGrid/>
          <w:sz w:val="22"/>
          <w:szCs w:val="22"/>
          <w:lang w:eastAsia="en-GB"/>
        </w:rPr>
        <w:t xml:space="preserve"> 2023/02 earthquake in Türkiye was </w:t>
      </w:r>
      <w:proofErr w:type="gramStart"/>
      <w:r w:rsidRPr="00B96A2A">
        <w:rPr>
          <w:rFonts w:ascii="Arial" w:eastAsia="Arial" w:hAnsi="Arial" w:cs="Arial"/>
          <w:snapToGrid/>
          <w:sz w:val="22"/>
          <w:szCs w:val="22"/>
          <w:lang w:eastAsia="en-GB"/>
        </w:rPr>
        <w:t>presented,  where</w:t>
      </w:r>
      <w:proofErr w:type="gramEnd"/>
      <w:r w:rsidRPr="00B96A2A">
        <w:rPr>
          <w:rFonts w:ascii="Arial" w:eastAsia="Arial" w:hAnsi="Arial" w:cs="Arial"/>
          <w:snapToGrid/>
          <w:sz w:val="22"/>
          <w:szCs w:val="22"/>
          <w:lang w:eastAsia="en-GB"/>
        </w:rPr>
        <w:t xml:space="preserve"> </w:t>
      </w:r>
      <w:r w:rsidRPr="00B96A2A">
        <w:rPr>
          <w:rFonts w:ascii="Arial" w:eastAsia="Arial" w:hAnsi="Arial" w:cs="Arial"/>
          <w:snapToGrid/>
          <w:sz w:val="22"/>
          <w:szCs w:val="22"/>
          <w:lang w:eastAsia="en-GB"/>
        </w:rPr>
        <w:lastRenderedPageBreak/>
        <w:t xml:space="preserve">DM resulted in a basin wide Watch, whereas PROBABILISTIC TSUNAMI FORECASTING would have provided a threat level assessment that </w:t>
      </w:r>
      <w:proofErr w:type="gramStart"/>
      <w:r w:rsidRPr="00B96A2A">
        <w:rPr>
          <w:rFonts w:ascii="Arial" w:eastAsia="Arial" w:hAnsi="Arial" w:cs="Arial"/>
          <w:snapToGrid/>
          <w:sz w:val="22"/>
          <w:szCs w:val="22"/>
          <w:lang w:eastAsia="en-GB"/>
        </w:rPr>
        <w:t>is in compliance with</w:t>
      </w:r>
      <w:proofErr w:type="gramEnd"/>
      <w:r w:rsidRPr="00B96A2A">
        <w:rPr>
          <w:rFonts w:ascii="Arial" w:eastAsia="Arial" w:hAnsi="Arial" w:cs="Arial"/>
          <w:snapToGrid/>
          <w:sz w:val="22"/>
          <w:szCs w:val="22"/>
          <w:lang w:eastAsia="en-GB"/>
        </w:rPr>
        <w:t xml:space="preserve"> the observations, which were less than 50cm. </w:t>
      </w:r>
    </w:p>
    <w:p w14:paraId="18A8702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0E3FA4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The ICG/NEAMTWS at the February 2024 session decided to establish a new Task Team on Non-Seismic Tsunami. An international workshop was held in Stromboli (5-7 October 2024) on volcano tsunamis. Among other issues, this TT will be important to foster the integration of TWS specifically conceived for non-seismic tsunami with those already operating for seismic tsunami: Stromboli volcano is a good case-study for such a task</w:t>
      </w:r>
    </w:p>
    <w:p w14:paraId="1504B19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01E7C45"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New Submarine Cable Ring connecting Portugal Mainland-Azores-Madeira, supported by Portugal, is expected to be operational in the second half of 2026. A CABLED DEEP OCEAN OBSERVATORY in the Western Ionian Sea was deployed in December 2023 (50 km from the coast, about 2000 m depth).  Two (+2 spare) tsunami buoys will be installed in the </w:t>
      </w:r>
      <w:proofErr w:type="gramStart"/>
      <w:r w:rsidRPr="00B96A2A">
        <w:rPr>
          <w:rFonts w:ascii="Arial" w:eastAsia="Arial" w:hAnsi="Arial" w:cs="Arial"/>
          <w:snapToGrid/>
          <w:sz w:val="22"/>
          <w:szCs w:val="22"/>
          <w:lang w:eastAsia="en-GB"/>
        </w:rPr>
        <w:t>Ionian sea</w:t>
      </w:r>
      <w:proofErr w:type="gramEnd"/>
      <w:r w:rsidRPr="00B96A2A">
        <w:rPr>
          <w:rFonts w:ascii="Arial" w:eastAsia="Arial" w:hAnsi="Arial" w:cs="Arial"/>
          <w:snapToGrid/>
          <w:sz w:val="22"/>
          <w:szCs w:val="22"/>
          <w:lang w:eastAsia="en-GB"/>
        </w:rPr>
        <w:t xml:space="preserve"> during summer 2025. Exact location and the technical requirements are to be determined yet. </w:t>
      </w:r>
    </w:p>
    <w:p w14:paraId="5C9251A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4539E2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In response to the information provided on the better assessment of the tsunami forecast through probabilistic framework, as demonstrated in the case of the 2023/02 earthquake in Türkiye, Dr. Necmioğlu underlined the fact that such a probabilistic framework is not currently capable of capturing the possibility of tsunami generation by landslides triggered by earthquakes, for which historical cases exist in the region, and reminded that the DM thresholds were kept conservative to accommodate such cases. Dr. Piatanesi responded that while landslide generated tsunamis should be considered as a local phenomenon, probabilistic framework is capable to capture the complexities and uncertainties of the earthquake source </w:t>
      </w:r>
      <w:proofErr w:type="gramStart"/>
      <w:r w:rsidRPr="00B96A2A">
        <w:rPr>
          <w:rFonts w:ascii="Arial" w:eastAsia="Arial" w:hAnsi="Arial" w:cs="Arial"/>
          <w:snapToGrid/>
          <w:sz w:val="22"/>
          <w:szCs w:val="22"/>
          <w:lang w:eastAsia="en-GB"/>
        </w:rPr>
        <w:t>in a given</w:t>
      </w:r>
      <w:proofErr w:type="gramEnd"/>
      <w:r w:rsidRPr="00B96A2A">
        <w:rPr>
          <w:rFonts w:ascii="Arial" w:eastAsia="Arial" w:hAnsi="Arial" w:cs="Arial"/>
          <w:snapToGrid/>
          <w:sz w:val="22"/>
          <w:szCs w:val="22"/>
          <w:lang w:eastAsia="en-GB"/>
        </w:rPr>
        <w:t xml:space="preserve"> tectonic setting, hence and there is a need to move away from DM approach, which cannot address such complexities and uncertainties. </w:t>
      </w:r>
    </w:p>
    <w:p w14:paraId="46E63AB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9687474" w14:textId="77777777" w:rsidR="00B96A2A" w:rsidRPr="00B96A2A" w:rsidRDefault="00B96A2A" w:rsidP="00B96A2A">
      <w:pPr>
        <w:keepNext/>
        <w:keepLines/>
        <w:tabs>
          <w:tab w:val="clear" w:pos="709"/>
        </w:tabs>
        <w:snapToGrid/>
        <w:spacing w:before="160" w:after="80"/>
        <w:ind w:left="284"/>
        <w:outlineLvl w:val="1"/>
        <w:rPr>
          <w:rFonts w:ascii="Arial" w:eastAsia="Arial" w:hAnsi="Arial" w:cs="Arial"/>
          <w:snapToGrid/>
          <w:color w:val="0F4761"/>
          <w:lang w:eastAsia="en-GB"/>
        </w:rPr>
      </w:pPr>
      <w:bookmarkStart w:id="309" w:name="_heading=h.1t3h5sf" w:colFirst="0" w:colLast="0"/>
      <w:bookmarkStart w:id="310" w:name="_Toc195258173"/>
      <w:bookmarkEnd w:id="309"/>
      <w:r w:rsidRPr="00B96A2A">
        <w:rPr>
          <w:rFonts w:ascii="Arial" w:eastAsia="Arial" w:hAnsi="Arial" w:cs="Arial"/>
          <w:snapToGrid/>
          <w:color w:val="0F4761"/>
          <w:lang w:eastAsia="en-GB"/>
        </w:rPr>
        <w:t>5.4 ICG/PTWS</w:t>
      </w:r>
      <w:bookmarkEnd w:id="310"/>
    </w:p>
    <w:p w14:paraId="0748291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Mr Yuji Nishimae introduced the agenda item, available as a </w:t>
      </w:r>
      <w:hyperlink r:id="rId90">
        <w:r w:rsidRPr="00B96A2A">
          <w:rPr>
            <w:rFonts w:ascii="Arial" w:eastAsia="Arial" w:hAnsi="Arial" w:cs="Arial"/>
            <w:snapToGrid/>
            <w:color w:val="1155CC"/>
            <w:sz w:val="22"/>
            <w:szCs w:val="22"/>
            <w:u w:val="single"/>
            <w:lang w:eastAsia="en-GB"/>
          </w:rPr>
          <w:t>presentation</w:t>
        </w:r>
      </w:hyperlink>
      <w:r w:rsidRPr="00B96A2A">
        <w:rPr>
          <w:rFonts w:ascii="Arial" w:eastAsia="Arial" w:hAnsi="Arial" w:cs="Arial"/>
          <w:snapToGrid/>
          <w:sz w:val="22"/>
          <w:szCs w:val="22"/>
          <w:lang w:eastAsia="en-GB"/>
        </w:rPr>
        <w:t xml:space="preserve">. He informed on the ICG/PTWS XXXI session (8-11 April 2025) and Joint Tsunami Workshop in collaboration with the IUGG-JTC (7 April 2025) focusing on the 60th Anniversary of the ICG/PTWS - Past and </w:t>
      </w:r>
      <w:proofErr w:type="gramStart"/>
      <w:r w:rsidRPr="00B96A2A">
        <w:rPr>
          <w:rFonts w:ascii="Arial" w:eastAsia="Arial" w:hAnsi="Arial" w:cs="Arial"/>
          <w:snapToGrid/>
          <w:sz w:val="22"/>
          <w:szCs w:val="22"/>
          <w:lang w:eastAsia="en-GB"/>
        </w:rPr>
        <w:t>Future ,</w:t>
      </w:r>
      <w:proofErr w:type="gramEnd"/>
      <w:r w:rsidRPr="00B96A2A">
        <w:rPr>
          <w:rFonts w:ascii="Arial" w:eastAsia="Arial" w:hAnsi="Arial" w:cs="Arial"/>
          <w:snapToGrid/>
          <w:sz w:val="22"/>
          <w:szCs w:val="22"/>
          <w:lang w:eastAsia="en-GB"/>
        </w:rPr>
        <w:t xml:space="preserve"> both in Beijing-China. A pre-webinar for this workshop will be organized on 1 April (online)i </w:t>
      </w:r>
    </w:p>
    <w:p w14:paraId="765BF0A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02C061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ESCAP Phase II </w:t>
      </w:r>
      <w:hyperlink r:id="rId91">
        <w:r w:rsidRPr="00B96A2A">
          <w:rPr>
            <w:rFonts w:ascii="Arial" w:eastAsia="Arial" w:hAnsi="Arial" w:cs="Arial"/>
            <w:snapToGrid/>
            <w:color w:val="1155CC"/>
            <w:sz w:val="22"/>
            <w:szCs w:val="22"/>
            <w:u w:val="single"/>
            <w:lang w:eastAsia="en-GB"/>
          </w:rPr>
          <w:t>Tsunami Preparedness Capacity Assessment for the Pacific region</w:t>
        </w:r>
      </w:hyperlink>
      <w:r w:rsidRPr="00B96A2A">
        <w:rPr>
          <w:rFonts w:ascii="Arial" w:eastAsia="Arial" w:hAnsi="Arial" w:cs="Arial"/>
          <w:snapToGrid/>
          <w:sz w:val="22"/>
          <w:szCs w:val="22"/>
          <w:lang w:eastAsia="en-GB"/>
        </w:rPr>
        <w:t xml:space="preserve"> has started in 2025/01 and will be completed in 2025/09. A survey was announced on 5 Feb through CL-3027 with a deadline on 4 March. </w:t>
      </w:r>
    </w:p>
    <w:p w14:paraId="73F28ED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3B5FFE25"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The key objectives of this assessment have been identified as follows: </w:t>
      </w:r>
    </w:p>
    <w:p w14:paraId="6CA5921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6E2E649" w14:textId="77777777" w:rsidR="00B96A2A" w:rsidRPr="00B96A2A" w:rsidRDefault="00B96A2A" w:rsidP="00B96A2A">
      <w:pPr>
        <w:numPr>
          <w:ilvl w:val="0"/>
          <w:numId w:val="158"/>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To evaluate the existing capacity of the UNESCO-IOC Indian Ocean Tsunami Warning and Mitigation System (IOTWMS) (Phase I) and Pacific Tsunami Warning and Mitigation System (PTWS) (Phase II) and highlight the progress made since 2004 IOT and subsequent assessments. </w:t>
      </w:r>
    </w:p>
    <w:p w14:paraId="69A9354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B6E4F9F" w14:textId="77777777" w:rsidR="00B96A2A" w:rsidRPr="00B96A2A" w:rsidRDefault="00B96A2A" w:rsidP="00B96A2A">
      <w:pPr>
        <w:numPr>
          <w:ilvl w:val="0"/>
          <w:numId w:val="170"/>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To identify specific gaps and capacity development requirements at regional and national levels for strengthening the technical and policy aspects of the tsunami warning and mitigation systems in the region. </w:t>
      </w:r>
    </w:p>
    <w:p w14:paraId="71F1444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FD53680" w14:textId="77777777" w:rsidR="00B96A2A" w:rsidRPr="00B96A2A" w:rsidRDefault="00B96A2A" w:rsidP="00B96A2A">
      <w:pPr>
        <w:numPr>
          <w:ilvl w:val="0"/>
          <w:numId w:val="157"/>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lastRenderedPageBreak/>
        <w:t>To provide recommendations for the next strategic phase of ESCAP's Trust Fund for Tsunami Disaster and Climate Preparedness, aiming to address the identified gaps through regional cooperation and mainstreaming science.</w:t>
      </w:r>
    </w:p>
    <w:p w14:paraId="4198BD1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B9C01F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At ICG/PTWS-XXX in 2023/09, the ICG Decided to admit the start of the official full functional operations of CATAC, starting after the IOC governing body meeting in 2024, with the specific starting date to be decided after the coordination with the ICG/CARIBE-EWS, but ICG/CARIBE-EWS-XVII in May 2024 Recommended that CATAC continues full functionality in an interim manner an consider CATAC as a TSP in its XVIII Session in 2025 to enable the IOC Assembly to consider the final admission of CATAC as TSP in June 2025.</w:t>
      </w:r>
    </w:p>
    <w:p w14:paraId="4B0420F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870B0F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Based on </w:t>
      </w:r>
      <w:proofErr w:type="gramStart"/>
      <w:r w:rsidRPr="00B96A2A">
        <w:rPr>
          <w:rFonts w:ascii="Arial" w:eastAsia="Arial" w:hAnsi="Arial" w:cs="Arial"/>
          <w:snapToGrid/>
          <w:sz w:val="22"/>
          <w:szCs w:val="22"/>
          <w:lang w:eastAsia="en-GB"/>
        </w:rPr>
        <w:t>The</w:t>
      </w:r>
      <w:proofErr w:type="gramEnd"/>
      <w:r w:rsidRPr="00B96A2A">
        <w:rPr>
          <w:rFonts w:ascii="Arial" w:eastAsia="Arial" w:hAnsi="Arial" w:cs="Arial"/>
          <w:snapToGrid/>
          <w:sz w:val="22"/>
          <w:szCs w:val="22"/>
          <w:lang w:eastAsia="en-GB"/>
        </w:rPr>
        <w:t xml:space="preserve"> TOWS-WG Group recommended to Intergovernmental Coordination Groups (ICGs), TSPs identified for each ICG were asked to trial dissemination of maritime bulletins to respective NAVAREA operators in their Area of Service (</w:t>
      </w:r>
      <w:proofErr w:type="spellStart"/>
      <w:r w:rsidRPr="00B96A2A">
        <w:rPr>
          <w:rFonts w:ascii="Arial" w:eastAsia="Arial" w:hAnsi="Arial" w:cs="Arial"/>
          <w:snapToGrid/>
          <w:sz w:val="22"/>
          <w:szCs w:val="22"/>
          <w:lang w:eastAsia="en-GB"/>
        </w:rPr>
        <w:t>AoS</w:t>
      </w:r>
      <w:proofErr w:type="spellEnd"/>
      <w:r w:rsidRPr="00B96A2A">
        <w:rPr>
          <w:rFonts w:ascii="Arial" w:eastAsia="Arial" w:hAnsi="Arial" w:cs="Arial"/>
          <w:snapToGrid/>
          <w:sz w:val="22"/>
          <w:szCs w:val="22"/>
          <w:lang w:eastAsia="en-GB"/>
        </w:rPr>
        <w:t xml:space="preserve">) in the second half of 2024 for full operational implementation in 2025. At ICG/PTWS-XXX in 2023/09, ICG/PTWS Recommended the PTWC to finalize necessary preparations to provide special tsunami maritime safety products specifically for ships for all NAVAREA Coordinators in the Pacific and in the Southwest Atlantic (e.g. NAVAREAs VI, X, XI, XII, XIII, XIV, XV, and XVI) to transmit to the NTWCs to be forwarded to the NAVAREA Coordinators of their countries, or upon their request directly to the NAVAREA Coordinators in the absence of a NTWC. Trial Transmission of these products were tested in the </w:t>
      </w:r>
      <w:proofErr w:type="spellStart"/>
      <w:r w:rsidRPr="00B96A2A">
        <w:rPr>
          <w:rFonts w:ascii="Arial" w:eastAsia="Arial" w:hAnsi="Arial" w:cs="Arial"/>
          <w:snapToGrid/>
          <w:sz w:val="22"/>
          <w:szCs w:val="22"/>
          <w:lang w:eastAsia="en-GB"/>
        </w:rPr>
        <w:t>PacWave</w:t>
      </w:r>
      <w:proofErr w:type="spellEnd"/>
      <w:r w:rsidRPr="00B96A2A">
        <w:rPr>
          <w:rFonts w:ascii="Arial" w:eastAsia="Arial" w:hAnsi="Arial" w:cs="Arial"/>
          <w:snapToGrid/>
          <w:sz w:val="22"/>
          <w:szCs w:val="22"/>
          <w:lang w:eastAsia="en-GB"/>
        </w:rPr>
        <w:t xml:space="preserve"> 24 on 5 November 2024. A meeting was organized with the Chair of the Sub-Committee on the World-Wide Navigational Warning Service (WWNWS-SC) on 6 February 2025, in which PTWC obtained necessary clarification toward the finalization of the operational product. WWNWS-SC will review the final product in its meeting in 2025/09 and </w:t>
      </w:r>
      <w:proofErr w:type="gramStart"/>
      <w:r w:rsidRPr="00B96A2A">
        <w:rPr>
          <w:rFonts w:ascii="Arial" w:eastAsia="Arial" w:hAnsi="Arial" w:cs="Arial"/>
          <w:snapToGrid/>
          <w:sz w:val="22"/>
          <w:szCs w:val="22"/>
          <w:lang w:eastAsia="en-GB"/>
        </w:rPr>
        <w:t>full scale</w:t>
      </w:r>
      <w:proofErr w:type="gramEnd"/>
      <w:r w:rsidRPr="00B96A2A">
        <w:rPr>
          <w:rFonts w:ascii="Arial" w:eastAsia="Arial" w:hAnsi="Arial" w:cs="Arial"/>
          <w:snapToGrid/>
          <w:sz w:val="22"/>
          <w:szCs w:val="22"/>
          <w:lang w:eastAsia="en-GB"/>
        </w:rPr>
        <w:t xml:space="preserve"> operationalization is expected to start as of 1 October 2025. Work is in progress ICG/PTWS TSP Users’ Guide with the Common Format to be presented to the ICG/PTWS XXXI</w:t>
      </w:r>
    </w:p>
    <w:p w14:paraId="1640DCE7"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51674B2E"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11" w:name="_heading=h.4d34og8" w:colFirst="0" w:colLast="0"/>
      <w:bookmarkStart w:id="312" w:name="_Toc195258174"/>
      <w:bookmarkEnd w:id="311"/>
      <w:r w:rsidRPr="00B96A2A">
        <w:rPr>
          <w:rFonts w:ascii="Arial" w:eastAsia="Arial" w:hAnsi="Arial" w:cs="Arial"/>
          <w:snapToGrid/>
          <w:color w:val="0F4761"/>
          <w:sz w:val="28"/>
          <w:szCs w:val="28"/>
          <w:lang w:eastAsia="en-GB"/>
        </w:rPr>
        <w:t>6. Tsunami Updates to Area of Coverage and ESZ Maps of the ICGs</w:t>
      </w:r>
      <w:bookmarkEnd w:id="312"/>
    </w:p>
    <w:p w14:paraId="02BC0592" w14:textId="77777777" w:rsidR="00B96A2A" w:rsidRPr="00B96A2A" w:rsidRDefault="00B96A2A" w:rsidP="00B96A2A">
      <w:pPr>
        <w:tabs>
          <w:tab w:val="clear" w:pos="709"/>
        </w:tabs>
        <w:snapToGrid/>
        <w:jc w:val="both"/>
        <w:rPr>
          <w:rFonts w:ascii="Arial" w:eastAsia="Arial" w:hAnsi="Arial" w:cs="Arial"/>
          <w:snapToGrid/>
          <w:sz w:val="22"/>
          <w:szCs w:val="22"/>
          <w:highlight w:val="white"/>
          <w:lang w:eastAsia="en-GB"/>
        </w:rPr>
      </w:pPr>
      <w:r w:rsidRPr="00B96A2A">
        <w:rPr>
          <w:rFonts w:ascii="Arial" w:eastAsia="Arial" w:hAnsi="Arial" w:cs="Arial"/>
          <w:snapToGrid/>
          <w:sz w:val="22"/>
          <w:szCs w:val="22"/>
          <w:lang w:eastAsia="en-GB"/>
        </w:rPr>
        <w:t xml:space="preserve">No updates were reported by the members, but the need to update the global Area of Service map with the changes reflecting the </w:t>
      </w:r>
      <w:r w:rsidRPr="00B96A2A">
        <w:rPr>
          <w:rFonts w:ascii="Arial" w:eastAsia="Arial" w:hAnsi="Arial" w:cs="Arial"/>
          <w:snapToGrid/>
          <w:sz w:val="22"/>
          <w:szCs w:val="22"/>
          <w:highlight w:val="white"/>
          <w:lang w:eastAsia="en-GB"/>
        </w:rPr>
        <w:t xml:space="preserve">Interim Service Provided by the Central America Tsunami Advisory Center / Nicaraguan Institute for Territorial Studies (CATAC/INETER) for both ICG/PTWS and ICG/CARIBE-EWS and CATAC service area (coasts of Costa Rica, El Salvador, Honduras, Guatemala, Nicaragua, Panama) was noted. </w:t>
      </w:r>
    </w:p>
    <w:p w14:paraId="022E6E10" w14:textId="77777777" w:rsidR="00B96A2A" w:rsidRPr="00B96A2A" w:rsidRDefault="00B96A2A" w:rsidP="00B96A2A">
      <w:pPr>
        <w:tabs>
          <w:tab w:val="clear" w:pos="709"/>
        </w:tabs>
        <w:snapToGrid/>
        <w:rPr>
          <w:rFonts w:eastAsia="Times New Roman"/>
          <w:snapToGrid/>
          <w:lang w:eastAsia="en-GB"/>
        </w:rPr>
      </w:pPr>
    </w:p>
    <w:p w14:paraId="4A40FBE2"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13" w:name="_heading=h.2s8eyo1" w:colFirst="0" w:colLast="0"/>
      <w:bookmarkStart w:id="314" w:name="_Toc195258175"/>
      <w:bookmarkEnd w:id="313"/>
      <w:r w:rsidRPr="00B96A2A">
        <w:rPr>
          <w:rFonts w:ascii="Arial" w:eastAsia="Arial" w:hAnsi="Arial" w:cs="Arial"/>
          <w:snapToGrid/>
          <w:color w:val="0F4761"/>
          <w:sz w:val="28"/>
          <w:szCs w:val="28"/>
          <w:lang w:eastAsia="en-GB"/>
        </w:rPr>
        <w:t>7. Tsunami Service Provision Considerations for Events Outside ICG Earthquake Source Zones</w:t>
      </w:r>
      <w:bookmarkEnd w:id="314"/>
    </w:p>
    <w:p w14:paraId="3A0BF40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Mr Yuji Nishimae </w:t>
      </w:r>
      <w:hyperlink r:id="rId92">
        <w:r w:rsidRPr="00B96A2A">
          <w:rPr>
            <w:rFonts w:ascii="Arial" w:eastAsia="Arial" w:hAnsi="Arial" w:cs="Arial"/>
            <w:snapToGrid/>
            <w:color w:val="1155CC"/>
            <w:sz w:val="22"/>
            <w:szCs w:val="22"/>
            <w:u w:val="single"/>
            <w:lang w:eastAsia="en-GB"/>
          </w:rPr>
          <w:t>presented</w:t>
        </w:r>
      </w:hyperlink>
      <w:r w:rsidRPr="00B96A2A">
        <w:rPr>
          <w:rFonts w:ascii="Arial" w:eastAsia="Arial" w:hAnsi="Arial" w:cs="Arial"/>
          <w:snapToGrid/>
          <w:sz w:val="22"/>
          <w:szCs w:val="22"/>
          <w:lang w:eastAsia="en-GB"/>
        </w:rPr>
        <w:t xml:space="preserve"> an overview of the Earthquake Source Zone Maps for all ICGs (Regional Tsunami Warning Systems - RTWS) and associated magnitude criteria for issuing bulletins. It was noted that in the draft version of the GSDD, two criteria </w:t>
      </w:r>
      <w:proofErr w:type="gramStart"/>
      <w:r w:rsidRPr="00B96A2A">
        <w:rPr>
          <w:rFonts w:ascii="Arial" w:eastAsia="Arial" w:hAnsi="Arial" w:cs="Arial"/>
          <w:snapToGrid/>
          <w:sz w:val="22"/>
          <w:szCs w:val="22"/>
          <w:lang w:eastAsia="en-GB"/>
        </w:rPr>
        <w:t>was</w:t>
      </w:r>
      <w:proofErr w:type="gramEnd"/>
      <w:r w:rsidRPr="00B96A2A">
        <w:rPr>
          <w:rFonts w:ascii="Arial" w:eastAsia="Arial" w:hAnsi="Arial" w:cs="Arial"/>
          <w:snapToGrid/>
          <w:sz w:val="22"/>
          <w:szCs w:val="22"/>
          <w:lang w:eastAsia="en-GB"/>
        </w:rPr>
        <w:t xml:space="preserve"> presented, as follows:</w:t>
      </w:r>
    </w:p>
    <w:p w14:paraId="779E5895"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0B93F5F" w14:textId="77777777" w:rsidR="00B96A2A" w:rsidRPr="00B96A2A" w:rsidRDefault="00B96A2A" w:rsidP="00B96A2A">
      <w:pPr>
        <w:numPr>
          <w:ilvl w:val="0"/>
          <w:numId w:val="160"/>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TSP products in all RTWSs may also be issued for earthquakes outside of their ESZ when there are either forecast or observed tsunami waves with amplitudes of 30 cm or more along that TSP’s </w:t>
      </w:r>
      <w:proofErr w:type="spellStart"/>
      <w:r w:rsidRPr="00B96A2A">
        <w:rPr>
          <w:rFonts w:ascii="Arial" w:eastAsia="Arial" w:hAnsi="Arial" w:cs="Arial"/>
          <w:snapToGrid/>
          <w:sz w:val="22"/>
          <w:szCs w:val="22"/>
          <w:lang w:eastAsia="en-GB"/>
        </w:rPr>
        <w:t>AoS</w:t>
      </w:r>
      <w:proofErr w:type="spellEnd"/>
      <w:r w:rsidRPr="00B96A2A">
        <w:rPr>
          <w:rFonts w:ascii="Arial" w:eastAsia="Arial" w:hAnsi="Arial" w:cs="Arial"/>
          <w:snapToGrid/>
          <w:sz w:val="22"/>
          <w:szCs w:val="22"/>
          <w:lang w:eastAsia="en-GB"/>
        </w:rPr>
        <w:t xml:space="preserve">, or </w:t>
      </w:r>
    </w:p>
    <w:p w14:paraId="2DC0E113" w14:textId="77777777" w:rsidR="00B96A2A" w:rsidRPr="00B96A2A" w:rsidRDefault="00B96A2A" w:rsidP="00B96A2A">
      <w:pPr>
        <w:numPr>
          <w:ilvl w:val="0"/>
          <w:numId w:val="160"/>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whenever a large earthquake located outside the ESZ might cause concern to the </w:t>
      </w:r>
      <w:proofErr w:type="spellStart"/>
      <w:r w:rsidRPr="00B96A2A">
        <w:rPr>
          <w:rFonts w:ascii="Arial" w:eastAsia="Arial" w:hAnsi="Arial" w:cs="Arial"/>
          <w:snapToGrid/>
          <w:sz w:val="22"/>
          <w:szCs w:val="22"/>
          <w:lang w:eastAsia="en-GB"/>
        </w:rPr>
        <w:t>AoS</w:t>
      </w:r>
      <w:proofErr w:type="spellEnd"/>
      <w:r w:rsidRPr="00B96A2A">
        <w:rPr>
          <w:rFonts w:ascii="Arial" w:eastAsia="Arial" w:hAnsi="Arial" w:cs="Arial"/>
          <w:snapToGrid/>
          <w:sz w:val="22"/>
          <w:szCs w:val="22"/>
          <w:lang w:eastAsia="en-GB"/>
        </w:rPr>
        <w:t xml:space="preserve"> about whether there is a tsunami threat. Such exceptions are necessary to cover cases like the 2004 Indian Ocean tsunami that was recorded deep inside.</w:t>
      </w:r>
    </w:p>
    <w:p w14:paraId="5B876D4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577C1F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Necmioğlu argued that a “concern” cannot be </w:t>
      </w:r>
      <w:proofErr w:type="gramStart"/>
      <w:r w:rsidRPr="00B96A2A">
        <w:rPr>
          <w:rFonts w:ascii="Arial" w:eastAsia="Arial" w:hAnsi="Arial" w:cs="Arial"/>
          <w:snapToGrid/>
          <w:sz w:val="22"/>
          <w:szCs w:val="22"/>
          <w:lang w:eastAsia="en-GB"/>
        </w:rPr>
        <w:t>quantified</w:t>
      </w:r>
      <w:proofErr w:type="gramEnd"/>
      <w:r w:rsidRPr="00B96A2A">
        <w:rPr>
          <w:rFonts w:ascii="Arial" w:eastAsia="Arial" w:hAnsi="Arial" w:cs="Arial"/>
          <w:snapToGrid/>
          <w:sz w:val="22"/>
          <w:szCs w:val="22"/>
          <w:lang w:eastAsia="en-GB"/>
        </w:rPr>
        <w:t xml:space="preserve"> and such a criterion may cancel the previous criterion, namely the threshold of 30cm. Dr Mc Creery argued that in his view, these two criteria do not cancel each other, but rather complemented. He further argued that while for all other ICGs there zones were defined (green as the primary ESZ, blue as the secondary ESZ subject to higher magnitude thresholds, and white as regions outside the ESZ, which are the regions subject to discussion under this agenda item. He further pointed out the need to investigate the status of the service provisions in areas that are within the ICGs but outside of the framework of the IOC coordinated tsunami warning systems. It was agreed to remove the second criterion from the GSDD. </w:t>
      </w:r>
    </w:p>
    <w:p w14:paraId="0E58E8AA"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15" w:name="_heading=h.17dp8vu" w:colFirst="0" w:colLast="0"/>
      <w:bookmarkStart w:id="316" w:name="_Toc195258176"/>
      <w:bookmarkEnd w:id="315"/>
      <w:r w:rsidRPr="00B96A2A">
        <w:rPr>
          <w:rFonts w:ascii="Arial" w:eastAsia="Arial" w:hAnsi="Arial" w:cs="Arial"/>
          <w:snapToGrid/>
          <w:color w:val="0F4761"/>
          <w:sz w:val="28"/>
          <w:szCs w:val="28"/>
          <w:lang w:eastAsia="en-GB"/>
        </w:rPr>
        <w:t>8. Updates on Products for Maritime Community</w:t>
      </w:r>
      <w:bookmarkEnd w:id="316"/>
      <w:r w:rsidRPr="00B96A2A">
        <w:rPr>
          <w:rFonts w:ascii="Arial" w:eastAsia="Arial" w:hAnsi="Arial" w:cs="Arial"/>
          <w:snapToGrid/>
          <w:color w:val="0F4761"/>
          <w:sz w:val="28"/>
          <w:szCs w:val="28"/>
          <w:lang w:eastAsia="en-GB"/>
        </w:rPr>
        <w:t xml:space="preserve"> </w:t>
      </w:r>
    </w:p>
    <w:p w14:paraId="03E283A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McCreery introduced the agenda item, available as a </w:t>
      </w:r>
      <w:hyperlink r:id="rId93">
        <w:r w:rsidRPr="00B96A2A">
          <w:rPr>
            <w:rFonts w:ascii="Arial" w:eastAsia="Arial" w:hAnsi="Arial" w:cs="Arial"/>
            <w:snapToGrid/>
            <w:color w:val="1155CC"/>
            <w:sz w:val="22"/>
            <w:szCs w:val="22"/>
            <w:u w:val="single"/>
            <w:lang w:eastAsia="en-GB"/>
          </w:rPr>
          <w:t>presentation</w:t>
        </w:r>
      </w:hyperlink>
      <w:r w:rsidRPr="00B96A2A">
        <w:rPr>
          <w:rFonts w:ascii="Arial" w:eastAsia="Arial" w:hAnsi="Arial" w:cs="Arial"/>
          <w:snapToGrid/>
          <w:sz w:val="22"/>
          <w:szCs w:val="22"/>
          <w:lang w:eastAsia="en-GB"/>
        </w:rPr>
        <w:t xml:space="preserve">. Maritime tsunami products were requested of TSPs in all ocean basins through the TOWS-WG by the IHO’s World-Wide Navigational Warning System (WWNWS) to aid to their NAVAREA Coordinators in advising ships at sea about potential tsunami hazards when ships are approaching ports that may be affected. Some general guidelines on the content and procedures for TSP implementation were constructed with input from the WWNWS. Within the PTWS, PTWC agreed to be the only TSP to implement these products since it covers the entire PTWS service area. A test on the dissemination of these products was conducted during the </w:t>
      </w:r>
      <w:proofErr w:type="spellStart"/>
      <w:r w:rsidRPr="00B96A2A">
        <w:rPr>
          <w:rFonts w:ascii="Arial" w:eastAsia="Arial" w:hAnsi="Arial" w:cs="Arial"/>
          <w:snapToGrid/>
          <w:sz w:val="22"/>
          <w:szCs w:val="22"/>
          <w:lang w:eastAsia="en-GB"/>
        </w:rPr>
        <w:t>Pacwave</w:t>
      </w:r>
      <w:proofErr w:type="spellEnd"/>
      <w:r w:rsidRPr="00B96A2A">
        <w:rPr>
          <w:rFonts w:ascii="Arial" w:eastAsia="Arial" w:hAnsi="Arial" w:cs="Arial"/>
          <w:snapToGrid/>
          <w:sz w:val="22"/>
          <w:szCs w:val="22"/>
          <w:lang w:eastAsia="en-GB"/>
        </w:rPr>
        <w:t xml:space="preserve"> 24 exercise. PTWC developed the software and a draft guide on the products to include as an annex to the User’s Guide for PTWC Products for the PTWS. Some final questions regarding the products and their procedures were addressed in a call with representatives of the WWNWS on February 6, 2025. With approval from the TOWS-WG, PTWC will brief the ICG/PTWS on these products in their next meeting in April and decide on a date to implement this service. PTWC is a Tsunami Service Provider for the Pacific Tsunami Warning and Mitigation System of UNESCO/IOC.  In this role, PTWC issues operational tsunami products as advice to the Member States of the PTWS regarding potential and confirmed tsunami threats. The Maritime Message would be issued following a large earthquake when tsunami amplitudes are forecast to be 0.3m or larger (hazardous size) along any coasts in the Pacific or its marginal seas. It would name the affected NAVAREAS and countries or territories or places adjacent to those NAVAREAS that have a forecast of 0.3m or greater. The Maritime Message would be updated and re-issued if the tsunami forecast changes. A Final Maritime Message would be issued when PTWC issues its final advice product for the PTWS. Content of the Maritime Messages was made very concise. and maritime Messages would be disseminated only by email.</w:t>
      </w:r>
    </w:p>
    <w:p w14:paraId="23E037A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BC34FF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roofErr w:type="gramStart"/>
      <w:r w:rsidRPr="00B96A2A">
        <w:rPr>
          <w:rFonts w:ascii="Arial" w:eastAsia="Arial" w:hAnsi="Arial" w:cs="Arial"/>
          <w:snapToGrid/>
          <w:sz w:val="22"/>
          <w:szCs w:val="22"/>
          <w:lang w:eastAsia="en-GB"/>
        </w:rPr>
        <w:t>None additional</w:t>
      </w:r>
      <w:proofErr w:type="gramEnd"/>
      <w:r w:rsidRPr="00B96A2A">
        <w:rPr>
          <w:rFonts w:ascii="Arial" w:eastAsia="Arial" w:hAnsi="Arial" w:cs="Arial"/>
          <w:snapToGrid/>
          <w:sz w:val="22"/>
          <w:szCs w:val="22"/>
          <w:lang w:eastAsia="en-GB"/>
        </w:rPr>
        <w:t xml:space="preserve"> content in the product has been requested at this time. Messages </w:t>
      </w:r>
      <w:proofErr w:type="spellStart"/>
      <w:r w:rsidRPr="00B96A2A">
        <w:rPr>
          <w:rFonts w:ascii="Arial" w:eastAsia="Arial" w:hAnsi="Arial" w:cs="Arial"/>
          <w:snapToGrid/>
          <w:sz w:val="22"/>
          <w:szCs w:val="22"/>
          <w:lang w:eastAsia="en-GB"/>
        </w:rPr>
        <w:t>hould</w:t>
      </w:r>
      <w:proofErr w:type="spellEnd"/>
      <w:r w:rsidRPr="00B96A2A">
        <w:rPr>
          <w:rFonts w:ascii="Arial" w:eastAsia="Arial" w:hAnsi="Arial" w:cs="Arial"/>
          <w:snapToGrid/>
          <w:sz w:val="22"/>
          <w:szCs w:val="22"/>
          <w:lang w:eastAsia="en-GB"/>
        </w:rPr>
        <w:t xml:space="preserve"> be sent to NAVAREA Coordinators of the affected NAVAREAs, only. Ships entering an affected NAVAREA will receive the message when they enter the affected NAVAREA </w:t>
      </w:r>
      <w:proofErr w:type="gramStart"/>
      <w:r w:rsidRPr="00B96A2A">
        <w:rPr>
          <w:rFonts w:ascii="Arial" w:eastAsia="Arial" w:hAnsi="Arial" w:cs="Arial"/>
          <w:snapToGrid/>
          <w:sz w:val="22"/>
          <w:szCs w:val="22"/>
          <w:lang w:eastAsia="en-GB"/>
        </w:rPr>
        <w:t>as long as</w:t>
      </w:r>
      <w:proofErr w:type="gramEnd"/>
      <w:r w:rsidRPr="00B96A2A">
        <w:rPr>
          <w:rFonts w:ascii="Arial" w:eastAsia="Arial" w:hAnsi="Arial" w:cs="Arial"/>
          <w:snapToGrid/>
          <w:sz w:val="22"/>
          <w:szCs w:val="22"/>
          <w:lang w:eastAsia="en-GB"/>
        </w:rPr>
        <w:t xml:space="preserve"> a final message has not yet been issued. There is also a 500 km extension (buffer) zone around all NAVAREAS for receiving products. The message can be sent directly to NAVAREA Coordinators as well as to their country TWFPs and NTWCs.</w:t>
      </w:r>
    </w:p>
    <w:p w14:paraId="3EE08CB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782AF8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Regarding the TOWS-WG-XVII recommendation on the organisation of webinars in coordination with IHO for the NAVAREA operators and back-up METAREA operators to introduce the new service and products for the maritime community, and obtain and advise TSPs of the contact information for their respective NAVAREA and METAREA operators to disseminate the new maritime bulletins, </w:t>
      </w:r>
      <w:proofErr w:type="spellStart"/>
      <w:r w:rsidRPr="00B96A2A">
        <w:rPr>
          <w:rFonts w:ascii="Arial" w:eastAsia="Arial" w:hAnsi="Arial" w:cs="Arial"/>
          <w:snapToGrid/>
          <w:sz w:val="22"/>
          <w:szCs w:val="22"/>
          <w:lang w:eastAsia="en-GB"/>
        </w:rPr>
        <w:t>inlight</w:t>
      </w:r>
      <w:proofErr w:type="spellEnd"/>
      <w:r w:rsidRPr="00B96A2A">
        <w:rPr>
          <w:rFonts w:ascii="Arial" w:eastAsia="Arial" w:hAnsi="Arial" w:cs="Arial"/>
          <w:snapToGrid/>
          <w:sz w:val="22"/>
          <w:szCs w:val="22"/>
          <w:lang w:eastAsia="en-GB"/>
        </w:rPr>
        <w:t xml:space="preserve"> of the experiences gained through the PacWave24, and exchanges with the representatives of the WWNWS on February 6, 2025, TT-TWO considered that further engagement on the dissemination of the specialized TSP bulletins for the maritime community should be done through the testing in CARIBE-EWS, IOTWMS and NEAMTWS by at least one TSP either via the planned communication tests or upcoming tsunami exercises.</w:t>
      </w:r>
    </w:p>
    <w:p w14:paraId="7B94BB9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3ED58C4"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17" w:name="_heading=h.3rdcrjn" w:colFirst="0" w:colLast="0"/>
      <w:bookmarkStart w:id="318" w:name="_Toc195258177"/>
      <w:bookmarkEnd w:id="317"/>
      <w:r w:rsidRPr="00B96A2A">
        <w:rPr>
          <w:rFonts w:ascii="Arial" w:eastAsia="Arial" w:hAnsi="Arial" w:cs="Arial"/>
          <w:snapToGrid/>
          <w:color w:val="0F4761"/>
          <w:sz w:val="28"/>
          <w:szCs w:val="28"/>
          <w:lang w:eastAsia="en-GB"/>
        </w:rPr>
        <w:t>9. Optimal Seismic and Sea level Monitoring Networks</w:t>
      </w:r>
      <w:bookmarkEnd w:id="318"/>
      <w:r w:rsidRPr="00B96A2A">
        <w:rPr>
          <w:rFonts w:ascii="Arial" w:eastAsia="Arial" w:hAnsi="Arial" w:cs="Arial"/>
          <w:snapToGrid/>
          <w:color w:val="0F4761"/>
          <w:sz w:val="28"/>
          <w:szCs w:val="28"/>
          <w:lang w:eastAsia="en-GB"/>
        </w:rPr>
        <w:t xml:space="preserve"> </w:t>
      </w:r>
    </w:p>
    <w:p w14:paraId="137300A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Mr Nishimae introduced the agenda item, available as a </w:t>
      </w:r>
      <w:hyperlink r:id="rId94" w:history="1">
        <w:r w:rsidRPr="00B96A2A">
          <w:rPr>
            <w:rFonts w:ascii="Arial" w:eastAsia="Arial" w:hAnsi="Arial" w:cs="Arial"/>
            <w:snapToGrid/>
            <w:color w:val="0000FF"/>
            <w:sz w:val="22"/>
            <w:szCs w:val="22"/>
            <w:u w:val="single"/>
            <w:lang w:eastAsia="en-GB"/>
          </w:rPr>
          <w:t>presentation</w:t>
        </w:r>
      </w:hyperlink>
      <w:r w:rsidRPr="00B96A2A">
        <w:rPr>
          <w:rFonts w:ascii="Arial" w:eastAsia="Arial" w:hAnsi="Arial" w:cs="Arial"/>
          <w:snapToGrid/>
          <w:sz w:val="22"/>
          <w:szCs w:val="22"/>
          <w:lang w:eastAsia="en-GB"/>
        </w:rPr>
        <w:t xml:space="preserve">. </w:t>
      </w:r>
      <w:r w:rsidRPr="00B96A2A">
        <w:rPr>
          <w:rFonts w:ascii="Arial" w:eastAsia="Arial" w:hAnsi="Arial" w:cs="Arial"/>
          <w:snapToGrid/>
          <w:sz w:val="22"/>
          <w:szCs w:val="22"/>
          <w:highlight w:val="white"/>
          <w:lang w:eastAsia="en-GB"/>
        </w:rPr>
        <w:t xml:space="preserve">The first objective of the ODTP is to develop the warning systems’ capability to issue actionable and timely tsunami warnings for tsunamis from all identified sources to 100 percent of coasts at risk. Most urgently, the ODTP will </w:t>
      </w:r>
      <w:proofErr w:type="spellStart"/>
      <w:r w:rsidRPr="00B96A2A">
        <w:rPr>
          <w:rFonts w:ascii="Arial" w:eastAsia="Arial" w:hAnsi="Arial" w:cs="Arial"/>
          <w:snapToGrid/>
          <w:sz w:val="22"/>
          <w:szCs w:val="22"/>
          <w:highlight w:val="white"/>
          <w:lang w:eastAsia="en-GB"/>
        </w:rPr>
        <w:t>endeavor</w:t>
      </w:r>
      <w:proofErr w:type="spellEnd"/>
      <w:r w:rsidRPr="00B96A2A">
        <w:rPr>
          <w:rFonts w:ascii="Arial" w:eastAsia="Arial" w:hAnsi="Arial" w:cs="Arial"/>
          <w:snapToGrid/>
          <w:sz w:val="22"/>
          <w:szCs w:val="22"/>
          <w:highlight w:val="white"/>
          <w:lang w:eastAsia="en-GB"/>
        </w:rPr>
        <w:t xml:space="preserve"> to provide tsunami confirmation within 10 minutes or less of origin for the most at-risk </w:t>
      </w:r>
      <w:proofErr w:type="spellStart"/>
      <w:proofErr w:type="gramStart"/>
      <w:r w:rsidRPr="00B96A2A">
        <w:rPr>
          <w:rFonts w:ascii="Arial" w:eastAsia="Arial" w:hAnsi="Arial" w:cs="Arial"/>
          <w:snapToGrid/>
          <w:sz w:val="22"/>
          <w:szCs w:val="22"/>
          <w:highlight w:val="white"/>
          <w:lang w:eastAsia="en-GB"/>
        </w:rPr>
        <w:t>coastlines.</w:t>
      </w:r>
      <w:r w:rsidRPr="00B96A2A">
        <w:rPr>
          <w:rFonts w:ascii="Arial" w:eastAsia="Arial" w:hAnsi="Arial" w:cs="Arial" w:hint="eastAsia"/>
          <w:snapToGrid/>
          <w:sz w:val="22"/>
          <w:szCs w:val="22"/>
          <w:highlight w:val="white"/>
          <w:lang w:eastAsia="en-GB"/>
        </w:rPr>
        <w:t>The</w:t>
      </w:r>
      <w:proofErr w:type="spellEnd"/>
      <w:proofErr w:type="gramEnd"/>
      <w:r w:rsidRPr="00B96A2A">
        <w:rPr>
          <w:rFonts w:ascii="Arial" w:eastAsia="Arial" w:hAnsi="Arial" w:cs="Arial" w:hint="eastAsia"/>
          <w:snapToGrid/>
          <w:sz w:val="22"/>
          <w:szCs w:val="22"/>
          <w:highlight w:val="white"/>
          <w:lang w:eastAsia="en-GB"/>
        </w:rPr>
        <w:t xml:space="preserve"> observation network of an earthquake and a tsunami is essential for the early tsunami warning system. The data of the coastal tide gauges are being shared through the IOC web site.</w:t>
      </w:r>
    </w:p>
    <w:p w14:paraId="3DEC5837" w14:textId="77777777" w:rsidR="00B96A2A" w:rsidRPr="00B96A2A" w:rsidRDefault="00B96A2A" w:rsidP="00B96A2A">
      <w:pPr>
        <w:tabs>
          <w:tab w:val="clear" w:pos="709"/>
        </w:tabs>
        <w:snapToGrid/>
        <w:jc w:val="both"/>
        <w:rPr>
          <w:rFonts w:ascii="Arial" w:eastAsia="Arial" w:hAnsi="Arial" w:cs="Arial"/>
          <w:snapToGrid/>
          <w:sz w:val="22"/>
          <w:szCs w:val="22"/>
          <w:highlight w:val="white"/>
          <w:lang w:eastAsia="en-GB"/>
        </w:rPr>
      </w:pPr>
      <w:r w:rsidRPr="00B96A2A">
        <w:rPr>
          <w:rFonts w:ascii="Arial" w:eastAsia="Arial" w:hAnsi="Arial" w:cs="Arial" w:hint="eastAsia"/>
          <w:snapToGrid/>
          <w:sz w:val="22"/>
          <w:szCs w:val="22"/>
          <w:highlight w:val="white"/>
          <w:lang w:eastAsia="en-GB"/>
        </w:rPr>
        <w:t xml:space="preserve">The coastal tide gauges are operated by the various authorities for their own purposes. In the case of Japan, the coastal tide gauge data </w:t>
      </w:r>
      <w:proofErr w:type="gramStart"/>
      <w:r w:rsidRPr="00B96A2A">
        <w:rPr>
          <w:rFonts w:ascii="Arial" w:eastAsia="Arial" w:hAnsi="Arial" w:cs="Arial" w:hint="eastAsia"/>
          <w:snapToGrid/>
          <w:sz w:val="22"/>
          <w:szCs w:val="22"/>
          <w:highlight w:val="white"/>
          <w:lang w:eastAsia="en-GB"/>
        </w:rPr>
        <w:t>are</w:t>
      </w:r>
      <w:proofErr w:type="gramEnd"/>
      <w:r w:rsidRPr="00B96A2A">
        <w:rPr>
          <w:rFonts w:ascii="Arial" w:eastAsia="Arial" w:hAnsi="Arial" w:cs="Arial" w:hint="eastAsia"/>
          <w:snapToGrid/>
          <w:sz w:val="22"/>
          <w:szCs w:val="22"/>
          <w:highlight w:val="white"/>
          <w:lang w:eastAsia="en-GB"/>
        </w:rPr>
        <w:t xml:space="preserve"> shared each other and the gaps of observation are covered.</w:t>
      </w:r>
    </w:p>
    <w:p w14:paraId="2F00F825" w14:textId="77777777" w:rsidR="00B96A2A" w:rsidRPr="00B96A2A" w:rsidRDefault="00B96A2A" w:rsidP="00B96A2A">
      <w:pPr>
        <w:tabs>
          <w:tab w:val="clear" w:pos="709"/>
        </w:tabs>
        <w:snapToGrid/>
        <w:jc w:val="both"/>
        <w:rPr>
          <w:rFonts w:ascii="Arial" w:eastAsia="Arial" w:hAnsi="Arial" w:cs="Arial"/>
          <w:snapToGrid/>
          <w:sz w:val="22"/>
          <w:szCs w:val="22"/>
          <w:highlight w:val="white"/>
          <w:lang w:eastAsia="en-GB"/>
        </w:rPr>
      </w:pPr>
      <w:r w:rsidRPr="00B96A2A">
        <w:rPr>
          <w:rFonts w:ascii="Arial" w:eastAsia="Arial" w:hAnsi="Arial" w:cs="Arial" w:hint="eastAsia"/>
          <w:snapToGrid/>
          <w:sz w:val="22"/>
          <w:szCs w:val="22"/>
          <w:highlight w:val="white"/>
          <w:lang w:eastAsia="en-GB"/>
        </w:rPr>
        <w:t xml:space="preserve">The data sampling interval and transmission interval are appropriate for respective </w:t>
      </w:r>
      <w:r w:rsidRPr="00B96A2A">
        <w:rPr>
          <w:rFonts w:ascii="Arial" w:eastAsia="Arial" w:hAnsi="Arial" w:cs="Arial"/>
          <w:snapToGrid/>
          <w:sz w:val="22"/>
          <w:szCs w:val="22"/>
          <w:highlight w:val="white"/>
          <w:lang w:eastAsia="en-GB"/>
        </w:rPr>
        <w:t>organizations,</w:t>
      </w:r>
      <w:r w:rsidRPr="00B96A2A">
        <w:rPr>
          <w:rFonts w:ascii="Arial" w:eastAsia="Arial" w:hAnsi="Arial" w:cs="Arial" w:hint="eastAsia"/>
          <w:snapToGrid/>
          <w:sz w:val="22"/>
          <w:szCs w:val="22"/>
          <w:highlight w:val="white"/>
          <w:lang w:eastAsia="en-GB"/>
        </w:rPr>
        <w:t xml:space="preserve"> and they may not be appropriate for tsunami monitoring.</w:t>
      </w:r>
      <w:r w:rsidRPr="00B96A2A">
        <w:rPr>
          <w:rFonts w:ascii="Arial" w:eastAsia="Arial" w:hAnsi="Arial" w:cs="Arial"/>
          <w:snapToGrid/>
          <w:sz w:val="22"/>
          <w:szCs w:val="22"/>
          <w:highlight w:val="white"/>
          <w:lang w:eastAsia="en-GB"/>
        </w:rPr>
        <w:t xml:space="preserve"> </w:t>
      </w:r>
      <w:r w:rsidRPr="00B96A2A">
        <w:rPr>
          <w:rFonts w:ascii="Arial" w:eastAsia="Arial" w:hAnsi="Arial" w:cs="Arial" w:hint="eastAsia"/>
          <w:snapToGrid/>
          <w:sz w:val="22"/>
          <w:szCs w:val="22"/>
          <w:highlight w:val="white"/>
          <w:lang w:eastAsia="en-GB"/>
        </w:rPr>
        <w:t xml:space="preserve">That tsunami is observed at the coast means that tsunami already reaches the coast. </w:t>
      </w:r>
      <w:proofErr w:type="gramStart"/>
      <w:r w:rsidRPr="00B96A2A">
        <w:rPr>
          <w:rFonts w:ascii="Arial" w:eastAsia="Arial" w:hAnsi="Arial" w:cs="Arial" w:hint="eastAsia"/>
          <w:snapToGrid/>
          <w:sz w:val="22"/>
          <w:szCs w:val="22"/>
          <w:highlight w:val="white"/>
          <w:lang w:eastAsia="en-GB"/>
        </w:rPr>
        <w:t>In order to</w:t>
      </w:r>
      <w:proofErr w:type="gramEnd"/>
      <w:r w:rsidRPr="00B96A2A">
        <w:rPr>
          <w:rFonts w:ascii="Arial" w:eastAsia="Arial" w:hAnsi="Arial" w:cs="Arial" w:hint="eastAsia"/>
          <w:snapToGrid/>
          <w:sz w:val="22"/>
          <w:szCs w:val="22"/>
          <w:highlight w:val="white"/>
          <w:lang w:eastAsia="en-GB"/>
        </w:rPr>
        <w:t xml:space="preserve"> detect the tsunami before arriving at the coast, offshore observation is essential.</w:t>
      </w:r>
      <w:r w:rsidRPr="00B96A2A">
        <w:rPr>
          <w:rFonts w:ascii="Arial" w:eastAsia="Arial" w:hAnsi="Arial" w:cs="Arial"/>
          <w:snapToGrid/>
          <w:sz w:val="22"/>
          <w:szCs w:val="22"/>
          <w:highlight w:val="white"/>
          <w:lang w:eastAsia="en-GB"/>
        </w:rPr>
        <w:t xml:space="preserve"> </w:t>
      </w:r>
      <w:r w:rsidRPr="00B96A2A">
        <w:rPr>
          <w:rFonts w:ascii="Arial" w:eastAsia="Arial" w:hAnsi="Arial" w:cs="Arial" w:hint="eastAsia"/>
          <w:snapToGrid/>
          <w:sz w:val="22"/>
          <w:szCs w:val="22"/>
          <w:highlight w:val="white"/>
          <w:lang w:eastAsia="en-GB"/>
        </w:rPr>
        <w:t xml:space="preserve">Particularly, in the case of non-seismic tsunamis, it could be crucial to detect a tsunami as close to its source as possible. For this purpose, the offshore tsunami meters are very effective for early detection of tsunami generated by non-seismic events. As of now, some offshore tsunami meter networks have been operated and cabled ocean bottom pressure sensors such as the SMART cables have been deployed and planned. Efforts are in place to develop Standard Operating Procedures (SOP) for tsunamis generated by volcanoes. Relation between the Tsunami Warning </w:t>
      </w:r>
      <w:proofErr w:type="spellStart"/>
      <w:r w:rsidRPr="00B96A2A">
        <w:rPr>
          <w:rFonts w:ascii="Arial" w:eastAsia="Arial" w:hAnsi="Arial" w:cs="Arial" w:hint="eastAsia"/>
          <w:snapToGrid/>
          <w:sz w:val="22"/>
          <w:szCs w:val="22"/>
          <w:highlight w:val="white"/>
          <w:lang w:eastAsia="en-GB"/>
        </w:rPr>
        <w:t>Centers</w:t>
      </w:r>
      <w:proofErr w:type="spellEnd"/>
      <w:r w:rsidRPr="00B96A2A">
        <w:rPr>
          <w:rFonts w:ascii="Arial" w:eastAsia="Arial" w:hAnsi="Arial" w:cs="Arial" w:hint="eastAsia"/>
          <w:snapToGrid/>
          <w:sz w:val="22"/>
          <w:szCs w:val="22"/>
          <w:highlight w:val="white"/>
          <w:lang w:eastAsia="en-GB"/>
        </w:rPr>
        <w:t xml:space="preserve"> and the volcanic authorities such as the Volcano Ash Advisory Canters and the volcano observatories should be deepened and enhanced for an appropriate tsunami warning by volcanoes.   Regarding local earthquakes, tsunami warning </w:t>
      </w:r>
      <w:proofErr w:type="spellStart"/>
      <w:r w:rsidRPr="00B96A2A">
        <w:rPr>
          <w:rFonts w:ascii="Arial" w:eastAsia="Arial" w:hAnsi="Arial" w:cs="Arial" w:hint="eastAsia"/>
          <w:snapToGrid/>
          <w:sz w:val="22"/>
          <w:szCs w:val="22"/>
          <w:highlight w:val="white"/>
          <w:lang w:eastAsia="en-GB"/>
        </w:rPr>
        <w:t>center</w:t>
      </w:r>
      <w:proofErr w:type="spellEnd"/>
      <w:r w:rsidRPr="00B96A2A">
        <w:rPr>
          <w:rFonts w:ascii="Arial" w:eastAsia="Arial" w:hAnsi="Arial" w:cs="Arial" w:hint="eastAsia"/>
          <w:snapToGrid/>
          <w:sz w:val="22"/>
          <w:szCs w:val="22"/>
          <w:highlight w:val="white"/>
          <w:lang w:eastAsia="en-GB"/>
        </w:rPr>
        <w:t xml:space="preserve"> should issue a tsunami warning as quick as possible. But the determination of the size of megathrust earthquakes, such as 2004 and 2011 earthquakes, is not an easy task. Recently, usefulness of the GNSS has been highlighted to assist quick determination of the size of an earthquake with tsunamigenic potential.  </w:t>
      </w:r>
    </w:p>
    <w:p w14:paraId="533C65D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F1B4D4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Hebert informed the members that the IOC Sea Level Station Monitoring Facility hosted by the </w:t>
      </w:r>
      <w:r w:rsidRPr="00B96A2A">
        <w:rPr>
          <w:rFonts w:ascii="Arial" w:eastAsia="Arial" w:hAnsi="Arial" w:cs="Arial"/>
          <w:snapToGrid/>
          <w:sz w:val="22"/>
          <w:szCs w:val="22"/>
          <w:highlight w:val="white"/>
          <w:lang w:eastAsia="en-GB"/>
        </w:rPr>
        <w:t xml:space="preserve">Flanders Marine Institute (VLIZ) will be updated through the EU funded </w:t>
      </w:r>
      <w:proofErr w:type="spellStart"/>
      <w:r w:rsidRPr="00B96A2A">
        <w:rPr>
          <w:rFonts w:ascii="Arial" w:eastAsia="Arial" w:hAnsi="Arial" w:cs="Arial"/>
          <w:snapToGrid/>
          <w:sz w:val="22"/>
          <w:szCs w:val="22"/>
          <w:highlight w:val="white"/>
          <w:lang w:eastAsia="en-GB"/>
        </w:rPr>
        <w:t>GEOinquire</w:t>
      </w:r>
      <w:proofErr w:type="spellEnd"/>
      <w:r w:rsidRPr="00B96A2A">
        <w:rPr>
          <w:rFonts w:ascii="Arial" w:eastAsia="Arial" w:hAnsi="Arial" w:cs="Arial"/>
          <w:snapToGrid/>
          <w:sz w:val="22"/>
          <w:szCs w:val="22"/>
          <w:highlight w:val="white"/>
          <w:lang w:eastAsia="en-GB"/>
        </w:rPr>
        <w:t xml:space="preserve"> project and asked whether such functionalities can be embedded during this upgrade. Dr. Necmioğlu responded that he is not aware of this initiative and will investigate internally. Dr. Piatanesi asked whether such functionality should be integrated only in this facility, and Dr. Necmioğlu responded that he does not see any reason why such capabilities cannot be provided through the </w:t>
      </w:r>
      <w:r w:rsidRPr="00B96A2A">
        <w:rPr>
          <w:rFonts w:ascii="Arial" w:eastAsia="Arial" w:hAnsi="Arial" w:cs="Arial"/>
          <w:snapToGrid/>
          <w:sz w:val="22"/>
          <w:szCs w:val="22"/>
          <w:lang w:eastAsia="en-GB"/>
        </w:rPr>
        <w:t>TSP-IOT prototype</w:t>
      </w:r>
      <w:r w:rsidRPr="00B96A2A">
        <w:rPr>
          <w:rFonts w:ascii="Arial" w:eastAsia="Arial" w:hAnsi="Arial" w:cs="Arial"/>
          <w:snapToGrid/>
          <w:sz w:val="22"/>
          <w:szCs w:val="22"/>
          <w:highlight w:val="white"/>
          <w:lang w:eastAsia="en-GB"/>
        </w:rPr>
        <w:t xml:space="preserve"> currently being developed under the </w:t>
      </w:r>
      <w:r w:rsidRPr="00B96A2A">
        <w:rPr>
          <w:rFonts w:ascii="Arial" w:eastAsia="Arial" w:hAnsi="Arial" w:cs="Arial"/>
          <w:snapToGrid/>
          <w:sz w:val="22"/>
          <w:szCs w:val="22"/>
          <w:lang w:eastAsia="en-GB"/>
        </w:rPr>
        <w:t xml:space="preserve">EPOS-ON Horizon Europe project, </w:t>
      </w:r>
      <w:proofErr w:type="gramStart"/>
      <w:r w:rsidRPr="00B96A2A">
        <w:rPr>
          <w:rFonts w:ascii="Arial" w:eastAsia="Arial" w:hAnsi="Arial" w:cs="Arial"/>
          <w:snapToGrid/>
          <w:sz w:val="22"/>
          <w:szCs w:val="22"/>
          <w:lang w:eastAsia="en-GB"/>
        </w:rPr>
        <w:t>as long as</w:t>
      </w:r>
      <w:proofErr w:type="gramEnd"/>
      <w:r w:rsidRPr="00B96A2A">
        <w:rPr>
          <w:rFonts w:ascii="Arial" w:eastAsia="Arial" w:hAnsi="Arial" w:cs="Arial"/>
          <w:snapToGrid/>
          <w:sz w:val="22"/>
          <w:szCs w:val="22"/>
          <w:lang w:eastAsia="en-GB"/>
        </w:rPr>
        <w:t xml:space="preserve"> it is openly and publicly accessible. Dr. McCreery informed that such maps were produced in the maps by the PTWC, and that he will investigate and report back.</w:t>
      </w:r>
    </w:p>
    <w:p w14:paraId="65719AA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245DE8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Regarding the TOWS-WG-XVII recommendation for the TT-TWO to review the previously recommended data format for sea level data (IOC Manual on sea level measurement and interpretation, v. IV (SC.2006/WS/38) and update as required to ensure measurement and facilitate exchange of data at required resolutions and sampling rates, and to ensure data format contains metadata to enable TSPs and NTWCs to determine level of individual station suitability for tsunami detection and warnings, members concluded that standardization of the sea-level data format is not within the capabilities of the TT-TWO, and that this task should be </w:t>
      </w:r>
      <w:proofErr w:type="spellStart"/>
      <w:r w:rsidRPr="00B96A2A">
        <w:rPr>
          <w:rFonts w:ascii="Arial" w:eastAsia="Arial" w:hAnsi="Arial" w:cs="Arial"/>
          <w:snapToGrid/>
          <w:sz w:val="22"/>
          <w:szCs w:val="22"/>
          <w:lang w:eastAsia="en-GB"/>
        </w:rPr>
        <w:t>canceled</w:t>
      </w:r>
      <w:proofErr w:type="spellEnd"/>
      <w:r w:rsidRPr="00B96A2A">
        <w:rPr>
          <w:rFonts w:ascii="Arial" w:eastAsia="Arial" w:hAnsi="Arial" w:cs="Arial"/>
          <w:snapToGrid/>
          <w:sz w:val="22"/>
          <w:szCs w:val="22"/>
          <w:lang w:eastAsia="en-GB"/>
        </w:rPr>
        <w:t xml:space="preserve"> from TT-TWO’s work programme. </w:t>
      </w:r>
    </w:p>
    <w:p w14:paraId="5D773BFB"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19" w:name="_heading=h.26in1rg" w:colFirst="0" w:colLast="0"/>
      <w:bookmarkStart w:id="320" w:name="_Toc195258178"/>
      <w:bookmarkEnd w:id="319"/>
      <w:r w:rsidRPr="00B96A2A">
        <w:rPr>
          <w:rFonts w:ascii="Arial" w:eastAsia="Arial" w:hAnsi="Arial" w:cs="Arial"/>
          <w:snapToGrid/>
          <w:color w:val="0F4761"/>
          <w:sz w:val="28"/>
          <w:szCs w:val="28"/>
          <w:lang w:eastAsia="en-GB"/>
        </w:rPr>
        <w:lastRenderedPageBreak/>
        <w:t>10. Discussion on SOPs for Tsunamis Generated by non-seismic sources</w:t>
      </w:r>
      <w:bookmarkEnd w:id="320"/>
    </w:p>
    <w:p w14:paraId="424502F2" w14:textId="77777777" w:rsidR="00B96A2A" w:rsidRPr="00B96A2A" w:rsidRDefault="00B96A2A" w:rsidP="00B96A2A">
      <w:pPr>
        <w:keepNext/>
        <w:keepLines/>
        <w:tabs>
          <w:tab w:val="clear" w:pos="709"/>
        </w:tabs>
        <w:snapToGrid/>
        <w:spacing w:before="160" w:after="80"/>
        <w:ind w:left="284"/>
        <w:outlineLvl w:val="1"/>
        <w:rPr>
          <w:rFonts w:ascii="Arial" w:eastAsia="Arial" w:hAnsi="Arial" w:cs="Arial"/>
          <w:snapToGrid/>
          <w:color w:val="0F4761"/>
          <w:lang w:eastAsia="en-GB"/>
        </w:rPr>
      </w:pPr>
      <w:bookmarkStart w:id="321" w:name="_heading=h.lnxbz9" w:colFirst="0" w:colLast="0"/>
      <w:bookmarkStart w:id="322" w:name="_Toc195258179"/>
      <w:bookmarkEnd w:id="321"/>
      <w:r w:rsidRPr="00B96A2A">
        <w:rPr>
          <w:rFonts w:ascii="Arial" w:eastAsia="Arial" w:hAnsi="Arial" w:cs="Arial"/>
          <w:snapToGrid/>
          <w:color w:val="0F4761"/>
          <w:lang w:eastAsia="en-GB"/>
        </w:rPr>
        <w:t>10.1 Tsunami Generated by Volcanoes</w:t>
      </w:r>
      <w:bookmarkEnd w:id="322"/>
    </w:p>
    <w:p w14:paraId="6C8ED3EE" w14:textId="77777777" w:rsidR="00B96A2A" w:rsidRPr="00B96A2A" w:rsidRDefault="00B96A2A" w:rsidP="00B96A2A">
      <w:pPr>
        <w:keepNext/>
        <w:keepLines/>
        <w:tabs>
          <w:tab w:val="clear" w:pos="709"/>
        </w:tabs>
        <w:snapToGrid/>
        <w:spacing w:before="160" w:after="80"/>
        <w:jc w:val="both"/>
        <w:outlineLvl w:val="1"/>
        <w:rPr>
          <w:rFonts w:ascii="Arial" w:eastAsia="Arial" w:hAnsi="Arial" w:cs="Arial"/>
          <w:snapToGrid/>
          <w:color w:val="000000"/>
          <w:sz w:val="22"/>
          <w:szCs w:val="22"/>
          <w:lang w:eastAsia="en-GB"/>
        </w:rPr>
      </w:pPr>
      <w:bookmarkStart w:id="323" w:name="_heading=h.ydjs8qu1tf0o" w:colFirst="0" w:colLast="0"/>
      <w:bookmarkStart w:id="324" w:name="_Toc195258180"/>
      <w:bookmarkEnd w:id="323"/>
      <w:r w:rsidRPr="00B96A2A">
        <w:rPr>
          <w:rFonts w:ascii="Arial" w:eastAsia="Arial" w:hAnsi="Arial" w:cs="Arial"/>
          <w:snapToGrid/>
          <w:color w:val="000000"/>
          <w:sz w:val="22"/>
          <w:szCs w:val="22"/>
          <w:lang w:eastAsia="en-GB"/>
        </w:rPr>
        <w:t xml:space="preserve">Mr Yuji Nishimae introduced the agenda item, available as a </w:t>
      </w:r>
      <w:hyperlink r:id="rId95">
        <w:r w:rsidRPr="00B96A2A">
          <w:rPr>
            <w:rFonts w:ascii="Arial" w:eastAsia="Arial" w:hAnsi="Arial" w:cs="Arial"/>
            <w:snapToGrid/>
            <w:color w:val="000000"/>
            <w:sz w:val="22"/>
            <w:szCs w:val="22"/>
            <w:u w:val="single"/>
            <w:lang w:eastAsia="en-GB"/>
          </w:rPr>
          <w:t>presentation</w:t>
        </w:r>
      </w:hyperlink>
      <w:r w:rsidRPr="00B96A2A">
        <w:rPr>
          <w:rFonts w:ascii="Arial" w:eastAsia="Arial" w:hAnsi="Arial" w:cs="Arial"/>
          <w:snapToGrid/>
          <w:color w:val="000000"/>
          <w:sz w:val="22"/>
          <w:szCs w:val="22"/>
          <w:lang w:eastAsia="en-GB"/>
        </w:rPr>
        <w:t xml:space="preserve">. </w:t>
      </w:r>
      <w:r w:rsidRPr="00B96A2A">
        <w:rPr>
          <w:rFonts w:ascii="Arial" w:eastAsia="Arial" w:hAnsi="Arial" w:cs="Arial"/>
          <w:snapToGrid/>
          <w:color w:val="000000"/>
          <w:lang w:eastAsia="en-GB"/>
        </w:rPr>
        <w:t xml:space="preserve"> </w:t>
      </w:r>
      <w:r w:rsidRPr="00B96A2A">
        <w:rPr>
          <w:rFonts w:ascii="Arial" w:eastAsia="Arial" w:hAnsi="Arial" w:cs="Arial"/>
          <w:snapToGrid/>
          <w:color w:val="000000"/>
          <w:sz w:val="22"/>
          <w:szCs w:val="22"/>
          <w:lang w:eastAsia="en-GB"/>
        </w:rPr>
        <w:t xml:space="preserve">Hunga Tonga Hunga </w:t>
      </w:r>
      <w:proofErr w:type="spellStart"/>
      <w:r w:rsidRPr="00B96A2A">
        <w:rPr>
          <w:rFonts w:ascii="Arial" w:eastAsia="Arial" w:hAnsi="Arial" w:cs="Arial"/>
          <w:snapToGrid/>
          <w:color w:val="000000"/>
          <w:sz w:val="22"/>
          <w:szCs w:val="22"/>
          <w:lang w:eastAsia="en-GB"/>
        </w:rPr>
        <w:t>Ha’apai</w:t>
      </w:r>
      <w:proofErr w:type="spellEnd"/>
      <w:r w:rsidRPr="00B96A2A">
        <w:rPr>
          <w:rFonts w:ascii="Arial" w:eastAsia="Arial" w:hAnsi="Arial" w:cs="Arial"/>
          <w:snapToGrid/>
          <w:color w:val="000000"/>
          <w:sz w:val="22"/>
          <w:szCs w:val="22"/>
          <w:lang w:eastAsia="en-GB"/>
        </w:rPr>
        <w:t xml:space="preserve"> Volcano Permanent Monitoring and Warning Procedures of the Pacific Tsunami Warning Center (OTWC) (</w:t>
      </w:r>
      <w:hyperlink r:id="rId96">
        <w:r w:rsidRPr="00B96A2A">
          <w:rPr>
            <w:rFonts w:ascii="Arial" w:eastAsia="Arial" w:hAnsi="Arial" w:cs="Arial"/>
            <w:snapToGrid/>
            <w:color w:val="1155CC"/>
            <w:sz w:val="22"/>
            <w:szCs w:val="22"/>
            <w:u w:val="single"/>
            <w:lang w:eastAsia="en-GB"/>
          </w:rPr>
          <w:t>IOC/2024/TS/188</w:t>
        </w:r>
      </w:hyperlink>
      <w:r w:rsidRPr="00B96A2A">
        <w:rPr>
          <w:rFonts w:ascii="Arial" w:eastAsia="Arial" w:hAnsi="Arial" w:cs="Arial"/>
          <w:snapToGrid/>
          <w:color w:val="000000"/>
          <w:sz w:val="22"/>
          <w:szCs w:val="22"/>
          <w:lang w:eastAsia="en-GB"/>
        </w:rPr>
        <w:t xml:space="preserve">) was disseminated to Member States through IOC </w:t>
      </w:r>
      <w:hyperlink r:id="rId97">
        <w:r w:rsidRPr="00B96A2A">
          <w:rPr>
            <w:rFonts w:ascii="Arial" w:eastAsia="Arial" w:hAnsi="Arial" w:cs="Arial"/>
            <w:snapToGrid/>
            <w:color w:val="000000"/>
            <w:sz w:val="22"/>
            <w:szCs w:val="22"/>
            <w:u w:val="single"/>
            <w:lang w:eastAsia="en-GB"/>
          </w:rPr>
          <w:t>CL-2984</w:t>
        </w:r>
      </w:hyperlink>
      <w:r w:rsidRPr="00B96A2A">
        <w:rPr>
          <w:rFonts w:ascii="Arial" w:eastAsia="Arial" w:hAnsi="Arial" w:cs="Arial"/>
          <w:snapToGrid/>
          <w:color w:val="000000"/>
          <w:sz w:val="22"/>
          <w:szCs w:val="22"/>
          <w:lang w:eastAsia="en-GB"/>
        </w:rPr>
        <w:t xml:space="preserve">.IOC report on ‘Monitoring and warning for tsunamis generated by volcanoes’ (IOC/2024/TS/183) was also disseminated to the Member States through IOC </w:t>
      </w:r>
      <w:hyperlink r:id="rId98">
        <w:r w:rsidRPr="00B96A2A">
          <w:rPr>
            <w:rFonts w:ascii="Arial" w:eastAsia="Arial" w:hAnsi="Arial" w:cs="Arial"/>
            <w:snapToGrid/>
            <w:color w:val="000000"/>
            <w:sz w:val="22"/>
            <w:szCs w:val="22"/>
            <w:u w:val="single"/>
            <w:lang w:eastAsia="en-GB"/>
          </w:rPr>
          <w:t>CL-3029</w:t>
        </w:r>
      </w:hyperlink>
      <w:r w:rsidRPr="00B96A2A">
        <w:rPr>
          <w:rFonts w:ascii="Arial" w:eastAsia="Arial" w:hAnsi="Arial" w:cs="Arial"/>
          <w:snapToGrid/>
          <w:color w:val="000000"/>
          <w:sz w:val="22"/>
          <w:szCs w:val="22"/>
          <w:lang w:eastAsia="en-GB"/>
        </w:rPr>
        <w:t>. At the same time Member States were informed on the organisation of online webinars (tentatively on 6 and 23 April 2025) for each of the Intergovernmental Coordinating Groups (ICG) of regional Tsunami warning Systems involving relevant Volcano Observatories and Volcanic Ash Advisory Centres (VAACs) to:</w:t>
      </w:r>
      <w:bookmarkEnd w:id="324"/>
      <w:r w:rsidRPr="00B96A2A">
        <w:rPr>
          <w:rFonts w:ascii="Arial" w:eastAsia="Arial" w:hAnsi="Arial" w:cs="Arial"/>
          <w:snapToGrid/>
          <w:color w:val="000000"/>
          <w:sz w:val="22"/>
          <w:szCs w:val="22"/>
          <w:lang w:eastAsia="en-GB"/>
        </w:rPr>
        <w:t xml:space="preserve"> </w:t>
      </w:r>
    </w:p>
    <w:p w14:paraId="3E653F62" w14:textId="77777777" w:rsidR="00B96A2A" w:rsidRPr="00B96A2A" w:rsidRDefault="00B96A2A" w:rsidP="00B96A2A">
      <w:pPr>
        <w:numPr>
          <w:ilvl w:val="0"/>
          <w:numId w:val="172"/>
        </w:numPr>
        <w:shd w:val="clear" w:color="auto" w:fill="FFFFFF"/>
        <w:tabs>
          <w:tab w:val="clear" w:pos="709"/>
        </w:tabs>
        <w:snapToGrid/>
        <w:spacing w:after="160" w:line="278" w:lineRule="auto"/>
        <w:rPr>
          <w:rFonts w:eastAsia="Times New Roman"/>
          <w:snapToGrid/>
          <w:lang w:eastAsia="en-GB"/>
        </w:rPr>
      </w:pPr>
      <w:r w:rsidRPr="00B96A2A">
        <w:rPr>
          <w:rFonts w:ascii="Arial" w:eastAsia="Arial" w:hAnsi="Arial" w:cs="Arial"/>
          <w:snapToGrid/>
          <w:sz w:val="22"/>
          <w:szCs w:val="22"/>
          <w:lang w:eastAsia="en-GB"/>
        </w:rPr>
        <w:t xml:space="preserve">brief on the report on ‘Monitoring and warning for tsunamis generated by volcanoes’ (IOC/2024/TS/183) and its recommendations, </w:t>
      </w:r>
    </w:p>
    <w:p w14:paraId="4D3D580F" w14:textId="77777777" w:rsidR="00B96A2A" w:rsidRPr="00B96A2A" w:rsidRDefault="00B96A2A" w:rsidP="00B96A2A">
      <w:pPr>
        <w:numPr>
          <w:ilvl w:val="0"/>
          <w:numId w:val="172"/>
        </w:numPr>
        <w:shd w:val="clear" w:color="auto" w:fill="FFFFFF"/>
        <w:tabs>
          <w:tab w:val="clear" w:pos="709"/>
        </w:tabs>
        <w:snapToGrid/>
        <w:spacing w:after="160" w:line="278" w:lineRule="auto"/>
        <w:rPr>
          <w:rFonts w:eastAsia="Times New Roman"/>
          <w:snapToGrid/>
          <w:lang w:eastAsia="en-GB"/>
        </w:rPr>
      </w:pPr>
      <w:r w:rsidRPr="00B96A2A">
        <w:rPr>
          <w:rFonts w:ascii="Arial" w:eastAsia="Arial" w:hAnsi="Arial" w:cs="Arial"/>
          <w:snapToGrid/>
          <w:sz w:val="22"/>
          <w:szCs w:val="22"/>
          <w:lang w:eastAsia="en-GB"/>
        </w:rPr>
        <w:t xml:space="preserve">highlight the hazard and vulnerable Member States, </w:t>
      </w:r>
    </w:p>
    <w:p w14:paraId="45681FE6" w14:textId="77777777" w:rsidR="00B96A2A" w:rsidRPr="00B96A2A" w:rsidRDefault="00B96A2A" w:rsidP="00B96A2A">
      <w:pPr>
        <w:numPr>
          <w:ilvl w:val="0"/>
          <w:numId w:val="172"/>
        </w:numPr>
        <w:shd w:val="clear" w:color="auto" w:fill="FFFFFF"/>
        <w:tabs>
          <w:tab w:val="clear" w:pos="709"/>
        </w:tabs>
        <w:snapToGrid/>
        <w:spacing w:after="160" w:line="278" w:lineRule="auto"/>
        <w:rPr>
          <w:rFonts w:eastAsia="Times New Roman"/>
          <w:snapToGrid/>
          <w:lang w:eastAsia="en-GB"/>
        </w:rPr>
      </w:pPr>
      <w:r w:rsidRPr="00B96A2A">
        <w:rPr>
          <w:rFonts w:ascii="Arial" w:eastAsia="Arial" w:hAnsi="Arial" w:cs="Arial"/>
          <w:snapToGrid/>
          <w:sz w:val="22"/>
          <w:szCs w:val="22"/>
          <w:lang w:eastAsia="en-GB"/>
        </w:rPr>
        <w:t xml:space="preserve">initiate the required partnerships between National Tsunami Warning Centres (NTWC) and Volcano Observatories and VAACs, </w:t>
      </w:r>
    </w:p>
    <w:p w14:paraId="469C9C56" w14:textId="77777777" w:rsidR="00B96A2A" w:rsidRPr="00B96A2A" w:rsidRDefault="00B96A2A" w:rsidP="00B96A2A">
      <w:pPr>
        <w:numPr>
          <w:ilvl w:val="0"/>
          <w:numId w:val="172"/>
        </w:numPr>
        <w:tabs>
          <w:tab w:val="clear" w:pos="709"/>
        </w:tabs>
        <w:snapToGrid/>
        <w:spacing w:after="160" w:line="278" w:lineRule="auto"/>
        <w:rPr>
          <w:rFonts w:eastAsia="Times New Roman"/>
          <w:snapToGrid/>
          <w:lang w:eastAsia="en-GB"/>
        </w:rPr>
      </w:pPr>
      <w:r w:rsidRPr="00B96A2A">
        <w:rPr>
          <w:rFonts w:ascii="Arial" w:eastAsia="Arial" w:hAnsi="Arial" w:cs="Arial"/>
          <w:snapToGrid/>
          <w:sz w:val="22"/>
          <w:szCs w:val="22"/>
          <w:lang w:eastAsia="en-GB"/>
        </w:rPr>
        <w:t xml:space="preserve">initiate consideration of whether Tsunami Service Providers may also need to provide services where tsunami generated by volcanoes may impact several Member States. </w:t>
      </w:r>
    </w:p>
    <w:p w14:paraId="01266AA9" w14:textId="77777777" w:rsidR="00B96A2A" w:rsidRPr="00B96A2A" w:rsidRDefault="00B96A2A" w:rsidP="00B96A2A">
      <w:pPr>
        <w:tabs>
          <w:tab w:val="clear" w:pos="709"/>
        </w:tabs>
        <w:snapToGrid/>
        <w:ind w:left="720"/>
        <w:rPr>
          <w:rFonts w:ascii="Arial" w:eastAsia="Arial" w:hAnsi="Arial" w:cs="Arial"/>
          <w:snapToGrid/>
          <w:sz w:val="22"/>
          <w:szCs w:val="22"/>
          <w:lang w:eastAsia="en-GB"/>
        </w:rPr>
      </w:pPr>
    </w:p>
    <w:p w14:paraId="39D6799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In terms of Monitoring and Warning, as a first step, organisation(s) should be designated for monitoring and warning of Tsunamis Generated by Volcanoes (TGV). The second and third steps are to install monitoring instrumentation and develop Standard Operating Procedures (SOPs) to handle volcanic tsunamis. TGV monitoring and warning system should be implemented by, or in cooperation with the National Tsunami Warning Centre (NTWC) and regional Tsunami Service Provider (TSP) and national and regional Volcano Service Providers, where such exist.  All volcanoes mentioned in the TGV report should be monitored and have processes in place to warn for tsunamis. Should other, potentially tsunamigenic volcanoes begin erupting, these should also be monitored and included within the tsunami warning process.  Detect/warn geophysical (seismology, GNSS, tiltmeter, barometric and sea level data streams need to be available to the designated tsunami monitoring/warning agency (and possibly also to the volcano monitoring agency). As well as monitoring systems for volcano activity and potential far-field propagation of sea level signal, a sea level gauges network with real-time continuous data transmission should be deployed close to each identified volcano to verify risk and then ongoing monitoring and warning. One second sampling with 1cm accuracy (&lt; 1 mm sampling) is recommended for recording and automatic detection. Data transmission through radio or microwave links, </w:t>
      </w:r>
      <w:proofErr w:type="spellStart"/>
      <w:r w:rsidRPr="00B96A2A">
        <w:rPr>
          <w:rFonts w:ascii="Arial" w:eastAsia="Arial" w:hAnsi="Arial" w:cs="Arial"/>
          <w:snapToGrid/>
          <w:sz w:val="22"/>
          <w:szCs w:val="22"/>
          <w:lang w:eastAsia="en-GB"/>
        </w:rPr>
        <w:t>fiber</w:t>
      </w:r>
      <w:proofErr w:type="spellEnd"/>
      <w:r w:rsidRPr="00B96A2A">
        <w:rPr>
          <w:rFonts w:ascii="Arial" w:eastAsia="Arial" w:hAnsi="Arial" w:cs="Arial"/>
          <w:snapToGrid/>
          <w:sz w:val="22"/>
          <w:szCs w:val="22"/>
          <w:lang w:eastAsia="en-GB"/>
        </w:rPr>
        <w:t xml:space="preserve"> optic, or dedicated telephone lines, or other modes should be implemented to ensure the data is transmitted and received and widely shared with the international community in a timely manner. Methods to also specifically alert persons in remote areas (such as scientific teams in the field, or recreational hikers) should be considered. TGV SOPs for tsunami warning should be linked with existing Volcano Alert Activity scales. </w:t>
      </w:r>
    </w:p>
    <w:p w14:paraId="74033F10"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3B9750B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In terms of Risk Assessment and Preparedness, a TGV hazard and risk assessment should be undertaken to determine vulnerable areas. For TGV, multi-stakeholder meetings should be convened that included science agencies, volcano and tsunami warning operations centres, and disaster management agencies. For each identified potential source, worst-case and credible scenario planning discussions should start as soon as possible. During a period of heightened TGV hazard, consider closing access to vulnerable areas. When an eruption is imminent and then tsunami hazard is high, consider evacuating populations from vulnerable </w:t>
      </w:r>
      <w:r w:rsidRPr="00B96A2A">
        <w:rPr>
          <w:rFonts w:ascii="Arial" w:eastAsia="Arial" w:hAnsi="Arial" w:cs="Arial"/>
          <w:snapToGrid/>
          <w:sz w:val="22"/>
          <w:szCs w:val="22"/>
          <w:lang w:eastAsia="en-GB"/>
        </w:rPr>
        <w:lastRenderedPageBreak/>
        <w:t>locations. Specific TGV signage and evacuation routes should be implemented in all areas that may be impacted by tsunamis generated by volcanoes. TGV public awareness campaigns should be conducted regularly – the type and frequency of awareness activities may be different for the local population compared to transient populations such as tourists.</w:t>
      </w:r>
    </w:p>
    <w:p w14:paraId="370102F5"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3CDB2F7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During the discussions on Tsunamis Generated by Volcanoes (TGV), the TT-TWO Chair acknowledged the efforts of IOTWMS TSPs in developing a Standard Operating Procedure (SOP) for volcanic tsunamis and inquired about the current SOP practices at TSP-Australia. In response, Mr. Padmanabham provided a briefing on the existing approach, explaining that TSP Australia relies on VAAC and volcanic advisories to assess eruption status. If tsunami generation is confirmed near a volcano, TSP Australia immediately issues a potential threat bulletin, initially covering 3-hour tsunami travel time zones, which is later updated to 6-hour zones based on observed tsunami </w:t>
      </w:r>
      <w:proofErr w:type="spellStart"/>
      <w:r w:rsidRPr="00B96A2A">
        <w:rPr>
          <w:rFonts w:ascii="Arial" w:eastAsia="Arial" w:hAnsi="Arial" w:cs="Arial"/>
          <w:snapToGrid/>
          <w:sz w:val="22"/>
          <w:szCs w:val="22"/>
          <w:lang w:eastAsia="en-GB"/>
        </w:rPr>
        <w:t>behavior</w:t>
      </w:r>
      <w:proofErr w:type="spellEnd"/>
      <w:r w:rsidRPr="00B96A2A">
        <w:rPr>
          <w:rFonts w:ascii="Arial" w:eastAsia="Arial" w:hAnsi="Arial" w:cs="Arial"/>
          <w:snapToGrid/>
          <w:sz w:val="22"/>
          <w:szCs w:val="22"/>
          <w:lang w:eastAsia="en-GB"/>
        </w:rPr>
        <w:t>.  It is also mentioned that TSP-India is currently working on the formulation of SOP.  Despite the inherent challenges in forecasting volcanic tsunamis, every effort is made to provide timely advisories.</w:t>
      </w:r>
    </w:p>
    <w:p w14:paraId="3FB9E15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906CE6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Piatanesi underlined the unique character of each volcano, which makes it very difficult to design a generic SOP applicable for each </w:t>
      </w:r>
      <w:proofErr w:type="gramStart"/>
      <w:r w:rsidRPr="00B96A2A">
        <w:rPr>
          <w:rFonts w:ascii="Arial" w:eastAsia="Arial" w:hAnsi="Arial" w:cs="Arial"/>
          <w:snapToGrid/>
          <w:sz w:val="22"/>
          <w:szCs w:val="22"/>
          <w:lang w:eastAsia="en-GB"/>
        </w:rPr>
        <w:t>case, and</w:t>
      </w:r>
      <w:proofErr w:type="gramEnd"/>
      <w:r w:rsidRPr="00B96A2A">
        <w:rPr>
          <w:rFonts w:ascii="Arial" w:eastAsia="Arial" w:hAnsi="Arial" w:cs="Arial"/>
          <w:snapToGrid/>
          <w:sz w:val="22"/>
          <w:szCs w:val="22"/>
          <w:lang w:eastAsia="en-GB"/>
        </w:rPr>
        <w:t xml:space="preserve"> highlighted the critical importance of sea-level observations as close as possible to the potential sources. Dr. Vanacore and Mr Nishimae emphasized the need for </w:t>
      </w:r>
      <w:proofErr w:type="spellStart"/>
      <w:r w:rsidRPr="00B96A2A">
        <w:rPr>
          <w:rFonts w:ascii="Arial" w:eastAsia="Arial" w:hAnsi="Arial" w:cs="Arial"/>
          <w:snapToGrid/>
          <w:sz w:val="22"/>
          <w:szCs w:val="22"/>
          <w:lang w:eastAsia="en-GB"/>
        </w:rPr>
        <w:t>MoUs</w:t>
      </w:r>
      <w:proofErr w:type="spellEnd"/>
      <w:r w:rsidRPr="00B96A2A">
        <w:rPr>
          <w:rFonts w:ascii="Arial" w:eastAsia="Arial" w:hAnsi="Arial" w:cs="Arial"/>
          <w:snapToGrid/>
          <w:sz w:val="22"/>
          <w:szCs w:val="22"/>
          <w:lang w:eastAsia="en-GB"/>
        </w:rPr>
        <w:t xml:space="preserve"> between NTWCs and national Volcano Observatories. </w:t>
      </w:r>
    </w:p>
    <w:p w14:paraId="752817CE" w14:textId="77777777" w:rsidR="00B96A2A" w:rsidRPr="00B96A2A" w:rsidRDefault="00B96A2A" w:rsidP="00B96A2A">
      <w:pPr>
        <w:keepNext/>
        <w:keepLines/>
        <w:tabs>
          <w:tab w:val="clear" w:pos="709"/>
        </w:tabs>
        <w:snapToGrid/>
        <w:spacing w:before="160" w:after="80"/>
        <w:ind w:left="284"/>
        <w:outlineLvl w:val="1"/>
        <w:rPr>
          <w:rFonts w:ascii="Arial" w:eastAsia="Arial" w:hAnsi="Arial" w:cs="Arial"/>
          <w:snapToGrid/>
          <w:color w:val="0F4761"/>
          <w:lang w:eastAsia="en-GB"/>
        </w:rPr>
      </w:pPr>
      <w:bookmarkStart w:id="325" w:name="_heading=h.35nkun2" w:colFirst="0" w:colLast="0"/>
      <w:bookmarkStart w:id="326" w:name="_Toc195258181"/>
      <w:bookmarkEnd w:id="325"/>
      <w:r w:rsidRPr="00B96A2A">
        <w:rPr>
          <w:rFonts w:ascii="Arial" w:eastAsia="Arial" w:hAnsi="Arial" w:cs="Arial"/>
          <w:snapToGrid/>
          <w:color w:val="0F4761"/>
          <w:lang w:eastAsia="en-GB"/>
        </w:rPr>
        <w:lastRenderedPageBreak/>
        <w:t xml:space="preserve">10.2 </w:t>
      </w:r>
      <w:proofErr w:type="spellStart"/>
      <w:r w:rsidRPr="00B96A2A">
        <w:rPr>
          <w:rFonts w:ascii="Arial" w:eastAsia="Arial" w:hAnsi="Arial" w:cs="Arial"/>
          <w:snapToGrid/>
          <w:color w:val="0F4761"/>
          <w:lang w:eastAsia="en-GB"/>
        </w:rPr>
        <w:t>Meteo</w:t>
      </w:r>
      <w:proofErr w:type="spellEnd"/>
      <w:r w:rsidRPr="00B96A2A">
        <w:rPr>
          <w:rFonts w:ascii="Arial" w:eastAsia="Arial" w:hAnsi="Arial" w:cs="Arial"/>
          <w:snapToGrid/>
          <w:color w:val="0F4761"/>
          <w:lang w:eastAsia="en-GB"/>
        </w:rPr>
        <w:t>-tsunami</w:t>
      </w:r>
      <w:bookmarkEnd w:id="326"/>
    </w:p>
    <w:p w14:paraId="1E263F5C" w14:textId="77777777" w:rsidR="00B96A2A" w:rsidRPr="00B96A2A" w:rsidRDefault="00B96A2A" w:rsidP="00B96A2A">
      <w:pPr>
        <w:keepNext/>
        <w:keepLines/>
        <w:tabs>
          <w:tab w:val="clear" w:pos="709"/>
        </w:tabs>
        <w:snapToGrid/>
        <w:spacing w:before="160" w:after="80"/>
        <w:jc w:val="both"/>
        <w:outlineLvl w:val="1"/>
        <w:rPr>
          <w:rFonts w:ascii="Arial" w:eastAsia="Arial" w:hAnsi="Arial" w:cs="Arial"/>
          <w:snapToGrid/>
          <w:color w:val="000000"/>
          <w:sz w:val="22"/>
          <w:szCs w:val="22"/>
          <w:lang w:eastAsia="en-GB"/>
        </w:rPr>
      </w:pPr>
      <w:bookmarkStart w:id="327" w:name="_Toc195258182"/>
      <w:r w:rsidRPr="00B96A2A">
        <w:rPr>
          <w:rFonts w:ascii="Arial" w:eastAsia="Arial" w:hAnsi="Arial" w:cs="Arial"/>
          <w:snapToGrid/>
          <w:color w:val="000000"/>
          <w:sz w:val="22"/>
          <w:szCs w:val="22"/>
          <w:lang w:eastAsia="en-GB"/>
        </w:rPr>
        <w:t xml:space="preserve">Mr Yuji Nishimae introduced the agenda item, available as a </w:t>
      </w:r>
      <w:hyperlink r:id="rId99">
        <w:r w:rsidRPr="00B96A2A">
          <w:rPr>
            <w:rFonts w:ascii="Arial" w:eastAsia="Arial" w:hAnsi="Arial" w:cs="Arial"/>
            <w:snapToGrid/>
            <w:color w:val="1155CC"/>
            <w:sz w:val="22"/>
            <w:szCs w:val="22"/>
            <w:u w:val="single"/>
            <w:lang w:eastAsia="en-GB"/>
          </w:rPr>
          <w:t>presentation</w:t>
        </w:r>
      </w:hyperlink>
      <w:r w:rsidRPr="00B96A2A">
        <w:rPr>
          <w:rFonts w:ascii="Arial" w:eastAsia="Arial" w:hAnsi="Arial" w:cs="Arial"/>
          <w:snapToGrid/>
          <w:color w:val="000000"/>
          <w:sz w:val="22"/>
          <w:szCs w:val="22"/>
          <w:lang w:eastAsia="en-GB"/>
        </w:rPr>
        <w:t xml:space="preserve">. </w:t>
      </w:r>
      <w:hyperlink r:id="rId100">
        <w:r w:rsidRPr="00B96A2A">
          <w:rPr>
            <w:rFonts w:ascii="Arial" w:eastAsia="Arial" w:hAnsi="Arial" w:cs="Arial"/>
            <w:snapToGrid/>
            <w:color w:val="1155CC"/>
            <w:sz w:val="22"/>
            <w:szCs w:val="22"/>
            <w:u w:val="single"/>
            <w:lang w:eastAsia="en-GB"/>
          </w:rPr>
          <w:t>IOC/2025/TS-200</w:t>
        </w:r>
      </w:hyperlink>
      <w:r w:rsidRPr="00B96A2A">
        <w:rPr>
          <w:rFonts w:ascii="Arial" w:eastAsia="Arial" w:hAnsi="Arial" w:cs="Arial"/>
          <w:snapToGrid/>
          <w:color w:val="000000"/>
          <w:sz w:val="22"/>
          <w:szCs w:val="22"/>
          <w:lang w:eastAsia="en-GB"/>
        </w:rPr>
        <w:t xml:space="preserve"> on "Meteotsunamis: Definition, Detection and alerting services investigation" has been published. He summarized the Organizational Relationships between TSPs, NTWC and Regional/National Hydro-Meteorological Services. Since 'MT' are hazards driven by weather conditions, warning responsibility lies solely with the servicing NMHSs. However, since NWP-based 'MT' detection and forecast systems are imperfect, particularly as they do not normally provide direct tsunami detection and measurement, there are instances when monitoring tsunami-specific instruments such as deep ocean </w:t>
      </w:r>
      <w:proofErr w:type="spellStart"/>
      <w:r w:rsidRPr="00B96A2A">
        <w:rPr>
          <w:rFonts w:ascii="Arial" w:eastAsia="Arial" w:hAnsi="Arial" w:cs="Arial"/>
          <w:snapToGrid/>
          <w:color w:val="000000"/>
          <w:sz w:val="22"/>
          <w:szCs w:val="22"/>
          <w:lang w:eastAsia="en-GB"/>
        </w:rPr>
        <w:t>tsunameters</w:t>
      </w:r>
      <w:proofErr w:type="spellEnd"/>
      <w:r w:rsidRPr="00B96A2A">
        <w:rPr>
          <w:rFonts w:ascii="Arial" w:eastAsia="Arial" w:hAnsi="Arial" w:cs="Arial"/>
          <w:snapToGrid/>
          <w:color w:val="000000"/>
          <w:sz w:val="22"/>
          <w:szCs w:val="22"/>
          <w:lang w:eastAsia="en-GB"/>
        </w:rPr>
        <w:t xml:space="preserve"> and tsunami capable tide gauges can provide support to NMHSs. While operational tsunami forecast and warning activities such as IOC-designated Tsunami Service Providers (TSPs) or National Tsunami Warning Centres (NTWCs) will play no role in real-time operational alerting, the Ad Hoc Team on MT does advise that NMHS’ create working relationships with overlapping TSPs and/or NTWCs to become more familiar with monitoring tsunami-specific instrumentations. While ’MTs’ are known to occur along many coastlines, only infrequently do they pose a significant risk to life and property. This typically occurs in areas where transiting weather disturbances move over shallow-water regions at precise speed and strength values as to create relatively large, long-wave resonances (e.g. the Mediterranean Sea, Great Lakes, Yellow Sea, East China Sea, and some areas of the North and Baltic Sea). 'MTs' only form under a narrow range of parameters related to water depth and the translational speed of the source disturbance. This makes it possible to characterize the 'MT' risk for virtually any coastline in the world. Local understanding of the 'MT' threat posed to a given coastline is critical to ensuring the phenomena is addressed. Some guidance systems have been developed that rely heavily on identifying the meteorological parameters necessary for ’MT’ development through NWP schemes. These systems have shown promise in providing advance notice on 'MT' development.  However, since they are based on forecasted parameters and not actual 'MT' detection, false alarm rates are not insignificant. In some cases, tsunami-specific instrumentation can play a supporting role in terms of detection, though even in such rare cases, this will not typically be sufficient to fully characterize the wave field and support precise coastal impact forecasts. Nevertheless, there is value in creating relationships between NMHS’ and TSPs/NTWCs to ensure these instruments are correctly monitored and utilized.</w:t>
      </w:r>
      <w:bookmarkEnd w:id="327"/>
    </w:p>
    <w:p w14:paraId="3C597A46" w14:textId="77777777" w:rsidR="00B96A2A" w:rsidRPr="00B96A2A" w:rsidRDefault="00B96A2A" w:rsidP="00B96A2A">
      <w:pPr>
        <w:keepNext/>
        <w:keepLines/>
        <w:tabs>
          <w:tab w:val="clear" w:pos="709"/>
        </w:tabs>
        <w:snapToGrid/>
        <w:spacing w:before="160" w:after="80"/>
        <w:jc w:val="both"/>
        <w:outlineLvl w:val="1"/>
        <w:rPr>
          <w:rFonts w:ascii="Arial" w:eastAsia="Arial" w:hAnsi="Arial" w:cs="Arial"/>
          <w:snapToGrid/>
          <w:color w:val="000000"/>
          <w:sz w:val="22"/>
          <w:szCs w:val="22"/>
          <w:lang w:eastAsia="en-GB"/>
        </w:rPr>
      </w:pPr>
      <w:bookmarkStart w:id="328" w:name="_heading=h.y722j4298io4" w:colFirst="0" w:colLast="0"/>
      <w:bookmarkStart w:id="329" w:name="_Toc195258183"/>
      <w:bookmarkEnd w:id="328"/>
      <w:r w:rsidRPr="00B96A2A">
        <w:rPr>
          <w:rFonts w:ascii="Arial" w:eastAsia="Arial" w:hAnsi="Arial" w:cs="Arial"/>
          <w:snapToGrid/>
          <w:color w:val="000000"/>
          <w:sz w:val="22"/>
          <w:szCs w:val="22"/>
          <w:lang w:eastAsia="en-GB"/>
        </w:rPr>
        <w:t>In consultation with the Joint WMO-IOC Collaboration Board (JCB), discuss use of the term ‘meteotsunami’, to understand its implications and ensure common vocabulary is agreed among UN agencies, recognizing the WMO’s role as the authoritative voice on climate, water, and weather and noting that the agency does not presently recognize the term. Although the IOC/TOWS-WG IOC Technical Series, 200 page 14 awaits further guidance on this issue from the JCB, it is the consensus opinion of the Ad Hoc Team on Meteotsunami that the responsibility for issuing public alerts based on ‘MT’ threats be addressed wholly through NMHSs under WMO guidance. The detection of ‘MT' should be considered in global tsunami instrumentation strategy.  Tsunami detection and measurement capabilities are rapidly improving, and this is expected to accelerate under the UN Ocean Decade. It is now possible to consider non-seismic tsunami sources in the global instrumentation strategy, including ‘MT’. Input from NMHS would be particularly useful as a new generation of tsunami detection and measurement networks are deployed. Evaluate requirements and capabilities for improved early warnings and alerts requires combining the direct tsunami detection capability of tsunami-specific instrumentation with the NWP-based algorithms tuned to ‘MT’ prediction may deliver significant advances in NMHS’ global MT forecast and warning capability. However, current operational global NWP models are not capable of resolving adequate pressure disturbances for ‘MT’ generation, nor could they be developed and operationally run within presently available resources.</w:t>
      </w:r>
      <w:bookmarkEnd w:id="329"/>
      <w:r w:rsidRPr="00B96A2A">
        <w:rPr>
          <w:rFonts w:ascii="Arial" w:eastAsia="Arial" w:hAnsi="Arial" w:cs="Arial"/>
          <w:snapToGrid/>
          <w:color w:val="000000"/>
          <w:sz w:val="22"/>
          <w:szCs w:val="22"/>
          <w:lang w:eastAsia="en-GB"/>
        </w:rPr>
        <w:t xml:space="preserve"> </w:t>
      </w:r>
    </w:p>
    <w:p w14:paraId="4FB49EB4" w14:textId="77777777" w:rsidR="00B96A2A" w:rsidRPr="00B96A2A" w:rsidRDefault="00B96A2A" w:rsidP="00B96A2A">
      <w:pPr>
        <w:keepNext/>
        <w:keepLines/>
        <w:tabs>
          <w:tab w:val="clear" w:pos="709"/>
        </w:tabs>
        <w:snapToGrid/>
        <w:spacing w:before="160" w:after="80"/>
        <w:jc w:val="both"/>
        <w:outlineLvl w:val="1"/>
        <w:rPr>
          <w:rFonts w:ascii="Arial" w:eastAsia="Arial" w:hAnsi="Arial" w:cs="Arial"/>
          <w:snapToGrid/>
          <w:color w:val="000000"/>
          <w:sz w:val="22"/>
          <w:szCs w:val="22"/>
          <w:lang w:eastAsia="en-GB"/>
        </w:rPr>
      </w:pPr>
      <w:bookmarkStart w:id="330" w:name="_heading=h.3d8r2lqflba" w:colFirst="0" w:colLast="0"/>
      <w:bookmarkEnd w:id="330"/>
    </w:p>
    <w:p w14:paraId="5F393FF9" w14:textId="77777777" w:rsidR="00B96A2A" w:rsidRPr="00B96A2A" w:rsidRDefault="00B96A2A" w:rsidP="00B96A2A">
      <w:pPr>
        <w:keepNext/>
        <w:keepLines/>
        <w:tabs>
          <w:tab w:val="clear" w:pos="709"/>
        </w:tabs>
        <w:snapToGrid/>
        <w:spacing w:before="160" w:after="80"/>
        <w:jc w:val="both"/>
        <w:outlineLvl w:val="1"/>
        <w:rPr>
          <w:rFonts w:ascii="Arial" w:eastAsia="Arial" w:hAnsi="Arial" w:cs="Arial"/>
          <w:snapToGrid/>
          <w:color w:val="000000"/>
          <w:sz w:val="22"/>
          <w:szCs w:val="22"/>
          <w:lang w:eastAsia="en-GB"/>
        </w:rPr>
      </w:pPr>
      <w:bookmarkStart w:id="331" w:name="_heading=h.b6f1xapcpfy9" w:colFirst="0" w:colLast="0"/>
      <w:bookmarkEnd w:id="331"/>
    </w:p>
    <w:p w14:paraId="32581278" w14:textId="77777777" w:rsidR="00B96A2A" w:rsidRPr="00B96A2A" w:rsidRDefault="00B96A2A" w:rsidP="00B96A2A">
      <w:pPr>
        <w:tabs>
          <w:tab w:val="clear" w:pos="709"/>
        </w:tabs>
        <w:snapToGrid/>
        <w:rPr>
          <w:rFonts w:eastAsia="Times New Roman"/>
          <w:snapToGrid/>
          <w:lang w:eastAsia="en-GB"/>
        </w:rPr>
      </w:pPr>
    </w:p>
    <w:p w14:paraId="77C9455B" w14:textId="77777777" w:rsidR="00B96A2A" w:rsidRPr="00B96A2A" w:rsidRDefault="00B96A2A" w:rsidP="00B96A2A">
      <w:pPr>
        <w:keepNext/>
        <w:keepLines/>
        <w:tabs>
          <w:tab w:val="clear" w:pos="709"/>
        </w:tabs>
        <w:snapToGrid/>
        <w:spacing w:before="160" w:after="80"/>
        <w:ind w:left="284"/>
        <w:outlineLvl w:val="1"/>
        <w:rPr>
          <w:rFonts w:ascii="Arial" w:eastAsia="Arial" w:hAnsi="Arial" w:cs="Arial"/>
          <w:snapToGrid/>
          <w:color w:val="0F4761"/>
          <w:lang w:eastAsia="en-GB"/>
        </w:rPr>
      </w:pPr>
      <w:bookmarkStart w:id="332" w:name="_heading=h.1ksv4uv" w:colFirst="0" w:colLast="0"/>
      <w:bookmarkStart w:id="333" w:name="_Toc195258184"/>
      <w:bookmarkEnd w:id="332"/>
      <w:r w:rsidRPr="00B96A2A">
        <w:rPr>
          <w:rFonts w:ascii="Arial" w:eastAsia="Arial" w:hAnsi="Arial" w:cs="Arial"/>
          <w:snapToGrid/>
          <w:color w:val="0F4761"/>
          <w:lang w:eastAsia="en-GB"/>
        </w:rPr>
        <w:t>10.3 Other non-seismic sources</w:t>
      </w:r>
      <w:bookmarkEnd w:id="333"/>
    </w:p>
    <w:p w14:paraId="7F76A3FF" w14:textId="77777777" w:rsidR="00B96A2A" w:rsidRPr="00B96A2A" w:rsidRDefault="00B96A2A" w:rsidP="00B96A2A">
      <w:pPr>
        <w:keepNext/>
        <w:keepLines/>
        <w:tabs>
          <w:tab w:val="clear" w:pos="709"/>
        </w:tabs>
        <w:snapToGrid/>
        <w:spacing w:before="160" w:after="80"/>
        <w:jc w:val="both"/>
        <w:outlineLvl w:val="1"/>
        <w:rPr>
          <w:rFonts w:ascii="Arial" w:eastAsia="Arial" w:hAnsi="Arial" w:cs="Arial"/>
          <w:snapToGrid/>
          <w:color w:val="000000"/>
          <w:sz w:val="22"/>
          <w:szCs w:val="22"/>
          <w:lang w:eastAsia="en-GB"/>
        </w:rPr>
      </w:pPr>
      <w:bookmarkStart w:id="334" w:name="_Toc195258185"/>
      <w:r w:rsidRPr="00B96A2A">
        <w:rPr>
          <w:rFonts w:ascii="Arial" w:eastAsia="Arial" w:hAnsi="Arial" w:cs="Arial"/>
          <w:snapToGrid/>
          <w:color w:val="000000"/>
          <w:sz w:val="22"/>
          <w:szCs w:val="22"/>
          <w:lang w:eastAsia="en-GB"/>
        </w:rPr>
        <w:t xml:space="preserve">Dr Necmioğlu introduced the agenda item, available as a </w:t>
      </w:r>
      <w:hyperlink r:id="rId101">
        <w:r w:rsidRPr="00B96A2A">
          <w:rPr>
            <w:rFonts w:ascii="Arial" w:eastAsia="Arial" w:hAnsi="Arial" w:cs="Arial"/>
            <w:snapToGrid/>
            <w:color w:val="1155CC"/>
            <w:sz w:val="22"/>
            <w:szCs w:val="22"/>
            <w:u w:val="single"/>
            <w:lang w:eastAsia="en-GB"/>
          </w:rPr>
          <w:t>presentation</w:t>
        </w:r>
      </w:hyperlink>
      <w:r w:rsidRPr="00B96A2A">
        <w:rPr>
          <w:rFonts w:ascii="Arial" w:eastAsia="Arial" w:hAnsi="Arial" w:cs="Arial"/>
          <w:snapToGrid/>
          <w:color w:val="000000"/>
          <w:sz w:val="22"/>
          <w:szCs w:val="22"/>
          <w:lang w:eastAsia="en-GB"/>
        </w:rPr>
        <w:t xml:space="preserve">. He presented some examples of landslide generated tsunamis, available in the scientific literature. A large landslide occurred November 21, </w:t>
      </w:r>
      <w:proofErr w:type="gramStart"/>
      <w:r w:rsidRPr="00B96A2A">
        <w:rPr>
          <w:rFonts w:ascii="Arial" w:eastAsia="Arial" w:hAnsi="Arial" w:cs="Arial"/>
          <w:snapToGrid/>
          <w:color w:val="000000"/>
          <w:sz w:val="22"/>
          <w:szCs w:val="22"/>
          <w:lang w:eastAsia="en-GB"/>
        </w:rPr>
        <w:t>2000</w:t>
      </w:r>
      <w:proofErr w:type="gramEnd"/>
      <w:r w:rsidRPr="00B96A2A">
        <w:rPr>
          <w:rFonts w:ascii="Arial" w:eastAsia="Arial" w:hAnsi="Arial" w:cs="Arial"/>
          <w:snapToGrid/>
          <w:color w:val="000000"/>
          <w:sz w:val="22"/>
          <w:szCs w:val="22"/>
          <w:lang w:eastAsia="en-GB"/>
        </w:rPr>
        <w:t xml:space="preserve"> at </w:t>
      </w:r>
      <w:proofErr w:type="spellStart"/>
      <w:r w:rsidRPr="00B96A2A">
        <w:rPr>
          <w:rFonts w:ascii="Arial" w:eastAsia="Arial" w:hAnsi="Arial" w:cs="Arial"/>
          <w:snapToGrid/>
          <w:color w:val="000000"/>
          <w:sz w:val="22"/>
          <w:szCs w:val="22"/>
          <w:lang w:eastAsia="en-GB"/>
        </w:rPr>
        <w:t>Paatuut</w:t>
      </w:r>
      <w:proofErr w:type="spellEnd"/>
      <w:r w:rsidRPr="00B96A2A">
        <w:rPr>
          <w:rFonts w:ascii="Arial" w:eastAsia="Arial" w:hAnsi="Arial" w:cs="Arial"/>
          <w:snapToGrid/>
          <w:color w:val="000000"/>
          <w:sz w:val="22"/>
          <w:szCs w:val="22"/>
          <w:lang w:eastAsia="en-GB"/>
        </w:rPr>
        <w:t xml:space="preserve">, facing the </w:t>
      </w:r>
      <w:proofErr w:type="spellStart"/>
      <w:r w:rsidRPr="00B96A2A">
        <w:rPr>
          <w:rFonts w:ascii="Arial" w:eastAsia="Arial" w:hAnsi="Arial" w:cs="Arial"/>
          <w:snapToGrid/>
          <w:color w:val="000000"/>
          <w:sz w:val="22"/>
          <w:szCs w:val="22"/>
          <w:lang w:eastAsia="en-GB"/>
        </w:rPr>
        <w:t>Vaigat</w:t>
      </w:r>
      <w:proofErr w:type="spellEnd"/>
      <w:r w:rsidRPr="00B96A2A">
        <w:rPr>
          <w:rFonts w:ascii="Arial" w:eastAsia="Arial" w:hAnsi="Arial" w:cs="Arial"/>
          <w:snapToGrid/>
          <w:color w:val="000000"/>
          <w:sz w:val="22"/>
          <w:szCs w:val="22"/>
          <w:lang w:eastAsia="en-GB"/>
        </w:rPr>
        <w:t xml:space="preserve"> Strait on the west coast of Greenland. 90 million m3 (260 million tons) of mainly basaltic material slid very rapidly (average velocity 140 km/h) down from 1,000–1,400 m altitude. Approximately 30 million m3 (87 million tons) entered the sea, creating a tsunami with </w:t>
      </w:r>
      <w:proofErr w:type="gramStart"/>
      <w:r w:rsidRPr="00B96A2A">
        <w:rPr>
          <w:rFonts w:ascii="Arial" w:eastAsia="Arial" w:hAnsi="Arial" w:cs="Arial"/>
          <w:snapToGrid/>
          <w:color w:val="000000"/>
          <w:sz w:val="22"/>
          <w:szCs w:val="22"/>
          <w:lang w:eastAsia="en-GB"/>
        </w:rPr>
        <w:t>an</w:t>
      </w:r>
      <w:proofErr w:type="gramEnd"/>
      <w:r w:rsidRPr="00B96A2A">
        <w:rPr>
          <w:rFonts w:ascii="Arial" w:eastAsia="Arial" w:hAnsi="Arial" w:cs="Arial"/>
          <w:snapToGrid/>
          <w:color w:val="000000"/>
          <w:sz w:val="22"/>
          <w:szCs w:val="22"/>
          <w:lang w:eastAsia="en-GB"/>
        </w:rPr>
        <w:t xml:space="preserve"> run-up height of 50 m close to the landslide and 28 m at </w:t>
      </w:r>
      <w:proofErr w:type="spellStart"/>
      <w:r w:rsidRPr="00B96A2A">
        <w:rPr>
          <w:rFonts w:ascii="Arial" w:eastAsia="Arial" w:hAnsi="Arial" w:cs="Arial"/>
          <w:snapToGrid/>
          <w:color w:val="000000"/>
          <w:sz w:val="22"/>
          <w:szCs w:val="22"/>
          <w:lang w:eastAsia="en-GB"/>
        </w:rPr>
        <w:t>Qullissat</w:t>
      </w:r>
      <w:proofErr w:type="spellEnd"/>
      <w:r w:rsidRPr="00B96A2A">
        <w:rPr>
          <w:rFonts w:ascii="Arial" w:eastAsia="Arial" w:hAnsi="Arial" w:cs="Arial"/>
          <w:snapToGrid/>
          <w:color w:val="000000"/>
          <w:sz w:val="22"/>
          <w:szCs w:val="22"/>
          <w:lang w:eastAsia="en-GB"/>
        </w:rPr>
        <w:t xml:space="preserve">, an abandoned mining town opposite </w:t>
      </w:r>
      <w:proofErr w:type="spellStart"/>
      <w:r w:rsidRPr="00B96A2A">
        <w:rPr>
          <w:rFonts w:ascii="Arial" w:eastAsia="Arial" w:hAnsi="Arial" w:cs="Arial"/>
          <w:snapToGrid/>
          <w:color w:val="000000"/>
          <w:sz w:val="22"/>
          <w:szCs w:val="22"/>
          <w:lang w:eastAsia="en-GB"/>
        </w:rPr>
        <w:t>Paatuut</w:t>
      </w:r>
      <w:proofErr w:type="spellEnd"/>
      <w:r w:rsidRPr="00B96A2A">
        <w:rPr>
          <w:rFonts w:ascii="Arial" w:eastAsia="Arial" w:hAnsi="Arial" w:cs="Arial"/>
          <w:snapToGrid/>
          <w:color w:val="000000"/>
          <w:sz w:val="22"/>
          <w:szCs w:val="22"/>
          <w:lang w:eastAsia="en-GB"/>
        </w:rPr>
        <w:t xml:space="preserve"> across the 20 km wide </w:t>
      </w:r>
      <w:proofErr w:type="spellStart"/>
      <w:r w:rsidRPr="00B96A2A">
        <w:rPr>
          <w:rFonts w:ascii="Arial" w:eastAsia="Arial" w:hAnsi="Arial" w:cs="Arial"/>
          <w:snapToGrid/>
          <w:color w:val="000000"/>
          <w:sz w:val="22"/>
          <w:szCs w:val="22"/>
          <w:lang w:eastAsia="en-GB"/>
        </w:rPr>
        <w:t>Vaigat</w:t>
      </w:r>
      <w:proofErr w:type="spellEnd"/>
      <w:r w:rsidRPr="00B96A2A">
        <w:rPr>
          <w:rFonts w:ascii="Arial" w:eastAsia="Arial" w:hAnsi="Arial" w:cs="Arial"/>
          <w:snapToGrid/>
          <w:color w:val="000000"/>
          <w:sz w:val="22"/>
          <w:szCs w:val="22"/>
          <w:lang w:eastAsia="en-GB"/>
        </w:rPr>
        <w:t xml:space="preserve"> strait (Trine Dahl-Jensen, 2003). In the case of the 2007 Patagonian Fjordland seismic crisis in </w:t>
      </w:r>
      <w:proofErr w:type="spellStart"/>
      <w:r w:rsidRPr="00B96A2A">
        <w:rPr>
          <w:rFonts w:ascii="Arial" w:eastAsia="Arial" w:hAnsi="Arial" w:cs="Arial"/>
          <w:snapToGrid/>
          <w:color w:val="000000"/>
          <w:sz w:val="22"/>
          <w:szCs w:val="22"/>
          <w:lang w:eastAsia="en-GB"/>
        </w:rPr>
        <w:t>Aisén</w:t>
      </w:r>
      <w:proofErr w:type="spellEnd"/>
      <w:r w:rsidRPr="00B96A2A">
        <w:rPr>
          <w:rFonts w:ascii="Arial" w:eastAsia="Arial" w:hAnsi="Arial" w:cs="Arial"/>
          <w:snapToGrid/>
          <w:color w:val="000000"/>
          <w:sz w:val="22"/>
          <w:szCs w:val="22"/>
          <w:lang w:eastAsia="en-GB"/>
        </w:rPr>
        <w:t xml:space="preserve">, Chile, the epicentre of the long-lasting seismic crisis started on the evening of January 22, </w:t>
      </w:r>
      <w:proofErr w:type="gramStart"/>
      <w:r w:rsidRPr="00B96A2A">
        <w:rPr>
          <w:rFonts w:ascii="Arial" w:eastAsia="Arial" w:hAnsi="Arial" w:cs="Arial"/>
          <w:snapToGrid/>
          <w:color w:val="000000"/>
          <w:sz w:val="22"/>
          <w:szCs w:val="22"/>
          <w:lang w:eastAsia="en-GB"/>
        </w:rPr>
        <w:t>2007</w:t>
      </w:r>
      <w:proofErr w:type="gramEnd"/>
      <w:r w:rsidRPr="00B96A2A">
        <w:rPr>
          <w:rFonts w:ascii="Arial" w:eastAsia="Arial" w:hAnsi="Arial" w:cs="Arial"/>
          <w:snapToGrid/>
          <w:color w:val="000000"/>
          <w:sz w:val="22"/>
          <w:szCs w:val="22"/>
          <w:lang w:eastAsia="en-GB"/>
        </w:rPr>
        <w:t xml:space="preserve"> and it was located 20 km to the west of Puerto Chacabuco in the Patagonian </w:t>
      </w:r>
      <w:proofErr w:type="spellStart"/>
      <w:r w:rsidRPr="00B96A2A">
        <w:rPr>
          <w:rFonts w:ascii="Arial" w:eastAsia="Arial" w:hAnsi="Arial" w:cs="Arial"/>
          <w:snapToGrid/>
          <w:color w:val="000000"/>
          <w:sz w:val="22"/>
          <w:szCs w:val="22"/>
          <w:lang w:eastAsia="en-GB"/>
        </w:rPr>
        <w:t>fjordland</w:t>
      </w:r>
      <w:proofErr w:type="spellEnd"/>
      <w:r w:rsidRPr="00B96A2A">
        <w:rPr>
          <w:rFonts w:ascii="Arial" w:eastAsia="Arial" w:hAnsi="Arial" w:cs="Arial"/>
          <w:snapToGrid/>
          <w:color w:val="000000"/>
          <w:sz w:val="22"/>
          <w:szCs w:val="22"/>
          <w:lang w:eastAsia="en-GB"/>
        </w:rPr>
        <w:t xml:space="preserve">, Chile. Approximately 7,000 events were recorded up to early May, four of which reached magnitudes greater than 5 (Richter), with local intensities up to VII in Puerto Chacabuco and Puerto Aisén and VI in </w:t>
      </w:r>
      <w:proofErr w:type="spellStart"/>
      <w:r w:rsidRPr="00B96A2A">
        <w:rPr>
          <w:rFonts w:ascii="Arial" w:eastAsia="Arial" w:hAnsi="Arial" w:cs="Arial"/>
          <w:snapToGrid/>
          <w:color w:val="000000"/>
          <w:sz w:val="22"/>
          <w:szCs w:val="22"/>
          <w:lang w:eastAsia="en-GB"/>
        </w:rPr>
        <w:t>Coihaique</w:t>
      </w:r>
      <w:proofErr w:type="spellEnd"/>
      <w:r w:rsidRPr="00B96A2A">
        <w:rPr>
          <w:rFonts w:ascii="Arial" w:eastAsia="Arial" w:hAnsi="Arial" w:cs="Arial"/>
          <w:snapToGrid/>
          <w:color w:val="000000"/>
          <w:sz w:val="22"/>
          <w:szCs w:val="22"/>
          <w:lang w:eastAsia="en-GB"/>
        </w:rPr>
        <w:t xml:space="preserve">. The seismic swarm was located within the </w:t>
      </w:r>
      <w:proofErr w:type="spellStart"/>
      <w:r w:rsidRPr="00B96A2A">
        <w:rPr>
          <w:rFonts w:ascii="Arial" w:eastAsia="Arial" w:hAnsi="Arial" w:cs="Arial"/>
          <w:snapToGrid/>
          <w:color w:val="000000"/>
          <w:sz w:val="22"/>
          <w:szCs w:val="22"/>
          <w:lang w:eastAsia="en-GB"/>
        </w:rPr>
        <w:t>Liquiñe-Ofqui</w:t>
      </w:r>
      <w:proofErr w:type="spellEnd"/>
      <w:r w:rsidRPr="00B96A2A">
        <w:rPr>
          <w:rFonts w:ascii="Arial" w:eastAsia="Arial" w:hAnsi="Arial" w:cs="Arial"/>
          <w:snapToGrid/>
          <w:color w:val="000000"/>
          <w:sz w:val="22"/>
          <w:szCs w:val="22"/>
          <w:lang w:eastAsia="en-GB"/>
        </w:rPr>
        <w:t xml:space="preserve"> Fault Zone (LOFZ), which controls the emplacement of several monogenetic volcanic cones and larger stratovolcanoes. The January 23 (Ms 5,2) and April 1 (Ms 5,4) events caused minor damages in salmon industry installations near the epicentral zone, however the earthquake that occurred at 13:54 hours (local time) on April 21 (Mw 6,2) triggered various mass movements on the </w:t>
      </w:r>
      <w:proofErr w:type="spellStart"/>
      <w:r w:rsidRPr="00B96A2A">
        <w:rPr>
          <w:rFonts w:ascii="Arial" w:eastAsia="Arial" w:hAnsi="Arial" w:cs="Arial"/>
          <w:snapToGrid/>
          <w:color w:val="000000"/>
          <w:sz w:val="22"/>
          <w:szCs w:val="22"/>
          <w:lang w:eastAsia="en-GB"/>
        </w:rPr>
        <w:t>Fiordo</w:t>
      </w:r>
      <w:proofErr w:type="spellEnd"/>
      <w:r w:rsidRPr="00B96A2A">
        <w:rPr>
          <w:rFonts w:ascii="Arial" w:eastAsia="Arial" w:hAnsi="Arial" w:cs="Arial"/>
          <w:snapToGrid/>
          <w:color w:val="000000"/>
          <w:sz w:val="22"/>
          <w:szCs w:val="22"/>
          <w:lang w:eastAsia="en-GB"/>
        </w:rPr>
        <w:t xml:space="preserve"> Aisén slopes and generated tsunamis. Debris flows and tsunami waves caused the death of three people and the disappearance of seven, in addition to severe damages to the salmon industry installations. A similar phenomenon had occurred in 1927, but then fewer people inhabited the area (</w:t>
      </w:r>
      <w:hyperlink r:id="rId102">
        <w:r w:rsidRPr="00B96A2A">
          <w:rPr>
            <w:rFonts w:ascii="Arial" w:eastAsia="Arial" w:hAnsi="Arial" w:cs="Arial"/>
            <w:snapToGrid/>
            <w:color w:val="1155CC"/>
            <w:sz w:val="22"/>
            <w:szCs w:val="22"/>
            <w:u w:val="single"/>
            <w:lang w:eastAsia="en-GB"/>
          </w:rPr>
          <w:t>Naranjo et al., 2009</w:t>
        </w:r>
      </w:hyperlink>
      <w:r w:rsidRPr="00B96A2A">
        <w:rPr>
          <w:rFonts w:ascii="Arial" w:eastAsia="Arial" w:hAnsi="Arial" w:cs="Arial"/>
          <w:snapToGrid/>
          <w:color w:val="000000"/>
          <w:sz w:val="22"/>
          <w:szCs w:val="22"/>
          <w:lang w:eastAsia="en-GB"/>
        </w:rPr>
        <w:t>).</w:t>
      </w:r>
      <w:bookmarkEnd w:id="334"/>
    </w:p>
    <w:p w14:paraId="057E7C3B" w14:textId="77777777" w:rsidR="00B96A2A" w:rsidRPr="00B96A2A" w:rsidRDefault="00B96A2A" w:rsidP="00B96A2A">
      <w:pPr>
        <w:keepNext/>
        <w:keepLines/>
        <w:tabs>
          <w:tab w:val="clear" w:pos="709"/>
        </w:tabs>
        <w:snapToGrid/>
        <w:spacing w:before="160" w:after="80"/>
        <w:jc w:val="both"/>
        <w:outlineLvl w:val="1"/>
        <w:rPr>
          <w:rFonts w:ascii="Arial" w:eastAsia="Arial" w:hAnsi="Arial" w:cs="Arial"/>
          <w:snapToGrid/>
          <w:color w:val="000000"/>
          <w:sz w:val="22"/>
          <w:szCs w:val="22"/>
          <w:lang w:eastAsia="en-GB"/>
        </w:rPr>
      </w:pPr>
      <w:bookmarkStart w:id="335" w:name="_Toc195258186"/>
      <w:r w:rsidRPr="00B96A2A">
        <w:rPr>
          <w:rFonts w:ascii="Arial" w:eastAsia="Arial" w:hAnsi="Arial" w:cs="Arial"/>
          <w:snapToGrid/>
          <w:color w:val="000000"/>
          <w:sz w:val="22"/>
          <w:szCs w:val="22"/>
          <w:lang w:eastAsia="en-GB"/>
        </w:rPr>
        <w:t xml:space="preserve">Greenland’s </w:t>
      </w:r>
      <w:proofErr w:type="spellStart"/>
      <w:r w:rsidRPr="00B96A2A">
        <w:rPr>
          <w:rFonts w:ascii="Arial" w:eastAsia="Arial" w:hAnsi="Arial" w:cs="Arial"/>
          <w:snapToGrid/>
          <w:color w:val="000000"/>
          <w:sz w:val="22"/>
          <w:szCs w:val="22"/>
          <w:lang w:eastAsia="en-GB"/>
        </w:rPr>
        <w:t>Karrat</w:t>
      </w:r>
      <w:proofErr w:type="spellEnd"/>
      <w:r w:rsidRPr="00B96A2A">
        <w:rPr>
          <w:rFonts w:ascii="Arial" w:eastAsia="Arial" w:hAnsi="Arial" w:cs="Arial"/>
          <w:snapToGrid/>
          <w:color w:val="000000"/>
          <w:sz w:val="22"/>
          <w:szCs w:val="22"/>
          <w:lang w:eastAsia="en-GB"/>
        </w:rPr>
        <w:t xml:space="preserve"> Fjord in 2017 flooded the village of </w:t>
      </w:r>
      <w:proofErr w:type="spellStart"/>
      <w:r w:rsidRPr="00B96A2A">
        <w:rPr>
          <w:rFonts w:ascii="Arial" w:eastAsia="Arial" w:hAnsi="Arial" w:cs="Arial"/>
          <w:snapToGrid/>
          <w:color w:val="000000"/>
          <w:sz w:val="22"/>
          <w:szCs w:val="22"/>
          <w:lang w:eastAsia="en-GB"/>
        </w:rPr>
        <w:t>Nuugaatsiaq</w:t>
      </w:r>
      <w:proofErr w:type="spellEnd"/>
      <w:r w:rsidRPr="00B96A2A">
        <w:rPr>
          <w:rFonts w:ascii="Arial" w:eastAsia="Arial" w:hAnsi="Arial" w:cs="Arial"/>
          <w:snapToGrid/>
          <w:color w:val="000000"/>
          <w:sz w:val="22"/>
          <w:szCs w:val="22"/>
          <w:lang w:eastAsia="en-GB"/>
        </w:rPr>
        <w:t>, destroying 11 houses and killing four people (</w:t>
      </w:r>
      <w:hyperlink r:id="rId103">
        <w:r w:rsidRPr="00B96A2A">
          <w:rPr>
            <w:rFonts w:ascii="Arial" w:eastAsia="Arial" w:hAnsi="Arial" w:cs="Arial"/>
            <w:snapToGrid/>
            <w:color w:val="1155CC"/>
            <w:sz w:val="22"/>
            <w:szCs w:val="22"/>
            <w:u w:val="single"/>
            <w:lang w:eastAsia="en-GB"/>
          </w:rPr>
          <w:t>Paris et al., 2019</w:t>
        </w:r>
      </w:hyperlink>
      <w:r w:rsidRPr="00B96A2A">
        <w:rPr>
          <w:rFonts w:ascii="Arial" w:eastAsia="Arial" w:hAnsi="Arial" w:cs="Arial"/>
          <w:snapToGrid/>
          <w:color w:val="000000"/>
          <w:sz w:val="22"/>
          <w:szCs w:val="22"/>
          <w:lang w:eastAsia="en-GB"/>
        </w:rPr>
        <w:t xml:space="preserve">).On January 15, 2022, the eruption of the Hunga-Tonga volcano unleashed a tsunami that rapidly traversed the Pacific Ocean, soon reaching the Sulzberger Ice Shelf (SIS), West Antarctica. In the aftermath, the West Sulzberger Ice Shelf (WSIS) experienced a significant calving event, shedding 106 km2 of ice and reducing its size to the smallest recorded since 1948. While the tsunami </w:t>
      </w:r>
      <w:proofErr w:type="gramStart"/>
      <w:r w:rsidRPr="00B96A2A">
        <w:rPr>
          <w:rFonts w:ascii="Arial" w:eastAsia="Arial" w:hAnsi="Arial" w:cs="Arial"/>
          <w:snapToGrid/>
          <w:color w:val="000000"/>
          <w:sz w:val="22"/>
          <w:szCs w:val="22"/>
          <w:lang w:eastAsia="en-GB"/>
        </w:rPr>
        <w:t>had an effect on</w:t>
      </w:r>
      <w:proofErr w:type="gramEnd"/>
      <w:r w:rsidRPr="00B96A2A">
        <w:rPr>
          <w:rFonts w:ascii="Arial" w:eastAsia="Arial" w:hAnsi="Arial" w:cs="Arial"/>
          <w:snapToGrid/>
          <w:color w:val="000000"/>
          <w:sz w:val="22"/>
          <w:szCs w:val="22"/>
          <w:lang w:eastAsia="en-GB"/>
        </w:rPr>
        <w:t xml:space="preserve"> the ice shelf, the relatively small tsunami-induced flexural strains in the ice shelves suggest that the tsunami itself may not have been sufficient to cause the calving of stable ice shelves. However, for ice shelves already prone to calving, the additional stresses imposed by the tsunami may act as the final trigger for calving (</w:t>
      </w:r>
      <w:hyperlink r:id="rId104">
        <w:r w:rsidRPr="00B96A2A">
          <w:rPr>
            <w:rFonts w:ascii="Arial" w:eastAsia="Arial" w:hAnsi="Arial" w:cs="Arial"/>
            <w:snapToGrid/>
            <w:color w:val="1155CC"/>
            <w:sz w:val="22"/>
            <w:szCs w:val="22"/>
            <w:u w:val="single"/>
            <w:lang w:eastAsia="en-GB"/>
          </w:rPr>
          <w:t>Zhao et al, 2024</w:t>
        </w:r>
      </w:hyperlink>
      <w:r w:rsidRPr="00B96A2A">
        <w:rPr>
          <w:rFonts w:ascii="Arial" w:eastAsia="Arial" w:hAnsi="Arial" w:cs="Arial"/>
          <w:snapToGrid/>
          <w:color w:val="000000"/>
          <w:sz w:val="22"/>
          <w:szCs w:val="22"/>
          <w:lang w:eastAsia="en-GB"/>
        </w:rPr>
        <w:t>). On 16 September 2023, a mega-tsunami ripped through eastern Greenland. The waters reached 200 metres high in some places and damaged an empty military base (</w:t>
      </w:r>
      <w:hyperlink r:id="rId105">
        <w:r w:rsidRPr="00B96A2A">
          <w:rPr>
            <w:rFonts w:ascii="Arial" w:eastAsia="Arial" w:hAnsi="Arial" w:cs="Arial"/>
            <w:snapToGrid/>
            <w:color w:val="1155CC"/>
            <w:sz w:val="22"/>
            <w:szCs w:val="22"/>
            <w:u w:val="single"/>
            <w:lang w:eastAsia="en-GB"/>
          </w:rPr>
          <w:t>Carrillo-Ponce et al., 2024</w:t>
        </w:r>
      </w:hyperlink>
      <w:r w:rsidRPr="00B96A2A">
        <w:rPr>
          <w:rFonts w:ascii="Arial" w:eastAsia="Arial" w:hAnsi="Arial" w:cs="Arial"/>
          <w:snapToGrid/>
          <w:color w:val="000000"/>
          <w:sz w:val="22"/>
          <w:szCs w:val="22"/>
          <w:lang w:eastAsia="en-GB"/>
        </w:rPr>
        <w:t>).</w:t>
      </w:r>
      <w:bookmarkEnd w:id="335"/>
    </w:p>
    <w:p w14:paraId="60708A05" w14:textId="77777777" w:rsidR="00B96A2A" w:rsidRPr="00B96A2A" w:rsidRDefault="00B96A2A" w:rsidP="00B96A2A">
      <w:pPr>
        <w:keepNext/>
        <w:keepLines/>
        <w:tabs>
          <w:tab w:val="clear" w:pos="709"/>
        </w:tabs>
        <w:snapToGrid/>
        <w:spacing w:before="160" w:after="80"/>
        <w:jc w:val="both"/>
        <w:outlineLvl w:val="1"/>
        <w:rPr>
          <w:rFonts w:ascii="Arial" w:eastAsia="Arial" w:hAnsi="Arial" w:cs="Arial"/>
          <w:snapToGrid/>
          <w:color w:val="000000"/>
          <w:sz w:val="22"/>
          <w:szCs w:val="22"/>
          <w:lang w:eastAsia="en-GB"/>
        </w:rPr>
      </w:pPr>
      <w:bookmarkStart w:id="336" w:name="_Toc195258187"/>
      <w:r w:rsidRPr="00B96A2A">
        <w:rPr>
          <w:rFonts w:ascii="Arial" w:eastAsia="Arial" w:hAnsi="Arial" w:cs="Arial"/>
          <w:snapToGrid/>
          <w:color w:val="000000"/>
          <w:sz w:val="22"/>
          <w:szCs w:val="22"/>
          <w:lang w:eastAsia="en-GB"/>
        </w:rPr>
        <w:t xml:space="preserve">Dr. Necmioğlu concluded his presentation, emphasizing that the tsunami risk can be considered on the rise </w:t>
      </w:r>
      <w:proofErr w:type="gramStart"/>
      <w:r w:rsidRPr="00B96A2A">
        <w:rPr>
          <w:rFonts w:ascii="Arial" w:eastAsia="Arial" w:hAnsi="Arial" w:cs="Arial"/>
          <w:snapToGrid/>
          <w:color w:val="000000"/>
          <w:sz w:val="22"/>
          <w:szCs w:val="22"/>
          <w:lang w:eastAsia="en-GB"/>
        </w:rPr>
        <w:t>as a result of</w:t>
      </w:r>
      <w:proofErr w:type="gramEnd"/>
      <w:r w:rsidRPr="00B96A2A">
        <w:rPr>
          <w:rFonts w:ascii="Arial" w:eastAsia="Arial" w:hAnsi="Arial" w:cs="Arial"/>
          <w:snapToGrid/>
          <w:color w:val="000000"/>
          <w:sz w:val="22"/>
          <w:szCs w:val="22"/>
          <w:lang w:eastAsia="en-GB"/>
        </w:rPr>
        <w:t xml:space="preserve"> landslides due to increased rainfall or glacial melting </w:t>
      </w:r>
      <w:proofErr w:type="gramStart"/>
      <w:r w:rsidRPr="00B96A2A">
        <w:rPr>
          <w:rFonts w:ascii="Arial" w:eastAsia="Arial" w:hAnsi="Arial" w:cs="Arial"/>
          <w:snapToGrid/>
          <w:color w:val="000000"/>
          <w:sz w:val="22"/>
          <w:szCs w:val="22"/>
          <w:lang w:eastAsia="en-GB"/>
        </w:rPr>
        <w:t>as a result of</w:t>
      </w:r>
      <w:proofErr w:type="gramEnd"/>
      <w:r w:rsidRPr="00B96A2A">
        <w:rPr>
          <w:rFonts w:ascii="Arial" w:eastAsia="Arial" w:hAnsi="Arial" w:cs="Arial"/>
          <w:snapToGrid/>
          <w:color w:val="000000"/>
          <w:sz w:val="22"/>
          <w:szCs w:val="22"/>
          <w:lang w:eastAsia="en-GB"/>
        </w:rPr>
        <w:t xml:space="preserve"> global warming/climate change and noting that tsunamis generated by landslides (in a non-volcanic setting) remains as a challenge. Antarctica’s continental margins may pose an unknown submarine landslide-generated tsunami risk to Southern Hemisphere populations and infrastructure and the issue of landslide generated tsunamis in the glacial context (tsunamis created by glacier break-up) may need closer attention, both from the scientific/resilience and intergovernmental point of view.</w:t>
      </w:r>
      <w:bookmarkEnd w:id="336"/>
    </w:p>
    <w:p w14:paraId="586BD08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Vanacore commented that in addition to the examples presented, submarine landslides should not be </w:t>
      </w:r>
      <w:proofErr w:type="gramStart"/>
      <w:r w:rsidRPr="00B96A2A">
        <w:rPr>
          <w:rFonts w:ascii="Arial" w:eastAsia="Arial" w:hAnsi="Arial" w:cs="Arial"/>
          <w:snapToGrid/>
          <w:sz w:val="22"/>
          <w:szCs w:val="22"/>
          <w:lang w:eastAsia="en-GB"/>
        </w:rPr>
        <w:t>neglected</w:t>
      </w:r>
      <w:proofErr w:type="gramEnd"/>
      <w:r w:rsidRPr="00B96A2A">
        <w:rPr>
          <w:rFonts w:ascii="Arial" w:eastAsia="Arial" w:hAnsi="Arial" w:cs="Arial"/>
          <w:snapToGrid/>
          <w:sz w:val="22"/>
          <w:szCs w:val="22"/>
          <w:lang w:eastAsia="en-GB"/>
        </w:rPr>
        <w:t xml:space="preserve"> and the narrative should be formulated with reference to both “submarine and subaerial” landslides with tsunamigenic potential.</w:t>
      </w:r>
    </w:p>
    <w:p w14:paraId="3B2CE99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50B5346" w14:textId="77777777" w:rsidR="00B96A2A" w:rsidRPr="00B96A2A" w:rsidRDefault="00B96A2A" w:rsidP="00B96A2A">
      <w:pPr>
        <w:keepNext/>
        <w:keepLines/>
        <w:tabs>
          <w:tab w:val="clear" w:pos="709"/>
        </w:tabs>
        <w:snapToGrid/>
        <w:spacing w:before="160" w:after="80"/>
        <w:jc w:val="both"/>
        <w:outlineLvl w:val="1"/>
        <w:rPr>
          <w:rFonts w:ascii="Arial" w:eastAsia="Arial" w:hAnsi="Arial" w:cs="Arial"/>
          <w:snapToGrid/>
          <w:color w:val="0F4761"/>
          <w:sz w:val="28"/>
          <w:szCs w:val="28"/>
          <w:lang w:eastAsia="en-GB"/>
        </w:rPr>
      </w:pPr>
      <w:bookmarkStart w:id="337" w:name="_heading=h.a220tzlwzwls" w:colFirst="0" w:colLast="0"/>
      <w:bookmarkStart w:id="338" w:name="_Toc195258188"/>
      <w:bookmarkEnd w:id="337"/>
      <w:r w:rsidRPr="00B96A2A">
        <w:rPr>
          <w:rFonts w:ascii="Arial" w:eastAsia="Arial" w:hAnsi="Arial" w:cs="Arial"/>
          <w:snapToGrid/>
          <w:color w:val="0F4761"/>
          <w:sz w:val="28"/>
          <w:szCs w:val="28"/>
          <w:lang w:eastAsia="en-GB"/>
        </w:rPr>
        <w:t>11. Common Format for the TSPs’ Tsunami Products</w:t>
      </w:r>
      <w:bookmarkEnd w:id="338"/>
      <w:r w:rsidRPr="00B96A2A">
        <w:rPr>
          <w:rFonts w:ascii="Arial" w:eastAsia="Arial" w:hAnsi="Arial" w:cs="Arial"/>
          <w:snapToGrid/>
          <w:color w:val="0F4761"/>
          <w:sz w:val="28"/>
          <w:szCs w:val="28"/>
          <w:lang w:eastAsia="en-GB"/>
        </w:rPr>
        <w:t xml:space="preserve"> </w:t>
      </w:r>
    </w:p>
    <w:p w14:paraId="5E868E74" w14:textId="77777777" w:rsidR="00B96A2A" w:rsidRPr="00B96A2A" w:rsidRDefault="00B96A2A" w:rsidP="00B96A2A">
      <w:pPr>
        <w:tabs>
          <w:tab w:val="clear" w:pos="709"/>
        </w:tabs>
        <w:snapToGrid/>
        <w:jc w:val="both"/>
        <w:rPr>
          <w:rFonts w:ascii="Arial" w:eastAsia="Arial" w:hAnsi="Arial" w:cs="Arial"/>
          <w:snapToGrid/>
          <w:lang w:eastAsia="en-GB"/>
        </w:rPr>
      </w:pPr>
    </w:p>
    <w:p w14:paraId="6B13D2C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Mr Nishimae reminded TT-TWO </w:t>
      </w:r>
      <w:proofErr w:type="spellStart"/>
      <w:r w:rsidRPr="00B96A2A">
        <w:rPr>
          <w:rFonts w:ascii="Arial" w:eastAsia="Arial" w:hAnsi="Arial" w:cs="Arial"/>
          <w:snapToGrid/>
          <w:sz w:val="22"/>
          <w:szCs w:val="22"/>
          <w:lang w:eastAsia="en-GB"/>
        </w:rPr>
        <w:t>memmbers</w:t>
      </w:r>
      <w:proofErr w:type="spellEnd"/>
      <w:r w:rsidRPr="00B96A2A">
        <w:rPr>
          <w:rFonts w:ascii="Arial" w:eastAsia="Arial" w:hAnsi="Arial" w:cs="Arial"/>
          <w:snapToGrid/>
          <w:sz w:val="22"/>
          <w:szCs w:val="22"/>
          <w:lang w:eastAsia="en-GB"/>
        </w:rPr>
        <w:t xml:space="preserve"> on the recommendation at the last TOWS-WG, namely that operational tsunami information products also be disseminated in XML format </w:t>
      </w:r>
      <w:r w:rsidRPr="00B96A2A">
        <w:rPr>
          <w:rFonts w:ascii="Arial" w:eastAsia="Arial" w:hAnsi="Arial" w:cs="Arial"/>
          <w:snapToGrid/>
          <w:sz w:val="22"/>
          <w:szCs w:val="22"/>
          <w:lang w:eastAsia="en-GB"/>
        </w:rPr>
        <w:lastRenderedPageBreak/>
        <w:t>such as Common Alerting Protocol (CAP) Standard format, and that TT-TWO should develop a global CAP template for TSPs to facilitate exchange of bulletins between basin TSPs and their NTWCs, between TSPs of different basins, and for public TSP bulletins (e.g. for IOTWMS).</w:t>
      </w:r>
    </w:p>
    <w:p w14:paraId="728AFA6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8B646D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According to WMO the references, Common Alerting Protocol (CAP) is identified as the </w:t>
      </w:r>
      <w:hyperlink r:id="rId106">
        <w:r w:rsidRPr="00B96A2A">
          <w:rPr>
            <w:rFonts w:ascii="Arial" w:eastAsia="Arial" w:hAnsi="Arial" w:cs="Arial"/>
            <w:snapToGrid/>
            <w:color w:val="1155CC"/>
            <w:sz w:val="22"/>
            <w:szCs w:val="22"/>
            <w:u w:val="single"/>
            <w:lang w:eastAsia="en-GB"/>
          </w:rPr>
          <w:t>international standard format</w:t>
        </w:r>
      </w:hyperlink>
      <w:r w:rsidRPr="00B96A2A">
        <w:rPr>
          <w:rFonts w:ascii="Arial" w:eastAsia="Arial" w:hAnsi="Arial" w:cs="Arial"/>
          <w:snapToGrid/>
          <w:sz w:val="22"/>
          <w:szCs w:val="22"/>
          <w:lang w:eastAsia="en-GB"/>
        </w:rPr>
        <w:t xml:space="preserve"> for emergency alerting and public warning, designed for all hazards, which can be used for exchanging multi-hazard emergency alerts and public warnings over all kinds of information and communications technology and that  CAP is now widely used in EWS and </w:t>
      </w:r>
      <w:hyperlink r:id="rId107">
        <w:r w:rsidRPr="00B96A2A">
          <w:rPr>
            <w:rFonts w:ascii="Arial" w:eastAsia="Arial" w:hAnsi="Arial" w:cs="Arial"/>
            <w:snapToGrid/>
            <w:color w:val="1155CC"/>
            <w:sz w:val="22"/>
            <w:szCs w:val="22"/>
            <w:u w:val="single"/>
            <w:lang w:eastAsia="en-GB"/>
          </w:rPr>
          <w:t>91% of the world’s population lives in a country that is implementing CAP</w:t>
        </w:r>
      </w:hyperlink>
      <w:r w:rsidRPr="00B96A2A">
        <w:rPr>
          <w:rFonts w:ascii="Arial" w:eastAsia="Arial" w:hAnsi="Arial" w:cs="Arial"/>
          <w:snapToGrid/>
          <w:sz w:val="22"/>
          <w:szCs w:val="22"/>
          <w:lang w:eastAsia="en-GB"/>
        </w:rPr>
        <w:t xml:space="preserve">. Furthermore, the advancement of CAP implementation globally represents a </w:t>
      </w:r>
      <w:hyperlink r:id="rId108">
        <w:r w:rsidRPr="00B96A2A">
          <w:rPr>
            <w:rFonts w:ascii="Arial" w:eastAsia="Arial" w:hAnsi="Arial" w:cs="Arial"/>
            <w:snapToGrid/>
            <w:color w:val="1155CC"/>
            <w:sz w:val="22"/>
            <w:szCs w:val="22"/>
            <w:u w:val="single"/>
            <w:lang w:eastAsia="en-GB"/>
          </w:rPr>
          <w:t>significant milestone in the Early Warnings for All (EW4All)</w:t>
        </w:r>
      </w:hyperlink>
      <w:r w:rsidRPr="00B96A2A">
        <w:rPr>
          <w:rFonts w:ascii="Arial" w:eastAsia="Arial" w:hAnsi="Arial" w:cs="Arial"/>
          <w:snapToGrid/>
          <w:sz w:val="22"/>
          <w:szCs w:val="22"/>
          <w:lang w:eastAsia="en-GB"/>
        </w:rPr>
        <w:t xml:space="preserve"> initiative, and the fact that CAP can be considered as the bridge connecting “observations, monitoring, analysis and forecasting” to “warning dissemination and communication”.</w:t>
      </w:r>
    </w:p>
    <w:p w14:paraId="63C7BFA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111447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Dr. Piatanesi reported that in the case of Italy, CAP is a requirement of the National Civil Protection Authority. Dr Hebert added that CAP is also a requirement in the EU's Emergency Warning framework. Mr Padmanabham added that CAP is targeting national arrangements and allows regional filtering.</w:t>
      </w:r>
    </w:p>
    <w:p w14:paraId="0E7B487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A96E308" w14:textId="77777777" w:rsidR="00B96A2A" w:rsidRPr="00B96A2A" w:rsidRDefault="00B96A2A" w:rsidP="00B96A2A">
      <w:pPr>
        <w:tabs>
          <w:tab w:val="clear" w:pos="709"/>
        </w:tabs>
        <w:snapToGrid/>
        <w:jc w:val="both"/>
        <w:rPr>
          <w:rFonts w:eastAsia="Times New Roman"/>
          <w:snapToGrid/>
          <w:lang w:eastAsia="en-GB"/>
        </w:rPr>
      </w:pPr>
      <w:r w:rsidRPr="00B96A2A">
        <w:rPr>
          <w:rFonts w:ascii="Arial" w:eastAsia="Arial" w:hAnsi="Arial" w:cs="Arial"/>
          <w:snapToGrid/>
          <w:sz w:val="22"/>
          <w:szCs w:val="22"/>
          <w:lang w:eastAsia="en-GB"/>
        </w:rPr>
        <w:t xml:space="preserve">Dr Necmioğlu reminded that NOAA/PTWC in 2013 provided details and rationale for an </w:t>
      </w:r>
      <w:hyperlink r:id="rId109">
        <w:r w:rsidRPr="00B96A2A">
          <w:rPr>
            <w:rFonts w:ascii="Arial" w:eastAsia="Arial" w:hAnsi="Arial" w:cs="Arial"/>
            <w:snapToGrid/>
            <w:color w:val="1155CC"/>
            <w:sz w:val="22"/>
            <w:szCs w:val="22"/>
            <w:u w:val="single"/>
            <w:lang w:eastAsia="en-GB"/>
          </w:rPr>
          <w:t>initial version of a tsunami profile for CAP</w:t>
        </w:r>
      </w:hyperlink>
      <w:r w:rsidRPr="00B96A2A">
        <w:rPr>
          <w:rFonts w:ascii="Arial" w:eastAsia="Arial" w:hAnsi="Arial" w:cs="Arial"/>
          <w:snapToGrid/>
          <w:sz w:val="22"/>
          <w:szCs w:val="22"/>
          <w:lang w:eastAsia="en-GB"/>
        </w:rPr>
        <w:t xml:space="preserve">. </w:t>
      </w:r>
    </w:p>
    <w:p w14:paraId="79906FEC"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39" w:name="_heading=h.2jxsxqh" w:colFirst="0" w:colLast="0"/>
      <w:bookmarkStart w:id="340" w:name="_Toc195258189"/>
      <w:bookmarkEnd w:id="339"/>
      <w:r w:rsidRPr="00B96A2A">
        <w:rPr>
          <w:rFonts w:ascii="Arial" w:eastAsia="Arial" w:hAnsi="Arial" w:cs="Arial"/>
          <w:snapToGrid/>
          <w:color w:val="0F4761"/>
          <w:sz w:val="28"/>
          <w:szCs w:val="28"/>
          <w:lang w:eastAsia="en-GB"/>
        </w:rPr>
        <w:t>12. Updates on the Global Service Definition Document</w:t>
      </w:r>
      <w:bookmarkEnd w:id="340"/>
      <w:r w:rsidRPr="00B96A2A">
        <w:rPr>
          <w:rFonts w:ascii="Arial" w:eastAsia="Arial" w:hAnsi="Arial" w:cs="Arial"/>
          <w:snapToGrid/>
          <w:color w:val="0F4761"/>
          <w:sz w:val="28"/>
          <w:szCs w:val="28"/>
          <w:lang w:eastAsia="en-GB"/>
        </w:rPr>
        <w:t xml:space="preserve"> </w:t>
      </w:r>
    </w:p>
    <w:p w14:paraId="3522BA44"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105098C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McCreery introduced the agenda item, available as a </w:t>
      </w:r>
      <w:hyperlink r:id="rId110">
        <w:r w:rsidRPr="00B96A2A">
          <w:rPr>
            <w:rFonts w:ascii="Arial" w:eastAsia="Arial" w:hAnsi="Arial" w:cs="Arial"/>
            <w:snapToGrid/>
            <w:color w:val="1155CC"/>
            <w:sz w:val="22"/>
            <w:szCs w:val="22"/>
            <w:u w:val="single"/>
            <w:lang w:eastAsia="en-GB"/>
          </w:rPr>
          <w:t>presentation</w:t>
        </w:r>
      </w:hyperlink>
      <w:r w:rsidRPr="00B96A2A">
        <w:rPr>
          <w:rFonts w:ascii="Arial" w:eastAsia="Arial" w:hAnsi="Arial" w:cs="Arial"/>
          <w:snapToGrid/>
          <w:sz w:val="22"/>
          <w:szCs w:val="22"/>
          <w:lang w:eastAsia="en-GB"/>
        </w:rPr>
        <w:t>. The Tsunami Watch Operations Global Services Definition Document (GSDD) was written and first published as IOC Technical Document 130 in December of 2016 to describe the basic capabilities and services of the TSPs in the four regional Tsunami Warning Systems coordinated by the IOC. Changes in the four Systems and their respective TSPs warranted a revision of the GSDD. A draft update was written and distributed last year to get feedback before a final acceptance and re-publication by the IOC. Goals of the revision was</w:t>
      </w:r>
    </w:p>
    <w:p w14:paraId="7F0298A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1A6667B" w14:textId="77777777" w:rsidR="00B96A2A" w:rsidRPr="00B96A2A" w:rsidRDefault="00B96A2A" w:rsidP="00B96A2A">
      <w:pPr>
        <w:numPr>
          <w:ilvl w:val="0"/>
          <w:numId w:val="164"/>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Update old or incorrect information</w:t>
      </w:r>
    </w:p>
    <w:p w14:paraId="07B63841" w14:textId="77777777" w:rsidR="00B96A2A" w:rsidRPr="00B96A2A" w:rsidRDefault="00B96A2A" w:rsidP="00B96A2A">
      <w:pPr>
        <w:numPr>
          <w:ilvl w:val="0"/>
          <w:numId w:val="164"/>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Make the GSDD more descriptive and less prescriptive</w:t>
      </w:r>
    </w:p>
    <w:p w14:paraId="7498D899" w14:textId="77777777" w:rsidR="00B96A2A" w:rsidRPr="00B96A2A" w:rsidRDefault="00B96A2A" w:rsidP="00B96A2A">
      <w:pPr>
        <w:numPr>
          <w:ilvl w:val="0"/>
          <w:numId w:val="164"/>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Align terms and definitions with the Tsunami Glossary</w:t>
      </w:r>
    </w:p>
    <w:p w14:paraId="26BA4E4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4590A6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Feedback has now been incorporated, and </w:t>
      </w:r>
      <w:proofErr w:type="gramStart"/>
      <w:r w:rsidRPr="00B96A2A">
        <w:rPr>
          <w:rFonts w:ascii="Arial" w:eastAsia="Arial" w:hAnsi="Arial" w:cs="Arial"/>
          <w:snapToGrid/>
          <w:sz w:val="22"/>
          <w:szCs w:val="22"/>
          <w:lang w:eastAsia="en-GB"/>
        </w:rPr>
        <w:t>with the exception of</w:t>
      </w:r>
      <w:proofErr w:type="gramEnd"/>
      <w:r w:rsidRPr="00B96A2A">
        <w:rPr>
          <w:rFonts w:ascii="Arial" w:eastAsia="Arial" w:hAnsi="Arial" w:cs="Arial"/>
          <w:snapToGrid/>
          <w:sz w:val="22"/>
          <w:szCs w:val="22"/>
          <w:lang w:eastAsia="en-GB"/>
        </w:rPr>
        <w:t xml:space="preserve"> a few additional minor edits to include IOC content, it is ready for final approval.  A figure in section 4 of the GSDD was as an example from the CARIBE-EWS of the flow of information to the community from various sources as part of their tsunami warning process. A bullet point in Section 11 was added to note the elimination of fax service from TSPs unless it is requested as essential. Section 10.4 was changed from Procedures for Hunga Tonga to Procedures for Non-Seismic Events. Lastly, the reference to the GTS and internet dissemination requirement was updated as "and/or" in Section 5.4. </w:t>
      </w:r>
    </w:p>
    <w:p w14:paraId="76EFDAE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AAD4AB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Mr Aliaga, Head of IOC Tsunami Resilience Section proposed the removal of the reference to the CARIBE-EWS in the Tsunami Service Model figure, to keep it generic. He underlined the need to elaborate in detail the back-up arrangements between TSPs and proposed that in the future, the verification of tsunami in less than 10min, as reflected in the first objective of the </w:t>
      </w:r>
      <w:r w:rsidRPr="00B96A2A">
        <w:rPr>
          <w:rFonts w:ascii="Arial" w:eastAsia="Arial" w:hAnsi="Arial" w:cs="Arial"/>
          <w:snapToGrid/>
          <w:sz w:val="22"/>
          <w:szCs w:val="22"/>
          <w:lang w:eastAsia="en-GB"/>
        </w:rPr>
        <w:lastRenderedPageBreak/>
        <w:t xml:space="preserve">ODTP, could be included as a KPI, but TSPs can already start reporting on this in their respective ICG sessions. </w:t>
      </w:r>
    </w:p>
    <w:p w14:paraId="15196D3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B7F72B5"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Dr Necmioğlu informed that the Global Telecommunication System (GTS) will be decommissioned by 2030, and National Meteorological and Hydrological Services (NMHSs) will use the WIS 2.0 platform for data exchange. Regarding Mr Aliaga’s proposal on back-up arrangements between TSPs, he emphasised the need that service provisions </w:t>
      </w:r>
      <w:proofErr w:type="gramStart"/>
      <w:r w:rsidRPr="00B96A2A">
        <w:rPr>
          <w:rFonts w:ascii="Arial" w:eastAsia="Arial" w:hAnsi="Arial" w:cs="Arial"/>
          <w:snapToGrid/>
          <w:sz w:val="22"/>
          <w:szCs w:val="22"/>
          <w:lang w:eastAsia="en-GB"/>
        </w:rPr>
        <w:t>needs</w:t>
      </w:r>
      <w:proofErr w:type="gramEnd"/>
      <w:r w:rsidRPr="00B96A2A">
        <w:rPr>
          <w:rFonts w:ascii="Arial" w:eastAsia="Arial" w:hAnsi="Arial" w:cs="Arial"/>
          <w:snapToGrid/>
          <w:sz w:val="22"/>
          <w:szCs w:val="22"/>
          <w:lang w:eastAsia="en-GB"/>
        </w:rPr>
        <w:t xml:space="preserve"> to be ensured for all sub-areas of the ICG Area of Service, and that such bilateral arrangements are of critical importance in sub-areas where services are provided only one TSP. The GSDD was updated during the meeting in accordance with these </w:t>
      </w:r>
      <w:proofErr w:type="gramStart"/>
      <w:r w:rsidRPr="00B96A2A">
        <w:rPr>
          <w:rFonts w:ascii="Arial" w:eastAsia="Arial" w:hAnsi="Arial" w:cs="Arial"/>
          <w:snapToGrid/>
          <w:sz w:val="22"/>
          <w:szCs w:val="22"/>
          <w:lang w:eastAsia="en-GB"/>
        </w:rPr>
        <w:t>feedbacks</w:t>
      </w:r>
      <w:proofErr w:type="gramEnd"/>
      <w:r w:rsidRPr="00B96A2A">
        <w:rPr>
          <w:rFonts w:ascii="Arial" w:eastAsia="Arial" w:hAnsi="Arial" w:cs="Arial"/>
          <w:snapToGrid/>
          <w:sz w:val="22"/>
          <w:szCs w:val="22"/>
          <w:lang w:eastAsia="en-GB"/>
        </w:rPr>
        <w:t xml:space="preserve"> provided. </w:t>
      </w:r>
    </w:p>
    <w:p w14:paraId="3360452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F4A846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In response to Mr Zuniga’s question on how often this document needs a revision and whether it’s considered as a living document, Dr. Necmioğlu informed that the document provides a generic guidance and is not considered as a living document, where the last revision was in 2016, and perhaps another revision can be anticipated around 2030. </w:t>
      </w:r>
    </w:p>
    <w:p w14:paraId="38C6079C"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201EBB3F"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41" w:name="_heading=h.z337ya" w:colFirst="0" w:colLast="0"/>
      <w:bookmarkStart w:id="342" w:name="_Toc195258190"/>
      <w:bookmarkEnd w:id="341"/>
      <w:r w:rsidRPr="00B96A2A">
        <w:rPr>
          <w:rFonts w:ascii="Arial" w:eastAsia="Arial" w:hAnsi="Arial" w:cs="Arial"/>
          <w:snapToGrid/>
          <w:color w:val="0F4761"/>
          <w:sz w:val="28"/>
          <w:szCs w:val="28"/>
          <w:lang w:eastAsia="en-GB"/>
        </w:rPr>
        <w:t>13. Support for Ocean Decade Tsunami Programme Research &amp; Development Implementation Plan</w:t>
      </w:r>
      <w:bookmarkEnd w:id="342"/>
      <w:r w:rsidRPr="00B96A2A">
        <w:rPr>
          <w:rFonts w:ascii="Arial" w:eastAsia="Arial" w:hAnsi="Arial" w:cs="Arial"/>
          <w:snapToGrid/>
          <w:color w:val="0F4761"/>
          <w:sz w:val="28"/>
          <w:szCs w:val="28"/>
          <w:lang w:eastAsia="en-GB"/>
        </w:rPr>
        <w:t xml:space="preserve"> </w:t>
      </w:r>
    </w:p>
    <w:p w14:paraId="560235F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Members noted that the development of SOPs for TGVs and associated activities, such as organization of webinars; publication of documentation related to TGVs and </w:t>
      </w:r>
      <w:proofErr w:type="spellStart"/>
      <w:r w:rsidRPr="00B96A2A">
        <w:rPr>
          <w:rFonts w:ascii="Arial" w:eastAsia="Arial" w:hAnsi="Arial" w:cs="Arial"/>
          <w:snapToGrid/>
          <w:sz w:val="22"/>
          <w:szCs w:val="22"/>
          <w:lang w:eastAsia="en-GB"/>
        </w:rPr>
        <w:t>meteotsunamis</w:t>
      </w:r>
      <w:proofErr w:type="spellEnd"/>
      <w:r w:rsidRPr="00B96A2A">
        <w:rPr>
          <w:rFonts w:ascii="Arial" w:eastAsia="Arial" w:hAnsi="Arial" w:cs="Arial"/>
          <w:snapToGrid/>
          <w:sz w:val="22"/>
          <w:szCs w:val="22"/>
          <w:lang w:eastAsia="en-GB"/>
        </w:rPr>
        <w:t>; consideration of landslide sources from the perspective of their tsunamigenic potential; the 1st ODTP Scientific Conference that is being planned to be organized back-to-back with the IOGG-JTC Symposium in India in 2025/11; development of ODTP KPIs as a subset of Global KPIs, and development of sea-level detection monitoring capability maps to verify the current networks’ compliance with the first objective of the ODTP related to the verification of tsunami in less than 10min are all directly relevant and in support of the ODTP.</w:t>
      </w:r>
    </w:p>
    <w:p w14:paraId="2DDDACB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C37836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Mr Padmanabham proposed the development of a KPI dashboard. Dr Necmioğlu responded that this is indeed being planned, inspired from the layout and the functionalities of the </w:t>
      </w:r>
      <w:hyperlink r:id="rId111">
        <w:r w:rsidRPr="00B96A2A">
          <w:rPr>
            <w:rFonts w:ascii="Arial" w:eastAsia="Arial" w:hAnsi="Arial" w:cs="Arial"/>
            <w:snapToGrid/>
            <w:color w:val="1155CC"/>
            <w:sz w:val="22"/>
            <w:szCs w:val="22"/>
            <w:u w:val="single"/>
            <w:lang w:eastAsia="en-GB"/>
          </w:rPr>
          <w:t>EW4All Dashboard</w:t>
        </w:r>
      </w:hyperlink>
      <w:r w:rsidRPr="00B96A2A">
        <w:rPr>
          <w:rFonts w:ascii="Arial" w:eastAsia="Arial" w:hAnsi="Arial" w:cs="Arial"/>
          <w:snapToGrid/>
          <w:sz w:val="22"/>
          <w:szCs w:val="22"/>
          <w:lang w:eastAsia="en-GB"/>
        </w:rPr>
        <w:t>, noting that in the case of IOC’s tsunami programme, only the ODTP KPIs may be presented publicly.</w:t>
      </w:r>
    </w:p>
    <w:p w14:paraId="68B80218"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43" w:name="_heading=h.3j2qqm3" w:colFirst="0" w:colLast="0"/>
      <w:bookmarkStart w:id="344" w:name="_Toc195258191"/>
      <w:bookmarkEnd w:id="343"/>
      <w:r w:rsidRPr="00B96A2A">
        <w:rPr>
          <w:rFonts w:ascii="Arial" w:eastAsia="Arial" w:hAnsi="Arial" w:cs="Arial"/>
          <w:snapToGrid/>
          <w:color w:val="0F4761"/>
          <w:sz w:val="28"/>
          <w:szCs w:val="28"/>
          <w:lang w:eastAsia="en-GB"/>
        </w:rPr>
        <w:t>14. TT-TWO Work Plan</w:t>
      </w:r>
      <w:bookmarkEnd w:id="344"/>
      <w:r w:rsidRPr="00B96A2A">
        <w:rPr>
          <w:rFonts w:ascii="Arial" w:eastAsia="Arial" w:hAnsi="Arial" w:cs="Arial"/>
          <w:snapToGrid/>
          <w:color w:val="0F4761"/>
          <w:sz w:val="28"/>
          <w:szCs w:val="28"/>
          <w:lang w:eastAsia="en-GB"/>
        </w:rPr>
        <w:t xml:space="preserve"> </w:t>
      </w:r>
    </w:p>
    <w:p w14:paraId="7635351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The Chair of the TT-TWO, Mr Nishimae, requested the Secretariat to include all action items that are currently ongoing or have not started, in the TT-TWO’s work plan for the upcoming intersessional period. All actions that have not started yet have been migrated into a new action item, in accordance with the discussions and considerations that have taken place during the current meeting. In addition, new actions items are also added. The current list of action items </w:t>
      </w:r>
      <w:proofErr w:type="gramStart"/>
      <w:r w:rsidRPr="00B96A2A">
        <w:rPr>
          <w:rFonts w:ascii="Arial" w:eastAsia="Arial" w:hAnsi="Arial" w:cs="Arial"/>
          <w:snapToGrid/>
          <w:sz w:val="22"/>
          <w:szCs w:val="22"/>
          <w:lang w:eastAsia="en-GB"/>
        </w:rPr>
        <w:t>are</w:t>
      </w:r>
      <w:proofErr w:type="gramEnd"/>
      <w:r w:rsidRPr="00B96A2A">
        <w:rPr>
          <w:rFonts w:ascii="Arial" w:eastAsia="Arial" w:hAnsi="Arial" w:cs="Arial"/>
          <w:snapToGrid/>
          <w:sz w:val="22"/>
          <w:szCs w:val="22"/>
          <w:lang w:eastAsia="en-GB"/>
        </w:rPr>
        <w:t xml:space="preserve"> available </w:t>
      </w:r>
      <w:sdt>
        <w:sdtPr>
          <w:rPr>
            <w:rFonts w:eastAsia="Times New Roman"/>
            <w:snapToGrid/>
            <w:lang w:eastAsia="en-GB"/>
          </w:rPr>
          <w:tag w:val="goog_rdk_1"/>
          <w:id w:val="-965121696"/>
        </w:sdtPr>
        <w:sdtContent/>
      </w:sdt>
      <w:hyperlink r:id="rId112" w:history="1">
        <w:r w:rsidRPr="00B96A2A">
          <w:rPr>
            <w:rFonts w:ascii="Arial" w:eastAsia="Arial" w:hAnsi="Arial" w:cs="Arial"/>
            <w:snapToGrid/>
            <w:color w:val="0000FF"/>
            <w:sz w:val="22"/>
            <w:szCs w:val="22"/>
            <w:u w:val="single"/>
            <w:lang w:eastAsia="en-GB"/>
          </w:rPr>
          <w:t>here</w:t>
        </w:r>
      </w:hyperlink>
      <w:r w:rsidRPr="00B96A2A">
        <w:rPr>
          <w:rFonts w:ascii="Arial" w:eastAsia="Arial" w:hAnsi="Arial" w:cs="Arial"/>
          <w:snapToGrid/>
          <w:sz w:val="22"/>
          <w:szCs w:val="22"/>
          <w:lang w:eastAsia="en-GB"/>
        </w:rPr>
        <w:t>. An overview of the actions to be included in the work program is provided below:</w:t>
      </w:r>
    </w:p>
    <w:p w14:paraId="7242ECE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C8643B1"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sz w:val="22"/>
          <w:szCs w:val="22"/>
          <w:lang w:eastAsia="en-GB"/>
        </w:rPr>
        <w:t>DELAYED:</w:t>
      </w:r>
    </w:p>
    <w:p w14:paraId="15DF899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3BAE0061" w14:textId="77777777" w:rsidR="00B96A2A" w:rsidRPr="00B96A2A" w:rsidRDefault="00B96A2A" w:rsidP="00B96A2A">
      <w:pPr>
        <w:numPr>
          <w:ilvl w:val="0"/>
          <w:numId w:val="165"/>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Provide the updated Tsunami Watch Operations: Global Service Definition Document to the Member States</w:t>
      </w:r>
    </w:p>
    <w:p w14:paraId="1D516E9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80D7405" w14:textId="77777777" w:rsidR="00B96A2A" w:rsidRPr="00B96A2A" w:rsidRDefault="00B96A2A" w:rsidP="00B96A2A">
      <w:pPr>
        <w:numPr>
          <w:ilvl w:val="0"/>
          <w:numId w:val="174"/>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TT-TWO </w:t>
      </w:r>
      <w:proofErr w:type="gramStart"/>
      <w:r w:rsidRPr="00B96A2A">
        <w:rPr>
          <w:rFonts w:ascii="Arial" w:eastAsia="Arial" w:hAnsi="Arial" w:cs="Arial"/>
          <w:snapToGrid/>
          <w:sz w:val="22"/>
          <w:szCs w:val="22"/>
          <w:lang w:eastAsia="en-GB"/>
        </w:rPr>
        <w:t>develop</w:t>
      </w:r>
      <w:proofErr w:type="gramEnd"/>
      <w:r w:rsidRPr="00B96A2A">
        <w:rPr>
          <w:rFonts w:ascii="Arial" w:eastAsia="Arial" w:hAnsi="Arial" w:cs="Arial"/>
          <w:snapToGrid/>
          <w:sz w:val="22"/>
          <w:szCs w:val="22"/>
          <w:lang w:eastAsia="en-GB"/>
        </w:rPr>
        <w:t xml:space="preserve"> a global CAP template for TSPs to facilitate exchange of bulletins between basin TSPs and their NTWCs, between TSPs of different basins, and for public TSP bulletins (e.g. for IOTWMS)</w:t>
      </w:r>
    </w:p>
    <w:p w14:paraId="1728CEB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3900A38" w14:textId="77777777" w:rsidR="00B96A2A" w:rsidRPr="00B96A2A" w:rsidRDefault="00B96A2A" w:rsidP="00B96A2A">
      <w:pPr>
        <w:numPr>
          <w:ilvl w:val="0"/>
          <w:numId w:val="161"/>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TT-TWO </w:t>
      </w:r>
      <w:proofErr w:type="gramStart"/>
      <w:r w:rsidRPr="00B96A2A">
        <w:rPr>
          <w:rFonts w:ascii="Arial" w:eastAsia="Arial" w:hAnsi="Arial" w:cs="Arial"/>
          <w:snapToGrid/>
          <w:sz w:val="22"/>
          <w:szCs w:val="22"/>
          <w:lang w:eastAsia="en-GB"/>
        </w:rPr>
        <w:t>evaluate</w:t>
      </w:r>
      <w:proofErr w:type="gramEnd"/>
      <w:r w:rsidRPr="00B96A2A">
        <w:rPr>
          <w:rFonts w:ascii="Arial" w:eastAsia="Arial" w:hAnsi="Arial" w:cs="Arial"/>
          <w:snapToGrid/>
          <w:sz w:val="22"/>
          <w:szCs w:val="22"/>
          <w:lang w:eastAsia="en-GB"/>
        </w:rPr>
        <w:t xml:space="preserve"> tsunami probabilistic forecasting methods and provide advice to TSPs and NTWCs in all ICGs</w:t>
      </w:r>
    </w:p>
    <w:p w14:paraId="17E4CCD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3F939E1D"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1D258CFD"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sz w:val="22"/>
          <w:szCs w:val="22"/>
          <w:lang w:eastAsia="en-GB"/>
        </w:rPr>
        <w:t>ONGOING:</w:t>
      </w:r>
    </w:p>
    <w:p w14:paraId="449E803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FA930DF" w14:textId="77777777" w:rsidR="00B96A2A" w:rsidRPr="00B96A2A" w:rsidRDefault="00B96A2A" w:rsidP="00B96A2A">
      <w:pPr>
        <w:numPr>
          <w:ilvl w:val="0"/>
          <w:numId w:val="175"/>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Develop a reporting mechanism to allow ICGs to report progress on related projects within the Ocean Decade and against the ODTP-RDIP KPIs, aligning this with the proposed Global KPI Framework for the UNESCO-IOC Tsunami Programme</w:t>
      </w:r>
    </w:p>
    <w:p w14:paraId="68C496A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8D474FC" w14:textId="77777777" w:rsidR="00B96A2A" w:rsidRPr="00B96A2A" w:rsidRDefault="00B96A2A" w:rsidP="00B96A2A">
      <w:pPr>
        <w:numPr>
          <w:ilvl w:val="0"/>
          <w:numId w:val="162"/>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Organise online webinars for each ICG involving relevant Volcano Observatories and Volcanic Ash Advisory </w:t>
      </w:r>
      <w:proofErr w:type="spellStart"/>
      <w:r w:rsidRPr="00B96A2A">
        <w:rPr>
          <w:rFonts w:ascii="Arial" w:eastAsia="Arial" w:hAnsi="Arial" w:cs="Arial"/>
          <w:snapToGrid/>
          <w:sz w:val="22"/>
          <w:szCs w:val="22"/>
          <w:lang w:eastAsia="en-GB"/>
        </w:rPr>
        <w:t>Centers</w:t>
      </w:r>
      <w:proofErr w:type="spellEnd"/>
      <w:r w:rsidRPr="00B96A2A">
        <w:rPr>
          <w:rFonts w:ascii="Arial" w:eastAsia="Arial" w:hAnsi="Arial" w:cs="Arial"/>
          <w:snapToGrid/>
          <w:sz w:val="22"/>
          <w:szCs w:val="22"/>
          <w:lang w:eastAsia="en-GB"/>
        </w:rPr>
        <w:t xml:space="preserve"> (VAACs) </w:t>
      </w:r>
    </w:p>
    <w:p w14:paraId="6998CC1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5DAD225" w14:textId="77777777" w:rsidR="00B96A2A" w:rsidRPr="00B96A2A" w:rsidRDefault="00B96A2A" w:rsidP="00B96A2A">
      <w:pPr>
        <w:numPr>
          <w:ilvl w:val="0"/>
          <w:numId w:val="173"/>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TT-TWO and TT-DMP to develop KPIs for the relevant sections of the ODTP - Research, Development and Implementation plan to monitor progress</w:t>
      </w:r>
    </w:p>
    <w:p w14:paraId="56BCA0F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D782788" w14:textId="77777777" w:rsidR="00B96A2A" w:rsidRPr="00B96A2A" w:rsidRDefault="00B96A2A" w:rsidP="00B96A2A">
      <w:pPr>
        <w:numPr>
          <w:ilvl w:val="0"/>
          <w:numId w:val="177"/>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TT-TWO and TT-DMP to explore requirements and existing methods to warn people with disabilities and underserved communities, especially given WTAD objective 2023 “fighting inequality for a resilient future</w:t>
      </w:r>
    </w:p>
    <w:p w14:paraId="2591534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3351147"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35E4B100"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sz w:val="22"/>
          <w:szCs w:val="22"/>
          <w:lang w:eastAsia="en-GB"/>
        </w:rPr>
        <w:t>NOT STARTED (NEW ACTION ITEMS):</w:t>
      </w:r>
    </w:p>
    <w:p w14:paraId="21672F8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E9748C7" w14:textId="77777777" w:rsidR="00B96A2A" w:rsidRPr="00B96A2A" w:rsidRDefault="00B96A2A" w:rsidP="00B96A2A">
      <w:pPr>
        <w:numPr>
          <w:ilvl w:val="0"/>
          <w:numId w:val="166"/>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Secretariat in close collaboration with the TT-TWO and TT-DMP to revise, simplify and standardise the format and the methodology of collecting TNC/TWFP/NTWC contact information, and present its work at the next Joint TT-DMP and TT-TWO Meeting</w:t>
      </w:r>
    </w:p>
    <w:p w14:paraId="5CCFC1F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9524D52" w14:textId="77777777" w:rsidR="00B96A2A" w:rsidRPr="00B96A2A" w:rsidRDefault="00B96A2A" w:rsidP="00B96A2A">
      <w:pPr>
        <w:numPr>
          <w:ilvl w:val="0"/>
          <w:numId w:val="178"/>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TT-TWO to conduct and present to TOWS-WG at its next session the result of a study on the existing sea-level detection monitoring capability to verify the current networks compliance with the first objective of the ODTP related to the verification of tsunami in less than 10min</w:t>
      </w:r>
    </w:p>
    <w:p w14:paraId="556D1C0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5D91F32" w14:textId="77777777" w:rsidR="00B96A2A" w:rsidRPr="00B96A2A" w:rsidRDefault="00B96A2A" w:rsidP="00B96A2A">
      <w:pPr>
        <w:numPr>
          <w:ilvl w:val="0"/>
          <w:numId w:val="163"/>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Dissemination of the specialized TSP bulletins for the maritime community is tested in CARIBE-EWS, IOTWMS and NEAMTWS by at least one TSP either through the planned communication tests or </w:t>
      </w:r>
      <w:proofErr w:type="gramStart"/>
      <w:r w:rsidRPr="00B96A2A">
        <w:rPr>
          <w:rFonts w:ascii="Arial" w:eastAsia="Arial" w:hAnsi="Arial" w:cs="Arial"/>
          <w:snapToGrid/>
          <w:sz w:val="22"/>
          <w:szCs w:val="22"/>
          <w:lang w:eastAsia="en-GB"/>
        </w:rPr>
        <w:t>planned  tsunami</w:t>
      </w:r>
      <w:proofErr w:type="gramEnd"/>
      <w:r w:rsidRPr="00B96A2A">
        <w:rPr>
          <w:rFonts w:ascii="Arial" w:eastAsia="Arial" w:hAnsi="Arial" w:cs="Arial"/>
          <w:snapToGrid/>
          <w:sz w:val="22"/>
          <w:szCs w:val="22"/>
          <w:lang w:eastAsia="en-GB"/>
        </w:rPr>
        <w:t xml:space="preserve"> exercises.</w:t>
      </w:r>
    </w:p>
    <w:p w14:paraId="058E952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9FD111F" w14:textId="77777777" w:rsidR="00B96A2A" w:rsidRPr="00B96A2A" w:rsidRDefault="00B96A2A" w:rsidP="00B96A2A">
      <w:pPr>
        <w:numPr>
          <w:ilvl w:val="0"/>
          <w:numId w:val="169"/>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Each ICG to develop SOPs for volcanoes with a tsunamigenic potential within their Earthquake Source Zone (ESZ).</w:t>
      </w:r>
    </w:p>
    <w:p w14:paraId="0C86BA3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7A19ACE" w14:textId="77777777" w:rsidR="00B96A2A" w:rsidRPr="00B96A2A" w:rsidRDefault="00B96A2A" w:rsidP="00B96A2A">
      <w:pPr>
        <w:numPr>
          <w:ilvl w:val="0"/>
          <w:numId w:val="179"/>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TT-TWO </w:t>
      </w:r>
      <w:proofErr w:type="gramStart"/>
      <w:r w:rsidRPr="00B96A2A">
        <w:rPr>
          <w:rFonts w:ascii="Arial" w:eastAsia="Arial" w:hAnsi="Arial" w:cs="Arial"/>
          <w:snapToGrid/>
          <w:sz w:val="22"/>
          <w:szCs w:val="22"/>
          <w:lang w:eastAsia="en-GB"/>
        </w:rPr>
        <w:t>investigate</w:t>
      </w:r>
      <w:proofErr w:type="gramEnd"/>
      <w:r w:rsidRPr="00B96A2A">
        <w:rPr>
          <w:rFonts w:ascii="Arial" w:eastAsia="Arial" w:hAnsi="Arial" w:cs="Arial"/>
          <w:snapToGrid/>
          <w:sz w:val="22"/>
          <w:szCs w:val="22"/>
          <w:lang w:eastAsia="en-GB"/>
        </w:rPr>
        <w:t xml:space="preserve"> the status of the TSP service provisions in the boundary of IOTWMS and PTWS but outside of the framework of the IOC coordinated tsunami warning systems</w:t>
      </w:r>
    </w:p>
    <w:p w14:paraId="7DBCA2B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8BBCE3A" w14:textId="77777777" w:rsidR="00B96A2A" w:rsidRPr="00B96A2A" w:rsidRDefault="00B96A2A" w:rsidP="00B96A2A">
      <w:pPr>
        <w:numPr>
          <w:ilvl w:val="0"/>
          <w:numId w:val="176"/>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lastRenderedPageBreak/>
        <w:t xml:space="preserve">TT-TWO </w:t>
      </w:r>
      <w:proofErr w:type="gramStart"/>
      <w:r w:rsidRPr="00B96A2A">
        <w:rPr>
          <w:rFonts w:ascii="Arial" w:eastAsia="Arial" w:hAnsi="Arial" w:cs="Arial"/>
          <w:snapToGrid/>
          <w:sz w:val="22"/>
          <w:szCs w:val="22"/>
          <w:lang w:eastAsia="en-GB"/>
        </w:rPr>
        <w:t>investigate</w:t>
      </w:r>
      <w:proofErr w:type="gramEnd"/>
      <w:r w:rsidRPr="00B96A2A">
        <w:rPr>
          <w:rFonts w:ascii="Arial" w:eastAsia="Arial" w:hAnsi="Arial" w:cs="Arial"/>
          <w:snapToGrid/>
          <w:sz w:val="22"/>
          <w:szCs w:val="22"/>
          <w:lang w:eastAsia="en-GB"/>
        </w:rPr>
        <w:t xml:space="preserve"> the status of the TSP service provisions in the boundary of IOTWMS and PTWS but outside of the framework of the IOC coordinated tsunami warning systems</w:t>
      </w:r>
    </w:p>
    <w:p w14:paraId="67E36F4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B31837D" w14:textId="77777777" w:rsidR="00B96A2A" w:rsidRPr="00B96A2A" w:rsidRDefault="00B96A2A" w:rsidP="00B96A2A">
      <w:pPr>
        <w:numPr>
          <w:ilvl w:val="0"/>
          <w:numId w:val="159"/>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Distribute the final version of the radio product/template to the Member States as a guidance.</w:t>
      </w:r>
    </w:p>
    <w:p w14:paraId="558E13D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69B4F15" w14:textId="77777777" w:rsidR="00B96A2A" w:rsidRPr="00B96A2A" w:rsidRDefault="00B96A2A" w:rsidP="00B96A2A">
      <w:pPr>
        <w:numPr>
          <w:ilvl w:val="0"/>
          <w:numId w:val="167"/>
        </w:numPr>
        <w:tabs>
          <w:tab w:val="clear" w:pos="709"/>
        </w:tabs>
        <w:snapToGrid/>
        <w:spacing w:after="160" w:line="278" w:lineRule="auto"/>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TT-TWO to engage with the landslide hazard and early-warning scientific and operational communities</w:t>
      </w:r>
    </w:p>
    <w:p w14:paraId="4F35B2C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A17F6BF"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45" w:name="_heading=h.1y810tw" w:colFirst="0" w:colLast="0"/>
      <w:bookmarkStart w:id="346" w:name="_Toc195258192"/>
      <w:bookmarkEnd w:id="345"/>
      <w:r w:rsidRPr="00B96A2A">
        <w:rPr>
          <w:rFonts w:ascii="Arial" w:eastAsia="Arial" w:hAnsi="Arial" w:cs="Arial"/>
          <w:snapToGrid/>
          <w:color w:val="0F4761"/>
          <w:sz w:val="28"/>
          <w:szCs w:val="28"/>
          <w:lang w:eastAsia="en-GB"/>
        </w:rPr>
        <w:t>15. AOB</w:t>
      </w:r>
      <w:bookmarkEnd w:id="346"/>
    </w:p>
    <w:p w14:paraId="6461ECA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Under this agenda item, Mr Nishimae presented an overview of the responses he has received regarding the radio product/template, available as a </w:t>
      </w:r>
      <w:hyperlink r:id="rId113">
        <w:r w:rsidRPr="00B96A2A">
          <w:rPr>
            <w:rFonts w:ascii="Arial" w:eastAsia="Arial" w:hAnsi="Arial" w:cs="Arial"/>
            <w:snapToGrid/>
            <w:color w:val="1155CC"/>
            <w:sz w:val="22"/>
            <w:szCs w:val="22"/>
            <w:u w:val="single"/>
            <w:lang w:eastAsia="en-GB"/>
          </w:rPr>
          <w:t>presentation</w:t>
        </w:r>
      </w:hyperlink>
      <w:r w:rsidRPr="00B96A2A">
        <w:rPr>
          <w:rFonts w:ascii="Arial" w:eastAsia="Arial" w:hAnsi="Arial" w:cs="Arial"/>
          <w:snapToGrid/>
          <w:sz w:val="22"/>
          <w:szCs w:val="22"/>
          <w:lang w:eastAsia="en-GB"/>
        </w:rPr>
        <w:t xml:space="preserve">. Dr McCreery suggested the use of location names instead of </w:t>
      </w:r>
      <w:proofErr w:type="spellStart"/>
      <w:r w:rsidRPr="00B96A2A">
        <w:rPr>
          <w:rFonts w:ascii="Arial" w:eastAsia="Arial" w:hAnsi="Arial" w:cs="Arial"/>
          <w:snapToGrid/>
          <w:sz w:val="22"/>
          <w:szCs w:val="22"/>
          <w:lang w:eastAsia="en-GB"/>
        </w:rPr>
        <w:t>lat</w:t>
      </w:r>
      <w:proofErr w:type="spellEnd"/>
      <w:r w:rsidRPr="00B96A2A">
        <w:rPr>
          <w:rFonts w:ascii="Arial" w:eastAsia="Arial" w:hAnsi="Arial" w:cs="Arial"/>
          <w:snapToGrid/>
          <w:sz w:val="22"/>
          <w:szCs w:val="22"/>
          <w:lang w:eastAsia="en-GB"/>
        </w:rPr>
        <w:t>/</w:t>
      </w:r>
      <w:proofErr w:type="spellStart"/>
      <w:r w:rsidRPr="00B96A2A">
        <w:rPr>
          <w:rFonts w:ascii="Arial" w:eastAsia="Arial" w:hAnsi="Arial" w:cs="Arial"/>
          <w:snapToGrid/>
          <w:sz w:val="22"/>
          <w:szCs w:val="22"/>
          <w:lang w:eastAsia="en-GB"/>
        </w:rPr>
        <w:t>lon</w:t>
      </w:r>
      <w:proofErr w:type="spellEnd"/>
      <w:r w:rsidRPr="00B96A2A">
        <w:rPr>
          <w:rFonts w:ascii="Arial" w:eastAsia="Arial" w:hAnsi="Arial" w:cs="Arial"/>
          <w:snapToGrid/>
          <w:sz w:val="22"/>
          <w:szCs w:val="22"/>
          <w:lang w:eastAsia="en-GB"/>
        </w:rPr>
        <w:t xml:space="preserve"> information. Dr Vanacore underline the need for simplification of the language, if the target user is the public.  Mr Padmanabham pointed out that the template is currently addressing only earthquake generated tsunamis and inquired whether there are any plans to develop templates for non-seismic tsunamis. Dr Vanacore underlines that this template is only for guidance purposes and radio operators may not necessarily follow this guideline exactly. The following is the agreed format for the product/template for radio broadcasting.</w:t>
      </w:r>
    </w:p>
    <w:p w14:paraId="1BC0B8C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B7CA824" w14:textId="77777777" w:rsidR="00B96A2A" w:rsidRPr="00B96A2A" w:rsidRDefault="00B96A2A" w:rsidP="00B96A2A">
      <w:pPr>
        <w:tabs>
          <w:tab w:val="clear" w:pos="709"/>
        </w:tabs>
        <w:snapToGrid/>
        <w:jc w:val="center"/>
        <w:rPr>
          <w:rFonts w:ascii="Arial" w:eastAsia="Arial" w:hAnsi="Arial" w:cs="Arial"/>
          <w:snapToGrid/>
          <w:sz w:val="22"/>
          <w:szCs w:val="22"/>
          <w:lang w:eastAsia="en-GB"/>
        </w:rPr>
      </w:pPr>
      <w:r w:rsidRPr="00B96A2A">
        <w:rPr>
          <w:rFonts w:ascii="Arial" w:hAnsi="Arial"/>
          <w:noProof/>
          <w:lang w:eastAsia="en-GB"/>
        </w:rPr>
        <w:drawing>
          <wp:inline distT="0" distB="0" distL="0" distR="0" wp14:anchorId="45E210F4" wp14:editId="0CB13BFB">
            <wp:extent cx="5232694" cy="557181"/>
            <wp:effectExtent l="0" t="0" r="6350" b="0"/>
            <wp:docPr id="500280052" name="Picture 1" descr="A black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80052" name="Picture 1" descr="A black background with red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9231" cy="563201"/>
                    </a:xfrm>
                    <a:prstGeom prst="rect">
                      <a:avLst/>
                    </a:prstGeom>
                    <a:noFill/>
                  </pic:spPr>
                </pic:pic>
              </a:graphicData>
            </a:graphic>
          </wp:inline>
        </w:drawing>
      </w:r>
    </w:p>
    <w:p w14:paraId="084B59BA" w14:textId="77777777" w:rsidR="00B96A2A" w:rsidRPr="00B96A2A" w:rsidRDefault="00B96A2A" w:rsidP="00B96A2A">
      <w:pPr>
        <w:keepNext/>
        <w:keepLines/>
        <w:tabs>
          <w:tab w:val="clear" w:pos="709"/>
        </w:tabs>
        <w:snapToGrid/>
        <w:spacing w:before="360" w:after="80"/>
        <w:outlineLvl w:val="0"/>
        <w:rPr>
          <w:rFonts w:ascii="Arial" w:eastAsia="Arial" w:hAnsi="Arial" w:cs="Arial"/>
          <w:snapToGrid/>
          <w:color w:val="0F4761"/>
          <w:sz w:val="28"/>
          <w:szCs w:val="28"/>
          <w:lang w:eastAsia="en-GB"/>
        </w:rPr>
      </w:pPr>
      <w:bookmarkStart w:id="347" w:name="_Toc195258193"/>
      <w:r w:rsidRPr="00B96A2A">
        <w:rPr>
          <w:rFonts w:ascii="Arial" w:eastAsia="Arial" w:hAnsi="Arial" w:cs="Arial"/>
          <w:snapToGrid/>
          <w:color w:val="0F4761"/>
          <w:sz w:val="28"/>
          <w:szCs w:val="28"/>
          <w:lang w:eastAsia="en-GB"/>
        </w:rPr>
        <w:t>16. Recommendations and Report to the TOWS-WG</w:t>
      </w:r>
      <w:bookmarkEnd w:id="347"/>
    </w:p>
    <w:p w14:paraId="4DBDF695"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BA98CF2"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snapToGrid/>
          <w:sz w:val="22"/>
          <w:szCs w:val="22"/>
          <w:lang w:eastAsia="en-GB"/>
        </w:rPr>
        <w:t xml:space="preserve">The draft Recommendations to </w:t>
      </w:r>
      <w:proofErr w:type="spellStart"/>
      <w:r w:rsidRPr="00B96A2A">
        <w:rPr>
          <w:rFonts w:ascii="Arial" w:eastAsia="Arial" w:hAnsi="Arial" w:cs="Arial"/>
          <w:snapToGrid/>
          <w:sz w:val="22"/>
          <w:szCs w:val="22"/>
          <w:lang w:eastAsia="en-GB"/>
        </w:rPr>
        <w:t>to</w:t>
      </w:r>
      <w:proofErr w:type="spellEnd"/>
      <w:r w:rsidRPr="00B96A2A">
        <w:rPr>
          <w:rFonts w:ascii="Arial" w:eastAsia="Arial" w:hAnsi="Arial" w:cs="Arial"/>
          <w:snapToGrid/>
          <w:sz w:val="22"/>
          <w:szCs w:val="22"/>
          <w:lang w:eastAsia="en-GB"/>
        </w:rPr>
        <w:t xml:space="preserve"> the TOWS-WG-XIII are summarized below:</w:t>
      </w:r>
    </w:p>
    <w:p w14:paraId="0290D917" w14:textId="77777777" w:rsidR="00B96A2A" w:rsidRPr="00B96A2A" w:rsidRDefault="00B96A2A" w:rsidP="00B96A2A">
      <w:pPr>
        <w:tabs>
          <w:tab w:val="clear" w:pos="709"/>
        </w:tabs>
        <w:snapToGrid/>
        <w:spacing w:line="259" w:lineRule="auto"/>
        <w:jc w:val="both"/>
        <w:rPr>
          <w:rFonts w:ascii="Arial" w:eastAsia="Arial" w:hAnsi="Arial" w:cs="Arial"/>
          <w:b/>
          <w:snapToGrid/>
          <w:color w:val="C00000"/>
          <w:sz w:val="22"/>
          <w:szCs w:val="22"/>
          <w:lang w:eastAsia="en-GB"/>
        </w:rPr>
      </w:pPr>
    </w:p>
    <w:p w14:paraId="09E4EB2D" w14:textId="77777777" w:rsidR="00B96A2A" w:rsidRPr="00B96A2A" w:rsidRDefault="00B96A2A" w:rsidP="00B96A2A">
      <w:pPr>
        <w:tabs>
          <w:tab w:val="clear" w:pos="709"/>
        </w:tabs>
        <w:snapToGrid/>
        <w:spacing w:line="259" w:lineRule="auto"/>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[GSDD]</w:t>
      </w:r>
    </w:p>
    <w:p w14:paraId="2E1ECA15" w14:textId="77777777" w:rsidR="00B96A2A" w:rsidRPr="00B96A2A" w:rsidRDefault="00B96A2A" w:rsidP="00B96A2A">
      <w:pPr>
        <w:tabs>
          <w:tab w:val="clear" w:pos="709"/>
        </w:tabs>
        <w:snapToGrid/>
        <w:spacing w:line="259" w:lineRule="auto"/>
        <w:jc w:val="both"/>
        <w:rPr>
          <w:rFonts w:ascii="Arial" w:eastAsia="Arial" w:hAnsi="Arial" w:cs="Arial"/>
          <w:b/>
          <w:snapToGrid/>
          <w:color w:val="0070C0"/>
          <w:sz w:val="22"/>
          <w:szCs w:val="22"/>
          <w:lang w:eastAsia="en-GB"/>
        </w:rPr>
      </w:pPr>
    </w:p>
    <w:p w14:paraId="6E3B62F4" w14:textId="77777777" w:rsidR="00B96A2A" w:rsidRPr="00B96A2A" w:rsidRDefault="00B96A2A" w:rsidP="00B96A2A">
      <w:pPr>
        <w:tabs>
          <w:tab w:val="clear" w:pos="709"/>
        </w:tabs>
        <w:snapToGrid/>
        <w:spacing w:line="259" w:lineRule="auto"/>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Recommendation to the ICGs</w:t>
      </w:r>
    </w:p>
    <w:p w14:paraId="77502BB4"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59A980C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 xml:space="preserve">Notes </w:t>
      </w:r>
      <w:r w:rsidRPr="00B96A2A">
        <w:rPr>
          <w:rFonts w:ascii="Arial" w:eastAsia="Arial" w:hAnsi="Arial" w:cs="Arial"/>
          <w:snapToGrid/>
          <w:sz w:val="22"/>
          <w:szCs w:val="22"/>
          <w:lang w:eastAsia="en-GB"/>
        </w:rPr>
        <w:t>the revisions on the Global Service Definition Document (GSDD</w:t>
      </w:r>
      <w:proofErr w:type="gramStart"/>
      <w:r w:rsidRPr="00B96A2A">
        <w:rPr>
          <w:rFonts w:ascii="Arial" w:eastAsia="Arial" w:hAnsi="Arial" w:cs="Arial"/>
          <w:snapToGrid/>
          <w:sz w:val="22"/>
          <w:szCs w:val="22"/>
          <w:lang w:eastAsia="en-GB"/>
        </w:rPr>
        <w:t>);</w:t>
      </w:r>
      <w:proofErr w:type="gramEnd"/>
    </w:p>
    <w:p w14:paraId="56BDBA1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798EAD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 xml:space="preserve">Notes </w:t>
      </w:r>
      <w:r w:rsidRPr="00B96A2A">
        <w:rPr>
          <w:rFonts w:ascii="Arial" w:eastAsia="Arial" w:hAnsi="Arial" w:cs="Arial"/>
          <w:snapToGrid/>
          <w:sz w:val="22"/>
          <w:szCs w:val="22"/>
          <w:lang w:eastAsia="en-GB"/>
        </w:rPr>
        <w:t>that in some ICGs</w:t>
      </w:r>
      <w:r w:rsidRPr="00B96A2A">
        <w:rPr>
          <w:rFonts w:ascii="Arial" w:eastAsia="Arial" w:hAnsi="Arial" w:cs="Arial"/>
          <w:b/>
          <w:snapToGrid/>
          <w:sz w:val="22"/>
          <w:szCs w:val="22"/>
          <w:lang w:eastAsia="en-GB"/>
        </w:rPr>
        <w:t xml:space="preserve"> </w:t>
      </w:r>
      <w:r w:rsidRPr="00B96A2A">
        <w:rPr>
          <w:rFonts w:ascii="Arial" w:eastAsia="Arial" w:hAnsi="Arial" w:cs="Arial"/>
          <w:snapToGrid/>
          <w:sz w:val="22"/>
          <w:szCs w:val="22"/>
          <w:lang w:eastAsia="en-GB"/>
        </w:rPr>
        <w:t xml:space="preserve">segments of Area of Services are subject to the services of only one Tsunami Service </w:t>
      </w:r>
      <w:proofErr w:type="gramStart"/>
      <w:r w:rsidRPr="00B96A2A">
        <w:rPr>
          <w:rFonts w:ascii="Arial" w:eastAsia="Arial" w:hAnsi="Arial" w:cs="Arial"/>
          <w:snapToGrid/>
          <w:sz w:val="22"/>
          <w:szCs w:val="22"/>
          <w:lang w:eastAsia="en-GB"/>
        </w:rPr>
        <w:t>Provider;</w:t>
      </w:r>
      <w:proofErr w:type="gramEnd"/>
    </w:p>
    <w:p w14:paraId="5076BFF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6AFD3A7" w14:textId="77777777" w:rsidR="00B96A2A" w:rsidRPr="00B96A2A" w:rsidRDefault="00B96A2A" w:rsidP="00B96A2A">
      <w:pPr>
        <w:tabs>
          <w:tab w:val="clear" w:pos="709"/>
        </w:tabs>
        <w:snapToGrid/>
        <w:jc w:val="both"/>
        <w:rPr>
          <w:rFonts w:ascii="Arial" w:eastAsia="Arial" w:hAnsi="Arial" w:cs="Arial"/>
          <w:snapToGrid/>
          <w:sz w:val="22"/>
          <w:szCs w:val="22"/>
          <w:highlight w:val="white"/>
          <w:lang w:eastAsia="en-GB"/>
        </w:rPr>
      </w:pPr>
      <w:r w:rsidRPr="00B96A2A">
        <w:rPr>
          <w:rFonts w:ascii="Arial" w:eastAsia="Arial" w:hAnsi="Arial" w:cs="Arial"/>
          <w:b/>
          <w:snapToGrid/>
          <w:sz w:val="22"/>
          <w:szCs w:val="22"/>
          <w:lang w:eastAsia="en-GB"/>
        </w:rPr>
        <w:t>Further notes</w:t>
      </w:r>
      <w:r w:rsidRPr="00B96A2A">
        <w:rPr>
          <w:rFonts w:ascii="Arial" w:eastAsia="Arial" w:hAnsi="Arial" w:cs="Arial"/>
          <w:snapToGrid/>
          <w:sz w:val="22"/>
          <w:szCs w:val="22"/>
          <w:lang w:eastAsia="en-GB"/>
        </w:rPr>
        <w:t xml:space="preserve"> that the Global Area of Service map needs to be updated with the changes reflecting the </w:t>
      </w:r>
      <w:r w:rsidRPr="00B96A2A">
        <w:rPr>
          <w:rFonts w:ascii="Arial" w:eastAsia="Arial" w:hAnsi="Arial" w:cs="Arial"/>
          <w:snapToGrid/>
          <w:sz w:val="22"/>
          <w:szCs w:val="22"/>
          <w:highlight w:val="white"/>
          <w:lang w:eastAsia="en-GB"/>
        </w:rPr>
        <w:t xml:space="preserve">Interim Service Provided by the Central America Tsunami Advisory Center / Nicaraguan Institute for Territorial Studies (CATAC/INETER) for both ICG/PTWS and ICG/CARIBE-EWS and CATAC service area (coasts of Costa Rica, El Salvador, Honduras, Guatemala, Nicaragua, Panama) should also be </w:t>
      </w:r>
      <w:proofErr w:type="gramStart"/>
      <w:r w:rsidRPr="00B96A2A">
        <w:rPr>
          <w:rFonts w:ascii="Arial" w:eastAsia="Arial" w:hAnsi="Arial" w:cs="Arial"/>
          <w:snapToGrid/>
          <w:sz w:val="22"/>
          <w:szCs w:val="22"/>
          <w:highlight w:val="white"/>
          <w:lang w:eastAsia="en-GB"/>
        </w:rPr>
        <w:t>reflected;</w:t>
      </w:r>
      <w:proofErr w:type="gramEnd"/>
      <w:r w:rsidRPr="00B96A2A">
        <w:rPr>
          <w:rFonts w:ascii="Arial" w:eastAsia="Arial" w:hAnsi="Arial" w:cs="Arial"/>
          <w:snapToGrid/>
          <w:sz w:val="22"/>
          <w:szCs w:val="22"/>
          <w:highlight w:val="white"/>
          <w:lang w:eastAsia="en-GB"/>
        </w:rPr>
        <w:t xml:space="preserve"> </w:t>
      </w:r>
    </w:p>
    <w:p w14:paraId="525794D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4F600F5"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Recommends</w:t>
      </w:r>
      <w:r w:rsidRPr="00B96A2A">
        <w:rPr>
          <w:rFonts w:ascii="Arial" w:eastAsia="Arial" w:hAnsi="Arial" w:cs="Arial"/>
          <w:snapToGrid/>
          <w:sz w:val="22"/>
          <w:szCs w:val="22"/>
          <w:lang w:eastAsia="en-GB"/>
        </w:rPr>
        <w:t xml:space="preserve"> establishing arrangements among TSPs within each ICG to ensure that service provision is </w:t>
      </w:r>
      <w:proofErr w:type="gramStart"/>
      <w:r w:rsidRPr="00B96A2A">
        <w:rPr>
          <w:rFonts w:ascii="Arial" w:eastAsia="Arial" w:hAnsi="Arial" w:cs="Arial"/>
          <w:snapToGrid/>
          <w:sz w:val="22"/>
          <w:szCs w:val="22"/>
          <w:lang w:eastAsia="en-GB"/>
        </w:rPr>
        <w:t>ensured at all times</w:t>
      </w:r>
      <w:proofErr w:type="gramEnd"/>
      <w:r w:rsidRPr="00B96A2A">
        <w:rPr>
          <w:rFonts w:ascii="Arial" w:eastAsia="Arial" w:hAnsi="Arial" w:cs="Arial"/>
          <w:snapToGrid/>
          <w:sz w:val="22"/>
          <w:szCs w:val="22"/>
          <w:lang w:eastAsia="en-GB"/>
        </w:rPr>
        <w:t xml:space="preserve"> for the full Area of Service of the </w:t>
      </w:r>
      <w:proofErr w:type="gramStart"/>
      <w:r w:rsidRPr="00B96A2A">
        <w:rPr>
          <w:rFonts w:ascii="Arial" w:eastAsia="Arial" w:hAnsi="Arial" w:cs="Arial"/>
          <w:snapToGrid/>
          <w:sz w:val="22"/>
          <w:szCs w:val="22"/>
          <w:lang w:eastAsia="en-GB"/>
        </w:rPr>
        <w:t>ICG;</w:t>
      </w:r>
      <w:proofErr w:type="gramEnd"/>
    </w:p>
    <w:p w14:paraId="6C8F6C5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53C9F1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Recommends</w:t>
      </w:r>
      <w:r w:rsidRPr="00B96A2A">
        <w:rPr>
          <w:rFonts w:ascii="Arial" w:eastAsia="Arial" w:hAnsi="Arial" w:cs="Arial"/>
          <w:snapToGrid/>
          <w:sz w:val="22"/>
          <w:szCs w:val="22"/>
          <w:lang w:eastAsia="en-GB"/>
        </w:rPr>
        <w:t xml:space="preserve"> the approval of the revised GSDD with the updates as noted </w:t>
      </w:r>
      <w:proofErr w:type="gramStart"/>
      <w:r w:rsidRPr="00B96A2A">
        <w:rPr>
          <w:rFonts w:ascii="Arial" w:eastAsia="Arial" w:hAnsi="Arial" w:cs="Arial"/>
          <w:snapToGrid/>
          <w:sz w:val="22"/>
          <w:szCs w:val="22"/>
          <w:lang w:eastAsia="en-GB"/>
        </w:rPr>
        <w:t>above;</w:t>
      </w:r>
      <w:proofErr w:type="gramEnd"/>
    </w:p>
    <w:p w14:paraId="11B14DCB"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p>
    <w:p w14:paraId="5A021CF1" w14:textId="77777777" w:rsidR="00B96A2A" w:rsidRPr="00B96A2A" w:rsidRDefault="00000000" w:rsidP="00B96A2A">
      <w:pPr>
        <w:tabs>
          <w:tab w:val="clear" w:pos="709"/>
        </w:tabs>
        <w:snapToGrid/>
        <w:spacing w:line="259" w:lineRule="auto"/>
        <w:jc w:val="both"/>
        <w:rPr>
          <w:rFonts w:ascii="Arial" w:eastAsia="Arial" w:hAnsi="Arial" w:cs="Arial"/>
          <w:b/>
          <w:snapToGrid/>
          <w:color w:val="C00000"/>
          <w:sz w:val="22"/>
          <w:szCs w:val="22"/>
          <w:lang w:eastAsia="en-GB"/>
        </w:rPr>
      </w:pPr>
      <w:sdt>
        <w:sdtPr>
          <w:rPr>
            <w:rFonts w:eastAsia="Times New Roman"/>
            <w:snapToGrid/>
            <w:lang w:eastAsia="en-GB"/>
          </w:rPr>
          <w:tag w:val="goog_rdk_2"/>
          <w:id w:val="13809738"/>
        </w:sdtPr>
        <w:sdtContent/>
      </w:sdt>
      <w:r w:rsidR="00B96A2A" w:rsidRPr="00B96A2A">
        <w:rPr>
          <w:rFonts w:ascii="Arial" w:eastAsia="Arial" w:hAnsi="Arial" w:cs="Arial"/>
          <w:b/>
          <w:snapToGrid/>
          <w:color w:val="C00000"/>
          <w:sz w:val="22"/>
          <w:szCs w:val="22"/>
          <w:lang w:eastAsia="en-GB"/>
        </w:rPr>
        <w:t>[ALL CLEAR MESSAGES]</w:t>
      </w:r>
    </w:p>
    <w:p w14:paraId="1E1D2C3C" w14:textId="77777777" w:rsidR="00B96A2A" w:rsidRPr="00B96A2A" w:rsidRDefault="00B96A2A" w:rsidP="00B96A2A">
      <w:pPr>
        <w:tabs>
          <w:tab w:val="clear" w:pos="709"/>
        </w:tabs>
        <w:snapToGrid/>
        <w:spacing w:line="259" w:lineRule="auto"/>
        <w:jc w:val="both"/>
        <w:rPr>
          <w:rFonts w:ascii="Arial" w:eastAsia="Arial" w:hAnsi="Arial" w:cs="Arial"/>
          <w:b/>
          <w:snapToGrid/>
          <w:color w:val="0070C0"/>
          <w:sz w:val="22"/>
          <w:szCs w:val="22"/>
          <w:lang w:eastAsia="en-GB"/>
        </w:rPr>
      </w:pPr>
    </w:p>
    <w:p w14:paraId="6036B5BD" w14:textId="77777777" w:rsidR="00B96A2A" w:rsidRPr="00B96A2A" w:rsidRDefault="00B96A2A" w:rsidP="00B96A2A">
      <w:pPr>
        <w:tabs>
          <w:tab w:val="clear" w:pos="709"/>
        </w:tabs>
        <w:snapToGrid/>
        <w:spacing w:line="259" w:lineRule="auto"/>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Recommendation to the ICGs</w:t>
      </w:r>
    </w:p>
    <w:p w14:paraId="2DE6F97D"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10FE047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Noted</w:t>
      </w:r>
      <w:r w:rsidRPr="00B96A2A">
        <w:rPr>
          <w:rFonts w:ascii="Arial" w:eastAsia="Arial" w:hAnsi="Arial" w:cs="Arial"/>
          <w:snapToGrid/>
          <w:sz w:val="22"/>
          <w:szCs w:val="22"/>
          <w:lang w:eastAsia="en-GB"/>
        </w:rPr>
        <w:t xml:space="preserve"> the possible complexities and challenges which may arise from the </w:t>
      </w:r>
      <w:proofErr w:type="gramStart"/>
      <w:r w:rsidRPr="00B96A2A">
        <w:rPr>
          <w:rFonts w:ascii="Arial" w:eastAsia="Arial" w:hAnsi="Arial" w:cs="Arial"/>
          <w:snapToGrid/>
          <w:sz w:val="22"/>
          <w:szCs w:val="22"/>
          <w:lang w:eastAsia="en-GB"/>
        </w:rPr>
        <w:t>All Clear</w:t>
      </w:r>
      <w:proofErr w:type="gramEnd"/>
      <w:r w:rsidRPr="00B96A2A">
        <w:rPr>
          <w:rFonts w:ascii="Arial" w:eastAsia="Arial" w:hAnsi="Arial" w:cs="Arial"/>
          <w:snapToGrid/>
          <w:sz w:val="22"/>
          <w:szCs w:val="22"/>
          <w:lang w:eastAsia="en-GB"/>
        </w:rPr>
        <w:t xml:space="preserve"> messages issued by the NDMO/CPA of Member States and widely disseminated through social media, for others that may not have done so yet,</w:t>
      </w:r>
    </w:p>
    <w:p w14:paraId="7BFEB4E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56DFF8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Noted</w:t>
      </w:r>
      <w:r w:rsidRPr="00B96A2A">
        <w:rPr>
          <w:rFonts w:ascii="Arial" w:eastAsia="Arial" w:hAnsi="Arial" w:cs="Arial"/>
          <w:snapToGrid/>
          <w:sz w:val="22"/>
          <w:szCs w:val="22"/>
          <w:lang w:eastAsia="en-GB"/>
        </w:rPr>
        <w:t xml:space="preserve"> that ICGs could consider announcement of such messages only after the issuance of the final message of the TSP(s) </w:t>
      </w:r>
    </w:p>
    <w:p w14:paraId="17F14F3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F79A59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Recommended</w:t>
      </w:r>
      <w:r w:rsidRPr="00B96A2A">
        <w:rPr>
          <w:rFonts w:ascii="Arial" w:eastAsia="Arial" w:hAnsi="Arial" w:cs="Arial"/>
          <w:snapToGrid/>
          <w:sz w:val="22"/>
          <w:szCs w:val="22"/>
          <w:lang w:eastAsia="en-GB"/>
        </w:rPr>
        <w:t xml:space="preserve"> Member States NTWCs to work with national and local emergency management authorities to define the criteria for and institutions in charge of issuing the </w:t>
      </w:r>
      <w:proofErr w:type="gramStart"/>
      <w:r w:rsidRPr="00B96A2A">
        <w:rPr>
          <w:rFonts w:ascii="Arial" w:eastAsia="Arial" w:hAnsi="Arial" w:cs="Arial"/>
          <w:snapToGrid/>
          <w:sz w:val="22"/>
          <w:szCs w:val="22"/>
          <w:lang w:eastAsia="en-GB"/>
        </w:rPr>
        <w:t>All Clear</w:t>
      </w:r>
      <w:proofErr w:type="gramEnd"/>
      <w:r w:rsidRPr="00B96A2A">
        <w:rPr>
          <w:rFonts w:ascii="Arial" w:eastAsia="Arial" w:hAnsi="Arial" w:cs="Arial"/>
          <w:snapToGrid/>
          <w:sz w:val="22"/>
          <w:szCs w:val="22"/>
          <w:lang w:eastAsia="en-GB"/>
        </w:rPr>
        <w:t xml:space="preserve"> message, as recommended also in the GSDD </w:t>
      </w:r>
    </w:p>
    <w:p w14:paraId="18D33255"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p>
    <w:p w14:paraId="793EA67D"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[LANDSLIDE]</w:t>
      </w:r>
    </w:p>
    <w:p w14:paraId="738611C7"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7964EF9B"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r w:rsidRPr="00B96A2A">
        <w:rPr>
          <w:rFonts w:ascii="Arial" w:eastAsia="Arial" w:hAnsi="Arial" w:cs="Arial"/>
          <w:b/>
          <w:snapToGrid/>
          <w:color w:val="0070C0"/>
          <w:sz w:val="22"/>
          <w:szCs w:val="22"/>
          <w:lang w:eastAsia="en-GB"/>
        </w:rPr>
        <w:t>Recommendation to TT-TWO</w:t>
      </w:r>
    </w:p>
    <w:p w14:paraId="3049184D"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7F3619B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that tsunami risk can be considered on the rise </w:t>
      </w:r>
      <w:proofErr w:type="gramStart"/>
      <w:r w:rsidRPr="00B96A2A">
        <w:rPr>
          <w:rFonts w:ascii="Arial" w:eastAsia="Arial" w:hAnsi="Arial" w:cs="Arial"/>
          <w:snapToGrid/>
          <w:sz w:val="22"/>
          <w:szCs w:val="22"/>
          <w:lang w:eastAsia="en-GB"/>
        </w:rPr>
        <w:t>as a result of</w:t>
      </w:r>
      <w:proofErr w:type="gramEnd"/>
      <w:r w:rsidRPr="00B96A2A">
        <w:rPr>
          <w:rFonts w:ascii="Arial" w:eastAsia="Arial" w:hAnsi="Arial" w:cs="Arial"/>
          <w:snapToGrid/>
          <w:sz w:val="22"/>
          <w:szCs w:val="22"/>
          <w:lang w:eastAsia="en-GB"/>
        </w:rPr>
        <w:t xml:space="preserve"> landslides due to increased rainfall or glacial melting </w:t>
      </w:r>
      <w:proofErr w:type="gramStart"/>
      <w:r w:rsidRPr="00B96A2A">
        <w:rPr>
          <w:rFonts w:ascii="Arial" w:eastAsia="Arial" w:hAnsi="Arial" w:cs="Arial"/>
          <w:snapToGrid/>
          <w:sz w:val="22"/>
          <w:szCs w:val="22"/>
          <w:lang w:eastAsia="en-GB"/>
        </w:rPr>
        <w:t>as a result of</w:t>
      </w:r>
      <w:proofErr w:type="gramEnd"/>
      <w:r w:rsidRPr="00B96A2A">
        <w:rPr>
          <w:rFonts w:ascii="Arial" w:eastAsia="Arial" w:hAnsi="Arial" w:cs="Arial"/>
          <w:snapToGrid/>
          <w:sz w:val="22"/>
          <w:szCs w:val="22"/>
          <w:lang w:eastAsia="en-GB"/>
        </w:rPr>
        <w:t xml:space="preserve"> global warming/climate </w:t>
      </w:r>
      <w:proofErr w:type="gramStart"/>
      <w:r w:rsidRPr="00B96A2A">
        <w:rPr>
          <w:rFonts w:ascii="Arial" w:eastAsia="Arial" w:hAnsi="Arial" w:cs="Arial"/>
          <w:snapToGrid/>
          <w:sz w:val="22"/>
          <w:szCs w:val="22"/>
          <w:lang w:eastAsia="en-GB"/>
        </w:rPr>
        <w:t>change;</w:t>
      </w:r>
      <w:proofErr w:type="gramEnd"/>
    </w:p>
    <w:p w14:paraId="59854FD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A555E65"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Further notes</w:t>
      </w:r>
      <w:r w:rsidRPr="00B96A2A">
        <w:rPr>
          <w:rFonts w:ascii="Arial" w:eastAsia="Arial" w:hAnsi="Arial" w:cs="Arial"/>
          <w:snapToGrid/>
          <w:sz w:val="22"/>
          <w:szCs w:val="22"/>
          <w:lang w:eastAsia="en-GB"/>
        </w:rPr>
        <w:t xml:space="preserve"> that tsunamis generated by landslides (in a non-volcanic setting) remains as a challenge for the Global Tsunami Warning and Mitigation System (</w:t>
      </w:r>
      <w:sdt>
        <w:sdtPr>
          <w:rPr>
            <w:rFonts w:eastAsia="Times New Roman"/>
            <w:snapToGrid/>
            <w:lang w:eastAsia="en-GB"/>
          </w:rPr>
          <w:tag w:val="goog_rdk_3"/>
          <w:id w:val="-145293843"/>
        </w:sdtPr>
        <w:sdtContent/>
      </w:sdt>
      <w:r w:rsidRPr="00B96A2A">
        <w:rPr>
          <w:rFonts w:ascii="Arial" w:eastAsia="Arial" w:hAnsi="Arial" w:cs="Arial"/>
          <w:snapToGrid/>
          <w:sz w:val="22"/>
          <w:szCs w:val="22"/>
          <w:lang w:eastAsia="en-GB"/>
        </w:rPr>
        <w:t>GTWMS</w:t>
      </w:r>
      <w:proofErr w:type="gramStart"/>
      <w:r w:rsidRPr="00B96A2A">
        <w:rPr>
          <w:rFonts w:ascii="Arial" w:eastAsia="Arial" w:hAnsi="Arial" w:cs="Arial"/>
          <w:snapToGrid/>
          <w:sz w:val="22"/>
          <w:szCs w:val="22"/>
          <w:lang w:eastAsia="en-GB"/>
        </w:rPr>
        <w:t>);</w:t>
      </w:r>
      <w:proofErr w:type="gramEnd"/>
    </w:p>
    <w:p w14:paraId="681340B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5A6F8F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Recommends</w:t>
      </w:r>
      <w:r w:rsidRPr="00B96A2A">
        <w:rPr>
          <w:rFonts w:ascii="Arial" w:eastAsia="Arial" w:hAnsi="Arial" w:cs="Arial"/>
          <w:snapToGrid/>
          <w:sz w:val="22"/>
          <w:szCs w:val="22"/>
          <w:lang w:eastAsia="en-GB"/>
        </w:rPr>
        <w:t xml:space="preserve"> the Task Team on Tsunami Watch Operations to include tsunamis generated by the submarine and subaerial landslides in its work programme and engage with the landslide hazard and early-warning scientific and operational community to address the requirements of the first objective of the ODTP to develop the warning systems’ capability to issue actionable and timely tsunami warnings for tsunamis from all identified sources to 100 percent of coasts at </w:t>
      </w:r>
      <w:proofErr w:type="gramStart"/>
      <w:r w:rsidRPr="00B96A2A">
        <w:rPr>
          <w:rFonts w:ascii="Arial" w:eastAsia="Arial" w:hAnsi="Arial" w:cs="Arial"/>
          <w:snapToGrid/>
          <w:sz w:val="22"/>
          <w:szCs w:val="22"/>
          <w:lang w:eastAsia="en-GB"/>
        </w:rPr>
        <w:t>risk;</w:t>
      </w:r>
      <w:proofErr w:type="gramEnd"/>
    </w:p>
    <w:p w14:paraId="31A9C398"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p>
    <w:p w14:paraId="58C169F8"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[TNC/TWFP/NTWC CONTACT INFO]</w:t>
      </w:r>
    </w:p>
    <w:p w14:paraId="0F0B4170"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3DDA2035"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Request to the Secretariat</w:t>
      </w:r>
    </w:p>
    <w:p w14:paraId="741265C5"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00D7329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that Member States does not necessarily follow the guidance on the updates of TWFP and NTWC contact information as provided through </w:t>
      </w:r>
      <w:hyperlink r:id="rId114">
        <w:r w:rsidRPr="00B96A2A">
          <w:rPr>
            <w:rFonts w:ascii="Arial" w:eastAsia="Arial" w:hAnsi="Arial" w:cs="Arial"/>
            <w:snapToGrid/>
            <w:sz w:val="22"/>
            <w:szCs w:val="22"/>
            <w:lang w:eastAsia="en-GB"/>
          </w:rPr>
          <w:t>CL-2558</w:t>
        </w:r>
      </w:hyperlink>
      <w:r w:rsidRPr="00B96A2A">
        <w:rPr>
          <w:rFonts w:ascii="Arial" w:eastAsia="Arial" w:hAnsi="Arial" w:cs="Arial"/>
          <w:snapToGrid/>
          <w:sz w:val="22"/>
          <w:szCs w:val="22"/>
          <w:lang w:eastAsia="en-GB"/>
        </w:rPr>
        <w:t> and </w:t>
      </w:r>
      <w:hyperlink r:id="rId115">
        <w:r w:rsidRPr="00B96A2A">
          <w:rPr>
            <w:rFonts w:ascii="Arial" w:eastAsia="Arial" w:hAnsi="Arial" w:cs="Arial"/>
            <w:snapToGrid/>
            <w:sz w:val="22"/>
            <w:szCs w:val="22"/>
            <w:lang w:eastAsia="en-GB"/>
          </w:rPr>
          <w:t>CL-2563</w:t>
        </w:r>
      </w:hyperlink>
      <w:r w:rsidRPr="00B96A2A">
        <w:rPr>
          <w:rFonts w:ascii="Arial" w:eastAsia="Arial" w:hAnsi="Arial" w:cs="Arial"/>
          <w:snapToGrid/>
          <w:sz w:val="22"/>
          <w:szCs w:val="22"/>
          <w:lang w:eastAsia="en-GB"/>
        </w:rPr>
        <w:t xml:space="preserve"> issued in 2015;</w:t>
      </w:r>
    </w:p>
    <w:p w14:paraId="5ABBFC8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8D4B48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Further</w:t>
      </w:r>
      <w:r w:rsidRPr="00B96A2A">
        <w:rPr>
          <w:rFonts w:ascii="Arial" w:eastAsia="Arial" w:hAnsi="Arial" w:cs="Arial"/>
          <w:snapToGrid/>
          <w:sz w:val="22"/>
          <w:szCs w:val="22"/>
          <w:lang w:eastAsia="en-GB"/>
        </w:rPr>
        <w:t xml:space="preserve"> notes the developments since 2015, such as the cessation of fax dissemination as announced through the CL-3006, but also inclusion of additional roles that have been defined in some ICGs (such as Tsunami Ready Focal Point (TRFP) in the IOTWMS), which does not necessarily exist (yet) in other </w:t>
      </w:r>
      <w:proofErr w:type="gramStart"/>
      <w:r w:rsidRPr="00B96A2A">
        <w:rPr>
          <w:rFonts w:ascii="Arial" w:eastAsia="Arial" w:hAnsi="Arial" w:cs="Arial"/>
          <w:snapToGrid/>
          <w:sz w:val="22"/>
          <w:szCs w:val="22"/>
          <w:lang w:eastAsia="en-GB"/>
        </w:rPr>
        <w:t>ICGs;</w:t>
      </w:r>
      <w:proofErr w:type="gramEnd"/>
    </w:p>
    <w:p w14:paraId="131F1F73"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C06486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Recognizes</w:t>
      </w:r>
      <w:r w:rsidRPr="00B96A2A">
        <w:rPr>
          <w:rFonts w:ascii="Arial" w:eastAsia="Arial" w:hAnsi="Arial" w:cs="Arial"/>
          <w:snapToGrid/>
          <w:sz w:val="22"/>
          <w:szCs w:val="22"/>
          <w:lang w:eastAsia="en-GB"/>
        </w:rPr>
        <w:t xml:space="preserve"> the need to revise, simplify and standardise the format and the methodology of collecting TNC/TWFP/NTWC/TRFP contact information, which is essential not only for the IOC's tsunami programme, but for the operations of Tsunami Service Providers to ensure that their messages reach the </w:t>
      </w:r>
      <w:proofErr w:type="gramStart"/>
      <w:r w:rsidRPr="00B96A2A">
        <w:rPr>
          <w:rFonts w:ascii="Arial" w:eastAsia="Arial" w:hAnsi="Arial" w:cs="Arial"/>
          <w:snapToGrid/>
          <w:sz w:val="22"/>
          <w:szCs w:val="22"/>
          <w:lang w:eastAsia="en-GB"/>
        </w:rPr>
        <w:t>end-users;</w:t>
      </w:r>
      <w:proofErr w:type="gramEnd"/>
    </w:p>
    <w:p w14:paraId="0815930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3EB56E8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Requests</w:t>
      </w:r>
      <w:r w:rsidRPr="00B96A2A">
        <w:rPr>
          <w:rFonts w:ascii="Arial" w:eastAsia="Arial" w:hAnsi="Arial" w:cs="Arial"/>
          <w:snapToGrid/>
          <w:sz w:val="22"/>
          <w:szCs w:val="22"/>
          <w:lang w:eastAsia="en-GB"/>
        </w:rPr>
        <w:t xml:space="preserve"> the Secretariat in close collaboration with the TT-TWO and TT-DMP to revise, simplify and standardise the format and the methodology of collecting TNC/TWFP/NTWC contact information, and present its work at the next Joint TT-DMP and TT-TWO </w:t>
      </w:r>
      <w:proofErr w:type="gramStart"/>
      <w:r w:rsidRPr="00B96A2A">
        <w:rPr>
          <w:rFonts w:ascii="Arial" w:eastAsia="Arial" w:hAnsi="Arial" w:cs="Arial"/>
          <w:snapToGrid/>
          <w:sz w:val="22"/>
          <w:szCs w:val="22"/>
          <w:lang w:eastAsia="en-GB"/>
        </w:rPr>
        <w:t>Meeting;</w:t>
      </w:r>
      <w:proofErr w:type="gramEnd"/>
    </w:p>
    <w:p w14:paraId="515EBAE3"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p>
    <w:p w14:paraId="3A3481FD"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lastRenderedPageBreak/>
        <w:t>[MARITIME PRODUCTS]</w:t>
      </w:r>
    </w:p>
    <w:p w14:paraId="0B6B937E"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3905EE50"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Recommendation to ICGs</w:t>
      </w:r>
    </w:p>
    <w:p w14:paraId="33944CFA"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5B59EB7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the continuous engagement of the TT-TWO in developing specialized TSP bulletins for the maritime community in consultation with the International Hydrographic Organisation (IHO) Sub-Committee on the World-Wide Navigational Warning Service (WWNWS-SC</w:t>
      </w:r>
      <w:proofErr w:type="gramStart"/>
      <w:r w:rsidRPr="00B96A2A">
        <w:rPr>
          <w:rFonts w:ascii="Arial" w:eastAsia="Arial" w:hAnsi="Arial" w:cs="Arial"/>
          <w:snapToGrid/>
          <w:sz w:val="22"/>
          <w:szCs w:val="22"/>
          <w:lang w:eastAsia="en-GB"/>
        </w:rPr>
        <w:t>);</w:t>
      </w:r>
      <w:proofErr w:type="gramEnd"/>
    </w:p>
    <w:p w14:paraId="23AAE323"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DD8845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with appreciation the trial transmission of a dummy message from the PTWC to the NAVAREA coordinators directly or through the NTWCs as part of PTWS Exercise Pacific Wave 2024 on 5 November </w:t>
      </w:r>
      <w:proofErr w:type="gramStart"/>
      <w:r w:rsidRPr="00B96A2A">
        <w:rPr>
          <w:rFonts w:ascii="Arial" w:eastAsia="Arial" w:hAnsi="Arial" w:cs="Arial"/>
          <w:snapToGrid/>
          <w:sz w:val="22"/>
          <w:szCs w:val="22"/>
          <w:lang w:eastAsia="en-GB"/>
        </w:rPr>
        <w:t>2024;</w:t>
      </w:r>
      <w:proofErr w:type="gramEnd"/>
    </w:p>
    <w:p w14:paraId="2658DFA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3A890DC4" w14:textId="77777777" w:rsidR="00B96A2A" w:rsidRPr="00B96A2A" w:rsidRDefault="00000000" w:rsidP="00B96A2A">
      <w:pPr>
        <w:tabs>
          <w:tab w:val="clear" w:pos="709"/>
        </w:tabs>
        <w:snapToGrid/>
        <w:jc w:val="both"/>
        <w:rPr>
          <w:rFonts w:ascii="Arial" w:eastAsia="Arial" w:hAnsi="Arial" w:cs="Arial"/>
          <w:snapToGrid/>
          <w:sz w:val="22"/>
          <w:szCs w:val="22"/>
          <w:lang w:eastAsia="en-GB"/>
        </w:rPr>
      </w:pPr>
      <w:sdt>
        <w:sdtPr>
          <w:rPr>
            <w:rFonts w:eastAsia="Times New Roman"/>
            <w:snapToGrid/>
            <w:lang w:eastAsia="en-GB"/>
          </w:rPr>
          <w:tag w:val="goog_rdk_4"/>
          <w:id w:val="1820456455"/>
        </w:sdtPr>
        <w:sdtContent/>
      </w:sdt>
      <w:r w:rsidR="00B96A2A" w:rsidRPr="00B96A2A">
        <w:rPr>
          <w:rFonts w:ascii="Arial" w:eastAsia="Arial" w:hAnsi="Arial" w:cs="Arial"/>
          <w:b/>
          <w:snapToGrid/>
          <w:sz w:val="22"/>
          <w:szCs w:val="22"/>
          <w:lang w:eastAsia="en-GB"/>
        </w:rPr>
        <w:t>Notes</w:t>
      </w:r>
      <w:r w:rsidR="00B96A2A" w:rsidRPr="00B96A2A">
        <w:rPr>
          <w:rFonts w:ascii="Arial" w:eastAsia="Arial" w:hAnsi="Arial" w:cs="Arial"/>
          <w:snapToGrid/>
          <w:sz w:val="22"/>
          <w:szCs w:val="22"/>
          <w:lang w:eastAsia="en-GB"/>
        </w:rPr>
        <w:t xml:space="preserve"> that JATWC(Australia), ITEWC(India) and CEA as TSPs of the IOTWMS and NEAMTWS, respectively, have developed the required </w:t>
      </w:r>
      <w:proofErr w:type="gramStart"/>
      <w:r w:rsidR="00B96A2A" w:rsidRPr="00B96A2A">
        <w:rPr>
          <w:rFonts w:ascii="Arial" w:eastAsia="Arial" w:hAnsi="Arial" w:cs="Arial"/>
          <w:snapToGrid/>
          <w:sz w:val="22"/>
          <w:szCs w:val="22"/>
          <w:lang w:eastAsia="en-GB"/>
        </w:rPr>
        <w:t>capabilities;</w:t>
      </w:r>
      <w:proofErr w:type="gramEnd"/>
    </w:p>
    <w:p w14:paraId="36E1FAF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665724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Recommends</w:t>
      </w:r>
      <w:r w:rsidRPr="00B96A2A">
        <w:rPr>
          <w:rFonts w:ascii="Arial" w:eastAsia="Arial" w:hAnsi="Arial" w:cs="Arial"/>
          <w:snapToGrid/>
          <w:sz w:val="22"/>
          <w:szCs w:val="22"/>
          <w:lang w:eastAsia="en-GB"/>
        </w:rPr>
        <w:t xml:space="preserve"> that dissemination of the specialized TSP bulletins for the maritime community is tested in CARIBE-EWS, IOTWMS and NEAMTWS by at least one TSP either through the planned communication tests or tsunami </w:t>
      </w:r>
      <w:proofErr w:type="gramStart"/>
      <w:r w:rsidRPr="00B96A2A">
        <w:rPr>
          <w:rFonts w:ascii="Arial" w:eastAsia="Arial" w:hAnsi="Arial" w:cs="Arial"/>
          <w:snapToGrid/>
          <w:sz w:val="22"/>
          <w:szCs w:val="22"/>
          <w:lang w:eastAsia="en-GB"/>
        </w:rPr>
        <w:t>exercises;</w:t>
      </w:r>
      <w:proofErr w:type="gramEnd"/>
    </w:p>
    <w:p w14:paraId="4CDDEF8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939D5F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Further recommends</w:t>
      </w:r>
      <w:r w:rsidRPr="00B96A2A">
        <w:rPr>
          <w:rFonts w:ascii="Arial" w:eastAsia="Arial" w:hAnsi="Arial" w:cs="Arial"/>
          <w:snapToGrid/>
          <w:sz w:val="22"/>
          <w:szCs w:val="22"/>
          <w:lang w:eastAsia="en-GB"/>
        </w:rPr>
        <w:t xml:space="preserve"> that full operational implementation of such services by at least one TSP in each ICG takes place in </w:t>
      </w:r>
      <w:proofErr w:type="gramStart"/>
      <w:r w:rsidRPr="00B96A2A">
        <w:rPr>
          <w:rFonts w:ascii="Arial" w:eastAsia="Arial" w:hAnsi="Arial" w:cs="Arial"/>
          <w:snapToGrid/>
          <w:sz w:val="22"/>
          <w:szCs w:val="22"/>
          <w:lang w:eastAsia="en-GB"/>
        </w:rPr>
        <w:t>2025;</w:t>
      </w:r>
      <w:proofErr w:type="gramEnd"/>
    </w:p>
    <w:p w14:paraId="3AD17397"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104C3735"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[FORECASTING METHODS]</w:t>
      </w:r>
    </w:p>
    <w:p w14:paraId="56EEAD71"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1D80A2F1"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Recommendation to ICGs</w:t>
      </w:r>
    </w:p>
    <w:p w14:paraId="6AF7B7B0"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3C4EC75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the continuous need for more accurate and precise tsunami forecasts, especially in the complex tectonic </w:t>
      </w:r>
      <w:proofErr w:type="gramStart"/>
      <w:r w:rsidRPr="00B96A2A">
        <w:rPr>
          <w:rFonts w:ascii="Arial" w:eastAsia="Arial" w:hAnsi="Arial" w:cs="Arial"/>
          <w:snapToGrid/>
          <w:sz w:val="22"/>
          <w:szCs w:val="22"/>
          <w:lang w:eastAsia="en-GB"/>
        </w:rPr>
        <w:t>context;</w:t>
      </w:r>
      <w:proofErr w:type="gramEnd"/>
    </w:p>
    <w:p w14:paraId="3542E7F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2C9DCE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the progress made within the ICG/NEAMTWS investigation and possible adoption of the tsunami probabilistic forecasting method by TSPs in NEAMTWS, which may represent an improvement over the method in use with the goal of reducing uncertainty and false alarms, particularly the forecasting methods that consider tsunami numerical modelling and uncertainty </w:t>
      </w:r>
      <w:proofErr w:type="gramStart"/>
      <w:r w:rsidRPr="00B96A2A">
        <w:rPr>
          <w:rFonts w:ascii="Arial" w:eastAsia="Arial" w:hAnsi="Arial" w:cs="Arial"/>
          <w:snapToGrid/>
          <w:sz w:val="22"/>
          <w:szCs w:val="22"/>
          <w:lang w:eastAsia="en-GB"/>
        </w:rPr>
        <w:t>quantification;</w:t>
      </w:r>
      <w:proofErr w:type="gramEnd"/>
    </w:p>
    <w:p w14:paraId="752B57A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ACEE9E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Strongly recommends</w:t>
      </w:r>
      <w:r w:rsidRPr="00B96A2A">
        <w:rPr>
          <w:rFonts w:ascii="Arial" w:eastAsia="Arial" w:hAnsi="Arial" w:cs="Arial"/>
          <w:snapToGrid/>
          <w:sz w:val="22"/>
          <w:szCs w:val="22"/>
          <w:lang w:eastAsia="en-GB"/>
        </w:rPr>
        <w:t xml:space="preserve"> continuation of the investigation and the possibility to adopt tsunami forecasting methods, including probabilistic methodologies, toward impact-based forecasting, that could also post-disaster response, recovery and needs assessment </w:t>
      </w:r>
      <w:proofErr w:type="gramStart"/>
      <w:r w:rsidRPr="00B96A2A">
        <w:rPr>
          <w:rFonts w:ascii="Arial" w:eastAsia="Arial" w:hAnsi="Arial" w:cs="Arial"/>
          <w:snapToGrid/>
          <w:sz w:val="22"/>
          <w:szCs w:val="22"/>
          <w:lang w:eastAsia="en-GB"/>
        </w:rPr>
        <w:t>processes;</w:t>
      </w:r>
      <w:proofErr w:type="gramEnd"/>
    </w:p>
    <w:p w14:paraId="0EEF1D6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647C8E5"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[OFFSHORE TSUNAMI DETECTION AND OBSERVATIONS]</w:t>
      </w:r>
    </w:p>
    <w:p w14:paraId="0AF2AFD1"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1B4FA85D"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Recommendation to Member States</w:t>
      </w:r>
    </w:p>
    <w:p w14:paraId="59FABD8B"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03465B7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the critical importance of offshore seismic and sea-level detection and observation instrumentation, such as DART/GPS buoys or cabled systems (e.g. SMART Cables</w:t>
      </w:r>
      <w:proofErr w:type="gramStart"/>
      <w:r w:rsidRPr="00B96A2A">
        <w:rPr>
          <w:rFonts w:ascii="Arial" w:eastAsia="Arial" w:hAnsi="Arial" w:cs="Arial"/>
          <w:snapToGrid/>
          <w:sz w:val="22"/>
          <w:szCs w:val="22"/>
          <w:lang w:eastAsia="en-GB"/>
        </w:rPr>
        <w:t>);</w:t>
      </w:r>
      <w:proofErr w:type="gramEnd"/>
    </w:p>
    <w:p w14:paraId="3D2F68C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ED45D6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Further notes</w:t>
      </w:r>
      <w:r w:rsidRPr="00B96A2A">
        <w:rPr>
          <w:rFonts w:ascii="Arial" w:eastAsia="Arial" w:hAnsi="Arial" w:cs="Arial"/>
          <w:snapToGrid/>
          <w:sz w:val="22"/>
          <w:szCs w:val="22"/>
          <w:lang w:eastAsia="en-GB"/>
        </w:rPr>
        <w:t xml:space="preserve"> the progress made in the ongoing project of the CAM SMART cable off Portugal, TAM </w:t>
      </w:r>
      <w:proofErr w:type="spellStart"/>
      <w:r w:rsidRPr="00B96A2A">
        <w:rPr>
          <w:rFonts w:ascii="Arial" w:eastAsia="Arial" w:hAnsi="Arial" w:cs="Arial"/>
          <w:snapToGrid/>
          <w:sz w:val="22"/>
          <w:szCs w:val="22"/>
          <w:lang w:eastAsia="en-GB"/>
        </w:rPr>
        <w:t>TAM</w:t>
      </w:r>
      <w:proofErr w:type="spellEnd"/>
      <w:r w:rsidRPr="00B96A2A">
        <w:rPr>
          <w:rFonts w:ascii="Arial" w:eastAsia="Arial" w:hAnsi="Arial" w:cs="Arial"/>
          <w:snapToGrid/>
          <w:sz w:val="22"/>
          <w:szCs w:val="22"/>
          <w:lang w:eastAsia="en-GB"/>
        </w:rPr>
        <w:t xml:space="preserve"> SMART cable between New Caledonia and Vanuatu, undersea cable installations being deployed by Indonesia and </w:t>
      </w:r>
      <w:proofErr w:type="gramStart"/>
      <w:r w:rsidRPr="00B96A2A">
        <w:rPr>
          <w:rFonts w:ascii="Arial" w:eastAsia="Arial" w:hAnsi="Arial" w:cs="Arial"/>
          <w:snapToGrid/>
          <w:sz w:val="22"/>
          <w:szCs w:val="22"/>
          <w:lang w:eastAsia="en-GB"/>
        </w:rPr>
        <w:t>India;</w:t>
      </w:r>
      <w:proofErr w:type="gramEnd"/>
    </w:p>
    <w:p w14:paraId="140F727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FA5F38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with appreciation the deployment of the Western Ionian Sea Infrastructure in 2023 in the Mediterranean, and the plans for deployment of 2 tsunami buoys in the </w:t>
      </w:r>
      <w:proofErr w:type="gramStart"/>
      <w:r w:rsidRPr="00B96A2A">
        <w:rPr>
          <w:rFonts w:ascii="Arial" w:eastAsia="Arial" w:hAnsi="Arial" w:cs="Arial"/>
          <w:snapToGrid/>
          <w:sz w:val="22"/>
          <w:szCs w:val="22"/>
          <w:lang w:eastAsia="en-GB"/>
        </w:rPr>
        <w:t>Ionian sea</w:t>
      </w:r>
      <w:proofErr w:type="gramEnd"/>
      <w:r w:rsidRPr="00B96A2A">
        <w:rPr>
          <w:rFonts w:ascii="Arial" w:eastAsia="Arial" w:hAnsi="Arial" w:cs="Arial"/>
          <w:snapToGrid/>
          <w:sz w:val="22"/>
          <w:szCs w:val="22"/>
          <w:lang w:eastAsia="en-GB"/>
        </w:rPr>
        <w:t xml:space="preserve"> during Summer </w:t>
      </w:r>
      <w:proofErr w:type="gramStart"/>
      <w:r w:rsidRPr="00B96A2A">
        <w:rPr>
          <w:rFonts w:ascii="Arial" w:eastAsia="Arial" w:hAnsi="Arial" w:cs="Arial"/>
          <w:snapToGrid/>
          <w:sz w:val="22"/>
          <w:szCs w:val="22"/>
          <w:lang w:eastAsia="en-GB"/>
        </w:rPr>
        <w:t>2025;</w:t>
      </w:r>
      <w:proofErr w:type="gramEnd"/>
    </w:p>
    <w:p w14:paraId="0C7B53EA"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724EE663"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lastRenderedPageBreak/>
        <w:t>Recommends</w:t>
      </w:r>
      <w:r w:rsidRPr="00B96A2A">
        <w:rPr>
          <w:rFonts w:ascii="Arial" w:eastAsia="Arial" w:hAnsi="Arial" w:cs="Arial"/>
          <w:snapToGrid/>
          <w:sz w:val="22"/>
          <w:szCs w:val="22"/>
          <w:lang w:eastAsia="en-GB"/>
        </w:rPr>
        <w:t xml:space="preserve"> Member States to invest more in such offshore measurement systems, where possible with multi-hazard observational capabilities, serving the needs of earthquake seismology, meteorology and oceanography, where </w:t>
      </w:r>
      <w:proofErr w:type="gramStart"/>
      <w:r w:rsidRPr="00B96A2A">
        <w:rPr>
          <w:rFonts w:ascii="Arial" w:eastAsia="Arial" w:hAnsi="Arial" w:cs="Arial"/>
          <w:snapToGrid/>
          <w:sz w:val="22"/>
          <w:szCs w:val="22"/>
          <w:lang w:eastAsia="en-GB"/>
        </w:rPr>
        <w:t>possible;</w:t>
      </w:r>
      <w:proofErr w:type="gramEnd"/>
    </w:p>
    <w:p w14:paraId="57E94E83"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C75DCD2"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[THREAT LEVELS]</w:t>
      </w:r>
    </w:p>
    <w:p w14:paraId="40A526FA"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1AD511A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with appreciation the ICG/NEAMTWS XIX agreement to adopt the threat levels according to the revised draft version of the Global Service Definition Document (GSDD</w:t>
      </w:r>
      <w:proofErr w:type="gramStart"/>
      <w:r w:rsidRPr="00B96A2A">
        <w:rPr>
          <w:rFonts w:ascii="Arial" w:eastAsia="Arial" w:hAnsi="Arial" w:cs="Arial"/>
          <w:snapToGrid/>
          <w:sz w:val="22"/>
          <w:szCs w:val="22"/>
          <w:lang w:eastAsia="en-GB"/>
        </w:rPr>
        <w:t>);</w:t>
      </w:r>
      <w:proofErr w:type="gramEnd"/>
    </w:p>
    <w:p w14:paraId="7B11E19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78076B9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Further</w:t>
      </w:r>
      <w:r w:rsidRPr="00B96A2A">
        <w:rPr>
          <w:rFonts w:ascii="Arial" w:eastAsia="Arial" w:hAnsi="Arial" w:cs="Arial"/>
          <w:snapToGrid/>
          <w:sz w:val="22"/>
          <w:szCs w:val="22"/>
          <w:lang w:eastAsia="en-GB"/>
        </w:rPr>
        <w:t xml:space="preserve"> notes that preparation of a template for the implementation of these threat levels by the NEAMTWS </w:t>
      </w:r>
      <w:proofErr w:type="gramStart"/>
      <w:r w:rsidRPr="00B96A2A">
        <w:rPr>
          <w:rFonts w:ascii="Arial" w:eastAsia="Arial" w:hAnsi="Arial" w:cs="Arial"/>
          <w:snapToGrid/>
          <w:sz w:val="22"/>
          <w:szCs w:val="22"/>
          <w:lang w:eastAsia="en-GB"/>
        </w:rPr>
        <w:t>TSPs;</w:t>
      </w:r>
      <w:proofErr w:type="gramEnd"/>
      <w:r w:rsidRPr="00B96A2A">
        <w:rPr>
          <w:rFonts w:ascii="Arial" w:eastAsia="Arial" w:hAnsi="Arial" w:cs="Arial"/>
          <w:snapToGrid/>
          <w:sz w:val="22"/>
          <w:szCs w:val="22"/>
          <w:lang w:eastAsia="en-GB"/>
        </w:rPr>
        <w:t xml:space="preserve"> </w:t>
      </w:r>
    </w:p>
    <w:p w14:paraId="4FB759B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7F8D369"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[RADIO MESSAGES]</w:t>
      </w:r>
    </w:p>
    <w:p w14:paraId="2FD34381"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56D175F7"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Recommendation to the Secretariat</w:t>
      </w:r>
    </w:p>
    <w:p w14:paraId="3CA77739"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7F958E2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the considerations and review of the TT-TWO on the basic tsunami warning product/template for use in radio developed by the ICG/CARIBE </w:t>
      </w:r>
      <w:proofErr w:type="gramStart"/>
      <w:r w:rsidRPr="00B96A2A">
        <w:rPr>
          <w:rFonts w:ascii="Arial" w:eastAsia="Arial" w:hAnsi="Arial" w:cs="Arial"/>
          <w:snapToGrid/>
          <w:sz w:val="22"/>
          <w:szCs w:val="22"/>
          <w:lang w:eastAsia="en-GB"/>
        </w:rPr>
        <w:t>EWS;</w:t>
      </w:r>
      <w:proofErr w:type="gramEnd"/>
    </w:p>
    <w:p w14:paraId="277BAD8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EBD375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Recommends</w:t>
      </w:r>
      <w:r w:rsidRPr="00B96A2A">
        <w:rPr>
          <w:rFonts w:ascii="Arial" w:eastAsia="Arial" w:hAnsi="Arial" w:cs="Arial"/>
          <w:snapToGrid/>
          <w:sz w:val="22"/>
          <w:szCs w:val="22"/>
          <w:lang w:eastAsia="en-GB"/>
        </w:rPr>
        <w:t xml:space="preserve"> that the final version of this product/template to be disseminated to the Member States as a </w:t>
      </w:r>
      <w:proofErr w:type="gramStart"/>
      <w:r w:rsidRPr="00B96A2A">
        <w:rPr>
          <w:rFonts w:ascii="Arial" w:eastAsia="Arial" w:hAnsi="Arial" w:cs="Arial"/>
          <w:snapToGrid/>
          <w:sz w:val="22"/>
          <w:szCs w:val="22"/>
          <w:lang w:eastAsia="en-GB"/>
        </w:rPr>
        <w:t>guidance;</w:t>
      </w:r>
      <w:proofErr w:type="gramEnd"/>
    </w:p>
    <w:p w14:paraId="4BFFCA09" w14:textId="77777777" w:rsidR="00B96A2A" w:rsidRPr="00B96A2A" w:rsidRDefault="00B96A2A" w:rsidP="00B96A2A">
      <w:pPr>
        <w:tabs>
          <w:tab w:val="clear" w:pos="709"/>
        </w:tabs>
        <w:snapToGrid/>
        <w:ind w:right="1704"/>
        <w:rPr>
          <w:rFonts w:ascii="Arial" w:eastAsia="Arial" w:hAnsi="Arial" w:cs="Arial"/>
          <w:b/>
          <w:snapToGrid/>
          <w:color w:val="0070C0"/>
          <w:sz w:val="22"/>
          <w:szCs w:val="22"/>
          <w:lang w:eastAsia="en-GB"/>
        </w:rPr>
      </w:pPr>
    </w:p>
    <w:p w14:paraId="2EF68A2C"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[CAP]</w:t>
      </w:r>
    </w:p>
    <w:p w14:paraId="431F77BA"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2940E7D3"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 xml:space="preserve">Request to TT-TWO </w:t>
      </w:r>
    </w:p>
    <w:p w14:paraId="3A0A478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that the Common Alerting Protocol (CAP) is </w:t>
      </w:r>
      <w:sdt>
        <w:sdtPr>
          <w:rPr>
            <w:rFonts w:eastAsia="Times New Roman"/>
            <w:snapToGrid/>
            <w:lang w:eastAsia="en-GB"/>
          </w:rPr>
          <w:tag w:val="goog_rdk_5"/>
          <w:id w:val="-83147393"/>
        </w:sdtPr>
        <w:sdtContent/>
      </w:sdt>
      <w:r w:rsidRPr="00B96A2A">
        <w:rPr>
          <w:rFonts w:ascii="Arial" w:eastAsia="Arial" w:hAnsi="Arial" w:cs="Arial"/>
          <w:snapToGrid/>
          <w:sz w:val="22"/>
          <w:szCs w:val="22"/>
          <w:lang w:eastAsia="en-GB"/>
        </w:rPr>
        <w:t xml:space="preserve">the </w:t>
      </w:r>
      <w:hyperlink r:id="rId116" w:history="1">
        <w:r w:rsidRPr="00B96A2A">
          <w:rPr>
            <w:rFonts w:ascii="Arial" w:eastAsia="Arial" w:hAnsi="Arial" w:cs="Arial"/>
            <w:snapToGrid/>
            <w:color w:val="0000FF"/>
            <w:sz w:val="22"/>
            <w:szCs w:val="22"/>
            <w:u w:val="single"/>
            <w:lang w:eastAsia="en-GB"/>
          </w:rPr>
          <w:t>international standard format</w:t>
        </w:r>
      </w:hyperlink>
      <w:r w:rsidRPr="00B96A2A">
        <w:rPr>
          <w:rFonts w:ascii="Arial" w:eastAsia="Arial" w:hAnsi="Arial" w:cs="Arial"/>
          <w:snapToGrid/>
          <w:sz w:val="22"/>
          <w:szCs w:val="22"/>
          <w:lang w:eastAsia="en-GB"/>
        </w:rPr>
        <w:t xml:space="preserve"> for emergency alerting and public warning, designed for all hazards, which can be used for exchanging multi-hazard emergency alerts and public warnings over all kinds of information and communications technology;</w:t>
      </w:r>
    </w:p>
    <w:p w14:paraId="37677AA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17DA679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Also notes</w:t>
      </w:r>
      <w:r w:rsidRPr="00B96A2A">
        <w:rPr>
          <w:rFonts w:ascii="Arial" w:eastAsia="Arial" w:hAnsi="Arial" w:cs="Arial"/>
          <w:snapToGrid/>
          <w:sz w:val="22"/>
          <w:szCs w:val="22"/>
          <w:lang w:eastAsia="en-GB"/>
        </w:rPr>
        <w:t xml:space="preserve"> that CAP is now widely used in EWS and 91% of the world’s population lives in a country that is implementing CAP (</w:t>
      </w:r>
      <w:hyperlink r:id="rId117" w:history="1">
        <w:r w:rsidRPr="00B96A2A">
          <w:rPr>
            <w:rFonts w:ascii="Arial" w:eastAsia="Arial" w:hAnsi="Arial" w:cs="Arial"/>
            <w:snapToGrid/>
            <w:color w:val="0000FF"/>
            <w:sz w:val="22"/>
            <w:szCs w:val="22"/>
            <w:u w:val="single"/>
            <w:lang w:eastAsia="en-GB"/>
          </w:rPr>
          <w:t>Reference</w:t>
        </w:r>
      </w:hyperlink>
      <w:r w:rsidRPr="00B96A2A">
        <w:rPr>
          <w:rFonts w:ascii="Arial" w:eastAsia="Arial" w:hAnsi="Arial" w:cs="Arial"/>
          <w:snapToGrid/>
          <w:sz w:val="22"/>
          <w:szCs w:val="22"/>
          <w:lang w:eastAsia="en-GB"/>
        </w:rPr>
        <w:t>);</w:t>
      </w:r>
    </w:p>
    <w:p w14:paraId="30C4C16E"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p>
    <w:p w14:paraId="073D6DEF" w14:textId="77777777" w:rsidR="00B96A2A" w:rsidRPr="00B96A2A" w:rsidRDefault="00000000" w:rsidP="00B96A2A">
      <w:pPr>
        <w:tabs>
          <w:tab w:val="clear" w:pos="709"/>
        </w:tabs>
        <w:snapToGrid/>
        <w:jc w:val="both"/>
        <w:rPr>
          <w:rFonts w:ascii="Arial" w:eastAsia="Arial" w:hAnsi="Arial" w:cs="Arial"/>
          <w:snapToGrid/>
          <w:sz w:val="22"/>
          <w:szCs w:val="22"/>
          <w:lang w:eastAsia="en-GB"/>
        </w:rPr>
      </w:pPr>
      <w:sdt>
        <w:sdtPr>
          <w:rPr>
            <w:rFonts w:eastAsia="Times New Roman"/>
            <w:snapToGrid/>
            <w:lang w:eastAsia="en-GB"/>
          </w:rPr>
          <w:tag w:val="goog_rdk_7"/>
          <w:id w:val="1345139571"/>
        </w:sdtPr>
        <w:sdtContent/>
      </w:sdt>
      <w:r w:rsidR="00B96A2A" w:rsidRPr="00B96A2A">
        <w:rPr>
          <w:rFonts w:ascii="Arial" w:eastAsia="Arial" w:hAnsi="Arial" w:cs="Arial"/>
          <w:b/>
          <w:snapToGrid/>
          <w:sz w:val="22"/>
          <w:szCs w:val="22"/>
          <w:lang w:eastAsia="en-GB"/>
        </w:rPr>
        <w:t>Recognizes</w:t>
      </w:r>
      <w:r w:rsidR="00B96A2A" w:rsidRPr="00B96A2A">
        <w:rPr>
          <w:rFonts w:ascii="Arial" w:eastAsia="Arial" w:hAnsi="Arial" w:cs="Arial"/>
          <w:snapToGrid/>
          <w:sz w:val="22"/>
          <w:szCs w:val="22"/>
          <w:lang w:eastAsia="en-GB"/>
        </w:rPr>
        <w:t xml:space="preserve"> that the advancement of CAP implementation globally represents a significant milestone in the Early Warnings for All (EW4All) initiative (</w:t>
      </w:r>
      <w:hyperlink r:id="rId118" w:history="1">
        <w:r w:rsidR="00B96A2A" w:rsidRPr="00B96A2A">
          <w:rPr>
            <w:rFonts w:ascii="Arial" w:eastAsia="Arial" w:hAnsi="Arial" w:cs="Arial"/>
            <w:snapToGrid/>
            <w:color w:val="0000FF"/>
            <w:sz w:val="22"/>
            <w:szCs w:val="22"/>
            <w:u w:val="single"/>
            <w:lang w:eastAsia="en-GB"/>
          </w:rPr>
          <w:t>Reference</w:t>
        </w:r>
      </w:hyperlink>
      <w:r w:rsidR="00B96A2A" w:rsidRPr="00B96A2A">
        <w:rPr>
          <w:rFonts w:ascii="Arial" w:eastAsia="Arial" w:hAnsi="Arial" w:cs="Arial"/>
          <w:snapToGrid/>
          <w:sz w:val="22"/>
          <w:szCs w:val="22"/>
          <w:lang w:eastAsia="en-GB"/>
        </w:rPr>
        <w:t>), and the fact that CAP can be considered as the bridge connecting “observations, monitoring, analysis and forecasting” to “warning dissemination and communication”.</w:t>
      </w:r>
    </w:p>
    <w:p w14:paraId="5AAF1C8D"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AE725F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that NOAA/PTWC in 2013 provided details and rationale for an </w:t>
      </w:r>
      <w:hyperlink r:id="rId119">
        <w:r w:rsidRPr="00B96A2A">
          <w:rPr>
            <w:rFonts w:ascii="Arial" w:eastAsia="Arial" w:hAnsi="Arial" w:cs="Arial"/>
            <w:snapToGrid/>
            <w:color w:val="0000FF"/>
            <w:sz w:val="22"/>
            <w:szCs w:val="22"/>
            <w:u w:val="single"/>
            <w:lang w:eastAsia="en-GB"/>
          </w:rPr>
          <w:t>initial version of a tsunami profile for CAP</w:t>
        </w:r>
      </w:hyperlink>
      <w:r w:rsidRPr="00B96A2A">
        <w:rPr>
          <w:rFonts w:ascii="Arial" w:eastAsia="Arial" w:hAnsi="Arial" w:cs="Arial"/>
          <w:snapToGrid/>
          <w:sz w:val="22"/>
          <w:szCs w:val="22"/>
          <w:lang w:eastAsia="en-GB"/>
        </w:rPr>
        <w:t xml:space="preserve">; </w:t>
      </w:r>
    </w:p>
    <w:p w14:paraId="60A7446C"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0BF8D41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Requests</w:t>
      </w:r>
      <w:r w:rsidRPr="00B96A2A">
        <w:rPr>
          <w:rFonts w:ascii="Arial" w:eastAsia="Arial" w:hAnsi="Arial" w:cs="Arial"/>
          <w:snapToGrid/>
          <w:sz w:val="22"/>
          <w:szCs w:val="22"/>
          <w:lang w:eastAsia="en-GB"/>
        </w:rPr>
        <w:t xml:space="preserve"> the TT-TWO to develop a global CAP template for TSPs to facilitate exchange of bulletins between basin TSPs and their NTWCs, between TSPs of different basins, and for public TSP bulletins, to be presented and approved by the TOWS-WG at its next </w:t>
      </w:r>
      <w:proofErr w:type="gramStart"/>
      <w:r w:rsidRPr="00B96A2A">
        <w:rPr>
          <w:rFonts w:ascii="Arial" w:eastAsia="Arial" w:hAnsi="Arial" w:cs="Arial"/>
          <w:snapToGrid/>
          <w:sz w:val="22"/>
          <w:szCs w:val="22"/>
          <w:lang w:eastAsia="en-GB"/>
        </w:rPr>
        <w:t>session;</w:t>
      </w:r>
      <w:proofErr w:type="gramEnd"/>
    </w:p>
    <w:p w14:paraId="63ECCBD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E56043B"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p>
    <w:p w14:paraId="14ECF339"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[OPTIMUM SEA-LEVEL NETWORK]</w:t>
      </w:r>
    </w:p>
    <w:p w14:paraId="613B967D"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46092FDF"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 xml:space="preserve">Request to TT-TWO </w:t>
      </w:r>
    </w:p>
    <w:p w14:paraId="697E5E84"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2FFCEC5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Recalls</w:t>
      </w:r>
      <w:r w:rsidRPr="00B96A2A">
        <w:rPr>
          <w:rFonts w:ascii="Arial" w:eastAsia="Arial" w:hAnsi="Arial" w:cs="Arial"/>
          <w:snapToGrid/>
          <w:sz w:val="22"/>
          <w:szCs w:val="22"/>
          <w:lang w:eastAsia="en-GB"/>
        </w:rPr>
        <w:t xml:space="preserve"> that the first objective of the ODTP also requires provision of tsunami confirmation within 10 minutes or less of origin for the most at-risk </w:t>
      </w:r>
      <w:proofErr w:type="gramStart"/>
      <w:r w:rsidRPr="00B96A2A">
        <w:rPr>
          <w:rFonts w:ascii="Arial" w:eastAsia="Arial" w:hAnsi="Arial" w:cs="Arial"/>
          <w:snapToGrid/>
          <w:sz w:val="22"/>
          <w:szCs w:val="22"/>
          <w:lang w:eastAsia="en-GB"/>
        </w:rPr>
        <w:t>coastlines;</w:t>
      </w:r>
      <w:proofErr w:type="gramEnd"/>
    </w:p>
    <w:p w14:paraId="1504494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07D24E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Recognizes</w:t>
      </w:r>
      <w:r w:rsidRPr="00B96A2A">
        <w:rPr>
          <w:rFonts w:ascii="Arial" w:eastAsia="Arial" w:hAnsi="Arial" w:cs="Arial"/>
          <w:snapToGrid/>
          <w:sz w:val="22"/>
          <w:szCs w:val="22"/>
          <w:lang w:eastAsia="en-GB"/>
        </w:rPr>
        <w:t xml:space="preserve"> the need to conduct a study on in which areas this requirement is met and not </w:t>
      </w:r>
      <w:proofErr w:type="gramStart"/>
      <w:r w:rsidRPr="00B96A2A">
        <w:rPr>
          <w:rFonts w:ascii="Arial" w:eastAsia="Arial" w:hAnsi="Arial" w:cs="Arial"/>
          <w:snapToGrid/>
          <w:sz w:val="22"/>
          <w:szCs w:val="22"/>
          <w:lang w:eastAsia="en-GB"/>
        </w:rPr>
        <w:t>met;</w:t>
      </w:r>
      <w:proofErr w:type="gramEnd"/>
    </w:p>
    <w:p w14:paraId="3BFD9D8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B90A480"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 xml:space="preserve">Recognizes </w:t>
      </w:r>
      <w:r w:rsidRPr="00B96A2A">
        <w:rPr>
          <w:rFonts w:ascii="Arial" w:eastAsia="Arial" w:hAnsi="Arial" w:cs="Arial"/>
          <w:snapToGrid/>
          <w:sz w:val="22"/>
          <w:szCs w:val="22"/>
          <w:lang w:eastAsia="en-GB"/>
        </w:rPr>
        <w:t xml:space="preserve">huge costs to install and to maintain sea level stations, especially in remote </w:t>
      </w:r>
      <w:proofErr w:type="gramStart"/>
      <w:r w:rsidRPr="00B96A2A">
        <w:rPr>
          <w:rFonts w:ascii="Arial" w:eastAsia="Arial" w:hAnsi="Arial" w:cs="Arial"/>
          <w:snapToGrid/>
          <w:sz w:val="22"/>
          <w:szCs w:val="22"/>
          <w:lang w:eastAsia="en-GB"/>
        </w:rPr>
        <w:t>areas;</w:t>
      </w:r>
      <w:proofErr w:type="gramEnd"/>
    </w:p>
    <w:p w14:paraId="47038A4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DDCC67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Requests</w:t>
      </w:r>
      <w:r w:rsidRPr="00B96A2A">
        <w:rPr>
          <w:rFonts w:ascii="Arial" w:eastAsia="Arial" w:hAnsi="Arial" w:cs="Arial"/>
          <w:snapToGrid/>
          <w:sz w:val="22"/>
          <w:szCs w:val="22"/>
          <w:lang w:eastAsia="en-GB"/>
        </w:rPr>
        <w:t xml:space="preserve"> TT-TWO to conduct and present to TOWS-WG at its next session the result of this study with reference to the sea-level stations available in the IOC’s Sea Level Station Monitoring </w:t>
      </w:r>
      <w:proofErr w:type="gramStart"/>
      <w:r w:rsidRPr="00B96A2A">
        <w:rPr>
          <w:rFonts w:ascii="Arial" w:eastAsia="Arial" w:hAnsi="Arial" w:cs="Arial"/>
          <w:snapToGrid/>
          <w:sz w:val="22"/>
          <w:szCs w:val="22"/>
          <w:lang w:eastAsia="en-GB"/>
        </w:rPr>
        <w:t>Facility;</w:t>
      </w:r>
      <w:proofErr w:type="gramEnd"/>
    </w:p>
    <w:p w14:paraId="49B5D88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040C06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Encourages</w:t>
      </w:r>
      <w:r w:rsidRPr="00B96A2A">
        <w:rPr>
          <w:rFonts w:ascii="Arial" w:eastAsia="Arial" w:hAnsi="Arial" w:cs="Arial"/>
          <w:snapToGrid/>
          <w:sz w:val="22"/>
          <w:szCs w:val="22"/>
          <w:lang w:eastAsia="en-GB"/>
        </w:rPr>
        <w:t xml:space="preserve"> the TT-TWO to also include in this study an indicative assessment on possible locations of the future sea-level station monitoring installations to ensure that this requirement is </w:t>
      </w:r>
      <w:proofErr w:type="gramStart"/>
      <w:r w:rsidRPr="00B96A2A">
        <w:rPr>
          <w:rFonts w:ascii="Arial" w:eastAsia="Arial" w:hAnsi="Arial" w:cs="Arial"/>
          <w:snapToGrid/>
          <w:sz w:val="22"/>
          <w:szCs w:val="22"/>
          <w:lang w:eastAsia="en-GB"/>
        </w:rPr>
        <w:t>met;</w:t>
      </w:r>
      <w:proofErr w:type="gramEnd"/>
      <w:r w:rsidRPr="00B96A2A">
        <w:rPr>
          <w:rFonts w:ascii="Arial" w:eastAsia="Arial" w:hAnsi="Arial" w:cs="Arial"/>
          <w:snapToGrid/>
          <w:sz w:val="22"/>
          <w:szCs w:val="22"/>
          <w:lang w:eastAsia="en-GB"/>
        </w:rPr>
        <w:t xml:space="preserve"> </w:t>
      </w:r>
    </w:p>
    <w:p w14:paraId="2F2332CC"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p>
    <w:p w14:paraId="74609918"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p>
    <w:p w14:paraId="38DE1785" w14:textId="77777777" w:rsidR="00B96A2A" w:rsidRPr="00B96A2A" w:rsidRDefault="00B96A2A" w:rsidP="00B96A2A">
      <w:pPr>
        <w:tabs>
          <w:tab w:val="clear" w:pos="709"/>
        </w:tabs>
        <w:snapToGrid/>
        <w:jc w:val="both"/>
        <w:rPr>
          <w:rFonts w:ascii="Arial" w:eastAsia="Arial" w:hAnsi="Arial" w:cs="Arial"/>
          <w:b/>
          <w:snapToGrid/>
          <w:color w:val="C00000"/>
          <w:sz w:val="22"/>
          <w:szCs w:val="22"/>
          <w:lang w:eastAsia="en-GB"/>
        </w:rPr>
      </w:pPr>
      <w:r w:rsidRPr="00B96A2A">
        <w:rPr>
          <w:rFonts w:ascii="Arial" w:eastAsia="Arial" w:hAnsi="Arial" w:cs="Arial"/>
          <w:b/>
          <w:snapToGrid/>
          <w:color w:val="C00000"/>
          <w:sz w:val="22"/>
          <w:szCs w:val="22"/>
          <w:lang w:eastAsia="en-GB"/>
        </w:rPr>
        <w:t>[TGV SOPs]</w:t>
      </w:r>
    </w:p>
    <w:p w14:paraId="3B390F13" w14:textId="77777777" w:rsidR="00B96A2A" w:rsidRPr="00B96A2A" w:rsidRDefault="00B96A2A" w:rsidP="00B96A2A">
      <w:pPr>
        <w:tabs>
          <w:tab w:val="clear" w:pos="709"/>
        </w:tabs>
        <w:snapToGrid/>
        <w:jc w:val="both"/>
        <w:rPr>
          <w:rFonts w:ascii="Arial" w:eastAsia="Arial" w:hAnsi="Arial" w:cs="Arial"/>
          <w:b/>
          <w:snapToGrid/>
          <w:color w:val="0070C0"/>
          <w:sz w:val="22"/>
          <w:szCs w:val="22"/>
          <w:lang w:eastAsia="en-GB"/>
        </w:rPr>
      </w:pPr>
    </w:p>
    <w:p w14:paraId="170429D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color w:val="0070C0"/>
          <w:sz w:val="22"/>
          <w:szCs w:val="22"/>
          <w:lang w:eastAsia="en-GB"/>
        </w:rPr>
        <w:t>Recommendation to the ICGs</w:t>
      </w:r>
    </w:p>
    <w:p w14:paraId="15C6D496" w14:textId="77777777" w:rsidR="00B96A2A" w:rsidRPr="00B96A2A" w:rsidRDefault="00B96A2A" w:rsidP="00B96A2A">
      <w:pPr>
        <w:tabs>
          <w:tab w:val="clear" w:pos="709"/>
        </w:tabs>
        <w:snapToGrid/>
        <w:rPr>
          <w:rFonts w:ascii="Arial" w:eastAsia="Arial" w:hAnsi="Arial" w:cs="Arial"/>
          <w:b/>
          <w:snapToGrid/>
          <w:sz w:val="22"/>
          <w:szCs w:val="22"/>
          <w:lang w:eastAsia="en-GB"/>
        </w:rPr>
      </w:pPr>
    </w:p>
    <w:p w14:paraId="07D6350B" w14:textId="77777777" w:rsidR="00B96A2A" w:rsidRPr="00B96A2A" w:rsidRDefault="00B96A2A" w:rsidP="00B96A2A">
      <w:pPr>
        <w:tabs>
          <w:tab w:val="clear" w:pos="709"/>
        </w:tabs>
        <w:snapToGrid/>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that Hunga Tonga Hunga </w:t>
      </w:r>
      <w:proofErr w:type="spellStart"/>
      <w:r w:rsidRPr="00B96A2A">
        <w:rPr>
          <w:rFonts w:ascii="Arial" w:eastAsia="Arial" w:hAnsi="Arial" w:cs="Arial"/>
          <w:snapToGrid/>
          <w:sz w:val="22"/>
          <w:szCs w:val="22"/>
          <w:lang w:eastAsia="en-GB"/>
        </w:rPr>
        <w:t>Ha’apai</w:t>
      </w:r>
      <w:proofErr w:type="spellEnd"/>
      <w:r w:rsidRPr="00B96A2A">
        <w:rPr>
          <w:rFonts w:ascii="Arial" w:eastAsia="Arial" w:hAnsi="Arial" w:cs="Arial"/>
          <w:snapToGrid/>
          <w:sz w:val="22"/>
          <w:szCs w:val="22"/>
          <w:lang w:eastAsia="en-GB"/>
        </w:rPr>
        <w:t xml:space="preserve"> Volcano Permanent Monitoring and Warning Procedures of the Pacific Tsunami Warning Center (OTWC) ((IOC/2024/TS/188) was disseminated to Member States through IOC </w:t>
      </w:r>
      <w:hyperlink r:id="rId120">
        <w:r w:rsidRPr="00B96A2A">
          <w:rPr>
            <w:rFonts w:ascii="Arial" w:eastAsia="Arial" w:hAnsi="Arial" w:cs="Arial"/>
            <w:snapToGrid/>
            <w:color w:val="0000FF"/>
            <w:sz w:val="22"/>
            <w:szCs w:val="22"/>
            <w:u w:val="single"/>
            <w:lang w:eastAsia="en-GB"/>
          </w:rPr>
          <w:t>CL-2984</w:t>
        </w:r>
      </w:hyperlink>
      <w:r w:rsidRPr="00B96A2A">
        <w:rPr>
          <w:rFonts w:ascii="Arial" w:eastAsia="Arial" w:hAnsi="Arial" w:cs="Arial"/>
          <w:snapToGrid/>
          <w:sz w:val="22"/>
          <w:szCs w:val="22"/>
          <w:lang w:eastAsia="en-GB"/>
        </w:rPr>
        <w:t>;</w:t>
      </w:r>
    </w:p>
    <w:p w14:paraId="3FBDA37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934D61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with appreciation that the IOC report on ‘Monitoring and warning for tsunamis generated by volcanoes’ (IOC/2024/TS/183) was also disseminated to the Member States through IOC </w:t>
      </w:r>
      <w:hyperlink r:id="rId121">
        <w:r w:rsidRPr="00B96A2A">
          <w:rPr>
            <w:rFonts w:ascii="Arial" w:eastAsia="Arial" w:hAnsi="Arial" w:cs="Arial"/>
            <w:snapToGrid/>
            <w:color w:val="0000FF"/>
            <w:sz w:val="22"/>
            <w:szCs w:val="22"/>
            <w:u w:val="single"/>
            <w:lang w:eastAsia="en-GB"/>
          </w:rPr>
          <w:t>CL-3029</w:t>
        </w:r>
      </w:hyperlink>
      <w:r w:rsidRPr="00B96A2A">
        <w:rPr>
          <w:rFonts w:ascii="Arial" w:eastAsia="Arial" w:hAnsi="Arial" w:cs="Arial"/>
          <w:snapToGrid/>
          <w:sz w:val="22"/>
          <w:szCs w:val="22"/>
          <w:lang w:eastAsia="en-GB"/>
        </w:rPr>
        <w:t>;</w:t>
      </w:r>
    </w:p>
    <w:p w14:paraId="2B06CDC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3F10604C"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Also notes</w:t>
      </w:r>
      <w:r w:rsidRPr="00B96A2A">
        <w:rPr>
          <w:rFonts w:ascii="Arial" w:eastAsia="Arial" w:hAnsi="Arial" w:cs="Arial"/>
          <w:snapToGrid/>
          <w:sz w:val="22"/>
          <w:szCs w:val="22"/>
          <w:lang w:eastAsia="en-GB"/>
        </w:rPr>
        <w:t xml:space="preserve"> with appreciation that at the same time Member States were informed on the organisation of online webinars (tentatively on 6 and 23 April 2025) for each of the Intergovernmental Coordinating Groups (ICG) of regional Tsunami warning Systems involving relevant Volcano Observatories and Volcanic Ash Advisory Centres (VAACs) to: </w:t>
      </w:r>
    </w:p>
    <w:p w14:paraId="724B0EC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4822FCC" w14:textId="77777777" w:rsidR="00B96A2A" w:rsidRPr="00B96A2A" w:rsidRDefault="00B96A2A" w:rsidP="00B96A2A">
      <w:pPr>
        <w:numPr>
          <w:ilvl w:val="0"/>
          <w:numId w:val="172"/>
        </w:numPr>
        <w:shd w:val="clear" w:color="auto" w:fill="FFFFFF"/>
        <w:tabs>
          <w:tab w:val="clear" w:pos="709"/>
        </w:tabs>
        <w:snapToGrid/>
        <w:spacing w:after="160" w:line="278" w:lineRule="auto"/>
        <w:rPr>
          <w:rFonts w:eastAsia="Times New Roman"/>
          <w:snapToGrid/>
          <w:lang w:eastAsia="en-GB"/>
        </w:rPr>
      </w:pPr>
      <w:r w:rsidRPr="00B96A2A">
        <w:rPr>
          <w:rFonts w:ascii="Arial" w:eastAsia="Arial" w:hAnsi="Arial" w:cs="Arial"/>
          <w:snapToGrid/>
          <w:sz w:val="22"/>
          <w:szCs w:val="22"/>
          <w:lang w:eastAsia="en-GB"/>
        </w:rPr>
        <w:t xml:space="preserve">brief on the report on ‘Monitoring and warning for tsunamis generated by volcanoes’ (IOC/2024/TS/183) and its recommendations, </w:t>
      </w:r>
    </w:p>
    <w:p w14:paraId="517080BF" w14:textId="77777777" w:rsidR="00B96A2A" w:rsidRPr="00B96A2A" w:rsidRDefault="00B96A2A" w:rsidP="00B96A2A">
      <w:pPr>
        <w:numPr>
          <w:ilvl w:val="0"/>
          <w:numId w:val="172"/>
        </w:numPr>
        <w:shd w:val="clear" w:color="auto" w:fill="FFFFFF"/>
        <w:tabs>
          <w:tab w:val="clear" w:pos="709"/>
        </w:tabs>
        <w:snapToGrid/>
        <w:spacing w:after="160" w:line="278" w:lineRule="auto"/>
        <w:rPr>
          <w:rFonts w:eastAsia="Times New Roman"/>
          <w:snapToGrid/>
          <w:lang w:eastAsia="en-GB"/>
        </w:rPr>
      </w:pPr>
      <w:r w:rsidRPr="00B96A2A">
        <w:rPr>
          <w:rFonts w:ascii="Arial" w:eastAsia="Arial" w:hAnsi="Arial" w:cs="Arial"/>
          <w:snapToGrid/>
          <w:sz w:val="22"/>
          <w:szCs w:val="22"/>
          <w:lang w:eastAsia="en-GB"/>
        </w:rPr>
        <w:t xml:space="preserve">highlight the hazard and vulnerable Member States, </w:t>
      </w:r>
    </w:p>
    <w:p w14:paraId="6407FED8" w14:textId="77777777" w:rsidR="00B96A2A" w:rsidRPr="00B96A2A" w:rsidRDefault="00B96A2A" w:rsidP="00B96A2A">
      <w:pPr>
        <w:numPr>
          <w:ilvl w:val="0"/>
          <w:numId w:val="172"/>
        </w:numPr>
        <w:shd w:val="clear" w:color="auto" w:fill="FFFFFF"/>
        <w:tabs>
          <w:tab w:val="clear" w:pos="709"/>
        </w:tabs>
        <w:snapToGrid/>
        <w:spacing w:after="160" w:line="278" w:lineRule="auto"/>
        <w:rPr>
          <w:rFonts w:eastAsia="Times New Roman"/>
          <w:snapToGrid/>
          <w:lang w:eastAsia="en-GB"/>
        </w:rPr>
      </w:pPr>
      <w:r w:rsidRPr="00B96A2A">
        <w:rPr>
          <w:rFonts w:ascii="Arial" w:eastAsia="Arial" w:hAnsi="Arial" w:cs="Arial"/>
          <w:snapToGrid/>
          <w:sz w:val="22"/>
          <w:szCs w:val="22"/>
          <w:lang w:eastAsia="en-GB"/>
        </w:rPr>
        <w:t xml:space="preserve">initiate the required partnerships between National Tsunami Warning Centres (NTWC) and Volcano Observatories and VAACs, </w:t>
      </w:r>
    </w:p>
    <w:p w14:paraId="21C88E0B" w14:textId="77777777" w:rsidR="00B96A2A" w:rsidRPr="00B96A2A" w:rsidRDefault="00B96A2A" w:rsidP="00B96A2A">
      <w:pPr>
        <w:numPr>
          <w:ilvl w:val="0"/>
          <w:numId w:val="172"/>
        </w:numPr>
        <w:tabs>
          <w:tab w:val="clear" w:pos="709"/>
        </w:tabs>
        <w:snapToGrid/>
        <w:spacing w:after="160" w:line="278" w:lineRule="auto"/>
        <w:rPr>
          <w:rFonts w:eastAsia="Times New Roman"/>
          <w:snapToGrid/>
          <w:lang w:eastAsia="en-GB"/>
        </w:rPr>
      </w:pPr>
      <w:r w:rsidRPr="00B96A2A">
        <w:rPr>
          <w:rFonts w:ascii="Arial" w:eastAsia="Arial" w:hAnsi="Arial" w:cs="Arial"/>
          <w:snapToGrid/>
          <w:sz w:val="22"/>
          <w:szCs w:val="22"/>
          <w:lang w:eastAsia="en-GB"/>
        </w:rPr>
        <w:t xml:space="preserve">initiate consideration of whether Tsunami Service Providers may also need to provide services where tsunami generated by volcanoes may impact several Member States. </w:t>
      </w:r>
    </w:p>
    <w:p w14:paraId="25FE1337" w14:textId="77777777" w:rsidR="00B96A2A" w:rsidRPr="00B96A2A" w:rsidRDefault="00B96A2A" w:rsidP="00B96A2A">
      <w:pPr>
        <w:tabs>
          <w:tab w:val="clear" w:pos="709"/>
        </w:tabs>
        <w:snapToGrid/>
        <w:ind w:left="720"/>
        <w:rPr>
          <w:rFonts w:ascii="Arial" w:eastAsia="Arial" w:hAnsi="Arial" w:cs="Arial"/>
          <w:snapToGrid/>
          <w:sz w:val="22"/>
          <w:szCs w:val="22"/>
          <w:lang w:eastAsia="en-GB"/>
        </w:rPr>
      </w:pPr>
    </w:p>
    <w:p w14:paraId="1F33E8F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Also notes</w:t>
      </w:r>
      <w:r w:rsidRPr="00B96A2A">
        <w:rPr>
          <w:rFonts w:ascii="Arial" w:eastAsia="Arial" w:hAnsi="Arial" w:cs="Arial"/>
          <w:snapToGrid/>
          <w:sz w:val="22"/>
          <w:szCs w:val="22"/>
          <w:lang w:eastAsia="en-GB"/>
        </w:rPr>
        <w:t xml:space="preserve"> the challenges to develop general guidelines on SOPs to warn for volcano generated tsunamis due the unique characteristics and mechanisms related to their tsunamigenic </w:t>
      </w:r>
      <w:proofErr w:type="gramStart"/>
      <w:r w:rsidRPr="00B96A2A">
        <w:rPr>
          <w:rFonts w:ascii="Arial" w:eastAsia="Arial" w:hAnsi="Arial" w:cs="Arial"/>
          <w:snapToGrid/>
          <w:sz w:val="22"/>
          <w:szCs w:val="22"/>
          <w:lang w:eastAsia="en-GB"/>
        </w:rPr>
        <w:t>potentials;</w:t>
      </w:r>
      <w:proofErr w:type="gramEnd"/>
    </w:p>
    <w:p w14:paraId="257C35BA"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925E1A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Recommends</w:t>
      </w:r>
      <w:r w:rsidRPr="00B96A2A">
        <w:rPr>
          <w:rFonts w:ascii="Arial" w:eastAsia="Arial" w:hAnsi="Arial" w:cs="Arial"/>
          <w:snapToGrid/>
          <w:sz w:val="22"/>
          <w:szCs w:val="22"/>
          <w:lang w:eastAsia="en-GB"/>
        </w:rPr>
        <w:t xml:space="preserve"> each ICG to develop SOPs for volcanoes with a tsunamigenic potential within their Earthquake Source Zone (ESZ</w:t>
      </w:r>
      <w:proofErr w:type="gramStart"/>
      <w:r w:rsidRPr="00B96A2A">
        <w:rPr>
          <w:rFonts w:ascii="Arial" w:eastAsia="Arial" w:hAnsi="Arial" w:cs="Arial"/>
          <w:snapToGrid/>
          <w:sz w:val="22"/>
          <w:szCs w:val="22"/>
          <w:lang w:eastAsia="en-GB"/>
        </w:rPr>
        <w:t>);</w:t>
      </w:r>
      <w:proofErr w:type="gramEnd"/>
      <w:r w:rsidRPr="00B96A2A">
        <w:rPr>
          <w:rFonts w:ascii="Arial" w:eastAsia="Arial" w:hAnsi="Arial" w:cs="Arial"/>
          <w:snapToGrid/>
          <w:sz w:val="22"/>
          <w:szCs w:val="22"/>
          <w:lang w:eastAsia="en-GB"/>
        </w:rPr>
        <w:t xml:space="preserve"> </w:t>
      </w:r>
    </w:p>
    <w:p w14:paraId="2D4FCA7F"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69182E65" w14:textId="77777777" w:rsidR="00B96A2A" w:rsidRPr="00B96A2A" w:rsidRDefault="00000000" w:rsidP="00B96A2A">
      <w:pPr>
        <w:tabs>
          <w:tab w:val="clear" w:pos="709"/>
        </w:tabs>
        <w:snapToGrid/>
        <w:jc w:val="both"/>
        <w:rPr>
          <w:rFonts w:ascii="Arial" w:eastAsia="Arial" w:hAnsi="Arial" w:cs="Arial"/>
          <w:b/>
          <w:snapToGrid/>
          <w:sz w:val="22"/>
          <w:szCs w:val="22"/>
          <w:lang w:eastAsia="en-GB"/>
        </w:rPr>
      </w:pPr>
      <w:sdt>
        <w:sdtPr>
          <w:rPr>
            <w:rFonts w:eastAsia="Times New Roman"/>
            <w:snapToGrid/>
            <w:lang w:eastAsia="en-GB"/>
          </w:rPr>
          <w:tag w:val="goog_rdk_8"/>
          <w:id w:val="1236126272"/>
        </w:sdtPr>
        <w:sdtContent/>
      </w:sdt>
      <w:r w:rsidR="00B96A2A" w:rsidRPr="00B96A2A">
        <w:rPr>
          <w:rFonts w:ascii="Arial" w:eastAsia="Arial" w:hAnsi="Arial" w:cs="Arial"/>
          <w:b/>
          <w:snapToGrid/>
          <w:color w:val="0070C0"/>
          <w:sz w:val="22"/>
          <w:szCs w:val="22"/>
          <w:lang w:eastAsia="en-GB"/>
        </w:rPr>
        <w:t>Recommendation to the Member States</w:t>
      </w:r>
    </w:p>
    <w:p w14:paraId="5FB8C4BD" w14:textId="77777777" w:rsidR="00B96A2A" w:rsidRPr="00B96A2A" w:rsidRDefault="00B96A2A" w:rsidP="00B96A2A">
      <w:pPr>
        <w:tabs>
          <w:tab w:val="clear" w:pos="709"/>
        </w:tabs>
        <w:snapToGrid/>
        <w:jc w:val="both"/>
        <w:rPr>
          <w:rFonts w:ascii="Arial" w:eastAsia="Arial" w:hAnsi="Arial" w:cs="Arial"/>
          <w:b/>
          <w:snapToGrid/>
          <w:sz w:val="22"/>
          <w:szCs w:val="22"/>
          <w:lang w:eastAsia="en-GB"/>
        </w:rPr>
      </w:pPr>
    </w:p>
    <w:p w14:paraId="4E605DA7"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Recommended</w:t>
      </w:r>
      <w:r w:rsidRPr="00B96A2A">
        <w:rPr>
          <w:rFonts w:ascii="Arial" w:eastAsia="Arial" w:hAnsi="Arial" w:cs="Arial"/>
          <w:snapToGrid/>
          <w:sz w:val="22"/>
          <w:szCs w:val="22"/>
          <w:lang w:eastAsia="en-GB"/>
        </w:rPr>
        <w:t xml:space="preserve"> Member States to consider deployment of sea level gauges close to each identified volcano with tsunamigenic potential, with real-time continuous data transmission and 1 sec sampling 1cm accuracy for automatic detection </w:t>
      </w:r>
      <w:proofErr w:type="gramStart"/>
      <w:r w:rsidRPr="00B96A2A">
        <w:rPr>
          <w:rFonts w:ascii="Arial" w:eastAsia="Arial" w:hAnsi="Arial" w:cs="Arial"/>
          <w:snapToGrid/>
          <w:sz w:val="22"/>
          <w:szCs w:val="22"/>
          <w:lang w:eastAsia="en-GB"/>
        </w:rPr>
        <w:t>purposes;</w:t>
      </w:r>
      <w:proofErr w:type="gramEnd"/>
      <w:r w:rsidRPr="00B96A2A">
        <w:rPr>
          <w:rFonts w:ascii="Arial" w:eastAsia="Arial" w:hAnsi="Arial" w:cs="Arial"/>
          <w:snapToGrid/>
          <w:sz w:val="22"/>
          <w:szCs w:val="22"/>
          <w:lang w:eastAsia="en-GB"/>
        </w:rPr>
        <w:t xml:space="preserve"> </w:t>
      </w:r>
    </w:p>
    <w:p w14:paraId="61F5A51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27CB1988" w14:textId="77777777" w:rsidR="00B96A2A" w:rsidRPr="00B96A2A" w:rsidRDefault="00000000" w:rsidP="00B96A2A">
      <w:pPr>
        <w:tabs>
          <w:tab w:val="clear" w:pos="709"/>
        </w:tabs>
        <w:snapToGrid/>
        <w:spacing w:before="240" w:after="240"/>
        <w:jc w:val="both"/>
        <w:rPr>
          <w:rFonts w:ascii="Arial" w:eastAsia="Arial" w:hAnsi="Arial" w:cs="Arial"/>
          <w:b/>
          <w:snapToGrid/>
          <w:color w:val="C00000"/>
          <w:sz w:val="22"/>
          <w:szCs w:val="22"/>
          <w:lang w:eastAsia="en-GB"/>
        </w:rPr>
      </w:pPr>
      <w:sdt>
        <w:sdtPr>
          <w:rPr>
            <w:rFonts w:eastAsia="Times New Roman"/>
            <w:snapToGrid/>
            <w:lang w:eastAsia="en-GB"/>
          </w:rPr>
          <w:tag w:val="goog_rdk_9"/>
          <w:id w:val="-1963493528"/>
        </w:sdtPr>
        <w:sdtContent/>
      </w:sdt>
      <w:r w:rsidR="00B96A2A" w:rsidRPr="00B96A2A">
        <w:rPr>
          <w:rFonts w:ascii="Arial" w:eastAsia="Arial" w:hAnsi="Arial" w:cs="Arial"/>
          <w:b/>
          <w:snapToGrid/>
          <w:color w:val="C00000"/>
          <w:sz w:val="22"/>
          <w:szCs w:val="22"/>
          <w:lang w:eastAsia="en-GB"/>
        </w:rPr>
        <w:t>[METEOTSUNAMI]</w:t>
      </w:r>
    </w:p>
    <w:p w14:paraId="359F3665" w14:textId="77777777" w:rsidR="00B96A2A" w:rsidRPr="00B96A2A" w:rsidRDefault="00B96A2A" w:rsidP="00B96A2A">
      <w:pPr>
        <w:shd w:val="clear" w:color="auto" w:fill="FFFFFF"/>
        <w:tabs>
          <w:tab w:val="clear" w:pos="709"/>
        </w:tabs>
        <w:snapToGrid/>
        <w:spacing w:before="240" w:after="160" w:line="254" w:lineRule="auto"/>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Recommendation to the ICGs</w:t>
      </w:r>
    </w:p>
    <w:p w14:paraId="37F69F2D" w14:textId="77777777" w:rsidR="00B96A2A" w:rsidRPr="00B96A2A" w:rsidRDefault="00B96A2A" w:rsidP="00B96A2A">
      <w:pPr>
        <w:tabs>
          <w:tab w:val="clear" w:pos="709"/>
        </w:tabs>
        <w:snapToGrid/>
        <w:spacing w:before="240" w:after="240"/>
        <w:jc w:val="both"/>
        <w:rPr>
          <w:rFonts w:ascii="Arial" w:eastAsia="Arial" w:hAnsi="Arial" w:cs="Arial"/>
          <w:b/>
          <w:snapToGrid/>
          <w:sz w:val="22"/>
          <w:szCs w:val="22"/>
          <w:lang w:eastAsia="en-GB"/>
        </w:rPr>
      </w:pPr>
      <w:r w:rsidRPr="00B96A2A">
        <w:rPr>
          <w:rFonts w:ascii="Arial" w:eastAsia="Arial" w:hAnsi="Arial" w:cs="Arial"/>
          <w:b/>
          <w:snapToGrid/>
          <w:sz w:val="22"/>
          <w:szCs w:val="22"/>
          <w:lang w:eastAsia="en-GB"/>
        </w:rPr>
        <w:t>Notes</w:t>
      </w:r>
      <w:r w:rsidRPr="00B96A2A">
        <w:rPr>
          <w:rFonts w:ascii="Arial" w:eastAsia="Arial" w:hAnsi="Arial" w:cs="Arial"/>
          <w:snapToGrid/>
          <w:sz w:val="22"/>
          <w:szCs w:val="22"/>
          <w:lang w:eastAsia="en-GB"/>
        </w:rPr>
        <w:t xml:space="preserve"> with appreciation that the IOC report on ‘Meteotsunamis: definition, detection and alerting services investigation’ (IOC/2025/TS/200) was </w:t>
      </w:r>
      <w:proofErr w:type="gramStart"/>
      <w:r w:rsidRPr="00B96A2A">
        <w:rPr>
          <w:rFonts w:ascii="Arial" w:eastAsia="Arial" w:hAnsi="Arial" w:cs="Arial"/>
          <w:snapToGrid/>
          <w:sz w:val="22"/>
          <w:szCs w:val="22"/>
          <w:lang w:eastAsia="en-GB"/>
        </w:rPr>
        <w:t>published;</w:t>
      </w:r>
      <w:proofErr w:type="gramEnd"/>
    </w:p>
    <w:p w14:paraId="0B455D10" w14:textId="77777777" w:rsidR="00B96A2A" w:rsidRPr="00B96A2A" w:rsidRDefault="00B96A2A" w:rsidP="00B96A2A">
      <w:pPr>
        <w:tabs>
          <w:tab w:val="clear" w:pos="709"/>
        </w:tabs>
        <w:snapToGrid/>
        <w:spacing w:before="240" w:after="240"/>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 xml:space="preserve">Notes </w:t>
      </w:r>
      <w:r w:rsidRPr="00B96A2A">
        <w:rPr>
          <w:rFonts w:ascii="Arial" w:eastAsia="Arial" w:hAnsi="Arial" w:cs="Arial"/>
          <w:snapToGrid/>
          <w:sz w:val="22"/>
          <w:szCs w:val="22"/>
          <w:lang w:eastAsia="en-GB"/>
        </w:rPr>
        <w:t xml:space="preserve">that since meteotsunami are hazards driven by weather conditions, warning responsibility lies solely with the servicing NMHSs and TSPs or NTWCs play no role in real-time operational </w:t>
      </w:r>
      <w:proofErr w:type="gramStart"/>
      <w:r w:rsidRPr="00B96A2A">
        <w:rPr>
          <w:rFonts w:ascii="Arial" w:eastAsia="Arial" w:hAnsi="Arial" w:cs="Arial"/>
          <w:snapToGrid/>
          <w:sz w:val="22"/>
          <w:szCs w:val="22"/>
          <w:lang w:eastAsia="en-GB"/>
        </w:rPr>
        <w:t>alerting;</w:t>
      </w:r>
      <w:proofErr w:type="gramEnd"/>
    </w:p>
    <w:p w14:paraId="7F0FEEDF" w14:textId="77777777" w:rsidR="00B96A2A" w:rsidRPr="00B96A2A" w:rsidRDefault="00B96A2A" w:rsidP="00B96A2A">
      <w:pPr>
        <w:tabs>
          <w:tab w:val="clear" w:pos="709"/>
        </w:tabs>
        <w:snapToGrid/>
        <w:spacing w:before="240" w:after="240"/>
        <w:jc w:val="both"/>
        <w:rPr>
          <w:rFonts w:ascii="Arial" w:eastAsia="Arial" w:hAnsi="Arial" w:cs="Arial"/>
          <w:b/>
          <w:snapToGrid/>
          <w:color w:val="0070C0"/>
          <w:sz w:val="22"/>
          <w:szCs w:val="22"/>
          <w:lang w:eastAsia="en-GB"/>
        </w:rPr>
      </w:pPr>
      <w:r w:rsidRPr="00B96A2A">
        <w:rPr>
          <w:rFonts w:ascii="Arial" w:eastAsia="Arial" w:hAnsi="Arial" w:cs="Arial"/>
          <w:b/>
          <w:snapToGrid/>
          <w:sz w:val="22"/>
          <w:szCs w:val="22"/>
          <w:lang w:eastAsia="en-GB"/>
        </w:rPr>
        <w:t xml:space="preserve">Notes </w:t>
      </w:r>
      <w:r w:rsidRPr="00B96A2A">
        <w:rPr>
          <w:rFonts w:ascii="Arial" w:eastAsia="Arial" w:hAnsi="Arial" w:cs="Arial"/>
          <w:snapToGrid/>
          <w:sz w:val="22"/>
          <w:szCs w:val="22"/>
          <w:lang w:eastAsia="en-GB"/>
        </w:rPr>
        <w:t>that</w:t>
      </w:r>
      <w:r w:rsidRPr="00B96A2A">
        <w:rPr>
          <w:rFonts w:ascii="Arial" w:eastAsia="Arial" w:hAnsi="Arial" w:cs="Arial"/>
          <w:b/>
          <w:snapToGrid/>
          <w:sz w:val="22"/>
          <w:szCs w:val="22"/>
          <w:lang w:eastAsia="en-GB"/>
        </w:rPr>
        <w:t xml:space="preserve"> </w:t>
      </w:r>
      <w:r w:rsidRPr="00B96A2A">
        <w:rPr>
          <w:rFonts w:ascii="Arial" w:eastAsia="Arial" w:hAnsi="Arial" w:cs="Arial"/>
          <w:snapToGrid/>
          <w:sz w:val="22"/>
          <w:szCs w:val="22"/>
          <w:lang w:eastAsia="en-GB"/>
        </w:rPr>
        <w:t xml:space="preserve">tsunami-specific instrumentation including DART and ocean cable system can play a supporting role in terms of detection of </w:t>
      </w:r>
      <w:proofErr w:type="gramStart"/>
      <w:r w:rsidRPr="00B96A2A">
        <w:rPr>
          <w:rFonts w:ascii="Arial" w:eastAsia="Arial" w:hAnsi="Arial" w:cs="Arial"/>
          <w:snapToGrid/>
          <w:sz w:val="22"/>
          <w:szCs w:val="22"/>
          <w:lang w:eastAsia="en-GB"/>
        </w:rPr>
        <w:t>meteotsunami;</w:t>
      </w:r>
      <w:proofErr w:type="gramEnd"/>
    </w:p>
    <w:p w14:paraId="214BECD5" w14:textId="77777777" w:rsidR="00B96A2A" w:rsidRPr="00B96A2A" w:rsidRDefault="00B96A2A" w:rsidP="00B96A2A">
      <w:pPr>
        <w:tabs>
          <w:tab w:val="clear" w:pos="709"/>
        </w:tabs>
        <w:snapToGrid/>
        <w:spacing w:before="240" w:after="240"/>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Recommends each ICGs</w:t>
      </w:r>
      <w:r w:rsidRPr="00B96A2A">
        <w:rPr>
          <w:rFonts w:ascii="Arial" w:eastAsia="Arial" w:hAnsi="Arial" w:cs="Arial"/>
          <w:snapToGrid/>
          <w:sz w:val="22"/>
          <w:szCs w:val="22"/>
          <w:lang w:eastAsia="en-GB"/>
        </w:rPr>
        <w:t xml:space="preserve"> to create relationships between NMHS’ and TSPs/NTWCs </w:t>
      </w:r>
      <w:proofErr w:type="gramStart"/>
      <w:r w:rsidRPr="00B96A2A">
        <w:rPr>
          <w:rFonts w:ascii="Arial" w:eastAsia="Arial" w:hAnsi="Arial" w:cs="Arial"/>
          <w:snapToGrid/>
          <w:sz w:val="22"/>
          <w:szCs w:val="22"/>
          <w:lang w:eastAsia="en-GB"/>
        </w:rPr>
        <w:t>in order to</w:t>
      </w:r>
      <w:proofErr w:type="gramEnd"/>
      <w:r w:rsidRPr="00B96A2A">
        <w:rPr>
          <w:rFonts w:ascii="Arial" w:eastAsia="Arial" w:hAnsi="Arial" w:cs="Arial"/>
          <w:snapToGrid/>
          <w:sz w:val="22"/>
          <w:szCs w:val="22"/>
          <w:lang w:eastAsia="en-GB"/>
        </w:rPr>
        <w:t xml:space="preserve"> ensure these instruments are correctly monitored and utilized for detection of meteotsunami.</w:t>
      </w:r>
    </w:p>
    <w:p w14:paraId="78C958C1" w14:textId="77777777" w:rsidR="00B96A2A" w:rsidRPr="00B96A2A" w:rsidRDefault="00000000" w:rsidP="00B96A2A">
      <w:pPr>
        <w:tabs>
          <w:tab w:val="clear" w:pos="709"/>
        </w:tabs>
        <w:snapToGrid/>
        <w:jc w:val="both"/>
        <w:rPr>
          <w:rFonts w:ascii="Arial" w:eastAsia="Arial" w:hAnsi="Arial" w:cs="Arial"/>
          <w:snapToGrid/>
          <w:sz w:val="22"/>
          <w:szCs w:val="22"/>
          <w:lang w:eastAsia="en-GB"/>
        </w:rPr>
      </w:pPr>
      <w:sdt>
        <w:sdtPr>
          <w:rPr>
            <w:rFonts w:eastAsia="Times New Roman"/>
            <w:snapToGrid/>
            <w:lang w:eastAsia="en-GB"/>
          </w:rPr>
          <w:tag w:val="goog_rdk_10"/>
          <w:id w:val="1160121269"/>
        </w:sdtPr>
        <w:sdtContent/>
      </w:sdt>
      <w:r w:rsidR="00B96A2A" w:rsidRPr="00B96A2A">
        <w:rPr>
          <w:rFonts w:ascii="Arial" w:eastAsia="Arial" w:hAnsi="Arial" w:cs="Arial"/>
          <w:b/>
          <w:snapToGrid/>
          <w:color w:val="C00000"/>
          <w:sz w:val="22"/>
          <w:szCs w:val="22"/>
          <w:lang w:eastAsia="en-GB"/>
        </w:rPr>
        <w:t>[CESSATION OF FAX DISSEMINATION]</w:t>
      </w:r>
    </w:p>
    <w:p w14:paraId="5F5ED8DA" w14:textId="77777777" w:rsidR="00B96A2A" w:rsidRPr="00B96A2A" w:rsidRDefault="00B96A2A" w:rsidP="00B96A2A">
      <w:pPr>
        <w:shd w:val="clear" w:color="auto" w:fill="FFFFFF"/>
        <w:tabs>
          <w:tab w:val="clear" w:pos="709"/>
        </w:tabs>
        <w:snapToGrid/>
        <w:spacing w:before="240" w:after="160" w:line="254" w:lineRule="auto"/>
        <w:jc w:val="both"/>
        <w:rPr>
          <w:rFonts w:ascii="Arial" w:eastAsia="Arial" w:hAnsi="Arial" w:cs="Arial"/>
          <w:snapToGrid/>
          <w:sz w:val="22"/>
          <w:szCs w:val="22"/>
          <w:lang w:eastAsia="en-GB"/>
        </w:rPr>
      </w:pPr>
      <w:r w:rsidRPr="00B96A2A">
        <w:rPr>
          <w:rFonts w:ascii="Arial" w:eastAsia="Arial" w:hAnsi="Arial" w:cs="Arial"/>
          <w:b/>
          <w:snapToGrid/>
          <w:color w:val="0070C0"/>
          <w:sz w:val="22"/>
          <w:szCs w:val="22"/>
          <w:lang w:eastAsia="en-GB"/>
        </w:rPr>
        <w:t>Recommendation to the TSP(s)</w:t>
      </w:r>
    </w:p>
    <w:p w14:paraId="54B1FD09"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Noted</w:t>
      </w:r>
      <w:r w:rsidRPr="00B96A2A">
        <w:rPr>
          <w:rFonts w:ascii="Arial" w:eastAsia="Arial" w:hAnsi="Arial" w:cs="Arial"/>
          <w:snapToGrid/>
          <w:sz w:val="22"/>
          <w:szCs w:val="22"/>
          <w:lang w:eastAsia="en-GB"/>
        </w:rPr>
        <w:t xml:space="preserve"> that the IOC CL-3006 on the Cessation of fax transmissions of tsunami information products</w:t>
      </w:r>
    </w:p>
    <w:p w14:paraId="4B4513F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snapToGrid/>
          <w:sz w:val="22"/>
          <w:szCs w:val="22"/>
          <w:lang w:eastAsia="en-GB"/>
        </w:rPr>
        <w:t>by Tsunami Service Providers by 31 March 2025 was issued on 27 September 2024,</w:t>
      </w:r>
    </w:p>
    <w:p w14:paraId="341ADDF1"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05C134C8"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Further</w:t>
      </w:r>
      <w:r w:rsidRPr="00B96A2A">
        <w:rPr>
          <w:rFonts w:ascii="Arial" w:eastAsia="Arial" w:hAnsi="Arial" w:cs="Arial"/>
          <w:snapToGrid/>
          <w:sz w:val="22"/>
          <w:szCs w:val="22"/>
          <w:lang w:eastAsia="en-GB"/>
        </w:rPr>
        <w:t xml:space="preserve"> noted that only one Member State requested the need to continue receipt of tsunami information products through fax,</w:t>
      </w:r>
    </w:p>
    <w:p w14:paraId="6012820B"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4113D256"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Noted</w:t>
      </w:r>
      <w:r w:rsidRPr="00B96A2A">
        <w:rPr>
          <w:rFonts w:ascii="Arial" w:eastAsia="Arial" w:hAnsi="Arial" w:cs="Arial"/>
          <w:snapToGrid/>
          <w:sz w:val="22"/>
          <w:szCs w:val="22"/>
          <w:lang w:eastAsia="en-GB"/>
        </w:rPr>
        <w:t xml:space="preserve"> that fax transmissions of tsunami information products will en by Tsunami Service Providers by 31 March 2025, except for those Member State who requested the continuation of this service, for which individual arrangements between the concerned Member State and respective TSP(s) will be established </w:t>
      </w:r>
      <w:proofErr w:type="gramStart"/>
      <w:r w:rsidRPr="00B96A2A">
        <w:rPr>
          <w:rFonts w:ascii="Arial" w:eastAsia="Arial" w:hAnsi="Arial" w:cs="Arial"/>
          <w:snapToGrid/>
          <w:sz w:val="22"/>
          <w:szCs w:val="22"/>
          <w:lang w:eastAsia="en-GB"/>
        </w:rPr>
        <w:t>bilaterally;</w:t>
      </w:r>
      <w:proofErr w:type="gramEnd"/>
    </w:p>
    <w:p w14:paraId="30790E20" w14:textId="77777777" w:rsidR="00B96A2A" w:rsidRPr="00B96A2A" w:rsidRDefault="00B96A2A" w:rsidP="00B96A2A">
      <w:pPr>
        <w:tabs>
          <w:tab w:val="clear" w:pos="709"/>
        </w:tabs>
        <w:snapToGrid/>
        <w:spacing w:after="160" w:line="301" w:lineRule="auto"/>
        <w:jc w:val="both"/>
        <w:rPr>
          <w:rFonts w:ascii="Arial" w:eastAsia="Arial" w:hAnsi="Arial" w:cs="Arial"/>
          <w:snapToGrid/>
          <w:lang w:eastAsia="en-GB"/>
        </w:rPr>
      </w:pPr>
    </w:p>
    <w:p w14:paraId="2F1FB625" w14:textId="77777777" w:rsidR="00B96A2A" w:rsidRPr="00B96A2A" w:rsidRDefault="00000000" w:rsidP="00B96A2A">
      <w:pPr>
        <w:tabs>
          <w:tab w:val="clear" w:pos="709"/>
        </w:tabs>
        <w:snapToGrid/>
        <w:spacing w:after="160" w:line="301" w:lineRule="auto"/>
        <w:jc w:val="both"/>
        <w:rPr>
          <w:rFonts w:ascii="Arial" w:eastAsia="Arial" w:hAnsi="Arial" w:cs="Arial"/>
          <w:snapToGrid/>
          <w:sz w:val="22"/>
          <w:szCs w:val="22"/>
          <w:lang w:eastAsia="en-GB"/>
        </w:rPr>
      </w:pPr>
      <w:sdt>
        <w:sdtPr>
          <w:rPr>
            <w:rFonts w:eastAsia="Times New Roman"/>
            <w:snapToGrid/>
            <w:lang w:eastAsia="en-GB"/>
          </w:rPr>
          <w:tag w:val="goog_rdk_11"/>
          <w:id w:val="-224907832"/>
        </w:sdtPr>
        <w:sdtContent/>
      </w:sdt>
      <w:r w:rsidR="00B96A2A" w:rsidRPr="00B96A2A">
        <w:rPr>
          <w:rFonts w:ascii="Arial" w:eastAsia="Arial" w:hAnsi="Arial" w:cs="Arial"/>
          <w:b/>
          <w:snapToGrid/>
          <w:color w:val="980000"/>
          <w:sz w:val="22"/>
          <w:szCs w:val="22"/>
          <w:lang w:eastAsia="en-GB"/>
        </w:rPr>
        <w:t>[TSUNAMI SERVICE PROVISION CONSIDERATIONS FOR EVENTS OUTSIDE ICG EARTHQUAKE SOURCE ZONES]</w:t>
      </w:r>
    </w:p>
    <w:p w14:paraId="6E9B7F15" w14:textId="77777777" w:rsidR="00B96A2A" w:rsidRPr="00B96A2A" w:rsidRDefault="00B96A2A" w:rsidP="00B96A2A">
      <w:pPr>
        <w:shd w:val="clear" w:color="auto" w:fill="FFFFFF"/>
        <w:tabs>
          <w:tab w:val="clear" w:pos="709"/>
        </w:tabs>
        <w:snapToGrid/>
        <w:spacing w:before="240" w:after="160" w:line="254" w:lineRule="auto"/>
        <w:jc w:val="both"/>
        <w:rPr>
          <w:rFonts w:ascii="Arial" w:eastAsia="Arial" w:hAnsi="Arial" w:cs="Arial"/>
          <w:b/>
          <w:snapToGrid/>
          <w:sz w:val="22"/>
          <w:szCs w:val="22"/>
          <w:lang w:eastAsia="en-GB"/>
        </w:rPr>
      </w:pPr>
      <w:r w:rsidRPr="00B96A2A">
        <w:rPr>
          <w:rFonts w:ascii="Arial" w:eastAsia="Arial" w:hAnsi="Arial" w:cs="Arial"/>
          <w:b/>
          <w:snapToGrid/>
          <w:color w:val="0070C0"/>
          <w:sz w:val="22"/>
          <w:szCs w:val="22"/>
          <w:lang w:eastAsia="en-GB"/>
        </w:rPr>
        <w:t>Request to TT-TWO</w:t>
      </w:r>
    </w:p>
    <w:p w14:paraId="5E673A12"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Noted</w:t>
      </w:r>
      <w:r w:rsidRPr="00B96A2A">
        <w:rPr>
          <w:rFonts w:ascii="Arial" w:eastAsia="Arial" w:hAnsi="Arial" w:cs="Arial"/>
          <w:snapToGrid/>
          <w:sz w:val="22"/>
          <w:szCs w:val="22"/>
          <w:lang w:eastAsia="en-GB"/>
        </w:rPr>
        <w:t xml:space="preserve"> that there is a region in the boundary of IOTWMS and PTWS but outside of the framework of the IOC coordinated tsunami warning systems,</w:t>
      </w:r>
    </w:p>
    <w:p w14:paraId="392B9EAE"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p>
    <w:p w14:paraId="59734064" w14:textId="77777777" w:rsidR="00B96A2A" w:rsidRPr="00B96A2A" w:rsidRDefault="00B96A2A" w:rsidP="00B96A2A">
      <w:pPr>
        <w:tabs>
          <w:tab w:val="clear" w:pos="709"/>
        </w:tabs>
        <w:snapToGrid/>
        <w:jc w:val="both"/>
        <w:rPr>
          <w:rFonts w:ascii="Arial" w:eastAsia="Arial" w:hAnsi="Arial" w:cs="Arial"/>
          <w:snapToGrid/>
          <w:sz w:val="22"/>
          <w:szCs w:val="22"/>
          <w:lang w:eastAsia="en-GB"/>
        </w:rPr>
      </w:pPr>
      <w:r w:rsidRPr="00B96A2A">
        <w:rPr>
          <w:rFonts w:ascii="Arial" w:eastAsia="Arial" w:hAnsi="Arial" w:cs="Arial"/>
          <w:b/>
          <w:snapToGrid/>
          <w:sz w:val="22"/>
          <w:szCs w:val="22"/>
          <w:lang w:eastAsia="en-GB"/>
        </w:rPr>
        <w:t>Requested</w:t>
      </w:r>
      <w:r w:rsidRPr="00B96A2A">
        <w:rPr>
          <w:rFonts w:ascii="Arial" w:eastAsia="Arial" w:hAnsi="Arial" w:cs="Arial"/>
          <w:snapToGrid/>
          <w:sz w:val="22"/>
          <w:szCs w:val="22"/>
          <w:lang w:eastAsia="en-GB"/>
        </w:rPr>
        <w:t xml:space="preserve"> the TT-TWO investigate the status of the TSP service provisions in this region.</w:t>
      </w:r>
    </w:p>
    <w:p w14:paraId="357A2B99" w14:textId="77777777" w:rsidR="00B96A2A" w:rsidRPr="00B96A2A" w:rsidRDefault="00B96A2A" w:rsidP="00B96A2A">
      <w:pPr>
        <w:tabs>
          <w:tab w:val="clear" w:pos="709"/>
        </w:tabs>
        <w:snapToGrid/>
        <w:spacing w:before="42" w:line="276" w:lineRule="auto"/>
        <w:ind w:left="1795" w:right="1704"/>
        <w:jc w:val="center"/>
        <w:rPr>
          <w:rFonts w:ascii="Arial" w:eastAsia="Arial" w:hAnsi="Arial" w:cs="Arial"/>
          <w:b/>
          <w:snapToGrid/>
          <w:sz w:val="20"/>
          <w:szCs w:val="20"/>
          <w:lang w:eastAsia="en-GB"/>
        </w:rPr>
      </w:pPr>
      <w:r w:rsidRPr="00B96A2A">
        <w:rPr>
          <w:rFonts w:ascii="Arial" w:eastAsia="Arial" w:hAnsi="Arial" w:cs="Arial"/>
          <w:b/>
          <w:snapToGrid/>
          <w:sz w:val="20"/>
          <w:szCs w:val="20"/>
          <w:lang w:eastAsia="en-GB"/>
        </w:rPr>
        <w:t xml:space="preserve">Thursday, 20 February 2025, 0900-1730 Local Time </w:t>
      </w:r>
    </w:p>
    <w:p w14:paraId="2AE75C4F" w14:textId="77777777" w:rsidR="00B96A2A" w:rsidRPr="00B96A2A" w:rsidRDefault="00B96A2A" w:rsidP="00B96A2A">
      <w:pPr>
        <w:tabs>
          <w:tab w:val="clear" w:pos="709"/>
        </w:tabs>
        <w:snapToGrid/>
        <w:spacing w:before="42" w:line="276" w:lineRule="auto"/>
        <w:ind w:left="1795" w:right="1704"/>
        <w:jc w:val="center"/>
        <w:rPr>
          <w:rFonts w:ascii="Arial" w:eastAsia="Arial" w:hAnsi="Arial" w:cs="Arial"/>
          <w:snapToGrid/>
          <w:sz w:val="20"/>
          <w:szCs w:val="20"/>
          <w:lang w:eastAsia="en-GB"/>
        </w:rPr>
      </w:pPr>
      <w:r w:rsidRPr="00B96A2A">
        <w:rPr>
          <w:rFonts w:ascii="Arial" w:eastAsia="Arial" w:hAnsi="Arial" w:cs="Arial"/>
          <w:b/>
          <w:snapToGrid/>
          <w:sz w:val="20"/>
          <w:szCs w:val="20"/>
          <w:lang w:eastAsia="en-GB"/>
        </w:rPr>
        <w:t xml:space="preserve">Friday, 21 February 2025, 0900-1230 Local Time </w:t>
      </w:r>
    </w:p>
    <w:p w14:paraId="08CD005E" w14:textId="77777777" w:rsidR="00B96A2A" w:rsidRPr="00B96A2A" w:rsidRDefault="00B96A2A" w:rsidP="00B96A2A">
      <w:pPr>
        <w:keepNext/>
        <w:keepLines/>
        <w:tabs>
          <w:tab w:val="clear" w:pos="709"/>
        </w:tabs>
        <w:snapToGrid/>
        <w:spacing w:before="360" w:after="80" w:line="276" w:lineRule="auto"/>
        <w:jc w:val="center"/>
        <w:outlineLvl w:val="0"/>
        <w:rPr>
          <w:rFonts w:ascii="Arial" w:eastAsia="Arial" w:hAnsi="Arial" w:cs="Arial"/>
          <w:snapToGrid/>
          <w:color w:val="0E2841"/>
          <w:sz w:val="20"/>
          <w:szCs w:val="20"/>
          <w:lang w:eastAsia="en-GB"/>
        </w:rPr>
      </w:pPr>
      <w:bookmarkStart w:id="348" w:name="_heading=h.2xcytpi" w:colFirst="0" w:colLast="0"/>
      <w:bookmarkEnd w:id="348"/>
      <w:r w:rsidRPr="00B96A2A">
        <w:rPr>
          <w:rFonts w:ascii="Arial" w:eastAsia="Arial" w:hAnsi="Arial" w:cs="Arial"/>
          <w:snapToGrid/>
          <w:color w:val="0E2841"/>
          <w:sz w:val="20"/>
          <w:szCs w:val="20"/>
          <w:lang w:eastAsia="en-GB"/>
        </w:rPr>
        <w:t xml:space="preserve"> </w:t>
      </w:r>
      <w:bookmarkStart w:id="349" w:name="_Toc195258194"/>
      <w:r w:rsidRPr="00B96A2A">
        <w:rPr>
          <w:rFonts w:ascii="Arial" w:eastAsia="Arial" w:hAnsi="Arial" w:cs="Arial"/>
          <w:snapToGrid/>
          <w:color w:val="0E2841"/>
          <w:sz w:val="20"/>
          <w:szCs w:val="20"/>
          <w:lang w:eastAsia="en-GB"/>
        </w:rPr>
        <w:t>AGENDA OF TEAM TSUNAMI WATCH OPERATIONS</w:t>
      </w:r>
      <w:bookmarkEnd w:id="349"/>
      <w:r w:rsidRPr="00B96A2A">
        <w:rPr>
          <w:rFonts w:ascii="Arial" w:eastAsia="Arial" w:hAnsi="Arial" w:cs="Arial"/>
          <w:snapToGrid/>
          <w:color w:val="0E2841"/>
          <w:sz w:val="20"/>
          <w:szCs w:val="20"/>
          <w:lang w:eastAsia="en-GB"/>
        </w:rPr>
        <w:t xml:space="preserve"> </w:t>
      </w:r>
    </w:p>
    <w:p w14:paraId="3B93DC6F" w14:textId="77777777" w:rsidR="00B96A2A" w:rsidRPr="00B96A2A" w:rsidRDefault="00B96A2A" w:rsidP="00B96A2A">
      <w:pPr>
        <w:tabs>
          <w:tab w:val="clear" w:pos="709"/>
        </w:tabs>
        <w:snapToGrid/>
        <w:rPr>
          <w:rFonts w:ascii="Arial" w:eastAsia="Arial" w:hAnsi="Arial" w:cs="Arial"/>
          <w:snapToGrid/>
          <w:lang w:eastAsia="en-GB"/>
        </w:rPr>
      </w:pPr>
    </w:p>
    <w:p w14:paraId="327C5056" w14:textId="77777777" w:rsidR="00B96A2A" w:rsidRPr="00B96A2A" w:rsidRDefault="00B96A2A" w:rsidP="00B96A2A">
      <w:pPr>
        <w:tabs>
          <w:tab w:val="clear" w:pos="709"/>
        </w:tabs>
        <w:snapToGrid/>
        <w:spacing w:line="360" w:lineRule="auto"/>
        <w:rPr>
          <w:rFonts w:ascii="Arial" w:eastAsia="Arial" w:hAnsi="Arial" w:cs="Arial"/>
          <w:b/>
          <w:snapToGrid/>
          <w:sz w:val="22"/>
          <w:szCs w:val="22"/>
          <w:lang w:eastAsia="en-GB"/>
        </w:rPr>
      </w:pPr>
      <w:r w:rsidRPr="00B96A2A">
        <w:rPr>
          <w:rFonts w:ascii="Arial" w:eastAsia="Arial" w:hAnsi="Arial" w:cs="Arial"/>
          <w:b/>
          <w:snapToGrid/>
          <w:sz w:val="22"/>
          <w:szCs w:val="22"/>
          <w:lang w:eastAsia="en-GB"/>
        </w:rPr>
        <w:t>21 February 2025</w:t>
      </w:r>
    </w:p>
    <w:p w14:paraId="6622CE0E"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Welcome and Introductions (0900-0915)</w:t>
      </w:r>
    </w:p>
    <w:p w14:paraId="6047CE9E"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Session Organisation (Logistics and agenda) (0915-0930)</w:t>
      </w:r>
    </w:p>
    <w:p w14:paraId="3DCE73F1"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Discussion on the outcomes of the joint Meeting with TT-DMP (0930-1000)</w:t>
      </w:r>
    </w:p>
    <w:p w14:paraId="3442B7A6"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lastRenderedPageBreak/>
        <w:t>Review of TTTWO Action Items (1000-1030)</w:t>
      </w:r>
    </w:p>
    <w:p w14:paraId="7E8C1FA3" w14:textId="77777777" w:rsidR="00B96A2A" w:rsidRPr="00B96A2A" w:rsidRDefault="00B96A2A" w:rsidP="00B96A2A">
      <w:pPr>
        <w:tabs>
          <w:tab w:val="clear" w:pos="709"/>
        </w:tabs>
        <w:snapToGrid/>
        <w:ind w:left="360"/>
        <w:rPr>
          <w:rFonts w:ascii="Arial" w:eastAsia="Arial" w:hAnsi="Arial" w:cs="Arial"/>
          <w:snapToGrid/>
          <w:sz w:val="4"/>
          <w:szCs w:val="4"/>
          <w:lang w:eastAsia="en-GB"/>
        </w:rPr>
      </w:pPr>
    </w:p>
    <w:p w14:paraId="60A6A33A" w14:textId="77777777" w:rsidR="00B96A2A" w:rsidRPr="00B96A2A" w:rsidRDefault="00B96A2A" w:rsidP="00B96A2A">
      <w:pPr>
        <w:tabs>
          <w:tab w:val="clear" w:pos="709"/>
        </w:tabs>
        <w:snapToGrid/>
        <w:ind w:left="360"/>
        <w:rPr>
          <w:rFonts w:ascii="Arial" w:eastAsia="Arial" w:hAnsi="Arial" w:cs="Arial"/>
          <w:i/>
          <w:snapToGrid/>
          <w:sz w:val="22"/>
          <w:szCs w:val="22"/>
          <w:lang w:eastAsia="en-GB"/>
        </w:rPr>
      </w:pPr>
    </w:p>
    <w:p w14:paraId="73D0E160" w14:textId="77777777" w:rsidR="00B96A2A" w:rsidRPr="00B96A2A" w:rsidRDefault="00B96A2A" w:rsidP="00B96A2A">
      <w:pPr>
        <w:tabs>
          <w:tab w:val="clear" w:pos="709"/>
        </w:tabs>
        <w:snapToGrid/>
        <w:ind w:left="360"/>
        <w:rPr>
          <w:rFonts w:ascii="Arial" w:eastAsia="Arial" w:hAnsi="Arial" w:cs="Arial"/>
          <w:i/>
          <w:snapToGrid/>
          <w:sz w:val="22"/>
          <w:szCs w:val="22"/>
          <w:lang w:eastAsia="en-GB"/>
        </w:rPr>
      </w:pPr>
      <w:r w:rsidRPr="00B96A2A">
        <w:rPr>
          <w:rFonts w:ascii="Arial" w:eastAsia="Arial" w:hAnsi="Arial" w:cs="Arial"/>
          <w:i/>
          <w:snapToGrid/>
          <w:sz w:val="22"/>
          <w:szCs w:val="22"/>
          <w:lang w:eastAsia="en-GB"/>
        </w:rPr>
        <w:t>Coffee Break and Group Photo (1030-1100)</w:t>
      </w:r>
    </w:p>
    <w:p w14:paraId="2F632300" w14:textId="77777777" w:rsidR="00B96A2A" w:rsidRPr="00B96A2A" w:rsidRDefault="00B96A2A" w:rsidP="00B96A2A">
      <w:pPr>
        <w:tabs>
          <w:tab w:val="clear" w:pos="709"/>
        </w:tabs>
        <w:snapToGrid/>
        <w:ind w:left="360"/>
        <w:rPr>
          <w:rFonts w:ascii="Arial" w:eastAsia="Arial" w:hAnsi="Arial" w:cs="Arial"/>
          <w:i/>
          <w:snapToGrid/>
          <w:sz w:val="22"/>
          <w:szCs w:val="22"/>
          <w:lang w:eastAsia="en-GB"/>
        </w:rPr>
      </w:pPr>
    </w:p>
    <w:p w14:paraId="09428C0C" w14:textId="77777777" w:rsidR="00B96A2A" w:rsidRPr="00B96A2A" w:rsidRDefault="00B96A2A" w:rsidP="00B96A2A">
      <w:pPr>
        <w:tabs>
          <w:tab w:val="clear" w:pos="709"/>
        </w:tabs>
        <w:snapToGrid/>
        <w:ind w:left="360"/>
        <w:rPr>
          <w:rFonts w:ascii="Arial" w:eastAsia="Arial" w:hAnsi="Arial" w:cs="Arial"/>
          <w:snapToGrid/>
          <w:sz w:val="4"/>
          <w:szCs w:val="4"/>
          <w:lang w:eastAsia="en-GB"/>
        </w:rPr>
      </w:pPr>
    </w:p>
    <w:p w14:paraId="5903620E"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Tsunami Watch Operations status and plans in all ICGs (1100-1200)</w:t>
      </w:r>
    </w:p>
    <w:p w14:paraId="71D587AD" w14:textId="77777777" w:rsidR="00B96A2A" w:rsidRPr="00B96A2A" w:rsidRDefault="00B96A2A" w:rsidP="00B96A2A">
      <w:pPr>
        <w:numPr>
          <w:ilvl w:val="1"/>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ICG/CARIBE-EWS</w:t>
      </w:r>
    </w:p>
    <w:p w14:paraId="27C2FAD3" w14:textId="77777777" w:rsidR="00B96A2A" w:rsidRPr="00B96A2A" w:rsidRDefault="00B96A2A" w:rsidP="00B96A2A">
      <w:pPr>
        <w:numPr>
          <w:ilvl w:val="1"/>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ICG/IOTWMS</w:t>
      </w:r>
    </w:p>
    <w:p w14:paraId="7E1D379B" w14:textId="77777777" w:rsidR="00B96A2A" w:rsidRPr="00B96A2A" w:rsidRDefault="00B96A2A" w:rsidP="00B96A2A">
      <w:pPr>
        <w:numPr>
          <w:ilvl w:val="1"/>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ICG/NEAMTWS</w:t>
      </w:r>
    </w:p>
    <w:p w14:paraId="41EB3609" w14:textId="77777777" w:rsidR="00B96A2A" w:rsidRPr="00B96A2A" w:rsidRDefault="00B96A2A" w:rsidP="00B96A2A">
      <w:pPr>
        <w:numPr>
          <w:ilvl w:val="1"/>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ICG/PTWS</w:t>
      </w:r>
    </w:p>
    <w:p w14:paraId="7784D381"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Updates to Area of Coverage and ESZ Maps of the ICGs (1200-1215)</w:t>
      </w:r>
    </w:p>
    <w:p w14:paraId="3DB2ECB5"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Tsunami Service Provision Considerations for Events Outside ICG Earthquake Source Zones (1215-1230)</w:t>
      </w:r>
    </w:p>
    <w:p w14:paraId="142FA483"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Updates on Products for Maritime Community (1230-1245)</w:t>
      </w:r>
    </w:p>
    <w:p w14:paraId="02C6F762"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Optimal Seismic and Sea level Monitoring Networks (1245-1300)</w:t>
      </w:r>
    </w:p>
    <w:p w14:paraId="260D0A26" w14:textId="77777777" w:rsidR="00B96A2A" w:rsidRPr="00B96A2A" w:rsidRDefault="00B96A2A" w:rsidP="00B96A2A">
      <w:pPr>
        <w:tabs>
          <w:tab w:val="clear" w:pos="709"/>
        </w:tabs>
        <w:snapToGrid/>
        <w:ind w:left="360"/>
        <w:rPr>
          <w:rFonts w:ascii="Arial" w:eastAsia="Arial" w:hAnsi="Arial" w:cs="Arial"/>
          <w:snapToGrid/>
          <w:sz w:val="4"/>
          <w:szCs w:val="4"/>
          <w:lang w:eastAsia="en-GB"/>
        </w:rPr>
      </w:pPr>
    </w:p>
    <w:p w14:paraId="5D4B1957" w14:textId="77777777" w:rsidR="00B96A2A" w:rsidRPr="00B96A2A" w:rsidRDefault="00B96A2A" w:rsidP="00B96A2A">
      <w:pPr>
        <w:tabs>
          <w:tab w:val="clear" w:pos="709"/>
        </w:tabs>
        <w:snapToGrid/>
        <w:ind w:left="360"/>
        <w:rPr>
          <w:rFonts w:ascii="Arial" w:eastAsia="Arial" w:hAnsi="Arial" w:cs="Arial"/>
          <w:i/>
          <w:snapToGrid/>
          <w:sz w:val="22"/>
          <w:szCs w:val="22"/>
          <w:lang w:eastAsia="en-GB"/>
        </w:rPr>
      </w:pPr>
    </w:p>
    <w:p w14:paraId="2517FEAA" w14:textId="77777777" w:rsidR="00B96A2A" w:rsidRPr="00B96A2A" w:rsidRDefault="00B96A2A" w:rsidP="00B96A2A">
      <w:pPr>
        <w:tabs>
          <w:tab w:val="clear" w:pos="709"/>
        </w:tabs>
        <w:snapToGrid/>
        <w:ind w:left="360"/>
        <w:rPr>
          <w:rFonts w:ascii="Arial" w:eastAsia="Arial" w:hAnsi="Arial" w:cs="Arial"/>
          <w:i/>
          <w:snapToGrid/>
          <w:sz w:val="22"/>
          <w:szCs w:val="22"/>
          <w:lang w:eastAsia="en-GB"/>
        </w:rPr>
      </w:pPr>
      <w:r w:rsidRPr="00B96A2A">
        <w:rPr>
          <w:rFonts w:ascii="Arial" w:eastAsia="Arial" w:hAnsi="Arial" w:cs="Arial"/>
          <w:i/>
          <w:snapToGrid/>
          <w:sz w:val="22"/>
          <w:szCs w:val="22"/>
          <w:lang w:eastAsia="en-GB"/>
        </w:rPr>
        <w:t>Lunch Break (1300-1430)</w:t>
      </w:r>
    </w:p>
    <w:p w14:paraId="2491945B" w14:textId="77777777" w:rsidR="00B96A2A" w:rsidRPr="00B96A2A" w:rsidRDefault="00B96A2A" w:rsidP="00B96A2A">
      <w:pPr>
        <w:tabs>
          <w:tab w:val="clear" w:pos="709"/>
        </w:tabs>
        <w:snapToGrid/>
        <w:ind w:left="360"/>
        <w:rPr>
          <w:rFonts w:ascii="Arial" w:eastAsia="Arial" w:hAnsi="Arial" w:cs="Arial"/>
          <w:i/>
          <w:snapToGrid/>
          <w:sz w:val="22"/>
          <w:szCs w:val="22"/>
          <w:lang w:eastAsia="en-GB"/>
        </w:rPr>
      </w:pPr>
    </w:p>
    <w:p w14:paraId="7FF51D4E" w14:textId="77777777" w:rsidR="00B96A2A" w:rsidRPr="00B96A2A" w:rsidRDefault="00B96A2A" w:rsidP="00B96A2A">
      <w:pPr>
        <w:tabs>
          <w:tab w:val="clear" w:pos="709"/>
        </w:tabs>
        <w:snapToGrid/>
        <w:ind w:left="360"/>
        <w:rPr>
          <w:rFonts w:ascii="Arial" w:eastAsia="Arial" w:hAnsi="Arial" w:cs="Arial"/>
          <w:snapToGrid/>
          <w:sz w:val="4"/>
          <w:szCs w:val="4"/>
          <w:lang w:eastAsia="en-GB"/>
        </w:rPr>
      </w:pPr>
    </w:p>
    <w:p w14:paraId="797226A7"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Discussion on SOPs for Tsunamis Generated by non-seismic sources (1430-1530)</w:t>
      </w:r>
    </w:p>
    <w:p w14:paraId="2B41D579" w14:textId="77777777" w:rsidR="00B96A2A" w:rsidRPr="00B96A2A" w:rsidRDefault="00B96A2A" w:rsidP="00B96A2A">
      <w:pPr>
        <w:numPr>
          <w:ilvl w:val="1"/>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Tsunami Generated by Volcanoes </w:t>
      </w:r>
    </w:p>
    <w:p w14:paraId="17A73FBA" w14:textId="77777777" w:rsidR="00B96A2A" w:rsidRPr="00B96A2A" w:rsidRDefault="00B96A2A" w:rsidP="00B96A2A">
      <w:pPr>
        <w:numPr>
          <w:ilvl w:val="1"/>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 xml:space="preserve"> </w:t>
      </w:r>
      <w:proofErr w:type="spellStart"/>
      <w:r w:rsidRPr="00B96A2A">
        <w:rPr>
          <w:rFonts w:ascii="Arial" w:eastAsia="Arial" w:hAnsi="Arial" w:cs="Arial"/>
          <w:snapToGrid/>
          <w:sz w:val="22"/>
          <w:szCs w:val="22"/>
          <w:lang w:eastAsia="en-GB"/>
        </w:rPr>
        <w:t>Meteo</w:t>
      </w:r>
      <w:proofErr w:type="spellEnd"/>
      <w:r w:rsidRPr="00B96A2A">
        <w:rPr>
          <w:rFonts w:ascii="Arial" w:eastAsia="Arial" w:hAnsi="Arial" w:cs="Arial"/>
          <w:snapToGrid/>
          <w:sz w:val="22"/>
          <w:szCs w:val="22"/>
          <w:lang w:eastAsia="en-GB"/>
        </w:rPr>
        <w:t>-tsunami</w:t>
      </w:r>
    </w:p>
    <w:p w14:paraId="064481F7" w14:textId="77777777" w:rsidR="00B96A2A" w:rsidRPr="00B96A2A" w:rsidRDefault="00B96A2A" w:rsidP="00B96A2A">
      <w:pPr>
        <w:numPr>
          <w:ilvl w:val="1"/>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Other non-seismic sources</w:t>
      </w:r>
    </w:p>
    <w:p w14:paraId="0D3A8779" w14:textId="77777777" w:rsidR="00B96A2A" w:rsidRPr="00B96A2A" w:rsidRDefault="00B96A2A" w:rsidP="00B96A2A">
      <w:pPr>
        <w:tabs>
          <w:tab w:val="clear" w:pos="709"/>
        </w:tabs>
        <w:snapToGrid/>
        <w:rPr>
          <w:rFonts w:ascii="Arial" w:eastAsia="Arial" w:hAnsi="Arial" w:cs="Arial"/>
          <w:snapToGrid/>
          <w:sz w:val="8"/>
          <w:szCs w:val="8"/>
          <w:lang w:eastAsia="en-GB"/>
        </w:rPr>
      </w:pPr>
    </w:p>
    <w:p w14:paraId="196BDCEA" w14:textId="77777777" w:rsidR="00B96A2A" w:rsidRPr="00B96A2A" w:rsidRDefault="00B96A2A" w:rsidP="00B96A2A">
      <w:pPr>
        <w:tabs>
          <w:tab w:val="clear" w:pos="709"/>
        </w:tabs>
        <w:snapToGrid/>
        <w:ind w:left="360"/>
        <w:rPr>
          <w:rFonts w:ascii="Arial" w:eastAsia="Arial" w:hAnsi="Arial" w:cs="Arial"/>
          <w:i/>
          <w:snapToGrid/>
          <w:sz w:val="22"/>
          <w:szCs w:val="22"/>
          <w:lang w:eastAsia="en-GB"/>
        </w:rPr>
      </w:pPr>
      <w:r w:rsidRPr="00B96A2A">
        <w:rPr>
          <w:rFonts w:ascii="Arial" w:eastAsia="Arial" w:hAnsi="Arial" w:cs="Arial"/>
          <w:i/>
          <w:snapToGrid/>
          <w:sz w:val="22"/>
          <w:szCs w:val="22"/>
          <w:lang w:eastAsia="en-GB"/>
        </w:rPr>
        <w:t>Coffee Break (1530-1600)</w:t>
      </w:r>
    </w:p>
    <w:p w14:paraId="5A06BA13" w14:textId="77777777" w:rsidR="00B96A2A" w:rsidRPr="00B96A2A" w:rsidRDefault="00B96A2A" w:rsidP="00B96A2A">
      <w:pPr>
        <w:tabs>
          <w:tab w:val="clear" w:pos="709"/>
        </w:tabs>
        <w:snapToGrid/>
        <w:rPr>
          <w:rFonts w:ascii="Arial" w:eastAsia="Arial" w:hAnsi="Arial" w:cs="Arial"/>
          <w:snapToGrid/>
          <w:sz w:val="8"/>
          <w:szCs w:val="8"/>
          <w:lang w:eastAsia="en-GB"/>
        </w:rPr>
      </w:pPr>
    </w:p>
    <w:p w14:paraId="4F1D462A"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Common Format for the TSPs’ Tsunami Products (1600-1630)</w:t>
      </w:r>
    </w:p>
    <w:p w14:paraId="31199C3D"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Updates on the Global Service Definition Document (1630-1730)</w:t>
      </w:r>
    </w:p>
    <w:p w14:paraId="3E8BA7FA" w14:textId="77777777" w:rsidR="00B96A2A" w:rsidRPr="00B96A2A" w:rsidRDefault="00B96A2A" w:rsidP="00B96A2A">
      <w:pPr>
        <w:tabs>
          <w:tab w:val="clear" w:pos="709"/>
        </w:tabs>
        <w:snapToGrid/>
        <w:spacing w:line="360" w:lineRule="auto"/>
        <w:rPr>
          <w:rFonts w:ascii="Arial" w:eastAsia="Arial" w:hAnsi="Arial" w:cs="Arial"/>
          <w:b/>
          <w:snapToGrid/>
          <w:sz w:val="22"/>
          <w:szCs w:val="22"/>
          <w:lang w:eastAsia="en-GB"/>
        </w:rPr>
      </w:pPr>
    </w:p>
    <w:p w14:paraId="0EB7F72B" w14:textId="77777777" w:rsidR="00B96A2A" w:rsidRPr="00B96A2A" w:rsidRDefault="00B96A2A" w:rsidP="00B96A2A">
      <w:pPr>
        <w:tabs>
          <w:tab w:val="clear" w:pos="709"/>
        </w:tabs>
        <w:snapToGrid/>
        <w:spacing w:line="360" w:lineRule="auto"/>
        <w:rPr>
          <w:rFonts w:ascii="Arial" w:eastAsia="Arial" w:hAnsi="Arial" w:cs="Arial"/>
          <w:b/>
          <w:snapToGrid/>
          <w:sz w:val="22"/>
          <w:szCs w:val="22"/>
          <w:lang w:eastAsia="en-GB"/>
        </w:rPr>
      </w:pPr>
      <w:r w:rsidRPr="00B96A2A">
        <w:rPr>
          <w:rFonts w:ascii="Arial" w:eastAsia="Arial" w:hAnsi="Arial" w:cs="Arial"/>
          <w:b/>
          <w:snapToGrid/>
          <w:sz w:val="22"/>
          <w:szCs w:val="22"/>
          <w:lang w:eastAsia="en-GB"/>
        </w:rPr>
        <w:t>22 February 2025</w:t>
      </w:r>
    </w:p>
    <w:p w14:paraId="4291DBD3"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Support for Ocean Decade Tsunami Programme Research &amp; Development</w:t>
      </w:r>
    </w:p>
    <w:p w14:paraId="70AB181F" w14:textId="77777777" w:rsidR="00B96A2A" w:rsidRPr="00B96A2A" w:rsidRDefault="00B96A2A" w:rsidP="00B96A2A">
      <w:pPr>
        <w:tabs>
          <w:tab w:val="clear" w:pos="709"/>
        </w:tabs>
        <w:snapToGrid/>
        <w:rPr>
          <w:rFonts w:ascii="Arial" w:eastAsia="Arial" w:hAnsi="Arial" w:cs="Arial"/>
          <w:snapToGrid/>
          <w:sz w:val="22"/>
          <w:szCs w:val="22"/>
          <w:lang w:eastAsia="en-GB"/>
        </w:rPr>
      </w:pPr>
      <w:r w:rsidRPr="00B96A2A">
        <w:rPr>
          <w:rFonts w:ascii="Arial" w:eastAsia="Arial" w:hAnsi="Arial" w:cs="Arial"/>
          <w:snapToGrid/>
          <w:sz w:val="22"/>
          <w:szCs w:val="22"/>
          <w:lang w:eastAsia="en-GB"/>
        </w:rPr>
        <w:t>Implementation Plan (0900-0930)</w:t>
      </w:r>
    </w:p>
    <w:p w14:paraId="6EC961BB"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TT-TWO Work Plan (0930-1030)</w:t>
      </w:r>
    </w:p>
    <w:p w14:paraId="3EB74888" w14:textId="77777777" w:rsidR="00B96A2A" w:rsidRPr="00B96A2A" w:rsidRDefault="00B96A2A" w:rsidP="00B96A2A">
      <w:pPr>
        <w:tabs>
          <w:tab w:val="clear" w:pos="709"/>
        </w:tabs>
        <w:snapToGrid/>
        <w:ind w:left="360"/>
        <w:rPr>
          <w:rFonts w:ascii="Arial" w:eastAsia="Arial" w:hAnsi="Arial" w:cs="Arial"/>
          <w:i/>
          <w:snapToGrid/>
          <w:sz w:val="22"/>
          <w:szCs w:val="22"/>
          <w:lang w:eastAsia="en-GB"/>
        </w:rPr>
      </w:pPr>
    </w:p>
    <w:p w14:paraId="18665E27" w14:textId="77777777" w:rsidR="00B96A2A" w:rsidRPr="00B96A2A" w:rsidRDefault="00B96A2A" w:rsidP="00B96A2A">
      <w:pPr>
        <w:tabs>
          <w:tab w:val="clear" w:pos="709"/>
        </w:tabs>
        <w:snapToGrid/>
        <w:ind w:left="360"/>
        <w:rPr>
          <w:rFonts w:ascii="Arial" w:eastAsia="Arial" w:hAnsi="Arial" w:cs="Arial"/>
          <w:i/>
          <w:snapToGrid/>
          <w:sz w:val="22"/>
          <w:szCs w:val="22"/>
          <w:lang w:eastAsia="en-GB"/>
        </w:rPr>
      </w:pPr>
      <w:r w:rsidRPr="00B96A2A">
        <w:rPr>
          <w:rFonts w:ascii="Arial" w:eastAsia="Arial" w:hAnsi="Arial" w:cs="Arial"/>
          <w:i/>
          <w:snapToGrid/>
          <w:sz w:val="22"/>
          <w:szCs w:val="22"/>
          <w:lang w:eastAsia="en-GB"/>
        </w:rPr>
        <w:t>Coffee Break (1030-1100)</w:t>
      </w:r>
    </w:p>
    <w:p w14:paraId="2A36C25B" w14:textId="77777777" w:rsidR="00B96A2A" w:rsidRPr="00B96A2A" w:rsidRDefault="00B96A2A" w:rsidP="00B96A2A">
      <w:pPr>
        <w:tabs>
          <w:tab w:val="clear" w:pos="709"/>
        </w:tabs>
        <w:snapToGrid/>
        <w:rPr>
          <w:rFonts w:ascii="Arial" w:eastAsia="Arial" w:hAnsi="Arial" w:cs="Arial"/>
          <w:snapToGrid/>
          <w:sz w:val="22"/>
          <w:szCs w:val="22"/>
          <w:lang w:eastAsia="en-GB"/>
        </w:rPr>
      </w:pPr>
    </w:p>
    <w:p w14:paraId="11CADBC7"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AOB (1100-1115)</w:t>
      </w:r>
    </w:p>
    <w:p w14:paraId="2E5E160B" w14:textId="77777777" w:rsidR="00B96A2A" w:rsidRPr="00B96A2A" w:rsidRDefault="00B96A2A" w:rsidP="00B96A2A">
      <w:pPr>
        <w:numPr>
          <w:ilvl w:val="0"/>
          <w:numId w:val="171"/>
        </w:numPr>
        <w:tabs>
          <w:tab w:val="clear" w:pos="709"/>
        </w:tabs>
        <w:snapToGrid/>
        <w:spacing w:after="160" w:line="278" w:lineRule="auto"/>
        <w:rPr>
          <w:rFonts w:ascii="Arial" w:eastAsia="Arial" w:hAnsi="Arial" w:cs="Arial"/>
          <w:snapToGrid/>
          <w:sz w:val="22"/>
          <w:szCs w:val="22"/>
          <w:lang w:eastAsia="en-GB"/>
        </w:rPr>
      </w:pPr>
      <w:r w:rsidRPr="00B96A2A">
        <w:rPr>
          <w:rFonts w:ascii="Arial" w:eastAsia="Arial" w:hAnsi="Arial" w:cs="Arial"/>
          <w:snapToGrid/>
          <w:sz w:val="22"/>
          <w:szCs w:val="22"/>
          <w:lang w:eastAsia="en-GB"/>
        </w:rPr>
        <w:t>Recommendations and Report to the TOWS-WG (1115-1230)</w:t>
      </w:r>
    </w:p>
    <w:p w14:paraId="6A80790A" w14:textId="77777777" w:rsidR="00B96A2A" w:rsidRPr="00B96A2A" w:rsidRDefault="00B96A2A" w:rsidP="00B96A2A">
      <w:pPr>
        <w:keepNext/>
        <w:keepLines/>
        <w:tabs>
          <w:tab w:val="clear" w:pos="709"/>
        </w:tabs>
        <w:snapToGrid/>
        <w:ind w:left="91"/>
        <w:jc w:val="center"/>
        <w:outlineLvl w:val="0"/>
        <w:rPr>
          <w:rFonts w:ascii="Arial" w:eastAsia="Arial" w:hAnsi="Arial" w:cs="Arial"/>
          <w:snapToGrid/>
          <w:color w:val="0F4761"/>
          <w:sz w:val="20"/>
          <w:szCs w:val="20"/>
          <w:lang w:eastAsia="en-GB"/>
        </w:rPr>
      </w:pPr>
      <w:bookmarkStart w:id="350" w:name="_heading=h.1ci93xb" w:colFirst="0" w:colLast="0"/>
      <w:bookmarkEnd w:id="350"/>
    </w:p>
    <w:p w14:paraId="5DB054B0" w14:textId="77777777" w:rsidR="00B96A2A" w:rsidRPr="00B96A2A" w:rsidRDefault="00B96A2A" w:rsidP="00B96A2A">
      <w:pPr>
        <w:keepNext/>
        <w:keepLines/>
        <w:tabs>
          <w:tab w:val="clear" w:pos="709"/>
        </w:tabs>
        <w:snapToGrid/>
        <w:ind w:left="91"/>
        <w:jc w:val="center"/>
        <w:outlineLvl w:val="0"/>
        <w:rPr>
          <w:rFonts w:ascii="Arial" w:eastAsia="Arial" w:hAnsi="Arial" w:cs="Arial"/>
          <w:snapToGrid/>
          <w:color w:val="0F4761"/>
          <w:sz w:val="20"/>
          <w:szCs w:val="20"/>
          <w:lang w:eastAsia="en-GB"/>
        </w:rPr>
      </w:pPr>
      <w:bookmarkStart w:id="351" w:name="_heading=h.7ny1ngssthlf" w:colFirst="0" w:colLast="0"/>
      <w:bookmarkEnd w:id="351"/>
    </w:p>
    <w:p w14:paraId="50ADDEE5" w14:textId="77777777" w:rsidR="00B96A2A" w:rsidRPr="00B96A2A" w:rsidRDefault="00B96A2A" w:rsidP="00B96A2A">
      <w:pPr>
        <w:tabs>
          <w:tab w:val="clear" w:pos="709"/>
        </w:tabs>
        <w:snapToGrid/>
        <w:rPr>
          <w:rFonts w:eastAsia="Times New Roman"/>
          <w:snapToGrid/>
          <w:lang w:eastAsia="en-GB"/>
        </w:rPr>
      </w:pPr>
    </w:p>
    <w:p w14:paraId="394CD3CE" w14:textId="77777777" w:rsidR="00B96A2A" w:rsidRPr="00B96A2A" w:rsidRDefault="00B96A2A" w:rsidP="00B96A2A">
      <w:pPr>
        <w:tabs>
          <w:tab w:val="clear" w:pos="709"/>
        </w:tabs>
        <w:snapToGrid/>
        <w:rPr>
          <w:rFonts w:eastAsia="Times New Roman"/>
          <w:snapToGrid/>
          <w:lang w:eastAsia="en-GB"/>
        </w:rPr>
      </w:pPr>
    </w:p>
    <w:p w14:paraId="53664CCB" w14:textId="77777777" w:rsidR="00B96A2A" w:rsidRPr="00B96A2A" w:rsidRDefault="00B96A2A" w:rsidP="00B96A2A">
      <w:pPr>
        <w:tabs>
          <w:tab w:val="clear" w:pos="709"/>
        </w:tabs>
        <w:snapToGrid/>
        <w:rPr>
          <w:rFonts w:eastAsia="Times New Roman"/>
          <w:snapToGrid/>
          <w:lang w:eastAsia="en-GB"/>
        </w:rPr>
      </w:pPr>
    </w:p>
    <w:p w14:paraId="169CE21D" w14:textId="77777777" w:rsidR="00B96A2A" w:rsidRPr="00B96A2A" w:rsidRDefault="00B96A2A" w:rsidP="00B96A2A">
      <w:pPr>
        <w:tabs>
          <w:tab w:val="clear" w:pos="709"/>
        </w:tabs>
        <w:snapToGrid/>
        <w:rPr>
          <w:rFonts w:eastAsia="Times New Roman"/>
          <w:snapToGrid/>
          <w:lang w:eastAsia="en-GB"/>
        </w:rPr>
      </w:pPr>
    </w:p>
    <w:p w14:paraId="1B9B2843" w14:textId="77777777" w:rsidR="00B96A2A" w:rsidRPr="00B96A2A" w:rsidRDefault="00B96A2A" w:rsidP="00B96A2A">
      <w:pPr>
        <w:keepNext/>
        <w:keepLines/>
        <w:tabs>
          <w:tab w:val="clear" w:pos="709"/>
        </w:tabs>
        <w:snapToGrid/>
        <w:ind w:left="91"/>
        <w:jc w:val="center"/>
        <w:outlineLvl w:val="0"/>
        <w:rPr>
          <w:rFonts w:ascii="Arial" w:eastAsia="Arial" w:hAnsi="Arial" w:cs="Arial"/>
          <w:snapToGrid/>
          <w:color w:val="0F4761"/>
          <w:sz w:val="20"/>
          <w:szCs w:val="20"/>
          <w:lang w:eastAsia="en-GB"/>
        </w:rPr>
      </w:pPr>
      <w:bookmarkStart w:id="352" w:name="_heading=h.vxhdja7wzmqd" w:colFirst="0" w:colLast="0"/>
      <w:bookmarkStart w:id="353" w:name="_Toc195258195"/>
      <w:bookmarkEnd w:id="352"/>
      <w:r w:rsidRPr="00B96A2A">
        <w:rPr>
          <w:rFonts w:ascii="Arial" w:eastAsia="Arial" w:hAnsi="Arial" w:cs="Arial"/>
          <w:snapToGrid/>
          <w:color w:val="0F4761"/>
          <w:sz w:val="20"/>
          <w:szCs w:val="20"/>
          <w:lang w:eastAsia="en-GB"/>
        </w:rPr>
        <w:t>MEMBERS AND OBSERVERS OF TOWS TASK TEAM ON TSUNAMI WATCH OPERATIONS</w:t>
      </w:r>
      <w:bookmarkEnd w:id="353"/>
    </w:p>
    <w:p w14:paraId="2A644EE2" w14:textId="77777777" w:rsidR="00B96A2A" w:rsidRPr="00B96A2A" w:rsidRDefault="00B96A2A" w:rsidP="00B96A2A">
      <w:pPr>
        <w:tabs>
          <w:tab w:val="clear" w:pos="709"/>
        </w:tabs>
        <w:snapToGrid/>
        <w:rPr>
          <w:rFonts w:ascii="Arial" w:eastAsia="Arial" w:hAnsi="Arial" w:cs="Arial"/>
          <w:snapToGrid/>
          <w:lang w:eastAsia="en-GB"/>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4"/>
        <w:gridCol w:w="1581"/>
        <w:gridCol w:w="1984"/>
        <w:gridCol w:w="3341"/>
      </w:tblGrid>
      <w:tr w:rsidR="00B96A2A" w:rsidRPr="00B96A2A" w14:paraId="7CDC930A" w14:textId="77777777" w:rsidTr="00C436F6">
        <w:trPr>
          <w:trHeight w:val="299"/>
        </w:trPr>
        <w:tc>
          <w:tcPr>
            <w:tcW w:w="2814" w:type="dxa"/>
            <w:vAlign w:val="center"/>
          </w:tcPr>
          <w:p w14:paraId="653304F2" w14:textId="77777777" w:rsidR="00B96A2A" w:rsidRPr="00B96A2A" w:rsidRDefault="00B96A2A" w:rsidP="00B96A2A">
            <w:pPr>
              <w:tabs>
                <w:tab w:val="clear" w:pos="709"/>
              </w:tabs>
              <w:snapToGrid/>
              <w:ind w:left="180"/>
              <w:rPr>
                <w:rFonts w:ascii="Arial" w:eastAsia="Arial" w:hAnsi="Arial" w:cs="Arial"/>
                <w:b/>
                <w:snapToGrid/>
                <w:sz w:val="20"/>
                <w:szCs w:val="20"/>
                <w:lang w:eastAsia="en-GB"/>
              </w:rPr>
            </w:pPr>
            <w:r w:rsidRPr="00B96A2A">
              <w:rPr>
                <w:rFonts w:ascii="Arial" w:eastAsia="Arial" w:hAnsi="Arial" w:cs="Arial"/>
                <w:b/>
                <w:snapToGrid/>
                <w:sz w:val="20"/>
                <w:szCs w:val="20"/>
                <w:lang w:eastAsia="en-GB"/>
              </w:rPr>
              <w:t>Name</w:t>
            </w:r>
          </w:p>
        </w:tc>
        <w:tc>
          <w:tcPr>
            <w:tcW w:w="1581" w:type="dxa"/>
            <w:vAlign w:val="center"/>
          </w:tcPr>
          <w:p w14:paraId="7151B7BD" w14:textId="77777777" w:rsidR="00B96A2A" w:rsidRPr="00B96A2A" w:rsidRDefault="00B96A2A" w:rsidP="00B96A2A">
            <w:pPr>
              <w:tabs>
                <w:tab w:val="clear" w:pos="709"/>
              </w:tabs>
              <w:snapToGrid/>
              <w:ind w:left="180"/>
              <w:rPr>
                <w:rFonts w:ascii="Arial" w:eastAsia="Arial" w:hAnsi="Arial" w:cs="Arial"/>
                <w:b/>
                <w:snapToGrid/>
                <w:sz w:val="20"/>
                <w:szCs w:val="20"/>
                <w:lang w:eastAsia="en-GB"/>
              </w:rPr>
            </w:pPr>
            <w:r w:rsidRPr="00B96A2A">
              <w:rPr>
                <w:rFonts w:ascii="Arial" w:eastAsia="Arial" w:hAnsi="Arial" w:cs="Arial"/>
                <w:b/>
                <w:snapToGrid/>
                <w:sz w:val="20"/>
                <w:szCs w:val="20"/>
                <w:lang w:eastAsia="en-GB"/>
              </w:rPr>
              <w:t>Country</w:t>
            </w:r>
          </w:p>
        </w:tc>
        <w:tc>
          <w:tcPr>
            <w:tcW w:w="1984" w:type="dxa"/>
            <w:vAlign w:val="center"/>
          </w:tcPr>
          <w:p w14:paraId="6702C937" w14:textId="77777777" w:rsidR="00B96A2A" w:rsidRPr="00B96A2A" w:rsidRDefault="00B96A2A" w:rsidP="00B96A2A">
            <w:pPr>
              <w:tabs>
                <w:tab w:val="clear" w:pos="709"/>
              </w:tabs>
              <w:snapToGrid/>
              <w:ind w:left="180"/>
              <w:rPr>
                <w:rFonts w:ascii="Arial" w:eastAsia="Arial" w:hAnsi="Arial" w:cs="Arial"/>
                <w:b/>
                <w:snapToGrid/>
                <w:sz w:val="20"/>
                <w:szCs w:val="20"/>
                <w:lang w:eastAsia="en-GB"/>
              </w:rPr>
            </w:pPr>
            <w:r w:rsidRPr="00B96A2A">
              <w:rPr>
                <w:rFonts w:ascii="Arial" w:eastAsia="Arial" w:hAnsi="Arial" w:cs="Arial"/>
                <w:b/>
                <w:snapToGrid/>
                <w:sz w:val="20"/>
                <w:szCs w:val="20"/>
                <w:lang w:eastAsia="en-GB"/>
              </w:rPr>
              <w:t>Organisation</w:t>
            </w:r>
          </w:p>
        </w:tc>
        <w:tc>
          <w:tcPr>
            <w:tcW w:w="3341" w:type="dxa"/>
            <w:vAlign w:val="center"/>
          </w:tcPr>
          <w:p w14:paraId="70EE310C" w14:textId="77777777" w:rsidR="00B96A2A" w:rsidRPr="00B96A2A" w:rsidRDefault="00B96A2A" w:rsidP="00B96A2A">
            <w:pPr>
              <w:tabs>
                <w:tab w:val="clear" w:pos="709"/>
              </w:tabs>
              <w:snapToGrid/>
              <w:ind w:left="180"/>
              <w:rPr>
                <w:rFonts w:ascii="Arial" w:eastAsia="Arial" w:hAnsi="Arial" w:cs="Arial"/>
                <w:b/>
                <w:snapToGrid/>
                <w:sz w:val="20"/>
                <w:szCs w:val="20"/>
                <w:lang w:eastAsia="en-GB"/>
              </w:rPr>
            </w:pPr>
            <w:r w:rsidRPr="00B96A2A">
              <w:rPr>
                <w:rFonts w:ascii="Arial" w:eastAsia="Arial" w:hAnsi="Arial" w:cs="Arial"/>
                <w:b/>
                <w:snapToGrid/>
                <w:sz w:val="20"/>
                <w:szCs w:val="20"/>
                <w:lang w:eastAsia="en-GB"/>
              </w:rPr>
              <w:t>Region/Role</w:t>
            </w:r>
          </w:p>
        </w:tc>
      </w:tr>
      <w:tr w:rsidR="00B96A2A" w:rsidRPr="00B96A2A" w14:paraId="5486913D" w14:textId="77777777" w:rsidTr="00C436F6">
        <w:trPr>
          <w:trHeight w:val="569"/>
        </w:trPr>
        <w:tc>
          <w:tcPr>
            <w:tcW w:w="2814" w:type="dxa"/>
            <w:vAlign w:val="center"/>
          </w:tcPr>
          <w:p w14:paraId="3501E63D"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Öcal Necmioğlu</w:t>
            </w:r>
          </w:p>
        </w:tc>
        <w:tc>
          <w:tcPr>
            <w:tcW w:w="1581" w:type="dxa"/>
            <w:vAlign w:val="center"/>
          </w:tcPr>
          <w:p w14:paraId="24EA7287"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Türkiye</w:t>
            </w:r>
          </w:p>
        </w:tc>
        <w:tc>
          <w:tcPr>
            <w:tcW w:w="1984" w:type="dxa"/>
            <w:vAlign w:val="center"/>
          </w:tcPr>
          <w:p w14:paraId="513859A4"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IOC</w:t>
            </w:r>
          </w:p>
        </w:tc>
        <w:tc>
          <w:tcPr>
            <w:tcW w:w="3341" w:type="dxa"/>
            <w:vAlign w:val="center"/>
          </w:tcPr>
          <w:p w14:paraId="79D3D60C"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 xml:space="preserve">TT-TWO Technical Secretary </w:t>
            </w:r>
          </w:p>
          <w:p w14:paraId="4EC772A9"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ICG/PTWS and ICG/CARIBE-EWS</w:t>
            </w:r>
          </w:p>
        </w:tc>
      </w:tr>
      <w:tr w:rsidR="00B96A2A" w:rsidRPr="00B96A2A" w14:paraId="1CEB7FBC" w14:textId="77777777" w:rsidTr="00C436F6">
        <w:trPr>
          <w:trHeight w:val="520"/>
        </w:trPr>
        <w:tc>
          <w:tcPr>
            <w:tcW w:w="9720" w:type="dxa"/>
            <w:gridSpan w:val="4"/>
            <w:vAlign w:val="center"/>
          </w:tcPr>
          <w:p w14:paraId="497EB4D1" w14:textId="77777777" w:rsidR="00B96A2A" w:rsidRPr="00B96A2A" w:rsidRDefault="00B96A2A" w:rsidP="00B96A2A">
            <w:pPr>
              <w:tabs>
                <w:tab w:val="clear" w:pos="709"/>
              </w:tabs>
              <w:snapToGrid/>
              <w:ind w:left="150"/>
              <w:rPr>
                <w:rFonts w:ascii="Arial" w:eastAsia="Arial" w:hAnsi="Arial" w:cs="Arial"/>
                <w:snapToGrid/>
                <w:sz w:val="20"/>
                <w:szCs w:val="20"/>
                <w:lang w:eastAsia="en-GB"/>
              </w:rPr>
            </w:pPr>
            <w:r w:rsidRPr="00B96A2A">
              <w:rPr>
                <w:rFonts w:ascii="Arial" w:eastAsia="Arial" w:hAnsi="Arial" w:cs="Arial"/>
                <w:b/>
                <w:snapToGrid/>
                <w:sz w:val="20"/>
                <w:szCs w:val="20"/>
                <w:lang w:eastAsia="en-GB"/>
              </w:rPr>
              <w:t>Task Team Members</w:t>
            </w:r>
          </w:p>
        </w:tc>
      </w:tr>
      <w:tr w:rsidR="00B96A2A" w:rsidRPr="00B96A2A" w14:paraId="611EB155" w14:textId="77777777" w:rsidTr="00C436F6">
        <w:trPr>
          <w:trHeight w:val="802"/>
        </w:trPr>
        <w:tc>
          <w:tcPr>
            <w:tcW w:w="2814" w:type="dxa"/>
            <w:shd w:val="clear" w:color="auto" w:fill="D9E1F3"/>
            <w:vAlign w:val="center"/>
          </w:tcPr>
          <w:p w14:paraId="118FFF8E"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Yuji Nishimae</w:t>
            </w:r>
          </w:p>
        </w:tc>
        <w:tc>
          <w:tcPr>
            <w:tcW w:w="1581" w:type="dxa"/>
            <w:shd w:val="clear" w:color="auto" w:fill="D9E1F3"/>
            <w:vAlign w:val="center"/>
          </w:tcPr>
          <w:p w14:paraId="5C4B9D29"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Japan</w:t>
            </w:r>
          </w:p>
        </w:tc>
        <w:tc>
          <w:tcPr>
            <w:tcW w:w="1984" w:type="dxa"/>
            <w:shd w:val="clear" w:color="auto" w:fill="D9E1F3"/>
            <w:vAlign w:val="center"/>
          </w:tcPr>
          <w:p w14:paraId="5BD91F09"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JMA</w:t>
            </w:r>
          </w:p>
        </w:tc>
        <w:tc>
          <w:tcPr>
            <w:tcW w:w="3341" w:type="dxa"/>
            <w:shd w:val="clear" w:color="auto" w:fill="D9E1F3"/>
            <w:vAlign w:val="center"/>
          </w:tcPr>
          <w:p w14:paraId="338880C0" w14:textId="77777777" w:rsidR="00B96A2A" w:rsidRPr="00B96A2A" w:rsidRDefault="00B96A2A" w:rsidP="00B96A2A">
            <w:pPr>
              <w:tabs>
                <w:tab w:val="clear" w:pos="709"/>
              </w:tabs>
              <w:snapToGrid/>
              <w:rPr>
                <w:rFonts w:ascii="Arial" w:eastAsia="Arial" w:hAnsi="Arial" w:cs="Arial"/>
                <w:snapToGrid/>
                <w:sz w:val="20"/>
                <w:szCs w:val="20"/>
                <w:lang w:eastAsia="en-GB"/>
              </w:rPr>
            </w:pPr>
            <w:r w:rsidRPr="00B96A2A">
              <w:rPr>
                <w:rFonts w:ascii="Arial" w:eastAsia="Arial" w:hAnsi="Arial" w:cs="Arial"/>
                <w:snapToGrid/>
                <w:sz w:val="20"/>
                <w:szCs w:val="20"/>
                <w:lang w:eastAsia="en-GB"/>
              </w:rPr>
              <w:t xml:space="preserve">   Chair of TT-TWO</w:t>
            </w:r>
          </w:p>
          <w:p w14:paraId="16C00F7B"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Chair of ICG/PTWS</w:t>
            </w:r>
          </w:p>
        </w:tc>
      </w:tr>
      <w:tr w:rsidR="00B96A2A" w:rsidRPr="00B96A2A" w14:paraId="4B8CD6AC" w14:textId="77777777" w:rsidTr="00C436F6">
        <w:trPr>
          <w:trHeight w:val="520"/>
        </w:trPr>
        <w:tc>
          <w:tcPr>
            <w:tcW w:w="2814" w:type="dxa"/>
            <w:vAlign w:val="center"/>
          </w:tcPr>
          <w:p w14:paraId="7185E6F0"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Nasser Al Ismaili</w:t>
            </w:r>
          </w:p>
        </w:tc>
        <w:tc>
          <w:tcPr>
            <w:tcW w:w="1581" w:type="dxa"/>
            <w:vAlign w:val="center"/>
          </w:tcPr>
          <w:p w14:paraId="38F975F5"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Oman</w:t>
            </w:r>
          </w:p>
        </w:tc>
        <w:tc>
          <w:tcPr>
            <w:tcW w:w="1984" w:type="dxa"/>
            <w:vAlign w:val="center"/>
          </w:tcPr>
          <w:p w14:paraId="552EF9B7"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DGMAN</w:t>
            </w:r>
          </w:p>
        </w:tc>
        <w:tc>
          <w:tcPr>
            <w:tcW w:w="3341" w:type="dxa"/>
            <w:vAlign w:val="center"/>
          </w:tcPr>
          <w:p w14:paraId="062EC6CA"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ICG/IOTWMS</w:t>
            </w:r>
          </w:p>
        </w:tc>
      </w:tr>
      <w:tr w:rsidR="00B96A2A" w:rsidRPr="00B96A2A" w14:paraId="65DD34C6" w14:textId="77777777" w:rsidTr="00C436F6">
        <w:trPr>
          <w:trHeight w:val="520"/>
        </w:trPr>
        <w:tc>
          <w:tcPr>
            <w:tcW w:w="2814" w:type="dxa"/>
            <w:vAlign w:val="center"/>
          </w:tcPr>
          <w:p w14:paraId="75147386"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Helene Hebert</w:t>
            </w:r>
          </w:p>
        </w:tc>
        <w:tc>
          <w:tcPr>
            <w:tcW w:w="1581" w:type="dxa"/>
            <w:vAlign w:val="center"/>
          </w:tcPr>
          <w:p w14:paraId="2CA0E33A"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France</w:t>
            </w:r>
          </w:p>
        </w:tc>
        <w:tc>
          <w:tcPr>
            <w:tcW w:w="1984" w:type="dxa"/>
            <w:vAlign w:val="center"/>
          </w:tcPr>
          <w:p w14:paraId="3339F22D"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CEA</w:t>
            </w:r>
          </w:p>
        </w:tc>
        <w:tc>
          <w:tcPr>
            <w:tcW w:w="3341" w:type="dxa"/>
            <w:vAlign w:val="center"/>
          </w:tcPr>
          <w:p w14:paraId="510C7479"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ICG/NEAMTWS</w:t>
            </w:r>
          </w:p>
        </w:tc>
      </w:tr>
      <w:tr w:rsidR="00B96A2A" w:rsidRPr="00B96A2A" w14:paraId="1533CC90" w14:textId="77777777" w:rsidTr="00C436F6">
        <w:trPr>
          <w:trHeight w:val="520"/>
        </w:trPr>
        <w:tc>
          <w:tcPr>
            <w:tcW w:w="2814" w:type="dxa"/>
            <w:vAlign w:val="center"/>
          </w:tcPr>
          <w:p w14:paraId="723E8291"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Charles McCreery</w:t>
            </w:r>
          </w:p>
        </w:tc>
        <w:tc>
          <w:tcPr>
            <w:tcW w:w="1581" w:type="dxa"/>
            <w:vAlign w:val="center"/>
          </w:tcPr>
          <w:p w14:paraId="6323F16E"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USA</w:t>
            </w:r>
          </w:p>
        </w:tc>
        <w:tc>
          <w:tcPr>
            <w:tcW w:w="1984" w:type="dxa"/>
            <w:vAlign w:val="center"/>
          </w:tcPr>
          <w:p w14:paraId="74F1F36E"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NOAA/PTWC</w:t>
            </w:r>
          </w:p>
        </w:tc>
        <w:tc>
          <w:tcPr>
            <w:tcW w:w="3341" w:type="dxa"/>
            <w:vAlign w:val="center"/>
          </w:tcPr>
          <w:p w14:paraId="0114C770"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ICG/CARIBE-EWS</w:t>
            </w:r>
          </w:p>
        </w:tc>
      </w:tr>
      <w:tr w:rsidR="00B96A2A" w:rsidRPr="00B96A2A" w14:paraId="4988B61D" w14:textId="77777777" w:rsidTr="00C436F6">
        <w:trPr>
          <w:trHeight w:val="520"/>
        </w:trPr>
        <w:tc>
          <w:tcPr>
            <w:tcW w:w="2814" w:type="dxa"/>
            <w:vAlign w:val="center"/>
          </w:tcPr>
          <w:p w14:paraId="7F3B5E9E"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proofErr w:type="spellStart"/>
            <w:r w:rsidRPr="00B96A2A">
              <w:rPr>
                <w:rFonts w:ascii="Arial" w:eastAsia="Arial" w:hAnsi="Arial" w:cs="Arial"/>
                <w:snapToGrid/>
                <w:sz w:val="20"/>
                <w:szCs w:val="20"/>
                <w:lang w:eastAsia="en-GB"/>
              </w:rPr>
              <w:t>Jijjavarapu</w:t>
            </w:r>
            <w:proofErr w:type="spellEnd"/>
            <w:r w:rsidRPr="00B96A2A">
              <w:rPr>
                <w:rFonts w:ascii="Arial" w:eastAsia="Arial" w:hAnsi="Arial" w:cs="Arial"/>
                <w:snapToGrid/>
                <w:sz w:val="20"/>
                <w:szCs w:val="20"/>
                <w:lang w:eastAsia="en-GB"/>
              </w:rPr>
              <w:t xml:space="preserve"> Padmanabham</w:t>
            </w:r>
          </w:p>
        </w:tc>
        <w:tc>
          <w:tcPr>
            <w:tcW w:w="1581" w:type="dxa"/>
            <w:vAlign w:val="center"/>
          </w:tcPr>
          <w:p w14:paraId="23A9C27B"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India</w:t>
            </w:r>
          </w:p>
        </w:tc>
        <w:tc>
          <w:tcPr>
            <w:tcW w:w="1984" w:type="dxa"/>
            <w:vAlign w:val="center"/>
          </w:tcPr>
          <w:p w14:paraId="4296BA48"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INCOIS</w:t>
            </w:r>
          </w:p>
        </w:tc>
        <w:tc>
          <w:tcPr>
            <w:tcW w:w="3341" w:type="dxa"/>
            <w:vAlign w:val="center"/>
          </w:tcPr>
          <w:p w14:paraId="2B752E94"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ICG/IOTWMS</w:t>
            </w:r>
          </w:p>
        </w:tc>
      </w:tr>
      <w:tr w:rsidR="00B96A2A" w:rsidRPr="00B96A2A" w14:paraId="4E992EDB" w14:textId="77777777" w:rsidTr="00C436F6">
        <w:trPr>
          <w:trHeight w:val="520"/>
        </w:trPr>
        <w:tc>
          <w:tcPr>
            <w:tcW w:w="2814" w:type="dxa"/>
            <w:vAlign w:val="center"/>
          </w:tcPr>
          <w:p w14:paraId="1CBF41EA"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Alessio Piatanesi</w:t>
            </w:r>
          </w:p>
        </w:tc>
        <w:tc>
          <w:tcPr>
            <w:tcW w:w="1581" w:type="dxa"/>
            <w:vAlign w:val="center"/>
          </w:tcPr>
          <w:p w14:paraId="70507D81"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Italy</w:t>
            </w:r>
          </w:p>
        </w:tc>
        <w:tc>
          <w:tcPr>
            <w:tcW w:w="1984" w:type="dxa"/>
            <w:vAlign w:val="center"/>
          </w:tcPr>
          <w:p w14:paraId="5AEBB359"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INGV</w:t>
            </w:r>
          </w:p>
        </w:tc>
        <w:tc>
          <w:tcPr>
            <w:tcW w:w="3341" w:type="dxa"/>
            <w:vAlign w:val="center"/>
          </w:tcPr>
          <w:p w14:paraId="1F4C5658"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ICG/NEAMTWS</w:t>
            </w:r>
          </w:p>
        </w:tc>
      </w:tr>
      <w:tr w:rsidR="00B96A2A" w:rsidRPr="00B96A2A" w14:paraId="62AC6BCB" w14:textId="77777777" w:rsidTr="00C436F6">
        <w:trPr>
          <w:trHeight w:val="520"/>
        </w:trPr>
        <w:tc>
          <w:tcPr>
            <w:tcW w:w="2814" w:type="dxa"/>
            <w:vAlign w:val="center"/>
          </w:tcPr>
          <w:p w14:paraId="65A76CEF"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Elizabeth Vanacore</w:t>
            </w:r>
          </w:p>
        </w:tc>
        <w:tc>
          <w:tcPr>
            <w:tcW w:w="1581" w:type="dxa"/>
            <w:vAlign w:val="center"/>
          </w:tcPr>
          <w:p w14:paraId="630B03CF"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USA</w:t>
            </w:r>
          </w:p>
        </w:tc>
        <w:tc>
          <w:tcPr>
            <w:tcW w:w="1984" w:type="dxa"/>
            <w:vAlign w:val="center"/>
          </w:tcPr>
          <w:p w14:paraId="389E071F"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University of Puerto Rico</w:t>
            </w:r>
          </w:p>
        </w:tc>
        <w:tc>
          <w:tcPr>
            <w:tcW w:w="3341" w:type="dxa"/>
            <w:vAlign w:val="center"/>
          </w:tcPr>
          <w:p w14:paraId="218411D2"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ICG/CARIBE-EWS</w:t>
            </w:r>
          </w:p>
        </w:tc>
      </w:tr>
      <w:tr w:rsidR="00B96A2A" w:rsidRPr="00B96A2A" w14:paraId="36C874B2" w14:textId="77777777" w:rsidTr="00C436F6">
        <w:trPr>
          <w:trHeight w:val="520"/>
        </w:trPr>
        <w:tc>
          <w:tcPr>
            <w:tcW w:w="2814" w:type="dxa"/>
            <w:vAlign w:val="center"/>
          </w:tcPr>
          <w:p w14:paraId="0BB04808"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Dakui Wang</w:t>
            </w:r>
          </w:p>
        </w:tc>
        <w:tc>
          <w:tcPr>
            <w:tcW w:w="1581" w:type="dxa"/>
            <w:vAlign w:val="center"/>
          </w:tcPr>
          <w:p w14:paraId="04C802FF"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 xml:space="preserve">China </w:t>
            </w:r>
          </w:p>
        </w:tc>
        <w:tc>
          <w:tcPr>
            <w:tcW w:w="1984" w:type="dxa"/>
            <w:vAlign w:val="center"/>
          </w:tcPr>
          <w:p w14:paraId="0827AAEF"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NMEFC</w:t>
            </w:r>
          </w:p>
        </w:tc>
        <w:tc>
          <w:tcPr>
            <w:tcW w:w="3341" w:type="dxa"/>
            <w:vAlign w:val="center"/>
          </w:tcPr>
          <w:p w14:paraId="74D5526F"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ICG/PTWS</w:t>
            </w:r>
          </w:p>
        </w:tc>
      </w:tr>
      <w:tr w:rsidR="00B96A2A" w:rsidRPr="00B96A2A" w14:paraId="610583F3" w14:textId="77777777" w:rsidTr="00C436F6">
        <w:trPr>
          <w:trHeight w:val="521"/>
        </w:trPr>
        <w:tc>
          <w:tcPr>
            <w:tcW w:w="9720" w:type="dxa"/>
            <w:gridSpan w:val="4"/>
            <w:vAlign w:val="center"/>
          </w:tcPr>
          <w:p w14:paraId="43319A9E" w14:textId="77777777" w:rsidR="00B96A2A" w:rsidRPr="00B96A2A" w:rsidRDefault="00B96A2A" w:rsidP="00B96A2A">
            <w:pPr>
              <w:tabs>
                <w:tab w:val="clear" w:pos="709"/>
              </w:tabs>
              <w:snapToGrid/>
              <w:ind w:left="180"/>
              <w:rPr>
                <w:rFonts w:ascii="Arial" w:eastAsia="Arial" w:hAnsi="Arial" w:cs="Arial"/>
                <w:b/>
                <w:snapToGrid/>
                <w:sz w:val="20"/>
                <w:szCs w:val="20"/>
                <w:lang w:eastAsia="en-GB"/>
              </w:rPr>
            </w:pPr>
            <w:r w:rsidRPr="00B96A2A">
              <w:rPr>
                <w:rFonts w:ascii="Arial" w:eastAsia="Arial" w:hAnsi="Arial" w:cs="Arial"/>
                <w:b/>
                <w:snapToGrid/>
                <w:sz w:val="20"/>
                <w:szCs w:val="20"/>
                <w:lang w:eastAsia="en-GB"/>
              </w:rPr>
              <w:t>Invited Experts and Observers</w:t>
            </w:r>
          </w:p>
        </w:tc>
      </w:tr>
      <w:tr w:rsidR="00B96A2A" w:rsidRPr="00B96A2A" w14:paraId="0A0B5E1A" w14:textId="77777777" w:rsidTr="00C436F6">
        <w:trPr>
          <w:trHeight w:val="520"/>
        </w:trPr>
        <w:tc>
          <w:tcPr>
            <w:tcW w:w="2814" w:type="dxa"/>
            <w:vAlign w:val="center"/>
          </w:tcPr>
          <w:p w14:paraId="2BA3F857" w14:textId="77777777" w:rsidR="00B96A2A" w:rsidRPr="00B96A2A" w:rsidRDefault="00000000" w:rsidP="00B96A2A">
            <w:pPr>
              <w:tabs>
                <w:tab w:val="clear" w:pos="709"/>
              </w:tabs>
              <w:snapToGrid/>
              <w:ind w:left="180"/>
              <w:rPr>
                <w:rFonts w:ascii="Arial" w:eastAsia="Arial" w:hAnsi="Arial" w:cs="Arial"/>
                <w:snapToGrid/>
                <w:sz w:val="20"/>
                <w:szCs w:val="20"/>
                <w:lang w:eastAsia="en-GB"/>
              </w:rPr>
            </w:pPr>
            <w:sdt>
              <w:sdtPr>
                <w:rPr>
                  <w:rFonts w:eastAsia="Times New Roman"/>
                  <w:snapToGrid/>
                  <w:lang w:eastAsia="en-GB"/>
                </w:rPr>
                <w:tag w:val="goog_rdk_12"/>
                <w:id w:val="1235903003"/>
              </w:sdtPr>
              <w:sdtContent/>
            </w:sdt>
            <w:r w:rsidR="00B96A2A" w:rsidRPr="00B96A2A">
              <w:rPr>
                <w:rFonts w:ascii="Arial" w:eastAsia="Arial" w:hAnsi="Arial" w:cs="Arial"/>
                <w:snapToGrid/>
                <w:sz w:val="20"/>
                <w:szCs w:val="20"/>
                <w:lang w:eastAsia="en-GB"/>
              </w:rPr>
              <w:t>Bruce Howe</w:t>
            </w:r>
          </w:p>
        </w:tc>
        <w:tc>
          <w:tcPr>
            <w:tcW w:w="1581" w:type="dxa"/>
            <w:vAlign w:val="center"/>
          </w:tcPr>
          <w:p w14:paraId="4C7AED22"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USA</w:t>
            </w:r>
          </w:p>
        </w:tc>
        <w:tc>
          <w:tcPr>
            <w:tcW w:w="1984" w:type="dxa"/>
            <w:vAlign w:val="center"/>
          </w:tcPr>
          <w:p w14:paraId="22E80ECA"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University of Hawaii</w:t>
            </w:r>
          </w:p>
        </w:tc>
        <w:tc>
          <w:tcPr>
            <w:tcW w:w="3341" w:type="dxa"/>
            <w:vAlign w:val="center"/>
          </w:tcPr>
          <w:p w14:paraId="3B8C2244"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SMART Cables JTF</w:t>
            </w:r>
          </w:p>
        </w:tc>
      </w:tr>
      <w:tr w:rsidR="00B96A2A" w:rsidRPr="00B96A2A" w14:paraId="45240DA0" w14:textId="77777777" w:rsidTr="00C436F6">
        <w:trPr>
          <w:trHeight w:val="520"/>
        </w:trPr>
        <w:tc>
          <w:tcPr>
            <w:tcW w:w="2814" w:type="dxa"/>
            <w:vAlign w:val="center"/>
          </w:tcPr>
          <w:p w14:paraId="7125C54A" w14:textId="77777777" w:rsidR="00B96A2A" w:rsidRPr="00B96A2A" w:rsidRDefault="00000000" w:rsidP="00B96A2A">
            <w:pPr>
              <w:tabs>
                <w:tab w:val="clear" w:pos="709"/>
              </w:tabs>
              <w:snapToGrid/>
              <w:ind w:left="180"/>
              <w:rPr>
                <w:rFonts w:ascii="Arial" w:eastAsia="Arial" w:hAnsi="Arial" w:cs="Arial"/>
                <w:snapToGrid/>
                <w:sz w:val="20"/>
                <w:szCs w:val="20"/>
                <w:lang w:eastAsia="en-GB"/>
              </w:rPr>
            </w:pPr>
            <w:sdt>
              <w:sdtPr>
                <w:rPr>
                  <w:rFonts w:eastAsia="Times New Roman"/>
                  <w:snapToGrid/>
                  <w:lang w:eastAsia="en-GB"/>
                </w:rPr>
                <w:tag w:val="goog_rdk_13"/>
                <w:id w:val="600461270"/>
              </w:sdtPr>
              <w:sdtContent/>
            </w:sdt>
            <w:r w:rsidR="00B96A2A" w:rsidRPr="00B96A2A">
              <w:rPr>
                <w:rFonts w:ascii="Arial" w:eastAsia="Arial" w:hAnsi="Arial" w:cs="Arial"/>
                <w:snapToGrid/>
                <w:sz w:val="20"/>
                <w:szCs w:val="20"/>
                <w:lang w:eastAsia="en-GB"/>
              </w:rPr>
              <w:t>Ceci Rodriguez Cruz</w:t>
            </w:r>
          </w:p>
        </w:tc>
        <w:tc>
          <w:tcPr>
            <w:tcW w:w="1581" w:type="dxa"/>
            <w:vAlign w:val="center"/>
          </w:tcPr>
          <w:p w14:paraId="510E8A6A"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USA</w:t>
            </w:r>
          </w:p>
        </w:tc>
        <w:tc>
          <w:tcPr>
            <w:tcW w:w="1984" w:type="dxa"/>
            <w:vAlign w:val="center"/>
          </w:tcPr>
          <w:p w14:paraId="35E0D8F4"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University of Hawaii</w:t>
            </w:r>
          </w:p>
        </w:tc>
        <w:tc>
          <w:tcPr>
            <w:tcW w:w="3341" w:type="dxa"/>
            <w:vAlign w:val="center"/>
          </w:tcPr>
          <w:p w14:paraId="0DEFD752"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SMART Cables JTF</w:t>
            </w:r>
          </w:p>
        </w:tc>
      </w:tr>
      <w:tr w:rsidR="00B96A2A" w:rsidRPr="00B96A2A" w14:paraId="7B173F3D" w14:textId="77777777" w:rsidTr="00C436F6">
        <w:trPr>
          <w:trHeight w:val="520"/>
        </w:trPr>
        <w:tc>
          <w:tcPr>
            <w:tcW w:w="2814" w:type="dxa"/>
            <w:vAlign w:val="center"/>
          </w:tcPr>
          <w:p w14:paraId="132B8CBE"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Juanjo J. Danobeitia</w:t>
            </w:r>
          </w:p>
        </w:tc>
        <w:tc>
          <w:tcPr>
            <w:tcW w:w="1581" w:type="dxa"/>
            <w:vAlign w:val="center"/>
          </w:tcPr>
          <w:p w14:paraId="08C311CB"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Spain</w:t>
            </w:r>
          </w:p>
        </w:tc>
        <w:tc>
          <w:tcPr>
            <w:tcW w:w="1984" w:type="dxa"/>
            <w:vAlign w:val="center"/>
          </w:tcPr>
          <w:p w14:paraId="3E8E5823" w14:textId="77777777" w:rsidR="00B96A2A" w:rsidRPr="00B96A2A" w:rsidRDefault="00B96A2A" w:rsidP="00B96A2A">
            <w:pPr>
              <w:tabs>
                <w:tab w:val="clear" w:pos="709"/>
              </w:tabs>
              <w:snapToGrid/>
              <w:ind w:left="180"/>
              <w:rPr>
                <w:rFonts w:ascii="Arial" w:eastAsia="Arial" w:hAnsi="Arial" w:cs="Arial"/>
                <w:snapToGrid/>
                <w:sz w:val="20"/>
                <w:szCs w:val="20"/>
                <w:lang w:val="es-ES" w:eastAsia="en-GB"/>
              </w:rPr>
            </w:pPr>
            <w:r w:rsidRPr="00B96A2A">
              <w:rPr>
                <w:rFonts w:ascii="Arial" w:eastAsia="Arial" w:hAnsi="Arial" w:cs="Arial"/>
                <w:snapToGrid/>
                <w:sz w:val="20"/>
                <w:szCs w:val="20"/>
                <w:lang w:val="es-ES" w:eastAsia="en-GB"/>
              </w:rPr>
              <w:t xml:space="preserve">Consejo Superior de Investigaciones </w:t>
            </w:r>
            <w:proofErr w:type="spellStart"/>
            <w:r w:rsidRPr="00B96A2A">
              <w:rPr>
                <w:rFonts w:ascii="Arial" w:eastAsia="Arial" w:hAnsi="Arial" w:cs="Arial"/>
                <w:snapToGrid/>
                <w:sz w:val="20"/>
                <w:szCs w:val="20"/>
                <w:lang w:val="es-ES" w:eastAsia="en-GB"/>
              </w:rPr>
              <w:t>Cientificas</w:t>
            </w:r>
            <w:proofErr w:type="spellEnd"/>
            <w:r w:rsidRPr="00B96A2A">
              <w:rPr>
                <w:rFonts w:ascii="Arial" w:eastAsia="Arial" w:hAnsi="Arial" w:cs="Arial"/>
                <w:snapToGrid/>
                <w:sz w:val="20"/>
                <w:szCs w:val="20"/>
                <w:lang w:val="es-ES" w:eastAsia="en-GB"/>
              </w:rPr>
              <w:t>-UTM</w:t>
            </w:r>
          </w:p>
        </w:tc>
        <w:tc>
          <w:tcPr>
            <w:tcW w:w="3341" w:type="dxa"/>
            <w:vAlign w:val="center"/>
          </w:tcPr>
          <w:p w14:paraId="75D803D0" w14:textId="77777777" w:rsidR="00B96A2A" w:rsidRPr="00B96A2A" w:rsidRDefault="00B96A2A" w:rsidP="00B96A2A">
            <w:pPr>
              <w:tabs>
                <w:tab w:val="clear" w:pos="709"/>
              </w:tabs>
              <w:snapToGrid/>
              <w:ind w:left="180"/>
              <w:rPr>
                <w:rFonts w:ascii="Arial" w:eastAsia="Arial" w:hAnsi="Arial" w:cs="Arial"/>
                <w:snapToGrid/>
                <w:sz w:val="20"/>
                <w:szCs w:val="20"/>
                <w:lang w:eastAsia="en-GB"/>
              </w:rPr>
            </w:pPr>
            <w:r w:rsidRPr="00B96A2A">
              <w:rPr>
                <w:rFonts w:ascii="Arial" w:eastAsia="Arial" w:hAnsi="Arial" w:cs="Arial"/>
                <w:snapToGrid/>
                <w:sz w:val="20"/>
                <w:szCs w:val="20"/>
                <w:lang w:eastAsia="en-GB"/>
              </w:rPr>
              <w:t>SMART Cables JTF</w:t>
            </w:r>
          </w:p>
        </w:tc>
      </w:tr>
    </w:tbl>
    <w:p w14:paraId="2B428F9E" w14:textId="77777777" w:rsidR="00917407" w:rsidRDefault="00917407" w:rsidP="00FC167B">
      <w:pPr>
        <w:widowControl w:val="0"/>
        <w:spacing w:before="240" w:line="276" w:lineRule="auto"/>
        <w:jc w:val="both"/>
        <w:rPr>
          <w:rFonts w:asciiTheme="minorBidi" w:eastAsia="Arial" w:hAnsiTheme="minorBidi" w:cstheme="minorBidi"/>
          <w:color w:val="000000"/>
          <w:sz w:val="22"/>
          <w:szCs w:val="22"/>
        </w:rPr>
      </w:pPr>
    </w:p>
    <w:p w14:paraId="2DB6394B" w14:textId="77777777" w:rsidR="00917407" w:rsidRDefault="00917407" w:rsidP="00FC167B">
      <w:pPr>
        <w:widowControl w:val="0"/>
        <w:spacing w:before="240" w:line="276" w:lineRule="auto"/>
        <w:jc w:val="both"/>
        <w:rPr>
          <w:rFonts w:asciiTheme="minorBidi" w:eastAsia="Arial" w:hAnsiTheme="minorBidi" w:cstheme="minorBidi"/>
          <w:color w:val="000000"/>
          <w:sz w:val="22"/>
          <w:szCs w:val="22"/>
        </w:rPr>
      </w:pPr>
    </w:p>
    <w:p w14:paraId="7673FB6A" w14:textId="77777777" w:rsidR="00917407" w:rsidRPr="00C32B47" w:rsidRDefault="00917407" w:rsidP="00FC167B">
      <w:pPr>
        <w:widowControl w:val="0"/>
        <w:spacing w:before="240" w:line="276" w:lineRule="auto"/>
        <w:jc w:val="both"/>
        <w:rPr>
          <w:rFonts w:asciiTheme="minorBidi" w:eastAsia="Arial" w:hAnsiTheme="minorBidi" w:cstheme="minorBidi"/>
          <w:color w:val="000000"/>
          <w:sz w:val="22"/>
          <w:szCs w:val="22"/>
        </w:rPr>
      </w:pPr>
    </w:p>
    <w:p w14:paraId="27BE3E32" w14:textId="0E577625" w:rsidR="006946D0" w:rsidRPr="00917407" w:rsidRDefault="00C33B52" w:rsidP="00917407">
      <w:pPr>
        <w:tabs>
          <w:tab w:val="clear" w:pos="709"/>
        </w:tabs>
        <w:snapToGrid/>
        <w:spacing w:after="200" w:line="276" w:lineRule="auto"/>
        <w:contextualSpacing/>
        <w:rPr>
          <w:rFonts w:asciiTheme="minorBidi" w:eastAsia="Arial" w:hAnsiTheme="minorBidi" w:cstheme="minorBidi"/>
          <w:sz w:val="22"/>
          <w:szCs w:val="22"/>
        </w:rPr>
        <w:sectPr w:rsidR="006946D0" w:rsidRPr="00917407" w:rsidSect="008D5458">
          <w:headerReference w:type="default" r:id="rId122"/>
          <w:headerReference w:type="first" r:id="rId123"/>
          <w:type w:val="oddPage"/>
          <w:pgSz w:w="11906" w:h="16838" w:code="9"/>
          <w:pgMar w:top="1418" w:right="1418" w:bottom="1418" w:left="1418" w:header="680" w:footer="0" w:gutter="0"/>
          <w:pgNumType w:start="1"/>
          <w:cols w:space="720"/>
          <w:docGrid w:linePitch="360"/>
        </w:sectPr>
      </w:pPr>
      <w:r w:rsidRPr="00917407">
        <w:rPr>
          <w:rFonts w:asciiTheme="minorBidi" w:eastAsia="Arial" w:hAnsiTheme="minorBidi" w:cstheme="minorBidi"/>
          <w:sz w:val="22"/>
          <w:szCs w:val="22"/>
        </w:rPr>
        <w:t>.</w:t>
      </w:r>
      <w:bookmarkStart w:id="354" w:name="_Toc196727186"/>
      <w:bookmarkStart w:id="355" w:name="_Toc196733170"/>
      <w:bookmarkStart w:id="356" w:name="_Toc196733769"/>
      <w:bookmarkStart w:id="357" w:name="_Toc196734200"/>
      <w:bookmarkStart w:id="358" w:name="_Toc196816332"/>
      <w:bookmarkStart w:id="359" w:name="_Toc196819840"/>
      <w:bookmarkStart w:id="360" w:name="_Toc196819959"/>
      <w:bookmarkStart w:id="361" w:name="_Toc201728024"/>
      <w:bookmarkStart w:id="362" w:name="_Toc201728117"/>
      <w:bookmarkStart w:id="363" w:name="_Toc295114686"/>
      <w:bookmarkStart w:id="364" w:name="_Toc317041030"/>
      <w:bookmarkStart w:id="365" w:name="_Toc327477907"/>
      <w:bookmarkStart w:id="366" w:name="_Ref327477970"/>
      <w:bookmarkStart w:id="367" w:name="_Ref357075208"/>
      <w:bookmarkStart w:id="368" w:name="_Toc357081403"/>
      <w:bookmarkStart w:id="369" w:name="_Toc357508233"/>
      <w:bookmarkStart w:id="370" w:name="_Toc386101316"/>
      <w:bookmarkStart w:id="371" w:name="_Toc390248002"/>
      <w:bookmarkStart w:id="372" w:name="_Toc418154855"/>
      <w:bookmarkStart w:id="373" w:name="_Ref418168302"/>
      <w:bookmarkStart w:id="374" w:name="_Toc420496312"/>
      <w:bookmarkStart w:id="375" w:name="_Toc476565933"/>
      <w:bookmarkStart w:id="376" w:name="_Toc41491059"/>
    </w:p>
    <w:p w14:paraId="2E0B8E5D" w14:textId="77777777" w:rsidR="00284A72" w:rsidRDefault="00284A72" w:rsidP="00284A72">
      <w:pPr>
        <w:tabs>
          <w:tab w:val="clear" w:pos="709"/>
        </w:tabs>
        <w:snapToGrid/>
        <w:spacing w:after="200" w:line="276" w:lineRule="auto"/>
        <w:contextualSpacing/>
        <w:rPr>
          <w:rFonts w:ascii="Arial" w:hAnsi="Arial" w:cs="Arial"/>
          <w:sz w:val="22"/>
        </w:rPr>
      </w:pPr>
    </w:p>
    <w:p w14:paraId="416FA58A" w14:textId="2873A94D" w:rsidR="00742788" w:rsidRDefault="00742788" w:rsidP="006946D0">
      <w:pPr>
        <w:tabs>
          <w:tab w:val="clear" w:pos="709"/>
        </w:tabs>
        <w:snapToGrid/>
        <w:spacing w:after="200" w:line="276" w:lineRule="auto"/>
        <w:contextualSpacing/>
        <w:jc w:val="center"/>
        <w:rPr>
          <w:rFonts w:ascii="Arial" w:hAnsi="Arial" w:cs="Arial"/>
          <w:sz w:val="22"/>
        </w:rPr>
      </w:pPr>
      <w:bookmarkStart w:id="377" w:name="A6"/>
      <w:r w:rsidRPr="006946D0">
        <w:rPr>
          <w:rFonts w:ascii="Arial" w:hAnsi="Arial" w:cs="Arial"/>
          <w:sz w:val="22"/>
        </w:rPr>
        <w:t xml:space="preserve">ANNEX </w:t>
      </w:r>
      <w:bookmarkEnd w:id="354"/>
      <w:bookmarkEnd w:id="355"/>
      <w:bookmarkEnd w:id="356"/>
      <w:bookmarkEnd w:id="357"/>
      <w:bookmarkEnd w:id="358"/>
      <w:bookmarkEnd w:id="359"/>
      <w:bookmarkEnd w:id="360"/>
      <w:bookmarkEnd w:id="361"/>
      <w:bookmarkEnd w:id="362"/>
      <w:bookmarkEnd w:id="363"/>
      <w:bookmarkEnd w:id="364"/>
      <w:bookmarkEnd w:id="365"/>
      <w:bookmarkEnd w:id="366"/>
      <w:r w:rsidRPr="006946D0">
        <w:rPr>
          <w:rFonts w:ascii="Arial" w:hAnsi="Arial" w:cs="Arial"/>
          <w:sz w:val="22"/>
        </w:rPr>
        <w:t>V</w:t>
      </w:r>
      <w:bookmarkEnd w:id="367"/>
      <w:bookmarkEnd w:id="368"/>
      <w:bookmarkEnd w:id="369"/>
      <w:bookmarkEnd w:id="370"/>
      <w:bookmarkEnd w:id="371"/>
      <w:bookmarkEnd w:id="372"/>
      <w:bookmarkEnd w:id="373"/>
      <w:bookmarkEnd w:id="374"/>
      <w:bookmarkEnd w:id="375"/>
      <w:bookmarkEnd w:id="376"/>
      <w:r w:rsidR="00284A72">
        <w:rPr>
          <w:rFonts w:ascii="Arial" w:hAnsi="Arial" w:cs="Arial"/>
          <w:sz w:val="22"/>
        </w:rPr>
        <w:t>I</w:t>
      </w:r>
    </w:p>
    <w:bookmarkEnd w:id="377"/>
    <w:p w14:paraId="0B1DE551" w14:textId="77777777" w:rsidR="006946D0" w:rsidRPr="006946D0" w:rsidRDefault="006946D0" w:rsidP="006946D0">
      <w:pPr>
        <w:tabs>
          <w:tab w:val="clear" w:pos="709"/>
        </w:tabs>
        <w:snapToGrid/>
        <w:spacing w:after="200" w:line="276" w:lineRule="auto"/>
        <w:contextualSpacing/>
        <w:jc w:val="center"/>
        <w:rPr>
          <w:rFonts w:asciiTheme="minorBidi" w:eastAsia="Arial" w:hAnsiTheme="minorBidi" w:cstheme="minorBidi"/>
          <w:sz w:val="22"/>
          <w:szCs w:val="22"/>
        </w:rPr>
      </w:pPr>
    </w:p>
    <w:p w14:paraId="732E8675" w14:textId="77777777" w:rsidR="00742788" w:rsidRPr="004766A7" w:rsidRDefault="00742788" w:rsidP="00742788">
      <w:pPr>
        <w:spacing w:after="360"/>
        <w:jc w:val="center"/>
        <w:rPr>
          <w:rFonts w:cs="Arial"/>
        </w:rPr>
      </w:pPr>
      <w:bookmarkStart w:id="378" w:name="_Toc357081406"/>
      <w:bookmarkStart w:id="379" w:name="_Toc357508234"/>
      <w:bookmarkStart w:id="380" w:name="_Ref386101148"/>
      <w:bookmarkStart w:id="381" w:name="_Toc386101317"/>
      <w:bookmarkStart w:id="382" w:name="_Toc390248003"/>
      <w:bookmarkStart w:id="383" w:name="_Toc418154856"/>
      <w:bookmarkStart w:id="384" w:name="_Toc420496313"/>
      <w:bookmarkStart w:id="385" w:name="_Toc41491060"/>
      <w:r w:rsidRPr="004766A7">
        <w:rPr>
          <w:rFonts w:ascii="Arial" w:hAnsi="Arial" w:cs="Arial"/>
          <w:b/>
          <w:sz w:val="22"/>
        </w:rPr>
        <w:t>LIST OF PARTICIPANTS</w:t>
      </w:r>
      <w:bookmarkEnd w:id="378"/>
      <w:bookmarkEnd w:id="379"/>
      <w:bookmarkEnd w:id="380"/>
      <w:bookmarkEnd w:id="381"/>
      <w:bookmarkEnd w:id="382"/>
      <w:bookmarkEnd w:id="383"/>
      <w:bookmarkEnd w:id="384"/>
      <w:bookmarkEnd w:id="385"/>
      <w:r w:rsidRPr="004766A7">
        <w:rPr>
          <w:rFonts w:ascii="Arial" w:hAnsi="Arial" w:cs="Arial"/>
          <w:b/>
          <w:sz w:val="22"/>
        </w:rPr>
        <w:t xml:space="preserve"> </w:t>
      </w:r>
    </w:p>
    <w:p w14:paraId="5AE922D9" w14:textId="77777777" w:rsidR="00742788" w:rsidRDefault="00742788" w:rsidP="00742788">
      <w:pPr>
        <w:shd w:val="clear" w:color="auto" w:fill="E7E6E6" w:themeFill="background2"/>
        <w:rPr>
          <w:rFonts w:asciiTheme="minorBidi" w:hAnsiTheme="minorBidi"/>
          <w:b/>
          <w:sz w:val="21"/>
          <w:szCs w:val="21"/>
        </w:rPr>
        <w:sectPr w:rsidR="00742788" w:rsidSect="005B175C">
          <w:pgSz w:w="11906" w:h="16838" w:code="9"/>
          <w:pgMar w:top="1418" w:right="1418" w:bottom="1418" w:left="1418" w:header="680" w:footer="0" w:gutter="0"/>
          <w:pgNumType w:start="1"/>
          <w:cols w:space="720"/>
          <w:titlePg/>
          <w:docGrid w:linePitch="360"/>
        </w:sectPr>
      </w:pPr>
    </w:p>
    <w:p w14:paraId="3CEAD1D9" w14:textId="77777777" w:rsidR="00742788" w:rsidRPr="00487EAA" w:rsidRDefault="00742788" w:rsidP="00742788">
      <w:pPr>
        <w:shd w:val="clear" w:color="auto" w:fill="E7E6E6" w:themeFill="background2"/>
        <w:rPr>
          <w:rFonts w:asciiTheme="minorBidi" w:hAnsiTheme="minorBidi" w:cstheme="minorBidi"/>
          <w:sz w:val="21"/>
          <w:szCs w:val="21"/>
          <w:lang w:val="en-US"/>
        </w:rPr>
      </w:pPr>
      <w:bookmarkStart w:id="386" w:name="_Hlk105141373"/>
      <w:r>
        <w:rPr>
          <w:rFonts w:asciiTheme="minorBidi" w:hAnsiTheme="minorBidi"/>
          <w:b/>
          <w:sz w:val="21"/>
          <w:szCs w:val="21"/>
        </w:rPr>
        <w:t>Chairperson</w:t>
      </w:r>
    </w:p>
    <w:bookmarkEnd w:id="386"/>
    <w:p w14:paraId="178144B5" w14:textId="77777777" w:rsidR="00742788" w:rsidRDefault="00742788" w:rsidP="00742788">
      <w:pPr>
        <w:rPr>
          <w:rFonts w:asciiTheme="minorBidi" w:hAnsiTheme="minorBidi"/>
          <w:sz w:val="20"/>
          <w:szCs w:val="20"/>
        </w:rPr>
      </w:pPr>
    </w:p>
    <w:p w14:paraId="7E73D142" w14:textId="36D814C8" w:rsidR="00A0049B" w:rsidRDefault="001B246E" w:rsidP="001B246E">
      <w:pPr>
        <w:rPr>
          <w:rFonts w:asciiTheme="minorBidi" w:eastAsiaTheme="minorEastAsia" w:hAnsiTheme="minorBidi" w:cstheme="minorBidi"/>
          <w:sz w:val="20"/>
          <w:szCs w:val="20"/>
          <w:lang w:val="en-US"/>
        </w:rPr>
      </w:pPr>
      <w:r w:rsidRPr="001B246E">
        <w:rPr>
          <w:rFonts w:asciiTheme="minorBidi" w:eastAsiaTheme="minorEastAsia" w:hAnsiTheme="minorBidi" w:cstheme="minorBidi"/>
          <w:sz w:val="20"/>
          <w:szCs w:val="20"/>
          <w:lang w:val="en-US"/>
        </w:rPr>
        <w:t>Prof. Amr HAMOUDA (42997)</w:t>
      </w:r>
      <w:r w:rsidRPr="001B246E">
        <w:rPr>
          <w:rFonts w:asciiTheme="minorBidi" w:eastAsiaTheme="minorEastAsia" w:hAnsiTheme="minorBidi" w:cstheme="minorBidi"/>
          <w:sz w:val="20"/>
          <w:szCs w:val="20"/>
          <w:lang w:val="en-US"/>
        </w:rPr>
        <w:br/>
        <w:t>President of the National Institute of Oceanography and Fisheries</w:t>
      </w:r>
      <w:r w:rsidRPr="001B246E">
        <w:rPr>
          <w:rFonts w:asciiTheme="minorBidi" w:eastAsiaTheme="minorEastAsia" w:hAnsiTheme="minorBidi" w:cstheme="minorBidi"/>
          <w:sz w:val="20"/>
          <w:szCs w:val="20"/>
          <w:lang w:val="en-US"/>
        </w:rPr>
        <w:br/>
        <w:t>President of National Institute of Oceanography and Fisheries</w:t>
      </w:r>
      <w:r w:rsidRPr="001B246E">
        <w:rPr>
          <w:rFonts w:asciiTheme="minorBidi" w:eastAsiaTheme="minorEastAsia" w:hAnsiTheme="minorBidi" w:cstheme="minorBidi"/>
          <w:sz w:val="20"/>
          <w:szCs w:val="20"/>
          <w:lang w:val="en-US"/>
        </w:rPr>
        <w:br/>
        <w:t>National Institute of Oceanography and Fisheries, Cairo</w:t>
      </w:r>
      <w:r w:rsidRPr="001B246E">
        <w:rPr>
          <w:rFonts w:asciiTheme="minorBidi" w:eastAsiaTheme="minorEastAsia" w:hAnsiTheme="minorBidi" w:cstheme="minorBidi"/>
          <w:sz w:val="20"/>
          <w:szCs w:val="20"/>
          <w:lang w:val="en-US"/>
        </w:rPr>
        <w:br/>
        <w:t xml:space="preserve">101 </w:t>
      </w:r>
      <w:proofErr w:type="spellStart"/>
      <w:r w:rsidRPr="001B246E">
        <w:rPr>
          <w:rFonts w:asciiTheme="minorBidi" w:eastAsiaTheme="minorEastAsia" w:hAnsiTheme="minorBidi" w:cstheme="minorBidi"/>
          <w:sz w:val="20"/>
          <w:szCs w:val="20"/>
          <w:lang w:val="en-US"/>
        </w:rPr>
        <w:t>Kasr</w:t>
      </w:r>
      <w:proofErr w:type="spellEnd"/>
      <w:r w:rsidRPr="001B246E">
        <w:rPr>
          <w:rFonts w:asciiTheme="minorBidi" w:eastAsiaTheme="minorEastAsia" w:hAnsiTheme="minorBidi" w:cstheme="minorBidi"/>
          <w:sz w:val="20"/>
          <w:szCs w:val="20"/>
          <w:lang w:val="en-US"/>
        </w:rPr>
        <w:t xml:space="preserve"> El Ainy St. Cairo Egypt</w:t>
      </w:r>
      <w:r w:rsidRPr="001B246E">
        <w:rPr>
          <w:rFonts w:asciiTheme="minorBidi" w:eastAsiaTheme="minorEastAsia" w:hAnsiTheme="minorBidi" w:cstheme="minorBidi"/>
          <w:sz w:val="20"/>
          <w:szCs w:val="20"/>
          <w:lang w:val="en-US"/>
        </w:rPr>
        <w:br/>
        <w:t>Tel: 00201006620230</w:t>
      </w:r>
      <w:r w:rsidRPr="001B246E">
        <w:rPr>
          <w:rFonts w:asciiTheme="minorBidi" w:eastAsiaTheme="minorEastAsia" w:hAnsiTheme="minorBidi" w:cstheme="minorBidi"/>
          <w:sz w:val="20"/>
          <w:szCs w:val="20"/>
          <w:lang w:val="en-US"/>
        </w:rPr>
        <w:br/>
        <w:t xml:space="preserve">Email1: </w:t>
      </w:r>
      <w:hyperlink r:id="rId124" w:history="1">
        <w:r w:rsidRPr="007917C4">
          <w:rPr>
            <w:rStyle w:val="Hyperlink"/>
            <w:rFonts w:asciiTheme="minorBidi" w:eastAsiaTheme="minorEastAsia" w:hAnsiTheme="minorBidi" w:cstheme="minorBidi"/>
            <w:sz w:val="20"/>
            <w:szCs w:val="20"/>
            <w:lang w:val="en-US"/>
          </w:rPr>
          <w:t>amreu@yahoo.com</w:t>
        </w:r>
      </w:hyperlink>
      <w:r>
        <w:rPr>
          <w:rFonts w:asciiTheme="minorBidi" w:eastAsiaTheme="minorEastAsia" w:hAnsiTheme="minorBidi" w:cstheme="minorBidi"/>
          <w:sz w:val="20"/>
          <w:szCs w:val="20"/>
          <w:lang w:val="en-US"/>
        </w:rPr>
        <w:t xml:space="preserve"> </w:t>
      </w:r>
      <w:r w:rsidRPr="001B246E">
        <w:rPr>
          <w:rFonts w:asciiTheme="minorBidi" w:eastAsiaTheme="minorEastAsia" w:hAnsiTheme="minorBidi" w:cstheme="minorBidi"/>
          <w:sz w:val="20"/>
          <w:szCs w:val="20"/>
          <w:lang w:val="en-US"/>
        </w:rPr>
        <w:br/>
      </w:r>
    </w:p>
    <w:p w14:paraId="3C2FCBC9" w14:textId="15EF75E3" w:rsidR="00A0049B" w:rsidRPr="00063D60" w:rsidRDefault="00A0049B" w:rsidP="00A0049B">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Chairpersons of the four ICG/TWSs</w:t>
      </w:r>
      <w:r w:rsidR="001B246E">
        <w:rPr>
          <w:rFonts w:asciiTheme="minorBidi" w:hAnsiTheme="minorBidi"/>
          <w:b/>
          <w:sz w:val="21"/>
          <w:szCs w:val="21"/>
        </w:rPr>
        <w:t xml:space="preserve">, </w:t>
      </w:r>
      <w:r w:rsidR="001B246E" w:rsidRPr="001B246E">
        <w:rPr>
          <w:rFonts w:asciiTheme="minorBidi" w:hAnsiTheme="minorBidi"/>
          <w:b/>
          <w:sz w:val="21"/>
          <w:szCs w:val="21"/>
        </w:rPr>
        <w:t>the SC-ODTP, and Tsunami Ready Coalition</w:t>
      </w:r>
    </w:p>
    <w:p w14:paraId="10A9ACC6" w14:textId="77777777" w:rsidR="00A0049B" w:rsidRDefault="00A0049B" w:rsidP="00A0049B">
      <w:pPr>
        <w:rPr>
          <w:rFonts w:asciiTheme="minorBidi" w:hAnsiTheme="minorBidi"/>
          <w:sz w:val="20"/>
          <w:szCs w:val="20"/>
        </w:rPr>
      </w:pPr>
    </w:p>
    <w:p w14:paraId="7305DB8A" w14:textId="4B888BB1" w:rsidR="00450EEB" w:rsidRPr="00691AB0" w:rsidRDefault="001B246E" w:rsidP="001B246E">
      <w:pPr>
        <w:tabs>
          <w:tab w:val="clear" w:pos="709"/>
        </w:tabs>
        <w:snapToGrid/>
        <w:rPr>
          <w:rFonts w:asciiTheme="minorBidi" w:eastAsia="Times New Roman" w:hAnsiTheme="minorBidi" w:cstheme="minorBidi"/>
          <w:snapToGrid/>
          <w:color w:val="000000"/>
          <w:sz w:val="20"/>
          <w:szCs w:val="20"/>
          <w:lang w:val="en-US"/>
        </w:rPr>
      </w:pPr>
      <w:r w:rsidRPr="001B246E">
        <w:rPr>
          <w:rFonts w:asciiTheme="minorBidi" w:eastAsia="Times New Roman" w:hAnsiTheme="minorBidi" w:cstheme="minorBidi"/>
          <w:snapToGrid/>
          <w:color w:val="000000"/>
          <w:sz w:val="20"/>
          <w:szCs w:val="20"/>
          <w:lang w:val="en-US"/>
        </w:rPr>
        <w:t>Dr Alessandro AMATO (24009)</w:t>
      </w:r>
      <w:r w:rsidRPr="001B246E">
        <w:rPr>
          <w:rFonts w:asciiTheme="minorBidi" w:eastAsia="Times New Roman" w:hAnsiTheme="minorBidi" w:cstheme="minorBidi"/>
          <w:snapToGrid/>
          <w:color w:val="000000"/>
          <w:sz w:val="20"/>
          <w:szCs w:val="20"/>
          <w:lang w:val="en-US"/>
        </w:rPr>
        <w:br/>
        <w:t>Research Director</w:t>
      </w:r>
      <w:r w:rsidRPr="001B246E">
        <w:rPr>
          <w:rFonts w:asciiTheme="minorBidi" w:eastAsia="Times New Roman" w:hAnsiTheme="minorBidi" w:cstheme="minorBidi"/>
          <w:snapToGrid/>
          <w:color w:val="000000"/>
          <w:sz w:val="20"/>
          <w:szCs w:val="20"/>
          <w:lang w:val="en-US"/>
        </w:rPr>
        <w:br/>
        <w:t xml:space="preserve">Centro </w:t>
      </w:r>
      <w:proofErr w:type="spellStart"/>
      <w:r w:rsidRPr="001B246E">
        <w:rPr>
          <w:rFonts w:asciiTheme="minorBidi" w:eastAsia="Times New Roman" w:hAnsiTheme="minorBidi" w:cstheme="minorBidi"/>
          <w:snapToGrid/>
          <w:color w:val="000000"/>
          <w:sz w:val="20"/>
          <w:szCs w:val="20"/>
          <w:lang w:val="en-US"/>
        </w:rPr>
        <w:t>Allerta</w:t>
      </w:r>
      <w:proofErr w:type="spellEnd"/>
      <w:r w:rsidRPr="001B246E">
        <w:rPr>
          <w:rFonts w:asciiTheme="minorBidi" w:eastAsia="Times New Roman" w:hAnsiTheme="minorBidi" w:cstheme="minorBidi"/>
          <w:snapToGrid/>
          <w:color w:val="000000"/>
          <w:sz w:val="20"/>
          <w:szCs w:val="20"/>
          <w:lang w:val="en-US"/>
        </w:rPr>
        <w:t xml:space="preserve"> Tsunami</w:t>
      </w:r>
      <w:r w:rsidRPr="001B246E">
        <w:rPr>
          <w:rFonts w:asciiTheme="minorBidi" w:eastAsia="Times New Roman" w:hAnsiTheme="minorBidi" w:cstheme="minorBidi"/>
          <w:snapToGrid/>
          <w:color w:val="000000"/>
          <w:sz w:val="20"/>
          <w:szCs w:val="20"/>
          <w:lang w:val="en-US"/>
        </w:rPr>
        <w:br/>
      </w:r>
      <w:proofErr w:type="spellStart"/>
      <w:r w:rsidRPr="001B246E">
        <w:rPr>
          <w:rFonts w:asciiTheme="minorBidi" w:eastAsia="Times New Roman" w:hAnsiTheme="minorBidi" w:cstheme="minorBidi"/>
          <w:snapToGrid/>
          <w:color w:val="000000"/>
          <w:sz w:val="20"/>
          <w:szCs w:val="20"/>
          <w:lang w:val="en-US"/>
        </w:rPr>
        <w:t>Istituto</w:t>
      </w:r>
      <w:proofErr w:type="spellEnd"/>
      <w:r w:rsidRPr="001B246E">
        <w:rPr>
          <w:rFonts w:asciiTheme="minorBidi" w:eastAsia="Times New Roman" w:hAnsiTheme="minorBidi" w:cstheme="minorBidi"/>
          <w:snapToGrid/>
          <w:color w:val="000000"/>
          <w:sz w:val="20"/>
          <w:szCs w:val="20"/>
          <w:lang w:val="en-US"/>
        </w:rPr>
        <w:t xml:space="preserve"> Nazionale di </w:t>
      </w:r>
      <w:proofErr w:type="spellStart"/>
      <w:r w:rsidRPr="001B246E">
        <w:rPr>
          <w:rFonts w:asciiTheme="minorBidi" w:eastAsia="Times New Roman" w:hAnsiTheme="minorBidi" w:cstheme="minorBidi"/>
          <w:snapToGrid/>
          <w:color w:val="000000"/>
          <w:sz w:val="20"/>
          <w:szCs w:val="20"/>
          <w:lang w:val="en-US"/>
        </w:rPr>
        <w:t>Geofisica</w:t>
      </w:r>
      <w:proofErr w:type="spellEnd"/>
      <w:r w:rsidRPr="001B246E">
        <w:rPr>
          <w:rFonts w:asciiTheme="minorBidi" w:eastAsia="Times New Roman" w:hAnsiTheme="minorBidi" w:cstheme="minorBidi"/>
          <w:snapToGrid/>
          <w:color w:val="000000"/>
          <w:sz w:val="20"/>
          <w:szCs w:val="20"/>
          <w:lang w:val="en-US"/>
        </w:rPr>
        <w:t xml:space="preserve"> e </w:t>
      </w:r>
      <w:proofErr w:type="spellStart"/>
      <w:r w:rsidRPr="001B246E">
        <w:rPr>
          <w:rFonts w:asciiTheme="minorBidi" w:eastAsia="Times New Roman" w:hAnsiTheme="minorBidi" w:cstheme="minorBidi"/>
          <w:snapToGrid/>
          <w:color w:val="000000"/>
          <w:sz w:val="20"/>
          <w:szCs w:val="20"/>
          <w:lang w:val="en-US"/>
        </w:rPr>
        <w:t>Vulcanologia</w:t>
      </w:r>
      <w:proofErr w:type="spellEnd"/>
      <w:r w:rsidRPr="001B246E">
        <w:rPr>
          <w:rFonts w:asciiTheme="minorBidi" w:eastAsia="Times New Roman" w:hAnsiTheme="minorBidi" w:cstheme="minorBidi"/>
          <w:snapToGrid/>
          <w:color w:val="000000"/>
          <w:sz w:val="20"/>
          <w:szCs w:val="20"/>
          <w:lang w:val="en-US"/>
        </w:rPr>
        <w:t xml:space="preserve"> Roma</w:t>
      </w:r>
      <w:r w:rsidRPr="001B246E">
        <w:rPr>
          <w:rFonts w:asciiTheme="minorBidi" w:eastAsia="Times New Roman" w:hAnsiTheme="minorBidi" w:cstheme="minorBidi"/>
          <w:snapToGrid/>
          <w:color w:val="000000"/>
          <w:sz w:val="20"/>
          <w:szCs w:val="20"/>
          <w:lang w:val="en-US"/>
        </w:rPr>
        <w:br/>
        <w:t>Via di Vigna Murata, 605 00143 Roma Italy</w:t>
      </w:r>
      <w:r w:rsidRPr="001B246E">
        <w:rPr>
          <w:rFonts w:asciiTheme="minorBidi" w:eastAsia="Times New Roman" w:hAnsiTheme="minorBidi" w:cstheme="minorBidi"/>
          <w:snapToGrid/>
          <w:color w:val="000000"/>
          <w:sz w:val="20"/>
          <w:szCs w:val="20"/>
          <w:lang w:val="en-US"/>
        </w:rPr>
        <w:br/>
        <w:t xml:space="preserve">Email1: </w:t>
      </w:r>
      <w:hyperlink r:id="rId125" w:history="1">
        <w:r w:rsidRPr="007917C4">
          <w:rPr>
            <w:rStyle w:val="Hyperlink"/>
            <w:rFonts w:asciiTheme="minorBidi" w:eastAsia="Times New Roman" w:hAnsiTheme="minorBidi" w:cstheme="minorBidi"/>
            <w:snapToGrid/>
            <w:sz w:val="20"/>
            <w:szCs w:val="20"/>
            <w:lang w:val="en-US"/>
          </w:rPr>
          <w:t>alessandro.amato@ingv.it</w:t>
        </w:r>
      </w:hyperlink>
      <w:r>
        <w:rPr>
          <w:rFonts w:asciiTheme="minorBidi" w:eastAsia="Times New Roman" w:hAnsiTheme="minorBidi" w:cstheme="minorBidi"/>
          <w:snapToGrid/>
          <w:color w:val="000000"/>
          <w:sz w:val="20"/>
          <w:szCs w:val="20"/>
          <w:lang w:val="en-US"/>
        </w:rPr>
        <w:t xml:space="preserve"> </w:t>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t>Dr. Silvia CHACON BARRANTES (22677)</w:t>
      </w:r>
      <w:r w:rsidRPr="001B246E">
        <w:rPr>
          <w:rFonts w:asciiTheme="minorBidi" w:eastAsia="Times New Roman" w:hAnsiTheme="minorBidi" w:cstheme="minorBidi"/>
          <w:snapToGrid/>
          <w:color w:val="000000"/>
          <w:sz w:val="20"/>
          <w:szCs w:val="20"/>
          <w:lang w:val="en-US"/>
        </w:rPr>
        <w:br/>
        <w:t>Professor and Researcher</w:t>
      </w:r>
      <w:r w:rsidRPr="001B246E">
        <w:rPr>
          <w:rFonts w:asciiTheme="minorBidi" w:eastAsia="Times New Roman" w:hAnsiTheme="minorBidi" w:cstheme="minorBidi"/>
          <w:snapToGrid/>
          <w:color w:val="000000"/>
          <w:sz w:val="20"/>
          <w:szCs w:val="20"/>
          <w:lang w:val="en-US"/>
        </w:rPr>
        <w:br/>
        <w:t xml:space="preserve">Sistema Nacional de </w:t>
      </w:r>
      <w:proofErr w:type="spellStart"/>
      <w:r w:rsidRPr="001B246E">
        <w:rPr>
          <w:rFonts w:asciiTheme="minorBidi" w:eastAsia="Times New Roman" w:hAnsiTheme="minorBidi" w:cstheme="minorBidi"/>
          <w:snapToGrid/>
          <w:color w:val="000000"/>
          <w:sz w:val="20"/>
          <w:szCs w:val="20"/>
          <w:lang w:val="en-US"/>
        </w:rPr>
        <w:t>Monitoreo</w:t>
      </w:r>
      <w:proofErr w:type="spellEnd"/>
      <w:r w:rsidRPr="001B246E">
        <w:rPr>
          <w:rFonts w:asciiTheme="minorBidi" w:eastAsia="Times New Roman" w:hAnsiTheme="minorBidi" w:cstheme="minorBidi"/>
          <w:snapToGrid/>
          <w:color w:val="000000"/>
          <w:sz w:val="20"/>
          <w:szCs w:val="20"/>
          <w:lang w:val="en-US"/>
        </w:rPr>
        <w:t xml:space="preserve"> de Tsunamis (SINAMOT)</w:t>
      </w:r>
      <w:r w:rsidRPr="001B246E">
        <w:rPr>
          <w:rFonts w:asciiTheme="minorBidi" w:eastAsia="Times New Roman" w:hAnsiTheme="minorBidi" w:cstheme="minorBidi"/>
          <w:snapToGrid/>
          <w:color w:val="000000"/>
          <w:sz w:val="20"/>
          <w:szCs w:val="20"/>
          <w:lang w:val="en-US"/>
        </w:rPr>
        <w:br/>
        <w:t>National Tsunami Monitoring System</w:t>
      </w:r>
      <w:r w:rsidRPr="001B246E">
        <w:rPr>
          <w:rFonts w:asciiTheme="minorBidi" w:eastAsia="Times New Roman" w:hAnsiTheme="minorBidi" w:cstheme="minorBidi"/>
          <w:snapToGrid/>
          <w:color w:val="000000"/>
          <w:sz w:val="20"/>
          <w:szCs w:val="20"/>
          <w:lang w:val="en-US"/>
        </w:rPr>
        <w:br/>
        <w:t xml:space="preserve">Universidad Nacional, Campus Omar Dengo Avenida 1, Calle 9. </w:t>
      </w:r>
      <w:proofErr w:type="spellStart"/>
      <w:r w:rsidRPr="001B246E">
        <w:rPr>
          <w:rFonts w:asciiTheme="minorBidi" w:eastAsia="Times New Roman" w:hAnsiTheme="minorBidi" w:cstheme="minorBidi"/>
          <w:snapToGrid/>
          <w:color w:val="000000"/>
          <w:sz w:val="20"/>
          <w:szCs w:val="20"/>
          <w:lang w:val="en-US"/>
        </w:rPr>
        <w:t>Apartado</w:t>
      </w:r>
      <w:proofErr w:type="spellEnd"/>
      <w:r w:rsidRPr="001B246E">
        <w:rPr>
          <w:rFonts w:asciiTheme="minorBidi" w:eastAsia="Times New Roman" w:hAnsiTheme="minorBidi" w:cstheme="minorBidi"/>
          <w:snapToGrid/>
          <w:color w:val="000000"/>
          <w:sz w:val="20"/>
          <w:szCs w:val="20"/>
          <w:lang w:val="en-US"/>
        </w:rPr>
        <w:t xml:space="preserve"> Postal: 86-3000 Heredia Costa Rica</w:t>
      </w:r>
      <w:r w:rsidRPr="001B246E">
        <w:rPr>
          <w:rFonts w:asciiTheme="minorBidi" w:eastAsia="Times New Roman" w:hAnsiTheme="minorBidi" w:cstheme="minorBidi"/>
          <w:snapToGrid/>
          <w:color w:val="000000"/>
          <w:sz w:val="20"/>
          <w:szCs w:val="20"/>
          <w:lang w:val="en-US"/>
        </w:rPr>
        <w:br/>
        <w:t>Tel: +506 83096690</w:t>
      </w:r>
      <w:r w:rsidRPr="001B246E">
        <w:rPr>
          <w:rFonts w:asciiTheme="minorBidi" w:eastAsia="Times New Roman" w:hAnsiTheme="minorBidi" w:cstheme="minorBidi"/>
          <w:snapToGrid/>
          <w:color w:val="000000"/>
          <w:sz w:val="20"/>
          <w:szCs w:val="20"/>
          <w:lang w:val="en-US"/>
        </w:rPr>
        <w:br/>
        <w:t xml:space="preserve">Email1: </w:t>
      </w:r>
      <w:hyperlink r:id="rId126" w:history="1">
        <w:r w:rsidRPr="007917C4">
          <w:rPr>
            <w:rStyle w:val="Hyperlink"/>
            <w:rFonts w:asciiTheme="minorBidi" w:eastAsia="Times New Roman" w:hAnsiTheme="minorBidi" w:cstheme="minorBidi"/>
            <w:snapToGrid/>
            <w:sz w:val="20"/>
            <w:szCs w:val="20"/>
            <w:lang w:val="en-US"/>
          </w:rPr>
          <w:t>silviach@una.ac.cr</w:t>
        </w:r>
      </w:hyperlink>
      <w:r>
        <w:rPr>
          <w:rFonts w:asciiTheme="minorBidi" w:eastAsia="Times New Roman" w:hAnsiTheme="minorBidi" w:cstheme="minorBidi"/>
          <w:snapToGrid/>
          <w:color w:val="000000"/>
          <w:sz w:val="20"/>
          <w:szCs w:val="20"/>
          <w:lang w:val="en-US"/>
        </w:rPr>
        <w:t xml:space="preserve"> </w:t>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t>Mr. Pattabhi Rama Rao ELURI (11748)</w:t>
      </w:r>
      <w:r w:rsidRPr="001B246E">
        <w:rPr>
          <w:rFonts w:asciiTheme="minorBidi" w:eastAsia="Times New Roman" w:hAnsiTheme="minorBidi" w:cstheme="minorBidi"/>
          <w:snapToGrid/>
          <w:color w:val="000000"/>
          <w:sz w:val="20"/>
          <w:szCs w:val="20"/>
          <w:lang w:val="en-US"/>
        </w:rPr>
        <w:br/>
        <w:t>Scientist-G and Group Director</w:t>
      </w:r>
      <w:r w:rsidRPr="001B246E">
        <w:rPr>
          <w:rFonts w:asciiTheme="minorBidi" w:eastAsia="Times New Roman" w:hAnsiTheme="minorBidi" w:cstheme="minorBidi"/>
          <w:snapToGrid/>
          <w:color w:val="000000"/>
          <w:sz w:val="20"/>
          <w:szCs w:val="20"/>
          <w:lang w:val="en-US"/>
        </w:rPr>
        <w:br/>
        <w:t>Ocean Observations, Modelling and Data Assimilation (OMDA)</w:t>
      </w:r>
      <w:r w:rsidRPr="001B246E">
        <w:rPr>
          <w:rFonts w:asciiTheme="minorBidi" w:eastAsia="Times New Roman" w:hAnsiTheme="minorBidi" w:cstheme="minorBidi"/>
          <w:snapToGrid/>
          <w:color w:val="000000"/>
          <w:sz w:val="20"/>
          <w:szCs w:val="20"/>
          <w:lang w:val="en-US"/>
        </w:rPr>
        <w:br/>
        <w:t>Indian National Centre for Ocean Information Services</w:t>
      </w:r>
      <w:r w:rsidRPr="001B246E">
        <w:rPr>
          <w:rFonts w:asciiTheme="minorBidi" w:eastAsia="Times New Roman" w:hAnsiTheme="minorBidi" w:cstheme="minorBidi"/>
          <w:snapToGrid/>
          <w:color w:val="000000"/>
          <w:sz w:val="20"/>
          <w:szCs w:val="20"/>
          <w:lang w:val="en-US"/>
        </w:rPr>
        <w:br/>
        <w:t xml:space="preserve">Ocean Valley, Pragathi Nagar , </w:t>
      </w:r>
      <w:proofErr w:type="spellStart"/>
      <w:r w:rsidRPr="001B246E">
        <w:rPr>
          <w:rFonts w:asciiTheme="minorBidi" w:eastAsia="Times New Roman" w:hAnsiTheme="minorBidi" w:cstheme="minorBidi"/>
          <w:snapToGrid/>
          <w:color w:val="000000"/>
          <w:sz w:val="20"/>
          <w:szCs w:val="20"/>
          <w:lang w:val="en-US"/>
        </w:rPr>
        <w:t>Nizampet</w:t>
      </w:r>
      <w:proofErr w:type="spellEnd"/>
      <w:r w:rsidRPr="001B246E">
        <w:rPr>
          <w:rFonts w:asciiTheme="minorBidi" w:eastAsia="Times New Roman" w:hAnsiTheme="minorBidi" w:cstheme="minorBidi"/>
          <w:snapToGrid/>
          <w:color w:val="000000"/>
          <w:sz w:val="20"/>
          <w:szCs w:val="20"/>
          <w:lang w:val="en-US"/>
        </w:rPr>
        <w:t xml:space="preserve"> Hyderabad 500 090 Telangana India</w:t>
      </w:r>
      <w:r w:rsidRPr="001B246E">
        <w:rPr>
          <w:rFonts w:asciiTheme="minorBidi" w:eastAsia="Times New Roman" w:hAnsiTheme="minorBidi" w:cstheme="minorBidi"/>
          <w:snapToGrid/>
          <w:color w:val="000000"/>
          <w:sz w:val="20"/>
          <w:szCs w:val="20"/>
          <w:lang w:val="en-US"/>
        </w:rPr>
        <w:br/>
        <w:t>Tel: +91-40-23895008</w:t>
      </w:r>
      <w:r w:rsidRPr="001B246E">
        <w:rPr>
          <w:rFonts w:asciiTheme="minorBidi" w:eastAsia="Times New Roman" w:hAnsiTheme="minorBidi" w:cstheme="minorBidi"/>
          <w:snapToGrid/>
          <w:color w:val="000000"/>
          <w:sz w:val="20"/>
          <w:szCs w:val="20"/>
          <w:lang w:val="en-US"/>
        </w:rPr>
        <w:br/>
        <w:t xml:space="preserve">Email1: </w:t>
      </w:r>
      <w:hyperlink r:id="rId127" w:history="1">
        <w:r w:rsidRPr="007917C4">
          <w:rPr>
            <w:rStyle w:val="Hyperlink"/>
            <w:rFonts w:asciiTheme="minorBidi" w:eastAsia="Times New Roman" w:hAnsiTheme="minorBidi" w:cstheme="minorBidi"/>
            <w:snapToGrid/>
            <w:sz w:val="20"/>
            <w:szCs w:val="20"/>
            <w:lang w:val="en-US"/>
          </w:rPr>
          <w:t>pattabhi@incois.gov.in</w:t>
        </w:r>
      </w:hyperlink>
      <w:r>
        <w:rPr>
          <w:rFonts w:asciiTheme="minorBidi" w:eastAsia="Times New Roman" w:hAnsiTheme="minorBidi" w:cstheme="minorBidi"/>
          <w:snapToGrid/>
          <w:color w:val="000000"/>
          <w:sz w:val="20"/>
          <w:szCs w:val="20"/>
          <w:lang w:val="en-US"/>
        </w:rPr>
        <w:t xml:space="preserve"> </w:t>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t>Dr Laura KONG (16046)</w:t>
      </w:r>
      <w:r w:rsidRPr="001B246E">
        <w:rPr>
          <w:rFonts w:asciiTheme="minorBidi" w:eastAsia="Times New Roman" w:hAnsiTheme="minorBidi" w:cstheme="minorBidi"/>
          <w:snapToGrid/>
          <w:color w:val="000000"/>
          <w:sz w:val="20"/>
          <w:szCs w:val="20"/>
          <w:lang w:val="en-US"/>
        </w:rPr>
        <w:br/>
        <w:t>Director ITIC</w:t>
      </w:r>
      <w:r w:rsidRPr="001B246E">
        <w:rPr>
          <w:rFonts w:asciiTheme="minorBidi" w:eastAsia="Times New Roman" w:hAnsiTheme="minorBidi" w:cstheme="minorBidi"/>
          <w:snapToGrid/>
          <w:color w:val="000000"/>
          <w:sz w:val="20"/>
          <w:szCs w:val="20"/>
          <w:lang w:val="en-US"/>
        </w:rPr>
        <w:br/>
        <w:t>UNESCO IOC NOAA International Tsunami Information Centre</w:t>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t xml:space="preserve">1845 Wasp Blvd, </w:t>
      </w:r>
      <w:proofErr w:type="spellStart"/>
      <w:r w:rsidRPr="001B246E">
        <w:rPr>
          <w:rFonts w:asciiTheme="minorBidi" w:eastAsia="Times New Roman" w:hAnsiTheme="minorBidi" w:cstheme="minorBidi"/>
          <w:snapToGrid/>
          <w:color w:val="000000"/>
          <w:sz w:val="20"/>
          <w:szCs w:val="20"/>
          <w:lang w:val="en-US"/>
        </w:rPr>
        <w:t>Bldg</w:t>
      </w:r>
      <w:proofErr w:type="spellEnd"/>
      <w:r w:rsidRPr="001B246E">
        <w:rPr>
          <w:rFonts w:asciiTheme="minorBidi" w:eastAsia="Times New Roman" w:hAnsiTheme="minorBidi" w:cstheme="minorBidi"/>
          <w:snapToGrid/>
          <w:color w:val="000000"/>
          <w:sz w:val="20"/>
          <w:szCs w:val="20"/>
          <w:lang w:val="en-US"/>
        </w:rPr>
        <w:t xml:space="preserve"> 176 Honolulu, Hawaii 96818 USA United States</w:t>
      </w:r>
      <w:r w:rsidRPr="001B246E">
        <w:rPr>
          <w:rFonts w:asciiTheme="minorBidi" w:eastAsia="Times New Roman" w:hAnsiTheme="minorBidi" w:cstheme="minorBidi"/>
          <w:snapToGrid/>
          <w:color w:val="000000"/>
          <w:sz w:val="20"/>
          <w:szCs w:val="20"/>
          <w:lang w:val="en-US"/>
        </w:rPr>
        <w:br/>
        <w:t>Tel: 1-808-725-6051</w:t>
      </w:r>
      <w:r w:rsidRPr="001B246E">
        <w:rPr>
          <w:rFonts w:asciiTheme="minorBidi" w:eastAsia="Times New Roman" w:hAnsiTheme="minorBidi" w:cstheme="minorBidi"/>
          <w:snapToGrid/>
          <w:color w:val="000000"/>
          <w:sz w:val="20"/>
          <w:szCs w:val="20"/>
          <w:lang w:val="en-US"/>
        </w:rPr>
        <w:br/>
        <w:t xml:space="preserve">Email1: </w:t>
      </w:r>
      <w:hyperlink r:id="rId128" w:history="1">
        <w:r w:rsidRPr="007917C4">
          <w:rPr>
            <w:rStyle w:val="Hyperlink"/>
            <w:rFonts w:asciiTheme="minorBidi" w:eastAsia="Times New Roman" w:hAnsiTheme="minorBidi" w:cstheme="minorBidi"/>
            <w:snapToGrid/>
            <w:sz w:val="20"/>
            <w:szCs w:val="20"/>
            <w:lang w:val="en-US"/>
          </w:rPr>
          <w:t>laura.kong@noaa.gov</w:t>
        </w:r>
      </w:hyperlink>
      <w:r>
        <w:rPr>
          <w:rFonts w:asciiTheme="minorBidi" w:eastAsia="Times New Roman" w:hAnsiTheme="minorBidi" w:cstheme="minorBidi"/>
          <w:snapToGrid/>
          <w:color w:val="000000"/>
          <w:sz w:val="20"/>
          <w:szCs w:val="20"/>
          <w:lang w:val="en-US"/>
        </w:rPr>
        <w:t xml:space="preserve"> </w:t>
      </w:r>
      <w:r w:rsidRPr="00691AB0">
        <w:rPr>
          <w:rFonts w:asciiTheme="minorBidi" w:eastAsia="Times New Roman" w:hAnsiTheme="minorBidi" w:cstheme="minorBidi"/>
          <w:snapToGrid/>
          <w:color w:val="000000"/>
          <w:sz w:val="20"/>
          <w:szCs w:val="20"/>
          <w:lang w:val="en-US"/>
        </w:rPr>
        <w:br/>
      </w:r>
      <w:r w:rsidRPr="00691AB0">
        <w:rPr>
          <w:rFonts w:asciiTheme="minorBidi" w:eastAsia="Times New Roman" w:hAnsiTheme="minorBidi" w:cstheme="minorBidi"/>
          <w:snapToGrid/>
          <w:color w:val="000000"/>
          <w:sz w:val="20"/>
          <w:szCs w:val="20"/>
          <w:lang w:val="en-US"/>
        </w:rPr>
        <w:br/>
      </w:r>
      <w:r w:rsidRPr="00691AB0">
        <w:rPr>
          <w:rFonts w:asciiTheme="minorBidi" w:eastAsia="Times New Roman" w:hAnsiTheme="minorBidi" w:cstheme="minorBidi"/>
          <w:snapToGrid/>
          <w:color w:val="000000"/>
          <w:sz w:val="20"/>
          <w:szCs w:val="20"/>
          <w:lang w:val="en-US"/>
        </w:rPr>
        <w:br/>
        <w:t>Mr. Gerard METAYER (18841)</w:t>
      </w:r>
      <w:r w:rsidRPr="00691AB0">
        <w:rPr>
          <w:rFonts w:asciiTheme="minorBidi" w:eastAsia="Times New Roman" w:hAnsiTheme="minorBidi" w:cstheme="minorBidi"/>
          <w:snapToGrid/>
          <w:color w:val="000000"/>
          <w:sz w:val="20"/>
          <w:szCs w:val="20"/>
          <w:lang w:val="en-US"/>
        </w:rPr>
        <w:br/>
        <w:t xml:space="preserve">Membre du Cabinet Technique / </w:t>
      </w:r>
      <w:proofErr w:type="spellStart"/>
      <w:r w:rsidRPr="00691AB0">
        <w:rPr>
          <w:rFonts w:asciiTheme="minorBidi" w:eastAsia="Times New Roman" w:hAnsiTheme="minorBidi" w:cstheme="minorBidi"/>
          <w:snapToGrid/>
          <w:color w:val="000000"/>
          <w:sz w:val="20"/>
          <w:szCs w:val="20"/>
          <w:lang w:val="en-US"/>
        </w:rPr>
        <w:t>Responsable</w:t>
      </w:r>
      <w:proofErr w:type="spellEnd"/>
      <w:r w:rsidRPr="00691AB0">
        <w:rPr>
          <w:rFonts w:asciiTheme="minorBidi" w:eastAsia="Times New Roman" w:hAnsiTheme="minorBidi" w:cstheme="minorBidi"/>
          <w:snapToGrid/>
          <w:color w:val="000000"/>
          <w:sz w:val="20"/>
          <w:szCs w:val="20"/>
          <w:lang w:val="en-US"/>
        </w:rPr>
        <w:t xml:space="preserve"> du Dossier Tsunami</w:t>
      </w:r>
      <w:r w:rsidRPr="00691AB0">
        <w:rPr>
          <w:rFonts w:asciiTheme="minorBidi" w:eastAsia="Times New Roman" w:hAnsiTheme="minorBidi" w:cstheme="minorBidi"/>
          <w:snapToGrid/>
          <w:color w:val="000000"/>
          <w:sz w:val="20"/>
          <w:szCs w:val="20"/>
          <w:lang w:val="en-US"/>
        </w:rPr>
        <w:br/>
        <w:t xml:space="preserve">Service Maritime et de Navigation </w:t>
      </w:r>
      <w:proofErr w:type="spellStart"/>
      <w:r w:rsidRPr="00691AB0">
        <w:rPr>
          <w:rFonts w:asciiTheme="minorBidi" w:eastAsia="Times New Roman" w:hAnsiTheme="minorBidi" w:cstheme="minorBidi"/>
          <w:snapToGrid/>
          <w:color w:val="000000"/>
          <w:sz w:val="20"/>
          <w:szCs w:val="20"/>
          <w:lang w:val="en-US"/>
        </w:rPr>
        <w:t>d'Haiti</w:t>
      </w:r>
      <w:proofErr w:type="spellEnd"/>
      <w:r w:rsidRPr="00691AB0">
        <w:rPr>
          <w:rFonts w:asciiTheme="minorBidi" w:eastAsia="Times New Roman" w:hAnsiTheme="minorBidi" w:cstheme="minorBidi"/>
          <w:snapToGrid/>
          <w:color w:val="000000"/>
          <w:sz w:val="20"/>
          <w:szCs w:val="20"/>
          <w:lang w:val="en-US"/>
        </w:rPr>
        <w:br/>
        <w:t>Maritime and Navigation Service of Haiti</w:t>
      </w:r>
      <w:r w:rsidRPr="00691AB0">
        <w:rPr>
          <w:rFonts w:asciiTheme="minorBidi" w:eastAsia="Times New Roman" w:hAnsiTheme="minorBidi" w:cstheme="minorBidi"/>
          <w:snapToGrid/>
          <w:color w:val="000000"/>
          <w:sz w:val="20"/>
          <w:szCs w:val="20"/>
          <w:lang w:val="en-US"/>
        </w:rPr>
        <w:br/>
        <w:t xml:space="preserve">80, Boulevard 15 Octobre, Zone </w:t>
      </w:r>
      <w:proofErr w:type="spellStart"/>
      <w:r w:rsidRPr="00691AB0">
        <w:rPr>
          <w:rFonts w:asciiTheme="minorBidi" w:eastAsia="Times New Roman" w:hAnsiTheme="minorBidi" w:cstheme="minorBidi"/>
          <w:snapToGrid/>
          <w:color w:val="000000"/>
          <w:sz w:val="20"/>
          <w:szCs w:val="20"/>
          <w:lang w:val="en-US"/>
        </w:rPr>
        <w:t>Torcelle</w:t>
      </w:r>
      <w:proofErr w:type="spellEnd"/>
      <w:r w:rsidRPr="00691AB0">
        <w:rPr>
          <w:rFonts w:asciiTheme="minorBidi" w:eastAsia="Times New Roman" w:hAnsiTheme="minorBidi" w:cstheme="minorBidi"/>
          <w:snapToGrid/>
          <w:color w:val="000000"/>
          <w:sz w:val="20"/>
          <w:szCs w:val="20"/>
          <w:lang w:val="en-US"/>
        </w:rPr>
        <w:t xml:space="preserve"> HT6141 Petion-Ville Haiti</w:t>
      </w:r>
      <w:r w:rsidRPr="00691AB0">
        <w:rPr>
          <w:rFonts w:asciiTheme="minorBidi" w:eastAsia="Times New Roman" w:hAnsiTheme="minorBidi" w:cstheme="minorBidi"/>
          <w:snapToGrid/>
          <w:color w:val="000000"/>
          <w:sz w:val="20"/>
          <w:szCs w:val="20"/>
          <w:lang w:val="en-US"/>
        </w:rPr>
        <w:br/>
        <w:t>Tel: +509 3713 5936</w:t>
      </w:r>
      <w:r w:rsidRPr="00691AB0">
        <w:rPr>
          <w:rFonts w:asciiTheme="minorBidi" w:eastAsia="Times New Roman" w:hAnsiTheme="minorBidi" w:cstheme="minorBidi"/>
          <w:snapToGrid/>
          <w:color w:val="000000"/>
          <w:sz w:val="20"/>
          <w:szCs w:val="20"/>
          <w:lang w:val="en-US"/>
        </w:rPr>
        <w:br/>
        <w:t xml:space="preserve">Email1: </w:t>
      </w:r>
      <w:hyperlink r:id="rId129" w:history="1">
        <w:r w:rsidRPr="00691AB0">
          <w:rPr>
            <w:rStyle w:val="Hyperlink"/>
            <w:rFonts w:asciiTheme="minorBidi" w:eastAsia="Times New Roman" w:hAnsiTheme="minorBidi" w:cstheme="minorBidi"/>
            <w:snapToGrid/>
            <w:sz w:val="20"/>
            <w:szCs w:val="20"/>
            <w:lang w:val="en-US"/>
          </w:rPr>
          <w:t>gerard_metayer@yahoo.fr</w:t>
        </w:r>
      </w:hyperlink>
      <w:r w:rsidRPr="00691AB0">
        <w:rPr>
          <w:rFonts w:asciiTheme="minorBidi" w:eastAsia="Times New Roman" w:hAnsiTheme="minorBidi" w:cstheme="minorBidi"/>
          <w:snapToGrid/>
          <w:color w:val="000000"/>
          <w:sz w:val="20"/>
          <w:szCs w:val="20"/>
          <w:lang w:val="en-US"/>
        </w:rPr>
        <w:t xml:space="preserve"> </w:t>
      </w:r>
      <w:r w:rsidRPr="00691AB0">
        <w:rPr>
          <w:rFonts w:asciiTheme="minorBidi" w:eastAsia="Times New Roman" w:hAnsiTheme="minorBidi" w:cstheme="minorBidi"/>
          <w:snapToGrid/>
          <w:color w:val="000000"/>
          <w:sz w:val="20"/>
          <w:szCs w:val="20"/>
          <w:lang w:val="en-US"/>
        </w:rPr>
        <w:br/>
      </w:r>
      <w:r w:rsidRPr="00691AB0">
        <w:rPr>
          <w:rFonts w:asciiTheme="minorBidi" w:eastAsia="Times New Roman" w:hAnsiTheme="minorBidi" w:cstheme="minorBidi"/>
          <w:snapToGrid/>
          <w:color w:val="000000"/>
          <w:sz w:val="20"/>
          <w:szCs w:val="20"/>
          <w:lang w:val="en-US"/>
        </w:rPr>
        <w:br/>
      </w:r>
      <w:r w:rsidRPr="00691AB0">
        <w:rPr>
          <w:rFonts w:asciiTheme="minorBidi" w:eastAsia="Times New Roman" w:hAnsiTheme="minorBidi" w:cstheme="minorBidi"/>
          <w:snapToGrid/>
          <w:color w:val="000000"/>
          <w:sz w:val="20"/>
          <w:szCs w:val="20"/>
          <w:lang w:val="en-US"/>
        </w:rPr>
        <w:br/>
        <w:t>Mr Yuji NISHIMAE (16639)</w:t>
      </w:r>
      <w:r w:rsidRPr="00691AB0">
        <w:rPr>
          <w:rFonts w:asciiTheme="minorBidi" w:eastAsia="Times New Roman" w:hAnsiTheme="minorBidi" w:cstheme="minorBidi"/>
          <w:snapToGrid/>
          <w:color w:val="000000"/>
          <w:sz w:val="20"/>
          <w:szCs w:val="20"/>
          <w:lang w:val="en-US"/>
        </w:rPr>
        <w:br/>
        <w:t>Senior Scientific Officer</w:t>
      </w:r>
      <w:r w:rsidRPr="00691AB0">
        <w:rPr>
          <w:rFonts w:asciiTheme="minorBidi" w:eastAsia="Times New Roman" w:hAnsiTheme="minorBidi" w:cstheme="minorBidi"/>
          <w:snapToGrid/>
          <w:color w:val="000000"/>
          <w:sz w:val="20"/>
          <w:szCs w:val="20"/>
          <w:lang w:val="en-US"/>
        </w:rPr>
        <w:br/>
        <w:t>Japan Meteorological Agency, Tokyo</w:t>
      </w:r>
      <w:r w:rsidRPr="00691AB0">
        <w:rPr>
          <w:rFonts w:asciiTheme="minorBidi" w:eastAsia="Times New Roman" w:hAnsiTheme="minorBidi" w:cstheme="minorBidi"/>
          <w:snapToGrid/>
          <w:color w:val="000000"/>
          <w:sz w:val="20"/>
          <w:szCs w:val="20"/>
          <w:lang w:val="en-US"/>
        </w:rPr>
        <w:br/>
        <w:t xml:space="preserve">3-6-9 </w:t>
      </w:r>
      <w:proofErr w:type="spellStart"/>
      <w:r w:rsidRPr="00691AB0">
        <w:rPr>
          <w:rFonts w:asciiTheme="minorBidi" w:eastAsia="Times New Roman" w:hAnsiTheme="minorBidi" w:cstheme="minorBidi"/>
          <w:snapToGrid/>
          <w:color w:val="000000"/>
          <w:sz w:val="20"/>
          <w:szCs w:val="20"/>
          <w:lang w:val="en-US"/>
        </w:rPr>
        <w:t>Toranomon</w:t>
      </w:r>
      <w:proofErr w:type="spellEnd"/>
      <w:r w:rsidRPr="00691AB0">
        <w:rPr>
          <w:rFonts w:asciiTheme="minorBidi" w:eastAsia="Times New Roman" w:hAnsiTheme="minorBidi" w:cstheme="minorBidi"/>
          <w:snapToGrid/>
          <w:color w:val="000000"/>
          <w:sz w:val="20"/>
          <w:szCs w:val="20"/>
          <w:lang w:val="en-US"/>
        </w:rPr>
        <w:t>, Minato-ku Tokyo, 105-8431 Japan</w:t>
      </w:r>
      <w:r w:rsidRPr="00691AB0">
        <w:rPr>
          <w:rFonts w:asciiTheme="minorBidi" w:eastAsia="Times New Roman" w:hAnsiTheme="minorBidi" w:cstheme="minorBidi"/>
          <w:snapToGrid/>
          <w:color w:val="000000"/>
          <w:sz w:val="20"/>
          <w:szCs w:val="20"/>
          <w:lang w:val="en-US"/>
        </w:rPr>
        <w:br/>
        <w:t>Tel: +81 (3) 6758 3900</w:t>
      </w:r>
      <w:r w:rsidRPr="00691AB0">
        <w:rPr>
          <w:rFonts w:asciiTheme="minorBidi" w:eastAsia="Times New Roman" w:hAnsiTheme="minorBidi" w:cstheme="minorBidi"/>
          <w:snapToGrid/>
          <w:color w:val="000000"/>
          <w:sz w:val="20"/>
          <w:szCs w:val="20"/>
          <w:lang w:val="en-US"/>
        </w:rPr>
        <w:br/>
        <w:t xml:space="preserve">Email1: </w:t>
      </w:r>
      <w:hyperlink r:id="rId130" w:history="1">
        <w:r w:rsidRPr="00691AB0">
          <w:rPr>
            <w:rStyle w:val="Hyperlink"/>
            <w:rFonts w:asciiTheme="minorBidi" w:eastAsia="Times New Roman" w:hAnsiTheme="minorBidi" w:cstheme="minorBidi"/>
            <w:snapToGrid/>
            <w:sz w:val="20"/>
            <w:szCs w:val="20"/>
            <w:lang w:val="en-US"/>
          </w:rPr>
          <w:t>nishimae@met.kishou.go.jp</w:t>
        </w:r>
      </w:hyperlink>
      <w:r w:rsidRPr="00691AB0">
        <w:rPr>
          <w:rFonts w:asciiTheme="minorBidi" w:eastAsia="Times New Roman" w:hAnsiTheme="minorBidi" w:cstheme="minorBidi"/>
          <w:snapToGrid/>
          <w:color w:val="000000"/>
          <w:sz w:val="20"/>
          <w:szCs w:val="20"/>
          <w:lang w:val="en-US"/>
        </w:rPr>
        <w:t xml:space="preserve"> </w:t>
      </w:r>
    </w:p>
    <w:p w14:paraId="2F9DF593" w14:textId="77777777" w:rsidR="00010FD2" w:rsidRPr="00691AB0" w:rsidRDefault="00010FD2" w:rsidP="00010FD2">
      <w:pPr>
        <w:rPr>
          <w:rFonts w:asciiTheme="minorBidi" w:hAnsiTheme="minorBidi" w:cstheme="minorBidi"/>
          <w:sz w:val="20"/>
          <w:szCs w:val="20"/>
          <w:lang w:val="en-US"/>
        </w:rPr>
      </w:pPr>
    </w:p>
    <w:p w14:paraId="64A792A6" w14:textId="77777777" w:rsidR="001B246E" w:rsidRPr="00691AB0" w:rsidRDefault="001B246E" w:rsidP="00010FD2">
      <w:pPr>
        <w:rPr>
          <w:rFonts w:asciiTheme="minorBidi" w:hAnsiTheme="minorBidi" w:cstheme="minorBidi"/>
          <w:sz w:val="20"/>
          <w:szCs w:val="20"/>
          <w:lang w:val="en-US"/>
        </w:rPr>
      </w:pPr>
    </w:p>
    <w:p w14:paraId="4B884811" w14:textId="13C53C8E" w:rsidR="001B246E" w:rsidRPr="00C22E6B" w:rsidRDefault="001B246E" w:rsidP="001B246E">
      <w:pPr>
        <w:rPr>
          <w:rFonts w:asciiTheme="minorBidi" w:hAnsiTheme="minorBidi" w:cstheme="minorBidi"/>
          <w:sz w:val="20"/>
          <w:szCs w:val="20"/>
          <w:lang w:val="en-US"/>
        </w:rPr>
      </w:pPr>
      <w:r w:rsidRPr="00C22E6B">
        <w:rPr>
          <w:rFonts w:asciiTheme="minorBidi" w:hAnsiTheme="minorBidi"/>
          <w:b/>
          <w:sz w:val="21"/>
          <w:szCs w:val="21"/>
          <w:lang w:val="en-US"/>
        </w:rPr>
        <w:t>Members of the IOC Executive Council</w:t>
      </w:r>
      <w:r w:rsidRPr="00C22E6B">
        <w:rPr>
          <w:rFonts w:asciiTheme="minorBidi" w:hAnsiTheme="minorBidi" w:cstheme="minorBidi"/>
          <w:sz w:val="20"/>
          <w:szCs w:val="20"/>
          <w:lang w:val="en-US"/>
        </w:rPr>
        <w:br/>
      </w:r>
      <w:r w:rsidRPr="00C22E6B">
        <w:rPr>
          <w:rFonts w:asciiTheme="minorBidi" w:hAnsiTheme="minorBidi" w:cstheme="minorBidi"/>
          <w:sz w:val="20"/>
          <w:szCs w:val="20"/>
          <w:lang w:val="en-US"/>
        </w:rPr>
        <w:br/>
        <w:t>Captain Carlos ZUNIGA (24934)</w:t>
      </w:r>
      <w:r w:rsidRPr="00C22E6B">
        <w:rPr>
          <w:rFonts w:asciiTheme="minorBidi" w:hAnsiTheme="minorBidi" w:cstheme="minorBidi"/>
          <w:sz w:val="20"/>
          <w:szCs w:val="20"/>
          <w:lang w:val="en-US"/>
        </w:rPr>
        <w:br/>
        <w:t>Director</w:t>
      </w:r>
      <w:r w:rsidRPr="00C22E6B">
        <w:rPr>
          <w:rFonts w:asciiTheme="minorBidi" w:hAnsiTheme="minorBidi" w:cstheme="minorBidi"/>
          <w:sz w:val="20"/>
          <w:szCs w:val="20"/>
          <w:lang w:val="en-US"/>
        </w:rPr>
        <w:br/>
        <w:t xml:space="preserve">Servicio </w:t>
      </w:r>
      <w:proofErr w:type="spellStart"/>
      <w:r w:rsidRPr="00C22E6B">
        <w:rPr>
          <w:rFonts w:asciiTheme="minorBidi" w:hAnsiTheme="minorBidi" w:cstheme="minorBidi"/>
          <w:sz w:val="20"/>
          <w:szCs w:val="20"/>
          <w:lang w:val="en-US"/>
        </w:rPr>
        <w:t>Hidrográfico</w:t>
      </w:r>
      <w:proofErr w:type="spellEnd"/>
      <w:r w:rsidRPr="00C22E6B">
        <w:rPr>
          <w:rFonts w:asciiTheme="minorBidi" w:hAnsiTheme="minorBidi" w:cstheme="minorBidi"/>
          <w:sz w:val="20"/>
          <w:szCs w:val="20"/>
          <w:lang w:val="en-US"/>
        </w:rPr>
        <w:t xml:space="preserve"> y </w:t>
      </w:r>
      <w:proofErr w:type="spellStart"/>
      <w:r w:rsidRPr="00C22E6B">
        <w:rPr>
          <w:rFonts w:asciiTheme="minorBidi" w:hAnsiTheme="minorBidi" w:cstheme="minorBidi"/>
          <w:sz w:val="20"/>
          <w:szCs w:val="20"/>
          <w:lang w:val="en-US"/>
        </w:rPr>
        <w:t>Oceanográfico</w:t>
      </w:r>
      <w:proofErr w:type="spellEnd"/>
      <w:r w:rsidRPr="00C22E6B">
        <w:rPr>
          <w:rFonts w:asciiTheme="minorBidi" w:hAnsiTheme="minorBidi" w:cstheme="minorBidi"/>
          <w:sz w:val="20"/>
          <w:szCs w:val="20"/>
          <w:lang w:val="en-US"/>
        </w:rPr>
        <w:t xml:space="preserve"> de la Armada</w:t>
      </w:r>
      <w:r w:rsidRPr="00C22E6B">
        <w:rPr>
          <w:rFonts w:asciiTheme="minorBidi" w:hAnsiTheme="minorBidi" w:cstheme="minorBidi"/>
          <w:sz w:val="20"/>
          <w:szCs w:val="20"/>
          <w:lang w:val="en-US"/>
        </w:rPr>
        <w:br/>
      </w:r>
      <w:proofErr w:type="spellStart"/>
      <w:r w:rsidRPr="00C22E6B">
        <w:rPr>
          <w:rFonts w:asciiTheme="minorBidi" w:hAnsiTheme="minorBidi" w:cstheme="minorBidi"/>
          <w:sz w:val="20"/>
          <w:szCs w:val="20"/>
          <w:lang w:val="en-US"/>
        </w:rPr>
        <w:t>Errazuriz</w:t>
      </w:r>
      <w:proofErr w:type="spellEnd"/>
      <w:r w:rsidRPr="00C22E6B">
        <w:rPr>
          <w:rFonts w:asciiTheme="minorBidi" w:hAnsiTheme="minorBidi" w:cstheme="minorBidi"/>
          <w:sz w:val="20"/>
          <w:szCs w:val="20"/>
          <w:lang w:val="en-US"/>
        </w:rPr>
        <w:t xml:space="preserve"> 254 Playa Ancha 324 Valparaíso Chile</w:t>
      </w:r>
      <w:r w:rsidRPr="00C22E6B">
        <w:rPr>
          <w:rFonts w:asciiTheme="minorBidi" w:hAnsiTheme="minorBidi" w:cstheme="minorBidi"/>
          <w:sz w:val="20"/>
          <w:szCs w:val="20"/>
          <w:lang w:val="en-US"/>
        </w:rPr>
        <w:br/>
        <w:t>Tel: 322266502</w:t>
      </w:r>
      <w:r w:rsidRPr="00C22E6B">
        <w:rPr>
          <w:rFonts w:asciiTheme="minorBidi" w:hAnsiTheme="minorBidi" w:cstheme="minorBidi"/>
          <w:sz w:val="20"/>
          <w:szCs w:val="20"/>
          <w:lang w:val="en-US"/>
        </w:rPr>
        <w:br/>
        <w:t xml:space="preserve">Email1: </w:t>
      </w:r>
      <w:hyperlink r:id="rId131" w:history="1">
        <w:r w:rsidRPr="00C22E6B">
          <w:rPr>
            <w:rStyle w:val="Hyperlink"/>
            <w:rFonts w:asciiTheme="minorBidi" w:hAnsiTheme="minorBidi" w:cstheme="minorBidi"/>
            <w:sz w:val="20"/>
            <w:szCs w:val="20"/>
            <w:lang w:val="en-US"/>
          </w:rPr>
          <w:t>czuniga@shoa.cl</w:t>
        </w:r>
      </w:hyperlink>
      <w:r w:rsidRPr="00C22E6B">
        <w:rPr>
          <w:rFonts w:asciiTheme="minorBidi" w:hAnsiTheme="minorBidi" w:cstheme="minorBidi"/>
          <w:sz w:val="20"/>
          <w:szCs w:val="20"/>
          <w:lang w:val="en-US"/>
        </w:rPr>
        <w:t xml:space="preserve"> </w:t>
      </w:r>
      <w:r w:rsidRPr="00C22E6B">
        <w:rPr>
          <w:rFonts w:asciiTheme="minorBidi" w:hAnsiTheme="minorBidi" w:cstheme="minorBidi"/>
          <w:sz w:val="20"/>
          <w:szCs w:val="20"/>
          <w:lang w:val="en-US"/>
        </w:rPr>
        <w:br/>
      </w:r>
    </w:p>
    <w:p w14:paraId="5D05F4B5" w14:textId="77777777" w:rsidR="001B246E" w:rsidRPr="00C22E6B" w:rsidRDefault="001B246E" w:rsidP="00010FD2">
      <w:pPr>
        <w:rPr>
          <w:rFonts w:asciiTheme="minorBidi" w:hAnsiTheme="minorBidi" w:cstheme="minorBidi"/>
          <w:sz w:val="20"/>
          <w:szCs w:val="20"/>
          <w:lang w:val="en-US"/>
        </w:rPr>
      </w:pPr>
    </w:p>
    <w:p w14:paraId="59E2D73A" w14:textId="77777777" w:rsidR="00010FD2" w:rsidRPr="00063D60" w:rsidRDefault="00010FD2" w:rsidP="00010FD2">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Chairpersons of Inter-ICG Task Teams</w:t>
      </w:r>
    </w:p>
    <w:p w14:paraId="6E67A934" w14:textId="77777777" w:rsidR="00010FD2" w:rsidRDefault="00010FD2" w:rsidP="00010FD2">
      <w:pPr>
        <w:rPr>
          <w:rFonts w:asciiTheme="minorBidi" w:hAnsiTheme="minorBidi"/>
          <w:sz w:val="20"/>
          <w:szCs w:val="20"/>
        </w:rPr>
      </w:pPr>
    </w:p>
    <w:p w14:paraId="25F98E37" w14:textId="77777777" w:rsidR="002A2CD0" w:rsidRDefault="002A2CD0" w:rsidP="002A2CD0">
      <w:pPr>
        <w:rPr>
          <w:rFonts w:asciiTheme="minorBidi" w:hAnsiTheme="minorBidi" w:cstheme="minorBidi"/>
          <w:sz w:val="20"/>
          <w:szCs w:val="20"/>
          <w:lang w:val="en-US"/>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Charles (Chip) MCCREERY</w:t>
      </w:r>
      <w:r w:rsidRPr="00D36BF7">
        <w:rPr>
          <w:rFonts w:asciiTheme="minorBidi" w:hAnsiTheme="minorBidi" w:cstheme="minorBidi"/>
          <w:sz w:val="20"/>
          <w:szCs w:val="20"/>
          <w:lang w:val="en-US"/>
        </w:rPr>
        <w:br/>
        <w:t>Director PTWC</w:t>
      </w:r>
      <w:r w:rsidRPr="00D36BF7">
        <w:rPr>
          <w:rFonts w:asciiTheme="minorBidi" w:hAnsiTheme="minorBidi" w:cstheme="minorBidi"/>
          <w:sz w:val="20"/>
          <w:szCs w:val="20"/>
          <w:lang w:val="en-US"/>
        </w:rPr>
        <w:br/>
        <w:t>Pacific Tsunami Warning Center</w:t>
      </w:r>
      <w:r w:rsidRPr="00D36BF7">
        <w:rPr>
          <w:rFonts w:asciiTheme="minorBidi" w:hAnsiTheme="minorBidi" w:cstheme="minorBidi"/>
          <w:sz w:val="20"/>
          <w:szCs w:val="20"/>
          <w:lang w:val="en-US"/>
        </w:rPr>
        <w:br/>
        <w:t>1845 Wasp Boulevard, Building 176</w:t>
      </w:r>
      <w:r w:rsidRPr="00D36BF7">
        <w:rPr>
          <w:rFonts w:asciiTheme="minorBidi" w:hAnsiTheme="minorBidi" w:cstheme="minorBidi"/>
          <w:sz w:val="20"/>
          <w:szCs w:val="20"/>
          <w:lang w:val="en-US"/>
        </w:rPr>
        <w:br/>
        <w:t>Honolulu, HI 96818</w:t>
      </w:r>
      <w:r w:rsidRPr="00D36BF7">
        <w:rPr>
          <w:rFonts w:asciiTheme="minorBidi" w:hAnsiTheme="minorBidi" w:cstheme="minorBidi"/>
          <w:sz w:val="20"/>
          <w:szCs w:val="20"/>
          <w:lang w:val="en-US"/>
        </w:rPr>
        <w:br/>
        <w:t>United States</w:t>
      </w:r>
      <w:r w:rsidRPr="00D36BF7">
        <w:rPr>
          <w:rFonts w:asciiTheme="minorBidi" w:hAnsiTheme="minorBidi" w:cstheme="minorBidi"/>
          <w:sz w:val="20"/>
          <w:szCs w:val="20"/>
          <w:lang w:val="en-US"/>
        </w:rPr>
        <w:br/>
        <w:t>Tel: +1 808 725 6300</w:t>
      </w:r>
      <w:r w:rsidRPr="00D36BF7">
        <w:rPr>
          <w:rFonts w:asciiTheme="minorBidi" w:hAnsiTheme="minorBidi" w:cstheme="minorBidi"/>
          <w:sz w:val="20"/>
          <w:szCs w:val="20"/>
          <w:lang w:val="en-US"/>
        </w:rPr>
        <w:br/>
        <w:t xml:space="preserve">Email: </w:t>
      </w:r>
      <w:bookmarkStart w:id="387" w:name="_Hlk94690792"/>
      <w:r w:rsidRPr="00D36BF7">
        <w:rPr>
          <w:rFonts w:asciiTheme="minorBidi" w:hAnsiTheme="minorBidi" w:cstheme="minorBidi"/>
          <w:sz w:val="20"/>
          <w:szCs w:val="20"/>
          <w:lang w:val="en-US"/>
        </w:rPr>
        <w:fldChar w:fldCharType="begin"/>
      </w:r>
      <w:r w:rsidRPr="00D36BF7">
        <w:rPr>
          <w:rFonts w:asciiTheme="minorBidi" w:hAnsiTheme="minorBidi" w:cstheme="minorBidi"/>
          <w:sz w:val="20"/>
          <w:szCs w:val="20"/>
          <w:lang w:val="en-US"/>
        </w:rPr>
        <w:instrText xml:space="preserve"> HYPERLINK "mailto:charles.mccreery@noaa.gov" </w:instrText>
      </w:r>
      <w:r w:rsidRPr="00D36BF7">
        <w:rPr>
          <w:rFonts w:asciiTheme="minorBidi" w:hAnsiTheme="minorBidi" w:cstheme="minorBidi"/>
          <w:sz w:val="20"/>
          <w:szCs w:val="20"/>
          <w:lang w:val="en-US"/>
        </w:rPr>
      </w:r>
      <w:r w:rsidRPr="00D36BF7">
        <w:rPr>
          <w:rFonts w:asciiTheme="minorBidi" w:hAnsiTheme="minorBidi" w:cstheme="minorBidi"/>
          <w:sz w:val="20"/>
          <w:szCs w:val="20"/>
          <w:lang w:val="en-US"/>
        </w:rPr>
        <w:fldChar w:fldCharType="separate"/>
      </w:r>
      <w:r w:rsidRPr="00D36BF7">
        <w:rPr>
          <w:rStyle w:val="Hyperlink"/>
          <w:rFonts w:asciiTheme="minorBidi" w:hAnsiTheme="minorBidi" w:cstheme="minorBidi"/>
          <w:sz w:val="20"/>
          <w:szCs w:val="20"/>
        </w:rPr>
        <w:t>charles.mccreery@noaa.gov</w:t>
      </w:r>
      <w:bookmarkEnd w:id="387"/>
      <w:r w:rsidRPr="00D36BF7">
        <w:rPr>
          <w:rFonts w:asciiTheme="minorBidi" w:hAnsiTheme="minorBidi" w:cstheme="minorBidi"/>
          <w:sz w:val="20"/>
          <w:szCs w:val="20"/>
          <w:lang w:val="en-US"/>
        </w:rPr>
        <w:fldChar w:fldCharType="end"/>
      </w:r>
    </w:p>
    <w:p w14:paraId="1EA51170" w14:textId="77777777" w:rsidR="002A2CD0" w:rsidRDefault="002A2CD0" w:rsidP="00D834A5">
      <w:pPr>
        <w:tabs>
          <w:tab w:val="clear" w:pos="709"/>
        </w:tabs>
        <w:snapToGrid/>
        <w:rPr>
          <w:rFonts w:asciiTheme="minorBidi" w:eastAsia="Times New Roman" w:hAnsiTheme="minorBidi" w:cstheme="minorBidi"/>
          <w:snapToGrid/>
          <w:color w:val="000000"/>
          <w:sz w:val="20"/>
          <w:szCs w:val="20"/>
          <w:lang w:val="en-US"/>
        </w:rPr>
      </w:pPr>
    </w:p>
    <w:p w14:paraId="5F293C18" w14:textId="54676BF2" w:rsidR="00D834A5" w:rsidRPr="00A64DF8" w:rsidRDefault="00D834A5" w:rsidP="00D834A5">
      <w:pPr>
        <w:tabs>
          <w:tab w:val="clear" w:pos="709"/>
        </w:tabs>
        <w:snapToGrid/>
        <w:rPr>
          <w:rFonts w:asciiTheme="minorBidi" w:eastAsia="Times New Roman" w:hAnsiTheme="minorBidi" w:cstheme="minorBidi"/>
          <w:snapToGrid/>
          <w:sz w:val="20"/>
          <w:szCs w:val="20"/>
          <w:lang w:val="en-US"/>
        </w:rPr>
      </w:pPr>
      <w:r w:rsidRPr="00A64DF8">
        <w:rPr>
          <w:rFonts w:asciiTheme="minorBidi" w:eastAsia="Times New Roman" w:hAnsiTheme="minorBidi" w:cstheme="minorBidi"/>
          <w:snapToGrid/>
          <w:color w:val="000000"/>
          <w:sz w:val="20"/>
          <w:szCs w:val="20"/>
          <w:lang w:val="en-US"/>
        </w:rPr>
        <w:t>Harkunti RAHAYU</w:t>
      </w:r>
      <w:r w:rsidRPr="00A64DF8">
        <w:rPr>
          <w:rFonts w:asciiTheme="minorBidi" w:eastAsia="Times New Roman" w:hAnsiTheme="minorBidi" w:cstheme="minorBidi"/>
          <w:snapToGrid/>
          <w:color w:val="000000"/>
          <w:sz w:val="20"/>
          <w:szCs w:val="20"/>
          <w:lang w:val="en-US"/>
        </w:rPr>
        <w:br/>
      </w:r>
      <w:proofErr w:type="spellStart"/>
      <w:r w:rsidRPr="00A64DF8">
        <w:rPr>
          <w:rFonts w:asciiTheme="minorBidi" w:eastAsia="Times New Roman" w:hAnsiTheme="minorBidi" w:cstheme="minorBidi"/>
          <w:snapToGrid/>
          <w:color w:val="000000"/>
          <w:sz w:val="20"/>
          <w:szCs w:val="20"/>
          <w:lang w:val="en-US"/>
        </w:rPr>
        <w:t>Institut</w:t>
      </w:r>
      <w:proofErr w:type="spellEnd"/>
      <w:r w:rsidRPr="00A64DF8">
        <w:rPr>
          <w:rFonts w:asciiTheme="minorBidi" w:eastAsia="Times New Roman" w:hAnsiTheme="minorBidi" w:cstheme="minorBidi"/>
          <w:snapToGrid/>
          <w:color w:val="000000"/>
          <w:sz w:val="20"/>
          <w:szCs w:val="20"/>
          <w:lang w:val="en-US"/>
        </w:rPr>
        <w:t xml:space="preserve"> </w:t>
      </w:r>
      <w:proofErr w:type="spellStart"/>
      <w:r w:rsidRPr="00A64DF8">
        <w:rPr>
          <w:rFonts w:asciiTheme="minorBidi" w:eastAsia="Times New Roman" w:hAnsiTheme="minorBidi" w:cstheme="minorBidi"/>
          <w:snapToGrid/>
          <w:color w:val="000000"/>
          <w:sz w:val="20"/>
          <w:szCs w:val="20"/>
          <w:lang w:val="en-US"/>
        </w:rPr>
        <w:t>Teknologi</w:t>
      </w:r>
      <w:proofErr w:type="spellEnd"/>
      <w:r w:rsidRPr="00A64DF8">
        <w:rPr>
          <w:rFonts w:asciiTheme="minorBidi" w:eastAsia="Times New Roman" w:hAnsiTheme="minorBidi" w:cstheme="minorBidi"/>
          <w:snapToGrid/>
          <w:color w:val="000000"/>
          <w:sz w:val="20"/>
          <w:szCs w:val="20"/>
          <w:lang w:val="en-US"/>
        </w:rPr>
        <w:t xml:space="preserve"> Bandung (Bandung Institute of Technology)</w:t>
      </w:r>
    </w:p>
    <w:p w14:paraId="4BF33F62" w14:textId="42366B55" w:rsidR="00D834A5" w:rsidRPr="00A64DF8" w:rsidRDefault="00D834A5" w:rsidP="00D834A5">
      <w:pPr>
        <w:tabs>
          <w:tab w:val="clear" w:pos="709"/>
        </w:tabs>
        <w:snapToGrid/>
        <w:rPr>
          <w:rFonts w:asciiTheme="minorBidi" w:eastAsia="Times New Roman" w:hAnsiTheme="minorBidi" w:cstheme="minorBidi"/>
          <w:snapToGrid/>
          <w:color w:val="000000"/>
          <w:sz w:val="20"/>
          <w:szCs w:val="20"/>
          <w:lang w:val="en-US"/>
        </w:rPr>
      </w:pPr>
      <w:r w:rsidRPr="00A64DF8">
        <w:rPr>
          <w:rFonts w:asciiTheme="minorBidi" w:eastAsia="Times New Roman" w:hAnsiTheme="minorBidi" w:cstheme="minorBidi"/>
          <w:snapToGrid/>
          <w:color w:val="000000"/>
          <w:sz w:val="20"/>
          <w:szCs w:val="20"/>
          <w:lang w:val="en-US"/>
        </w:rPr>
        <w:lastRenderedPageBreak/>
        <w:t>Campus</w:t>
      </w:r>
      <w:r w:rsidRPr="00A64DF8">
        <w:rPr>
          <w:rFonts w:asciiTheme="minorBidi" w:eastAsia="Times New Roman" w:hAnsiTheme="minorBidi" w:cstheme="minorBidi"/>
          <w:snapToGrid/>
          <w:color w:val="000000"/>
          <w:sz w:val="20"/>
          <w:szCs w:val="20"/>
          <w:lang w:val="en-US"/>
        </w:rPr>
        <w:br/>
        <w:t>Jl. Ganesha no. 10</w:t>
      </w:r>
      <w:r w:rsidRPr="00A64DF8">
        <w:rPr>
          <w:rFonts w:asciiTheme="minorBidi" w:eastAsia="Times New Roman" w:hAnsiTheme="minorBidi" w:cstheme="minorBidi"/>
          <w:snapToGrid/>
          <w:color w:val="000000"/>
          <w:sz w:val="20"/>
          <w:szCs w:val="20"/>
          <w:lang w:val="en-US"/>
        </w:rPr>
        <w:br/>
        <w:t>Bandung</w:t>
      </w:r>
      <w:r w:rsidR="002A2CD0">
        <w:rPr>
          <w:rFonts w:asciiTheme="minorBidi" w:eastAsia="Times New Roman" w:hAnsiTheme="minorBidi" w:cstheme="minorBidi"/>
          <w:snapToGrid/>
          <w:color w:val="000000"/>
          <w:sz w:val="20"/>
          <w:szCs w:val="20"/>
          <w:lang w:val="en-US"/>
        </w:rPr>
        <w:t xml:space="preserve">, </w:t>
      </w:r>
      <w:r w:rsidRPr="00A64DF8">
        <w:rPr>
          <w:rFonts w:asciiTheme="minorBidi" w:eastAsia="Times New Roman" w:hAnsiTheme="minorBidi" w:cstheme="minorBidi"/>
          <w:snapToGrid/>
          <w:color w:val="000000"/>
          <w:sz w:val="20"/>
          <w:szCs w:val="20"/>
          <w:lang w:val="en-US"/>
        </w:rPr>
        <w:t>West Java 40132</w:t>
      </w:r>
      <w:r w:rsidRPr="00A64DF8">
        <w:rPr>
          <w:rFonts w:asciiTheme="minorBidi" w:eastAsia="Times New Roman" w:hAnsiTheme="minorBidi" w:cstheme="minorBidi"/>
          <w:snapToGrid/>
          <w:color w:val="000000"/>
          <w:sz w:val="20"/>
          <w:szCs w:val="20"/>
          <w:lang w:val="en-US"/>
        </w:rPr>
        <w:br/>
        <w:t>Indonesia</w:t>
      </w:r>
    </w:p>
    <w:p w14:paraId="4FBB92A9" w14:textId="77777777" w:rsidR="00EF65E5" w:rsidRDefault="00EF65E5" w:rsidP="00EF65E5">
      <w:pPr>
        <w:rPr>
          <w:rFonts w:asciiTheme="minorBidi" w:hAnsiTheme="minorBidi" w:cstheme="minorBidi"/>
          <w:sz w:val="20"/>
          <w:szCs w:val="20"/>
          <w:lang w:val="en-US"/>
        </w:rPr>
      </w:pPr>
    </w:p>
    <w:p w14:paraId="69F63DFA" w14:textId="6FF84EBB" w:rsidR="00EF65E5" w:rsidRPr="00063D60" w:rsidRDefault="001B246E" w:rsidP="001B246E">
      <w:pPr>
        <w:shd w:val="clear" w:color="auto" w:fill="E7E6E6" w:themeFill="background2"/>
        <w:rPr>
          <w:rFonts w:asciiTheme="minorBidi" w:hAnsiTheme="minorBidi" w:cstheme="minorBidi"/>
          <w:sz w:val="21"/>
          <w:szCs w:val="21"/>
          <w:lang w:val="en-US"/>
        </w:rPr>
      </w:pPr>
      <w:r w:rsidRPr="001B246E">
        <w:rPr>
          <w:rFonts w:asciiTheme="minorBidi" w:hAnsiTheme="minorBidi"/>
          <w:b/>
          <w:bCs/>
          <w:sz w:val="21"/>
          <w:szCs w:val="21"/>
          <w:lang w:val="en-US"/>
        </w:rPr>
        <w:t>High-level non-voting representatives of CTBTO, FDSN/GSN, IHO, IMO</w:t>
      </w:r>
      <w:r>
        <w:rPr>
          <w:rFonts w:asciiTheme="minorBidi" w:hAnsiTheme="minorBidi"/>
          <w:b/>
          <w:bCs/>
          <w:sz w:val="21"/>
          <w:szCs w:val="21"/>
          <w:lang w:val="en-US"/>
        </w:rPr>
        <w:t>,</w:t>
      </w:r>
      <w:r w:rsidRPr="001B246E">
        <w:rPr>
          <w:rFonts w:asciiTheme="minorBidi" w:hAnsiTheme="minorBidi"/>
          <w:b/>
          <w:bCs/>
          <w:sz w:val="21"/>
          <w:szCs w:val="21"/>
          <w:lang w:val="en-US"/>
        </w:rPr>
        <w:t xml:space="preserve"> IUGG Joint Tsunami Commission, </w:t>
      </w:r>
      <w:r>
        <w:rPr>
          <w:rFonts w:asciiTheme="minorBidi" w:hAnsiTheme="minorBidi"/>
          <w:b/>
          <w:bCs/>
          <w:sz w:val="21"/>
          <w:szCs w:val="21"/>
          <w:lang w:val="en-US"/>
        </w:rPr>
        <w:t xml:space="preserve">JFT SMART Cable, </w:t>
      </w:r>
      <w:r w:rsidRPr="001B246E">
        <w:rPr>
          <w:rFonts w:asciiTheme="minorBidi" w:hAnsiTheme="minorBidi"/>
          <w:b/>
          <w:bCs/>
          <w:sz w:val="21"/>
          <w:szCs w:val="21"/>
          <w:lang w:val="en-US"/>
        </w:rPr>
        <w:t>UNDRR, WMO</w:t>
      </w:r>
    </w:p>
    <w:p w14:paraId="5AD82889" w14:textId="52F49E50" w:rsidR="00EF65E5" w:rsidRDefault="00A64DF8" w:rsidP="001B246E">
      <w:pPr>
        <w:tabs>
          <w:tab w:val="clear" w:pos="709"/>
        </w:tabs>
        <w:snapToGrid/>
        <w:rPr>
          <w:rFonts w:asciiTheme="minorBidi" w:eastAsia="Times New Roman" w:hAnsiTheme="minorBidi" w:cstheme="minorBidi"/>
          <w:snapToGrid/>
          <w:color w:val="000000"/>
          <w:sz w:val="20"/>
          <w:szCs w:val="20"/>
          <w:lang w:val="en-US"/>
        </w:rPr>
      </w:pPr>
      <w:r w:rsidRPr="00A64DF8">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t>PROF Juan DANOBEITIA (35836)</w:t>
      </w:r>
      <w:r w:rsidR="001B246E" w:rsidRPr="001B246E">
        <w:rPr>
          <w:rFonts w:asciiTheme="minorBidi" w:eastAsia="Times New Roman" w:hAnsiTheme="minorBidi" w:cstheme="minorBidi"/>
          <w:snapToGrid/>
          <w:color w:val="000000"/>
          <w:sz w:val="20"/>
          <w:szCs w:val="20"/>
          <w:lang w:val="en-US"/>
        </w:rPr>
        <w:br/>
        <w:t>Director General</w:t>
      </w:r>
      <w:r w:rsidR="001B246E" w:rsidRPr="001B246E">
        <w:rPr>
          <w:rFonts w:asciiTheme="minorBidi" w:eastAsia="Times New Roman" w:hAnsiTheme="minorBidi" w:cstheme="minorBidi"/>
          <w:snapToGrid/>
          <w:color w:val="000000"/>
          <w:sz w:val="20"/>
          <w:szCs w:val="20"/>
          <w:lang w:val="en-US"/>
        </w:rPr>
        <w:br/>
        <w:t>ERIC</w:t>
      </w:r>
      <w:r w:rsidR="001B246E" w:rsidRPr="001B246E">
        <w:rPr>
          <w:rFonts w:asciiTheme="minorBidi" w:eastAsia="Times New Roman" w:hAnsiTheme="minorBidi" w:cstheme="minorBidi"/>
          <w:snapToGrid/>
          <w:color w:val="000000"/>
          <w:sz w:val="20"/>
          <w:szCs w:val="20"/>
          <w:lang w:val="en-US"/>
        </w:rPr>
        <w:br/>
        <w:t>EUROPEAN MULTIDISCIPLINARY SEAFLOOR OBSERVATORY and WATER COLUMN</w:t>
      </w:r>
      <w:r w:rsidR="001B246E" w:rsidRPr="001B246E">
        <w:rPr>
          <w:rFonts w:asciiTheme="minorBidi" w:eastAsia="Times New Roman" w:hAnsiTheme="minorBidi" w:cstheme="minorBidi"/>
          <w:snapToGrid/>
          <w:color w:val="000000"/>
          <w:sz w:val="20"/>
          <w:szCs w:val="20"/>
          <w:lang w:val="en-US"/>
        </w:rPr>
        <w:br/>
        <w:t xml:space="preserve">Via di Vigna Murata, 605 Via G. Antonio </w:t>
      </w:r>
      <w:proofErr w:type="spellStart"/>
      <w:r w:rsidR="001B246E" w:rsidRPr="001B246E">
        <w:rPr>
          <w:rFonts w:asciiTheme="minorBidi" w:eastAsia="Times New Roman" w:hAnsiTheme="minorBidi" w:cstheme="minorBidi"/>
          <w:snapToGrid/>
          <w:color w:val="000000"/>
          <w:sz w:val="20"/>
          <w:szCs w:val="20"/>
          <w:lang w:val="en-US"/>
        </w:rPr>
        <w:t>Resti</w:t>
      </w:r>
      <w:proofErr w:type="spellEnd"/>
      <w:r w:rsidR="001B246E" w:rsidRPr="001B246E">
        <w:rPr>
          <w:rFonts w:asciiTheme="minorBidi" w:eastAsia="Times New Roman" w:hAnsiTheme="minorBidi" w:cstheme="minorBidi"/>
          <w:snapToGrid/>
          <w:color w:val="000000"/>
          <w:sz w:val="20"/>
          <w:szCs w:val="20"/>
          <w:lang w:val="en-US"/>
        </w:rPr>
        <w:t>, 63 00143 ROME Lazio Italy</w:t>
      </w:r>
      <w:r w:rsidR="001B246E" w:rsidRPr="001B246E">
        <w:rPr>
          <w:rFonts w:asciiTheme="minorBidi" w:eastAsia="Times New Roman" w:hAnsiTheme="minorBidi" w:cstheme="minorBidi"/>
          <w:snapToGrid/>
          <w:color w:val="000000"/>
          <w:sz w:val="20"/>
          <w:szCs w:val="20"/>
          <w:lang w:val="en-US"/>
        </w:rPr>
        <w:br/>
        <w:t>Tel: +393405348049</w:t>
      </w:r>
      <w:r w:rsidR="001B246E" w:rsidRPr="001B246E">
        <w:rPr>
          <w:rFonts w:asciiTheme="minorBidi" w:eastAsia="Times New Roman" w:hAnsiTheme="minorBidi" w:cstheme="minorBidi"/>
          <w:snapToGrid/>
          <w:color w:val="000000"/>
          <w:sz w:val="20"/>
          <w:szCs w:val="20"/>
          <w:lang w:val="en-US"/>
        </w:rPr>
        <w:br/>
        <w:t xml:space="preserve">Email1: </w:t>
      </w:r>
      <w:hyperlink r:id="rId132" w:history="1">
        <w:r w:rsidR="001B246E" w:rsidRPr="007917C4">
          <w:rPr>
            <w:rStyle w:val="Hyperlink"/>
            <w:rFonts w:asciiTheme="minorBidi" w:eastAsia="Times New Roman" w:hAnsiTheme="minorBidi" w:cstheme="minorBidi"/>
            <w:snapToGrid/>
            <w:sz w:val="20"/>
            <w:szCs w:val="20"/>
            <w:lang w:val="en-US"/>
          </w:rPr>
          <w:t>juanjo.danobeitia@emso-eu.org</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t>Ms. Regina KHANBEKOVA (50830)</w:t>
      </w:r>
      <w:r w:rsidR="001B246E" w:rsidRPr="001B246E">
        <w:rPr>
          <w:rFonts w:asciiTheme="minorBidi" w:eastAsia="Times New Roman" w:hAnsiTheme="minorBidi" w:cstheme="minorBidi"/>
          <w:snapToGrid/>
          <w:color w:val="000000"/>
          <w:sz w:val="20"/>
          <w:szCs w:val="20"/>
          <w:lang w:val="en-US"/>
        </w:rPr>
        <w:br/>
        <w:t>Communications</w:t>
      </w:r>
      <w:r w:rsidR="001B246E" w:rsidRPr="001B246E">
        <w:rPr>
          <w:rFonts w:asciiTheme="minorBidi" w:eastAsia="Times New Roman" w:hAnsiTheme="minorBidi" w:cstheme="minorBidi"/>
          <w:snapToGrid/>
          <w:color w:val="000000"/>
          <w:sz w:val="20"/>
          <w:szCs w:val="20"/>
          <w:lang w:val="en-US"/>
        </w:rPr>
        <w:br/>
        <w:t>United Nations International Strategy on Disaster Reduction</w:t>
      </w:r>
      <w:r w:rsidR="001B246E" w:rsidRPr="001B246E">
        <w:rPr>
          <w:rFonts w:asciiTheme="minorBidi" w:eastAsia="Times New Roman" w:hAnsiTheme="minorBidi" w:cstheme="minorBidi"/>
          <w:snapToGrid/>
          <w:color w:val="000000"/>
          <w:sz w:val="20"/>
          <w:szCs w:val="20"/>
          <w:lang w:val="en-US"/>
        </w:rPr>
        <w:br/>
        <w:t xml:space="preserve">UNISDR 9-11 Rue de </w:t>
      </w:r>
      <w:proofErr w:type="spellStart"/>
      <w:r w:rsidR="001B246E" w:rsidRPr="001B246E">
        <w:rPr>
          <w:rFonts w:asciiTheme="minorBidi" w:eastAsia="Times New Roman" w:hAnsiTheme="minorBidi" w:cstheme="minorBidi"/>
          <w:snapToGrid/>
          <w:color w:val="000000"/>
          <w:sz w:val="20"/>
          <w:szCs w:val="20"/>
          <w:lang w:val="en-US"/>
        </w:rPr>
        <w:t>Varembé</w:t>
      </w:r>
      <w:proofErr w:type="spellEnd"/>
      <w:r w:rsidR="001B246E" w:rsidRPr="001B246E">
        <w:rPr>
          <w:rFonts w:asciiTheme="minorBidi" w:eastAsia="Times New Roman" w:hAnsiTheme="minorBidi" w:cstheme="minorBidi"/>
          <w:snapToGrid/>
          <w:color w:val="000000"/>
          <w:sz w:val="20"/>
          <w:szCs w:val="20"/>
          <w:lang w:val="en-US"/>
        </w:rPr>
        <w:t xml:space="preserve"> CH 1202 Geneva Switzerland</w:t>
      </w:r>
      <w:r w:rsidR="001B246E" w:rsidRPr="001B246E">
        <w:rPr>
          <w:rFonts w:asciiTheme="minorBidi" w:eastAsia="Times New Roman" w:hAnsiTheme="minorBidi" w:cstheme="minorBidi"/>
          <w:snapToGrid/>
          <w:color w:val="000000"/>
          <w:sz w:val="20"/>
          <w:szCs w:val="20"/>
          <w:lang w:val="en-US"/>
        </w:rPr>
        <w:br/>
        <w:t>Tel: +41766232027</w:t>
      </w:r>
      <w:r w:rsidR="001B246E" w:rsidRPr="001B246E">
        <w:rPr>
          <w:rFonts w:asciiTheme="minorBidi" w:eastAsia="Times New Roman" w:hAnsiTheme="minorBidi" w:cstheme="minorBidi"/>
          <w:snapToGrid/>
          <w:color w:val="000000"/>
          <w:sz w:val="20"/>
          <w:szCs w:val="20"/>
          <w:lang w:val="en-US"/>
        </w:rPr>
        <w:br/>
        <w:t xml:space="preserve">Email1: </w:t>
      </w:r>
      <w:hyperlink r:id="rId133" w:history="1">
        <w:r w:rsidR="001B246E" w:rsidRPr="007917C4">
          <w:rPr>
            <w:rStyle w:val="Hyperlink"/>
            <w:rFonts w:asciiTheme="minorBidi" w:eastAsia="Times New Roman" w:hAnsiTheme="minorBidi" w:cstheme="minorBidi"/>
            <w:snapToGrid/>
            <w:sz w:val="20"/>
            <w:szCs w:val="20"/>
            <w:lang w:val="en-US"/>
          </w:rPr>
          <w:t>regina.khanbekova@un.org</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t>Dr Johan STANDER (15862)</w:t>
      </w:r>
      <w:r w:rsidR="001B246E" w:rsidRPr="001B246E">
        <w:rPr>
          <w:rFonts w:asciiTheme="minorBidi" w:eastAsia="Times New Roman" w:hAnsiTheme="minorBidi" w:cstheme="minorBidi"/>
          <w:snapToGrid/>
          <w:color w:val="000000"/>
          <w:sz w:val="20"/>
          <w:szCs w:val="20"/>
          <w:lang w:val="en-US"/>
        </w:rPr>
        <w:br/>
        <w:t>Director</w:t>
      </w:r>
      <w:r w:rsidR="001B246E" w:rsidRPr="001B246E">
        <w:rPr>
          <w:rFonts w:asciiTheme="minorBidi" w:eastAsia="Times New Roman" w:hAnsiTheme="minorBidi" w:cstheme="minorBidi"/>
          <w:snapToGrid/>
          <w:color w:val="000000"/>
          <w:sz w:val="20"/>
          <w:szCs w:val="20"/>
          <w:lang w:val="en-US"/>
        </w:rPr>
        <w:br/>
        <w:t>7bis, avenue de la Paix, CH-1211 Geneva 2 Switzerland</w:t>
      </w:r>
      <w:r w:rsidR="001B246E" w:rsidRPr="001B246E">
        <w:rPr>
          <w:rFonts w:asciiTheme="minorBidi" w:eastAsia="Times New Roman" w:hAnsiTheme="minorBidi" w:cstheme="minorBidi"/>
          <w:snapToGrid/>
          <w:color w:val="000000"/>
          <w:sz w:val="20"/>
          <w:szCs w:val="20"/>
          <w:lang w:val="en-US"/>
        </w:rPr>
        <w:br/>
        <w:t>Tel: +41797208092</w:t>
      </w:r>
      <w:r w:rsidR="001B246E" w:rsidRPr="001B246E">
        <w:rPr>
          <w:rFonts w:asciiTheme="minorBidi" w:eastAsia="Times New Roman" w:hAnsiTheme="minorBidi" w:cstheme="minorBidi"/>
          <w:snapToGrid/>
          <w:color w:val="000000"/>
          <w:sz w:val="20"/>
          <w:szCs w:val="20"/>
          <w:lang w:val="en-US"/>
        </w:rPr>
        <w:br/>
        <w:t xml:space="preserve">Email1: </w:t>
      </w:r>
      <w:hyperlink r:id="rId134" w:history="1">
        <w:r w:rsidR="001B246E" w:rsidRPr="007917C4">
          <w:rPr>
            <w:rStyle w:val="Hyperlink"/>
            <w:rFonts w:asciiTheme="minorBidi" w:eastAsia="Times New Roman" w:hAnsiTheme="minorBidi" w:cstheme="minorBidi"/>
            <w:snapToGrid/>
            <w:sz w:val="20"/>
            <w:szCs w:val="20"/>
            <w:lang w:val="en-US"/>
          </w:rPr>
          <w:t>jstander@wmo.int</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t>Dr. Zhichao WANG (37211)</w:t>
      </w:r>
      <w:r w:rsidR="001B246E" w:rsidRPr="001B246E">
        <w:rPr>
          <w:rFonts w:asciiTheme="minorBidi" w:eastAsia="Times New Roman" w:hAnsiTheme="minorBidi" w:cstheme="minorBidi"/>
          <w:snapToGrid/>
          <w:color w:val="000000"/>
          <w:sz w:val="20"/>
          <w:szCs w:val="20"/>
          <w:lang w:val="en-US"/>
        </w:rPr>
        <w:br/>
        <w:t>Services Department/Sector Service Branch</w:t>
      </w:r>
      <w:r w:rsidR="001B246E" w:rsidRPr="001B246E">
        <w:rPr>
          <w:rFonts w:asciiTheme="minorBidi" w:eastAsia="Times New Roman" w:hAnsiTheme="minorBidi" w:cstheme="minorBidi"/>
          <w:snapToGrid/>
          <w:color w:val="000000"/>
          <w:sz w:val="20"/>
          <w:szCs w:val="20"/>
          <w:lang w:val="en-US"/>
        </w:rPr>
        <w:br/>
        <w:t>World Meteorological Organization</w:t>
      </w:r>
      <w:r w:rsidR="001B246E" w:rsidRPr="001B246E">
        <w:rPr>
          <w:rFonts w:asciiTheme="minorBidi" w:eastAsia="Times New Roman" w:hAnsiTheme="minorBidi" w:cstheme="minorBidi"/>
          <w:snapToGrid/>
          <w:color w:val="000000"/>
          <w:sz w:val="20"/>
          <w:szCs w:val="20"/>
          <w:lang w:val="en-US"/>
        </w:rPr>
        <w:br/>
        <w:t xml:space="preserve">Case </w:t>
      </w:r>
      <w:proofErr w:type="spellStart"/>
      <w:r w:rsidR="001B246E" w:rsidRPr="001B246E">
        <w:rPr>
          <w:rFonts w:asciiTheme="minorBidi" w:eastAsia="Times New Roman" w:hAnsiTheme="minorBidi" w:cstheme="minorBidi"/>
          <w:snapToGrid/>
          <w:color w:val="000000"/>
          <w:sz w:val="20"/>
          <w:szCs w:val="20"/>
          <w:lang w:val="en-US"/>
        </w:rPr>
        <w:t>Postale</w:t>
      </w:r>
      <w:proofErr w:type="spellEnd"/>
      <w:r w:rsidR="001B246E" w:rsidRPr="001B246E">
        <w:rPr>
          <w:rFonts w:asciiTheme="minorBidi" w:eastAsia="Times New Roman" w:hAnsiTheme="minorBidi" w:cstheme="minorBidi"/>
          <w:snapToGrid/>
          <w:color w:val="000000"/>
          <w:sz w:val="20"/>
          <w:szCs w:val="20"/>
          <w:lang w:val="en-US"/>
        </w:rPr>
        <w:t xml:space="preserve"> 2300 7bis, avenue de la Paix CH-1211 Geneva Switzerland</w:t>
      </w:r>
      <w:r w:rsidR="001B246E" w:rsidRPr="001B246E">
        <w:rPr>
          <w:rFonts w:asciiTheme="minorBidi" w:eastAsia="Times New Roman" w:hAnsiTheme="minorBidi" w:cstheme="minorBidi"/>
          <w:snapToGrid/>
          <w:color w:val="000000"/>
          <w:sz w:val="20"/>
          <w:szCs w:val="20"/>
          <w:lang w:val="en-US"/>
        </w:rPr>
        <w:br/>
        <w:t>Tel: +41 22 730 8565</w:t>
      </w:r>
      <w:r w:rsidR="001B246E" w:rsidRPr="001B246E">
        <w:rPr>
          <w:rFonts w:asciiTheme="minorBidi" w:eastAsia="Times New Roman" w:hAnsiTheme="minorBidi" w:cstheme="minorBidi"/>
          <w:snapToGrid/>
          <w:color w:val="000000"/>
          <w:sz w:val="20"/>
          <w:szCs w:val="20"/>
          <w:lang w:val="en-US"/>
        </w:rPr>
        <w:br/>
        <w:t xml:space="preserve">Email1: </w:t>
      </w:r>
      <w:hyperlink r:id="rId135" w:history="1">
        <w:r w:rsidR="001B246E" w:rsidRPr="007917C4">
          <w:rPr>
            <w:rStyle w:val="Hyperlink"/>
            <w:rFonts w:asciiTheme="minorBidi" w:eastAsia="Times New Roman" w:hAnsiTheme="minorBidi" w:cstheme="minorBidi"/>
            <w:snapToGrid/>
            <w:sz w:val="20"/>
            <w:szCs w:val="20"/>
            <w:lang w:val="en-US"/>
          </w:rPr>
          <w:t>zwang@wmo.int</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t>Mr. David WYATT (23191)</w:t>
      </w:r>
      <w:r w:rsidR="001B246E" w:rsidRPr="001B246E">
        <w:rPr>
          <w:rFonts w:asciiTheme="minorBidi" w:eastAsia="Times New Roman" w:hAnsiTheme="minorBidi" w:cstheme="minorBidi"/>
          <w:snapToGrid/>
          <w:color w:val="000000"/>
          <w:sz w:val="20"/>
          <w:szCs w:val="20"/>
          <w:lang w:val="en-US"/>
        </w:rPr>
        <w:br/>
        <w:t>Assistant Director</w:t>
      </w:r>
      <w:r w:rsidR="001B246E" w:rsidRPr="001B246E">
        <w:rPr>
          <w:rFonts w:asciiTheme="minorBidi" w:eastAsia="Times New Roman" w:hAnsiTheme="minorBidi" w:cstheme="minorBidi"/>
          <w:snapToGrid/>
          <w:color w:val="000000"/>
          <w:sz w:val="20"/>
          <w:szCs w:val="20"/>
          <w:lang w:val="en-US"/>
        </w:rPr>
        <w:br/>
        <w:t>International Hydrographic Organization</w:t>
      </w:r>
      <w:r w:rsidR="001B246E" w:rsidRPr="001B246E">
        <w:rPr>
          <w:rFonts w:asciiTheme="minorBidi" w:eastAsia="Times New Roman" w:hAnsiTheme="minorBidi" w:cstheme="minorBidi"/>
          <w:snapToGrid/>
          <w:color w:val="000000"/>
          <w:sz w:val="20"/>
          <w:szCs w:val="20"/>
          <w:lang w:val="en-US"/>
        </w:rPr>
        <w:br/>
        <w:t xml:space="preserve">B.P. 445 4b quai Antoine 1er MC98011 Monaco </w:t>
      </w:r>
      <w:proofErr w:type="spellStart"/>
      <w:r w:rsidR="001B246E" w:rsidRPr="001B246E">
        <w:rPr>
          <w:rFonts w:asciiTheme="minorBidi" w:eastAsia="Times New Roman" w:hAnsiTheme="minorBidi" w:cstheme="minorBidi"/>
          <w:snapToGrid/>
          <w:color w:val="000000"/>
          <w:sz w:val="20"/>
          <w:szCs w:val="20"/>
          <w:lang w:val="en-US"/>
        </w:rPr>
        <w:t>Monaco</w:t>
      </w:r>
      <w:proofErr w:type="spellEnd"/>
      <w:r w:rsidR="001B246E" w:rsidRPr="001B246E">
        <w:rPr>
          <w:rFonts w:asciiTheme="minorBidi" w:eastAsia="Times New Roman" w:hAnsiTheme="minorBidi" w:cstheme="minorBidi"/>
          <w:snapToGrid/>
          <w:color w:val="000000"/>
          <w:sz w:val="20"/>
          <w:szCs w:val="20"/>
          <w:lang w:val="en-US"/>
        </w:rPr>
        <w:br/>
        <w:t>Tel: +377 93108100</w:t>
      </w:r>
      <w:r w:rsidR="001B246E" w:rsidRPr="001B246E">
        <w:rPr>
          <w:rFonts w:asciiTheme="minorBidi" w:eastAsia="Times New Roman" w:hAnsiTheme="minorBidi" w:cstheme="minorBidi"/>
          <w:snapToGrid/>
          <w:color w:val="000000"/>
          <w:sz w:val="20"/>
          <w:szCs w:val="20"/>
          <w:lang w:val="en-US"/>
        </w:rPr>
        <w:br/>
        <w:t xml:space="preserve">Email1: </w:t>
      </w:r>
      <w:hyperlink r:id="rId136" w:history="1">
        <w:r w:rsidR="001B246E" w:rsidRPr="007917C4">
          <w:rPr>
            <w:rStyle w:val="Hyperlink"/>
            <w:rFonts w:asciiTheme="minorBidi" w:eastAsia="Times New Roman" w:hAnsiTheme="minorBidi" w:cstheme="minorBidi"/>
            <w:snapToGrid/>
            <w:sz w:val="20"/>
            <w:szCs w:val="20"/>
            <w:lang w:val="en-US"/>
          </w:rPr>
          <w:t>adso@iho.int</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r>
      <w:r w:rsidRPr="001B246E">
        <w:rPr>
          <w:rFonts w:asciiTheme="minorBidi" w:hAnsiTheme="minorBidi"/>
          <w:b/>
          <w:bCs/>
          <w:sz w:val="21"/>
          <w:szCs w:val="21"/>
          <w:lang w:val="en-US"/>
        </w:rPr>
        <w:t>Observer</w:t>
      </w:r>
      <w:r w:rsidR="001B246E">
        <w:rPr>
          <w:rFonts w:asciiTheme="minorBidi" w:hAnsiTheme="minorBidi"/>
          <w:b/>
          <w:bCs/>
          <w:sz w:val="21"/>
          <w:szCs w:val="21"/>
          <w:lang w:val="en-US"/>
        </w:rPr>
        <w:t>s</w:t>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t>Mr Padmanabham JIJJAVARAPU (20088)</w:t>
      </w:r>
      <w:r w:rsidR="001B246E" w:rsidRPr="001B246E">
        <w:rPr>
          <w:rFonts w:asciiTheme="minorBidi" w:eastAsia="Times New Roman" w:hAnsiTheme="minorBidi" w:cstheme="minorBidi"/>
          <w:snapToGrid/>
          <w:color w:val="000000"/>
          <w:sz w:val="20"/>
          <w:szCs w:val="20"/>
          <w:lang w:val="en-US"/>
        </w:rPr>
        <w:br/>
        <w:t>Scientist-E</w:t>
      </w:r>
      <w:r w:rsidR="001B246E" w:rsidRPr="001B246E">
        <w:rPr>
          <w:rFonts w:asciiTheme="minorBidi" w:eastAsia="Times New Roman" w:hAnsiTheme="minorBidi" w:cstheme="minorBidi"/>
          <w:snapToGrid/>
          <w:color w:val="000000"/>
          <w:sz w:val="20"/>
          <w:szCs w:val="20"/>
          <w:lang w:val="en-US"/>
        </w:rPr>
        <w:br/>
        <w:t>Indian Tsunami and Storm Surge Early Warning System</w:t>
      </w:r>
      <w:r w:rsidR="001B246E" w:rsidRPr="001B246E">
        <w:rPr>
          <w:rFonts w:asciiTheme="minorBidi" w:eastAsia="Times New Roman" w:hAnsiTheme="minorBidi" w:cstheme="minorBidi"/>
          <w:snapToGrid/>
          <w:color w:val="000000"/>
          <w:sz w:val="20"/>
          <w:szCs w:val="20"/>
          <w:lang w:val="en-US"/>
        </w:rPr>
        <w:br/>
        <w:t>Indian National Centre for Ocean Information Services</w:t>
      </w:r>
      <w:r w:rsidR="001B246E" w:rsidRPr="001B246E">
        <w:rPr>
          <w:rFonts w:asciiTheme="minorBidi" w:eastAsia="Times New Roman" w:hAnsiTheme="minorBidi" w:cstheme="minorBidi"/>
          <w:snapToGrid/>
          <w:color w:val="000000"/>
          <w:sz w:val="20"/>
          <w:szCs w:val="20"/>
          <w:lang w:val="en-US"/>
        </w:rPr>
        <w:br/>
        <w:t xml:space="preserve">Ocean Valley, Pragathi Nagar , </w:t>
      </w:r>
      <w:proofErr w:type="spellStart"/>
      <w:r w:rsidR="001B246E" w:rsidRPr="001B246E">
        <w:rPr>
          <w:rFonts w:asciiTheme="minorBidi" w:eastAsia="Times New Roman" w:hAnsiTheme="minorBidi" w:cstheme="minorBidi"/>
          <w:snapToGrid/>
          <w:color w:val="000000"/>
          <w:sz w:val="20"/>
          <w:szCs w:val="20"/>
          <w:lang w:val="en-US"/>
        </w:rPr>
        <w:t>Nizampet</w:t>
      </w:r>
      <w:proofErr w:type="spellEnd"/>
      <w:r w:rsidR="001B246E" w:rsidRPr="001B246E">
        <w:rPr>
          <w:rFonts w:asciiTheme="minorBidi" w:eastAsia="Times New Roman" w:hAnsiTheme="minorBidi" w:cstheme="minorBidi"/>
          <w:snapToGrid/>
          <w:color w:val="000000"/>
          <w:sz w:val="20"/>
          <w:szCs w:val="20"/>
          <w:lang w:val="en-US"/>
        </w:rPr>
        <w:t xml:space="preserve"> Hyderabad 500 090 Telangana India</w:t>
      </w:r>
      <w:r w:rsidR="001B246E" w:rsidRPr="001B246E">
        <w:rPr>
          <w:rFonts w:asciiTheme="minorBidi" w:eastAsia="Times New Roman" w:hAnsiTheme="minorBidi" w:cstheme="minorBidi"/>
          <w:snapToGrid/>
          <w:color w:val="000000"/>
          <w:sz w:val="20"/>
          <w:szCs w:val="20"/>
          <w:lang w:val="en-US"/>
        </w:rPr>
        <w:br/>
        <w:t>Tel: +919494491266</w:t>
      </w:r>
      <w:r w:rsidR="001B246E" w:rsidRPr="001B246E">
        <w:rPr>
          <w:rFonts w:asciiTheme="minorBidi" w:eastAsia="Times New Roman" w:hAnsiTheme="minorBidi" w:cstheme="minorBidi"/>
          <w:snapToGrid/>
          <w:color w:val="000000"/>
          <w:sz w:val="20"/>
          <w:szCs w:val="20"/>
          <w:lang w:val="en-US"/>
        </w:rPr>
        <w:br/>
        <w:t xml:space="preserve">Email1: </w:t>
      </w:r>
      <w:hyperlink r:id="rId137" w:history="1">
        <w:r w:rsidR="001B246E" w:rsidRPr="007917C4">
          <w:rPr>
            <w:rStyle w:val="Hyperlink"/>
            <w:rFonts w:asciiTheme="minorBidi" w:eastAsia="Times New Roman" w:hAnsiTheme="minorBidi" w:cstheme="minorBidi"/>
            <w:snapToGrid/>
            <w:sz w:val="20"/>
            <w:szCs w:val="20"/>
            <w:lang w:val="en-US"/>
          </w:rPr>
          <w:t>padmanabham@incois.gov.in</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t>Dr. Charles MCCREERY (16045)</w:t>
      </w:r>
      <w:r w:rsidR="001B246E" w:rsidRPr="001B246E">
        <w:rPr>
          <w:rFonts w:asciiTheme="minorBidi" w:eastAsia="Times New Roman" w:hAnsiTheme="minorBidi" w:cstheme="minorBidi"/>
          <w:snapToGrid/>
          <w:color w:val="000000"/>
          <w:sz w:val="20"/>
          <w:szCs w:val="20"/>
          <w:lang w:val="en-US"/>
        </w:rPr>
        <w:br/>
        <w:t>Director PTWC</w:t>
      </w:r>
      <w:r w:rsidR="001B246E" w:rsidRPr="001B246E">
        <w:rPr>
          <w:rFonts w:asciiTheme="minorBidi" w:eastAsia="Times New Roman" w:hAnsiTheme="minorBidi" w:cstheme="minorBidi"/>
          <w:snapToGrid/>
          <w:color w:val="000000"/>
          <w:sz w:val="20"/>
          <w:szCs w:val="20"/>
          <w:lang w:val="en-US"/>
        </w:rPr>
        <w:br/>
        <w:t>National Weather Service</w:t>
      </w:r>
      <w:r w:rsidR="001B246E" w:rsidRPr="001B246E">
        <w:rPr>
          <w:rFonts w:asciiTheme="minorBidi" w:eastAsia="Times New Roman" w:hAnsiTheme="minorBidi" w:cstheme="minorBidi"/>
          <w:snapToGrid/>
          <w:color w:val="000000"/>
          <w:sz w:val="20"/>
          <w:szCs w:val="20"/>
          <w:lang w:val="en-US"/>
        </w:rPr>
        <w:br/>
        <w:t>Pacific Tsunami Warning Center</w:t>
      </w:r>
      <w:r w:rsidR="001B246E" w:rsidRPr="001B246E">
        <w:rPr>
          <w:rFonts w:asciiTheme="minorBidi" w:eastAsia="Times New Roman" w:hAnsiTheme="minorBidi" w:cstheme="minorBidi"/>
          <w:snapToGrid/>
          <w:color w:val="000000"/>
          <w:sz w:val="20"/>
          <w:szCs w:val="20"/>
          <w:lang w:val="en-US"/>
        </w:rPr>
        <w:br/>
        <w:t>1845 Wasp Boulevard, Building 176 Honolulu, HI 96818 United States</w:t>
      </w:r>
      <w:r w:rsidR="001B246E" w:rsidRPr="001B246E">
        <w:rPr>
          <w:rFonts w:asciiTheme="minorBidi" w:eastAsia="Times New Roman" w:hAnsiTheme="minorBidi" w:cstheme="minorBidi"/>
          <w:snapToGrid/>
          <w:color w:val="000000"/>
          <w:sz w:val="20"/>
          <w:szCs w:val="20"/>
          <w:lang w:val="en-US"/>
        </w:rPr>
        <w:br/>
        <w:t>Tel: +1 808 725 6300</w:t>
      </w:r>
      <w:r w:rsidR="001B246E" w:rsidRPr="001B246E">
        <w:rPr>
          <w:rFonts w:asciiTheme="minorBidi" w:eastAsia="Times New Roman" w:hAnsiTheme="minorBidi" w:cstheme="minorBidi"/>
          <w:snapToGrid/>
          <w:color w:val="000000"/>
          <w:sz w:val="20"/>
          <w:szCs w:val="20"/>
          <w:lang w:val="en-US"/>
        </w:rPr>
        <w:br/>
        <w:t xml:space="preserve">Email1: </w:t>
      </w:r>
      <w:hyperlink r:id="rId138" w:history="1">
        <w:r w:rsidR="001B246E" w:rsidRPr="007917C4">
          <w:rPr>
            <w:rStyle w:val="Hyperlink"/>
            <w:rFonts w:asciiTheme="minorBidi" w:eastAsia="Times New Roman" w:hAnsiTheme="minorBidi" w:cstheme="minorBidi"/>
            <w:snapToGrid/>
            <w:sz w:val="20"/>
            <w:szCs w:val="20"/>
            <w:lang w:val="en-US"/>
          </w:rPr>
          <w:t>charles.mccreery@noaa.gov</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t>Dr. Harkunti RAHAYU (16610)</w:t>
      </w:r>
      <w:r w:rsidR="001B246E" w:rsidRPr="001B246E">
        <w:rPr>
          <w:rFonts w:asciiTheme="minorBidi" w:eastAsia="Times New Roman" w:hAnsiTheme="minorBidi" w:cstheme="minorBidi"/>
          <w:snapToGrid/>
          <w:color w:val="000000"/>
          <w:sz w:val="20"/>
          <w:szCs w:val="20"/>
          <w:lang w:val="en-US"/>
        </w:rPr>
        <w:br/>
      </w:r>
      <w:proofErr w:type="spellStart"/>
      <w:r w:rsidR="001B246E" w:rsidRPr="001B246E">
        <w:rPr>
          <w:rFonts w:asciiTheme="minorBidi" w:eastAsia="Times New Roman" w:hAnsiTheme="minorBidi" w:cstheme="minorBidi"/>
          <w:snapToGrid/>
          <w:color w:val="000000"/>
          <w:sz w:val="20"/>
          <w:szCs w:val="20"/>
          <w:lang w:val="en-US"/>
        </w:rPr>
        <w:t>Institut</w:t>
      </w:r>
      <w:proofErr w:type="spellEnd"/>
      <w:r w:rsidR="001B246E" w:rsidRPr="001B246E">
        <w:rPr>
          <w:rFonts w:asciiTheme="minorBidi" w:eastAsia="Times New Roman" w:hAnsiTheme="minorBidi" w:cstheme="minorBidi"/>
          <w:snapToGrid/>
          <w:color w:val="000000"/>
          <w:sz w:val="20"/>
          <w:szCs w:val="20"/>
          <w:lang w:val="en-US"/>
        </w:rPr>
        <w:t xml:space="preserve"> </w:t>
      </w:r>
      <w:proofErr w:type="spellStart"/>
      <w:r w:rsidR="001B246E" w:rsidRPr="001B246E">
        <w:rPr>
          <w:rFonts w:asciiTheme="minorBidi" w:eastAsia="Times New Roman" w:hAnsiTheme="minorBidi" w:cstheme="minorBidi"/>
          <w:snapToGrid/>
          <w:color w:val="000000"/>
          <w:sz w:val="20"/>
          <w:szCs w:val="20"/>
          <w:lang w:val="en-US"/>
        </w:rPr>
        <w:t>Teknologi</w:t>
      </w:r>
      <w:proofErr w:type="spellEnd"/>
      <w:r w:rsidR="001B246E" w:rsidRPr="001B246E">
        <w:rPr>
          <w:rFonts w:asciiTheme="minorBidi" w:eastAsia="Times New Roman" w:hAnsiTheme="minorBidi" w:cstheme="minorBidi"/>
          <w:snapToGrid/>
          <w:color w:val="000000"/>
          <w:sz w:val="20"/>
          <w:szCs w:val="20"/>
          <w:lang w:val="en-US"/>
        </w:rPr>
        <w:t xml:space="preserve"> Bandung (Bandung Institute of Technology)</w:t>
      </w:r>
      <w:r w:rsidR="001B246E" w:rsidRPr="001B246E">
        <w:rPr>
          <w:rFonts w:asciiTheme="minorBidi" w:eastAsia="Times New Roman" w:hAnsiTheme="minorBidi" w:cstheme="minorBidi"/>
          <w:snapToGrid/>
          <w:color w:val="000000"/>
          <w:sz w:val="20"/>
          <w:szCs w:val="20"/>
          <w:lang w:val="en-US"/>
        </w:rPr>
        <w:br/>
        <w:t>Campus Jl. Ganesha no. 10 Bandung West Java 40132 Indonesia</w:t>
      </w:r>
      <w:r w:rsidR="001B246E" w:rsidRPr="001B246E">
        <w:rPr>
          <w:rFonts w:asciiTheme="minorBidi" w:eastAsia="Times New Roman" w:hAnsiTheme="minorBidi" w:cstheme="minorBidi"/>
          <w:snapToGrid/>
          <w:color w:val="000000"/>
          <w:sz w:val="20"/>
          <w:szCs w:val="20"/>
          <w:lang w:val="en-US"/>
        </w:rPr>
        <w:br/>
        <w:t xml:space="preserve">Email1: </w:t>
      </w:r>
      <w:hyperlink r:id="rId139" w:history="1">
        <w:r w:rsidR="001B246E" w:rsidRPr="007917C4">
          <w:rPr>
            <w:rStyle w:val="Hyperlink"/>
            <w:rFonts w:asciiTheme="minorBidi" w:eastAsia="Times New Roman" w:hAnsiTheme="minorBidi" w:cstheme="minorBidi"/>
            <w:snapToGrid/>
            <w:sz w:val="20"/>
            <w:szCs w:val="20"/>
            <w:lang w:val="en-US"/>
          </w:rPr>
          <w:t>harkunti_rahayu@yahoo.com</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t>Dr. Takeshi SATO (71406)</w:t>
      </w:r>
      <w:r w:rsidR="001B246E" w:rsidRPr="001B246E">
        <w:rPr>
          <w:rFonts w:asciiTheme="minorBidi" w:eastAsia="Times New Roman" w:hAnsiTheme="minorBidi" w:cstheme="minorBidi"/>
          <w:snapToGrid/>
          <w:color w:val="000000"/>
          <w:sz w:val="20"/>
          <w:szCs w:val="20"/>
          <w:lang w:val="en-US"/>
        </w:rPr>
        <w:br/>
        <w:t>Senior Engineer</w:t>
      </w:r>
      <w:r w:rsidR="001B246E" w:rsidRPr="001B246E">
        <w:rPr>
          <w:rFonts w:asciiTheme="minorBidi" w:eastAsia="Times New Roman" w:hAnsiTheme="minorBidi" w:cstheme="minorBidi"/>
          <w:snapToGrid/>
          <w:color w:val="000000"/>
          <w:sz w:val="20"/>
          <w:szCs w:val="20"/>
          <w:lang w:val="en-US"/>
        </w:rPr>
        <w:br/>
        <w:t>Seismology and Volcanology Department</w:t>
      </w:r>
      <w:r w:rsidR="001B246E" w:rsidRPr="001B246E">
        <w:rPr>
          <w:rFonts w:asciiTheme="minorBidi" w:eastAsia="Times New Roman" w:hAnsiTheme="minorBidi" w:cstheme="minorBidi"/>
          <w:snapToGrid/>
          <w:color w:val="000000"/>
          <w:sz w:val="20"/>
          <w:szCs w:val="20"/>
          <w:lang w:val="en-US"/>
        </w:rPr>
        <w:br/>
        <w:t>Japan Meteorological Agency, Tokyo</w:t>
      </w:r>
      <w:r w:rsidR="001B246E" w:rsidRPr="001B246E">
        <w:rPr>
          <w:rFonts w:asciiTheme="minorBidi" w:eastAsia="Times New Roman" w:hAnsiTheme="minorBidi" w:cstheme="minorBidi"/>
          <w:snapToGrid/>
          <w:color w:val="000000"/>
          <w:sz w:val="20"/>
          <w:szCs w:val="20"/>
          <w:lang w:val="en-US"/>
        </w:rPr>
        <w:br/>
        <w:t xml:space="preserve">3-6-9 </w:t>
      </w:r>
      <w:proofErr w:type="spellStart"/>
      <w:r w:rsidR="001B246E" w:rsidRPr="001B246E">
        <w:rPr>
          <w:rFonts w:asciiTheme="minorBidi" w:eastAsia="Times New Roman" w:hAnsiTheme="minorBidi" w:cstheme="minorBidi"/>
          <w:snapToGrid/>
          <w:color w:val="000000"/>
          <w:sz w:val="20"/>
          <w:szCs w:val="20"/>
          <w:lang w:val="en-US"/>
        </w:rPr>
        <w:t>Toranomon</w:t>
      </w:r>
      <w:proofErr w:type="spellEnd"/>
      <w:r w:rsidR="001B246E" w:rsidRPr="001B246E">
        <w:rPr>
          <w:rFonts w:asciiTheme="minorBidi" w:eastAsia="Times New Roman" w:hAnsiTheme="minorBidi" w:cstheme="minorBidi"/>
          <w:snapToGrid/>
          <w:color w:val="000000"/>
          <w:sz w:val="20"/>
          <w:szCs w:val="20"/>
          <w:lang w:val="en-US"/>
        </w:rPr>
        <w:t>, Minato-ku Tokyo, 105-8431 Japan</w:t>
      </w:r>
      <w:r w:rsidR="001B246E" w:rsidRPr="001B246E">
        <w:rPr>
          <w:rFonts w:asciiTheme="minorBidi" w:eastAsia="Times New Roman" w:hAnsiTheme="minorBidi" w:cstheme="minorBidi"/>
          <w:snapToGrid/>
          <w:color w:val="000000"/>
          <w:sz w:val="20"/>
          <w:szCs w:val="20"/>
          <w:lang w:val="en-US"/>
        </w:rPr>
        <w:br/>
        <w:t>Tel: +81367583900</w:t>
      </w:r>
      <w:r w:rsidR="001B246E" w:rsidRPr="001B246E">
        <w:rPr>
          <w:rFonts w:asciiTheme="minorBidi" w:eastAsia="Times New Roman" w:hAnsiTheme="minorBidi" w:cstheme="minorBidi"/>
          <w:snapToGrid/>
          <w:color w:val="000000"/>
          <w:sz w:val="20"/>
          <w:szCs w:val="20"/>
          <w:lang w:val="en-US"/>
        </w:rPr>
        <w:br/>
        <w:t xml:space="preserve">Email1: </w:t>
      </w:r>
      <w:hyperlink r:id="rId140" w:history="1">
        <w:r w:rsidR="001B246E" w:rsidRPr="007917C4">
          <w:rPr>
            <w:rStyle w:val="Hyperlink"/>
            <w:rFonts w:asciiTheme="minorBidi" w:eastAsia="Times New Roman" w:hAnsiTheme="minorBidi" w:cstheme="minorBidi"/>
            <w:snapToGrid/>
            <w:sz w:val="20"/>
            <w:szCs w:val="20"/>
            <w:lang w:val="en-US"/>
          </w:rPr>
          <w:t>tsato@met.kishou.go.jp</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t>Dr Elizabeth VANACORE (26171)</w:t>
      </w:r>
      <w:r w:rsidR="001B246E" w:rsidRPr="001B246E">
        <w:rPr>
          <w:rFonts w:asciiTheme="minorBidi" w:eastAsia="Times New Roman" w:hAnsiTheme="minorBidi" w:cstheme="minorBidi"/>
          <w:snapToGrid/>
          <w:color w:val="000000"/>
          <w:sz w:val="20"/>
          <w:szCs w:val="20"/>
          <w:lang w:val="en-US"/>
        </w:rPr>
        <w:br/>
        <w:t xml:space="preserve">Red </w:t>
      </w:r>
      <w:proofErr w:type="spellStart"/>
      <w:r w:rsidR="001B246E" w:rsidRPr="001B246E">
        <w:rPr>
          <w:rFonts w:asciiTheme="minorBidi" w:eastAsia="Times New Roman" w:hAnsiTheme="minorBidi" w:cstheme="minorBidi"/>
          <w:snapToGrid/>
          <w:color w:val="000000"/>
          <w:sz w:val="20"/>
          <w:szCs w:val="20"/>
          <w:lang w:val="en-US"/>
        </w:rPr>
        <w:t>Sísmica</w:t>
      </w:r>
      <w:proofErr w:type="spellEnd"/>
      <w:r w:rsidR="001B246E" w:rsidRPr="001B246E">
        <w:rPr>
          <w:rFonts w:asciiTheme="minorBidi" w:eastAsia="Times New Roman" w:hAnsiTheme="minorBidi" w:cstheme="minorBidi"/>
          <w:snapToGrid/>
          <w:color w:val="000000"/>
          <w:sz w:val="20"/>
          <w:szCs w:val="20"/>
          <w:lang w:val="en-US"/>
        </w:rPr>
        <w:t xml:space="preserve"> de Puerto Rico-UPR Mayaguez</w:t>
      </w:r>
      <w:r w:rsidR="001B246E" w:rsidRPr="001B246E">
        <w:rPr>
          <w:rFonts w:asciiTheme="minorBidi" w:eastAsia="Times New Roman" w:hAnsiTheme="minorBidi" w:cstheme="minorBidi"/>
          <w:snapToGrid/>
          <w:color w:val="000000"/>
          <w:sz w:val="20"/>
          <w:szCs w:val="20"/>
          <w:lang w:val="en-US"/>
        </w:rPr>
        <w:br/>
        <w:t>Puerto Rico Seismic Network-UPR Mayaguez</w:t>
      </w:r>
      <w:r w:rsidR="001B246E" w:rsidRPr="001B246E">
        <w:rPr>
          <w:rFonts w:asciiTheme="minorBidi" w:eastAsia="Times New Roman" w:hAnsiTheme="minorBidi" w:cstheme="minorBidi"/>
          <w:snapToGrid/>
          <w:color w:val="000000"/>
          <w:sz w:val="20"/>
          <w:szCs w:val="20"/>
          <w:lang w:val="en-US"/>
        </w:rPr>
        <w:br/>
        <w:t>University of Puerto Rico - Mayaguez Campus Department of Geology Building D Mayagüez 00680 Puerto Rico</w:t>
      </w:r>
      <w:r w:rsidR="001B246E" w:rsidRPr="001B246E">
        <w:rPr>
          <w:rFonts w:asciiTheme="minorBidi" w:eastAsia="Times New Roman" w:hAnsiTheme="minorBidi" w:cstheme="minorBidi"/>
          <w:snapToGrid/>
          <w:color w:val="000000"/>
          <w:sz w:val="20"/>
          <w:szCs w:val="20"/>
          <w:lang w:val="en-US"/>
        </w:rPr>
        <w:br/>
        <w:t xml:space="preserve">Email1: </w:t>
      </w:r>
      <w:hyperlink r:id="rId141" w:history="1">
        <w:r w:rsidR="001B246E" w:rsidRPr="007917C4">
          <w:rPr>
            <w:rStyle w:val="Hyperlink"/>
            <w:rFonts w:asciiTheme="minorBidi" w:eastAsia="Times New Roman" w:hAnsiTheme="minorBidi" w:cstheme="minorBidi"/>
            <w:snapToGrid/>
            <w:sz w:val="20"/>
            <w:szCs w:val="20"/>
            <w:lang w:val="en-US"/>
          </w:rPr>
          <w:t>elizabeth.vanacore@upr.edu</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t>Dr. Dakui WANG (23713)</w:t>
      </w:r>
      <w:r w:rsidR="001B246E" w:rsidRPr="001B246E">
        <w:rPr>
          <w:rFonts w:asciiTheme="minorBidi" w:eastAsia="Times New Roman" w:hAnsiTheme="minorBidi" w:cstheme="minorBidi"/>
          <w:snapToGrid/>
          <w:color w:val="000000"/>
          <w:sz w:val="20"/>
          <w:szCs w:val="20"/>
          <w:lang w:val="en-US"/>
        </w:rPr>
        <w:br/>
        <w:t>Associate Research Professor</w:t>
      </w:r>
      <w:r w:rsidR="001B246E" w:rsidRPr="001B246E">
        <w:rPr>
          <w:rFonts w:asciiTheme="minorBidi" w:eastAsia="Times New Roman" w:hAnsiTheme="minorBidi" w:cstheme="minorBidi"/>
          <w:snapToGrid/>
          <w:color w:val="000000"/>
          <w:sz w:val="20"/>
          <w:szCs w:val="20"/>
          <w:lang w:val="en-US"/>
        </w:rPr>
        <w:br/>
        <w:t>National Marine Environmental Forecasting Center (NMEFC)/Ministry of Natural Resources (MNR)</w:t>
      </w:r>
      <w:r w:rsidR="001B246E" w:rsidRPr="001B246E">
        <w:rPr>
          <w:rFonts w:asciiTheme="minorBidi" w:eastAsia="Times New Roman" w:hAnsiTheme="minorBidi" w:cstheme="minorBidi"/>
          <w:snapToGrid/>
          <w:color w:val="000000"/>
          <w:sz w:val="20"/>
          <w:szCs w:val="20"/>
          <w:lang w:val="en-US"/>
        </w:rPr>
        <w:br/>
        <w:t xml:space="preserve">No.8 </w:t>
      </w:r>
      <w:proofErr w:type="spellStart"/>
      <w:r w:rsidR="001B246E" w:rsidRPr="001B246E">
        <w:rPr>
          <w:rFonts w:asciiTheme="minorBidi" w:eastAsia="Times New Roman" w:hAnsiTheme="minorBidi" w:cstheme="minorBidi"/>
          <w:snapToGrid/>
          <w:color w:val="000000"/>
          <w:sz w:val="20"/>
          <w:szCs w:val="20"/>
          <w:lang w:val="en-US"/>
        </w:rPr>
        <w:t>Dahuisi</w:t>
      </w:r>
      <w:proofErr w:type="spellEnd"/>
      <w:r w:rsidR="001B246E" w:rsidRPr="001B246E">
        <w:rPr>
          <w:rFonts w:asciiTheme="minorBidi" w:eastAsia="Times New Roman" w:hAnsiTheme="minorBidi" w:cstheme="minorBidi"/>
          <w:snapToGrid/>
          <w:color w:val="000000"/>
          <w:sz w:val="20"/>
          <w:szCs w:val="20"/>
          <w:lang w:val="en-US"/>
        </w:rPr>
        <w:t xml:space="preserve"> Road, </w:t>
      </w:r>
      <w:proofErr w:type="spellStart"/>
      <w:r w:rsidR="001B246E" w:rsidRPr="001B246E">
        <w:rPr>
          <w:rFonts w:asciiTheme="minorBidi" w:eastAsia="Times New Roman" w:hAnsiTheme="minorBidi" w:cstheme="minorBidi"/>
          <w:snapToGrid/>
          <w:color w:val="000000"/>
          <w:sz w:val="20"/>
          <w:szCs w:val="20"/>
          <w:lang w:val="en-US"/>
        </w:rPr>
        <w:t>Haidian</w:t>
      </w:r>
      <w:proofErr w:type="spellEnd"/>
      <w:r w:rsidR="001B246E" w:rsidRPr="001B246E">
        <w:rPr>
          <w:rFonts w:asciiTheme="minorBidi" w:eastAsia="Times New Roman" w:hAnsiTheme="minorBidi" w:cstheme="minorBidi"/>
          <w:snapToGrid/>
          <w:color w:val="000000"/>
          <w:sz w:val="20"/>
          <w:szCs w:val="20"/>
          <w:lang w:val="en-US"/>
        </w:rPr>
        <w:t xml:space="preserve"> District Beijing 100081 China</w:t>
      </w:r>
      <w:r w:rsidR="001B246E" w:rsidRPr="001B246E">
        <w:rPr>
          <w:rFonts w:asciiTheme="minorBidi" w:eastAsia="Times New Roman" w:hAnsiTheme="minorBidi" w:cstheme="minorBidi"/>
          <w:snapToGrid/>
          <w:color w:val="000000"/>
          <w:sz w:val="20"/>
          <w:szCs w:val="20"/>
          <w:lang w:val="en-US"/>
        </w:rPr>
        <w:br/>
        <w:t>Tel: +86-10-62105671</w:t>
      </w:r>
      <w:r w:rsidR="001B246E" w:rsidRPr="001B246E">
        <w:rPr>
          <w:rFonts w:asciiTheme="minorBidi" w:eastAsia="Times New Roman" w:hAnsiTheme="minorBidi" w:cstheme="minorBidi"/>
          <w:snapToGrid/>
          <w:color w:val="000000"/>
          <w:sz w:val="20"/>
          <w:szCs w:val="20"/>
          <w:lang w:val="en-US"/>
        </w:rPr>
        <w:br/>
        <w:t xml:space="preserve">Email1: </w:t>
      </w:r>
      <w:hyperlink r:id="rId142" w:history="1">
        <w:r w:rsidR="001B246E" w:rsidRPr="007917C4">
          <w:rPr>
            <w:rStyle w:val="Hyperlink"/>
            <w:rFonts w:asciiTheme="minorBidi" w:eastAsia="Times New Roman" w:hAnsiTheme="minorBidi" w:cstheme="minorBidi"/>
            <w:snapToGrid/>
            <w:sz w:val="20"/>
            <w:szCs w:val="20"/>
            <w:lang w:val="en-US"/>
          </w:rPr>
          <w:t>dakui.nmefc@gmail.com</w:t>
        </w:r>
      </w:hyperlink>
      <w:r w:rsidR="001B246E">
        <w:rPr>
          <w:rFonts w:asciiTheme="minorBidi" w:eastAsia="Times New Roman" w:hAnsiTheme="minorBidi" w:cstheme="minorBidi"/>
          <w:snapToGrid/>
          <w:color w:val="000000"/>
          <w:sz w:val="20"/>
          <w:szCs w:val="20"/>
          <w:lang w:val="en-US"/>
        </w:rPr>
        <w:t xml:space="preserve"> </w:t>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r w:rsidR="001B246E" w:rsidRPr="001B246E">
        <w:rPr>
          <w:rFonts w:asciiTheme="minorBidi" w:eastAsia="Times New Roman" w:hAnsiTheme="minorBidi" w:cstheme="minorBidi"/>
          <w:snapToGrid/>
          <w:color w:val="000000"/>
          <w:sz w:val="20"/>
          <w:szCs w:val="20"/>
          <w:lang w:val="en-US"/>
        </w:rPr>
        <w:br/>
      </w:r>
      <w:proofErr w:type="spellStart"/>
      <w:r w:rsidR="001B246E" w:rsidRPr="001B246E">
        <w:rPr>
          <w:rFonts w:asciiTheme="minorBidi" w:eastAsia="Times New Roman" w:hAnsiTheme="minorBidi" w:cstheme="minorBidi"/>
          <w:snapToGrid/>
          <w:color w:val="000000"/>
          <w:sz w:val="20"/>
          <w:szCs w:val="20"/>
          <w:lang w:val="en-US"/>
        </w:rPr>
        <w:lastRenderedPageBreak/>
        <w:t>Mr</w:t>
      </w:r>
      <w:proofErr w:type="spellEnd"/>
      <w:r w:rsidR="001B246E" w:rsidRPr="001B246E">
        <w:rPr>
          <w:rFonts w:asciiTheme="minorBidi" w:eastAsia="Times New Roman" w:hAnsiTheme="minorBidi" w:cstheme="minorBidi"/>
          <w:snapToGrid/>
          <w:color w:val="000000"/>
          <w:sz w:val="20"/>
          <w:szCs w:val="20"/>
          <w:lang w:val="en-US"/>
        </w:rPr>
        <w:t xml:space="preserve"> </w:t>
      </w:r>
      <w:proofErr w:type="spellStart"/>
      <w:r w:rsidR="001B246E" w:rsidRPr="001B246E">
        <w:rPr>
          <w:rFonts w:asciiTheme="minorBidi" w:eastAsia="Times New Roman" w:hAnsiTheme="minorBidi" w:cstheme="minorBidi"/>
          <w:snapToGrid/>
          <w:color w:val="000000"/>
          <w:sz w:val="20"/>
          <w:szCs w:val="20"/>
          <w:lang w:val="en-US"/>
        </w:rPr>
        <w:t>Fujiang</w:t>
      </w:r>
      <w:proofErr w:type="spellEnd"/>
      <w:r w:rsidR="001B246E" w:rsidRPr="001B246E">
        <w:rPr>
          <w:rFonts w:asciiTheme="minorBidi" w:eastAsia="Times New Roman" w:hAnsiTheme="minorBidi" w:cstheme="minorBidi"/>
          <w:snapToGrid/>
          <w:color w:val="000000"/>
          <w:sz w:val="20"/>
          <w:szCs w:val="20"/>
          <w:lang w:val="en-US"/>
        </w:rPr>
        <w:t xml:space="preserve"> YU (16763)</w:t>
      </w:r>
      <w:r w:rsidR="001B246E" w:rsidRPr="001B246E">
        <w:rPr>
          <w:rFonts w:asciiTheme="minorBidi" w:eastAsia="Times New Roman" w:hAnsiTheme="minorBidi" w:cstheme="minorBidi"/>
          <w:snapToGrid/>
          <w:color w:val="000000"/>
          <w:sz w:val="20"/>
          <w:szCs w:val="20"/>
          <w:lang w:val="en-US"/>
        </w:rPr>
        <w:br/>
        <w:t>Director-General</w:t>
      </w:r>
      <w:r w:rsidR="001B246E" w:rsidRPr="001B246E">
        <w:rPr>
          <w:rFonts w:asciiTheme="minorBidi" w:eastAsia="Times New Roman" w:hAnsiTheme="minorBidi" w:cstheme="minorBidi"/>
          <w:snapToGrid/>
          <w:color w:val="000000"/>
          <w:sz w:val="20"/>
          <w:szCs w:val="20"/>
          <w:lang w:val="en-US"/>
        </w:rPr>
        <w:br/>
        <w:t>National Marine Environmental Forecasting Center (NMEFC)/Ministry of Natural Resources (MNR)</w:t>
      </w:r>
      <w:r w:rsidR="001B246E" w:rsidRPr="001B246E">
        <w:rPr>
          <w:rFonts w:asciiTheme="minorBidi" w:eastAsia="Times New Roman" w:hAnsiTheme="minorBidi" w:cstheme="minorBidi"/>
          <w:snapToGrid/>
          <w:color w:val="000000"/>
          <w:sz w:val="20"/>
          <w:szCs w:val="20"/>
          <w:lang w:val="en-US"/>
        </w:rPr>
        <w:br/>
        <w:t xml:space="preserve">No.8 </w:t>
      </w:r>
      <w:proofErr w:type="spellStart"/>
      <w:r w:rsidR="001B246E" w:rsidRPr="001B246E">
        <w:rPr>
          <w:rFonts w:asciiTheme="minorBidi" w:eastAsia="Times New Roman" w:hAnsiTheme="minorBidi" w:cstheme="minorBidi"/>
          <w:snapToGrid/>
          <w:color w:val="000000"/>
          <w:sz w:val="20"/>
          <w:szCs w:val="20"/>
          <w:lang w:val="en-US"/>
        </w:rPr>
        <w:t>Dahuisi</w:t>
      </w:r>
      <w:proofErr w:type="spellEnd"/>
      <w:r w:rsidR="001B246E" w:rsidRPr="001B246E">
        <w:rPr>
          <w:rFonts w:asciiTheme="minorBidi" w:eastAsia="Times New Roman" w:hAnsiTheme="minorBidi" w:cstheme="minorBidi"/>
          <w:snapToGrid/>
          <w:color w:val="000000"/>
          <w:sz w:val="20"/>
          <w:szCs w:val="20"/>
          <w:lang w:val="en-US"/>
        </w:rPr>
        <w:t xml:space="preserve"> Road, </w:t>
      </w:r>
      <w:proofErr w:type="spellStart"/>
      <w:r w:rsidR="001B246E" w:rsidRPr="001B246E">
        <w:rPr>
          <w:rFonts w:asciiTheme="minorBidi" w:eastAsia="Times New Roman" w:hAnsiTheme="minorBidi" w:cstheme="minorBidi"/>
          <w:snapToGrid/>
          <w:color w:val="000000"/>
          <w:sz w:val="20"/>
          <w:szCs w:val="20"/>
          <w:lang w:val="en-US"/>
        </w:rPr>
        <w:t>Haidian</w:t>
      </w:r>
      <w:proofErr w:type="spellEnd"/>
      <w:r w:rsidR="001B246E" w:rsidRPr="001B246E">
        <w:rPr>
          <w:rFonts w:asciiTheme="minorBidi" w:eastAsia="Times New Roman" w:hAnsiTheme="minorBidi" w:cstheme="minorBidi"/>
          <w:snapToGrid/>
          <w:color w:val="000000"/>
          <w:sz w:val="20"/>
          <w:szCs w:val="20"/>
          <w:lang w:val="en-US"/>
        </w:rPr>
        <w:t xml:space="preserve"> District Beijing 100081 China</w:t>
      </w:r>
      <w:r w:rsidR="001B246E" w:rsidRPr="001B246E">
        <w:rPr>
          <w:rFonts w:asciiTheme="minorBidi" w:eastAsia="Times New Roman" w:hAnsiTheme="minorBidi" w:cstheme="minorBidi"/>
          <w:snapToGrid/>
          <w:color w:val="000000"/>
          <w:sz w:val="20"/>
          <w:szCs w:val="20"/>
          <w:lang w:val="en-US"/>
        </w:rPr>
        <w:br/>
        <w:t>Tel: +861062105732</w:t>
      </w:r>
      <w:r w:rsidR="001B246E" w:rsidRPr="001B246E">
        <w:rPr>
          <w:rFonts w:asciiTheme="minorBidi" w:eastAsia="Times New Roman" w:hAnsiTheme="minorBidi" w:cstheme="minorBidi"/>
          <w:snapToGrid/>
          <w:color w:val="000000"/>
          <w:sz w:val="20"/>
          <w:szCs w:val="20"/>
          <w:lang w:val="en-US"/>
        </w:rPr>
        <w:br/>
        <w:t xml:space="preserve">Email1: </w:t>
      </w:r>
      <w:hyperlink r:id="rId143" w:history="1">
        <w:r w:rsidR="001B246E" w:rsidRPr="007917C4">
          <w:rPr>
            <w:rStyle w:val="Hyperlink"/>
            <w:rFonts w:asciiTheme="minorBidi" w:eastAsia="Times New Roman" w:hAnsiTheme="minorBidi" w:cstheme="minorBidi"/>
            <w:snapToGrid/>
            <w:sz w:val="20"/>
            <w:szCs w:val="20"/>
            <w:lang w:val="en-US"/>
          </w:rPr>
          <w:t>yufj@nmefc.cn</w:t>
        </w:r>
      </w:hyperlink>
      <w:r w:rsidR="001B246E">
        <w:rPr>
          <w:rFonts w:asciiTheme="minorBidi" w:eastAsia="Times New Roman" w:hAnsiTheme="minorBidi" w:cstheme="minorBidi"/>
          <w:snapToGrid/>
          <w:color w:val="000000"/>
          <w:sz w:val="20"/>
          <w:szCs w:val="20"/>
          <w:lang w:val="en-US"/>
        </w:rPr>
        <w:t xml:space="preserve"> </w:t>
      </w:r>
    </w:p>
    <w:p w14:paraId="3C86095A" w14:textId="77777777" w:rsidR="001B246E" w:rsidRDefault="001B246E" w:rsidP="001B246E">
      <w:pPr>
        <w:tabs>
          <w:tab w:val="clear" w:pos="709"/>
        </w:tabs>
        <w:snapToGrid/>
        <w:rPr>
          <w:rFonts w:asciiTheme="minorBidi" w:eastAsia="Times New Roman" w:hAnsiTheme="minorBidi" w:cstheme="minorBidi"/>
          <w:snapToGrid/>
          <w:color w:val="000000"/>
          <w:sz w:val="20"/>
          <w:szCs w:val="20"/>
          <w:lang w:val="en-US"/>
        </w:rPr>
      </w:pPr>
    </w:p>
    <w:p w14:paraId="0A986821" w14:textId="77777777" w:rsidR="001B246E" w:rsidRPr="001B246E" w:rsidRDefault="001B246E" w:rsidP="001B246E">
      <w:pPr>
        <w:tabs>
          <w:tab w:val="clear" w:pos="709"/>
        </w:tabs>
        <w:snapToGrid/>
        <w:rPr>
          <w:rFonts w:asciiTheme="minorBidi" w:hAnsiTheme="minorBidi" w:cstheme="minorBidi"/>
          <w:sz w:val="20"/>
          <w:szCs w:val="20"/>
          <w:lang w:val="en-US"/>
        </w:rPr>
      </w:pPr>
    </w:p>
    <w:p w14:paraId="3197ED0E" w14:textId="6F3632A7" w:rsidR="00EF65E5" w:rsidRPr="00691AB0" w:rsidRDefault="00EF65E5" w:rsidP="00EF65E5">
      <w:pPr>
        <w:shd w:val="clear" w:color="auto" w:fill="E7E6E6" w:themeFill="background2"/>
        <w:rPr>
          <w:rFonts w:asciiTheme="minorBidi" w:hAnsiTheme="minorBidi" w:cstheme="minorBidi"/>
          <w:sz w:val="21"/>
          <w:szCs w:val="21"/>
          <w:lang w:val="en-US"/>
        </w:rPr>
      </w:pPr>
      <w:r w:rsidRPr="00691AB0">
        <w:rPr>
          <w:rFonts w:asciiTheme="minorBidi" w:hAnsiTheme="minorBidi"/>
          <w:b/>
          <w:sz w:val="21"/>
          <w:szCs w:val="21"/>
          <w:lang w:val="en-US"/>
        </w:rPr>
        <w:t>Secretariat</w:t>
      </w:r>
    </w:p>
    <w:p w14:paraId="2C6E1165" w14:textId="77777777" w:rsidR="00EF65E5" w:rsidRPr="00691AB0" w:rsidRDefault="00EF65E5" w:rsidP="00EF65E5">
      <w:pPr>
        <w:rPr>
          <w:rFonts w:asciiTheme="minorBidi" w:hAnsiTheme="minorBidi"/>
          <w:sz w:val="20"/>
          <w:szCs w:val="20"/>
          <w:lang w:val="en-US"/>
        </w:rPr>
      </w:pPr>
    </w:p>
    <w:p w14:paraId="106A7122" w14:textId="5AF083C4" w:rsidR="001B246E" w:rsidRDefault="001B246E" w:rsidP="001B246E">
      <w:pPr>
        <w:tabs>
          <w:tab w:val="clear" w:pos="709"/>
        </w:tabs>
        <w:snapToGrid/>
        <w:rPr>
          <w:rFonts w:asciiTheme="minorBidi" w:eastAsia="Times New Roman" w:hAnsiTheme="minorBidi" w:cstheme="minorBidi"/>
          <w:snapToGrid/>
          <w:color w:val="000000"/>
          <w:sz w:val="20"/>
          <w:szCs w:val="20"/>
          <w:lang w:val="en-US"/>
        </w:rPr>
      </w:pPr>
      <w:bookmarkStart w:id="388" w:name="_Toc420496314"/>
      <w:bookmarkStart w:id="389" w:name="_Toc41491061"/>
      <w:r w:rsidRPr="001B246E">
        <w:rPr>
          <w:rFonts w:asciiTheme="minorBidi" w:eastAsia="Times New Roman" w:hAnsiTheme="minorBidi" w:cstheme="minorBidi"/>
          <w:snapToGrid/>
          <w:color w:val="000000"/>
          <w:sz w:val="20"/>
          <w:szCs w:val="20"/>
          <w:lang w:val="en-US"/>
        </w:rPr>
        <w:t>Mr Bernardo ALIAGA ROSSEL (12127)</w:t>
      </w:r>
      <w:r w:rsidRPr="001B246E">
        <w:rPr>
          <w:rFonts w:asciiTheme="minorBidi" w:eastAsia="Times New Roman" w:hAnsiTheme="minorBidi" w:cstheme="minorBidi"/>
          <w:snapToGrid/>
          <w:color w:val="000000"/>
          <w:sz w:val="20"/>
          <w:szCs w:val="20"/>
          <w:lang w:val="en-US"/>
        </w:rPr>
        <w:br/>
        <w:t>Head Tsunami Resilience Section UNESCO-IOC</w:t>
      </w:r>
      <w:r w:rsidRPr="001B246E">
        <w:rPr>
          <w:rFonts w:asciiTheme="minorBidi" w:eastAsia="Times New Roman" w:hAnsiTheme="minorBidi" w:cstheme="minorBidi"/>
          <w:snapToGrid/>
          <w:color w:val="000000"/>
          <w:sz w:val="20"/>
          <w:szCs w:val="20"/>
          <w:lang w:val="en-US"/>
        </w:rPr>
        <w:br/>
        <w:t>Intergovernmental Oceanographic Commission of UNESCO</w:t>
      </w:r>
      <w:r w:rsidRPr="001B246E">
        <w:rPr>
          <w:rFonts w:asciiTheme="minorBidi" w:eastAsia="Times New Roman" w:hAnsiTheme="minorBidi" w:cstheme="minorBidi"/>
          <w:snapToGrid/>
          <w:color w:val="000000"/>
          <w:sz w:val="20"/>
          <w:szCs w:val="20"/>
          <w:lang w:val="en-US"/>
        </w:rPr>
        <w:br/>
        <w:t xml:space="preserve">7, place de Fontenoy 75732 Paris </w:t>
      </w:r>
      <w:proofErr w:type="spellStart"/>
      <w:r w:rsidRPr="001B246E">
        <w:rPr>
          <w:rFonts w:asciiTheme="minorBidi" w:eastAsia="Times New Roman" w:hAnsiTheme="minorBidi" w:cstheme="minorBidi"/>
          <w:snapToGrid/>
          <w:color w:val="000000"/>
          <w:sz w:val="20"/>
          <w:szCs w:val="20"/>
          <w:lang w:val="en-US"/>
        </w:rPr>
        <w:t>cedex</w:t>
      </w:r>
      <w:proofErr w:type="spellEnd"/>
      <w:r w:rsidRPr="001B246E">
        <w:rPr>
          <w:rFonts w:asciiTheme="minorBidi" w:eastAsia="Times New Roman" w:hAnsiTheme="minorBidi" w:cstheme="minorBidi"/>
          <w:snapToGrid/>
          <w:color w:val="000000"/>
          <w:sz w:val="20"/>
          <w:szCs w:val="20"/>
          <w:lang w:val="en-US"/>
        </w:rPr>
        <w:t xml:space="preserve"> 07 France</w:t>
      </w:r>
      <w:r w:rsidRPr="001B246E">
        <w:rPr>
          <w:rFonts w:asciiTheme="minorBidi" w:eastAsia="Times New Roman" w:hAnsiTheme="minorBidi" w:cstheme="minorBidi"/>
          <w:snapToGrid/>
          <w:color w:val="000000"/>
          <w:sz w:val="20"/>
          <w:szCs w:val="20"/>
          <w:lang w:val="en-US"/>
        </w:rPr>
        <w:br/>
        <w:t>Tel: +33 1 45 68 03 17</w:t>
      </w:r>
      <w:r w:rsidRPr="001B246E">
        <w:rPr>
          <w:rFonts w:asciiTheme="minorBidi" w:eastAsia="Times New Roman" w:hAnsiTheme="minorBidi" w:cstheme="minorBidi"/>
          <w:snapToGrid/>
          <w:color w:val="000000"/>
          <w:sz w:val="20"/>
          <w:szCs w:val="20"/>
          <w:lang w:val="en-US"/>
        </w:rPr>
        <w:br/>
        <w:t xml:space="preserve">Email1: </w:t>
      </w:r>
      <w:hyperlink r:id="rId144" w:history="1">
        <w:r w:rsidRPr="007917C4">
          <w:rPr>
            <w:rStyle w:val="Hyperlink"/>
            <w:rFonts w:asciiTheme="minorBidi" w:eastAsia="Times New Roman" w:hAnsiTheme="minorBidi" w:cstheme="minorBidi"/>
            <w:snapToGrid/>
            <w:sz w:val="20"/>
            <w:szCs w:val="20"/>
            <w:lang w:val="en-US"/>
          </w:rPr>
          <w:t>b.aliaga@unesco.org</w:t>
        </w:r>
      </w:hyperlink>
      <w:r>
        <w:rPr>
          <w:rFonts w:asciiTheme="minorBidi" w:eastAsia="Times New Roman" w:hAnsiTheme="minorBidi" w:cstheme="minorBidi"/>
          <w:snapToGrid/>
          <w:color w:val="000000"/>
          <w:sz w:val="20"/>
          <w:szCs w:val="20"/>
          <w:lang w:val="en-US"/>
        </w:rPr>
        <w:t xml:space="preserve"> </w:t>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t>Mr. Denis CHANG SENG (16683)</w:t>
      </w:r>
      <w:r w:rsidRPr="001B246E">
        <w:rPr>
          <w:rFonts w:asciiTheme="minorBidi" w:eastAsia="Times New Roman" w:hAnsiTheme="minorBidi" w:cstheme="minorBidi"/>
          <w:snapToGrid/>
          <w:color w:val="000000"/>
          <w:sz w:val="20"/>
          <w:szCs w:val="20"/>
          <w:lang w:val="en-US"/>
        </w:rPr>
        <w:br/>
        <w:t>Programme Specialist (Ocean Observation and Services Section /Tsunami Unit)</w:t>
      </w:r>
      <w:r w:rsidRPr="001B246E">
        <w:rPr>
          <w:rFonts w:asciiTheme="minorBidi" w:eastAsia="Times New Roman" w:hAnsiTheme="minorBidi" w:cstheme="minorBidi"/>
          <w:snapToGrid/>
          <w:color w:val="000000"/>
          <w:sz w:val="20"/>
          <w:szCs w:val="20"/>
          <w:lang w:val="en-US"/>
        </w:rPr>
        <w:br/>
        <w:t>Intergovernmental Oceanographic Commission of UNESCO</w:t>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t xml:space="preserve">7, place de Fontenoy 75732 Paris </w:t>
      </w:r>
      <w:proofErr w:type="spellStart"/>
      <w:r w:rsidRPr="001B246E">
        <w:rPr>
          <w:rFonts w:asciiTheme="minorBidi" w:eastAsia="Times New Roman" w:hAnsiTheme="minorBidi" w:cstheme="minorBidi"/>
          <w:snapToGrid/>
          <w:color w:val="000000"/>
          <w:sz w:val="20"/>
          <w:szCs w:val="20"/>
          <w:lang w:val="en-US"/>
        </w:rPr>
        <w:t>cedex</w:t>
      </w:r>
      <w:proofErr w:type="spellEnd"/>
      <w:r w:rsidRPr="001B246E">
        <w:rPr>
          <w:rFonts w:asciiTheme="minorBidi" w:eastAsia="Times New Roman" w:hAnsiTheme="minorBidi" w:cstheme="minorBidi"/>
          <w:snapToGrid/>
          <w:color w:val="000000"/>
          <w:sz w:val="20"/>
          <w:szCs w:val="20"/>
          <w:lang w:val="en-US"/>
        </w:rPr>
        <w:t xml:space="preserve"> 07 France</w:t>
      </w:r>
      <w:r w:rsidRPr="001B246E">
        <w:rPr>
          <w:rFonts w:asciiTheme="minorBidi" w:eastAsia="Times New Roman" w:hAnsiTheme="minorBidi" w:cstheme="minorBidi"/>
          <w:snapToGrid/>
          <w:color w:val="000000"/>
          <w:sz w:val="20"/>
          <w:szCs w:val="20"/>
          <w:lang w:val="en-US"/>
        </w:rPr>
        <w:br/>
        <w:t>Tel: +33 1 45 68 09 51</w:t>
      </w:r>
      <w:r w:rsidRPr="001B246E">
        <w:rPr>
          <w:rFonts w:asciiTheme="minorBidi" w:eastAsia="Times New Roman" w:hAnsiTheme="minorBidi" w:cstheme="minorBidi"/>
          <w:snapToGrid/>
          <w:color w:val="000000"/>
          <w:sz w:val="20"/>
          <w:szCs w:val="20"/>
          <w:lang w:val="en-US"/>
        </w:rPr>
        <w:br/>
        <w:t xml:space="preserve">Email1: </w:t>
      </w:r>
      <w:hyperlink r:id="rId145" w:history="1">
        <w:r w:rsidRPr="007917C4">
          <w:rPr>
            <w:rStyle w:val="Hyperlink"/>
            <w:rFonts w:asciiTheme="minorBidi" w:eastAsia="Times New Roman" w:hAnsiTheme="minorBidi" w:cstheme="minorBidi"/>
            <w:snapToGrid/>
            <w:sz w:val="20"/>
            <w:szCs w:val="20"/>
            <w:lang w:val="en-US"/>
          </w:rPr>
          <w:t>d.chang-seng@unesco.org</w:t>
        </w:r>
      </w:hyperlink>
      <w:r>
        <w:rPr>
          <w:rFonts w:asciiTheme="minorBidi" w:eastAsia="Times New Roman" w:hAnsiTheme="minorBidi" w:cstheme="minorBidi"/>
          <w:snapToGrid/>
          <w:color w:val="000000"/>
          <w:sz w:val="20"/>
          <w:szCs w:val="20"/>
          <w:lang w:val="en-US"/>
        </w:rPr>
        <w:t xml:space="preserve"> </w:t>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t>Dr Öcal NECMIOGLU (18313)</w:t>
      </w:r>
      <w:r w:rsidRPr="001B246E">
        <w:rPr>
          <w:rFonts w:asciiTheme="minorBidi" w:eastAsia="Times New Roman" w:hAnsiTheme="minorBidi" w:cstheme="minorBidi"/>
          <w:snapToGrid/>
          <w:color w:val="000000"/>
          <w:sz w:val="20"/>
          <w:szCs w:val="20"/>
          <w:lang w:val="en-US"/>
        </w:rPr>
        <w:br/>
        <w:t>Programme Specialist (Tsunami) / Technical Secretary of ICG/PTWS and ICG/CARIBE EWS</w:t>
      </w:r>
      <w:r w:rsidRPr="001B246E">
        <w:rPr>
          <w:rFonts w:asciiTheme="minorBidi" w:eastAsia="Times New Roman" w:hAnsiTheme="minorBidi" w:cstheme="minorBidi"/>
          <w:snapToGrid/>
          <w:color w:val="000000"/>
          <w:sz w:val="20"/>
          <w:szCs w:val="20"/>
          <w:lang w:val="en-US"/>
        </w:rPr>
        <w:br/>
        <w:t>Tsunami Resilience Section</w:t>
      </w:r>
      <w:r w:rsidRPr="001B246E">
        <w:rPr>
          <w:rFonts w:asciiTheme="minorBidi" w:eastAsia="Times New Roman" w:hAnsiTheme="minorBidi" w:cstheme="minorBidi"/>
          <w:snapToGrid/>
          <w:color w:val="000000"/>
          <w:sz w:val="20"/>
          <w:szCs w:val="20"/>
          <w:lang w:val="en-US"/>
        </w:rPr>
        <w:br/>
        <w:t>Intergovernmental Oceanographic Commission of UNESCO</w:t>
      </w:r>
      <w:r w:rsidRPr="001B246E">
        <w:rPr>
          <w:rFonts w:asciiTheme="minorBidi" w:eastAsia="Times New Roman" w:hAnsiTheme="minorBidi" w:cstheme="minorBidi"/>
          <w:snapToGrid/>
          <w:color w:val="000000"/>
          <w:sz w:val="20"/>
          <w:szCs w:val="20"/>
          <w:lang w:val="en-US"/>
        </w:rPr>
        <w:br/>
        <w:t xml:space="preserve">7, place de Fontenoy 75732 Paris </w:t>
      </w:r>
      <w:proofErr w:type="spellStart"/>
      <w:r w:rsidRPr="001B246E">
        <w:rPr>
          <w:rFonts w:asciiTheme="minorBidi" w:eastAsia="Times New Roman" w:hAnsiTheme="minorBidi" w:cstheme="minorBidi"/>
          <w:snapToGrid/>
          <w:color w:val="000000"/>
          <w:sz w:val="20"/>
          <w:szCs w:val="20"/>
          <w:lang w:val="en-US"/>
        </w:rPr>
        <w:t>cedex</w:t>
      </w:r>
      <w:proofErr w:type="spellEnd"/>
      <w:r w:rsidRPr="001B246E">
        <w:rPr>
          <w:rFonts w:asciiTheme="minorBidi" w:eastAsia="Times New Roman" w:hAnsiTheme="minorBidi" w:cstheme="minorBidi"/>
          <w:snapToGrid/>
          <w:color w:val="000000"/>
          <w:sz w:val="20"/>
          <w:szCs w:val="20"/>
          <w:lang w:val="en-US"/>
        </w:rPr>
        <w:t xml:space="preserve"> 07 France</w:t>
      </w:r>
      <w:r w:rsidRPr="001B246E">
        <w:rPr>
          <w:rFonts w:asciiTheme="minorBidi" w:eastAsia="Times New Roman" w:hAnsiTheme="minorBidi" w:cstheme="minorBidi"/>
          <w:snapToGrid/>
          <w:color w:val="000000"/>
          <w:sz w:val="20"/>
          <w:szCs w:val="20"/>
          <w:lang w:val="en-US"/>
        </w:rPr>
        <w:br/>
        <w:t xml:space="preserve">Email1: </w:t>
      </w:r>
      <w:hyperlink r:id="rId146" w:history="1">
        <w:r w:rsidRPr="007917C4">
          <w:rPr>
            <w:rStyle w:val="Hyperlink"/>
            <w:rFonts w:asciiTheme="minorBidi" w:eastAsia="Times New Roman" w:hAnsiTheme="minorBidi" w:cstheme="minorBidi"/>
            <w:snapToGrid/>
            <w:sz w:val="20"/>
            <w:szCs w:val="20"/>
            <w:lang w:val="en-US"/>
          </w:rPr>
          <w:t>o.necmioglu@unesco.org</w:t>
        </w:r>
      </w:hyperlink>
      <w:r>
        <w:rPr>
          <w:rFonts w:asciiTheme="minorBidi" w:eastAsia="Times New Roman" w:hAnsiTheme="minorBidi" w:cstheme="minorBidi"/>
          <w:snapToGrid/>
          <w:color w:val="000000"/>
          <w:sz w:val="20"/>
          <w:szCs w:val="20"/>
          <w:lang w:val="en-US"/>
        </w:rPr>
        <w:t xml:space="preserve"> </w:t>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r>
      <w:r w:rsidRPr="001B246E">
        <w:rPr>
          <w:rFonts w:asciiTheme="minorBidi" w:eastAsia="Times New Roman" w:hAnsiTheme="minorBidi" w:cstheme="minorBidi"/>
          <w:snapToGrid/>
          <w:color w:val="000000"/>
          <w:sz w:val="20"/>
          <w:szCs w:val="20"/>
          <w:lang w:val="en-US"/>
        </w:rPr>
        <w:br/>
        <w:t>Dr. Srinivasa Kumar TUMMALA (16304)</w:t>
      </w:r>
      <w:r w:rsidRPr="001B246E">
        <w:rPr>
          <w:rFonts w:asciiTheme="minorBidi" w:eastAsia="Times New Roman" w:hAnsiTheme="minorBidi" w:cstheme="minorBidi"/>
          <w:snapToGrid/>
          <w:color w:val="000000"/>
          <w:sz w:val="20"/>
          <w:szCs w:val="20"/>
          <w:lang w:val="en-US"/>
        </w:rPr>
        <w:br/>
        <w:t>Head</w:t>
      </w:r>
      <w:r w:rsidRPr="001B246E">
        <w:rPr>
          <w:rFonts w:asciiTheme="minorBidi" w:eastAsia="Times New Roman" w:hAnsiTheme="minorBidi" w:cstheme="minorBidi"/>
          <w:snapToGrid/>
          <w:color w:val="000000"/>
          <w:sz w:val="20"/>
          <w:szCs w:val="20"/>
          <w:lang w:val="en-US"/>
        </w:rPr>
        <w:br/>
        <w:t>Indian Ocean Tsunami Warning and Mitigation System Secretariat</w:t>
      </w:r>
      <w:r w:rsidRPr="001B246E">
        <w:rPr>
          <w:rFonts w:asciiTheme="minorBidi" w:eastAsia="Times New Roman" w:hAnsiTheme="minorBidi" w:cstheme="minorBidi"/>
          <w:snapToGrid/>
          <w:color w:val="000000"/>
          <w:sz w:val="20"/>
          <w:szCs w:val="20"/>
          <w:lang w:val="en-US"/>
        </w:rPr>
        <w:br/>
        <w:t>UNESCO IOC Perth Programme Office</w:t>
      </w:r>
      <w:r w:rsidRPr="001B246E">
        <w:rPr>
          <w:rFonts w:asciiTheme="minorBidi" w:eastAsia="Times New Roman" w:hAnsiTheme="minorBidi" w:cstheme="minorBidi"/>
          <w:snapToGrid/>
          <w:color w:val="000000"/>
          <w:sz w:val="20"/>
          <w:szCs w:val="20"/>
          <w:lang w:val="en-US"/>
        </w:rPr>
        <w:br/>
        <w:t>Level 3, 1 Ord Street West Perth 6005 Australia</w:t>
      </w:r>
      <w:r w:rsidRPr="001B246E">
        <w:rPr>
          <w:rFonts w:asciiTheme="minorBidi" w:eastAsia="Times New Roman" w:hAnsiTheme="minorBidi" w:cstheme="minorBidi"/>
          <w:snapToGrid/>
          <w:color w:val="000000"/>
          <w:sz w:val="20"/>
          <w:szCs w:val="20"/>
          <w:lang w:val="en-US"/>
        </w:rPr>
        <w:br/>
        <w:t>Tel: +919441229297</w:t>
      </w:r>
      <w:r w:rsidRPr="001B246E">
        <w:rPr>
          <w:rFonts w:asciiTheme="minorBidi" w:eastAsia="Times New Roman" w:hAnsiTheme="minorBidi" w:cstheme="minorBidi"/>
          <w:snapToGrid/>
          <w:color w:val="000000"/>
          <w:sz w:val="20"/>
          <w:szCs w:val="20"/>
          <w:lang w:val="en-US"/>
        </w:rPr>
        <w:br/>
        <w:t xml:space="preserve">Email2: </w:t>
      </w:r>
      <w:hyperlink r:id="rId147" w:history="1">
        <w:r w:rsidRPr="007917C4">
          <w:rPr>
            <w:rStyle w:val="Hyperlink"/>
            <w:rFonts w:asciiTheme="minorBidi" w:eastAsia="Times New Roman" w:hAnsiTheme="minorBidi" w:cstheme="minorBidi"/>
            <w:snapToGrid/>
            <w:sz w:val="20"/>
            <w:szCs w:val="20"/>
            <w:lang w:val="en-US"/>
          </w:rPr>
          <w:t>sk.tummala@unesco.org</w:t>
        </w:r>
      </w:hyperlink>
      <w:r>
        <w:rPr>
          <w:rFonts w:asciiTheme="minorBidi" w:eastAsia="Times New Roman" w:hAnsiTheme="minorBidi" w:cstheme="minorBidi"/>
          <w:snapToGrid/>
          <w:color w:val="000000"/>
          <w:sz w:val="20"/>
          <w:szCs w:val="20"/>
          <w:lang w:val="en-US"/>
        </w:rPr>
        <w:t xml:space="preserve"> </w:t>
      </w:r>
    </w:p>
    <w:p w14:paraId="4CBBBFCA" w14:textId="295DD96A" w:rsidR="00DD76BA" w:rsidRDefault="001B246E" w:rsidP="001B246E">
      <w:pPr>
        <w:tabs>
          <w:tab w:val="clear" w:pos="709"/>
        </w:tabs>
        <w:snapToGrid/>
        <w:rPr>
          <w:rFonts w:asciiTheme="minorBidi" w:eastAsia="Times New Roman" w:hAnsiTheme="minorBidi" w:cstheme="minorBidi"/>
          <w:snapToGrid/>
          <w:color w:val="000000"/>
          <w:sz w:val="20"/>
          <w:szCs w:val="20"/>
          <w:lang w:val="en-US"/>
        </w:rPr>
      </w:pPr>
      <w:r w:rsidRPr="001B246E">
        <w:rPr>
          <w:rFonts w:asciiTheme="minorBidi" w:eastAsia="Times New Roman" w:hAnsiTheme="minorBidi" w:cstheme="minorBidi"/>
          <w:snapToGrid/>
          <w:color w:val="000000"/>
          <w:sz w:val="20"/>
          <w:szCs w:val="20"/>
          <w:lang w:val="en-US"/>
        </w:rPr>
        <w:br/>
      </w:r>
    </w:p>
    <w:p w14:paraId="5CACB2A8" w14:textId="77777777" w:rsidR="006946D0" w:rsidRDefault="006946D0" w:rsidP="006946D0">
      <w:pPr>
        <w:tabs>
          <w:tab w:val="clear" w:pos="709"/>
        </w:tabs>
        <w:snapToGrid/>
        <w:rPr>
          <w:rFonts w:asciiTheme="minorBidi" w:eastAsia="Times New Roman" w:hAnsiTheme="minorBidi" w:cstheme="minorBidi"/>
          <w:snapToGrid/>
          <w:color w:val="000000"/>
          <w:sz w:val="20"/>
          <w:szCs w:val="20"/>
          <w:lang w:val="en-US"/>
        </w:rPr>
        <w:sectPr w:rsidR="006946D0" w:rsidSect="005B175C">
          <w:headerReference w:type="even" r:id="rId148"/>
          <w:headerReference w:type="default" r:id="rId149"/>
          <w:headerReference w:type="first" r:id="rId150"/>
          <w:type w:val="continuous"/>
          <w:pgSz w:w="11906" w:h="16838" w:code="9"/>
          <w:pgMar w:top="1418" w:right="1418" w:bottom="1418" w:left="1418" w:header="680" w:footer="0" w:gutter="0"/>
          <w:pgNumType w:start="1"/>
          <w:cols w:num="2" w:space="720"/>
          <w:docGrid w:linePitch="360"/>
        </w:sectPr>
      </w:pPr>
    </w:p>
    <w:p w14:paraId="3D77CE5C" w14:textId="77777777" w:rsidR="006946D0" w:rsidRDefault="006946D0" w:rsidP="006946D0">
      <w:pPr>
        <w:tabs>
          <w:tab w:val="clear" w:pos="709"/>
        </w:tabs>
        <w:snapToGrid/>
        <w:rPr>
          <w:rFonts w:asciiTheme="minorBidi" w:eastAsia="Times New Roman" w:hAnsiTheme="minorBidi" w:cstheme="minorBidi"/>
          <w:snapToGrid/>
          <w:color w:val="000000"/>
          <w:sz w:val="20"/>
          <w:szCs w:val="20"/>
          <w:lang w:val="en-US"/>
        </w:rPr>
      </w:pPr>
    </w:p>
    <w:p w14:paraId="74E669BC" w14:textId="77777777" w:rsidR="006946D0" w:rsidRDefault="006946D0" w:rsidP="006946D0">
      <w:pPr>
        <w:spacing w:after="240"/>
        <w:rPr>
          <w:rFonts w:ascii="Arial" w:hAnsi="Arial" w:cs="Arial"/>
          <w:sz w:val="22"/>
        </w:rPr>
        <w:sectPr w:rsidR="006946D0" w:rsidSect="00DD76BA">
          <w:type w:val="continuous"/>
          <w:pgSz w:w="11906" w:h="16838" w:code="9"/>
          <w:pgMar w:top="1418" w:right="1418" w:bottom="1418" w:left="1418" w:header="680" w:footer="0" w:gutter="0"/>
          <w:pgNumType w:start="1"/>
          <w:cols w:space="720"/>
          <w:titlePg/>
          <w:docGrid w:linePitch="360"/>
        </w:sectPr>
      </w:pPr>
    </w:p>
    <w:p w14:paraId="68935E0E" w14:textId="7832B39B" w:rsidR="00A814D3" w:rsidRPr="004766A7" w:rsidRDefault="00A814D3" w:rsidP="006946D0">
      <w:pPr>
        <w:spacing w:after="240"/>
        <w:jc w:val="center"/>
        <w:rPr>
          <w:rFonts w:cs="Arial"/>
        </w:rPr>
      </w:pPr>
      <w:bookmarkStart w:id="390" w:name="A7"/>
      <w:r w:rsidRPr="004766A7">
        <w:rPr>
          <w:rFonts w:ascii="Arial" w:hAnsi="Arial" w:cs="Arial"/>
          <w:sz w:val="22"/>
        </w:rPr>
        <w:lastRenderedPageBreak/>
        <w:t>ANNEX V</w:t>
      </w:r>
      <w:bookmarkEnd w:id="388"/>
      <w:r w:rsidRPr="004766A7">
        <w:rPr>
          <w:rFonts w:ascii="Arial" w:hAnsi="Arial" w:cs="Arial"/>
          <w:sz w:val="22"/>
        </w:rPr>
        <w:t>I</w:t>
      </w:r>
      <w:bookmarkEnd w:id="389"/>
      <w:r w:rsidR="00284A72">
        <w:rPr>
          <w:rFonts w:ascii="Arial" w:hAnsi="Arial" w:cs="Arial"/>
          <w:sz w:val="22"/>
        </w:rPr>
        <w:t>I</w:t>
      </w:r>
    </w:p>
    <w:p w14:paraId="788C3937" w14:textId="77777777" w:rsidR="00A814D3" w:rsidRPr="004766A7" w:rsidRDefault="00A814D3" w:rsidP="00A814D3">
      <w:pPr>
        <w:spacing w:after="360"/>
        <w:jc w:val="center"/>
        <w:rPr>
          <w:rFonts w:cs="Arial"/>
        </w:rPr>
      </w:pPr>
      <w:bookmarkStart w:id="391" w:name="_Toc420496315"/>
      <w:bookmarkStart w:id="392" w:name="_Ref420506195"/>
      <w:bookmarkStart w:id="393" w:name="_Toc41491062"/>
      <w:bookmarkEnd w:id="390"/>
      <w:r w:rsidRPr="004766A7">
        <w:rPr>
          <w:rFonts w:ascii="Arial" w:hAnsi="Arial" w:cs="Arial"/>
          <w:b/>
          <w:sz w:val="22"/>
        </w:rPr>
        <w:t>LIST OF ACRONYMS</w:t>
      </w:r>
      <w:bookmarkEnd w:id="391"/>
      <w:bookmarkEnd w:id="392"/>
      <w:bookmarkEnd w:id="393"/>
    </w:p>
    <w:tbl>
      <w:tblPr>
        <w:tblW w:w="9070" w:type="dxa"/>
        <w:tblLook w:val="04A0" w:firstRow="1" w:lastRow="0" w:firstColumn="1" w:lastColumn="0" w:noHBand="0" w:noVBand="1"/>
      </w:tblPr>
      <w:tblGrid>
        <w:gridCol w:w="2498"/>
        <w:gridCol w:w="6572"/>
      </w:tblGrid>
      <w:tr w:rsidR="001C67AB" w:rsidRPr="00CB2078" w14:paraId="0A0FC985" w14:textId="77777777" w:rsidTr="007066D1">
        <w:tc>
          <w:tcPr>
            <w:tcW w:w="2498" w:type="dxa"/>
            <w:shd w:val="clear" w:color="auto" w:fill="auto"/>
            <w:tcMar>
              <w:top w:w="28" w:type="dxa"/>
              <w:bottom w:w="28" w:type="dxa"/>
            </w:tcMar>
          </w:tcPr>
          <w:p w14:paraId="75CEC302" w14:textId="69FC10E8" w:rsidR="001C67AB" w:rsidRPr="004721EB" w:rsidRDefault="001C67AB" w:rsidP="007066D1">
            <w:pPr>
              <w:rPr>
                <w:rFonts w:ascii="Arial" w:hAnsi="Arial" w:cs="Arial"/>
                <w:b/>
                <w:sz w:val="22"/>
                <w:szCs w:val="22"/>
              </w:rPr>
            </w:pPr>
            <w:r>
              <w:rPr>
                <w:rFonts w:ascii="Arial" w:hAnsi="Arial" w:cs="Arial"/>
                <w:b/>
                <w:sz w:val="22"/>
                <w:szCs w:val="22"/>
              </w:rPr>
              <w:t>AGU</w:t>
            </w:r>
          </w:p>
        </w:tc>
        <w:tc>
          <w:tcPr>
            <w:tcW w:w="6572" w:type="dxa"/>
            <w:shd w:val="clear" w:color="auto" w:fill="auto"/>
            <w:tcMar>
              <w:top w:w="28" w:type="dxa"/>
              <w:bottom w:w="28" w:type="dxa"/>
            </w:tcMar>
          </w:tcPr>
          <w:p w14:paraId="181C204C" w14:textId="711B2FA7" w:rsidR="001C67AB" w:rsidRPr="00500040" w:rsidRDefault="001C67AB" w:rsidP="007066D1">
            <w:pPr>
              <w:rPr>
                <w:rFonts w:ascii="Arial" w:hAnsi="Arial" w:cs="Arial"/>
                <w:sz w:val="22"/>
                <w:szCs w:val="22"/>
              </w:rPr>
            </w:pPr>
            <w:r w:rsidRPr="001C67AB">
              <w:rPr>
                <w:rFonts w:ascii="Arial" w:hAnsi="Arial" w:cs="Arial"/>
                <w:sz w:val="22"/>
                <w:szCs w:val="22"/>
              </w:rPr>
              <w:t>American Geophysical Union</w:t>
            </w:r>
          </w:p>
        </w:tc>
      </w:tr>
      <w:tr w:rsidR="00A814D3" w:rsidRPr="00CB2078" w14:paraId="5937C77E" w14:textId="77777777" w:rsidTr="007066D1">
        <w:tc>
          <w:tcPr>
            <w:tcW w:w="2498" w:type="dxa"/>
            <w:shd w:val="clear" w:color="auto" w:fill="auto"/>
            <w:tcMar>
              <w:top w:w="28" w:type="dxa"/>
              <w:bottom w:w="28" w:type="dxa"/>
            </w:tcMar>
          </w:tcPr>
          <w:p w14:paraId="367BF608" w14:textId="77777777" w:rsidR="00A814D3" w:rsidRPr="004721EB" w:rsidRDefault="00A814D3" w:rsidP="007066D1">
            <w:pPr>
              <w:rPr>
                <w:rFonts w:ascii="Arial" w:hAnsi="Arial" w:cs="Arial"/>
                <w:b/>
                <w:sz w:val="22"/>
                <w:szCs w:val="22"/>
              </w:rPr>
            </w:pPr>
            <w:r w:rsidRPr="004721EB">
              <w:rPr>
                <w:rFonts w:ascii="Arial" w:hAnsi="Arial" w:cs="Arial"/>
                <w:b/>
                <w:sz w:val="22"/>
                <w:szCs w:val="22"/>
              </w:rPr>
              <w:t>BMKG</w:t>
            </w:r>
          </w:p>
        </w:tc>
        <w:tc>
          <w:tcPr>
            <w:tcW w:w="6572" w:type="dxa"/>
            <w:shd w:val="clear" w:color="auto" w:fill="auto"/>
            <w:tcMar>
              <w:top w:w="28" w:type="dxa"/>
              <w:bottom w:w="28" w:type="dxa"/>
            </w:tcMar>
          </w:tcPr>
          <w:p w14:paraId="4C9A5EE8"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Indonesian Agency for Meteorological, Climatological </w:t>
            </w:r>
            <w:r w:rsidRPr="00500040">
              <w:rPr>
                <w:rFonts w:ascii="Arial" w:hAnsi="Arial" w:cs="Arial"/>
                <w:sz w:val="22"/>
                <w:szCs w:val="22"/>
              </w:rPr>
              <w:br/>
              <w:t xml:space="preserve">and Geophysics </w:t>
            </w:r>
          </w:p>
        </w:tc>
      </w:tr>
      <w:tr w:rsidR="00A814D3" w:rsidRPr="00CB2078" w14:paraId="53736154" w14:textId="77777777" w:rsidTr="007066D1">
        <w:tc>
          <w:tcPr>
            <w:tcW w:w="2498" w:type="dxa"/>
            <w:shd w:val="clear" w:color="auto" w:fill="auto"/>
            <w:tcMar>
              <w:top w:w="28" w:type="dxa"/>
              <w:bottom w:w="28" w:type="dxa"/>
            </w:tcMar>
          </w:tcPr>
          <w:p w14:paraId="4BED051D" w14:textId="77777777" w:rsidR="00A814D3" w:rsidRPr="004721EB" w:rsidRDefault="00A814D3" w:rsidP="007066D1">
            <w:pPr>
              <w:rPr>
                <w:rFonts w:ascii="Arial" w:hAnsi="Arial" w:cs="Arial"/>
                <w:b/>
                <w:sz w:val="22"/>
                <w:szCs w:val="22"/>
              </w:rPr>
            </w:pPr>
            <w:r w:rsidRPr="004721EB">
              <w:rPr>
                <w:rFonts w:ascii="Arial" w:hAnsi="Arial" w:cs="Arial"/>
                <w:b/>
                <w:sz w:val="22"/>
                <w:szCs w:val="22"/>
              </w:rPr>
              <w:t>CAP</w:t>
            </w:r>
          </w:p>
        </w:tc>
        <w:tc>
          <w:tcPr>
            <w:tcW w:w="6572" w:type="dxa"/>
            <w:shd w:val="clear" w:color="auto" w:fill="auto"/>
            <w:tcMar>
              <w:top w:w="28" w:type="dxa"/>
              <w:bottom w:w="28" w:type="dxa"/>
            </w:tcMar>
          </w:tcPr>
          <w:p w14:paraId="5EEA094B"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Common Alert Protocol </w:t>
            </w:r>
          </w:p>
        </w:tc>
      </w:tr>
      <w:tr w:rsidR="00A814D3" w:rsidRPr="00CB2078" w14:paraId="6C5F2639" w14:textId="77777777" w:rsidTr="007066D1">
        <w:tc>
          <w:tcPr>
            <w:tcW w:w="2498" w:type="dxa"/>
            <w:shd w:val="clear" w:color="auto" w:fill="auto"/>
            <w:tcMar>
              <w:top w:w="28" w:type="dxa"/>
              <w:bottom w:w="28" w:type="dxa"/>
            </w:tcMar>
          </w:tcPr>
          <w:p w14:paraId="0C69C09D" w14:textId="77777777" w:rsidR="00A814D3" w:rsidRPr="004721EB" w:rsidRDefault="00A814D3" w:rsidP="007066D1">
            <w:pPr>
              <w:rPr>
                <w:rFonts w:ascii="Arial" w:hAnsi="Arial" w:cs="Arial"/>
                <w:b/>
                <w:sz w:val="22"/>
                <w:szCs w:val="22"/>
              </w:rPr>
            </w:pPr>
            <w:r w:rsidRPr="004721EB">
              <w:rPr>
                <w:rFonts w:ascii="Arial" w:hAnsi="Arial" w:cs="Arial"/>
                <w:b/>
                <w:sz w:val="22"/>
                <w:szCs w:val="22"/>
              </w:rPr>
              <w:t>CATAC</w:t>
            </w:r>
          </w:p>
        </w:tc>
        <w:tc>
          <w:tcPr>
            <w:tcW w:w="6572" w:type="dxa"/>
            <w:shd w:val="clear" w:color="auto" w:fill="auto"/>
            <w:tcMar>
              <w:top w:w="28" w:type="dxa"/>
              <w:bottom w:w="28" w:type="dxa"/>
            </w:tcMar>
          </w:tcPr>
          <w:p w14:paraId="500F0C7E" w14:textId="77777777" w:rsidR="00A814D3" w:rsidRPr="00500040" w:rsidRDefault="00A814D3" w:rsidP="007066D1">
            <w:pPr>
              <w:rPr>
                <w:rFonts w:ascii="Arial" w:hAnsi="Arial" w:cs="Arial"/>
                <w:sz w:val="22"/>
                <w:szCs w:val="22"/>
                <w:lang w:val="en-US"/>
              </w:rPr>
            </w:pPr>
            <w:r w:rsidRPr="00500040">
              <w:rPr>
                <w:rFonts w:ascii="Arial" w:hAnsi="Arial" w:cs="Arial"/>
                <w:sz w:val="22"/>
                <w:szCs w:val="22"/>
              </w:rPr>
              <w:t>Central America Tsunami Advisory Center</w:t>
            </w:r>
          </w:p>
        </w:tc>
      </w:tr>
      <w:tr w:rsidR="00A814D3" w:rsidRPr="00CB2078" w14:paraId="14065114" w14:textId="77777777" w:rsidTr="007066D1">
        <w:tc>
          <w:tcPr>
            <w:tcW w:w="2498" w:type="dxa"/>
            <w:shd w:val="clear" w:color="auto" w:fill="auto"/>
            <w:tcMar>
              <w:top w:w="28" w:type="dxa"/>
              <w:bottom w:w="28" w:type="dxa"/>
            </w:tcMar>
          </w:tcPr>
          <w:p w14:paraId="194A3A7E" w14:textId="77777777" w:rsidR="00A814D3" w:rsidRPr="004721EB" w:rsidRDefault="00A814D3" w:rsidP="007066D1">
            <w:pPr>
              <w:rPr>
                <w:rFonts w:ascii="Arial" w:hAnsi="Arial" w:cs="Arial"/>
                <w:b/>
                <w:sz w:val="22"/>
                <w:szCs w:val="22"/>
              </w:rPr>
            </w:pPr>
            <w:r w:rsidRPr="004721EB">
              <w:rPr>
                <w:rFonts w:ascii="Arial" w:hAnsi="Arial" w:cs="Arial"/>
                <w:b/>
                <w:sz w:val="22"/>
                <w:szCs w:val="22"/>
              </w:rPr>
              <w:t>CARIBE-EWS</w:t>
            </w:r>
          </w:p>
        </w:tc>
        <w:tc>
          <w:tcPr>
            <w:tcW w:w="6572" w:type="dxa"/>
            <w:shd w:val="clear" w:color="auto" w:fill="auto"/>
            <w:tcMar>
              <w:top w:w="28" w:type="dxa"/>
              <w:bottom w:w="28" w:type="dxa"/>
            </w:tcMar>
          </w:tcPr>
          <w:p w14:paraId="4FB2A8E6" w14:textId="77777777" w:rsidR="00A814D3" w:rsidRPr="00500040" w:rsidRDefault="00A814D3" w:rsidP="007066D1">
            <w:pPr>
              <w:rPr>
                <w:rFonts w:ascii="Arial" w:hAnsi="Arial" w:cs="Arial"/>
                <w:sz w:val="22"/>
                <w:szCs w:val="22"/>
                <w:lang w:val="en-US"/>
              </w:rPr>
            </w:pPr>
            <w:r w:rsidRPr="00500040">
              <w:rPr>
                <w:rFonts w:ascii="Arial" w:hAnsi="Arial" w:cs="Arial"/>
                <w:sz w:val="22"/>
                <w:szCs w:val="22"/>
              </w:rPr>
              <w:t>Tsunami and Other Coastal Hazards Warning System for the Caribbean and Adjacent Regions</w:t>
            </w:r>
          </w:p>
        </w:tc>
      </w:tr>
      <w:tr w:rsidR="00A814D3" w:rsidRPr="00CB2078" w14:paraId="2C4C1C11" w14:textId="77777777" w:rsidTr="007066D1">
        <w:tc>
          <w:tcPr>
            <w:tcW w:w="2498" w:type="dxa"/>
            <w:shd w:val="clear" w:color="auto" w:fill="auto"/>
            <w:tcMar>
              <w:top w:w="28" w:type="dxa"/>
              <w:bottom w:w="28" w:type="dxa"/>
            </w:tcMar>
          </w:tcPr>
          <w:p w14:paraId="516137B8" w14:textId="77777777" w:rsidR="00A814D3" w:rsidRPr="00500040" w:rsidRDefault="00A814D3" w:rsidP="007066D1">
            <w:pPr>
              <w:rPr>
                <w:rFonts w:ascii="Arial" w:hAnsi="Arial" w:cs="Arial"/>
                <w:b/>
                <w:sz w:val="22"/>
                <w:szCs w:val="22"/>
              </w:rPr>
            </w:pPr>
            <w:r w:rsidRPr="00500040">
              <w:rPr>
                <w:rFonts w:ascii="Arial" w:hAnsi="Arial" w:cs="Arial"/>
                <w:b/>
                <w:sz w:val="22"/>
                <w:szCs w:val="22"/>
                <w:lang w:val="fr-FR"/>
              </w:rPr>
              <w:t>CARIBE WAVE</w:t>
            </w:r>
          </w:p>
        </w:tc>
        <w:tc>
          <w:tcPr>
            <w:tcW w:w="6572" w:type="dxa"/>
            <w:shd w:val="clear" w:color="auto" w:fill="auto"/>
            <w:tcMar>
              <w:top w:w="28" w:type="dxa"/>
              <w:bottom w:w="28" w:type="dxa"/>
            </w:tcMar>
          </w:tcPr>
          <w:p w14:paraId="19A36450" w14:textId="77777777" w:rsidR="00A814D3" w:rsidRPr="00500040" w:rsidRDefault="00A814D3" w:rsidP="007066D1">
            <w:pPr>
              <w:rPr>
                <w:rFonts w:ascii="Arial" w:hAnsi="Arial" w:cs="Arial"/>
                <w:sz w:val="22"/>
                <w:szCs w:val="22"/>
                <w:lang w:val="en-US"/>
              </w:rPr>
            </w:pPr>
            <w:r w:rsidRPr="00500040">
              <w:rPr>
                <w:rFonts w:ascii="Arial" w:hAnsi="Arial" w:cs="Arial"/>
                <w:sz w:val="22"/>
                <w:szCs w:val="22"/>
                <w:lang w:val="fr-FR"/>
              </w:rPr>
              <w:t xml:space="preserve">Caribbean </w:t>
            </w:r>
            <w:proofErr w:type="spellStart"/>
            <w:r w:rsidRPr="00500040">
              <w:rPr>
                <w:rFonts w:ascii="Arial" w:hAnsi="Arial" w:cs="Arial"/>
                <w:sz w:val="22"/>
                <w:szCs w:val="22"/>
                <w:lang w:val="fr-FR"/>
              </w:rPr>
              <w:t>Wave</w:t>
            </w:r>
            <w:proofErr w:type="spellEnd"/>
            <w:r w:rsidRPr="00500040">
              <w:rPr>
                <w:rFonts w:ascii="Arial" w:hAnsi="Arial" w:cs="Arial"/>
                <w:sz w:val="22"/>
                <w:szCs w:val="22"/>
                <w:lang w:val="fr-FR"/>
              </w:rPr>
              <w:t xml:space="preserve"> </w:t>
            </w:r>
            <w:proofErr w:type="spellStart"/>
            <w:r w:rsidRPr="00500040">
              <w:rPr>
                <w:rFonts w:ascii="Arial" w:hAnsi="Arial" w:cs="Arial"/>
                <w:sz w:val="22"/>
                <w:szCs w:val="22"/>
                <w:lang w:val="fr-FR"/>
              </w:rPr>
              <w:t>Exercise</w:t>
            </w:r>
            <w:proofErr w:type="spellEnd"/>
          </w:p>
        </w:tc>
      </w:tr>
      <w:tr w:rsidR="00A814D3" w:rsidRPr="009F077A" w14:paraId="588D820A" w14:textId="77777777" w:rsidTr="007066D1">
        <w:tc>
          <w:tcPr>
            <w:tcW w:w="2498" w:type="dxa"/>
            <w:shd w:val="clear" w:color="auto" w:fill="auto"/>
            <w:tcMar>
              <w:top w:w="28" w:type="dxa"/>
              <w:bottom w:w="28" w:type="dxa"/>
            </w:tcMar>
          </w:tcPr>
          <w:p w14:paraId="7EDD8B31" w14:textId="77777777" w:rsidR="00A814D3" w:rsidRPr="00500040" w:rsidRDefault="00A814D3" w:rsidP="007066D1">
            <w:pPr>
              <w:rPr>
                <w:rFonts w:ascii="Arial" w:hAnsi="Arial" w:cs="Arial"/>
                <w:b/>
                <w:sz w:val="22"/>
                <w:szCs w:val="22"/>
              </w:rPr>
            </w:pPr>
            <w:r w:rsidRPr="00500040">
              <w:rPr>
                <w:rFonts w:ascii="Arial" w:hAnsi="Arial" w:cs="Arial"/>
                <w:b/>
                <w:sz w:val="22"/>
                <w:szCs w:val="22"/>
              </w:rPr>
              <w:t>CENALT</w:t>
            </w:r>
          </w:p>
        </w:tc>
        <w:tc>
          <w:tcPr>
            <w:tcW w:w="6572" w:type="dxa"/>
            <w:shd w:val="clear" w:color="auto" w:fill="auto"/>
            <w:tcMar>
              <w:top w:w="28" w:type="dxa"/>
              <w:bottom w:w="28" w:type="dxa"/>
            </w:tcMar>
          </w:tcPr>
          <w:p w14:paraId="1431E0E6" w14:textId="77777777" w:rsidR="00A814D3" w:rsidRPr="00500040" w:rsidRDefault="00A814D3" w:rsidP="007066D1">
            <w:pPr>
              <w:rPr>
                <w:rFonts w:ascii="Arial" w:hAnsi="Arial" w:cs="Arial"/>
                <w:sz w:val="22"/>
                <w:szCs w:val="22"/>
                <w:lang w:val="fr-FR"/>
              </w:rPr>
            </w:pPr>
            <w:proofErr w:type="spellStart"/>
            <w:r w:rsidRPr="00500040">
              <w:rPr>
                <w:rFonts w:ascii="Arial" w:hAnsi="Arial" w:cs="Arial"/>
                <w:sz w:val="22"/>
                <w:szCs w:val="22"/>
                <w:lang w:val="fr-FR"/>
              </w:rPr>
              <w:t>CENtre</w:t>
            </w:r>
            <w:proofErr w:type="spellEnd"/>
            <w:r w:rsidRPr="00500040">
              <w:rPr>
                <w:rFonts w:ascii="Arial" w:hAnsi="Arial" w:cs="Arial"/>
                <w:sz w:val="22"/>
                <w:szCs w:val="22"/>
                <w:lang w:val="fr-FR"/>
              </w:rPr>
              <w:t xml:space="preserve"> d'Alerte aux Tsunamis, France</w:t>
            </w:r>
          </w:p>
        </w:tc>
      </w:tr>
      <w:tr w:rsidR="008D7319" w:rsidRPr="00CB2078" w14:paraId="2DA574B5" w14:textId="77777777" w:rsidTr="007066D1">
        <w:tc>
          <w:tcPr>
            <w:tcW w:w="2498" w:type="dxa"/>
            <w:shd w:val="clear" w:color="auto" w:fill="auto"/>
            <w:tcMar>
              <w:top w:w="28" w:type="dxa"/>
              <w:bottom w:w="28" w:type="dxa"/>
            </w:tcMar>
          </w:tcPr>
          <w:p w14:paraId="0625DA40" w14:textId="0012C8C0" w:rsidR="008D7319" w:rsidRPr="008D7319" w:rsidRDefault="008D7319" w:rsidP="007066D1">
            <w:pPr>
              <w:rPr>
                <w:rFonts w:ascii="Arial" w:hAnsi="Arial" w:cs="Arial"/>
                <w:b/>
                <w:bCs/>
                <w:sz w:val="22"/>
                <w:szCs w:val="22"/>
              </w:rPr>
            </w:pPr>
            <w:r w:rsidRPr="008D7319">
              <w:rPr>
                <w:rFonts w:ascii="Arial" w:hAnsi="Arial" w:cs="Arial"/>
                <w:b/>
                <w:bCs/>
                <w:sz w:val="22"/>
                <w:szCs w:val="22"/>
                <w:lang w:val="en-US"/>
              </w:rPr>
              <w:t>CPPS</w:t>
            </w:r>
          </w:p>
        </w:tc>
        <w:tc>
          <w:tcPr>
            <w:tcW w:w="6572" w:type="dxa"/>
            <w:shd w:val="clear" w:color="auto" w:fill="auto"/>
            <w:tcMar>
              <w:top w:w="28" w:type="dxa"/>
              <w:bottom w:w="28" w:type="dxa"/>
            </w:tcMar>
          </w:tcPr>
          <w:p w14:paraId="753281AB" w14:textId="7E48C902" w:rsidR="008D7319" w:rsidRPr="00500040" w:rsidRDefault="008D7319" w:rsidP="007066D1">
            <w:pPr>
              <w:rPr>
                <w:rFonts w:ascii="Arial" w:hAnsi="Arial" w:cs="Arial"/>
                <w:sz w:val="22"/>
                <w:szCs w:val="22"/>
                <w:lang w:val="en-US"/>
              </w:rPr>
            </w:pPr>
            <w:r w:rsidRPr="008D7319">
              <w:rPr>
                <w:rFonts w:ascii="Arial" w:hAnsi="Arial" w:cs="Arial"/>
                <w:sz w:val="22"/>
                <w:szCs w:val="22"/>
                <w:lang w:val="en-US"/>
              </w:rPr>
              <w:t>Permanent Commission for the Southeast Pacific</w:t>
            </w:r>
          </w:p>
        </w:tc>
      </w:tr>
      <w:tr w:rsidR="00A814D3" w:rsidRPr="00CB2078" w14:paraId="11619A6D" w14:textId="77777777" w:rsidTr="007066D1">
        <w:tc>
          <w:tcPr>
            <w:tcW w:w="2498" w:type="dxa"/>
            <w:shd w:val="clear" w:color="auto" w:fill="auto"/>
            <w:tcMar>
              <w:top w:w="28" w:type="dxa"/>
              <w:bottom w:w="28" w:type="dxa"/>
            </w:tcMar>
          </w:tcPr>
          <w:p w14:paraId="47C29319" w14:textId="77777777" w:rsidR="00A814D3" w:rsidRPr="00500040" w:rsidRDefault="00A814D3" w:rsidP="007066D1">
            <w:pPr>
              <w:rPr>
                <w:rFonts w:ascii="Arial" w:hAnsi="Arial" w:cs="Arial"/>
                <w:b/>
                <w:sz w:val="22"/>
                <w:szCs w:val="22"/>
              </w:rPr>
            </w:pPr>
            <w:r w:rsidRPr="00500040">
              <w:rPr>
                <w:rFonts w:ascii="Arial" w:hAnsi="Arial" w:cs="Arial"/>
                <w:b/>
                <w:sz w:val="22"/>
                <w:szCs w:val="22"/>
              </w:rPr>
              <w:t>DART</w:t>
            </w:r>
          </w:p>
        </w:tc>
        <w:tc>
          <w:tcPr>
            <w:tcW w:w="6572" w:type="dxa"/>
            <w:shd w:val="clear" w:color="auto" w:fill="auto"/>
            <w:tcMar>
              <w:top w:w="28" w:type="dxa"/>
              <w:bottom w:w="28" w:type="dxa"/>
            </w:tcMar>
          </w:tcPr>
          <w:p w14:paraId="0E91FB47" w14:textId="77777777" w:rsidR="00A814D3" w:rsidRPr="00500040" w:rsidRDefault="00A814D3" w:rsidP="007066D1">
            <w:pPr>
              <w:rPr>
                <w:rFonts w:ascii="Arial" w:hAnsi="Arial" w:cs="Arial"/>
                <w:sz w:val="22"/>
                <w:szCs w:val="22"/>
              </w:rPr>
            </w:pPr>
            <w:r w:rsidRPr="00500040">
              <w:rPr>
                <w:rFonts w:ascii="Arial" w:hAnsi="Arial" w:cs="Arial"/>
                <w:sz w:val="22"/>
                <w:szCs w:val="22"/>
                <w:lang w:val="en-US"/>
              </w:rPr>
              <w:t>Deep-ocean Assessment and Reporting of Tsunamis</w:t>
            </w:r>
          </w:p>
        </w:tc>
      </w:tr>
      <w:tr w:rsidR="0025425B" w:rsidRPr="00CB2078" w14:paraId="047CF9C7" w14:textId="77777777" w:rsidTr="007066D1">
        <w:tc>
          <w:tcPr>
            <w:tcW w:w="2498" w:type="dxa"/>
            <w:shd w:val="clear" w:color="auto" w:fill="auto"/>
            <w:tcMar>
              <w:top w:w="28" w:type="dxa"/>
              <w:bottom w:w="28" w:type="dxa"/>
            </w:tcMar>
          </w:tcPr>
          <w:p w14:paraId="49781577" w14:textId="2E164131" w:rsidR="0025425B" w:rsidRPr="00500040" w:rsidRDefault="0025425B" w:rsidP="007066D1">
            <w:pPr>
              <w:rPr>
                <w:rFonts w:ascii="Arial" w:hAnsi="Arial" w:cs="Arial"/>
                <w:b/>
                <w:sz w:val="22"/>
                <w:szCs w:val="22"/>
              </w:rPr>
            </w:pPr>
            <w:r>
              <w:rPr>
                <w:rFonts w:ascii="Arial" w:hAnsi="Arial" w:cs="Arial"/>
                <w:b/>
                <w:sz w:val="22"/>
                <w:szCs w:val="22"/>
              </w:rPr>
              <w:t>DCC-CR</w:t>
            </w:r>
          </w:p>
        </w:tc>
        <w:tc>
          <w:tcPr>
            <w:tcW w:w="6572" w:type="dxa"/>
            <w:shd w:val="clear" w:color="auto" w:fill="auto"/>
            <w:tcMar>
              <w:top w:w="28" w:type="dxa"/>
              <w:bottom w:w="28" w:type="dxa"/>
            </w:tcMar>
          </w:tcPr>
          <w:p w14:paraId="1EDC4CDA" w14:textId="56093BB2" w:rsidR="0025425B" w:rsidRPr="00500040" w:rsidRDefault="0025425B" w:rsidP="007066D1">
            <w:pPr>
              <w:rPr>
                <w:rFonts w:ascii="Arial" w:hAnsi="Arial" w:cs="Arial"/>
                <w:sz w:val="22"/>
                <w:szCs w:val="22"/>
                <w:lang w:val="en"/>
              </w:rPr>
            </w:pPr>
            <w:r w:rsidRPr="0025425B">
              <w:rPr>
                <w:rFonts w:ascii="Arial" w:hAnsi="Arial" w:cs="Arial"/>
                <w:sz w:val="22"/>
                <w:szCs w:val="22"/>
                <w:lang w:val="en"/>
              </w:rPr>
              <w:t>Decade Collaborative Centre for Coastal Resilience</w:t>
            </w:r>
          </w:p>
        </w:tc>
      </w:tr>
      <w:tr w:rsidR="00A814D3" w:rsidRPr="00CB2078" w14:paraId="3C0A097E" w14:textId="77777777" w:rsidTr="007066D1">
        <w:tc>
          <w:tcPr>
            <w:tcW w:w="2498" w:type="dxa"/>
            <w:shd w:val="clear" w:color="auto" w:fill="auto"/>
            <w:tcMar>
              <w:top w:w="28" w:type="dxa"/>
              <w:bottom w:w="28" w:type="dxa"/>
            </w:tcMar>
          </w:tcPr>
          <w:p w14:paraId="686E13F3" w14:textId="77777777" w:rsidR="00A814D3" w:rsidRPr="00500040" w:rsidRDefault="00A814D3" w:rsidP="007066D1">
            <w:pPr>
              <w:rPr>
                <w:rFonts w:ascii="Arial" w:hAnsi="Arial" w:cs="Arial"/>
                <w:b/>
                <w:sz w:val="22"/>
                <w:szCs w:val="22"/>
              </w:rPr>
            </w:pPr>
            <w:r w:rsidRPr="00500040">
              <w:rPr>
                <w:rFonts w:ascii="Arial" w:hAnsi="Arial" w:cs="Arial"/>
                <w:b/>
                <w:sz w:val="22"/>
                <w:szCs w:val="22"/>
              </w:rPr>
              <w:t>DG-ECHO</w:t>
            </w:r>
          </w:p>
        </w:tc>
        <w:tc>
          <w:tcPr>
            <w:tcW w:w="6572" w:type="dxa"/>
            <w:shd w:val="clear" w:color="auto" w:fill="auto"/>
            <w:tcMar>
              <w:top w:w="28" w:type="dxa"/>
              <w:bottom w:w="28" w:type="dxa"/>
            </w:tcMar>
          </w:tcPr>
          <w:p w14:paraId="62002EA3" w14:textId="77777777" w:rsidR="00A814D3" w:rsidRPr="00500040" w:rsidRDefault="00A814D3" w:rsidP="007066D1">
            <w:pPr>
              <w:rPr>
                <w:rFonts w:ascii="Arial" w:hAnsi="Arial" w:cs="Arial"/>
                <w:sz w:val="22"/>
                <w:szCs w:val="22"/>
                <w:lang w:val="en"/>
              </w:rPr>
            </w:pPr>
            <w:r w:rsidRPr="00500040">
              <w:rPr>
                <w:rFonts w:ascii="Arial" w:hAnsi="Arial" w:cs="Arial"/>
                <w:sz w:val="22"/>
                <w:szCs w:val="22"/>
                <w:lang w:val="en"/>
              </w:rPr>
              <w:t>Directorate-General for European Civil Protection and Humanitarian Aid Operations (of the European Commission)</w:t>
            </w:r>
          </w:p>
        </w:tc>
      </w:tr>
      <w:tr w:rsidR="00B54559" w:rsidRPr="009F077A" w14:paraId="3F3D72DD" w14:textId="77777777" w:rsidTr="007066D1">
        <w:tc>
          <w:tcPr>
            <w:tcW w:w="2498" w:type="dxa"/>
            <w:shd w:val="clear" w:color="auto" w:fill="auto"/>
            <w:tcMar>
              <w:top w:w="28" w:type="dxa"/>
              <w:bottom w:w="28" w:type="dxa"/>
            </w:tcMar>
          </w:tcPr>
          <w:p w14:paraId="38AF399C" w14:textId="63157335" w:rsidR="00B54559" w:rsidRPr="00500040" w:rsidRDefault="00B54559" w:rsidP="007066D1">
            <w:pPr>
              <w:rPr>
                <w:rFonts w:ascii="Arial" w:hAnsi="Arial" w:cs="Arial"/>
                <w:b/>
                <w:sz w:val="22"/>
                <w:szCs w:val="22"/>
              </w:rPr>
            </w:pPr>
            <w:r>
              <w:rPr>
                <w:rFonts w:ascii="Arial" w:hAnsi="Arial" w:cs="Arial"/>
                <w:b/>
                <w:sz w:val="22"/>
                <w:szCs w:val="22"/>
              </w:rPr>
              <w:t>DIMAR</w:t>
            </w:r>
          </w:p>
        </w:tc>
        <w:tc>
          <w:tcPr>
            <w:tcW w:w="6572" w:type="dxa"/>
            <w:shd w:val="clear" w:color="auto" w:fill="auto"/>
            <w:tcMar>
              <w:top w:w="28" w:type="dxa"/>
              <w:bottom w:w="28" w:type="dxa"/>
            </w:tcMar>
          </w:tcPr>
          <w:p w14:paraId="3541FAC0" w14:textId="5CE74123" w:rsidR="00B54559" w:rsidRPr="00B54559" w:rsidRDefault="00B54559" w:rsidP="007066D1">
            <w:pPr>
              <w:rPr>
                <w:rFonts w:ascii="Arial" w:hAnsi="Arial" w:cs="Arial"/>
                <w:sz w:val="22"/>
                <w:szCs w:val="22"/>
                <w:lang w:val="es-ES"/>
              </w:rPr>
            </w:pPr>
            <w:r w:rsidRPr="00B54559">
              <w:rPr>
                <w:rFonts w:ascii="Arial" w:hAnsi="Arial" w:cs="Arial"/>
                <w:sz w:val="22"/>
                <w:szCs w:val="22"/>
                <w:lang w:val="es-ES"/>
              </w:rPr>
              <w:t xml:space="preserve">Dirección General Marítima </w:t>
            </w:r>
            <w:r>
              <w:rPr>
                <w:rFonts w:ascii="Arial" w:hAnsi="Arial" w:cs="Arial"/>
                <w:sz w:val="22"/>
                <w:szCs w:val="22"/>
                <w:lang w:val="es-ES"/>
              </w:rPr>
              <w:t>(of Colombia)</w:t>
            </w:r>
          </w:p>
        </w:tc>
      </w:tr>
      <w:tr w:rsidR="0025425B" w:rsidRPr="00CB2078" w14:paraId="1E17D196" w14:textId="77777777" w:rsidTr="007066D1">
        <w:tc>
          <w:tcPr>
            <w:tcW w:w="2498" w:type="dxa"/>
            <w:shd w:val="clear" w:color="auto" w:fill="auto"/>
            <w:tcMar>
              <w:top w:w="28" w:type="dxa"/>
              <w:bottom w:w="28" w:type="dxa"/>
            </w:tcMar>
          </w:tcPr>
          <w:p w14:paraId="2EF5B236" w14:textId="400A9D3C" w:rsidR="0025425B" w:rsidRDefault="0025425B" w:rsidP="007066D1">
            <w:pPr>
              <w:rPr>
                <w:rFonts w:ascii="Arial" w:hAnsi="Arial" w:cs="Arial"/>
                <w:b/>
                <w:sz w:val="22"/>
                <w:szCs w:val="22"/>
              </w:rPr>
            </w:pPr>
            <w:r>
              <w:rPr>
                <w:rFonts w:ascii="Arial" w:hAnsi="Arial" w:cs="Arial"/>
                <w:b/>
                <w:sz w:val="22"/>
                <w:szCs w:val="22"/>
              </w:rPr>
              <w:t>EGU</w:t>
            </w:r>
          </w:p>
        </w:tc>
        <w:tc>
          <w:tcPr>
            <w:tcW w:w="6572" w:type="dxa"/>
            <w:shd w:val="clear" w:color="auto" w:fill="auto"/>
            <w:tcMar>
              <w:top w:w="28" w:type="dxa"/>
              <w:bottom w:w="28" w:type="dxa"/>
            </w:tcMar>
          </w:tcPr>
          <w:p w14:paraId="22C29697" w14:textId="54418D75" w:rsidR="0025425B" w:rsidRDefault="0025425B" w:rsidP="007066D1">
            <w:pPr>
              <w:rPr>
                <w:rFonts w:ascii="Arial" w:hAnsi="Arial" w:cs="Arial"/>
                <w:bCs/>
                <w:sz w:val="22"/>
                <w:szCs w:val="22"/>
              </w:rPr>
            </w:pPr>
            <w:r>
              <w:rPr>
                <w:rFonts w:ascii="Arial" w:hAnsi="Arial" w:cs="Arial"/>
                <w:bCs/>
                <w:sz w:val="22"/>
                <w:szCs w:val="22"/>
              </w:rPr>
              <w:t xml:space="preserve">European </w:t>
            </w:r>
            <w:r w:rsidRPr="001C67AB">
              <w:rPr>
                <w:rFonts w:ascii="Arial" w:hAnsi="Arial" w:cs="Arial"/>
                <w:sz w:val="22"/>
                <w:szCs w:val="22"/>
              </w:rPr>
              <w:t>Geophysical Union</w:t>
            </w:r>
          </w:p>
        </w:tc>
      </w:tr>
      <w:tr w:rsidR="00084587" w:rsidRPr="00CB2078" w14:paraId="59F42498" w14:textId="77777777" w:rsidTr="007066D1">
        <w:tc>
          <w:tcPr>
            <w:tcW w:w="2498" w:type="dxa"/>
            <w:shd w:val="clear" w:color="auto" w:fill="auto"/>
            <w:tcMar>
              <w:top w:w="28" w:type="dxa"/>
              <w:bottom w:w="28" w:type="dxa"/>
            </w:tcMar>
          </w:tcPr>
          <w:p w14:paraId="3717B6C7" w14:textId="046D615F" w:rsidR="00084587" w:rsidRDefault="00084587" w:rsidP="007066D1">
            <w:pPr>
              <w:rPr>
                <w:rFonts w:ascii="Arial" w:hAnsi="Arial" w:cs="Arial"/>
                <w:b/>
                <w:sz w:val="22"/>
                <w:szCs w:val="22"/>
              </w:rPr>
            </w:pPr>
            <w:r>
              <w:rPr>
                <w:rFonts w:ascii="Arial" w:hAnsi="Arial" w:cs="Arial"/>
                <w:b/>
                <w:sz w:val="22"/>
                <w:szCs w:val="22"/>
              </w:rPr>
              <w:t>ESZ</w:t>
            </w:r>
          </w:p>
        </w:tc>
        <w:tc>
          <w:tcPr>
            <w:tcW w:w="6572" w:type="dxa"/>
            <w:shd w:val="clear" w:color="auto" w:fill="auto"/>
            <w:tcMar>
              <w:top w:w="28" w:type="dxa"/>
              <w:bottom w:w="28" w:type="dxa"/>
            </w:tcMar>
          </w:tcPr>
          <w:p w14:paraId="23CBBBE6" w14:textId="51DFD583" w:rsidR="00084587" w:rsidRDefault="00084587" w:rsidP="007066D1">
            <w:pPr>
              <w:rPr>
                <w:rFonts w:ascii="Arial" w:hAnsi="Arial" w:cs="Arial"/>
                <w:bCs/>
                <w:sz w:val="22"/>
                <w:szCs w:val="22"/>
              </w:rPr>
            </w:pPr>
            <w:r w:rsidRPr="00084587">
              <w:rPr>
                <w:rFonts w:ascii="Arial" w:hAnsi="Arial" w:cs="Arial"/>
                <w:bCs/>
                <w:sz w:val="22"/>
                <w:szCs w:val="22"/>
              </w:rPr>
              <w:t>Earthquake Source Zone</w:t>
            </w:r>
          </w:p>
        </w:tc>
      </w:tr>
      <w:tr w:rsidR="00B54559" w:rsidRPr="00CB2078" w14:paraId="40F35FB8" w14:textId="77777777" w:rsidTr="007066D1">
        <w:tc>
          <w:tcPr>
            <w:tcW w:w="2498" w:type="dxa"/>
            <w:shd w:val="clear" w:color="auto" w:fill="auto"/>
            <w:tcMar>
              <w:top w:w="28" w:type="dxa"/>
              <w:bottom w:w="28" w:type="dxa"/>
            </w:tcMar>
          </w:tcPr>
          <w:p w14:paraId="4D601D03" w14:textId="4C422F5B" w:rsidR="00B54559" w:rsidRPr="00500040" w:rsidRDefault="00B54559" w:rsidP="007066D1">
            <w:pPr>
              <w:rPr>
                <w:rFonts w:ascii="Arial" w:hAnsi="Arial" w:cs="Arial"/>
                <w:b/>
                <w:sz w:val="22"/>
                <w:szCs w:val="22"/>
              </w:rPr>
            </w:pPr>
            <w:r>
              <w:rPr>
                <w:rFonts w:ascii="Arial" w:hAnsi="Arial" w:cs="Arial"/>
                <w:b/>
                <w:sz w:val="22"/>
                <w:szCs w:val="22"/>
              </w:rPr>
              <w:t>EW4ALL</w:t>
            </w:r>
          </w:p>
        </w:tc>
        <w:tc>
          <w:tcPr>
            <w:tcW w:w="6572" w:type="dxa"/>
            <w:shd w:val="clear" w:color="auto" w:fill="auto"/>
            <w:tcMar>
              <w:top w:w="28" w:type="dxa"/>
              <w:bottom w:w="28" w:type="dxa"/>
            </w:tcMar>
          </w:tcPr>
          <w:p w14:paraId="7B45D46D" w14:textId="29A5B3DA" w:rsidR="00B54559" w:rsidRPr="00500040" w:rsidRDefault="00B54559" w:rsidP="007066D1">
            <w:pPr>
              <w:rPr>
                <w:rFonts w:ascii="Arial" w:hAnsi="Arial" w:cs="Arial"/>
                <w:sz w:val="22"/>
                <w:szCs w:val="22"/>
                <w:lang w:val="en-AU"/>
              </w:rPr>
            </w:pPr>
            <w:proofErr w:type="spellStart"/>
            <w:r>
              <w:rPr>
                <w:rFonts w:ascii="Arial" w:hAnsi="Arial" w:cs="Arial"/>
                <w:bCs/>
                <w:sz w:val="22"/>
                <w:szCs w:val="22"/>
              </w:rPr>
              <w:t>EarlyWarningforAll</w:t>
            </w:r>
            <w:proofErr w:type="spellEnd"/>
            <w:r>
              <w:rPr>
                <w:rFonts w:ascii="Arial" w:hAnsi="Arial" w:cs="Arial"/>
                <w:bCs/>
                <w:sz w:val="22"/>
                <w:szCs w:val="22"/>
              </w:rPr>
              <w:t xml:space="preserve"> Initiative</w:t>
            </w:r>
          </w:p>
        </w:tc>
      </w:tr>
      <w:tr w:rsidR="00A814D3" w:rsidRPr="00CB2078" w14:paraId="40954BC4" w14:textId="77777777" w:rsidTr="007066D1">
        <w:tc>
          <w:tcPr>
            <w:tcW w:w="2498" w:type="dxa"/>
            <w:shd w:val="clear" w:color="auto" w:fill="auto"/>
            <w:tcMar>
              <w:top w:w="28" w:type="dxa"/>
              <w:bottom w:w="28" w:type="dxa"/>
            </w:tcMar>
          </w:tcPr>
          <w:p w14:paraId="384A8B15" w14:textId="77777777" w:rsidR="00A814D3" w:rsidRPr="00500040" w:rsidRDefault="00A814D3" w:rsidP="007066D1">
            <w:pPr>
              <w:rPr>
                <w:rFonts w:ascii="Arial" w:hAnsi="Arial" w:cs="Arial"/>
                <w:b/>
                <w:sz w:val="22"/>
                <w:szCs w:val="22"/>
              </w:rPr>
            </w:pPr>
            <w:r w:rsidRPr="00500040">
              <w:rPr>
                <w:rFonts w:ascii="Arial" w:hAnsi="Arial" w:cs="Arial"/>
                <w:b/>
                <w:sz w:val="22"/>
                <w:szCs w:val="22"/>
              </w:rPr>
              <w:t>GOOS</w:t>
            </w:r>
          </w:p>
        </w:tc>
        <w:tc>
          <w:tcPr>
            <w:tcW w:w="6572" w:type="dxa"/>
            <w:shd w:val="clear" w:color="auto" w:fill="auto"/>
            <w:tcMar>
              <w:top w:w="28" w:type="dxa"/>
              <w:bottom w:w="28" w:type="dxa"/>
            </w:tcMar>
          </w:tcPr>
          <w:p w14:paraId="1EC682D1" w14:textId="77777777" w:rsidR="00A814D3" w:rsidRPr="00500040" w:rsidRDefault="00A814D3" w:rsidP="007066D1">
            <w:pPr>
              <w:rPr>
                <w:rFonts w:ascii="Arial" w:hAnsi="Arial" w:cs="Arial"/>
                <w:sz w:val="22"/>
                <w:szCs w:val="22"/>
              </w:rPr>
            </w:pPr>
            <w:r w:rsidRPr="00500040">
              <w:rPr>
                <w:rFonts w:ascii="Arial" w:hAnsi="Arial" w:cs="Arial"/>
                <w:sz w:val="22"/>
                <w:szCs w:val="22"/>
                <w:lang w:val="en-AU"/>
              </w:rPr>
              <w:t>Global Ocean Observing System (IOC)</w:t>
            </w:r>
          </w:p>
        </w:tc>
      </w:tr>
      <w:tr w:rsidR="00A814D3" w:rsidRPr="00CB2078" w14:paraId="68B4A211" w14:textId="77777777" w:rsidTr="007066D1">
        <w:tc>
          <w:tcPr>
            <w:tcW w:w="2498" w:type="dxa"/>
            <w:shd w:val="clear" w:color="auto" w:fill="auto"/>
            <w:tcMar>
              <w:top w:w="28" w:type="dxa"/>
              <w:bottom w:w="28" w:type="dxa"/>
            </w:tcMar>
          </w:tcPr>
          <w:p w14:paraId="3A886EC0" w14:textId="77777777" w:rsidR="00A814D3" w:rsidRPr="00500040" w:rsidRDefault="00A814D3" w:rsidP="007066D1">
            <w:pPr>
              <w:rPr>
                <w:rFonts w:ascii="Arial" w:hAnsi="Arial" w:cs="Arial"/>
                <w:b/>
                <w:sz w:val="22"/>
                <w:szCs w:val="22"/>
              </w:rPr>
            </w:pPr>
            <w:r w:rsidRPr="00500040">
              <w:rPr>
                <w:rFonts w:ascii="Arial" w:hAnsi="Arial" w:cs="Arial"/>
                <w:b/>
                <w:sz w:val="22"/>
                <w:szCs w:val="22"/>
              </w:rPr>
              <w:t>GTS</w:t>
            </w:r>
          </w:p>
        </w:tc>
        <w:tc>
          <w:tcPr>
            <w:tcW w:w="6572" w:type="dxa"/>
            <w:shd w:val="clear" w:color="auto" w:fill="auto"/>
            <w:tcMar>
              <w:top w:w="28" w:type="dxa"/>
              <w:bottom w:w="28" w:type="dxa"/>
            </w:tcMar>
          </w:tcPr>
          <w:p w14:paraId="1F0D9FB5" w14:textId="77777777" w:rsidR="00A814D3" w:rsidRPr="00500040" w:rsidRDefault="00A814D3" w:rsidP="007066D1">
            <w:pPr>
              <w:rPr>
                <w:rFonts w:ascii="Arial" w:hAnsi="Arial" w:cs="Arial"/>
                <w:sz w:val="22"/>
                <w:szCs w:val="22"/>
              </w:rPr>
            </w:pPr>
            <w:r w:rsidRPr="00500040">
              <w:rPr>
                <w:rFonts w:ascii="Arial" w:hAnsi="Arial" w:cs="Arial"/>
                <w:sz w:val="22"/>
                <w:szCs w:val="22"/>
                <w:lang w:val="en-AU"/>
              </w:rPr>
              <w:t>Global Telecommunication System (WMO)</w:t>
            </w:r>
          </w:p>
        </w:tc>
      </w:tr>
      <w:tr w:rsidR="001C67AB" w:rsidRPr="00CB2078" w14:paraId="0D5102D2" w14:textId="77777777" w:rsidTr="007066D1">
        <w:tc>
          <w:tcPr>
            <w:tcW w:w="2498" w:type="dxa"/>
            <w:shd w:val="clear" w:color="auto" w:fill="auto"/>
            <w:tcMar>
              <w:top w:w="28" w:type="dxa"/>
              <w:bottom w:w="28" w:type="dxa"/>
            </w:tcMar>
          </w:tcPr>
          <w:p w14:paraId="5115082F" w14:textId="28B424A2" w:rsidR="001C67AB" w:rsidRPr="00500040" w:rsidRDefault="001C67AB" w:rsidP="007066D1">
            <w:pPr>
              <w:rPr>
                <w:rFonts w:ascii="Arial" w:hAnsi="Arial" w:cs="Arial"/>
                <w:b/>
                <w:sz w:val="22"/>
                <w:szCs w:val="22"/>
              </w:rPr>
            </w:pPr>
            <w:r>
              <w:rPr>
                <w:rFonts w:ascii="Arial" w:hAnsi="Arial" w:cs="Arial"/>
                <w:b/>
                <w:sz w:val="22"/>
                <w:szCs w:val="22"/>
              </w:rPr>
              <w:t>HTHH</w:t>
            </w:r>
          </w:p>
        </w:tc>
        <w:tc>
          <w:tcPr>
            <w:tcW w:w="6572" w:type="dxa"/>
            <w:shd w:val="clear" w:color="auto" w:fill="auto"/>
            <w:tcMar>
              <w:top w:w="28" w:type="dxa"/>
              <w:bottom w:w="28" w:type="dxa"/>
            </w:tcMar>
          </w:tcPr>
          <w:p w14:paraId="2EE7CA84" w14:textId="077D8D14" w:rsidR="001C67AB" w:rsidRPr="00500040" w:rsidRDefault="001C67AB" w:rsidP="007066D1">
            <w:pPr>
              <w:rPr>
                <w:rFonts w:ascii="Arial" w:hAnsi="Arial" w:cs="Arial"/>
                <w:sz w:val="22"/>
                <w:szCs w:val="22"/>
              </w:rPr>
            </w:pPr>
            <w:r w:rsidRPr="001C67AB">
              <w:rPr>
                <w:rFonts w:ascii="Arial" w:hAnsi="Arial" w:cs="Arial"/>
                <w:sz w:val="22"/>
                <w:szCs w:val="22"/>
              </w:rPr>
              <w:t xml:space="preserve">Hunga Tonga - Hunga </w:t>
            </w:r>
            <w:proofErr w:type="spellStart"/>
            <w:r w:rsidRPr="001C67AB">
              <w:rPr>
                <w:rFonts w:ascii="Arial" w:hAnsi="Arial" w:cs="Arial"/>
                <w:sz w:val="22"/>
                <w:szCs w:val="22"/>
              </w:rPr>
              <w:t>Ha’apai</w:t>
            </w:r>
            <w:proofErr w:type="spellEnd"/>
          </w:p>
        </w:tc>
      </w:tr>
      <w:tr w:rsidR="0025425B" w:rsidRPr="00CB2078" w14:paraId="25C54CAE" w14:textId="77777777" w:rsidTr="007066D1">
        <w:tc>
          <w:tcPr>
            <w:tcW w:w="2498" w:type="dxa"/>
            <w:shd w:val="clear" w:color="auto" w:fill="auto"/>
            <w:tcMar>
              <w:top w:w="28" w:type="dxa"/>
              <w:bottom w:w="28" w:type="dxa"/>
            </w:tcMar>
          </w:tcPr>
          <w:p w14:paraId="04FB3582" w14:textId="11C96EBC" w:rsidR="0025425B" w:rsidRPr="004C0C4D" w:rsidRDefault="0025425B" w:rsidP="007066D1">
            <w:pPr>
              <w:rPr>
                <w:rFonts w:ascii="Arial" w:hAnsi="Arial" w:cs="Arial"/>
                <w:b/>
                <w:sz w:val="22"/>
                <w:szCs w:val="22"/>
              </w:rPr>
            </w:pPr>
            <w:r w:rsidRPr="004C0C4D">
              <w:rPr>
                <w:rFonts w:ascii="Arial" w:hAnsi="Arial" w:cs="Arial"/>
                <w:b/>
                <w:sz w:val="22"/>
                <w:szCs w:val="22"/>
              </w:rPr>
              <w:t>IASPEI</w:t>
            </w:r>
          </w:p>
        </w:tc>
        <w:tc>
          <w:tcPr>
            <w:tcW w:w="6572" w:type="dxa"/>
            <w:shd w:val="clear" w:color="auto" w:fill="auto"/>
            <w:tcMar>
              <w:top w:w="28" w:type="dxa"/>
              <w:bottom w:w="28" w:type="dxa"/>
            </w:tcMar>
          </w:tcPr>
          <w:p w14:paraId="3440673D" w14:textId="33C31661" w:rsidR="0025425B" w:rsidRPr="004C0C4D" w:rsidRDefault="0025425B" w:rsidP="007066D1">
            <w:pPr>
              <w:rPr>
                <w:rFonts w:ascii="Arial" w:hAnsi="Arial" w:cs="Arial"/>
                <w:sz w:val="22"/>
                <w:szCs w:val="22"/>
              </w:rPr>
            </w:pPr>
            <w:r w:rsidRPr="004C0C4D">
              <w:rPr>
                <w:rFonts w:ascii="Arial" w:hAnsi="Arial" w:cs="Arial"/>
                <w:sz w:val="22"/>
                <w:szCs w:val="22"/>
              </w:rPr>
              <w:t>International Association of Seismology and Physics of the Earth’s Interior</w:t>
            </w:r>
          </w:p>
        </w:tc>
      </w:tr>
      <w:tr w:rsidR="00B54559" w:rsidRPr="00CB2078" w14:paraId="24FA5642" w14:textId="77777777" w:rsidTr="007066D1">
        <w:tc>
          <w:tcPr>
            <w:tcW w:w="2498" w:type="dxa"/>
            <w:shd w:val="clear" w:color="auto" w:fill="auto"/>
            <w:tcMar>
              <w:top w:w="28" w:type="dxa"/>
              <w:bottom w:w="28" w:type="dxa"/>
            </w:tcMar>
          </w:tcPr>
          <w:p w14:paraId="60CBBCB7" w14:textId="2D5318E2" w:rsidR="00B54559" w:rsidRPr="00500040" w:rsidRDefault="00B54559" w:rsidP="007066D1">
            <w:pPr>
              <w:rPr>
                <w:rFonts w:ascii="Arial" w:hAnsi="Arial" w:cs="Arial"/>
                <w:b/>
                <w:sz w:val="22"/>
                <w:szCs w:val="22"/>
              </w:rPr>
            </w:pPr>
            <w:r>
              <w:rPr>
                <w:rFonts w:ascii="Arial" w:hAnsi="Arial" w:cs="Arial"/>
                <w:b/>
                <w:sz w:val="22"/>
                <w:szCs w:val="22"/>
              </w:rPr>
              <w:t>IAPSO</w:t>
            </w:r>
          </w:p>
        </w:tc>
        <w:tc>
          <w:tcPr>
            <w:tcW w:w="6572" w:type="dxa"/>
            <w:shd w:val="clear" w:color="auto" w:fill="auto"/>
            <w:tcMar>
              <w:top w:w="28" w:type="dxa"/>
              <w:bottom w:w="28" w:type="dxa"/>
            </w:tcMar>
          </w:tcPr>
          <w:p w14:paraId="0313ADAC" w14:textId="7AE7E5C6" w:rsidR="00B54559" w:rsidRPr="00500040" w:rsidRDefault="00B54559" w:rsidP="007066D1">
            <w:pPr>
              <w:rPr>
                <w:rFonts w:ascii="Arial" w:hAnsi="Arial" w:cs="Arial"/>
                <w:sz w:val="22"/>
                <w:szCs w:val="22"/>
              </w:rPr>
            </w:pPr>
            <w:r w:rsidRPr="00B54559">
              <w:rPr>
                <w:rFonts w:ascii="Arial" w:hAnsi="Arial" w:cs="Arial"/>
                <w:sz w:val="22"/>
                <w:szCs w:val="22"/>
              </w:rPr>
              <w:t>International Association for the Physical Sciences of the Oceans</w:t>
            </w:r>
          </w:p>
        </w:tc>
      </w:tr>
      <w:tr w:rsidR="0025425B" w:rsidRPr="00CB2078" w14:paraId="756A41BF" w14:textId="77777777" w:rsidTr="007066D1">
        <w:tc>
          <w:tcPr>
            <w:tcW w:w="2498" w:type="dxa"/>
            <w:shd w:val="clear" w:color="auto" w:fill="auto"/>
            <w:tcMar>
              <w:top w:w="28" w:type="dxa"/>
              <w:bottom w:w="28" w:type="dxa"/>
            </w:tcMar>
          </w:tcPr>
          <w:p w14:paraId="184FD11F" w14:textId="3C8937A9" w:rsidR="0025425B" w:rsidRPr="00500040" w:rsidRDefault="0025425B" w:rsidP="007066D1">
            <w:pPr>
              <w:rPr>
                <w:rFonts w:ascii="Arial" w:hAnsi="Arial" w:cs="Arial"/>
                <w:b/>
                <w:sz w:val="22"/>
                <w:szCs w:val="22"/>
              </w:rPr>
            </w:pPr>
            <w:r>
              <w:rPr>
                <w:rFonts w:ascii="Arial" w:hAnsi="Arial" w:cs="Arial"/>
                <w:b/>
                <w:sz w:val="22"/>
                <w:szCs w:val="22"/>
              </w:rPr>
              <w:t>IAVCEI</w:t>
            </w:r>
          </w:p>
        </w:tc>
        <w:tc>
          <w:tcPr>
            <w:tcW w:w="6572" w:type="dxa"/>
            <w:shd w:val="clear" w:color="auto" w:fill="auto"/>
            <w:tcMar>
              <w:top w:w="28" w:type="dxa"/>
              <w:bottom w:w="28" w:type="dxa"/>
            </w:tcMar>
          </w:tcPr>
          <w:p w14:paraId="49163E8B" w14:textId="36D9D9F3" w:rsidR="0025425B" w:rsidRPr="00500040" w:rsidRDefault="0025425B" w:rsidP="007066D1">
            <w:pPr>
              <w:rPr>
                <w:rFonts w:ascii="Arial" w:hAnsi="Arial" w:cs="Arial"/>
                <w:sz w:val="22"/>
                <w:szCs w:val="22"/>
              </w:rPr>
            </w:pPr>
            <w:r w:rsidRPr="0025425B">
              <w:rPr>
                <w:rFonts w:ascii="Arial" w:hAnsi="Arial" w:cs="Arial"/>
                <w:sz w:val="22"/>
                <w:szCs w:val="22"/>
              </w:rPr>
              <w:t>International Association of Volcanology and Chemistry of the Earth’s Interior</w:t>
            </w:r>
          </w:p>
        </w:tc>
      </w:tr>
      <w:tr w:rsidR="00A814D3" w:rsidRPr="00CB2078" w14:paraId="16CCC2DE" w14:textId="77777777" w:rsidTr="007066D1">
        <w:tc>
          <w:tcPr>
            <w:tcW w:w="2498" w:type="dxa"/>
            <w:shd w:val="clear" w:color="auto" w:fill="auto"/>
            <w:tcMar>
              <w:top w:w="28" w:type="dxa"/>
              <w:bottom w:w="28" w:type="dxa"/>
            </w:tcMar>
          </w:tcPr>
          <w:p w14:paraId="74BA52AB" w14:textId="77777777" w:rsidR="00A814D3" w:rsidRPr="00500040" w:rsidRDefault="00A814D3" w:rsidP="007066D1">
            <w:pPr>
              <w:rPr>
                <w:rFonts w:ascii="Arial" w:hAnsi="Arial" w:cs="Arial"/>
                <w:b/>
                <w:sz w:val="22"/>
                <w:szCs w:val="22"/>
              </w:rPr>
            </w:pPr>
            <w:r w:rsidRPr="00500040">
              <w:rPr>
                <w:rFonts w:ascii="Arial" w:hAnsi="Arial" w:cs="Arial"/>
                <w:b/>
                <w:sz w:val="22"/>
                <w:szCs w:val="22"/>
              </w:rPr>
              <w:t>ICG</w:t>
            </w:r>
          </w:p>
        </w:tc>
        <w:tc>
          <w:tcPr>
            <w:tcW w:w="6572" w:type="dxa"/>
            <w:shd w:val="clear" w:color="auto" w:fill="auto"/>
            <w:tcMar>
              <w:top w:w="28" w:type="dxa"/>
              <w:bottom w:w="28" w:type="dxa"/>
            </w:tcMar>
          </w:tcPr>
          <w:p w14:paraId="2B026AED" w14:textId="77777777" w:rsidR="00A814D3" w:rsidRPr="00500040" w:rsidRDefault="00A814D3" w:rsidP="007066D1">
            <w:pPr>
              <w:rPr>
                <w:rFonts w:ascii="Arial" w:hAnsi="Arial" w:cs="Arial"/>
                <w:sz w:val="22"/>
                <w:szCs w:val="22"/>
              </w:rPr>
            </w:pPr>
            <w:r w:rsidRPr="00500040">
              <w:rPr>
                <w:rFonts w:ascii="Arial" w:hAnsi="Arial" w:cs="Arial"/>
                <w:sz w:val="22"/>
                <w:szCs w:val="22"/>
              </w:rPr>
              <w:t>Intergovernmental Coordination Group</w:t>
            </w:r>
          </w:p>
        </w:tc>
      </w:tr>
      <w:tr w:rsidR="00A814D3" w:rsidRPr="00CB2078" w14:paraId="2A478C9E" w14:textId="77777777" w:rsidTr="007066D1">
        <w:tc>
          <w:tcPr>
            <w:tcW w:w="2498" w:type="dxa"/>
            <w:shd w:val="clear" w:color="auto" w:fill="auto"/>
            <w:tcMar>
              <w:top w:w="28" w:type="dxa"/>
              <w:bottom w:w="28" w:type="dxa"/>
            </w:tcMar>
          </w:tcPr>
          <w:p w14:paraId="485C7E0A" w14:textId="77777777" w:rsidR="00A814D3" w:rsidRPr="00500040" w:rsidRDefault="00A814D3" w:rsidP="007066D1">
            <w:pPr>
              <w:rPr>
                <w:rFonts w:ascii="Arial" w:hAnsi="Arial" w:cs="Arial"/>
                <w:b/>
                <w:sz w:val="22"/>
                <w:szCs w:val="22"/>
              </w:rPr>
            </w:pPr>
            <w:r w:rsidRPr="00500040">
              <w:rPr>
                <w:rFonts w:ascii="Arial" w:hAnsi="Arial" w:cs="Arial"/>
                <w:b/>
                <w:sz w:val="22"/>
                <w:szCs w:val="22"/>
              </w:rPr>
              <w:t>ICG/CARIBE-EWS</w:t>
            </w:r>
          </w:p>
        </w:tc>
        <w:tc>
          <w:tcPr>
            <w:tcW w:w="6572" w:type="dxa"/>
            <w:shd w:val="clear" w:color="auto" w:fill="auto"/>
            <w:tcMar>
              <w:top w:w="28" w:type="dxa"/>
              <w:bottom w:w="28" w:type="dxa"/>
            </w:tcMar>
          </w:tcPr>
          <w:p w14:paraId="1F5C12BD"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Intergovernmental Coordination Group for the Tsunami and Other Coastal Hazards Warning System for the Caribbean and Adjacent Regions </w:t>
            </w:r>
          </w:p>
        </w:tc>
      </w:tr>
      <w:tr w:rsidR="00A814D3" w:rsidRPr="00CB2078" w14:paraId="6804AAC0" w14:textId="77777777" w:rsidTr="007066D1">
        <w:tc>
          <w:tcPr>
            <w:tcW w:w="2498" w:type="dxa"/>
            <w:shd w:val="clear" w:color="auto" w:fill="auto"/>
            <w:tcMar>
              <w:top w:w="28" w:type="dxa"/>
              <w:bottom w:w="28" w:type="dxa"/>
            </w:tcMar>
          </w:tcPr>
          <w:p w14:paraId="15EA4678" w14:textId="77777777" w:rsidR="00A814D3" w:rsidRPr="00500040" w:rsidRDefault="00A814D3" w:rsidP="007066D1">
            <w:pPr>
              <w:rPr>
                <w:rFonts w:ascii="Arial" w:hAnsi="Arial" w:cs="Arial"/>
                <w:b/>
                <w:sz w:val="22"/>
                <w:szCs w:val="22"/>
              </w:rPr>
            </w:pPr>
            <w:r w:rsidRPr="00500040">
              <w:rPr>
                <w:rFonts w:ascii="Arial" w:hAnsi="Arial" w:cs="Arial"/>
                <w:b/>
                <w:sz w:val="22"/>
                <w:szCs w:val="22"/>
              </w:rPr>
              <w:t>ICG/IOTWMS</w:t>
            </w:r>
          </w:p>
        </w:tc>
        <w:tc>
          <w:tcPr>
            <w:tcW w:w="6572" w:type="dxa"/>
            <w:shd w:val="clear" w:color="auto" w:fill="auto"/>
            <w:tcMar>
              <w:top w:w="28" w:type="dxa"/>
              <w:bottom w:w="28" w:type="dxa"/>
            </w:tcMar>
          </w:tcPr>
          <w:p w14:paraId="579E1E7E" w14:textId="77777777" w:rsidR="00A814D3" w:rsidRPr="00500040" w:rsidRDefault="00A814D3" w:rsidP="007066D1">
            <w:pPr>
              <w:rPr>
                <w:rFonts w:ascii="Arial" w:hAnsi="Arial" w:cs="Arial"/>
                <w:sz w:val="22"/>
                <w:szCs w:val="22"/>
              </w:rPr>
            </w:pPr>
            <w:r w:rsidRPr="00500040">
              <w:rPr>
                <w:rFonts w:ascii="Arial" w:hAnsi="Arial" w:cs="Arial"/>
                <w:sz w:val="22"/>
                <w:szCs w:val="22"/>
              </w:rPr>
              <w:t>Intergovernmental Coordination Group for the Indian Ocean Tsunami Warning and Mitigation System</w:t>
            </w:r>
          </w:p>
        </w:tc>
      </w:tr>
      <w:tr w:rsidR="00A814D3" w:rsidRPr="00CB2078" w14:paraId="1F4C4468" w14:textId="77777777" w:rsidTr="007066D1">
        <w:tc>
          <w:tcPr>
            <w:tcW w:w="2498" w:type="dxa"/>
            <w:shd w:val="clear" w:color="auto" w:fill="auto"/>
            <w:tcMar>
              <w:top w:w="28" w:type="dxa"/>
              <w:bottom w:w="28" w:type="dxa"/>
            </w:tcMar>
          </w:tcPr>
          <w:p w14:paraId="161785EF" w14:textId="77777777" w:rsidR="00A814D3" w:rsidRPr="00500040" w:rsidRDefault="00A814D3" w:rsidP="007066D1">
            <w:pPr>
              <w:rPr>
                <w:rFonts w:ascii="Arial" w:hAnsi="Arial" w:cs="Arial"/>
                <w:b/>
                <w:sz w:val="22"/>
                <w:szCs w:val="22"/>
              </w:rPr>
            </w:pPr>
            <w:r w:rsidRPr="00500040">
              <w:rPr>
                <w:rFonts w:ascii="Arial" w:hAnsi="Arial" w:cs="Arial"/>
                <w:b/>
                <w:sz w:val="22"/>
                <w:szCs w:val="22"/>
              </w:rPr>
              <w:t>ICG/NEAMTWS</w:t>
            </w:r>
          </w:p>
        </w:tc>
        <w:tc>
          <w:tcPr>
            <w:tcW w:w="6572" w:type="dxa"/>
            <w:shd w:val="clear" w:color="auto" w:fill="auto"/>
            <w:tcMar>
              <w:top w:w="28" w:type="dxa"/>
              <w:bottom w:w="28" w:type="dxa"/>
            </w:tcMar>
          </w:tcPr>
          <w:p w14:paraId="1F79D0CE"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Intergovernmental Coordination Group for the Tsunami Early Warning and Mitigation System in the North-eastern Atlantic, </w:t>
            </w:r>
            <w:r w:rsidRPr="00500040">
              <w:rPr>
                <w:rFonts w:ascii="Arial" w:hAnsi="Arial" w:cs="Arial"/>
                <w:sz w:val="22"/>
                <w:szCs w:val="22"/>
              </w:rPr>
              <w:br/>
              <w:t>the Mediterranean and Connected Seas</w:t>
            </w:r>
          </w:p>
        </w:tc>
      </w:tr>
      <w:tr w:rsidR="00A814D3" w:rsidRPr="00CB2078" w14:paraId="520AF36C" w14:textId="77777777" w:rsidTr="007066D1">
        <w:tc>
          <w:tcPr>
            <w:tcW w:w="2498" w:type="dxa"/>
            <w:shd w:val="clear" w:color="auto" w:fill="auto"/>
            <w:tcMar>
              <w:top w:w="28" w:type="dxa"/>
              <w:bottom w:w="28" w:type="dxa"/>
            </w:tcMar>
          </w:tcPr>
          <w:p w14:paraId="4BE90DE4" w14:textId="77777777" w:rsidR="00A814D3" w:rsidRPr="00500040" w:rsidRDefault="00A814D3" w:rsidP="007066D1">
            <w:pPr>
              <w:rPr>
                <w:rFonts w:ascii="Arial" w:hAnsi="Arial" w:cs="Arial"/>
                <w:b/>
                <w:sz w:val="22"/>
                <w:szCs w:val="22"/>
              </w:rPr>
            </w:pPr>
            <w:r w:rsidRPr="00500040">
              <w:rPr>
                <w:rFonts w:ascii="Arial" w:hAnsi="Arial" w:cs="Arial"/>
                <w:b/>
                <w:sz w:val="22"/>
                <w:szCs w:val="22"/>
              </w:rPr>
              <w:t>ICG/PTWS</w:t>
            </w:r>
          </w:p>
        </w:tc>
        <w:tc>
          <w:tcPr>
            <w:tcW w:w="6572" w:type="dxa"/>
            <w:shd w:val="clear" w:color="auto" w:fill="auto"/>
            <w:tcMar>
              <w:top w:w="28" w:type="dxa"/>
              <w:bottom w:w="28" w:type="dxa"/>
            </w:tcMar>
          </w:tcPr>
          <w:p w14:paraId="46C6C1F0" w14:textId="77777777" w:rsidR="00A814D3" w:rsidRPr="00500040" w:rsidRDefault="00A814D3" w:rsidP="007066D1">
            <w:pPr>
              <w:rPr>
                <w:rFonts w:ascii="Arial" w:hAnsi="Arial" w:cs="Arial"/>
                <w:sz w:val="22"/>
                <w:szCs w:val="22"/>
              </w:rPr>
            </w:pPr>
            <w:r w:rsidRPr="00500040">
              <w:rPr>
                <w:rFonts w:ascii="Arial" w:hAnsi="Arial" w:cs="Arial"/>
                <w:sz w:val="22"/>
                <w:szCs w:val="22"/>
              </w:rPr>
              <w:t>Intergovernmental Coordination Group for the Pacific Tsunami Warning and Mitigation System</w:t>
            </w:r>
          </w:p>
        </w:tc>
      </w:tr>
      <w:tr w:rsidR="00B54559" w:rsidRPr="00B54559" w14:paraId="23D37160" w14:textId="77777777" w:rsidTr="007066D1">
        <w:tc>
          <w:tcPr>
            <w:tcW w:w="2498" w:type="dxa"/>
            <w:shd w:val="clear" w:color="auto" w:fill="auto"/>
            <w:tcMar>
              <w:top w:w="28" w:type="dxa"/>
              <w:bottom w:w="28" w:type="dxa"/>
            </w:tcMar>
          </w:tcPr>
          <w:p w14:paraId="37AE4409" w14:textId="08AEC8E7" w:rsidR="00B54559" w:rsidRDefault="00B54559" w:rsidP="007066D1">
            <w:pPr>
              <w:rPr>
                <w:rFonts w:ascii="Arial" w:hAnsi="Arial" w:cs="Arial"/>
                <w:b/>
                <w:sz w:val="22"/>
                <w:szCs w:val="22"/>
              </w:rPr>
            </w:pPr>
            <w:r>
              <w:rPr>
                <w:rFonts w:ascii="Arial" w:hAnsi="Arial" w:cs="Arial"/>
                <w:b/>
                <w:sz w:val="22"/>
                <w:szCs w:val="22"/>
              </w:rPr>
              <w:t>IFRC</w:t>
            </w:r>
          </w:p>
        </w:tc>
        <w:tc>
          <w:tcPr>
            <w:tcW w:w="6572" w:type="dxa"/>
            <w:shd w:val="clear" w:color="auto" w:fill="auto"/>
            <w:tcMar>
              <w:top w:w="28" w:type="dxa"/>
              <w:bottom w:w="28" w:type="dxa"/>
            </w:tcMar>
          </w:tcPr>
          <w:p w14:paraId="3374D31B" w14:textId="05C02EEC" w:rsidR="00B54559" w:rsidRPr="00F3040E" w:rsidRDefault="00B54559" w:rsidP="007066D1">
            <w:pPr>
              <w:rPr>
                <w:rFonts w:ascii="Arial" w:hAnsi="Arial" w:cs="Arial"/>
                <w:sz w:val="22"/>
                <w:szCs w:val="22"/>
                <w:lang w:val="en-US"/>
              </w:rPr>
            </w:pPr>
            <w:r w:rsidRPr="00F3040E">
              <w:rPr>
                <w:rFonts w:ascii="Arial" w:hAnsi="Arial" w:cs="Arial"/>
                <w:sz w:val="22"/>
                <w:szCs w:val="22"/>
                <w:lang w:val="en-US"/>
              </w:rPr>
              <w:t>International Federation of Red Cross and Red Crescent Societies</w:t>
            </w:r>
          </w:p>
        </w:tc>
      </w:tr>
      <w:tr w:rsidR="0025425B" w:rsidRPr="007E2D80" w14:paraId="368AE3B9" w14:textId="77777777" w:rsidTr="007066D1">
        <w:tc>
          <w:tcPr>
            <w:tcW w:w="2498" w:type="dxa"/>
            <w:shd w:val="clear" w:color="auto" w:fill="auto"/>
            <w:tcMar>
              <w:top w:w="28" w:type="dxa"/>
              <w:bottom w:w="28" w:type="dxa"/>
            </w:tcMar>
          </w:tcPr>
          <w:p w14:paraId="199DFBD9" w14:textId="4D4221A6" w:rsidR="0025425B" w:rsidRDefault="0025425B" w:rsidP="007066D1">
            <w:pPr>
              <w:rPr>
                <w:rFonts w:ascii="Arial" w:hAnsi="Arial" w:cs="Arial"/>
                <w:b/>
                <w:sz w:val="22"/>
                <w:szCs w:val="22"/>
              </w:rPr>
            </w:pPr>
            <w:r>
              <w:rPr>
                <w:rFonts w:ascii="Arial" w:hAnsi="Arial" w:cs="Arial"/>
                <w:b/>
                <w:sz w:val="22"/>
                <w:szCs w:val="22"/>
              </w:rPr>
              <w:t>IHO</w:t>
            </w:r>
          </w:p>
        </w:tc>
        <w:tc>
          <w:tcPr>
            <w:tcW w:w="6572" w:type="dxa"/>
            <w:shd w:val="clear" w:color="auto" w:fill="auto"/>
            <w:tcMar>
              <w:top w:w="28" w:type="dxa"/>
              <w:bottom w:w="28" w:type="dxa"/>
            </w:tcMar>
          </w:tcPr>
          <w:p w14:paraId="5CD3705F" w14:textId="10857409" w:rsidR="0025425B" w:rsidRPr="001C67AB" w:rsidRDefault="0025425B" w:rsidP="007066D1">
            <w:pPr>
              <w:rPr>
                <w:rFonts w:ascii="Arial" w:hAnsi="Arial" w:cs="Arial"/>
                <w:sz w:val="22"/>
                <w:szCs w:val="22"/>
                <w:lang w:val="pt-PT"/>
              </w:rPr>
            </w:pPr>
            <w:r>
              <w:rPr>
                <w:rFonts w:ascii="Arial" w:hAnsi="Arial" w:cs="Arial"/>
                <w:sz w:val="22"/>
                <w:szCs w:val="22"/>
                <w:lang w:val="pt-PT"/>
              </w:rPr>
              <w:t>International Hydrological Organization</w:t>
            </w:r>
          </w:p>
        </w:tc>
      </w:tr>
      <w:tr w:rsidR="001C67AB" w:rsidRPr="007E2D80" w14:paraId="5B515E42" w14:textId="77777777" w:rsidTr="007066D1">
        <w:tc>
          <w:tcPr>
            <w:tcW w:w="2498" w:type="dxa"/>
            <w:shd w:val="clear" w:color="auto" w:fill="auto"/>
            <w:tcMar>
              <w:top w:w="28" w:type="dxa"/>
              <w:bottom w:w="28" w:type="dxa"/>
            </w:tcMar>
          </w:tcPr>
          <w:p w14:paraId="6FDD40CC" w14:textId="00466781" w:rsidR="001C67AB" w:rsidRPr="00500040" w:rsidRDefault="001C67AB" w:rsidP="007066D1">
            <w:pPr>
              <w:rPr>
                <w:rFonts w:ascii="Arial" w:hAnsi="Arial" w:cs="Arial"/>
                <w:b/>
                <w:sz w:val="22"/>
                <w:szCs w:val="22"/>
              </w:rPr>
            </w:pPr>
            <w:r>
              <w:rPr>
                <w:rFonts w:ascii="Arial" w:hAnsi="Arial" w:cs="Arial"/>
                <w:b/>
                <w:sz w:val="22"/>
                <w:szCs w:val="22"/>
              </w:rPr>
              <w:t>INCOIS</w:t>
            </w:r>
          </w:p>
        </w:tc>
        <w:tc>
          <w:tcPr>
            <w:tcW w:w="6572" w:type="dxa"/>
            <w:shd w:val="clear" w:color="auto" w:fill="auto"/>
            <w:tcMar>
              <w:top w:w="28" w:type="dxa"/>
              <w:bottom w:w="28" w:type="dxa"/>
            </w:tcMar>
          </w:tcPr>
          <w:p w14:paraId="160BBCA9" w14:textId="0F9CF2A9" w:rsidR="001C67AB" w:rsidRPr="00500040" w:rsidRDefault="001C67AB" w:rsidP="007066D1">
            <w:pPr>
              <w:rPr>
                <w:rFonts w:ascii="Arial" w:hAnsi="Arial" w:cs="Arial"/>
                <w:sz w:val="22"/>
                <w:szCs w:val="22"/>
                <w:lang w:val="pt-PT"/>
              </w:rPr>
            </w:pPr>
            <w:r w:rsidRPr="001C67AB">
              <w:rPr>
                <w:rFonts w:ascii="Arial" w:hAnsi="Arial" w:cs="Arial"/>
                <w:sz w:val="22"/>
                <w:szCs w:val="22"/>
                <w:lang w:val="pt-PT"/>
              </w:rPr>
              <w:t>Indian National Centre for Ocean Information Services</w:t>
            </w:r>
          </w:p>
        </w:tc>
      </w:tr>
      <w:tr w:rsidR="00B54559" w:rsidRPr="007E2D80" w14:paraId="7A4E43F5" w14:textId="77777777" w:rsidTr="007066D1">
        <w:tc>
          <w:tcPr>
            <w:tcW w:w="2498" w:type="dxa"/>
            <w:shd w:val="clear" w:color="auto" w:fill="auto"/>
            <w:tcMar>
              <w:top w:w="28" w:type="dxa"/>
              <w:bottom w:w="28" w:type="dxa"/>
            </w:tcMar>
          </w:tcPr>
          <w:p w14:paraId="4AE07DEE" w14:textId="5F0D398A" w:rsidR="00B54559" w:rsidRPr="00500040" w:rsidRDefault="00B54559" w:rsidP="007066D1">
            <w:pPr>
              <w:rPr>
                <w:rFonts w:ascii="Arial" w:hAnsi="Arial" w:cs="Arial"/>
                <w:b/>
                <w:sz w:val="22"/>
                <w:szCs w:val="22"/>
              </w:rPr>
            </w:pPr>
            <w:r>
              <w:rPr>
                <w:rFonts w:ascii="Arial" w:hAnsi="Arial" w:cs="Arial"/>
                <w:b/>
                <w:sz w:val="22"/>
                <w:szCs w:val="22"/>
              </w:rPr>
              <w:t>INFCOM</w:t>
            </w:r>
          </w:p>
        </w:tc>
        <w:tc>
          <w:tcPr>
            <w:tcW w:w="6572" w:type="dxa"/>
            <w:shd w:val="clear" w:color="auto" w:fill="auto"/>
            <w:tcMar>
              <w:top w:w="28" w:type="dxa"/>
              <w:bottom w:w="28" w:type="dxa"/>
            </w:tcMar>
          </w:tcPr>
          <w:p w14:paraId="214BF6F8" w14:textId="1A33ACCF" w:rsidR="00B54559" w:rsidRPr="00500040" w:rsidRDefault="00B54559" w:rsidP="007066D1">
            <w:pPr>
              <w:rPr>
                <w:rFonts w:ascii="Arial" w:hAnsi="Arial" w:cs="Arial"/>
                <w:sz w:val="22"/>
                <w:szCs w:val="22"/>
                <w:lang w:val="pt-PT"/>
              </w:rPr>
            </w:pPr>
            <w:r w:rsidRPr="00B54559">
              <w:rPr>
                <w:rFonts w:ascii="Arial" w:hAnsi="Arial" w:cs="Arial"/>
                <w:sz w:val="22"/>
                <w:szCs w:val="22"/>
                <w:lang w:val="pt-PT"/>
              </w:rPr>
              <w:t>WMO Infrastructure Commission</w:t>
            </w:r>
          </w:p>
        </w:tc>
      </w:tr>
      <w:tr w:rsidR="00A814D3" w:rsidRPr="009F077A" w14:paraId="6B94E855" w14:textId="77777777" w:rsidTr="007066D1">
        <w:tc>
          <w:tcPr>
            <w:tcW w:w="2498" w:type="dxa"/>
            <w:shd w:val="clear" w:color="auto" w:fill="auto"/>
            <w:tcMar>
              <w:top w:w="28" w:type="dxa"/>
              <w:bottom w:w="28" w:type="dxa"/>
            </w:tcMar>
          </w:tcPr>
          <w:p w14:paraId="09294AE8" w14:textId="77777777" w:rsidR="00A814D3" w:rsidRPr="00500040" w:rsidRDefault="00A814D3" w:rsidP="007066D1">
            <w:pPr>
              <w:rPr>
                <w:rFonts w:ascii="Arial" w:hAnsi="Arial" w:cs="Arial"/>
                <w:b/>
                <w:sz w:val="22"/>
                <w:szCs w:val="22"/>
              </w:rPr>
            </w:pPr>
            <w:r w:rsidRPr="00500040">
              <w:rPr>
                <w:rFonts w:ascii="Arial" w:hAnsi="Arial" w:cs="Arial"/>
                <w:b/>
                <w:sz w:val="22"/>
                <w:szCs w:val="22"/>
              </w:rPr>
              <w:t>INGV</w:t>
            </w:r>
          </w:p>
        </w:tc>
        <w:tc>
          <w:tcPr>
            <w:tcW w:w="6572" w:type="dxa"/>
            <w:shd w:val="clear" w:color="auto" w:fill="auto"/>
            <w:tcMar>
              <w:top w:w="28" w:type="dxa"/>
              <w:bottom w:w="28" w:type="dxa"/>
            </w:tcMar>
          </w:tcPr>
          <w:p w14:paraId="102B6380" w14:textId="77777777" w:rsidR="00A814D3" w:rsidRPr="00500040" w:rsidRDefault="00A814D3" w:rsidP="007066D1">
            <w:pPr>
              <w:rPr>
                <w:rFonts w:ascii="Arial" w:hAnsi="Arial" w:cs="Arial"/>
                <w:sz w:val="22"/>
                <w:szCs w:val="22"/>
                <w:lang w:val="pt-PT"/>
              </w:rPr>
            </w:pPr>
            <w:r w:rsidRPr="00500040">
              <w:rPr>
                <w:rFonts w:ascii="Arial" w:hAnsi="Arial" w:cs="Arial"/>
                <w:sz w:val="22"/>
                <w:szCs w:val="22"/>
                <w:lang w:val="pt-PT"/>
              </w:rPr>
              <w:t>Istituto Nazionale di Geofisica e Vulcanologia (Italy)</w:t>
            </w:r>
          </w:p>
        </w:tc>
      </w:tr>
      <w:tr w:rsidR="00B54559" w:rsidRPr="009F077A" w14:paraId="3BD05884" w14:textId="77777777" w:rsidTr="007066D1">
        <w:tc>
          <w:tcPr>
            <w:tcW w:w="2498" w:type="dxa"/>
            <w:shd w:val="clear" w:color="auto" w:fill="auto"/>
            <w:tcMar>
              <w:top w:w="28" w:type="dxa"/>
              <w:bottom w:w="28" w:type="dxa"/>
            </w:tcMar>
          </w:tcPr>
          <w:p w14:paraId="75F5C325" w14:textId="53CB0B0D" w:rsidR="00B54559" w:rsidRPr="00500040" w:rsidRDefault="00B54559" w:rsidP="007066D1">
            <w:pPr>
              <w:rPr>
                <w:rFonts w:ascii="Arial" w:hAnsi="Arial" w:cs="Arial"/>
                <w:b/>
                <w:sz w:val="22"/>
                <w:szCs w:val="22"/>
              </w:rPr>
            </w:pPr>
            <w:r>
              <w:rPr>
                <w:rFonts w:ascii="Arial" w:hAnsi="Arial" w:cs="Arial"/>
                <w:b/>
                <w:sz w:val="22"/>
                <w:szCs w:val="22"/>
              </w:rPr>
              <w:lastRenderedPageBreak/>
              <w:t>INOCAR</w:t>
            </w:r>
          </w:p>
        </w:tc>
        <w:tc>
          <w:tcPr>
            <w:tcW w:w="6572" w:type="dxa"/>
            <w:shd w:val="clear" w:color="auto" w:fill="auto"/>
            <w:tcMar>
              <w:top w:w="28" w:type="dxa"/>
              <w:bottom w:w="28" w:type="dxa"/>
            </w:tcMar>
          </w:tcPr>
          <w:p w14:paraId="704C57C7" w14:textId="3012F372" w:rsidR="00B54559" w:rsidRPr="00B54559" w:rsidRDefault="00B54559" w:rsidP="007066D1">
            <w:pPr>
              <w:rPr>
                <w:rFonts w:ascii="Arial" w:hAnsi="Arial" w:cs="Arial"/>
                <w:sz w:val="22"/>
                <w:szCs w:val="22"/>
                <w:lang w:val="es-ES"/>
              </w:rPr>
            </w:pPr>
            <w:r w:rsidRPr="00B54559">
              <w:rPr>
                <w:rFonts w:ascii="Arial" w:hAnsi="Arial" w:cs="Arial"/>
                <w:sz w:val="22"/>
                <w:szCs w:val="22"/>
                <w:lang w:val="es-ES"/>
              </w:rPr>
              <w:t>Instituto Oceanografico de la Armada</w:t>
            </w:r>
            <w:r>
              <w:rPr>
                <w:rFonts w:ascii="Arial" w:hAnsi="Arial" w:cs="Arial"/>
                <w:sz w:val="22"/>
                <w:szCs w:val="22"/>
                <w:lang w:val="es-ES"/>
              </w:rPr>
              <w:t xml:space="preserve"> (of Ecuador)</w:t>
            </w:r>
          </w:p>
        </w:tc>
      </w:tr>
      <w:tr w:rsidR="00A814D3" w:rsidRPr="00CB2078" w14:paraId="6BC5E1EB" w14:textId="77777777" w:rsidTr="007066D1">
        <w:tc>
          <w:tcPr>
            <w:tcW w:w="2498" w:type="dxa"/>
            <w:shd w:val="clear" w:color="auto" w:fill="auto"/>
            <w:tcMar>
              <w:top w:w="28" w:type="dxa"/>
              <w:bottom w:w="28" w:type="dxa"/>
            </w:tcMar>
          </w:tcPr>
          <w:p w14:paraId="4AA205FB" w14:textId="77777777" w:rsidR="00A814D3" w:rsidRPr="00500040" w:rsidRDefault="00A814D3" w:rsidP="007066D1">
            <w:pPr>
              <w:rPr>
                <w:rFonts w:ascii="Arial" w:hAnsi="Arial" w:cs="Arial"/>
                <w:b/>
                <w:sz w:val="22"/>
                <w:szCs w:val="22"/>
              </w:rPr>
            </w:pPr>
            <w:r w:rsidRPr="00500040">
              <w:rPr>
                <w:rFonts w:ascii="Arial" w:hAnsi="Arial" w:cs="Arial"/>
                <w:b/>
                <w:sz w:val="22"/>
                <w:szCs w:val="22"/>
              </w:rPr>
              <w:t>IOC</w:t>
            </w:r>
          </w:p>
        </w:tc>
        <w:tc>
          <w:tcPr>
            <w:tcW w:w="6572" w:type="dxa"/>
            <w:shd w:val="clear" w:color="auto" w:fill="auto"/>
            <w:tcMar>
              <w:top w:w="28" w:type="dxa"/>
              <w:bottom w:w="28" w:type="dxa"/>
            </w:tcMar>
          </w:tcPr>
          <w:p w14:paraId="44CC46D3" w14:textId="77777777" w:rsidR="00A814D3" w:rsidRPr="00500040" w:rsidRDefault="00A814D3" w:rsidP="007066D1">
            <w:pPr>
              <w:rPr>
                <w:rFonts w:ascii="Arial" w:hAnsi="Arial" w:cs="Arial"/>
                <w:sz w:val="22"/>
                <w:szCs w:val="22"/>
              </w:rPr>
            </w:pPr>
            <w:r w:rsidRPr="00500040">
              <w:rPr>
                <w:rFonts w:ascii="Arial" w:hAnsi="Arial" w:cs="Arial"/>
                <w:sz w:val="22"/>
                <w:szCs w:val="22"/>
              </w:rPr>
              <w:t>Intergovernmental Oceanographic Commission</w:t>
            </w:r>
          </w:p>
        </w:tc>
      </w:tr>
      <w:tr w:rsidR="00A814D3" w:rsidRPr="00A108F6" w14:paraId="25CAEF91" w14:textId="77777777" w:rsidTr="007066D1">
        <w:tc>
          <w:tcPr>
            <w:tcW w:w="2498" w:type="dxa"/>
            <w:shd w:val="clear" w:color="auto" w:fill="auto"/>
            <w:tcMar>
              <w:top w:w="28" w:type="dxa"/>
              <w:bottom w:w="28" w:type="dxa"/>
            </w:tcMar>
          </w:tcPr>
          <w:p w14:paraId="2178E956" w14:textId="77777777" w:rsidR="00A814D3" w:rsidRPr="00500040" w:rsidRDefault="00A814D3" w:rsidP="007066D1">
            <w:pPr>
              <w:rPr>
                <w:rFonts w:ascii="Arial" w:hAnsi="Arial" w:cs="Arial"/>
                <w:b/>
                <w:sz w:val="22"/>
                <w:szCs w:val="22"/>
              </w:rPr>
            </w:pPr>
            <w:r w:rsidRPr="00500040">
              <w:rPr>
                <w:rFonts w:ascii="Arial" w:hAnsi="Arial" w:cs="Arial"/>
                <w:b/>
                <w:sz w:val="22"/>
                <w:szCs w:val="22"/>
              </w:rPr>
              <w:t>IODE</w:t>
            </w:r>
          </w:p>
        </w:tc>
        <w:tc>
          <w:tcPr>
            <w:tcW w:w="6572" w:type="dxa"/>
            <w:shd w:val="clear" w:color="auto" w:fill="auto"/>
            <w:tcMar>
              <w:top w:w="28" w:type="dxa"/>
              <w:bottom w:w="28" w:type="dxa"/>
            </w:tcMar>
          </w:tcPr>
          <w:p w14:paraId="369C508D" w14:textId="77777777" w:rsidR="00A814D3" w:rsidRPr="00500040" w:rsidRDefault="00A814D3" w:rsidP="007066D1">
            <w:pPr>
              <w:rPr>
                <w:rFonts w:ascii="Arial" w:hAnsi="Arial" w:cs="Arial"/>
                <w:sz w:val="22"/>
                <w:szCs w:val="22"/>
              </w:rPr>
            </w:pPr>
            <w:r w:rsidRPr="00500040">
              <w:rPr>
                <w:rFonts w:ascii="Arial" w:hAnsi="Arial" w:cs="Arial"/>
                <w:sz w:val="22"/>
                <w:szCs w:val="22"/>
              </w:rPr>
              <w:t>International Oceanographic Data and Information Exchange</w:t>
            </w:r>
          </w:p>
        </w:tc>
      </w:tr>
      <w:tr w:rsidR="00A814D3" w:rsidRPr="00A108F6" w14:paraId="5791F8A5" w14:textId="77777777" w:rsidTr="007066D1">
        <w:tc>
          <w:tcPr>
            <w:tcW w:w="2498" w:type="dxa"/>
            <w:shd w:val="clear" w:color="auto" w:fill="auto"/>
            <w:tcMar>
              <w:top w:w="28" w:type="dxa"/>
              <w:bottom w:w="28" w:type="dxa"/>
            </w:tcMar>
          </w:tcPr>
          <w:p w14:paraId="755545F2" w14:textId="77777777" w:rsidR="00A814D3" w:rsidRPr="00500040" w:rsidRDefault="00A814D3" w:rsidP="007066D1">
            <w:pPr>
              <w:rPr>
                <w:rFonts w:ascii="Arial" w:hAnsi="Arial" w:cs="Arial"/>
                <w:b/>
                <w:sz w:val="22"/>
                <w:szCs w:val="22"/>
              </w:rPr>
            </w:pPr>
            <w:r w:rsidRPr="00500040">
              <w:rPr>
                <w:rFonts w:ascii="Arial" w:hAnsi="Arial" w:cs="Arial"/>
                <w:b/>
                <w:sz w:val="22"/>
                <w:szCs w:val="22"/>
              </w:rPr>
              <w:t>IOTIC</w:t>
            </w:r>
          </w:p>
        </w:tc>
        <w:tc>
          <w:tcPr>
            <w:tcW w:w="6572" w:type="dxa"/>
            <w:shd w:val="clear" w:color="auto" w:fill="auto"/>
            <w:tcMar>
              <w:top w:w="28" w:type="dxa"/>
              <w:bottom w:w="28" w:type="dxa"/>
            </w:tcMar>
          </w:tcPr>
          <w:p w14:paraId="63693E90"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Indian Ocean Tsunami Information Centre </w:t>
            </w:r>
          </w:p>
        </w:tc>
      </w:tr>
      <w:tr w:rsidR="00A814D3" w:rsidRPr="00CB2078" w14:paraId="68CD4487" w14:textId="77777777" w:rsidTr="007066D1">
        <w:tc>
          <w:tcPr>
            <w:tcW w:w="2498" w:type="dxa"/>
            <w:shd w:val="clear" w:color="auto" w:fill="auto"/>
            <w:tcMar>
              <w:top w:w="28" w:type="dxa"/>
              <w:bottom w:w="28" w:type="dxa"/>
            </w:tcMar>
          </w:tcPr>
          <w:p w14:paraId="15FCC615" w14:textId="77777777" w:rsidR="00A814D3" w:rsidRPr="00500040" w:rsidRDefault="00A814D3" w:rsidP="007066D1">
            <w:pPr>
              <w:rPr>
                <w:rFonts w:ascii="Arial" w:hAnsi="Arial" w:cs="Arial"/>
                <w:b/>
                <w:sz w:val="22"/>
                <w:szCs w:val="22"/>
              </w:rPr>
            </w:pPr>
            <w:r w:rsidRPr="00500040">
              <w:rPr>
                <w:rFonts w:ascii="Arial" w:hAnsi="Arial" w:cs="Arial"/>
                <w:b/>
                <w:sz w:val="22"/>
                <w:szCs w:val="22"/>
              </w:rPr>
              <w:t>IOTWMS</w:t>
            </w:r>
          </w:p>
        </w:tc>
        <w:tc>
          <w:tcPr>
            <w:tcW w:w="6572" w:type="dxa"/>
            <w:shd w:val="clear" w:color="auto" w:fill="auto"/>
            <w:tcMar>
              <w:top w:w="28" w:type="dxa"/>
              <w:bottom w:w="28" w:type="dxa"/>
            </w:tcMar>
          </w:tcPr>
          <w:p w14:paraId="1D47DBF0" w14:textId="77777777" w:rsidR="00A814D3" w:rsidRPr="00500040" w:rsidRDefault="00A814D3" w:rsidP="007066D1">
            <w:pPr>
              <w:rPr>
                <w:rFonts w:ascii="Arial" w:hAnsi="Arial" w:cs="Arial"/>
                <w:sz w:val="22"/>
                <w:szCs w:val="22"/>
                <w:lang w:val="en-US"/>
              </w:rPr>
            </w:pPr>
            <w:r w:rsidRPr="00500040">
              <w:rPr>
                <w:rFonts w:ascii="Arial" w:hAnsi="Arial" w:cs="Arial"/>
                <w:sz w:val="22"/>
                <w:szCs w:val="22"/>
              </w:rPr>
              <w:t>Indian Ocean Tsunami Warning and Mitigation System</w:t>
            </w:r>
          </w:p>
        </w:tc>
      </w:tr>
      <w:tr w:rsidR="00A814D3" w:rsidRPr="00CB2078" w14:paraId="14939953" w14:textId="77777777" w:rsidTr="007066D1">
        <w:tc>
          <w:tcPr>
            <w:tcW w:w="2498" w:type="dxa"/>
            <w:shd w:val="clear" w:color="auto" w:fill="auto"/>
            <w:tcMar>
              <w:top w:w="28" w:type="dxa"/>
              <w:bottom w:w="28" w:type="dxa"/>
            </w:tcMar>
          </w:tcPr>
          <w:p w14:paraId="25CACDAE" w14:textId="77777777" w:rsidR="00A814D3" w:rsidRPr="00500040" w:rsidRDefault="00A814D3" w:rsidP="007066D1">
            <w:pPr>
              <w:rPr>
                <w:rFonts w:ascii="Arial" w:hAnsi="Arial" w:cs="Arial"/>
                <w:b/>
                <w:sz w:val="22"/>
                <w:szCs w:val="22"/>
              </w:rPr>
            </w:pPr>
            <w:proofErr w:type="spellStart"/>
            <w:r w:rsidRPr="00500040">
              <w:rPr>
                <w:rFonts w:ascii="Arial" w:hAnsi="Arial" w:cs="Arial"/>
                <w:b/>
                <w:sz w:val="22"/>
                <w:szCs w:val="22"/>
              </w:rPr>
              <w:t>IOWave</w:t>
            </w:r>
            <w:proofErr w:type="spellEnd"/>
          </w:p>
        </w:tc>
        <w:tc>
          <w:tcPr>
            <w:tcW w:w="6572" w:type="dxa"/>
            <w:shd w:val="clear" w:color="auto" w:fill="auto"/>
            <w:tcMar>
              <w:top w:w="28" w:type="dxa"/>
              <w:bottom w:w="28" w:type="dxa"/>
            </w:tcMar>
          </w:tcPr>
          <w:p w14:paraId="70414F7E" w14:textId="77777777" w:rsidR="00A814D3" w:rsidRPr="00500040" w:rsidRDefault="00A814D3" w:rsidP="007066D1">
            <w:pPr>
              <w:rPr>
                <w:rFonts w:ascii="Arial" w:hAnsi="Arial" w:cs="Arial"/>
                <w:sz w:val="22"/>
                <w:szCs w:val="22"/>
                <w:lang w:val="pt-PT"/>
              </w:rPr>
            </w:pPr>
            <w:r w:rsidRPr="00500040">
              <w:rPr>
                <w:rFonts w:ascii="Arial" w:hAnsi="Arial" w:cs="Arial"/>
                <w:sz w:val="22"/>
                <w:szCs w:val="22"/>
                <w:lang w:val="pt-PT"/>
              </w:rPr>
              <w:t>Indian Ocean Wave Exercise</w:t>
            </w:r>
          </w:p>
        </w:tc>
      </w:tr>
      <w:tr w:rsidR="00B54559" w:rsidRPr="00CB2078" w14:paraId="753D64C7" w14:textId="77777777" w:rsidTr="007066D1">
        <w:tc>
          <w:tcPr>
            <w:tcW w:w="2498" w:type="dxa"/>
            <w:shd w:val="clear" w:color="auto" w:fill="auto"/>
            <w:tcMar>
              <w:top w:w="28" w:type="dxa"/>
              <w:bottom w:w="28" w:type="dxa"/>
            </w:tcMar>
          </w:tcPr>
          <w:p w14:paraId="4AB65940" w14:textId="476071B8" w:rsidR="00B54559" w:rsidRPr="00500040" w:rsidRDefault="00B54559" w:rsidP="007066D1">
            <w:pPr>
              <w:rPr>
                <w:rFonts w:ascii="Arial" w:hAnsi="Arial" w:cs="Arial"/>
                <w:b/>
                <w:sz w:val="22"/>
                <w:szCs w:val="22"/>
              </w:rPr>
            </w:pPr>
            <w:r>
              <w:rPr>
                <w:rFonts w:ascii="Arial" w:hAnsi="Arial" w:cs="Arial"/>
                <w:b/>
                <w:sz w:val="22"/>
                <w:szCs w:val="22"/>
              </w:rPr>
              <w:t>ITU</w:t>
            </w:r>
          </w:p>
        </w:tc>
        <w:tc>
          <w:tcPr>
            <w:tcW w:w="6572" w:type="dxa"/>
            <w:shd w:val="clear" w:color="auto" w:fill="auto"/>
            <w:tcMar>
              <w:top w:w="28" w:type="dxa"/>
              <w:bottom w:w="28" w:type="dxa"/>
            </w:tcMar>
          </w:tcPr>
          <w:p w14:paraId="508ABB39" w14:textId="0A7B9706" w:rsidR="00B54559" w:rsidRPr="00B838A5" w:rsidRDefault="00B54559" w:rsidP="007066D1">
            <w:pPr>
              <w:rPr>
                <w:rFonts w:ascii="Arial" w:hAnsi="Arial" w:cs="Arial"/>
                <w:sz w:val="22"/>
                <w:szCs w:val="22"/>
                <w:lang w:val="en-US"/>
              </w:rPr>
            </w:pPr>
            <w:r>
              <w:rPr>
                <w:rFonts w:ascii="Arial" w:hAnsi="Arial" w:cs="Arial"/>
                <w:sz w:val="22"/>
                <w:szCs w:val="22"/>
                <w:lang w:val="en-US"/>
              </w:rPr>
              <w:t>International Telecommunications Organization</w:t>
            </w:r>
          </w:p>
        </w:tc>
      </w:tr>
      <w:tr w:rsidR="00A814D3" w:rsidRPr="00CB2078" w14:paraId="4E89EA6A" w14:textId="77777777" w:rsidTr="007066D1">
        <w:tc>
          <w:tcPr>
            <w:tcW w:w="2498" w:type="dxa"/>
            <w:shd w:val="clear" w:color="auto" w:fill="auto"/>
            <w:tcMar>
              <w:top w:w="28" w:type="dxa"/>
              <w:bottom w:w="28" w:type="dxa"/>
            </w:tcMar>
          </w:tcPr>
          <w:p w14:paraId="5DBEA07A" w14:textId="77777777" w:rsidR="00A814D3" w:rsidRPr="00500040" w:rsidRDefault="00A814D3" w:rsidP="007066D1">
            <w:pPr>
              <w:rPr>
                <w:rFonts w:ascii="Arial" w:hAnsi="Arial" w:cs="Arial"/>
                <w:b/>
                <w:sz w:val="22"/>
                <w:szCs w:val="22"/>
              </w:rPr>
            </w:pPr>
            <w:r w:rsidRPr="00500040">
              <w:rPr>
                <w:rFonts w:ascii="Arial" w:hAnsi="Arial" w:cs="Arial"/>
                <w:b/>
                <w:sz w:val="22"/>
                <w:szCs w:val="22"/>
              </w:rPr>
              <w:t>IUGG</w:t>
            </w:r>
          </w:p>
        </w:tc>
        <w:tc>
          <w:tcPr>
            <w:tcW w:w="6572" w:type="dxa"/>
            <w:shd w:val="clear" w:color="auto" w:fill="auto"/>
            <w:tcMar>
              <w:top w:w="28" w:type="dxa"/>
              <w:bottom w:w="28" w:type="dxa"/>
            </w:tcMar>
          </w:tcPr>
          <w:p w14:paraId="751F5843" w14:textId="77777777" w:rsidR="00A814D3" w:rsidRPr="00B838A5" w:rsidRDefault="00A814D3" w:rsidP="007066D1">
            <w:pPr>
              <w:rPr>
                <w:rFonts w:ascii="Arial" w:hAnsi="Arial" w:cs="Arial"/>
                <w:sz w:val="22"/>
                <w:szCs w:val="22"/>
                <w:lang w:val="en-US"/>
              </w:rPr>
            </w:pPr>
            <w:r w:rsidRPr="00B838A5">
              <w:rPr>
                <w:rFonts w:ascii="Arial" w:hAnsi="Arial" w:cs="Arial"/>
                <w:sz w:val="22"/>
                <w:szCs w:val="22"/>
                <w:lang w:val="en-US"/>
              </w:rPr>
              <w:t>International Union of Geodesy and Geophysics</w:t>
            </w:r>
          </w:p>
        </w:tc>
      </w:tr>
      <w:tr w:rsidR="004C0C4D" w:rsidRPr="00CB2078" w14:paraId="139979E3" w14:textId="77777777" w:rsidTr="007066D1">
        <w:tc>
          <w:tcPr>
            <w:tcW w:w="2498" w:type="dxa"/>
            <w:shd w:val="clear" w:color="auto" w:fill="auto"/>
            <w:tcMar>
              <w:top w:w="28" w:type="dxa"/>
              <w:bottom w:w="28" w:type="dxa"/>
            </w:tcMar>
          </w:tcPr>
          <w:p w14:paraId="739ABFE8" w14:textId="4B9ED1FC" w:rsidR="004C0C4D" w:rsidRPr="004C0C4D" w:rsidRDefault="004C0C4D" w:rsidP="007066D1">
            <w:pPr>
              <w:rPr>
                <w:rFonts w:ascii="Arial" w:hAnsi="Arial" w:cs="Arial"/>
                <w:b/>
                <w:bCs/>
                <w:sz w:val="22"/>
                <w:szCs w:val="22"/>
              </w:rPr>
            </w:pPr>
            <w:r w:rsidRPr="004C0C4D">
              <w:rPr>
                <w:rFonts w:ascii="Arial" w:hAnsi="Arial" w:cs="Arial"/>
                <w:b/>
                <w:bCs/>
                <w:sz w:val="22"/>
                <w:szCs w:val="22"/>
              </w:rPr>
              <w:t>JATWC</w:t>
            </w:r>
          </w:p>
        </w:tc>
        <w:tc>
          <w:tcPr>
            <w:tcW w:w="6572" w:type="dxa"/>
            <w:shd w:val="clear" w:color="auto" w:fill="auto"/>
            <w:tcMar>
              <w:top w:w="28" w:type="dxa"/>
              <w:bottom w:w="28" w:type="dxa"/>
            </w:tcMar>
          </w:tcPr>
          <w:p w14:paraId="12C11042" w14:textId="21F6A4B4" w:rsidR="004C0C4D" w:rsidRPr="00B54559" w:rsidRDefault="004C0C4D" w:rsidP="007066D1">
            <w:pPr>
              <w:rPr>
                <w:rFonts w:ascii="Arial" w:hAnsi="Arial" w:cs="Arial"/>
                <w:sz w:val="22"/>
                <w:szCs w:val="22"/>
              </w:rPr>
            </w:pPr>
            <w:r w:rsidRPr="004C0C4D">
              <w:rPr>
                <w:rFonts w:ascii="Arial" w:hAnsi="Arial" w:cs="Arial"/>
                <w:sz w:val="22"/>
                <w:szCs w:val="22"/>
              </w:rPr>
              <w:t xml:space="preserve">Joint Australian Tsunami Warning Centre </w:t>
            </w:r>
          </w:p>
        </w:tc>
      </w:tr>
      <w:tr w:rsidR="00B54559" w:rsidRPr="00CB2078" w14:paraId="532F1686" w14:textId="77777777" w:rsidTr="007066D1">
        <w:tc>
          <w:tcPr>
            <w:tcW w:w="2498" w:type="dxa"/>
            <w:shd w:val="clear" w:color="auto" w:fill="auto"/>
            <w:tcMar>
              <w:top w:w="28" w:type="dxa"/>
              <w:bottom w:w="28" w:type="dxa"/>
            </w:tcMar>
          </w:tcPr>
          <w:p w14:paraId="49D26BEE" w14:textId="11D31E7F" w:rsidR="00B54559" w:rsidRPr="00500040" w:rsidRDefault="00B54559" w:rsidP="007066D1">
            <w:pPr>
              <w:rPr>
                <w:rFonts w:ascii="Arial" w:hAnsi="Arial" w:cs="Arial"/>
                <w:b/>
                <w:sz w:val="22"/>
                <w:szCs w:val="22"/>
              </w:rPr>
            </w:pPr>
            <w:r>
              <w:rPr>
                <w:rFonts w:ascii="Arial" w:hAnsi="Arial" w:cs="Arial"/>
                <w:b/>
                <w:sz w:val="22"/>
                <w:szCs w:val="22"/>
              </w:rPr>
              <w:t>JCB</w:t>
            </w:r>
          </w:p>
        </w:tc>
        <w:tc>
          <w:tcPr>
            <w:tcW w:w="6572" w:type="dxa"/>
            <w:shd w:val="clear" w:color="auto" w:fill="auto"/>
            <w:tcMar>
              <w:top w:w="28" w:type="dxa"/>
              <w:bottom w:w="28" w:type="dxa"/>
            </w:tcMar>
          </w:tcPr>
          <w:p w14:paraId="2883610E" w14:textId="22A55BF6" w:rsidR="00B54559" w:rsidRPr="00500040" w:rsidRDefault="00B54559" w:rsidP="007066D1">
            <w:pPr>
              <w:rPr>
                <w:rFonts w:ascii="Arial" w:hAnsi="Arial" w:cs="Arial"/>
                <w:sz w:val="22"/>
                <w:szCs w:val="22"/>
              </w:rPr>
            </w:pPr>
            <w:r w:rsidRPr="00B54559">
              <w:rPr>
                <w:rFonts w:ascii="Arial" w:hAnsi="Arial" w:cs="Arial"/>
                <w:sz w:val="22"/>
                <w:szCs w:val="22"/>
              </w:rPr>
              <w:t>WMO-IOC Joint Collaborative Board</w:t>
            </w:r>
          </w:p>
        </w:tc>
      </w:tr>
      <w:tr w:rsidR="00B54559" w:rsidRPr="00CB2078" w14:paraId="092DD9A2" w14:textId="77777777" w:rsidTr="007066D1">
        <w:tc>
          <w:tcPr>
            <w:tcW w:w="2498" w:type="dxa"/>
            <w:shd w:val="clear" w:color="auto" w:fill="auto"/>
            <w:tcMar>
              <w:top w:w="28" w:type="dxa"/>
              <w:bottom w:w="28" w:type="dxa"/>
            </w:tcMar>
          </w:tcPr>
          <w:p w14:paraId="0EBC04AC" w14:textId="791D2459" w:rsidR="00B54559" w:rsidRPr="00500040" w:rsidRDefault="00B54559" w:rsidP="007066D1">
            <w:pPr>
              <w:rPr>
                <w:rFonts w:ascii="Arial" w:hAnsi="Arial" w:cs="Arial"/>
                <w:b/>
                <w:sz w:val="22"/>
                <w:szCs w:val="22"/>
              </w:rPr>
            </w:pPr>
            <w:r>
              <w:rPr>
                <w:rFonts w:ascii="Arial" w:hAnsi="Arial" w:cs="Arial"/>
                <w:b/>
                <w:sz w:val="22"/>
                <w:szCs w:val="22"/>
              </w:rPr>
              <w:t>JMA</w:t>
            </w:r>
          </w:p>
        </w:tc>
        <w:tc>
          <w:tcPr>
            <w:tcW w:w="6572" w:type="dxa"/>
            <w:shd w:val="clear" w:color="auto" w:fill="auto"/>
            <w:tcMar>
              <w:top w:w="28" w:type="dxa"/>
              <w:bottom w:w="28" w:type="dxa"/>
            </w:tcMar>
          </w:tcPr>
          <w:p w14:paraId="5E0BE3C5" w14:textId="7677D6CC" w:rsidR="00B54559" w:rsidRPr="00500040" w:rsidRDefault="00B54559" w:rsidP="007066D1">
            <w:pPr>
              <w:rPr>
                <w:rFonts w:ascii="Arial" w:hAnsi="Arial" w:cs="Arial"/>
                <w:sz w:val="22"/>
                <w:szCs w:val="22"/>
              </w:rPr>
            </w:pPr>
            <w:r>
              <w:rPr>
                <w:rFonts w:ascii="Arial" w:hAnsi="Arial" w:cs="Arial"/>
                <w:sz w:val="22"/>
                <w:szCs w:val="22"/>
              </w:rPr>
              <w:t>Japanese Meteorological Agency</w:t>
            </w:r>
          </w:p>
        </w:tc>
      </w:tr>
      <w:tr w:rsidR="00A814D3" w:rsidRPr="00CB2078" w14:paraId="6E22CF69" w14:textId="77777777" w:rsidTr="007066D1">
        <w:tc>
          <w:tcPr>
            <w:tcW w:w="2498" w:type="dxa"/>
            <w:shd w:val="clear" w:color="auto" w:fill="auto"/>
            <w:tcMar>
              <w:top w:w="28" w:type="dxa"/>
              <w:bottom w:w="28" w:type="dxa"/>
            </w:tcMar>
          </w:tcPr>
          <w:p w14:paraId="7BE886B8" w14:textId="77777777" w:rsidR="00A814D3" w:rsidRPr="00500040" w:rsidRDefault="00A814D3" w:rsidP="007066D1">
            <w:pPr>
              <w:rPr>
                <w:rFonts w:ascii="Arial" w:hAnsi="Arial" w:cs="Arial"/>
                <w:b/>
                <w:sz w:val="22"/>
                <w:szCs w:val="22"/>
              </w:rPr>
            </w:pPr>
            <w:r w:rsidRPr="00500040">
              <w:rPr>
                <w:rFonts w:ascii="Arial" w:hAnsi="Arial" w:cs="Arial"/>
                <w:b/>
                <w:sz w:val="22"/>
                <w:szCs w:val="22"/>
              </w:rPr>
              <w:t>JRC</w:t>
            </w:r>
          </w:p>
        </w:tc>
        <w:tc>
          <w:tcPr>
            <w:tcW w:w="6572" w:type="dxa"/>
            <w:shd w:val="clear" w:color="auto" w:fill="auto"/>
            <w:tcMar>
              <w:top w:w="28" w:type="dxa"/>
              <w:bottom w:w="28" w:type="dxa"/>
            </w:tcMar>
          </w:tcPr>
          <w:p w14:paraId="228547DE" w14:textId="77777777" w:rsidR="00A814D3" w:rsidRPr="00500040" w:rsidRDefault="00A814D3" w:rsidP="007066D1">
            <w:pPr>
              <w:rPr>
                <w:rFonts w:ascii="Arial" w:hAnsi="Arial" w:cs="Arial"/>
                <w:sz w:val="22"/>
                <w:szCs w:val="22"/>
              </w:rPr>
            </w:pPr>
            <w:r w:rsidRPr="00500040">
              <w:rPr>
                <w:rFonts w:ascii="Arial" w:hAnsi="Arial" w:cs="Arial"/>
                <w:sz w:val="22"/>
                <w:szCs w:val="22"/>
              </w:rPr>
              <w:t>Joint Research Centre</w:t>
            </w:r>
          </w:p>
        </w:tc>
      </w:tr>
      <w:tr w:rsidR="00A814D3" w:rsidRPr="00CB2078" w14:paraId="71EEDE70" w14:textId="77777777" w:rsidTr="007066D1">
        <w:tc>
          <w:tcPr>
            <w:tcW w:w="2498" w:type="dxa"/>
            <w:shd w:val="clear" w:color="auto" w:fill="auto"/>
            <w:tcMar>
              <w:top w:w="28" w:type="dxa"/>
              <w:bottom w:w="28" w:type="dxa"/>
            </w:tcMar>
          </w:tcPr>
          <w:p w14:paraId="16CE481F" w14:textId="77777777" w:rsidR="00A814D3" w:rsidRPr="00500040" w:rsidRDefault="00A814D3" w:rsidP="007066D1">
            <w:pPr>
              <w:rPr>
                <w:rFonts w:ascii="Arial" w:hAnsi="Arial" w:cs="Arial"/>
                <w:b/>
                <w:sz w:val="22"/>
                <w:szCs w:val="22"/>
              </w:rPr>
            </w:pPr>
            <w:r w:rsidRPr="00500040">
              <w:rPr>
                <w:rFonts w:ascii="Arial" w:hAnsi="Arial" w:cs="Arial"/>
                <w:b/>
                <w:sz w:val="22"/>
                <w:szCs w:val="22"/>
              </w:rPr>
              <w:t>KPI</w:t>
            </w:r>
          </w:p>
        </w:tc>
        <w:tc>
          <w:tcPr>
            <w:tcW w:w="6572" w:type="dxa"/>
            <w:shd w:val="clear" w:color="auto" w:fill="auto"/>
            <w:tcMar>
              <w:top w:w="28" w:type="dxa"/>
              <w:bottom w:w="28" w:type="dxa"/>
            </w:tcMar>
          </w:tcPr>
          <w:p w14:paraId="02B196B2"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Key Performance Indicators </w:t>
            </w:r>
          </w:p>
        </w:tc>
      </w:tr>
      <w:tr w:rsidR="00A814D3" w:rsidRPr="00CB2078" w14:paraId="05B64B5C" w14:textId="77777777" w:rsidTr="007066D1">
        <w:tc>
          <w:tcPr>
            <w:tcW w:w="2498" w:type="dxa"/>
            <w:shd w:val="clear" w:color="auto" w:fill="auto"/>
            <w:tcMar>
              <w:top w:w="28" w:type="dxa"/>
              <w:bottom w:w="28" w:type="dxa"/>
            </w:tcMar>
          </w:tcPr>
          <w:p w14:paraId="73D85C3B" w14:textId="77777777" w:rsidR="00A814D3" w:rsidRPr="00500040" w:rsidRDefault="00A814D3" w:rsidP="007066D1">
            <w:pPr>
              <w:rPr>
                <w:rFonts w:ascii="Arial" w:hAnsi="Arial" w:cs="Arial"/>
                <w:b/>
                <w:sz w:val="22"/>
                <w:szCs w:val="22"/>
              </w:rPr>
            </w:pPr>
            <w:r w:rsidRPr="00500040">
              <w:rPr>
                <w:rFonts w:ascii="Arial" w:hAnsi="Arial" w:cs="Arial"/>
                <w:b/>
                <w:sz w:val="22"/>
                <w:szCs w:val="22"/>
              </w:rPr>
              <w:t>LDCs</w:t>
            </w:r>
          </w:p>
        </w:tc>
        <w:tc>
          <w:tcPr>
            <w:tcW w:w="6572" w:type="dxa"/>
            <w:shd w:val="clear" w:color="auto" w:fill="auto"/>
            <w:tcMar>
              <w:top w:w="28" w:type="dxa"/>
              <w:bottom w:w="28" w:type="dxa"/>
            </w:tcMar>
          </w:tcPr>
          <w:p w14:paraId="4E5749C8" w14:textId="77777777" w:rsidR="00A814D3" w:rsidRPr="00500040" w:rsidRDefault="00A814D3" w:rsidP="007066D1">
            <w:pPr>
              <w:rPr>
                <w:rFonts w:ascii="Arial" w:hAnsi="Arial" w:cs="Arial"/>
                <w:sz w:val="22"/>
                <w:szCs w:val="22"/>
              </w:rPr>
            </w:pPr>
            <w:r w:rsidRPr="00500040">
              <w:rPr>
                <w:rFonts w:ascii="Arial" w:hAnsi="Arial" w:cs="Arial"/>
                <w:sz w:val="22"/>
                <w:szCs w:val="22"/>
              </w:rPr>
              <w:t>least developed countries</w:t>
            </w:r>
          </w:p>
        </w:tc>
      </w:tr>
      <w:tr w:rsidR="001C67AB" w:rsidRPr="00CB2078" w14:paraId="3159CDF5" w14:textId="77777777" w:rsidTr="007066D1">
        <w:tc>
          <w:tcPr>
            <w:tcW w:w="2498" w:type="dxa"/>
            <w:shd w:val="clear" w:color="auto" w:fill="auto"/>
            <w:tcMar>
              <w:top w:w="28" w:type="dxa"/>
              <w:bottom w:w="28" w:type="dxa"/>
            </w:tcMar>
          </w:tcPr>
          <w:p w14:paraId="5955A432" w14:textId="54AF398D" w:rsidR="001C67AB" w:rsidRDefault="001C67AB" w:rsidP="007066D1">
            <w:pPr>
              <w:rPr>
                <w:rFonts w:ascii="Arial" w:hAnsi="Arial" w:cs="Arial"/>
                <w:b/>
                <w:sz w:val="22"/>
                <w:szCs w:val="22"/>
              </w:rPr>
            </w:pPr>
            <w:r>
              <w:rPr>
                <w:rFonts w:ascii="Arial" w:hAnsi="Arial" w:cs="Arial"/>
                <w:b/>
                <w:sz w:val="22"/>
                <w:szCs w:val="22"/>
              </w:rPr>
              <w:t>MHEWS</w:t>
            </w:r>
          </w:p>
        </w:tc>
        <w:tc>
          <w:tcPr>
            <w:tcW w:w="6572" w:type="dxa"/>
            <w:shd w:val="clear" w:color="auto" w:fill="auto"/>
            <w:tcMar>
              <w:top w:w="28" w:type="dxa"/>
              <w:bottom w:w="28" w:type="dxa"/>
            </w:tcMar>
          </w:tcPr>
          <w:p w14:paraId="4588EF86" w14:textId="5D339963" w:rsidR="001C67AB" w:rsidRDefault="001C67AB" w:rsidP="007066D1">
            <w:pPr>
              <w:rPr>
                <w:rFonts w:ascii="Arial" w:hAnsi="Arial" w:cs="Arial"/>
                <w:sz w:val="22"/>
                <w:szCs w:val="22"/>
              </w:rPr>
            </w:pPr>
            <w:r>
              <w:rPr>
                <w:rFonts w:ascii="Arial" w:hAnsi="Arial" w:cs="Arial"/>
                <w:sz w:val="22"/>
                <w:szCs w:val="22"/>
              </w:rPr>
              <w:t>M</w:t>
            </w:r>
            <w:r w:rsidRPr="001C67AB">
              <w:rPr>
                <w:rFonts w:ascii="Arial" w:hAnsi="Arial" w:cs="Arial"/>
                <w:sz w:val="22"/>
                <w:szCs w:val="22"/>
              </w:rPr>
              <w:t>ulti-Hazard Early Warning Systems</w:t>
            </w:r>
          </w:p>
        </w:tc>
      </w:tr>
      <w:tr w:rsidR="00EE78BA" w:rsidRPr="00CB2078" w14:paraId="12410813" w14:textId="77777777" w:rsidTr="007066D1">
        <w:tc>
          <w:tcPr>
            <w:tcW w:w="2498" w:type="dxa"/>
            <w:shd w:val="clear" w:color="auto" w:fill="auto"/>
            <w:tcMar>
              <w:top w:w="28" w:type="dxa"/>
              <w:bottom w:w="28" w:type="dxa"/>
            </w:tcMar>
          </w:tcPr>
          <w:p w14:paraId="2F251C56" w14:textId="313BA297" w:rsidR="00EE78BA" w:rsidRPr="00EE78BA" w:rsidRDefault="00EE78BA" w:rsidP="007066D1">
            <w:pPr>
              <w:rPr>
                <w:rFonts w:ascii="Arial" w:hAnsi="Arial" w:cs="Arial"/>
                <w:b/>
                <w:bCs/>
                <w:sz w:val="22"/>
                <w:szCs w:val="22"/>
              </w:rPr>
            </w:pPr>
            <w:r w:rsidRPr="00EE78BA">
              <w:rPr>
                <w:rFonts w:ascii="Arial" w:hAnsi="Arial" w:cs="Arial"/>
                <w:b/>
                <w:bCs/>
                <w:sz w:val="22"/>
                <w:szCs w:val="22"/>
              </w:rPr>
              <w:t>MQTT</w:t>
            </w:r>
          </w:p>
        </w:tc>
        <w:tc>
          <w:tcPr>
            <w:tcW w:w="6572" w:type="dxa"/>
            <w:shd w:val="clear" w:color="auto" w:fill="auto"/>
            <w:tcMar>
              <w:top w:w="28" w:type="dxa"/>
              <w:bottom w:w="28" w:type="dxa"/>
            </w:tcMar>
          </w:tcPr>
          <w:p w14:paraId="3DBCE243" w14:textId="73DF7A24" w:rsidR="00EE78BA" w:rsidRDefault="00EE78BA" w:rsidP="007066D1">
            <w:pPr>
              <w:rPr>
                <w:rFonts w:ascii="Arial" w:hAnsi="Arial" w:cs="Arial"/>
                <w:sz w:val="22"/>
                <w:szCs w:val="22"/>
              </w:rPr>
            </w:pPr>
            <w:r w:rsidRPr="00EE78BA">
              <w:rPr>
                <w:rFonts w:ascii="Arial" w:hAnsi="Arial" w:cs="Arial"/>
                <w:sz w:val="22"/>
                <w:szCs w:val="22"/>
              </w:rPr>
              <w:t>Message Queuing Telemetry Transport</w:t>
            </w:r>
          </w:p>
        </w:tc>
      </w:tr>
      <w:tr w:rsidR="001C67AB" w:rsidRPr="00CB2078" w14:paraId="016F85B7" w14:textId="77777777" w:rsidTr="007066D1">
        <w:tc>
          <w:tcPr>
            <w:tcW w:w="2498" w:type="dxa"/>
            <w:shd w:val="clear" w:color="auto" w:fill="auto"/>
            <w:tcMar>
              <w:top w:w="28" w:type="dxa"/>
              <w:bottom w:w="28" w:type="dxa"/>
            </w:tcMar>
          </w:tcPr>
          <w:p w14:paraId="7E19D697" w14:textId="445587FA" w:rsidR="001C67AB" w:rsidRPr="00500040" w:rsidRDefault="001C67AB" w:rsidP="007066D1">
            <w:pPr>
              <w:rPr>
                <w:rFonts w:ascii="Arial" w:hAnsi="Arial" w:cs="Arial"/>
                <w:b/>
                <w:sz w:val="22"/>
                <w:szCs w:val="22"/>
              </w:rPr>
            </w:pPr>
            <w:r>
              <w:rPr>
                <w:rFonts w:ascii="Arial" w:hAnsi="Arial" w:cs="Arial"/>
                <w:b/>
                <w:sz w:val="22"/>
                <w:szCs w:val="22"/>
              </w:rPr>
              <w:t>MoU</w:t>
            </w:r>
          </w:p>
        </w:tc>
        <w:tc>
          <w:tcPr>
            <w:tcW w:w="6572" w:type="dxa"/>
            <w:shd w:val="clear" w:color="auto" w:fill="auto"/>
            <w:tcMar>
              <w:top w:w="28" w:type="dxa"/>
              <w:bottom w:w="28" w:type="dxa"/>
            </w:tcMar>
          </w:tcPr>
          <w:p w14:paraId="404A6773" w14:textId="2B8D88C6" w:rsidR="001C67AB" w:rsidRPr="00500040" w:rsidRDefault="001C67AB" w:rsidP="007066D1">
            <w:pPr>
              <w:rPr>
                <w:rFonts w:ascii="Arial" w:hAnsi="Arial" w:cs="Arial"/>
                <w:sz w:val="22"/>
                <w:szCs w:val="22"/>
              </w:rPr>
            </w:pPr>
            <w:r>
              <w:rPr>
                <w:rFonts w:ascii="Arial" w:hAnsi="Arial" w:cs="Arial"/>
                <w:sz w:val="22"/>
                <w:szCs w:val="22"/>
              </w:rPr>
              <w:t>Memorandum of Understanding</w:t>
            </w:r>
          </w:p>
        </w:tc>
      </w:tr>
      <w:tr w:rsidR="0050732C" w:rsidRPr="00CB2078" w14:paraId="5160ED63" w14:textId="77777777" w:rsidTr="007066D1">
        <w:tc>
          <w:tcPr>
            <w:tcW w:w="2498" w:type="dxa"/>
            <w:shd w:val="clear" w:color="auto" w:fill="auto"/>
            <w:tcMar>
              <w:top w:w="28" w:type="dxa"/>
              <w:bottom w:w="28" w:type="dxa"/>
            </w:tcMar>
          </w:tcPr>
          <w:p w14:paraId="7C03354B" w14:textId="6E126357" w:rsidR="0050732C" w:rsidRPr="007D0CBC" w:rsidRDefault="0050732C" w:rsidP="007066D1">
            <w:pPr>
              <w:rPr>
                <w:rFonts w:ascii="Arial" w:hAnsi="Arial" w:cs="Arial"/>
                <w:b/>
                <w:bCs/>
                <w:sz w:val="22"/>
                <w:szCs w:val="22"/>
              </w:rPr>
            </w:pPr>
            <w:r w:rsidRPr="007D0CBC">
              <w:rPr>
                <w:rFonts w:ascii="Arial" w:hAnsi="Arial" w:cs="Arial"/>
                <w:b/>
                <w:bCs/>
                <w:sz w:val="22"/>
                <w:szCs w:val="22"/>
              </w:rPr>
              <w:t>METAREA</w:t>
            </w:r>
          </w:p>
        </w:tc>
        <w:tc>
          <w:tcPr>
            <w:tcW w:w="6572" w:type="dxa"/>
            <w:shd w:val="clear" w:color="auto" w:fill="auto"/>
            <w:tcMar>
              <w:top w:w="28" w:type="dxa"/>
              <w:bottom w:w="28" w:type="dxa"/>
            </w:tcMar>
          </w:tcPr>
          <w:p w14:paraId="22206F77" w14:textId="6C9059B0" w:rsidR="0050732C" w:rsidRPr="00500040" w:rsidRDefault="0050732C" w:rsidP="007066D1">
            <w:pPr>
              <w:rPr>
                <w:rFonts w:ascii="Arial" w:hAnsi="Arial" w:cs="Arial"/>
                <w:sz w:val="22"/>
                <w:szCs w:val="22"/>
              </w:rPr>
            </w:pPr>
            <w:proofErr w:type="spellStart"/>
            <w:r w:rsidRPr="0050732C">
              <w:rPr>
                <w:rFonts w:ascii="Arial" w:hAnsi="Arial" w:cs="Arial"/>
                <w:sz w:val="22"/>
                <w:szCs w:val="22"/>
              </w:rPr>
              <w:t>METeorological</w:t>
            </w:r>
            <w:proofErr w:type="spellEnd"/>
            <w:r w:rsidRPr="0050732C">
              <w:rPr>
                <w:rFonts w:ascii="Arial" w:hAnsi="Arial" w:cs="Arial"/>
                <w:sz w:val="22"/>
                <w:szCs w:val="22"/>
              </w:rPr>
              <w:t xml:space="preserve"> AREA (</w:t>
            </w:r>
            <w:r w:rsidR="007D0CBC">
              <w:rPr>
                <w:rFonts w:ascii="Arial" w:hAnsi="Arial" w:cs="Arial"/>
                <w:sz w:val="22"/>
                <w:szCs w:val="22"/>
              </w:rPr>
              <w:t>geographical for</w:t>
            </w:r>
            <w:r w:rsidRPr="0050732C">
              <w:rPr>
                <w:rFonts w:ascii="Arial" w:hAnsi="Arial" w:cs="Arial"/>
                <w:sz w:val="22"/>
                <w:szCs w:val="22"/>
              </w:rPr>
              <w:t xml:space="preserve"> marine meteorological information</w:t>
            </w:r>
            <w:r w:rsidR="007D0CBC">
              <w:rPr>
                <w:rFonts w:ascii="Arial" w:hAnsi="Arial" w:cs="Arial"/>
                <w:sz w:val="22"/>
                <w:szCs w:val="22"/>
              </w:rPr>
              <w:t>)</w:t>
            </w:r>
          </w:p>
        </w:tc>
      </w:tr>
      <w:tr w:rsidR="00A814D3" w:rsidRPr="00CB2078" w14:paraId="627A683B" w14:textId="77777777" w:rsidTr="007066D1">
        <w:tc>
          <w:tcPr>
            <w:tcW w:w="2498" w:type="dxa"/>
            <w:shd w:val="clear" w:color="auto" w:fill="auto"/>
            <w:tcMar>
              <w:top w:w="28" w:type="dxa"/>
              <w:bottom w:w="28" w:type="dxa"/>
            </w:tcMar>
          </w:tcPr>
          <w:p w14:paraId="3D75C9C3" w14:textId="5BBDB5B0" w:rsidR="00A814D3" w:rsidRPr="00500040" w:rsidRDefault="00A814D3" w:rsidP="007066D1">
            <w:pPr>
              <w:rPr>
                <w:rFonts w:ascii="Arial" w:hAnsi="Arial" w:cs="Arial"/>
                <w:b/>
                <w:sz w:val="22"/>
                <w:szCs w:val="22"/>
              </w:rPr>
            </w:pPr>
            <w:r w:rsidRPr="00500040">
              <w:rPr>
                <w:rFonts w:ascii="Arial" w:hAnsi="Arial" w:cs="Arial"/>
                <w:b/>
                <w:sz w:val="22"/>
                <w:szCs w:val="22"/>
              </w:rPr>
              <w:t>NAVAREA</w:t>
            </w:r>
            <w:r w:rsidR="0050732C" w:rsidRPr="0050732C">
              <w:rPr>
                <w:rFonts w:ascii="Arial" w:hAnsi="Arial" w:cs="Arial"/>
                <w:sz w:val="22"/>
                <w:szCs w:val="22"/>
              </w:rPr>
              <w:t xml:space="preserve"> </w:t>
            </w:r>
          </w:p>
        </w:tc>
        <w:tc>
          <w:tcPr>
            <w:tcW w:w="6572" w:type="dxa"/>
            <w:shd w:val="clear" w:color="auto" w:fill="auto"/>
            <w:tcMar>
              <w:top w:w="28" w:type="dxa"/>
              <w:bottom w:w="28" w:type="dxa"/>
            </w:tcMar>
          </w:tcPr>
          <w:p w14:paraId="6ACA004D"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Navigational Area (within the </w:t>
            </w:r>
            <w:proofErr w:type="gramStart"/>
            <w:r w:rsidRPr="00500040">
              <w:rPr>
                <w:rFonts w:ascii="Arial" w:hAnsi="Arial" w:cs="Arial"/>
                <w:sz w:val="22"/>
                <w:szCs w:val="22"/>
              </w:rPr>
              <w:t>World Wide</w:t>
            </w:r>
            <w:proofErr w:type="gramEnd"/>
            <w:r w:rsidRPr="00500040">
              <w:rPr>
                <w:rFonts w:ascii="Arial" w:hAnsi="Arial" w:cs="Arial"/>
                <w:sz w:val="22"/>
                <w:szCs w:val="22"/>
              </w:rPr>
              <w:t xml:space="preserve"> Navigational Service)</w:t>
            </w:r>
            <w:hyperlink r:id="rId151" w:history="1"/>
          </w:p>
        </w:tc>
      </w:tr>
      <w:tr w:rsidR="00030E8B" w:rsidRPr="00CB2078" w14:paraId="2A3DB9A2" w14:textId="77777777" w:rsidTr="007066D1">
        <w:tc>
          <w:tcPr>
            <w:tcW w:w="2498" w:type="dxa"/>
            <w:shd w:val="clear" w:color="auto" w:fill="auto"/>
            <w:tcMar>
              <w:top w:w="28" w:type="dxa"/>
              <w:bottom w:w="28" w:type="dxa"/>
            </w:tcMar>
          </w:tcPr>
          <w:p w14:paraId="0F02BDF6" w14:textId="129A9662" w:rsidR="00030E8B" w:rsidRPr="00500040" w:rsidRDefault="00030E8B" w:rsidP="007066D1">
            <w:pPr>
              <w:rPr>
                <w:rFonts w:ascii="Arial" w:hAnsi="Arial" w:cs="Arial"/>
                <w:b/>
                <w:sz w:val="22"/>
                <w:szCs w:val="22"/>
              </w:rPr>
            </w:pPr>
            <w:r>
              <w:rPr>
                <w:rFonts w:ascii="Arial" w:hAnsi="Arial" w:cs="Arial"/>
                <w:b/>
                <w:sz w:val="22"/>
                <w:szCs w:val="22"/>
              </w:rPr>
              <w:t>NCEI/WDS</w:t>
            </w:r>
          </w:p>
        </w:tc>
        <w:tc>
          <w:tcPr>
            <w:tcW w:w="6572" w:type="dxa"/>
            <w:shd w:val="clear" w:color="auto" w:fill="auto"/>
            <w:tcMar>
              <w:top w:w="28" w:type="dxa"/>
              <w:bottom w:w="28" w:type="dxa"/>
            </w:tcMar>
          </w:tcPr>
          <w:p w14:paraId="773E4082" w14:textId="09058B2C" w:rsidR="00030E8B" w:rsidRPr="00500040" w:rsidRDefault="00030E8B" w:rsidP="007066D1">
            <w:pPr>
              <w:rPr>
                <w:rFonts w:ascii="Arial" w:hAnsi="Arial" w:cs="Arial"/>
                <w:sz w:val="22"/>
                <w:szCs w:val="22"/>
              </w:rPr>
            </w:pPr>
            <w:r w:rsidRPr="00030E8B">
              <w:rPr>
                <w:rFonts w:ascii="Arial" w:hAnsi="Arial" w:cs="Arial"/>
                <w:sz w:val="22"/>
                <w:szCs w:val="22"/>
              </w:rPr>
              <w:t xml:space="preserve">National </w:t>
            </w:r>
            <w:proofErr w:type="spellStart"/>
            <w:r w:rsidRPr="00030E8B">
              <w:rPr>
                <w:rFonts w:ascii="Arial" w:hAnsi="Arial" w:cs="Arial"/>
                <w:sz w:val="22"/>
                <w:szCs w:val="22"/>
              </w:rPr>
              <w:t>Centers</w:t>
            </w:r>
            <w:proofErr w:type="spellEnd"/>
            <w:r w:rsidRPr="00030E8B">
              <w:rPr>
                <w:rFonts w:ascii="Arial" w:hAnsi="Arial" w:cs="Arial"/>
                <w:sz w:val="22"/>
                <w:szCs w:val="22"/>
              </w:rPr>
              <w:t xml:space="preserve"> for Environmental Information World Data System</w:t>
            </w:r>
          </w:p>
        </w:tc>
      </w:tr>
      <w:tr w:rsidR="00A814D3" w:rsidRPr="00CB2078" w14:paraId="21DCBFCB" w14:textId="77777777" w:rsidTr="007066D1">
        <w:tc>
          <w:tcPr>
            <w:tcW w:w="2498" w:type="dxa"/>
            <w:shd w:val="clear" w:color="auto" w:fill="auto"/>
            <w:tcMar>
              <w:top w:w="28" w:type="dxa"/>
              <w:bottom w:w="28" w:type="dxa"/>
            </w:tcMar>
          </w:tcPr>
          <w:p w14:paraId="30DA3872" w14:textId="77777777" w:rsidR="00A814D3" w:rsidRPr="00500040" w:rsidRDefault="00A814D3" w:rsidP="007066D1">
            <w:pPr>
              <w:rPr>
                <w:rFonts w:ascii="Arial" w:hAnsi="Arial" w:cs="Arial"/>
                <w:b/>
                <w:sz w:val="22"/>
                <w:szCs w:val="22"/>
              </w:rPr>
            </w:pPr>
            <w:r w:rsidRPr="00500040">
              <w:rPr>
                <w:rFonts w:ascii="Arial" w:hAnsi="Arial" w:cs="Arial"/>
                <w:b/>
                <w:sz w:val="22"/>
                <w:szCs w:val="22"/>
              </w:rPr>
              <w:t>NEAM</w:t>
            </w:r>
          </w:p>
        </w:tc>
        <w:tc>
          <w:tcPr>
            <w:tcW w:w="6572" w:type="dxa"/>
            <w:shd w:val="clear" w:color="auto" w:fill="auto"/>
            <w:tcMar>
              <w:top w:w="28" w:type="dxa"/>
              <w:bottom w:w="28" w:type="dxa"/>
            </w:tcMar>
          </w:tcPr>
          <w:p w14:paraId="3EB43186"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North-eastern Atlantic, the Mediterranean and Connected Seas </w:t>
            </w:r>
            <w:hyperlink r:id="rId152" w:history="1"/>
          </w:p>
        </w:tc>
      </w:tr>
      <w:tr w:rsidR="00A814D3" w:rsidRPr="00CB2078" w14:paraId="7899A8C1" w14:textId="77777777" w:rsidTr="007066D1">
        <w:tc>
          <w:tcPr>
            <w:tcW w:w="2498" w:type="dxa"/>
            <w:shd w:val="clear" w:color="auto" w:fill="auto"/>
            <w:tcMar>
              <w:top w:w="28" w:type="dxa"/>
              <w:bottom w:w="28" w:type="dxa"/>
            </w:tcMar>
          </w:tcPr>
          <w:p w14:paraId="2CB6879E" w14:textId="77777777" w:rsidR="00A814D3" w:rsidRPr="00500040" w:rsidRDefault="00A814D3" w:rsidP="007066D1">
            <w:pPr>
              <w:rPr>
                <w:rFonts w:ascii="Arial" w:hAnsi="Arial" w:cs="Arial"/>
                <w:b/>
                <w:sz w:val="22"/>
                <w:szCs w:val="22"/>
              </w:rPr>
            </w:pPr>
            <w:r w:rsidRPr="00500040">
              <w:rPr>
                <w:rFonts w:ascii="Arial" w:hAnsi="Arial" w:cs="Arial"/>
                <w:b/>
                <w:sz w:val="22"/>
                <w:szCs w:val="22"/>
              </w:rPr>
              <w:t>NEAMTIC</w:t>
            </w:r>
          </w:p>
        </w:tc>
        <w:tc>
          <w:tcPr>
            <w:tcW w:w="6572" w:type="dxa"/>
            <w:shd w:val="clear" w:color="auto" w:fill="auto"/>
            <w:tcMar>
              <w:top w:w="28" w:type="dxa"/>
              <w:bottom w:w="28" w:type="dxa"/>
            </w:tcMar>
          </w:tcPr>
          <w:p w14:paraId="717D8D11"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Tsunami Information Centre for the North-eastern Atlantic, </w:t>
            </w:r>
            <w:r w:rsidRPr="00500040">
              <w:rPr>
                <w:rFonts w:ascii="Arial" w:hAnsi="Arial" w:cs="Arial"/>
                <w:sz w:val="22"/>
                <w:szCs w:val="22"/>
              </w:rPr>
              <w:br/>
              <w:t>the Mediterranean and Connected Seas</w:t>
            </w:r>
          </w:p>
        </w:tc>
      </w:tr>
      <w:tr w:rsidR="00A814D3" w:rsidRPr="00CB2078" w14:paraId="10BE7ACD" w14:textId="77777777" w:rsidTr="007066D1">
        <w:tc>
          <w:tcPr>
            <w:tcW w:w="2498" w:type="dxa"/>
            <w:shd w:val="clear" w:color="auto" w:fill="auto"/>
            <w:tcMar>
              <w:top w:w="28" w:type="dxa"/>
              <w:bottom w:w="28" w:type="dxa"/>
            </w:tcMar>
          </w:tcPr>
          <w:p w14:paraId="39EBDD63" w14:textId="77777777" w:rsidR="00A814D3" w:rsidRPr="00500040" w:rsidRDefault="00A814D3" w:rsidP="007066D1">
            <w:pPr>
              <w:rPr>
                <w:rFonts w:ascii="Arial" w:hAnsi="Arial" w:cs="Arial"/>
                <w:b/>
                <w:sz w:val="22"/>
                <w:szCs w:val="22"/>
              </w:rPr>
            </w:pPr>
            <w:r w:rsidRPr="00500040">
              <w:rPr>
                <w:rFonts w:ascii="Arial" w:hAnsi="Arial" w:cs="Arial"/>
                <w:b/>
                <w:sz w:val="22"/>
                <w:szCs w:val="22"/>
              </w:rPr>
              <w:t>NEAMTWS</w:t>
            </w:r>
          </w:p>
        </w:tc>
        <w:tc>
          <w:tcPr>
            <w:tcW w:w="6572" w:type="dxa"/>
            <w:shd w:val="clear" w:color="auto" w:fill="auto"/>
            <w:tcMar>
              <w:top w:w="28" w:type="dxa"/>
              <w:bottom w:w="28" w:type="dxa"/>
            </w:tcMar>
          </w:tcPr>
          <w:p w14:paraId="289900BF"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Tsunami Early Warning and Mitigation System in the North-eastern Atlantic, the Mediterranean and Connected Seas </w:t>
            </w:r>
            <w:hyperlink r:id="rId153" w:history="1"/>
          </w:p>
        </w:tc>
      </w:tr>
      <w:tr w:rsidR="00A814D3" w:rsidRPr="00CB2078" w14:paraId="60AB7E24" w14:textId="77777777" w:rsidTr="007066D1">
        <w:tc>
          <w:tcPr>
            <w:tcW w:w="2498" w:type="dxa"/>
            <w:shd w:val="clear" w:color="auto" w:fill="auto"/>
            <w:tcMar>
              <w:top w:w="28" w:type="dxa"/>
              <w:bottom w:w="28" w:type="dxa"/>
            </w:tcMar>
          </w:tcPr>
          <w:p w14:paraId="7679D506" w14:textId="77777777" w:rsidR="00A814D3" w:rsidRPr="00500040" w:rsidRDefault="00A814D3" w:rsidP="007066D1">
            <w:pPr>
              <w:rPr>
                <w:rFonts w:ascii="Arial" w:hAnsi="Arial" w:cs="Arial"/>
                <w:b/>
                <w:sz w:val="22"/>
                <w:szCs w:val="22"/>
              </w:rPr>
            </w:pPr>
            <w:proofErr w:type="spellStart"/>
            <w:r w:rsidRPr="00500040">
              <w:rPr>
                <w:rFonts w:ascii="Arial" w:hAnsi="Arial" w:cs="Arial"/>
                <w:b/>
                <w:sz w:val="22"/>
                <w:szCs w:val="22"/>
              </w:rPr>
              <w:t>NEAMWave</w:t>
            </w:r>
            <w:proofErr w:type="spellEnd"/>
          </w:p>
        </w:tc>
        <w:tc>
          <w:tcPr>
            <w:tcW w:w="6572" w:type="dxa"/>
            <w:shd w:val="clear" w:color="auto" w:fill="auto"/>
            <w:tcMar>
              <w:top w:w="28" w:type="dxa"/>
              <w:bottom w:w="28" w:type="dxa"/>
            </w:tcMar>
          </w:tcPr>
          <w:p w14:paraId="3AEE3D1E" w14:textId="77777777" w:rsidR="00A814D3" w:rsidRPr="00500040" w:rsidRDefault="00A814D3" w:rsidP="007066D1">
            <w:pPr>
              <w:rPr>
                <w:rFonts w:ascii="Arial" w:hAnsi="Arial" w:cs="Arial"/>
                <w:sz w:val="22"/>
                <w:szCs w:val="22"/>
              </w:rPr>
            </w:pPr>
            <w:r w:rsidRPr="00500040">
              <w:rPr>
                <w:rFonts w:ascii="Arial" w:hAnsi="Arial" w:cs="Arial"/>
                <w:sz w:val="22"/>
                <w:szCs w:val="22"/>
              </w:rPr>
              <w:t>NEAM Tsunami Exercise</w:t>
            </w:r>
          </w:p>
        </w:tc>
      </w:tr>
      <w:tr w:rsidR="006E6DE1" w:rsidRPr="00CB2078" w14:paraId="0703C3B7" w14:textId="77777777" w:rsidTr="007066D1">
        <w:tc>
          <w:tcPr>
            <w:tcW w:w="2498" w:type="dxa"/>
            <w:shd w:val="clear" w:color="auto" w:fill="auto"/>
            <w:tcMar>
              <w:top w:w="28" w:type="dxa"/>
              <w:bottom w:w="28" w:type="dxa"/>
            </w:tcMar>
          </w:tcPr>
          <w:p w14:paraId="21198812" w14:textId="2A9DF2A1" w:rsidR="006E6DE1" w:rsidRPr="006E6DE1" w:rsidRDefault="006E6DE1" w:rsidP="007066D1">
            <w:pPr>
              <w:rPr>
                <w:rFonts w:ascii="Arial" w:hAnsi="Arial" w:cs="Arial"/>
                <w:b/>
                <w:bCs/>
                <w:sz w:val="22"/>
                <w:szCs w:val="22"/>
              </w:rPr>
            </w:pPr>
            <w:r w:rsidRPr="006E6DE1">
              <w:rPr>
                <w:rFonts w:ascii="Arial" w:hAnsi="Arial" w:cs="Arial"/>
                <w:b/>
                <w:bCs/>
                <w:sz w:val="22"/>
                <w:szCs w:val="22"/>
              </w:rPr>
              <w:t>NGA</w:t>
            </w:r>
          </w:p>
        </w:tc>
        <w:tc>
          <w:tcPr>
            <w:tcW w:w="6572" w:type="dxa"/>
            <w:shd w:val="clear" w:color="auto" w:fill="auto"/>
            <w:tcMar>
              <w:top w:w="28" w:type="dxa"/>
              <w:bottom w:w="28" w:type="dxa"/>
            </w:tcMar>
          </w:tcPr>
          <w:p w14:paraId="6B85CC84" w14:textId="09B2B5C3" w:rsidR="006E6DE1" w:rsidRPr="00B54559" w:rsidRDefault="006E6DE1" w:rsidP="007066D1">
            <w:pPr>
              <w:rPr>
                <w:rFonts w:ascii="Arial" w:hAnsi="Arial" w:cs="Arial"/>
                <w:sz w:val="22"/>
                <w:szCs w:val="22"/>
              </w:rPr>
            </w:pPr>
            <w:r w:rsidRPr="006E6DE1">
              <w:rPr>
                <w:rFonts w:ascii="Arial" w:hAnsi="Arial" w:cs="Arial"/>
                <w:sz w:val="22"/>
                <w:szCs w:val="22"/>
              </w:rPr>
              <w:t xml:space="preserve">National Geospatial-Intelligence Agency </w:t>
            </w:r>
            <w:r>
              <w:rPr>
                <w:rFonts w:ascii="Arial" w:hAnsi="Arial" w:cs="Arial"/>
                <w:sz w:val="22"/>
                <w:szCs w:val="22"/>
              </w:rPr>
              <w:t>(USA</w:t>
            </w:r>
            <w:r w:rsidRPr="006E6DE1">
              <w:rPr>
                <w:rFonts w:ascii="Arial" w:hAnsi="Arial" w:cs="Arial"/>
                <w:sz w:val="22"/>
                <w:szCs w:val="22"/>
              </w:rPr>
              <w:t>)</w:t>
            </w:r>
          </w:p>
        </w:tc>
      </w:tr>
      <w:tr w:rsidR="00B54559" w:rsidRPr="00CB2078" w14:paraId="7513FE5F" w14:textId="77777777" w:rsidTr="007066D1">
        <w:tc>
          <w:tcPr>
            <w:tcW w:w="2498" w:type="dxa"/>
            <w:shd w:val="clear" w:color="auto" w:fill="auto"/>
            <w:tcMar>
              <w:top w:w="28" w:type="dxa"/>
              <w:bottom w:w="28" w:type="dxa"/>
            </w:tcMar>
          </w:tcPr>
          <w:p w14:paraId="693A4ABD" w14:textId="11588297" w:rsidR="00B54559" w:rsidRPr="00500040" w:rsidRDefault="00B54559" w:rsidP="007066D1">
            <w:pPr>
              <w:rPr>
                <w:rFonts w:ascii="Arial" w:hAnsi="Arial" w:cs="Arial"/>
                <w:b/>
                <w:sz w:val="22"/>
                <w:szCs w:val="22"/>
              </w:rPr>
            </w:pPr>
            <w:r>
              <w:rPr>
                <w:rFonts w:ascii="Arial" w:hAnsi="Arial" w:cs="Arial"/>
                <w:b/>
                <w:sz w:val="22"/>
                <w:szCs w:val="22"/>
              </w:rPr>
              <w:t>NMHS</w:t>
            </w:r>
          </w:p>
        </w:tc>
        <w:tc>
          <w:tcPr>
            <w:tcW w:w="6572" w:type="dxa"/>
            <w:shd w:val="clear" w:color="auto" w:fill="auto"/>
            <w:tcMar>
              <w:top w:w="28" w:type="dxa"/>
              <w:bottom w:w="28" w:type="dxa"/>
            </w:tcMar>
          </w:tcPr>
          <w:p w14:paraId="7C521C48" w14:textId="2987259D" w:rsidR="00B54559" w:rsidRPr="00500040" w:rsidRDefault="00B54559" w:rsidP="007066D1">
            <w:pPr>
              <w:rPr>
                <w:rFonts w:ascii="Arial" w:hAnsi="Arial" w:cs="Arial"/>
                <w:sz w:val="22"/>
                <w:szCs w:val="22"/>
              </w:rPr>
            </w:pPr>
            <w:r w:rsidRPr="00B54559">
              <w:rPr>
                <w:rFonts w:ascii="Arial" w:hAnsi="Arial" w:cs="Arial"/>
                <w:sz w:val="22"/>
                <w:szCs w:val="22"/>
              </w:rPr>
              <w:t>National Meteorological and Hydrological Services</w:t>
            </w:r>
          </w:p>
        </w:tc>
      </w:tr>
      <w:tr w:rsidR="00A814D3" w:rsidRPr="00CB2078" w14:paraId="65493C49" w14:textId="77777777" w:rsidTr="007066D1">
        <w:tc>
          <w:tcPr>
            <w:tcW w:w="2498" w:type="dxa"/>
            <w:shd w:val="clear" w:color="auto" w:fill="auto"/>
            <w:tcMar>
              <w:top w:w="28" w:type="dxa"/>
              <w:bottom w:w="28" w:type="dxa"/>
            </w:tcMar>
          </w:tcPr>
          <w:p w14:paraId="1D83E34A" w14:textId="77777777" w:rsidR="00A814D3" w:rsidRPr="00500040" w:rsidRDefault="00A814D3" w:rsidP="007066D1">
            <w:pPr>
              <w:rPr>
                <w:rFonts w:ascii="Arial" w:hAnsi="Arial" w:cs="Arial"/>
                <w:b/>
                <w:sz w:val="22"/>
                <w:szCs w:val="22"/>
              </w:rPr>
            </w:pPr>
            <w:r w:rsidRPr="00500040">
              <w:rPr>
                <w:rFonts w:ascii="Arial" w:hAnsi="Arial" w:cs="Arial"/>
                <w:b/>
                <w:sz w:val="22"/>
                <w:szCs w:val="22"/>
              </w:rPr>
              <w:t>NOAA</w:t>
            </w:r>
          </w:p>
        </w:tc>
        <w:tc>
          <w:tcPr>
            <w:tcW w:w="6572" w:type="dxa"/>
            <w:shd w:val="clear" w:color="auto" w:fill="auto"/>
            <w:tcMar>
              <w:top w:w="28" w:type="dxa"/>
              <w:bottom w:w="28" w:type="dxa"/>
            </w:tcMar>
          </w:tcPr>
          <w:p w14:paraId="67B35177"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National Oceanic and Atmospheric Administration </w:t>
            </w:r>
          </w:p>
        </w:tc>
      </w:tr>
      <w:tr w:rsidR="001C67AB" w:rsidRPr="00CB2078" w14:paraId="298942BE" w14:textId="77777777" w:rsidTr="007066D1">
        <w:tc>
          <w:tcPr>
            <w:tcW w:w="2498" w:type="dxa"/>
            <w:shd w:val="clear" w:color="auto" w:fill="auto"/>
            <w:tcMar>
              <w:top w:w="28" w:type="dxa"/>
              <w:bottom w:w="28" w:type="dxa"/>
            </w:tcMar>
          </w:tcPr>
          <w:p w14:paraId="691EC025" w14:textId="5E69B853" w:rsidR="001C67AB" w:rsidRPr="00500040" w:rsidRDefault="001C67AB" w:rsidP="007066D1">
            <w:pPr>
              <w:rPr>
                <w:rFonts w:ascii="Arial" w:hAnsi="Arial" w:cs="Arial"/>
                <w:b/>
                <w:sz w:val="22"/>
                <w:szCs w:val="22"/>
              </w:rPr>
            </w:pPr>
            <w:r>
              <w:rPr>
                <w:rFonts w:ascii="Arial" w:hAnsi="Arial" w:cs="Arial"/>
                <w:b/>
                <w:sz w:val="22"/>
                <w:szCs w:val="22"/>
              </w:rPr>
              <w:t>NORAD</w:t>
            </w:r>
          </w:p>
        </w:tc>
        <w:tc>
          <w:tcPr>
            <w:tcW w:w="6572" w:type="dxa"/>
            <w:shd w:val="clear" w:color="auto" w:fill="auto"/>
            <w:tcMar>
              <w:top w:w="28" w:type="dxa"/>
              <w:bottom w:w="28" w:type="dxa"/>
            </w:tcMar>
          </w:tcPr>
          <w:p w14:paraId="5BBE2B20" w14:textId="7BFC8718" w:rsidR="001C67AB" w:rsidRPr="00500040" w:rsidRDefault="001C67AB" w:rsidP="007066D1">
            <w:pPr>
              <w:rPr>
                <w:rFonts w:ascii="Arial" w:hAnsi="Arial" w:cs="Arial"/>
                <w:sz w:val="22"/>
                <w:szCs w:val="22"/>
              </w:rPr>
            </w:pPr>
            <w:r>
              <w:rPr>
                <w:rFonts w:ascii="Arial" w:hAnsi="Arial" w:cs="Arial"/>
                <w:sz w:val="22"/>
                <w:szCs w:val="22"/>
              </w:rPr>
              <w:t>N</w:t>
            </w:r>
            <w:r w:rsidRPr="001C67AB">
              <w:rPr>
                <w:rFonts w:ascii="Arial" w:hAnsi="Arial" w:cs="Arial"/>
                <w:sz w:val="22"/>
                <w:szCs w:val="22"/>
              </w:rPr>
              <w:t>orwegian Agency for Development Cooperation</w:t>
            </w:r>
          </w:p>
        </w:tc>
      </w:tr>
      <w:tr w:rsidR="00030E8B" w:rsidRPr="00CB2078" w14:paraId="3A4BA825" w14:textId="77777777" w:rsidTr="007066D1">
        <w:tc>
          <w:tcPr>
            <w:tcW w:w="2498" w:type="dxa"/>
            <w:shd w:val="clear" w:color="auto" w:fill="auto"/>
            <w:tcMar>
              <w:top w:w="28" w:type="dxa"/>
              <w:bottom w:w="28" w:type="dxa"/>
            </w:tcMar>
          </w:tcPr>
          <w:p w14:paraId="08E27C79" w14:textId="4000F44A" w:rsidR="00030E8B" w:rsidRPr="00500040" w:rsidRDefault="00030E8B" w:rsidP="007066D1">
            <w:pPr>
              <w:rPr>
                <w:rFonts w:ascii="Arial" w:hAnsi="Arial" w:cs="Arial"/>
                <w:b/>
                <w:sz w:val="22"/>
                <w:szCs w:val="22"/>
              </w:rPr>
            </w:pPr>
            <w:r>
              <w:rPr>
                <w:rFonts w:ascii="Arial" w:hAnsi="Arial" w:cs="Arial"/>
                <w:b/>
                <w:sz w:val="22"/>
                <w:szCs w:val="22"/>
              </w:rPr>
              <w:t>NWPTAC</w:t>
            </w:r>
          </w:p>
        </w:tc>
        <w:tc>
          <w:tcPr>
            <w:tcW w:w="6572" w:type="dxa"/>
            <w:shd w:val="clear" w:color="auto" w:fill="auto"/>
            <w:tcMar>
              <w:top w:w="28" w:type="dxa"/>
              <w:bottom w:w="28" w:type="dxa"/>
            </w:tcMar>
          </w:tcPr>
          <w:p w14:paraId="73CDD405" w14:textId="5D326271" w:rsidR="00030E8B" w:rsidRPr="00500040" w:rsidRDefault="00030E8B" w:rsidP="007066D1">
            <w:pPr>
              <w:rPr>
                <w:rFonts w:ascii="Arial" w:hAnsi="Arial" w:cs="Arial"/>
                <w:sz w:val="22"/>
                <w:szCs w:val="22"/>
              </w:rPr>
            </w:pPr>
            <w:r w:rsidRPr="00030E8B">
              <w:rPr>
                <w:rFonts w:ascii="Arial" w:hAnsi="Arial" w:cs="Arial"/>
                <w:sz w:val="22"/>
                <w:szCs w:val="22"/>
              </w:rPr>
              <w:t xml:space="preserve">Northwest </w:t>
            </w:r>
            <w:r>
              <w:rPr>
                <w:rFonts w:ascii="Arial" w:hAnsi="Arial" w:cs="Arial"/>
                <w:sz w:val="22"/>
                <w:szCs w:val="22"/>
              </w:rPr>
              <w:t xml:space="preserve">Pacific </w:t>
            </w:r>
            <w:r w:rsidRPr="00030E8B">
              <w:rPr>
                <w:rFonts w:ascii="Arial" w:hAnsi="Arial" w:cs="Arial"/>
                <w:sz w:val="22"/>
                <w:szCs w:val="22"/>
              </w:rPr>
              <w:t>Tsunami Advisory Centre</w:t>
            </w:r>
          </w:p>
        </w:tc>
      </w:tr>
      <w:tr w:rsidR="00A814D3" w:rsidRPr="00CB2078" w14:paraId="738D8F23" w14:textId="77777777" w:rsidTr="007066D1">
        <w:tc>
          <w:tcPr>
            <w:tcW w:w="2498" w:type="dxa"/>
            <w:shd w:val="clear" w:color="auto" w:fill="auto"/>
            <w:tcMar>
              <w:top w:w="28" w:type="dxa"/>
              <w:bottom w:w="28" w:type="dxa"/>
            </w:tcMar>
          </w:tcPr>
          <w:p w14:paraId="459AB89A" w14:textId="77777777" w:rsidR="00A814D3" w:rsidRPr="00500040" w:rsidRDefault="00A814D3" w:rsidP="007066D1">
            <w:pPr>
              <w:rPr>
                <w:rFonts w:ascii="Arial" w:hAnsi="Arial" w:cs="Arial"/>
                <w:b/>
                <w:sz w:val="22"/>
                <w:szCs w:val="22"/>
              </w:rPr>
            </w:pPr>
            <w:r w:rsidRPr="00500040">
              <w:rPr>
                <w:rFonts w:ascii="Arial" w:hAnsi="Arial" w:cs="Arial"/>
                <w:b/>
                <w:sz w:val="22"/>
                <w:szCs w:val="22"/>
              </w:rPr>
              <w:t>NTWC</w:t>
            </w:r>
          </w:p>
        </w:tc>
        <w:tc>
          <w:tcPr>
            <w:tcW w:w="6572" w:type="dxa"/>
            <w:shd w:val="clear" w:color="auto" w:fill="auto"/>
            <w:tcMar>
              <w:top w:w="28" w:type="dxa"/>
              <w:bottom w:w="28" w:type="dxa"/>
            </w:tcMar>
          </w:tcPr>
          <w:p w14:paraId="5BA8BDFE"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National Tsunami Warning Center </w:t>
            </w:r>
          </w:p>
        </w:tc>
      </w:tr>
      <w:tr w:rsidR="00B54559" w:rsidRPr="00CB2078" w14:paraId="2A023FD2" w14:textId="77777777" w:rsidTr="007066D1">
        <w:tc>
          <w:tcPr>
            <w:tcW w:w="2498" w:type="dxa"/>
            <w:shd w:val="clear" w:color="auto" w:fill="auto"/>
            <w:tcMar>
              <w:top w:w="28" w:type="dxa"/>
              <w:bottom w:w="28" w:type="dxa"/>
            </w:tcMar>
          </w:tcPr>
          <w:p w14:paraId="6F25FFE9" w14:textId="59E6A655" w:rsidR="00B54559" w:rsidRDefault="00B54559" w:rsidP="007066D1">
            <w:pPr>
              <w:rPr>
                <w:rFonts w:ascii="Arial" w:hAnsi="Arial" w:cs="Arial"/>
                <w:b/>
                <w:sz w:val="22"/>
                <w:szCs w:val="22"/>
              </w:rPr>
            </w:pPr>
            <w:r>
              <w:rPr>
                <w:rFonts w:ascii="Arial" w:hAnsi="Arial" w:cs="Arial"/>
                <w:b/>
                <w:sz w:val="22"/>
                <w:szCs w:val="22"/>
              </w:rPr>
              <w:t>OBIS</w:t>
            </w:r>
          </w:p>
        </w:tc>
        <w:tc>
          <w:tcPr>
            <w:tcW w:w="6572" w:type="dxa"/>
            <w:shd w:val="clear" w:color="auto" w:fill="auto"/>
            <w:tcMar>
              <w:top w:w="28" w:type="dxa"/>
              <w:bottom w:w="28" w:type="dxa"/>
            </w:tcMar>
          </w:tcPr>
          <w:p w14:paraId="1FD7847C" w14:textId="6C3D3FBB" w:rsidR="00B54559" w:rsidRPr="00B54559" w:rsidRDefault="00B54559" w:rsidP="007066D1">
            <w:pPr>
              <w:rPr>
                <w:rFonts w:ascii="Arial" w:hAnsi="Arial" w:cs="Arial"/>
                <w:sz w:val="22"/>
                <w:szCs w:val="22"/>
              </w:rPr>
            </w:pPr>
            <w:r w:rsidRPr="00B54559">
              <w:rPr>
                <w:rFonts w:ascii="Arial" w:hAnsi="Arial" w:cs="Arial"/>
                <w:sz w:val="22"/>
                <w:szCs w:val="22"/>
              </w:rPr>
              <w:t>Ocean Biodiversity Information System</w:t>
            </w:r>
          </w:p>
        </w:tc>
      </w:tr>
      <w:tr w:rsidR="00B54559" w:rsidRPr="00CB2078" w14:paraId="7BF6E3BD" w14:textId="77777777" w:rsidTr="007066D1">
        <w:tc>
          <w:tcPr>
            <w:tcW w:w="2498" w:type="dxa"/>
            <w:shd w:val="clear" w:color="auto" w:fill="auto"/>
            <w:tcMar>
              <w:top w:w="28" w:type="dxa"/>
              <w:bottom w:w="28" w:type="dxa"/>
            </w:tcMar>
          </w:tcPr>
          <w:p w14:paraId="20F770B4" w14:textId="343FEA57" w:rsidR="00B54559" w:rsidRDefault="00B54559" w:rsidP="007066D1">
            <w:pPr>
              <w:rPr>
                <w:rFonts w:ascii="Arial" w:hAnsi="Arial" w:cs="Arial"/>
                <w:b/>
                <w:sz w:val="22"/>
                <w:szCs w:val="22"/>
              </w:rPr>
            </w:pPr>
            <w:r>
              <w:rPr>
                <w:rFonts w:ascii="Arial" w:hAnsi="Arial" w:cs="Arial"/>
                <w:b/>
                <w:sz w:val="22"/>
                <w:szCs w:val="22"/>
              </w:rPr>
              <w:t>OBPS</w:t>
            </w:r>
          </w:p>
        </w:tc>
        <w:tc>
          <w:tcPr>
            <w:tcW w:w="6572" w:type="dxa"/>
            <w:shd w:val="clear" w:color="auto" w:fill="auto"/>
            <w:tcMar>
              <w:top w:w="28" w:type="dxa"/>
              <w:bottom w:w="28" w:type="dxa"/>
            </w:tcMar>
          </w:tcPr>
          <w:p w14:paraId="4FAB5C0B" w14:textId="0B6C8BC8" w:rsidR="00B54559" w:rsidRPr="00B54559" w:rsidRDefault="00B54559" w:rsidP="007066D1">
            <w:pPr>
              <w:rPr>
                <w:rFonts w:ascii="Arial" w:hAnsi="Arial" w:cs="Arial"/>
                <w:sz w:val="22"/>
                <w:szCs w:val="22"/>
              </w:rPr>
            </w:pPr>
            <w:r w:rsidRPr="00B54559">
              <w:rPr>
                <w:rFonts w:ascii="Arial" w:hAnsi="Arial" w:cs="Arial"/>
                <w:sz w:val="22"/>
                <w:szCs w:val="22"/>
              </w:rPr>
              <w:t>GOOS/IODE Ocean Best Practices System</w:t>
            </w:r>
          </w:p>
        </w:tc>
      </w:tr>
      <w:tr w:rsidR="00B54559" w:rsidRPr="00CB2078" w14:paraId="4DD98362" w14:textId="77777777" w:rsidTr="007066D1">
        <w:tc>
          <w:tcPr>
            <w:tcW w:w="2498" w:type="dxa"/>
            <w:shd w:val="clear" w:color="auto" w:fill="auto"/>
            <w:tcMar>
              <w:top w:w="28" w:type="dxa"/>
              <w:bottom w:w="28" w:type="dxa"/>
            </w:tcMar>
          </w:tcPr>
          <w:p w14:paraId="252EA06F" w14:textId="7C623E2D" w:rsidR="00B54559" w:rsidRPr="00500040" w:rsidRDefault="00B54559" w:rsidP="007066D1">
            <w:pPr>
              <w:rPr>
                <w:rFonts w:ascii="Arial" w:hAnsi="Arial" w:cs="Arial"/>
                <w:b/>
                <w:sz w:val="22"/>
                <w:szCs w:val="22"/>
              </w:rPr>
            </w:pPr>
            <w:r>
              <w:rPr>
                <w:rFonts w:ascii="Arial" w:hAnsi="Arial" w:cs="Arial"/>
                <w:b/>
                <w:sz w:val="22"/>
                <w:szCs w:val="22"/>
              </w:rPr>
              <w:t>ODIS</w:t>
            </w:r>
          </w:p>
        </w:tc>
        <w:tc>
          <w:tcPr>
            <w:tcW w:w="6572" w:type="dxa"/>
            <w:shd w:val="clear" w:color="auto" w:fill="auto"/>
            <w:tcMar>
              <w:top w:w="28" w:type="dxa"/>
              <w:bottom w:w="28" w:type="dxa"/>
            </w:tcMar>
          </w:tcPr>
          <w:p w14:paraId="08CD7A4D" w14:textId="6C62550A" w:rsidR="00B54559" w:rsidRPr="00500040" w:rsidRDefault="00B54559" w:rsidP="007066D1">
            <w:pPr>
              <w:rPr>
                <w:rFonts w:ascii="Arial" w:hAnsi="Arial" w:cs="Arial"/>
                <w:sz w:val="22"/>
                <w:szCs w:val="22"/>
              </w:rPr>
            </w:pPr>
            <w:r w:rsidRPr="00B54559">
              <w:rPr>
                <w:rFonts w:ascii="Arial" w:hAnsi="Arial" w:cs="Arial"/>
                <w:sz w:val="22"/>
                <w:szCs w:val="22"/>
              </w:rPr>
              <w:t>IOC Ocean Data and Information System Project</w:t>
            </w:r>
          </w:p>
        </w:tc>
      </w:tr>
      <w:tr w:rsidR="00A814D3" w:rsidRPr="00CB2078" w14:paraId="20FD084B" w14:textId="77777777" w:rsidTr="007066D1">
        <w:tc>
          <w:tcPr>
            <w:tcW w:w="2498" w:type="dxa"/>
            <w:shd w:val="clear" w:color="auto" w:fill="auto"/>
            <w:tcMar>
              <w:top w:w="28" w:type="dxa"/>
              <w:bottom w:w="28" w:type="dxa"/>
            </w:tcMar>
          </w:tcPr>
          <w:p w14:paraId="18B93810" w14:textId="77777777" w:rsidR="00A814D3" w:rsidRPr="00500040" w:rsidRDefault="00A814D3" w:rsidP="007066D1">
            <w:pPr>
              <w:rPr>
                <w:rFonts w:ascii="Arial" w:hAnsi="Arial" w:cs="Arial"/>
                <w:b/>
                <w:sz w:val="22"/>
                <w:szCs w:val="22"/>
              </w:rPr>
            </w:pPr>
            <w:r w:rsidRPr="00500040">
              <w:rPr>
                <w:rFonts w:ascii="Arial" w:hAnsi="Arial" w:cs="Arial"/>
                <w:b/>
                <w:sz w:val="22"/>
                <w:szCs w:val="22"/>
              </w:rPr>
              <w:t>ODTP</w:t>
            </w:r>
          </w:p>
        </w:tc>
        <w:tc>
          <w:tcPr>
            <w:tcW w:w="6572" w:type="dxa"/>
            <w:shd w:val="clear" w:color="auto" w:fill="auto"/>
            <w:tcMar>
              <w:top w:w="28" w:type="dxa"/>
              <w:bottom w:w="28" w:type="dxa"/>
            </w:tcMar>
          </w:tcPr>
          <w:p w14:paraId="14A88B84" w14:textId="77777777" w:rsidR="00A814D3" w:rsidRPr="00500040" w:rsidRDefault="00A814D3" w:rsidP="007066D1">
            <w:pPr>
              <w:rPr>
                <w:rFonts w:ascii="Arial" w:hAnsi="Arial" w:cs="Arial"/>
                <w:sz w:val="22"/>
                <w:szCs w:val="22"/>
              </w:rPr>
            </w:pPr>
            <w:r w:rsidRPr="00500040">
              <w:rPr>
                <w:rFonts w:ascii="Arial" w:hAnsi="Arial" w:cs="Arial"/>
                <w:sz w:val="22"/>
                <w:szCs w:val="22"/>
              </w:rPr>
              <w:t>Ocean Decade Tsunami Programme</w:t>
            </w:r>
          </w:p>
        </w:tc>
      </w:tr>
      <w:tr w:rsidR="00A814D3" w:rsidRPr="00CB2078" w14:paraId="11940543" w14:textId="77777777" w:rsidTr="007066D1">
        <w:tc>
          <w:tcPr>
            <w:tcW w:w="2498" w:type="dxa"/>
            <w:shd w:val="clear" w:color="auto" w:fill="auto"/>
            <w:tcMar>
              <w:top w:w="28" w:type="dxa"/>
              <w:bottom w:w="28" w:type="dxa"/>
            </w:tcMar>
          </w:tcPr>
          <w:p w14:paraId="2633E7B6" w14:textId="77777777" w:rsidR="00A814D3" w:rsidRPr="00500040" w:rsidRDefault="00A814D3" w:rsidP="007066D1">
            <w:pPr>
              <w:rPr>
                <w:rFonts w:ascii="Arial" w:hAnsi="Arial" w:cs="Arial"/>
                <w:b/>
                <w:sz w:val="22"/>
                <w:szCs w:val="22"/>
              </w:rPr>
            </w:pPr>
            <w:r w:rsidRPr="00500040">
              <w:rPr>
                <w:rFonts w:ascii="Arial" w:hAnsi="Arial" w:cs="Arial"/>
                <w:b/>
                <w:sz w:val="22"/>
                <w:szCs w:val="22"/>
              </w:rPr>
              <w:t>ODTP-SC</w:t>
            </w:r>
          </w:p>
        </w:tc>
        <w:tc>
          <w:tcPr>
            <w:tcW w:w="6572" w:type="dxa"/>
            <w:shd w:val="clear" w:color="auto" w:fill="auto"/>
            <w:tcMar>
              <w:top w:w="28" w:type="dxa"/>
              <w:bottom w:w="28" w:type="dxa"/>
            </w:tcMar>
          </w:tcPr>
          <w:p w14:paraId="304CE904" w14:textId="4B5F272D" w:rsidR="00A814D3" w:rsidRPr="00500040" w:rsidRDefault="00A814D3" w:rsidP="007066D1">
            <w:pPr>
              <w:rPr>
                <w:rFonts w:ascii="Arial" w:hAnsi="Arial" w:cs="Arial"/>
                <w:sz w:val="22"/>
                <w:szCs w:val="22"/>
              </w:rPr>
            </w:pPr>
            <w:r w:rsidRPr="00500040">
              <w:rPr>
                <w:rFonts w:ascii="Arial" w:hAnsi="Arial" w:cs="Arial"/>
                <w:sz w:val="22"/>
                <w:szCs w:val="22"/>
              </w:rPr>
              <w:t>Ocean Decade Tsunami Programme Scien</w:t>
            </w:r>
            <w:r w:rsidR="001C67AB">
              <w:rPr>
                <w:rFonts w:ascii="Arial" w:hAnsi="Arial" w:cs="Arial"/>
                <w:sz w:val="22"/>
                <w:szCs w:val="22"/>
              </w:rPr>
              <w:t>tific</w:t>
            </w:r>
            <w:r w:rsidRPr="00500040">
              <w:rPr>
                <w:rFonts w:ascii="Arial" w:hAnsi="Arial" w:cs="Arial"/>
                <w:sz w:val="22"/>
                <w:szCs w:val="22"/>
              </w:rPr>
              <w:t xml:space="preserve"> Committee</w:t>
            </w:r>
          </w:p>
        </w:tc>
      </w:tr>
      <w:tr w:rsidR="00B54559" w:rsidRPr="00CB2078" w14:paraId="0EBB3ABC" w14:textId="77777777" w:rsidTr="007066D1">
        <w:tc>
          <w:tcPr>
            <w:tcW w:w="2498" w:type="dxa"/>
            <w:shd w:val="clear" w:color="auto" w:fill="auto"/>
            <w:tcMar>
              <w:top w:w="28" w:type="dxa"/>
              <w:bottom w:w="28" w:type="dxa"/>
            </w:tcMar>
          </w:tcPr>
          <w:p w14:paraId="19E05D3E" w14:textId="2B9DA241" w:rsidR="00B54559" w:rsidRPr="00500040" w:rsidRDefault="00B54559" w:rsidP="007066D1">
            <w:pPr>
              <w:rPr>
                <w:rFonts w:ascii="Arial" w:hAnsi="Arial" w:cs="Arial"/>
                <w:b/>
                <w:sz w:val="22"/>
                <w:szCs w:val="22"/>
              </w:rPr>
            </w:pPr>
            <w:r>
              <w:rPr>
                <w:rFonts w:ascii="Arial" w:hAnsi="Arial" w:cs="Arial"/>
                <w:b/>
                <w:sz w:val="22"/>
                <w:szCs w:val="22"/>
              </w:rPr>
              <w:t>ORSNET</w:t>
            </w:r>
          </w:p>
        </w:tc>
        <w:tc>
          <w:tcPr>
            <w:tcW w:w="6572" w:type="dxa"/>
            <w:shd w:val="clear" w:color="auto" w:fill="auto"/>
            <w:tcMar>
              <w:top w:w="28" w:type="dxa"/>
              <w:bottom w:w="28" w:type="dxa"/>
            </w:tcMar>
          </w:tcPr>
          <w:p w14:paraId="4F65C81F" w14:textId="1C9E3C79" w:rsidR="00B54559" w:rsidRPr="00500040" w:rsidRDefault="00B54559" w:rsidP="007066D1">
            <w:pPr>
              <w:rPr>
                <w:rFonts w:ascii="Arial" w:hAnsi="Arial" w:cs="Arial"/>
                <w:sz w:val="22"/>
                <w:szCs w:val="22"/>
              </w:rPr>
            </w:pPr>
            <w:r w:rsidRPr="00B54559">
              <w:rPr>
                <w:rFonts w:ascii="Arial" w:hAnsi="Arial" w:cs="Arial"/>
                <w:sz w:val="22"/>
                <w:szCs w:val="22"/>
              </w:rPr>
              <w:t>Oceania Regional Seismic Network</w:t>
            </w:r>
          </w:p>
        </w:tc>
      </w:tr>
      <w:tr w:rsidR="00A814D3" w:rsidRPr="00CB2078" w14:paraId="2525B9A4" w14:textId="77777777" w:rsidTr="007066D1">
        <w:tc>
          <w:tcPr>
            <w:tcW w:w="2498" w:type="dxa"/>
            <w:shd w:val="clear" w:color="auto" w:fill="auto"/>
            <w:tcMar>
              <w:top w:w="28" w:type="dxa"/>
              <w:bottom w:w="28" w:type="dxa"/>
            </w:tcMar>
          </w:tcPr>
          <w:p w14:paraId="769AA7C4" w14:textId="77777777" w:rsidR="00A814D3" w:rsidRPr="00500040" w:rsidRDefault="00A814D3" w:rsidP="007066D1">
            <w:pPr>
              <w:rPr>
                <w:rFonts w:ascii="Arial" w:hAnsi="Arial" w:cs="Arial"/>
                <w:b/>
                <w:sz w:val="22"/>
                <w:szCs w:val="22"/>
              </w:rPr>
            </w:pPr>
            <w:r w:rsidRPr="00500040">
              <w:rPr>
                <w:rFonts w:ascii="Arial" w:hAnsi="Arial" w:cs="Arial"/>
                <w:b/>
                <w:sz w:val="22"/>
                <w:szCs w:val="22"/>
              </w:rPr>
              <w:t>OTGA</w:t>
            </w:r>
          </w:p>
        </w:tc>
        <w:tc>
          <w:tcPr>
            <w:tcW w:w="6572" w:type="dxa"/>
            <w:shd w:val="clear" w:color="auto" w:fill="auto"/>
            <w:tcMar>
              <w:top w:w="28" w:type="dxa"/>
              <w:bottom w:w="28" w:type="dxa"/>
            </w:tcMar>
          </w:tcPr>
          <w:p w14:paraId="2622EE89" w14:textId="77777777" w:rsidR="00A814D3" w:rsidRPr="00500040" w:rsidRDefault="00A814D3" w:rsidP="007066D1">
            <w:pPr>
              <w:rPr>
                <w:rFonts w:ascii="Arial" w:hAnsi="Arial" w:cs="Arial"/>
                <w:sz w:val="22"/>
                <w:szCs w:val="22"/>
              </w:rPr>
            </w:pPr>
            <w:r w:rsidRPr="00500040">
              <w:rPr>
                <w:rFonts w:ascii="Arial" w:hAnsi="Arial" w:cs="Arial"/>
                <w:sz w:val="22"/>
                <w:szCs w:val="22"/>
              </w:rPr>
              <w:t>Ocean Teacher Global Academy</w:t>
            </w:r>
          </w:p>
        </w:tc>
      </w:tr>
      <w:tr w:rsidR="00A814D3" w:rsidRPr="00CB2078" w14:paraId="7EB30089" w14:textId="77777777" w:rsidTr="007066D1">
        <w:tc>
          <w:tcPr>
            <w:tcW w:w="2498" w:type="dxa"/>
            <w:shd w:val="clear" w:color="auto" w:fill="auto"/>
            <w:tcMar>
              <w:top w:w="28" w:type="dxa"/>
              <w:bottom w:w="28" w:type="dxa"/>
            </w:tcMar>
          </w:tcPr>
          <w:p w14:paraId="334F8113" w14:textId="77777777" w:rsidR="00A814D3" w:rsidRPr="00500040" w:rsidRDefault="00A814D3" w:rsidP="007066D1">
            <w:pPr>
              <w:rPr>
                <w:rFonts w:ascii="Arial" w:hAnsi="Arial" w:cs="Arial"/>
                <w:b/>
                <w:sz w:val="22"/>
                <w:szCs w:val="22"/>
              </w:rPr>
            </w:pPr>
            <w:proofErr w:type="spellStart"/>
            <w:r w:rsidRPr="00500040">
              <w:rPr>
                <w:rFonts w:ascii="Arial" w:hAnsi="Arial" w:cs="Arial"/>
                <w:b/>
                <w:sz w:val="22"/>
                <w:szCs w:val="22"/>
              </w:rPr>
              <w:t>PacWave</w:t>
            </w:r>
            <w:proofErr w:type="spellEnd"/>
          </w:p>
        </w:tc>
        <w:tc>
          <w:tcPr>
            <w:tcW w:w="6572" w:type="dxa"/>
            <w:shd w:val="clear" w:color="auto" w:fill="auto"/>
            <w:tcMar>
              <w:top w:w="28" w:type="dxa"/>
              <w:bottom w:w="28" w:type="dxa"/>
            </w:tcMar>
          </w:tcPr>
          <w:p w14:paraId="0C178E19"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Pacific Wave Exercise </w:t>
            </w:r>
          </w:p>
        </w:tc>
      </w:tr>
      <w:tr w:rsidR="007D6F1C" w:rsidRPr="00CB2078" w14:paraId="0EB1F277" w14:textId="77777777" w:rsidTr="007066D1">
        <w:tc>
          <w:tcPr>
            <w:tcW w:w="2498" w:type="dxa"/>
            <w:shd w:val="clear" w:color="auto" w:fill="auto"/>
            <w:tcMar>
              <w:top w:w="28" w:type="dxa"/>
              <w:bottom w:w="28" w:type="dxa"/>
            </w:tcMar>
          </w:tcPr>
          <w:p w14:paraId="3D22E374" w14:textId="6CC03BF9" w:rsidR="007D6F1C" w:rsidRPr="00500040" w:rsidRDefault="007D6F1C" w:rsidP="007066D1">
            <w:pPr>
              <w:rPr>
                <w:rFonts w:ascii="Arial" w:hAnsi="Arial" w:cs="Arial"/>
                <w:b/>
                <w:sz w:val="22"/>
                <w:szCs w:val="22"/>
              </w:rPr>
            </w:pPr>
            <w:r>
              <w:rPr>
                <w:rFonts w:ascii="Arial" w:hAnsi="Arial" w:cs="Arial"/>
                <w:b/>
                <w:sz w:val="22"/>
                <w:szCs w:val="22"/>
              </w:rPr>
              <w:t>PICT</w:t>
            </w:r>
          </w:p>
        </w:tc>
        <w:tc>
          <w:tcPr>
            <w:tcW w:w="6572" w:type="dxa"/>
            <w:shd w:val="clear" w:color="auto" w:fill="auto"/>
            <w:tcMar>
              <w:top w:w="28" w:type="dxa"/>
              <w:bottom w:w="28" w:type="dxa"/>
            </w:tcMar>
          </w:tcPr>
          <w:p w14:paraId="7E7CA424" w14:textId="52B11BBC" w:rsidR="007D6F1C" w:rsidRPr="00500040" w:rsidRDefault="007D6F1C" w:rsidP="007066D1">
            <w:pPr>
              <w:rPr>
                <w:rFonts w:ascii="Arial" w:hAnsi="Arial" w:cs="Arial"/>
                <w:sz w:val="22"/>
                <w:szCs w:val="22"/>
              </w:rPr>
            </w:pPr>
            <w:r>
              <w:rPr>
                <w:rFonts w:ascii="Arial" w:hAnsi="Arial" w:cs="Arial"/>
                <w:sz w:val="22"/>
                <w:szCs w:val="22"/>
              </w:rPr>
              <w:t>Pacific Island Countries and Territories</w:t>
            </w:r>
          </w:p>
        </w:tc>
      </w:tr>
      <w:tr w:rsidR="00A814D3" w:rsidRPr="00CB2078" w14:paraId="0F567892" w14:textId="77777777" w:rsidTr="007066D1">
        <w:tc>
          <w:tcPr>
            <w:tcW w:w="2498" w:type="dxa"/>
            <w:shd w:val="clear" w:color="auto" w:fill="auto"/>
            <w:tcMar>
              <w:top w:w="28" w:type="dxa"/>
              <w:bottom w:w="28" w:type="dxa"/>
            </w:tcMar>
          </w:tcPr>
          <w:p w14:paraId="34289576" w14:textId="77777777" w:rsidR="00A814D3" w:rsidRPr="00500040" w:rsidRDefault="00A814D3" w:rsidP="007066D1">
            <w:pPr>
              <w:rPr>
                <w:rFonts w:ascii="Arial" w:hAnsi="Arial" w:cs="Arial"/>
                <w:b/>
                <w:sz w:val="22"/>
                <w:szCs w:val="22"/>
              </w:rPr>
            </w:pPr>
            <w:r w:rsidRPr="00500040">
              <w:rPr>
                <w:rFonts w:ascii="Arial" w:hAnsi="Arial" w:cs="Arial"/>
                <w:b/>
                <w:sz w:val="22"/>
                <w:szCs w:val="22"/>
              </w:rPr>
              <w:t>PTWC</w:t>
            </w:r>
          </w:p>
        </w:tc>
        <w:tc>
          <w:tcPr>
            <w:tcW w:w="6572" w:type="dxa"/>
            <w:shd w:val="clear" w:color="auto" w:fill="auto"/>
            <w:tcMar>
              <w:top w:w="28" w:type="dxa"/>
              <w:bottom w:w="28" w:type="dxa"/>
            </w:tcMar>
          </w:tcPr>
          <w:p w14:paraId="13FA95EE"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Pacific Tsunami Warning Centre </w:t>
            </w:r>
          </w:p>
        </w:tc>
      </w:tr>
      <w:tr w:rsidR="00A814D3" w:rsidRPr="00CB2078" w14:paraId="7D82950D" w14:textId="77777777" w:rsidTr="007066D1">
        <w:tc>
          <w:tcPr>
            <w:tcW w:w="2498" w:type="dxa"/>
            <w:shd w:val="clear" w:color="auto" w:fill="auto"/>
            <w:tcMar>
              <w:top w:w="28" w:type="dxa"/>
              <w:bottom w:w="28" w:type="dxa"/>
            </w:tcMar>
          </w:tcPr>
          <w:p w14:paraId="035C39DB" w14:textId="77777777" w:rsidR="00A814D3" w:rsidRPr="00500040" w:rsidRDefault="00A814D3" w:rsidP="007066D1">
            <w:pPr>
              <w:rPr>
                <w:rFonts w:ascii="Arial" w:hAnsi="Arial" w:cs="Arial"/>
                <w:b/>
                <w:sz w:val="22"/>
                <w:szCs w:val="22"/>
              </w:rPr>
            </w:pPr>
            <w:r w:rsidRPr="00500040">
              <w:rPr>
                <w:rFonts w:ascii="Arial" w:hAnsi="Arial" w:cs="Arial"/>
                <w:b/>
                <w:sz w:val="22"/>
                <w:szCs w:val="22"/>
              </w:rPr>
              <w:t>PTWS</w:t>
            </w:r>
          </w:p>
        </w:tc>
        <w:tc>
          <w:tcPr>
            <w:tcW w:w="6572" w:type="dxa"/>
            <w:shd w:val="clear" w:color="auto" w:fill="auto"/>
            <w:tcMar>
              <w:top w:w="28" w:type="dxa"/>
              <w:bottom w:w="28" w:type="dxa"/>
            </w:tcMar>
          </w:tcPr>
          <w:p w14:paraId="04243E9C" w14:textId="77777777" w:rsidR="00A814D3" w:rsidRPr="00500040" w:rsidRDefault="00A814D3" w:rsidP="007066D1">
            <w:pPr>
              <w:rPr>
                <w:rFonts w:ascii="Arial" w:hAnsi="Arial" w:cs="Arial"/>
                <w:sz w:val="22"/>
                <w:szCs w:val="22"/>
              </w:rPr>
            </w:pPr>
            <w:bookmarkStart w:id="394" w:name="_Toc418154721"/>
            <w:r w:rsidRPr="00500040">
              <w:rPr>
                <w:rFonts w:ascii="Arial" w:hAnsi="Arial" w:cs="Arial"/>
                <w:sz w:val="22"/>
                <w:szCs w:val="22"/>
              </w:rPr>
              <w:t xml:space="preserve">Pacific Tsunami Warning and Mitigation System </w:t>
            </w:r>
            <w:bookmarkEnd w:id="394"/>
          </w:p>
        </w:tc>
      </w:tr>
      <w:tr w:rsidR="00A814D3" w:rsidRPr="00CB2078" w14:paraId="473A604C" w14:textId="77777777" w:rsidTr="007066D1">
        <w:tc>
          <w:tcPr>
            <w:tcW w:w="2498" w:type="dxa"/>
            <w:shd w:val="clear" w:color="auto" w:fill="auto"/>
            <w:tcMar>
              <w:top w:w="28" w:type="dxa"/>
              <w:bottom w:w="28" w:type="dxa"/>
            </w:tcMar>
          </w:tcPr>
          <w:p w14:paraId="159CFE46" w14:textId="77777777" w:rsidR="00A814D3" w:rsidRPr="00500040" w:rsidRDefault="00A814D3" w:rsidP="007066D1">
            <w:pPr>
              <w:rPr>
                <w:rFonts w:ascii="Arial" w:hAnsi="Arial" w:cs="Arial"/>
                <w:b/>
                <w:sz w:val="22"/>
                <w:szCs w:val="22"/>
              </w:rPr>
            </w:pPr>
            <w:r w:rsidRPr="00500040">
              <w:rPr>
                <w:rFonts w:ascii="Arial" w:hAnsi="Arial" w:cs="Arial"/>
                <w:b/>
                <w:sz w:val="22"/>
                <w:szCs w:val="22"/>
              </w:rPr>
              <w:lastRenderedPageBreak/>
              <w:t>SC-DRR</w:t>
            </w:r>
          </w:p>
        </w:tc>
        <w:tc>
          <w:tcPr>
            <w:tcW w:w="6572" w:type="dxa"/>
            <w:shd w:val="clear" w:color="auto" w:fill="auto"/>
            <w:tcMar>
              <w:top w:w="28" w:type="dxa"/>
              <w:bottom w:w="28" w:type="dxa"/>
            </w:tcMar>
          </w:tcPr>
          <w:p w14:paraId="42D3824B" w14:textId="77777777" w:rsidR="00A814D3" w:rsidRPr="00500040" w:rsidRDefault="00A814D3" w:rsidP="007066D1">
            <w:pPr>
              <w:rPr>
                <w:rFonts w:ascii="Arial" w:hAnsi="Arial" w:cs="Arial"/>
                <w:bCs/>
                <w:sz w:val="22"/>
                <w:szCs w:val="22"/>
                <w:lang w:val="en-US"/>
              </w:rPr>
            </w:pPr>
            <w:r w:rsidRPr="00500040">
              <w:rPr>
                <w:rFonts w:ascii="Arial" w:hAnsi="Arial" w:cs="Arial"/>
                <w:bCs/>
                <w:sz w:val="22"/>
                <w:szCs w:val="22"/>
                <w:lang w:val="en-US"/>
              </w:rPr>
              <w:t>Standing Committee on Disaster Risk Reduction and Public Services (in SERCOM, WMO)</w:t>
            </w:r>
          </w:p>
        </w:tc>
      </w:tr>
      <w:tr w:rsidR="00A814D3" w:rsidRPr="00CB2078" w14:paraId="444F9A31" w14:textId="77777777" w:rsidTr="007066D1">
        <w:tc>
          <w:tcPr>
            <w:tcW w:w="2498" w:type="dxa"/>
            <w:shd w:val="clear" w:color="auto" w:fill="auto"/>
            <w:tcMar>
              <w:top w:w="28" w:type="dxa"/>
              <w:bottom w:w="28" w:type="dxa"/>
            </w:tcMar>
          </w:tcPr>
          <w:p w14:paraId="258D106A" w14:textId="77777777" w:rsidR="00A814D3" w:rsidRPr="00500040" w:rsidRDefault="00A814D3" w:rsidP="007066D1">
            <w:pPr>
              <w:rPr>
                <w:rFonts w:ascii="Arial" w:hAnsi="Arial" w:cs="Arial"/>
                <w:b/>
                <w:sz w:val="22"/>
                <w:szCs w:val="22"/>
              </w:rPr>
            </w:pPr>
            <w:r w:rsidRPr="00500040">
              <w:rPr>
                <w:rFonts w:ascii="Arial" w:hAnsi="Arial" w:cs="Arial"/>
                <w:b/>
                <w:sz w:val="22"/>
                <w:szCs w:val="22"/>
              </w:rPr>
              <w:t>SC-MMO</w:t>
            </w:r>
          </w:p>
        </w:tc>
        <w:tc>
          <w:tcPr>
            <w:tcW w:w="6572" w:type="dxa"/>
            <w:shd w:val="clear" w:color="auto" w:fill="auto"/>
            <w:tcMar>
              <w:top w:w="28" w:type="dxa"/>
              <w:bottom w:w="28" w:type="dxa"/>
            </w:tcMar>
          </w:tcPr>
          <w:p w14:paraId="2FBB6CF4" w14:textId="77777777" w:rsidR="00A814D3" w:rsidRPr="00500040" w:rsidRDefault="00A814D3" w:rsidP="007066D1">
            <w:pPr>
              <w:rPr>
                <w:rFonts w:ascii="Arial" w:hAnsi="Arial" w:cs="Arial"/>
                <w:sz w:val="22"/>
                <w:szCs w:val="22"/>
              </w:rPr>
            </w:pPr>
            <w:r w:rsidRPr="00500040">
              <w:rPr>
                <w:rFonts w:ascii="Arial" w:hAnsi="Arial" w:cs="Arial"/>
                <w:bCs/>
                <w:sz w:val="22"/>
                <w:szCs w:val="22"/>
                <w:lang w:val="en-US"/>
              </w:rPr>
              <w:t xml:space="preserve">Standing Committee on Marine Meteorological and </w:t>
            </w:r>
            <w:proofErr w:type="spellStart"/>
            <w:r w:rsidRPr="00500040">
              <w:rPr>
                <w:rFonts w:ascii="Arial" w:hAnsi="Arial" w:cs="Arial"/>
                <w:bCs/>
                <w:sz w:val="22"/>
                <w:szCs w:val="22"/>
                <w:lang w:val="en-US"/>
              </w:rPr>
              <w:t>Oceanogrpahic</w:t>
            </w:r>
            <w:proofErr w:type="spellEnd"/>
            <w:r w:rsidRPr="00500040">
              <w:rPr>
                <w:rFonts w:ascii="Arial" w:hAnsi="Arial" w:cs="Arial"/>
                <w:bCs/>
                <w:sz w:val="22"/>
                <w:szCs w:val="22"/>
                <w:lang w:val="en-US"/>
              </w:rPr>
              <w:t xml:space="preserve"> Services (in SERCOM, WMO)</w:t>
            </w:r>
          </w:p>
        </w:tc>
      </w:tr>
      <w:tr w:rsidR="00030E8B" w:rsidRPr="00CB2078" w14:paraId="5F3D3A85" w14:textId="77777777" w:rsidTr="007066D1">
        <w:tc>
          <w:tcPr>
            <w:tcW w:w="2498" w:type="dxa"/>
            <w:shd w:val="clear" w:color="auto" w:fill="auto"/>
            <w:tcMar>
              <w:top w:w="28" w:type="dxa"/>
              <w:bottom w:w="28" w:type="dxa"/>
            </w:tcMar>
          </w:tcPr>
          <w:p w14:paraId="79C0D9B8" w14:textId="26DECB74" w:rsidR="00030E8B" w:rsidRDefault="00030E8B" w:rsidP="007066D1">
            <w:pPr>
              <w:rPr>
                <w:rFonts w:ascii="Arial" w:hAnsi="Arial" w:cs="Arial"/>
                <w:b/>
                <w:sz w:val="22"/>
                <w:szCs w:val="22"/>
              </w:rPr>
            </w:pPr>
            <w:r>
              <w:rPr>
                <w:rFonts w:ascii="Arial" w:hAnsi="Arial" w:cs="Arial"/>
                <w:b/>
                <w:sz w:val="22"/>
                <w:szCs w:val="22"/>
              </w:rPr>
              <w:t>SCSTAC</w:t>
            </w:r>
          </w:p>
        </w:tc>
        <w:tc>
          <w:tcPr>
            <w:tcW w:w="6572" w:type="dxa"/>
            <w:shd w:val="clear" w:color="auto" w:fill="auto"/>
            <w:tcMar>
              <w:top w:w="28" w:type="dxa"/>
              <w:bottom w:w="28" w:type="dxa"/>
            </w:tcMar>
          </w:tcPr>
          <w:p w14:paraId="766D6EB6" w14:textId="105C8976" w:rsidR="00030E8B" w:rsidRDefault="00030E8B" w:rsidP="007066D1">
            <w:pPr>
              <w:rPr>
                <w:rFonts w:ascii="Arial" w:hAnsi="Arial" w:cs="Arial"/>
                <w:bCs/>
                <w:sz w:val="22"/>
                <w:szCs w:val="22"/>
                <w:lang w:val="en-US"/>
              </w:rPr>
            </w:pPr>
            <w:r w:rsidRPr="00030E8B">
              <w:rPr>
                <w:rFonts w:ascii="Arial" w:hAnsi="Arial" w:cs="Arial"/>
                <w:bCs/>
                <w:sz w:val="22"/>
                <w:szCs w:val="22"/>
                <w:lang w:val="en-US"/>
              </w:rPr>
              <w:t>South China Sea Tsunami Advisory Center</w:t>
            </w:r>
            <w:r>
              <w:rPr>
                <w:rFonts w:ascii="Arial" w:hAnsi="Arial" w:cs="Arial"/>
                <w:bCs/>
                <w:sz w:val="22"/>
                <w:szCs w:val="22"/>
                <w:lang w:val="en-US"/>
              </w:rPr>
              <w:t xml:space="preserve"> </w:t>
            </w:r>
          </w:p>
        </w:tc>
      </w:tr>
      <w:tr w:rsidR="001C67AB" w:rsidRPr="00CB2078" w14:paraId="249802FC" w14:textId="77777777" w:rsidTr="007066D1">
        <w:tc>
          <w:tcPr>
            <w:tcW w:w="2498" w:type="dxa"/>
            <w:shd w:val="clear" w:color="auto" w:fill="auto"/>
            <w:tcMar>
              <w:top w:w="28" w:type="dxa"/>
              <w:bottom w:w="28" w:type="dxa"/>
            </w:tcMar>
          </w:tcPr>
          <w:p w14:paraId="78C93C8B" w14:textId="69C6B226" w:rsidR="001C67AB" w:rsidRPr="00500040" w:rsidRDefault="001C67AB" w:rsidP="007066D1">
            <w:pPr>
              <w:rPr>
                <w:rFonts w:ascii="Arial" w:hAnsi="Arial" w:cs="Arial"/>
                <w:b/>
                <w:sz w:val="22"/>
                <w:szCs w:val="22"/>
              </w:rPr>
            </w:pPr>
            <w:r>
              <w:rPr>
                <w:rFonts w:ascii="Arial" w:hAnsi="Arial" w:cs="Arial"/>
                <w:b/>
                <w:sz w:val="22"/>
                <w:szCs w:val="22"/>
              </w:rPr>
              <w:t>SDGs</w:t>
            </w:r>
          </w:p>
        </w:tc>
        <w:tc>
          <w:tcPr>
            <w:tcW w:w="6572" w:type="dxa"/>
            <w:shd w:val="clear" w:color="auto" w:fill="auto"/>
            <w:tcMar>
              <w:top w:w="28" w:type="dxa"/>
              <w:bottom w:w="28" w:type="dxa"/>
            </w:tcMar>
          </w:tcPr>
          <w:p w14:paraId="5B248F3D" w14:textId="06AD568B" w:rsidR="001C67AB" w:rsidRPr="00500040" w:rsidRDefault="001C67AB" w:rsidP="007066D1">
            <w:pPr>
              <w:rPr>
                <w:rFonts w:ascii="Arial" w:hAnsi="Arial" w:cs="Arial"/>
                <w:bCs/>
                <w:sz w:val="22"/>
                <w:szCs w:val="22"/>
                <w:lang w:val="en-US"/>
              </w:rPr>
            </w:pPr>
            <w:r>
              <w:rPr>
                <w:rFonts w:ascii="Arial" w:hAnsi="Arial" w:cs="Arial"/>
                <w:bCs/>
                <w:sz w:val="22"/>
                <w:szCs w:val="22"/>
                <w:lang w:val="en-US"/>
              </w:rPr>
              <w:t>Sustainable Development Goals</w:t>
            </w:r>
          </w:p>
        </w:tc>
      </w:tr>
      <w:tr w:rsidR="00B54559" w:rsidRPr="00CB2078" w14:paraId="62B8223A" w14:textId="77777777" w:rsidTr="007066D1">
        <w:tc>
          <w:tcPr>
            <w:tcW w:w="2498" w:type="dxa"/>
            <w:shd w:val="clear" w:color="auto" w:fill="auto"/>
            <w:tcMar>
              <w:top w:w="28" w:type="dxa"/>
              <w:bottom w:w="28" w:type="dxa"/>
            </w:tcMar>
          </w:tcPr>
          <w:p w14:paraId="0A631052" w14:textId="564AA8A8" w:rsidR="00B54559" w:rsidRPr="00500040" w:rsidRDefault="00B54559" w:rsidP="007066D1">
            <w:pPr>
              <w:rPr>
                <w:rFonts w:ascii="Arial" w:hAnsi="Arial" w:cs="Arial"/>
                <w:b/>
                <w:sz w:val="22"/>
                <w:szCs w:val="22"/>
              </w:rPr>
            </w:pPr>
            <w:r>
              <w:rPr>
                <w:rFonts w:ascii="Arial" w:hAnsi="Arial" w:cs="Arial"/>
                <w:b/>
                <w:sz w:val="22"/>
                <w:szCs w:val="22"/>
              </w:rPr>
              <w:t>SEP</w:t>
            </w:r>
          </w:p>
        </w:tc>
        <w:tc>
          <w:tcPr>
            <w:tcW w:w="6572" w:type="dxa"/>
            <w:shd w:val="clear" w:color="auto" w:fill="auto"/>
            <w:tcMar>
              <w:top w:w="28" w:type="dxa"/>
              <w:bottom w:w="28" w:type="dxa"/>
            </w:tcMar>
          </w:tcPr>
          <w:p w14:paraId="1575C94C" w14:textId="6632694F" w:rsidR="00B54559" w:rsidRPr="00500040" w:rsidRDefault="00B54559" w:rsidP="007066D1">
            <w:pPr>
              <w:rPr>
                <w:rFonts w:ascii="Arial" w:hAnsi="Arial" w:cs="Arial"/>
                <w:bCs/>
                <w:sz w:val="22"/>
                <w:szCs w:val="22"/>
                <w:lang w:val="en-US"/>
              </w:rPr>
            </w:pPr>
            <w:r>
              <w:rPr>
                <w:rFonts w:ascii="Arial" w:hAnsi="Arial" w:cs="Arial"/>
                <w:bCs/>
                <w:sz w:val="22"/>
                <w:szCs w:val="22"/>
                <w:lang w:val="en-US"/>
              </w:rPr>
              <w:t>South-East Pacific</w:t>
            </w:r>
          </w:p>
        </w:tc>
      </w:tr>
      <w:tr w:rsidR="00A814D3" w:rsidRPr="00CB2078" w14:paraId="444932C0" w14:textId="77777777" w:rsidTr="007066D1">
        <w:tc>
          <w:tcPr>
            <w:tcW w:w="2498" w:type="dxa"/>
            <w:shd w:val="clear" w:color="auto" w:fill="auto"/>
            <w:tcMar>
              <w:top w:w="28" w:type="dxa"/>
              <w:bottom w:w="28" w:type="dxa"/>
            </w:tcMar>
          </w:tcPr>
          <w:p w14:paraId="3CDB2391" w14:textId="77777777" w:rsidR="00A814D3" w:rsidRPr="00500040" w:rsidRDefault="00A814D3" w:rsidP="007066D1">
            <w:pPr>
              <w:rPr>
                <w:rFonts w:ascii="Arial" w:hAnsi="Arial" w:cs="Arial"/>
                <w:b/>
                <w:sz w:val="22"/>
                <w:szCs w:val="22"/>
              </w:rPr>
            </w:pPr>
            <w:r w:rsidRPr="00500040">
              <w:rPr>
                <w:rFonts w:ascii="Arial" w:hAnsi="Arial" w:cs="Arial"/>
                <w:b/>
                <w:sz w:val="22"/>
                <w:szCs w:val="22"/>
              </w:rPr>
              <w:t>SERCOM</w:t>
            </w:r>
          </w:p>
        </w:tc>
        <w:tc>
          <w:tcPr>
            <w:tcW w:w="6572" w:type="dxa"/>
            <w:shd w:val="clear" w:color="auto" w:fill="auto"/>
            <w:tcMar>
              <w:top w:w="28" w:type="dxa"/>
              <w:bottom w:w="28" w:type="dxa"/>
            </w:tcMar>
          </w:tcPr>
          <w:p w14:paraId="3DF03C61" w14:textId="77777777" w:rsidR="00A814D3" w:rsidRPr="00500040" w:rsidRDefault="00A814D3" w:rsidP="007066D1">
            <w:pPr>
              <w:rPr>
                <w:rFonts w:ascii="Arial" w:hAnsi="Arial" w:cs="Arial"/>
                <w:sz w:val="22"/>
                <w:szCs w:val="22"/>
              </w:rPr>
            </w:pPr>
            <w:r w:rsidRPr="00500040">
              <w:rPr>
                <w:rFonts w:ascii="Arial" w:hAnsi="Arial" w:cs="Arial"/>
                <w:bCs/>
                <w:sz w:val="22"/>
                <w:szCs w:val="22"/>
                <w:lang w:val="en-US"/>
              </w:rPr>
              <w:t>Commission for Weather, Climate, Water and Related Environmental Services and Applications (WMO)</w:t>
            </w:r>
          </w:p>
        </w:tc>
      </w:tr>
      <w:tr w:rsidR="00A814D3" w:rsidRPr="00CB2078" w14:paraId="377A20ED" w14:textId="77777777" w:rsidTr="007066D1">
        <w:tc>
          <w:tcPr>
            <w:tcW w:w="2498" w:type="dxa"/>
            <w:shd w:val="clear" w:color="auto" w:fill="auto"/>
            <w:tcMar>
              <w:top w:w="28" w:type="dxa"/>
              <w:bottom w:w="28" w:type="dxa"/>
            </w:tcMar>
          </w:tcPr>
          <w:p w14:paraId="472CBD9A" w14:textId="77777777" w:rsidR="00A814D3" w:rsidRPr="00500040" w:rsidRDefault="00A814D3" w:rsidP="007066D1">
            <w:pPr>
              <w:rPr>
                <w:rFonts w:ascii="Arial" w:hAnsi="Arial" w:cs="Arial"/>
                <w:b/>
                <w:sz w:val="22"/>
                <w:szCs w:val="22"/>
              </w:rPr>
            </w:pPr>
            <w:r w:rsidRPr="00500040">
              <w:rPr>
                <w:rFonts w:ascii="Arial" w:hAnsi="Arial" w:cs="Arial"/>
                <w:b/>
                <w:sz w:val="22"/>
                <w:szCs w:val="22"/>
              </w:rPr>
              <w:t>SFDRR</w:t>
            </w:r>
          </w:p>
        </w:tc>
        <w:tc>
          <w:tcPr>
            <w:tcW w:w="6572" w:type="dxa"/>
            <w:shd w:val="clear" w:color="auto" w:fill="auto"/>
            <w:tcMar>
              <w:top w:w="28" w:type="dxa"/>
              <w:bottom w:w="28" w:type="dxa"/>
            </w:tcMar>
          </w:tcPr>
          <w:p w14:paraId="1A728C39" w14:textId="77777777" w:rsidR="00A814D3" w:rsidRPr="00500040" w:rsidRDefault="00A814D3" w:rsidP="007066D1">
            <w:pPr>
              <w:rPr>
                <w:rFonts w:ascii="Arial" w:hAnsi="Arial" w:cs="Arial"/>
                <w:sz w:val="22"/>
                <w:szCs w:val="22"/>
              </w:rPr>
            </w:pPr>
            <w:r w:rsidRPr="00500040">
              <w:rPr>
                <w:rFonts w:ascii="Arial" w:hAnsi="Arial" w:cs="Arial"/>
                <w:sz w:val="22"/>
                <w:szCs w:val="22"/>
              </w:rPr>
              <w:t>Sendai Framework for Disaster Risk Reduction</w:t>
            </w:r>
          </w:p>
        </w:tc>
      </w:tr>
      <w:tr w:rsidR="00A814D3" w:rsidRPr="00CB2078" w14:paraId="4195A8C4" w14:textId="77777777" w:rsidTr="007066D1">
        <w:tc>
          <w:tcPr>
            <w:tcW w:w="2498" w:type="dxa"/>
            <w:shd w:val="clear" w:color="auto" w:fill="auto"/>
            <w:tcMar>
              <w:top w:w="28" w:type="dxa"/>
              <w:bottom w:w="28" w:type="dxa"/>
            </w:tcMar>
          </w:tcPr>
          <w:p w14:paraId="634E031B" w14:textId="77777777" w:rsidR="00A814D3" w:rsidRPr="00500040" w:rsidRDefault="00A814D3" w:rsidP="007066D1">
            <w:pPr>
              <w:rPr>
                <w:rFonts w:ascii="Arial" w:hAnsi="Arial" w:cs="Arial"/>
                <w:b/>
                <w:sz w:val="22"/>
                <w:szCs w:val="22"/>
              </w:rPr>
            </w:pPr>
            <w:r w:rsidRPr="00500040">
              <w:rPr>
                <w:rFonts w:ascii="Arial" w:hAnsi="Arial" w:cs="Arial"/>
                <w:b/>
                <w:sz w:val="22"/>
                <w:szCs w:val="22"/>
              </w:rPr>
              <w:t>SIDS</w:t>
            </w:r>
          </w:p>
        </w:tc>
        <w:tc>
          <w:tcPr>
            <w:tcW w:w="6572" w:type="dxa"/>
            <w:shd w:val="clear" w:color="auto" w:fill="auto"/>
            <w:tcMar>
              <w:top w:w="28" w:type="dxa"/>
              <w:bottom w:w="28" w:type="dxa"/>
            </w:tcMar>
          </w:tcPr>
          <w:p w14:paraId="42DA08F0" w14:textId="77777777" w:rsidR="00A814D3" w:rsidRPr="00500040" w:rsidRDefault="00A814D3" w:rsidP="007066D1">
            <w:pPr>
              <w:rPr>
                <w:rFonts w:ascii="Arial" w:hAnsi="Arial" w:cs="Arial"/>
                <w:sz w:val="22"/>
                <w:szCs w:val="22"/>
              </w:rPr>
            </w:pPr>
            <w:r w:rsidRPr="00500040">
              <w:rPr>
                <w:rFonts w:ascii="Arial" w:hAnsi="Arial" w:cs="Arial"/>
                <w:sz w:val="22"/>
                <w:szCs w:val="22"/>
              </w:rPr>
              <w:t>Small Island developing States</w:t>
            </w:r>
          </w:p>
        </w:tc>
      </w:tr>
      <w:tr w:rsidR="00CB1AD3" w:rsidRPr="00CB2078" w14:paraId="3B0378E5" w14:textId="77777777" w:rsidTr="007066D1">
        <w:tc>
          <w:tcPr>
            <w:tcW w:w="2498" w:type="dxa"/>
            <w:shd w:val="clear" w:color="auto" w:fill="auto"/>
            <w:tcMar>
              <w:top w:w="28" w:type="dxa"/>
              <w:bottom w:w="28" w:type="dxa"/>
            </w:tcMar>
          </w:tcPr>
          <w:p w14:paraId="6F6129FA" w14:textId="5B8AEE40" w:rsidR="00CB1AD3" w:rsidRPr="00CB1AD3" w:rsidRDefault="00CB1AD3" w:rsidP="007066D1">
            <w:pPr>
              <w:rPr>
                <w:rFonts w:ascii="Arial" w:hAnsi="Arial" w:cs="Arial"/>
                <w:b/>
                <w:bCs/>
                <w:sz w:val="22"/>
                <w:szCs w:val="22"/>
              </w:rPr>
            </w:pPr>
            <w:r w:rsidRPr="00CB1AD3">
              <w:rPr>
                <w:rFonts w:ascii="Arial" w:hAnsi="Arial" w:cs="Arial"/>
                <w:b/>
                <w:bCs/>
                <w:sz w:val="22"/>
                <w:szCs w:val="22"/>
              </w:rPr>
              <w:t>SMA</w:t>
            </w:r>
          </w:p>
        </w:tc>
        <w:tc>
          <w:tcPr>
            <w:tcW w:w="6572" w:type="dxa"/>
            <w:shd w:val="clear" w:color="auto" w:fill="auto"/>
            <w:tcMar>
              <w:top w:w="28" w:type="dxa"/>
              <w:bottom w:w="28" w:type="dxa"/>
            </w:tcMar>
          </w:tcPr>
          <w:p w14:paraId="7D943D60" w14:textId="0F74B752" w:rsidR="00CB1AD3" w:rsidRPr="00500040" w:rsidRDefault="00CB1AD3" w:rsidP="007066D1">
            <w:pPr>
              <w:rPr>
                <w:rFonts w:ascii="Arial" w:hAnsi="Arial" w:cs="Arial"/>
                <w:sz w:val="22"/>
                <w:szCs w:val="22"/>
              </w:rPr>
            </w:pPr>
            <w:proofErr w:type="spellStart"/>
            <w:r w:rsidRPr="00CB1AD3">
              <w:rPr>
                <w:rFonts w:ascii="Arial" w:hAnsi="Arial" w:cs="Arial"/>
                <w:sz w:val="22"/>
                <w:szCs w:val="22"/>
              </w:rPr>
              <w:t>Sesmic</w:t>
            </w:r>
            <w:proofErr w:type="spellEnd"/>
            <w:r w:rsidRPr="00CB1AD3">
              <w:rPr>
                <w:rFonts w:ascii="Arial" w:hAnsi="Arial" w:cs="Arial"/>
                <w:sz w:val="22"/>
                <w:szCs w:val="22"/>
              </w:rPr>
              <w:t xml:space="preserve"> Margin Assessment </w:t>
            </w:r>
          </w:p>
        </w:tc>
      </w:tr>
      <w:tr w:rsidR="00A814D3" w:rsidRPr="00CB2078" w14:paraId="19D3E86A" w14:textId="77777777" w:rsidTr="007066D1">
        <w:tc>
          <w:tcPr>
            <w:tcW w:w="2498" w:type="dxa"/>
            <w:shd w:val="clear" w:color="auto" w:fill="auto"/>
            <w:tcMar>
              <w:top w:w="28" w:type="dxa"/>
              <w:bottom w:w="28" w:type="dxa"/>
            </w:tcMar>
          </w:tcPr>
          <w:p w14:paraId="170B9F58" w14:textId="77777777" w:rsidR="00A814D3" w:rsidRPr="00500040" w:rsidRDefault="00A814D3" w:rsidP="007066D1">
            <w:pPr>
              <w:rPr>
                <w:rFonts w:ascii="Arial" w:hAnsi="Arial" w:cs="Arial"/>
                <w:b/>
                <w:sz w:val="22"/>
                <w:szCs w:val="22"/>
              </w:rPr>
            </w:pPr>
            <w:r w:rsidRPr="00500040">
              <w:rPr>
                <w:rFonts w:ascii="Arial" w:hAnsi="Arial" w:cs="Arial"/>
                <w:b/>
                <w:sz w:val="22"/>
                <w:szCs w:val="22"/>
              </w:rPr>
              <w:t>SOP</w:t>
            </w:r>
          </w:p>
        </w:tc>
        <w:tc>
          <w:tcPr>
            <w:tcW w:w="6572" w:type="dxa"/>
            <w:shd w:val="clear" w:color="auto" w:fill="auto"/>
            <w:tcMar>
              <w:top w:w="28" w:type="dxa"/>
              <w:bottom w:w="28" w:type="dxa"/>
            </w:tcMar>
          </w:tcPr>
          <w:p w14:paraId="33ECADCA"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Standard Operating Procedure </w:t>
            </w:r>
          </w:p>
        </w:tc>
      </w:tr>
      <w:tr w:rsidR="001C67AB" w:rsidRPr="00CB2078" w14:paraId="111AB7BE" w14:textId="77777777" w:rsidTr="007066D1">
        <w:tc>
          <w:tcPr>
            <w:tcW w:w="2498" w:type="dxa"/>
            <w:shd w:val="clear" w:color="auto" w:fill="auto"/>
            <w:tcMar>
              <w:top w:w="28" w:type="dxa"/>
              <w:bottom w:w="28" w:type="dxa"/>
            </w:tcMar>
          </w:tcPr>
          <w:p w14:paraId="364A029B" w14:textId="5D9B0960" w:rsidR="001C67AB" w:rsidRPr="00500040" w:rsidRDefault="001C67AB" w:rsidP="007066D1">
            <w:pPr>
              <w:rPr>
                <w:rFonts w:ascii="Arial" w:hAnsi="Arial" w:cs="Arial"/>
                <w:b/>
                <w:sz w:val="22"/>
                <w:szCs w:val="22"/>
              </w:rPr>
            </w:pPr>
            <w:r>
              <w:rPr>
                <w:rFonts w:ascii="Arial" w:hAnsi="Arial" w:cs="Arial"/>
                <w:b/>
                <w:sz w:val="22"/>
                <w:szCs w:val="22"/>
              </w:rPr>
              <w:t>SRC</w:t>
            </w:r>
          </w:p>
        </w:tc>
        <w:tc>
          <w:tcPr>
            <w:tcW w:w="6572" w:type="dxa"/>
            <w:shd w:val="clear" w:color="auto" w:fill="auto"/>
            <w:tcMar>
              <w:top w:w="28" w:type="dxa"/>
              <w:bottom w:w="28" w:type="dxa"/>
            </w:tcMar>
          </w:tcPr>
          <w:p w14:paraId="5052BC9D" w14:textId="6E37CD30" w:rsidR="001C67AB" w:rsidRPr="00500040" w:rsidRDefault="001C67AB" w:rsidP="007066D1">
            <w:pPr>
              <w:rPr>
                <w:rFonts w:ascii="Arial" w:hAnsi="Arial" w:cs="Arial"/>
                <w:sz w:val="22"/>
                <w:szCs w:val="22"/>
              </w:rPr>
            </w:pPr>
            <w:r w:rsidRPr="001C67AB">
              <w:rPr>
                <w:rFonts w:ascii="Arial" w:hAnsi="Arial" w:cs="Arial"/>
                <w:sz w:val="22"/>
                <w:szCs w:val="22"/>
              </w:rPr>
              <w:t>Seismic Research Center</w:t>
            </w:r>
          </w:p>
        </w:tc>
      </w:tr>
      <w:tr w:rsidR="00A814D3" w:rsidRPr="00CB2078" w14:paraId="6155955E" w14:textId="77777777" w:rsidTr="007066D1">
        <w:tc>
          <w:tcPr>
            <w:tcW w:w="2498" w:type="dxa"/>
            <w:shd w:val="clear" w:color="auto" w:fill="auto"/>
            <w:tcMar>
              <w:top w:w="28" w:type="dxa"/>
              <w:bottom w:w="28" w:type="dxa"/>
            </w:tcMar>
          </w:tcPr>
          <w:p w14:paraId="0455211F" w14:textId="77777777" w:rsidR="00A814D3" w:rsidRPr="00500040" w:rsidRDefault="00A814D3" w:rsidP="007066D1">
            <w:pPr>
              <w:rPr>
                <w:rFonts w:ascii="Arial" w:hAnsi="Arial" w:cs="Arial"/>
                <w:b/>
                <w:sz w:val="22"/>
                <w:szCs w:val="22"/>
              </w:rPr>
            </w:pPr>
            <w:r w:rsidRPr="00500040">
              <w:rPr>
                <w:rFonts w:ascii="Arial" w:hAnsi="Arial" w:cs="Arial"/>
                <w:b/>
                <w:sz w:val="22"/>
                <w:szCs w:val="22"/>
              </w:rPr>
              <w:t>TOWS-WG</w:t>
            </w:r>
          </w:p>
        </w:tc>
        <w:tc>
          <w:tcPr>
            <w:tcW w:w="6572" w:type="dxa"/>
            <w:shd w:val="clear" w:color="auto" w:fill="auto"/>
            <w:tcMar>
              <w:top w:w="28" w:type="dxa"/>
              <w:bottom w:w="28" w:type="dxa"/>
            </w:tcMar>
          </w:tcPr>
          <w:p w14:paraId="50E44C72"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Working Group on Tsunamis and Other Hazards Related </w:t>
            </w:r>
            <w:r w:rsidRPr="00500040">
              <w:rPr>
                <w:rFonts w:ascii="Arial" w:hAnsi="Arial" w:cs="Arial"/>
                <w:sz w:val="22"/>
                <w:szCs w:val="22"/>
              </w:rPr>
              <w:br/>
              <w:t xml:space="preserve">to Sea-Level Warning and Mitigation Systems </w:t>
            </w:r>
          </w:p>
        </w:tc>
      </w:tr>
      <w:tr w:rsidR="00A814D3" w:rsidRPr="00CB2078" w14:paraId="2175073F" w14:textId="77777777" w:rsidTr="007066D1">
        <w:tc>
          <w:tcPr>
            <w:tcW w:w="2498" w:type="dxa"/>
            <w:shd w:val="clear" w:color="auto" w:fill="auto"/>
            <w:tcMar>
              <w:top w:w="28" w:type="dxa"/>
              <w:bottom w:w="28" w:type="dxa"/>
            </w:tcMar>
          </w:tcPr>
          <w:p w14:paraId="2B501CD4" w14:textId="77777777" w:rsidR="00A814D3" w:rsidRPr="00500040" w:rsidRDefault="00A814D3" w:rsidP="007066D1">
            <w:pPr>
              <w:rPr>
                <w:rFonts w:ascii="Arial" w:hAnsi="Arial" w:cs="Arial"/>
                <w:b/>
                <w:sz w:val="22"/>
                <w:szCs w:val="22"/>
              </w:rPr>
            </w:pPr>
            <w:r w:rsidRPr="00500040">
              <w:rPr>
                <w:rFonts w:ascii="Arial" w:hAnsi="Arial" w:cs="Arial"/>
                <w:b/>
                <w:sz w:val="22"/>
                <w:szCs w:val="22"/>
              </w:rPr>
              <w:t>TSP</w:t>
            </w:r>
          </w:p>
        </w:tc>
        <w:tc>
          <w:tcPr>
            <w:tcW w:w="6572" w:type="dxa"/>
            <w:shd w:val="clear" w:color="auto" w:fill="auto"/>
            <w:tcMar>
              <w:top w:w="28" w:type="dxa"/>
              <w:bottom w:w="28" w:type="dxa"/>
            </w:tcMar>
          </w:tcPr>
          <w:p w14:paraId="3B6EB726"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Tsunami Service Provider </w:t>
            </w:r>
          </w:p>
        </w:tc>
      </w:tr>
      <w:tr w:rsidR="00A814D3" w:rsidRPr="00CB2078" w14:paraId="3B08C672" w14:textId="77777777" w:rsidTr="007066D1">
        <w:tc>
          <w:tcPr>
            <w:tcW w:w="2498" w:type="dxa"/>
            <w:shd w:val="clear" w:color="auto" w:fill="auto"/>
            <w:tcMar>
              <w:top w:w="28" w:type="dxa"/>
              <w:bottom w:w="28" w:type="dxa"/>
            </w:tcMar>
          </w:tcPr>
          <w:p w14:paraId="21A3B895" w14:textId="49B0B4B2" w:rsidR="00A814D3" w:rsidRPr="00500040" w:rsidRDefault="00A814D3" w:rsidP="007066D1">
            <w:pPr>
              <w:rPr>
                <w:rFonts w:ascii="Arial" w:hAnsi="Arial" w:cs="Arial"/>
                <w:b/>
                <w:sz w:val="22"/>
                <w:szCs w:val="22"/>
              </w:rPr>
            </w:pPr>
            <w:r w:rsidRPr="00500040">
              <w:rPr>
                <w:rFonts w:ascii="Arial" w:hAnsi="Arial" w:cs="Arial"/>
                <w:b/>
                <w:sz w:val="22"/>
                <w:szCs w:val="22"/>
              </w:rPr>
              <w:t>TS</w:t>
            </w:r>
            <w:r w:rsidR="004721EB">
              <w:rPr>
                <w:rFonts w:ascii="Arial" w:hAnsi="Arial" w:cs="Arial"/>
                <w:b/>
                <w:sz w:val="22"/>
                <w:szCs w:val="22"/>
              </w:rPr>
              <w:t>R</w:t>
            </w:r>
          </w:p>
        </w:tc>
        <w:tc>
          <w:tcPr>
            <w:tcW w:w="6572" w:type="dxa"/>
            <w:shd w:val="clear" w:color="auto" w:fill="auto"/>
            <w:tcMar>
              <w:top w:w="28" w:type="dxa"/>
              <w:bottom w:w="28" w:type="dxa"/>
            </w:tcMar>
          </w:tcPr>
          <w:p w14:paraId="20ECE48D" w14:textId="3A689281" w:rsidR="00A814D3" w:rsidRPr="00500040" w:rsidRDefault="00A814D3" w:rsidP="007066D1">
            <w:pPr>
              <w:rPr>
                <w:rFonts w:ascii="Arial" w:hAnsi="Arial" w:cs="Arial"/>
                <w:sz w:val="22"/>
                <w:szCs w:val="22"/>
              </w:rPr>
            </w:pPr>
            <w:r w:rsidRPr="00500040">
              <w:rPr>
                <w:rFonts w:ascii="Arial" w:hAnsi="Arial" w:cs="Arial"/>
                <w:sz w:val="22"/>
                <w:szCs w:val="22"/>
              </w:rPr>
              <w:t xml:space="preserve">Tsunami </w:t>
            </w:r>
            <w:r w:rsidR="001C67AB">
              <w:rPr>
                <w:rFonts w:ascii="Arial" w:hAnsi="Arial" w:cs="Arial"/>
                <w:sz w:val="22"/>
                <w:szCs w:val="22"/>
              </w:rPr>
              <w:t xml:space="preserve">Resilience Section of </w:t>
            </w:r>
            <w:r w:rsidR="00F33A67">
              <w:rPr>
                <w:rFonts w:ascii="Arial" w:hAnsi="Arial" w:cs="Arial"/>
                <w:sz w:val="22"/>
                <w:szCs w:val="22"/>
              </w:rPr>
              <w:t>UNESCO/IOC</w:t>
            </w:r>
            <w:r w:rsidRPr="00500040">
              <w:rPr>
                <w:rFonts w:ascii="Arial" w:hAnsi="Arial" w:cs="Arial"/>
                <w:sz w:val="22"/>
                <w:szCs w:val="22"/>
              </w:rPr>
              <w:t xml:space="preserve"> </w:t>
            </w:r>
          </w:p>
        </w:tc>
      </w:tr>
      <w:tr w:rsidR="00A814D3" w:rsidRPr="00CB2078" w14:paraId="4E05BF98" w14:textId="77777777" w:rsidTr="007066D1">
        <w:tc>
          <w:tcPr>
            <w:tcW w:w="2498" w:type="dxa"/>
            <w:shd w:val="clear" w:color="auto" w:fill="auto"/>
            <w:tcMar>
              <w:top w:w="28" w:type="dxa"/>
              <w:bottom w:w="28" w:type="dxa"/>
            </w:tcMar>
          </w:tcPr>
          <w:p w14:paraId="5AB1D95B" w14:textId="77777777" w:rsidR="00A814D3" w:rsidRPr="00500040" w:rsidRDefault="00A814D3" w:rsidP="007066D1">
            <w:pPr>
              <w:rPr>
                <w:rFonts w:ascii="Arial" w:hAnsi="Arial" w:cs="Arial"/>
                <w:b/>
                <w:sz w:val="22"/>
                <w:szCs w:val="22"/>
              </w:rPr>
            </w:pPr>
            <w:r w:rsidRPr="00500040">
              <w:rPr>
                <w:rFonts w:ascii="Arial" w:hAnsi="Arial" w:cs="Arial"/>
                <w:b/>
                <w:sz w:val="22"/>
                <w:szCs w:val="22"/>
              </w:rPr>
              <w:t>TT</w:t>
            </w:r>
          </w:p>
        </w:tc>
        <w:tc>
          <w:tcPr>
            <w:tcW w:w="6572" w:type="dxa"/>
            <w:shd w:val="clear" w:color="auto" w:fill="auto"/>
            <w:tcMar>
              <w:top w:w="28" w:type="dxa"/>
              <w:bottom w:w="28" w:type="dxa"/>
            </w:tcMar>
          </w:tcPr>
          <w:p w14:paraId="73EC5F02"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Task Team </w:t>
            </w:r>
          </w:p>
        </w:tc>
      </w:tr>
      <w:tr w:rsidR="00A814D3" w:rsidRPr="00CB2078" w14:paraId="0F3058F1" w14:textId="77777777" w:rsidTr="007066D1">
        <w:tc>
          <w:tcPr>
            <w:tcW w:w="2498" w:type="dxa"/>
            <w:shd w:val="clear" w:color="auto" w:fill="auto"/>
            <w:tcMar>
              <w:top w:w="28" w:type="dxa"/>
              <w:bottom w:w="28" w:type="dxa"/>
            </w:tcMar>
          </w:tcPr>
          <w:p w14:paraId="4D940B66" w14:textId="77777777" w:rsidR="00A814D3" w:rsidRPr="00500040" w:rsidRDefault="00A814D3" w:rsidP="007066D1">
            <w:pPr>
              <w:rPr>
                <w:rFonts w:ascii="Arial" w:hAnsi="Arial" w:cs="Arial"/>
                <w:b/>
                <w:sz w:val="22"/>
                <w:szCs w:val="22"/>
              </w:rPr>
            </w:pPr>
            <w:r w:rsidRPr="00500040">
              <w:rPr>
                <w:rFonts w:ascii="Arial" w:hAnsi="Arial" w:cs="Arial"/>
                <w:b/>
                <w:sz w:val="22"/>
                <w:szCs w:val="22"/>
              </w:rPr>
              <w:t>TT-DMP</w:t>
            </w:r>
          </w:p>
        </w:tc>
        <w:tc>
          <w:tcPr>
            <w:tcW w:w="6572" w:type="dxa"/>
            <w:shd w:val="clear" w:color="auto" w:fill="auto"/>
            <w:tcMar>
              <w:top w:w="28" w:type="dxa"/>
              <w:bottom w:w="28" w:type="dxa"/>
            </w:tcMar>
          </w:tcPr>
          <w:p w14:paraId="43863872"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Task Team on Disaster Management and Preparedness </w:t>
            </w:r>
          </w:p>
        </w:tc>
      </w:tr>
      <w:tr w:rsidR="00A814D3" w:rsidRPr="00CB2078" w14:paraId="2AB657B9" w14:textId="77777777" w:rsidTr="007066D1">
        <w:tc>
          <w:tcPr>
            <w:tcW w:w="2498" w:type="dxa"/>
            <w:shd w:val="clear" w:color="auto" w:fill="auto"/>
            <w:tcMar>
              <w:top w:w="28" w:type="dxa"/>
              <w:bottom w:w="28" w:type="dxa"/>
            </w:tcMar>
          </w:tcPr>
          <w:p w14:paraId="4CD0BBC4" w14:textId="77777777" w:rsidR="00A814D3" w:rsidRPr="00500040" w:rsidRDefault="00A814D3" w:rsidP="007066D1">
            <w:pPr>
              <w:rPr>
                <w:rFonts w:ascii="Arial" w:hAnsi="Arial" w:cs="Arial"/>
                <w:b/>
                <w:sz w:val="22"/>
                <w:szCs w:val="22"/>
              </w:rPr>
            </w:pPr>
            <w:r w:rsidRPr="00500040">
              <w:rPr>
                <w:rFonts w:ascii="Arial" w:hAnsi="Arial" w:cs="Arial"/>
                <w:b/>
                <w:sz w:val="22"/>
                <w:szCs w:val="22"/>
              </w:rPr>
              <w:t>TT-TWO</w:t>
            </w:r>
          </w:p>
        </w:tc>
        <w:tc>
          <w:tcPr>
            <w:tcW w:w="6572" w:type="dxa"/>
            <w:shd w:val="clear" w:color="auto" w:fill="auto"/>
            <w:tcMar>
              <w:top w:w="28" w:type="dxa"/>
              <w:bottom w:w="28" w:type="dxa"/>
            </w:tcMar>
          </w:tcPr>
          <w:p w14:paraId="7EC01A1A" w14:textId="77777777" w:rsidR="00A814D3" w:rsidRPr="00500040" w:rsidRDefault="00A814D3" w:rsidP="007066D1">
            <w:pPr>
              <w:rPr>
                <w:rFonts w:ascii="Arial" w:hAnsi="Arial" w:cs="Arial"/>
                <w:sz w:val="22"/>
                <w:szCs w:val="22"/>
              </w:rPr>
            </w:pPr>
            <w:r w:rsidRPr="00500040">
              <w:rPr>
                <w:rFonts w:ascii="Arial" w:hAnsi="Arial" w:cs="Arial"/>
                <w:sz w:val="22"/>
                <w:szCs w:val="22"/>
              </w:rPr>
              <w:t>Task Team on Tsunami Watch Operations</w:t>
            </w:r>
          </w:p>
        </w:tc>
      </w:tr>
      <w:tr w:rsidR="00A814D3" w:rsidRPr="00CB2078" w14:paraId="4B2B379C" w14:textId="77777777" w:rsidTr="007066D1">
        <w:tc>
          <w:tcPr>
            <w:tcW w:w="2498" w:type="dxa"/>
            <w:shd w:val="clear" w:color="auto" w:fill="auto"/>
            <w:tcMar>
              <w:top w:w="28" w:type="dxa"/>
              <w:bottom w:w="28" w:type="dxa"/>
            </w:tcMar>
          </w:tcPr>
          <w:p w14:paraId="3AD67E97" w14:textId="77777777" w:rsidR="00A814D3" w:rsidRPr="00500040" w:rsidRDefault="00A814D3" w:rsidP="007066D1">
            <w:pPr>
              <w:rPr>
                <w:rFonts w:ascii="Arial" w:hAnsi="Arial" w:cs="Arial"/>
                <w:b/>
                <w:sz w:val="22"/>
                <w:szCs w:val="22"/>
              </w:rPr>
            </w:pPr>
            <w:r w:rsidRPr="00500040">
              <w:rPr>
                <w:rFonts w:ascii="Arial" w:hAnsi="Arial" w:cs="Arial"/>
                <w:b/>
                <w:sz w:val="22"/>
                <w:szCs w:val="22"/>
              </w:rPr>
              <w:t>UN</w:t>
            </w:r>
          </w:p>
        </w:tc>
        <w:tc>
          <w:tcPr>
            <w:tcW w:w="6572" w:type="dxa"/>
            <w:shd w:val="clear" w:color="auto" w:fill="auto"/>
            <w:tcMar>
              <w:top w:w="28" w:type="dxa"/>
              <w:bottom w:w="28" w:type="dxa"/>
            </w:tcMar>
          </w:tcPr>
          <w:p w14:paraId="51C34497"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United Nations </w:t>
            </w:r>
          </w:p>
        </w:tc>
      </w:tr>
      <w:tr w:rsidR="00A814D3" w:rsidRPr="00CB2078" w14:paraId="6A1A8A02" w14:textId="77777777" w:rsidTr="007066D1">
        <w:tc>
          <w:tcPr>
            <w:tcW w:w="2498" w:type="dxa"/>
            <w:shd w:val="clear" w:color="auto" w:fill="auto"/>
            <w:tcMar>
              <w:top w:w="28" w:type="dxa"/>
              <w:bottom w:w="28" w:type="dxa"/>
            </w:tcMar>
          </w:tcPr>
          <w:p w14:paraId="526328EE" w14:textId="77777777" w:rsidR="00A814D3" w:rsidRPr="00500040" w:rsidRDefault="00A814D3" w:rsidP="007066D1">
            <w:pPr>
              <w:rPr>
                <w:rFonts w:ascii="Arial" w:hAnsi="Arial" w:cs="Arial"/>
                <w:b/>
                <w:sz w:val="22"/>
                <w:szCs w:val="22"/>
              </w:rPr>
            </w:pPr>
            <w:r w:rsidRPr="00500040">
              <w:rPr>
                <w:rFonts w:ascii="Arial" w:hAnsi="Arial" w:cs="Arial"/>
                <w:b/>
                <w:sz w:val="22"/>
                <w:szCs w:val="22"/>
              </w:rPr>
              <w:t>UNDRR</w:t>
            </w:r>
          </w:p>
        </w:tc>
        <w:tc>
          <w:tcPr>
            <w:tcW w:w="6572" w:type="dxa"/>
            <w:shd w:val="clear" w:color="auto" w:fill="auto"/>
            <w:tcMar>
              <w:top w:w="28" w:type="dxa"/>
              <w:bottom w:w="28" w:type="dxa"/>
            </w:tcMar>
          </w:tcPr>
          <w:p w14:paraId="412601A9" w14:textId="77777777" w:rsidR="00A814D3" w:rsidRPr="00500040" w:rsidRDefault="00A814D3" w:rsidP="007066D1">
            <w:pPr>
              <w:rPr>
                <w:rFonts w:ascii="Arial" w:hAnsi="Arial" w:cs="Arial"/>
                <w:sz w:val="22"/>
                <w:szCs w:val="22"/>
              </w:rPr>
            </w:pPr>
            <w:r w:rsidRPr="00500040">
              <w:rPr>
                <w:rFonts w:ascii="Arial" w:eastAsia="Arial" w:hAnsi="Arial" w:cs="Arial"/>
                <w:sz w:val="22"/>
                <w:szCs w:val="22"/>
              </w:rPr>
              <w:t>United Nations Office for Disaster Risk Reduction</w:t>
            </w:r>
          </w:p>
        </w:tc>
      </w:tr>
      <w:tr w:rsidR="00A814D3" w:rsidRPr="00CB2078" w14:paraId="5A3FDE2A" w14:textId="77777777" w:rsidTr="007066D1">
        <w:tc>
          <w:tcPr>
            <w:tcW w:w="2498" w:type="dxa"/>
            <w:shd w:val="clear" w:color="auto" w:fill="auto"/>
            <w:tcMar>
              <w:top w:w="28" w:type="dxa"/>
              <w:bottom w:w="28" w:type="dxa"/>
            </w:tcMar>
          </w:tcPr>
          <w:p w14:paraId="172D51DC" w14:textId="77777777" w:rsidR="00A814D3" w:rsidRPr="00500040" w:rsidRDefault="00A814D3" w:rsidP="007066D1">
            <w:pPr>
              <w:rPr>
                <w:rFonts w:ascii="Arial" w:hAnsi="Arial" w:cs="Arial"/>
                <w:b/>
                <w:sz w:val="22"/>
                <w:szCs w:val="22"/>
              </w:rPr>
            </w:pPr>
            <w:r w:rsidRPr="00500040">
              <w:rPr>
                <w:rFonts w:ascii="Arial" w:hAnsi="Arial" w:cs="Arial"/>
                <w:b/>
                <w:sz w:val="22"/>
                <w:szCs w:val="22"/>
              </w:rPr>
              <w:t>UNESCAP</w:t>
            </w:r>
          </w:p>
        </w:tc>
        <w:tc>
          <w:tcPr>
            <w:tcW w:w="6572" w:type="dxa"/>
            <w:shd w:val="clear" w:color="auto" w:fill="auto"/>
            <w:tcMar>
              <w:top w:w="28" w:type="dxa"/>
              <w:bottom w:w="28" w:type="dxa"/>
            </w:tcMar>
          </w:tcPr>
          <w:p w14:paraId="40AA2450"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UN Economic and Social Commission for Asia and the Pacific </w:t>
            </w:r>
          </w:p>
        </w:tc>
      </w:tr>
      <w:tr w:rsidR="00A814D3" w:rsidRPr="00CB2078" w14:paraId="48A907A4" w14:textId="77777777" w:rsidTr="007066D1">
        <w:tc>
          <w:tcPr>
            <w:tcW w:w="2498" w:type="dxa"/>
            <w:shd w:val="clear" w:color="auto" w:fill="auto"/>
            <w:tcMar>
              <w:top w:w="28" w:type="dxa"/>
              <w:bottom w:w="28" w:type="dxa"/>
            </w:tcMar>
          </w:tcPr>
          <w:p w14:paraId="5F3AC793" w14:textId="77777777" w:rsidR="00A814D3" w:rsidRPr="00500040" w:rsidRDefault="00A814D3" w:rsidP="007066D1">
            <w:pPr>
              <w:rPr>
                <w:rFonts w:ascii="Arial" w:hAnsi="Arial" w:cs="Arial"/>
                <w:b/>
                <w:sz w:val="22"/>
                <w:szCs w:val="22"/>
              </w:rPr>
            </w:pPr>
            <w:r w:rsidRPr="00500040">
              <w:rPr>
                <w:rFonts w:ascii="Arial" w:hAnsi="Arial" w:cs="Arial"/>
                <w:b/>
                <w:sz w:val="22"/>
                <w:szCs w:val="22"/>
              </w:rPr>
              <w:t>UNESCO</w:t>
            </w:r>
          </w:p>
        </w:tc>
        <w:tc>
          <w:tcPr>
            <w:tcW w:w="6572" w:type="dxa"/>
            <w:shd w:val="clear" w:color="auto" w:fill="auto"/>
            <w:tcMar>
              <w:top w:w="28" w:type="dxa"/>
              <w:bottom w:w="28" w:type="dxa"/>
            </w:tcMar>
          </w:tcPr>
          <w:p w14:paraId="6D0735D4"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United Nations Educational, Scientific and Cultural Organization </w:t>
            </w:r>
          </w:p>
        </w:tc>
      </w:tr>
      <w:tr w:rsidR="001C67AB" w:rsidRPr="00CB2078" w14:paraId="5D7AB454" w14:textId="77777777" w:rsidTr="007066D1">
        <w:tc>
          <w:tcPr>
            <w:tcW w:w="2498" w:type="dxa"/>
            <w:shd w:val="clear" w:color="auto" w:fill="auto"/>
            <w:tcMar>
              <w:top w:w="28" w:type="dxa"/>
              <w:bottom w:w="28" w:type="dxa"/>
            </w:tcMar>
          </w:tcPr>
          <w:p w14:paraId="3891AAE9" w14:textId="62BB6037" w:rsidR="001C67AB" w:rsidRPr="00500040" w:rsidRDefault="001C67AB" w:rsidP="007066D1">
            <w:pPr>
              <w:rPr>
                <w:rFonts w:ascii="Arial" w:hAnsi="Arial" w:cs="Arial"/>
                <w:b/>
                <w:sz w:val="22"/>
                <w:szCs w:val="22"/>
              </w:rPr>
            </w:pPr>
            <w:r>
              <w:rPr>
                <w:rFonts w:ascii="Arial" w:hAnsi="Arial" w:cs="Arial"/>
                <w:b/>
                <w:sz w:val="22"/>
                <w:szCs w:val="22"/>
              </w:rPr>
              <w:t>UNFCCC</w:t>
            </w:r>
          </w:p>
        </w:tc>
        <w:tc>
          <w:tcPr>
            <w:tcW w:w="6572" w:type="dxa"/>
            <w:shd w:val="clear" w:color="auto" w:fill="auto"/>
            <w:tcMar>
              <w:top w:w="28" w:type="dxa"/>
              <w:bottom w:w="28" w:type="dxa"/>
            </w:tcMar>
          </w:tcPr>
          <w:p w14:paraId="475686B5" w14:textId="09752712" w:rsidR="001C67AB" w:rsidRPr="00500040" w:rsidRDefault="001C67AB" w:rsidP="007066D1">
            <w:pPr>
              <w:rPr>
                <w:rFonts w:ascii="Arial" w:hAnsi="Arial" w:cs="Arial"/>
                <w:sz w:val="22"/>
                <w:szCs w:val="22"/>
              </w:rPr>
            </w:pPr>
            <w:r w:rsidRPr="001C67AB">
              <w:rPr>
                <w:rFonts w:ascii="Arial" w:hAnsi="Arial" w:cs="Arial"/>
                <w:sz w:val="22"/>
                <w:szCs w:val="22"/>
              </w:rPr>
              <w:t>United Nations Framework Convention on Climate Change</w:t>
            </w:r>
          </w:p>
        </w:tc>
      </w:tr>
      <w:tr w:rsidR="00A814D3" w:rsidRPr="00CB2078" w14:paraId="29B4E254" w14:textId="77777777" w:rsidTr="007066D1">
        <w:tc>
          <w:tcPr>
            <w:tcW w:w="2498" w:type="dxa"/>
            <w:shd w:val="clear" w:color="auto" w:fill="auto"/>
            <w:tcMar>
              <w:top w:w="28" w:type="dxa"/>
              <w:bottom w:w="28" w:type="dxa"/>
            </w:tcMar>
          </w:tcPr>
          <w:p w14:paraId="179701B6" w14:textId="23A724B3" w:rsidR="00A814D3" w:rsidRPr="00500040" w:rsidRDefault="00A814D3" w:rsidP="007066D1">
            <w:pPr>
              <w:rPr>
                <w:rFonts w:ascii="Arial" w:hAnsi="Arial" w:cs="Arial"/>
                <w:b/>
                <w:sz w:val="22"/>
                <w:szCs w:val="22"/>
              </w:rPr>
            </w:pPr>
            <w:r w:rsidRPr="00500040">
              <w:rPr>
                <w:rFonts w:ascii="Arial" w:hAnsi="Arial" w:cs="Arial"/>
                <w:b/>
                <w:sz w:val="22"/>
                <w:szCs w:val="22"/>
              </w:rPr>
              <w:t>US</w:t>
            </w:r>
            <w:r w:rsidR="001C67AB">
              <w:rPr>
                <w:rFonts w:ascii="Arial" w:hAnsi="Arial" w:cs="Arial"/>
                <w:b/>
                <w:sz w:val="22"/>
                <w:szCs w:val="22"/>
              </w:rPr>
              <w:t>A</w:t>
            </w:r>
          </w:p>
        </w:tc>
        <w:tc>
          <w:tcPr>
            <w:tcW w:w="6572" w:type="dxa"/>
            <w:shd w:val="clear" w:color="auto" w:fill="auto"/>
            <w:tcMar>
              <w:top w:w="28" w:type="dxa"/>
              <w:bottom w:w="28" w:type="dxa"/>
            </w:tcMar>
          </w:tcPr>
          <w:p w14:paraId="17296282" w14:textId="77777777" w:rsidR="00A814D3" w:rsidRPr="00500040" w:rsidRDefault="00A814D3" w:rsidP="007066D1">
            <w:pPr>
              <w:rPr>
                <w:rFonts w:ascii="Arial" w:hAnsi="Arial" w:cs="Arial"/>
                <w:sz w:val="22"/>
                <w:szCs w:val="22"/>
              </w:rPr>
            </w:pPr>
            <w:r w:rsidRPr="00500040">
              <w:rPr>
                <w:rFonts w:ascii="Arial" w:hAnsi="Arial" w:cs="Arial"/>
                <w:sz w:val="22"/>
                <w:szCs w:val="22"/>
              </w:rPr>
              <w:t>United States of America</w:t>
            </w:r>
          </w:p>
        </w:tc>
      </w:tr>
      <w:tr w:rsidR="001C67AB" w:rsidRPr="00CB2078" w14:paraId="45CA2E8D" w14:textId="77777777" w:rsidTr="007066D1">
        <w:tc>
          <w:tcPr>
            <w:tcW w:w="2498" w:type="dxa"/>
            <w:shd w:val="clear" w:color="auto" w:fill="auto"/>
            <w:tcMar>
              <w:top w:w="28" w:type="dxa"/>
              <w:bottom w:w="28" w:type="dxa"/>
            </w:tcMar>
          </w:tcPr>
          <w:p w14:paraId="0D3664C0" w14:textId="7DA49698" w:rsidR="001C67AB" w:rsidRPr="00500040" w:rsidRDefault="001C67AB" w:rsidP="007066D1">
            <w:pPr>
              <w:rPr>
                <w:rFonts w:ascii="Arial" w:hAnsi="Arial" w:cs="Arial"/>
                <w:b/>
                <w:sz w:val="22"/>
                <w:szCs w:val="22"/>
              </w:rPr>
            </w:pPr>
            <w:r>
              <w:rPr>
                <w:rFonts w:ascii="Arial" w:hAnsi="Arial" w:cs="Arial"/>
                <w:b/>
                <w:sz w:val="22"/>
                <w:szCs w:val="22"/>
              </w:rPr>
              <w:t>USAID</w:t>
            </w:r>
          </w:p>
        </w:tc>
        <w:tc>
          <w:tcPr>
            <w:tcW w:w="6572" w:type="dxa"/>
            <w:shd w:val="clear" w:color="auto" w:fill="auto"/>
            <w:tcMar>
              <w:top w:w="28" w:type="dxa"/>
              <w:bottom w:w="28" w:type="dxa"/>
            </w:tcMar>
          </w:tcPr>
          <w:p w14:paraId="7AC3D4DD" w14:textId="54AF1EB6" w:rsidR="001C67AB" w:rsidRPr="00500040" w:rsidRDefault="001C67AB" w:rsidP="007066D1">
            <w:pPr>
              <w:rPr>
                <w:rFonts w:ascii="Arial" w:hAnsi="Arial" w:cs="Arial"/>
                <w:sz w:val="22"/>
                <w:szCs w:val="22"/>
              </w:rPr>
            </w:pPr>
            <w:r w:rsidRPr="001C67AB">
              <w:rPr>
                <w:rFonts w:ascii="Arial" w:hAnsi="Arial" w:cs="Arial"/>
                <w:sz w:val="22"/>
                <w:szCs w:val="22"/>
              </w:rPr>
              <w:t>United States Agency for International Development</w:t>
            </w:r>
          </w:p>
        </w:tc>
      </w:tr>
      <w:tr w:rsidR="00A814D3" w:rsidRPr="00CB2078" w14:paraId="27D0EC77" w14:textId="77777777" w:rsidTr="007066D1">
        <w:tc>
          <w:tcPr>
            <w:tcW w:w="2498" w:type="dxa"/>
            <w:shd w:val="clear" w:color="auto" w:fill="auto"/>
            <w:tcMar>
              <w:top w:w="28" w:type="dxa"/>
              <w:bottom w:w="28" w:type="dxa"/>
            </w:tcMar>
          </w:tcPr>
          <w:p w14:paraId="1B5B86D6" w14:textId="77777777" w:rsidR="00A814D3" w:rsidRPr="00500040" w:rsidRDefault="00A814D3" w:rsidP="007066D1">
            <w:pPr>
              <w:rPr>
                <w:rFonts w:ascii="Arial" w:hAnsi="Arial" w:cs="Arial"/>
                <w:b/>
                <w:sz w:val="22"/>
                <w:szCs w:val="22"/>
              </w:rPr>
            </w:pPr>
            <w:r w:rsidRPr="00500040">
              <w:rPr>
                <w:rFonts w:ascii="Arial" w:hAnsi="Arial" w:cs="Arial"/>
                <w:b/>
                <w:sz w:val="22"/>
                <w:szCs w:val="22"/>
              </w:rPr>
              <w:t>WG</w:t>
            </w:r>
          </w:p>
        </w:tc>
        <w:tc>
          <w:tcPr>
            <w:tcW w:w="6572" w:type="dxa"/>
            <w:shd w:val="clear" w:color="auto" w:fill="auto"/>
            <w:tcMar>
              <w:top w:w="28" w:type="dxa"/>
              <w:bottom w:w="28" w:type="dxa"/>
            </w:tcMar>
          </w:tcPr>
          <w:p w14:paraId="21507CD0" w14:textId="77777777" w:rsidR="00A814D3" w:rsidRPr="00500040" w:rsidRDefault="00A814D3" w:rsidP="007066D1">
            <w:pPr>
              <w:rPr>
                <w:rFonts w:ascii="Arial" w:hAnsi="Arial" w:cs="Arial"/>
                <w:sz w:val="22"/>
                <w:szCs w:val="22"/>
              </w:rPr>
            </w:pPr>
            <w:r w:rsidRPr="00500040">
              <w:rPr>
                <w:rFonts w:ascii="Arial" w:hAnsi="Arial" w:cs="Arial"/>
                <w:sz w:val="22"/>
                <w:szCs w:val="22"/>
              </w:rPr>
              <w:t>Working Group</w:t>
            </w:r>
          </w:p>
        </w:tc>
      </w:tr>
      <w:tr w:rsidR="00A814D3" w:rsidRPr="00CB2078" w14:paraId="44C996A6" w14:textId="77777777" w:rsidTr="007066D1">
        <w:tc>
          <w:tcPr>
            <w:tcW w:w="2498" w:type="dxa"/>
            <w:shd w:val="clear" w:color="auto" w:fill="auto"/>
            <w:tcMar>
              <w:top w:w="28" w:type="dxa"/>
              <w:bottom w:w="28" w:type="dxa"/>
            </w:tcMar>
          </w:tcPr>
          <w:p w14:paraId="150C4DDA" w14:textId="77777777" w:rsidR="00A814D3" w:rsidRPr="00500040" w:rsidRDefault="00A814D3" w:rsidP="007066D1">
            <w:pPr>
              <w:rPr>
                <w:rFonts w:ascii="Arial" w:hAnsi="Arial" w:cs="Arial"/>
                <w:b/>
                <w:sz w:val="22"/>
                <w:szCs w:val="22"/>
              </w:rPr>
            </w:pPr>
            <w:r w:rsidRPr="00500040">
              <w:rPr>
                <w:rFonts w:ascii="Arial" w:hAnsi="Arial" w:cs="Arial"/>
                <w:b/>
                <w:sz w:val="22"/>
                <w:szCs w:val="22"/>
              </w:rPr>
              <w:t>WIS</w:t>
            </w:r>
          </w:p>
        </w:tc>
        <w:tc>
          <w:tcPr>
            <w:tcW w:w="6572" w:type="dxa"/>
            <w:shd w:val="clear" w:color="auto" w:fill="auto"/>
            <w:tcMar>
              <w:top w:w="28" w:type="dxa"/>
              <w:bottom w:w="28" w:type="dxa"/>
            </w:tcMar>
          </w:tcPr>
          <w:p w14:paraId="141355A7" w14:textId="77777777" w:rsidR="00A814D3" w:rsidRPr="00500040" w:rsidRDefault="00A814D3" w:rsidP="007066D1">
            <w:pPr>
              <w:rPr>
                <w:rFonts w:ascii="Arial" w:hAnsi="Arial" w:cs="Arial"/>
                <w:sz w:val="22"/>
                <w:szCs w:val="22"/>
              </w:rPr>
            </w:pPr>
            <w:r w:rsidRPr="00500040">
              <w:rPr>
                <w:rFonts w:ascii="Arial" w:hAnsi="Arial" w:cs="Arial"/>
                <w:sz w:val="22"/>
                <w:szCs w:val="22"/>
              </w:rPr>
              <w:t>WMO Information System</w:t>
            </w:r>
          </w:p>
        </w:tc>
      </w:tr>
      <w:tr w:rsidR="00A814D3" w:rsidRPr="00CB2078" w14:paraId="04EE5F29" w14:textId="77777777" w:rsidTr="007066D1">
        <w:tc>
          <w:tcPr>
            <w:tcW w:w="2498" w:type="dxa"/>
            <w:shd w:val="clear" w:color="auto" w:fill="auto"/>
            <w:tcMar>
              <w:top w:w="28" w:type="dxa"/>
              <w:bottom w:w="28" w:type="dxa"/>
            </w:tcMar>
          </w:tcPr>
          <w:p w14:paraId="04A533E0" w14:textId="77777777" w:rsidR="00A814D3" w:rsidRPr="00500040" w:rsidRDefault="00A814D3" w:rsidP="007066D1">
            <w:pPr>
              <w:rPr>
                <w:rFonts w:ascii="Arial" w:hAnsi="Arial" w:cs="Arial"/>
                <w:b/>
                <w:sz w:val="22"/>
                <w:szCs w:val="22"/>
              </w:rPr>
            </w:pPr>
            <w:r w:rsidRPr="00500040">
              <w:rPr>
                <w:rFonts w:ascii="Arial" w:hAnsi="Arial" w:cs="Arial"/>
                <w:b/>
                <w:sz w:val="22"/>
                <w:szCs w:val="22"/>
              </w:rPr>
              <w:t>WMO</w:t>
            </w:r>
          </w:p>
        </w:tc>
        <w:tc>
          <w:tcPr>
            <w:tcW w:w="6572" w:type="dxa"/>
            <w:shd w:val="clear" w:color="auto" w:fill="auto"/>
            <w:tcMar>
              <w:top w:w="28" w:type="dxa"/>
              <w:bottom w:w="28" w:type="dxa"/>
            </w:tcMar>
          </w:tcPr>
          <w:p w14:paraId="50C3DC7C" w14:textId="77777777" w:rsidR="00A814D3" w:rsidRPr="00500040" w:rsidRDefault="00A814D3" w:rsidP="007066D1">
            <w:pPr>
              <w:rPr>
                <w:rFonts w:ascii="Arial" w:hAnsi="Arial" w:cs="Arial"/>
                <w:sz w:val="22"/>
                <w:szCs w:val="22"/>
              </w:rPr>
            </w:pPr>
            <w:r w:rsidRPr="00500040">
              <w:rPr>
                <w:rFonts w:ascii="Arial" w:hAnsi="Arial" w:cs="Arial"/>
                <w:sz w:val="22"/>
                <w:szCs w:val="22"/>
              </w:rPr>
              <w:t xml:space="preserve">World Meteorological Organization </w:t>
            </w:r>
          </w:p>
        </w:tc>
      </w:tr>
      <w:tr w:rsidR="00B54559" w:rsidRPr="00CB2078" w14:paraId="78273809" w14:textId="77777777" w:rsidTr="007066D1">
        <w:tc>
          <w:tcPr>
            <w:tcW w:w="2498" w:type="dxa"/>
            <w:shd w:val="clear" w:color="auto" w:fill="auto"/>
            <w:tcMar>
              <w:top w:w="28" w:type="dxa"/>
              <w:bottom w:w="28" w:type="dxa"/>
            </w:tcMar>
          </w:tcPr>
          <w:p w14:paraId="1BA1A5B2" w14:textId="1E5C392C" w:rsidR="00B54559" w:rsidRPr="00500040" w:rsidRDefault="00B54559" w:rsidP="007066D1">
            <w:pPr>
              <w:rPr>
                <w:rFonts w:ascii="Arial" w:hAnsi="Arial" w:cs="Arial"/>
                <w:b/>
                <w:sz w:val="22"/>
                <w:szCs w:val="22"/>
              </w:rPr>
            </w:pPr>
            <w:r>
              <w:rPr>
                <w:rFonts w:ascii="Arial" w:hAnsi="Arial" w:cs="Arial"/>
                <w:b/>
                <w:sz w:val="22"/>
                <w:szCs w:val="22"/>
              </w:rPr>
              <w:t>WOD</w:t>
            </w:r>
          </w:p>
        </w:tc>
        <w:tc>
          <w:tcPr>
            <w:tcW w:w="6572" w:type="dxa"/>
            <w:shd w:val="clear" w:color="auto" w:fill="auto"/>
            <w:tcMar>
              <w:top w:w="28" w:type="dxa"/>
              <w:bottom w:w="28" w:type="dxa"/>
            </w:tcMar>
          </w:tcPr>
          <w:p w14:paraId="235E6A78" w14:textId="065358C7" w:rsidR="00B54559" w:rsidRPr="00500040" w:rsidRDefault="00B54559" w:rsidP="007066D1">
            <w:pPr>
              <w:rPr>
                <w:rFonts w:ascii="Arial" w:hAnsi="Arial" w:cs="Arial"/>
                <w:sz w:val="22"/>
                <w:szCs w:val="22"/>
              </w:rPr>
            </w:pPr>
            <w:r w:rsidRPr="00B54559">
              <w:rPr>
                <w:rFonts w:ascii="Arial" w:hAnsi="Arial" w:cs="Arial"/>
                <w:sz w:val="22"/>
                <w:szCs w:val="22"/>
              </w:rPr>
              <w:t>World Ocean Database</w:t>
            </w:r>
          </w:p>
        </w:tc>
      </w:tr>
      <w:tr w:rsidR="00A814D3" w:rsidRPr="00CB2078" w14:paraId="6EED3597" w14:textId="77777777" w:rsidTr="007066D1">
        <w:tc>
          <w:tcPr>
            <w:tcW w:w="2498" w:type="dxa"/>
            <w:shd w:val="clear" w:color="auto" w:fill="auto"/>
            <w:tcMar>
              <w:top w:w="28" w:type="dxa"/>
              <w:bottom w:w="28" w:type="dxa"/>
            </w:tcMar>
          </w:tcPr>
          <w:p w14:paraId="47C560C4" w14:textId="77777777" w:rsidR="00A814D3" w:rsidRPr="00500040" w:rsidRDefault="00A814D3" w:rsidP="007066D1">
            <w:pPr>
              <w:rPr>
                <w:rFonts w:ascii="Arial" w:hAnsi="Arial" w:cs="Arial"/>
                <w:b/>
                <w:sz w:val="22"/>
                <w:szCs w:val="22"/>
              </w:rPr>
            </w:pPr>
            <w:r w:rsidRPr="00500040">
              <w:rPr>
                <w:rFonts w:ascii="Arial" w:hAnsi="Arial" w:cs="Arial"/>
                <w:b/>
                <w:sz w:val="22"/>
                <w:szCs w:val="22"/>
              </w:rPr>
              <w:t>WTAD</w:t>
            </w:r>
          </w:p>
        </w:tc>
        <w:tc>
          <w:tcPr>
            <w:tcW w:w="6572" w:type="dxa"/>
            <w:shd w:val="clear" w:color="auto" w:fill="auto"/>
            <w:tcMar>
              <w:top w:w="28" w:type="dxa"/>
              <w:bottom w:w="28" w:type="dxa"/>
            </w:tcMar>
          </w:tcPr>
          <w:p w14:paraId="7A1E13DE" w14:textId="77777777" w:rsidR="00A814D3" w:rsidRPr="00500040" w:rsidRDefault="00A814D3" w:rsidP="007066D1">
            <w:pPr>
              <w:rPr>
                <w:rFonts w:ascii="Arial" w:hAnsi="Arial" w:cs="Arial"/>
                <w:sz w:val="22"/>
                <w:szCs w:val="22"/>
              </w:rPr>
            </w:pPr>
            <w:r w:rsidRPr="00500040">
              <w:rPr>
                <w:rFonts w:ascii="Arial" w:hAnsi="Arial" w:cs="Arial"/>
                <w:sz w:val="22"/>
                <w:szCs w:val="22"/>
              </w:rPr>
              <w:t>World Tsunami Awareness Day</w:t>
            </w:r>
          </w:p>
        </w:tc>
      </w:tr>
      <w:tr w:rsidR="00B54559" w:rsidRPr="00CB2078" w14:paraId="1C5E46F8" w14:textId="77777777" w:rsidTr="007066D1">
        <w:tc>
          <w:tcPr>
            <w:tcW w:w="2498" w:type="dxa"/>
            <w:shd w:val="clear" w:color="auto" w:fill="auto"/>
            <w:tcMar>
              <w:top w:w="28" w:type="dxa"/>
              <w:bottom w:w="28" w:type="dxa"/>
            </w:tcMar>
          </w:tcPr>
          <w:p w14:paraId="30B42C1F" w14:textId="16C123F7" w:rsidR="00B54559" w:rsidRPr="00500040" w:rsidRDefault="00B54559" w:rsidP="007066D1">
            <w:pPr>
              <w:rPr>
                <w:rFonts w:ascii="Arial" w:hAnsi="Arial" w:cs="Arial"/>
                <w:b/>
                <w:sz w:val="22"/>
                <w:szCs w:val="22"/>
              </w:rPr>
            </w:pPr>
            <w:r>
              <w:rPr>
                <w:rFonts w:ascii="Arial" w:hAnsi="Arial" w:cs="Arial"/>
                <w:b/>
                <w:sz w:val="22"/>
                <w:szCs w:val="22"/>
              </w:rPr>
              <w:t>WWMIWS</w:t>
            </w:r>
          </w:p>
        </w:tc>
        <w:tc>
          <w:tcPr>
            <w:tcW w:w="6572" w:type="dxa"/>
            <w:shd w:val="clear" w:color="auto" w:fill="auto"/>
            <w:tcMar>
              <w:top w:w="28" w:type="dxa"/>
              <w:bottom w:w="28" w:type="dxa"/>
            </w:tcMar>
          </w:tcPr>
          <w:p w14:paraId="0B0D6813" w14:textId="59F7B499" w:rsidR="00B54559" w:rsidRPr="00500040" w:rsidRDefault="00B54559" w:rsidP="007066D1">
            <w:pPr>
              <w:rPr>
                <w:rFonts w:ascii="Arial" w:hAnsi="Arial" w:cs="Arial"/>
                <w:sz w:val="22"/>
                <w:szCs w:val="22"/>
              </w:rPr>
            </w:pPr>
            <w:r w:rsidRPr="00B54559">
              <w:rPr>
                <w:rFonts w:ascii="Arial" w:hAnsi="Arial" w:cs="Arial"/>
                <w:sz w:val="22"/>
                <w:szCs w:val="22"/>
              </w:rPr>
              <w:t>WMO Advisory Group on the Worldwide Met-Ocean Information Warning Service</w:t>
            </w:r>
          </w:p>
        </w:tc>
      </w:tr>
      <w:tr w:rsidR="00A814D3" w:rsidRPr="00CB2078" w14:paraId="42C96AFB" w14:textId="77777777" w:rsidTr="007066D1">
        <w:tc>
          <w:tcPr>
            <w:tcW w:w="2498" w:type="dxa"/>
            <w:shd w:val="clear" w:color="auto" w:fill="auto"/>
            <w:tcMar>
              <w:top w:w="28" w:type="dxa"/>
              <w:bottom w:w="28" w:type="dxa"/>
            </w:tcMar>
          </w:tcPr>
          <w:p w14:paraId="1D2DCB22" w14:textId="77777777" w:rsidR="00A814D3" w:rsidRPr="00500040" w:rsidRDefault="00A814D3" w:rsidP="007066D1">
            <w:pPr>
              <w:rPr>
                <w:rFonts w:ascii="Arial" w:hAnsi="Arial" w:cs="Arial"/>
                <w:b/>
                <w:sz w:val="22"/>
                <w:szCs w:val="22"/>
              </w:rPr>
            </w:pPr>
            <w:r w:rsidRPr="00500040">
              <w:rPr>
                <w:rFonts w:ascii="Arial" w:hAnsi="Arial" w:cs="Arial"/>
                <w:b/>
                <w:sz w:val="22"/>
                <w:szCs w:val="22"/>
              </w:rPr>
              <w:t>WWNWS</w:t>
            </w:r>
          </w:p>
        </w:tc>
        <w:tc>
          <w:tcPr>
            <w:tcW w:w="6572" w:type="dxa"/>
            <w:shd w:val="clear" w:color="auto" w:fill="auto"/>
            <w:tcMar>
              <w:top w:w="28" w:type="dxa"/>
              <w:bottom w:w="28" w:type="dxa"/>
            </w:tcMar>
          </w:tcPr>
          <w:p w14:paraId="00D692C6" w14:textId="77777777" w:rsidR="00A814D3" w:rsidRPr="00500040" w:rsidRDefault="00A814D3" w:rsidP="007066D1">
            <w:pPr>
              <w:rPr>
                <w:rFonts w:ascii="Arial" w:hAnsi="Arial" w:cs="Arial"/>
                <w:sz w:val="22"/>
                <w:szCs w:val="22"/>
              </w:rPr>
            </w:pPr>
            <w:r w:rsidRPr="00500040">
              <w:rPr>
                <w:rFonts w:ascii="Arial" w:hAnsi="Arial" w:cs="Arial"/>
                <w:sz w:val="22"/>
                <w:szCs w:val="22"/>
              </w:rPr>
              <w:t>World-Wide Navigational Warning Service</w:t>
            </w:r>
          </w:p>
        </w:tc>
      </w:tr>
    </w:tbl>
    <w:p w14:paraId="4419E9BD" w14:textId="77777777" w:rsidR="00A814D3" w:rsidRPr="00721E70" w:rsidRDefault="00A814D3" w:rsidP="00A814D3">
      <w:pPr>
        <w:spacing w:after="200"/>
        <w:rPr>
          <w:rFonts w:ascii="Arial" w:hAnsi="Arial" w:cs="Arial"/>
          <w:sz w:val="22"/>
          <w:szCs w:val="22"/>
          <w:lang w:val="en-US"/>
        </w:rPr>
      </w:pPr>
    </w:p>
    <w:p w14:paraId="07AF3BBC" w14:textId="77777777" w:rsidR="0061308E" w:rsidRPr="00A814D3" w:rsidRDefault="0061308E" w:rsidP="008C592F">
      <w:pPr>
        <w:spacing w:after="240"/>
        <w:jc w:val="both"/>
        <w:rPr>
          <w:rFonts w:ascii="Arial" w:eastAsia="Arial" w:hAnsi="Arial" w:cs="Arial"/>
          <w:sz w:val="22"/>
          <w:szCs w:val="22"/>
          <w:lang w:val="en-US"/>
        </w:rPr>
      </w:pPr>
    </w:p>
    <w:sectPr w:rsidR="0061308E" w:rsidRPr="00A814D3" w:rsidSect="006946D0">
      <w:headerReference w:type="default" r:id="rId154"/>
      <w:pgSz w:w="11906" w:h="16838" w:code="9"/>
      <w:pgMar w:top="1418" w:right="1418" w:bottom="1418" w:left="1418" w:header="68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42B8E" w14:textId="77777777" w:rsidR="00C7129E" w:rsidRDefault="00C7129E">
      <w:r>
        <w:separator/>
      </w:r>
    </w:p>
  </w:endnote>
  <w:endnote w:type="continuationSeparator" w:id="0">
    <w:p w14:paraId="00DAB689" w14:textId="77777777" w:rsidR="00C7129E" w:rsidRDefault="00C7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Walbaum Display Light">
    <w:charset w:val="00"/>
    <w:family w:val="roman"/>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UI"/>
    <w:charset w:val="80"/>
    <w:family w:val="auto"/>
    <w:pitch w:val="variable"/>
    <w:sig w:usb0="00000001" w:usb1="00000000" w:usb2="01000407" w:usb3="00000000" w:csb0="00020000" w:csb1="00000000"/>
  </w:font>
  <w:font w:name="KDBGMC+TimesNewRoman">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lay">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58318" w14:textId="77777777" w:rsidR="007E2D80" w:rsidRDefault="007E2D80">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B2E6" w14:textId="77777777" w:rsidR="00C33B52" w:rsidRDefault="00C33B52">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34</w:t>
    </w:r>
    <w:r>
      <w:rPr>
        <w:color w:val="000000"/>
      </w:rPr>
      <w:fldChar w:fldCharType="end"/>
    </w:r>
  </w:p>
  <w:p w14:paraId="0378FA6C" w14:textId="77777777" w:rsidR="00C33B52" w:rsidRDefault="00C33B5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D800A" w14:textId="77777777" w:rsidR="00C7129E" w:rsidRDefault="00C7129E">
      <w:r>
        <w:separator/>
      </w:r>
    </w:p>
  </w:footnote>
  <w:footnote w:type="continuationSeparator" w:id="0">
    <w:p w14:paraId="0F99DA55" w14:textId="77777777" w:rsidR="00C7129E" w:rsidRDefault="00C7129E">
      <w:r>
        <w:continuationSeparator/>
      </w:r>
    </w:p>
  </w:footnote>
  <w:footnote w:id="1">
    <w:p w14:paraId="2D39AEF9" w14:textId="77777777" w:rsidR="00DC4C26" w:rsidRPr="00D0304C" w:rsidRDefault="00DC4C26" w:rsidP="00DC4C26">
      <w:pPr>
        <w:pStyle w:val="FootnoteText"/>
      </w:pPr>
      <w:r>
        <w:rPr>
          <w:rStyle w:val="FootnoteReference"/>
        </w:rPr>
        <w:footnoteRef/>
      </w:r>
      <w:r>
        <w:t xml:space="preserve"> </w:t>
      </w:r>
      <w:r w:rsidRPr="00A80687">
        <w:t xml:space="preserve">This document contains the </w:t>
      </w:r>
      <w:r w:rsidRPr="00A80687">
        <w:rPr>
          <w:lang w:val="en-US"/>
        </w:rPr>
        <w:t>Executive Summary in English, French, Spanish and Russian.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5330" w14:textId="77777777" w:rsidR="00DC4C26" w:rsidRDefault="00DC4C26">
    <w:pPr>
      <w:pStyle w:val="Header"/>
      <w:ind w:left="7320" w:right="-10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FCED" w14:textId="77777777" w:rsidR="00861E32" w:rsidRPr="00587D5A" w:rsidRDefault="00861E32" w:rsidP="00691AB0">
    <w:pPr>
      <w:pStyle w:val="Header"/>
      <w:ind w:left="6663"/>
      <w:rPr>
        <w:rFonts w:ascii="Arial" w:hAnsi="Arial" w:cs="Arial"/>
        <w:sz w:val="20"/>
        <w:szCs w:val="20"/>
      </w:rPr>
    </w:pPr>
    <w:r w:rsidRPr="00587D5A">
      <w:rPr>
        <w:rFonts w:ascii="Arial" w:hAnsi="Arial" w:cs="Arial"/>
        <w:sz w:val="20"/>
        <w:szCs w:val="20"/>
      </w:rPr>
      <w:t>IOC/TOWS-WG-</w:t>
    </w:r>
    <w:r>
      <w:rPr>
        <w:rFonts w:ascii="Arial" w:hAnsi="Arial" w:cs="Arial"/>
        <w:sz w:val="20"/>
        <w:szCs w:val="20"/>
      </w:rPr>
      <w:t>XVIII</w:t>
    </w:r>
    <w:r w:rsidRPr="00587D5A">
      <w:rPr>
        <w:rFonts w:ascii="Arial" w:hAnsi="Arial" w:cs="Arial"/>
        <w:sz w:val="20"/>
        <w:szCs w:val="20"/>
      </w:rPr>
      <w:t>/3</w:t>
    </w:r>
  </w:p>
  <w:p w14:paraId="6F11D21B" w14:textId="784EACCE" w:rsidR="00861E32" w:rsidRPr="00587D5A" w:rsidRDefault="00861E32" w:rsidP="00691AB0">
    <w:pPr>
      <w:pStyle w:val="Header"/>
      <w:ind w:left="6663"/>
      <w:rPr>
        <w:rFonts w:ascii="Arial" w:hAnsi="Arial" w:cs="Arial"/>
        <w:sz w:val="20"/>
        <w:szCs w:val="20"/>
      </w:rPr>
    </w:pPr>
    <w:r>
      <w:rPr>
        <w:rFonts w:ascii="Arial" w:hAnsi="Arial" w:cs="Arial"/>
        <w:sz w:val="20"/>
        <w:szCs w:val="20"/>
      </w:rPr>
      <w:t>ANNEX IV 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noProof/>
        <w:sz w:val="20"/>
        <w:szCs w:val="20"/>
      </w:rPr>
      <w:t>51</w:t>
    </w:r>
    <w:r>
      <w:rPr>
        <w:rFonts w:ascii="Arial" w:hAnsi="Arial" w:cs="Arial"/>
        <w:sz w:val="20"/>
        <w:szCs w:val="20"/>
      </w:rPr>
      <w:fldChar w:fldCharType="end"/>
    </w:r>
    <w:r>
      <w:rPr>
        <w:rFonts w:ascii="Arial" w:hAnsi="Arial" w:cs="Arial"/>
        <w:noProof/>
        <w:sz w:val="20"/>
        <w:szCs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67B18" w14:textId="28E7159A" w:rsidR="00742788" w:rsidRPr="00587D5A" w:rsidRDefault="00742788" w:rsidP="00691AB0">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XV</w:t>
    </w:r>
    <w:r w:rsidR="00691AB0">
      <w:rPr>
        <w:rFonts w:ascii="Arial" w:hAnsi="Arial" w:cs="Arial"/>
        <w:sz w:val="20"/>
        <w:szCs w:val="20"/>
      </w:rPr>
      <w:t>II</w:t>
    </w:r>
    <w:r w:rsidRPr="00587D5A">
      <w:rPr>
        <w:rFonts w:ascii="Arial" w:hAnsi="Arial" w:cs="Arial"/>
        <w:sz w:val="20"/>
        <w:szCs w:val="20"/>
      </w:rPr>
      <w:t>/3</w:t>
    </w:r>
  </w:p>
  <w:p w14:paraId="0ADCF31B" w14:textId="6452D4D9" w:rsidR="00742788" w:rsidRPr="00587D5A" w:rsidRDefault="00742788" w:rsidP="00F644C5">
    <w:pPr>
      <w:pStyle w:val="Header"/>
      <w:ind w:left="7088"/>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53</w:t>
    </w:r>
    <w:r w:rsidRPr="00587D5A">
      <w:rPr>
        <w:rFonts w:ascii="Arial" w:hAnsi="Arial" w:cs="Arial"/>
        <w:noProof/>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1071" w14:textId="498299AC" w:rsidR="00742788" w:rsidRDefault="00742788" w:rsidP="00EC419E">
    <w:pPr>
      <w:pStyle w:val="Header"/>
      <w:ind w:left="6946"/>
      <w:rPr>
        <w:rFonts w:ascii="Arial" w:hAnsi="Arial" w:cs="Arial"/>
        <w:sz w:val="20"/>
        <w:szCs w:val="20"/>
      </w:rPr>
    </w:pPr>
    <w:r>
      <w:rPr>
        <w:rFonts w:ascii="Arial" w:hAnsi="Arial" w:cs="Arial"/>
        <w:sz w:val="20"/>
        <w:szCs w:val="20"/>
      </w:rPr>
      <w:t>IOC/TOWS-WG-XV</w:t>
    </w:r>
    <w:r w:rsidR="00691AB0">
      <w:rPr>
        <w:rFonts w:ascii="Arial" w:hAnsi="Arial" w:cs="Arial"/>
        <w:sz w:val="20"/>
        <w:szCs w:val="20"/>
      </w:rPr>
      <w:t>III</w:t>
    </w:r>
    <w:r>
      <w:rPr>
        <w:rFonts w:ascii="Arial" w:hAnsi="Arial" w:cs="Arial"/>
        <w:sz w:val="20"/>
        <w:szCs w:val="20"/>
      </w:rPr>
      <w:t>/3</w:t>
    </w:r>
  </w:p>
  <w:p w14:paraId="6604C693" w14:textId="77777777" w:rsidR="005B175C" w:rsidRPr="00587D5A" w:rsidRDefault="00742788" w:rsidP="005B175C">
    <w:pPr>
      <w:pStyle w:val="Header"/>
      <w:ind w:left="7088"/>
      <w:rPr>
        <w:rFonts w:ascii="Arial" w:hAnsi="Arial" w:cs="Arial"/>
        <w:sz w:val="20"/>
        <w:szCs w:val="20"/>
      </w:rPr>
    </w:pPr>
    <w:r>
      <w:rPr>
        <w:rFonts w:ascii="Arial" w:hAnsi="Arial" w:cs="Arial"/>
        <w:sz w:val="20"/>
        <w:szCs w:val="20"/>
      </w:rPr>
      <w:t xml:space="preserve">Annex </w:t>
    </w:r>
    <w:r w:rsidR="008D5458">
      <w:rPr>
        <w:rFonts w:ascii="Arial" w:hAnsi="Arial" w:cs="Arial"/>
        <w:sz w:val="20"/>
        <w:szCs w:val="20"/>
      </w:rPr>
      <w:t>VI</w:t>
    </w:r>
    <w:r w:rsidR="005B175C">
      <w:rPr>
        <w:rFonts w:ascii="Arial" w:hAnsi="Arial" w:cs="Arial"/>
        <w:sz w:val="20"/>
        <w:szCs w:val="20"/>
      </w:rPr>
      <w:t xml:space="preserve"> </w:t>
    </w:r>
    <w:r w:rsidR="005B175C">
      <w:rPr>
        <w:rFonts w:ascii="Arial" w:hAnsi="Arial" w:cs="Arial"/>
        <w:sz w:val="20"/>
        <w:szCs w:val="20"/>
      </w:rPr>
      <w:t xml:space="preserve">page </w:t>
    </w:r>
    <w:r w:rsidR="005B175C" w:rsidRPr="00587D5A">
      <w:rPr>
        <w:rFonts w:ascii="Arial" w:hAnsi="Arial" w:cs="Arial"/>
        <w:sz w:val="20"/>
        <w:szCs w:val="20"/>
      </w:rPr>
      <w:fldChar w:fldCharType="begin"/>
    </w:r>
    <w:r w:rsidR="005B175C" w:rsidRPr="00587D5A">
      <w:rPr>
        <w:rFonts w:ascii="Arial" w:hAnsi="Arial" w:cs="Arial"/>
        <w:sz w:val="20"/>
        <w:szCs w:val="20"/>
      </w:rPr>
      <w:instrText xml:space="preserve"> PAGE   \* MERGEFORMAT </w:instrText>
    </w:r>
    <w:r w:rsidR="005B175C" w:rsidRPr="00587D5A">
      <w:rPr>
        <w:rFonts w:ascii="Arial" w:hAnsi="Arial" w:cs="Arial"/>
        <w:sz w:val="20"/>
        <w:szCs w:val="20"/>
      </w:rPr>
      <w:fldChar w:fldCharType="separate"/>
    </w:r>
    <w:r w:rsidR="005B175C">
      <w:rPr>
        <w:rFonts w:ascii="Arial" w:hAnsi="Arial" w:cs="Arial"/>
        <w:sz w:val="20"/>
        <w:szCs w:val="20"/>
      </w:rPr>
      <w:t>24</w:t>
    </w:r>
    <w:r w:rsidR="005B175C" w:rsidRPr="00587D5A">
      <w:rPr>
        <w:rFonts w:ascii="Arial" w:hAnsi="Arial" w:cs="Arial"/>
        <w:noProof/>
        <w:sz w:val="20"/>
        <w:szCs w:val="20"/>
      </w:rPr>
      <w:fldChar w:fldCharType="end"/>
    </w:r>
  </w:p>
  <w:p w14:paraId="307A99DD" w14:textId="6042E9C4" w:rsidR="00742788" w:rsidRPr="00165DAE" w:rsidRDefault="00742788" w:rsidP="00EC419E">
    <w:pPr>
      <w:pStyle w:val="Header"/>
      <w:ind w:left="6946"/>
      <w:rPr>
        <w:rFonts w:ascii="Arial" w:hAnsi="Arial" w:cs="Arial"/>
        <w:sz w:val="20"/>
        <w:szCs w:val="20"/>
      </w:rPr>
    </w:pPr>
  </w:p>
  <w:p w14:paraId="6A6D92D1" w14:textId="77777777" w:rsidR="00742788" w:rsidRPr="00385803" w:rsidRDefault="0074278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0D412" w14:textId="32698D57" w:rsidR="004225E3" w:rsidRPr="00385803" w:rsidRDefault="004225E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F066" w14:textId="7F4C0CB5" w:rsidR="004225E3" w:rsidRPr="00587D5A" w:rsidRDefault="004225E3"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DC4C26">
      <w:rPr>
        <w:rFonts w:ascii="Arial" w:hAnsi="Arial" w:cs="Arial"/>
        <w:sz w:val="20"/>
        <w:szCs w:val="20"/>
      </w:rPr>
      <w:t>VI</w:t>
    </w:r>
    <w:r w:rsidR="00691AB0">
      <w:rPr>
        <w:rFonts w:ascii="Arial" w:hAnsi="Arial" w:cs="Arial"/>
        <w:sz w:val="20"/>
        <w:szCs w:val="20"/>
      </w:rPr>
      <w:t>II</w:t>
    </w:r>
    <w:r w:rsidRPr="00587D5A">
      <w:rPr>
        <w:rFonts w:ascii="Arial" w:hAnsi="Arial" w:cs="Arial"/>
        <w:sz w:val="20"/>
        <w:szCs w:val="20"/>
      </w:rPr>
      <w:t>/3</w:t>
    </w:r>
  </w:p>
  <w:p w14:paraId="196B59F2" w14:textId="67FEF351" w:rsidR="005B175C" w:rsidRPr="00587D5A" w:rsidRDefault="005B175C" w:rsidP="005B175C">
    <w:pPr>
      <w:pStyle w:val="Header"/>
      <w:ind w:left="7088"/>
      <w:rPr>
        <w:rFonts w:ascii="Arial" w:hAnsi="Arial" w:cs="Arial"/>
        <w:sz w:val="20"/>
        <w:szCs w:val="20"/>
      </w:rPr>
    </w:pPr>
    <w:r>
      <w:rPr>
        <w:rFonts w:ascii="Arial" w:hAnsi="Arial" w:cs="Arial"/>
        <w:sz w:val="20"/>
        <w:szCs w:val="20"/>
      </w:rPr>
      <w:t xml:space="preserve">Annex VI 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sz w:val="20"/>
        <w:szCs w:val="20"/>
      </w:rPr>
      <w:t>1</w:t>
    </w:r>
    <w:r w:rsidRPr="00587D5A">
      <w:rPr>
        <w:rFonts w:ascii="Arial" w:hAnsi="Arial" w:cs="Arial"/>
        <w:noProof/>
        <w:sz w:val="20"/>
        <w:szCs w:val="20"/>
      </w:rPr>
      <w:fldChar w:fldCharType="end"/>
    </w:r>
  </w:p>
  <w:p w14:paraId="1D9F0F10" w14:textId="77777777" w:rsidR="004225E3" w:rsidRPr="00587D5A" w:rsidRDefault="004225E3" w:rsidP="00AA4EFD">
    <w:pPr>
      <w:pStyle w:val="Header"/>
      <w:tabs>
        <w:tab w:val="left" w:pos="7088"/>
      </w:tabs>
      <w:ind w:left="7088"/>
      <w:rPr>
        <w:rFonts w:ascii="Arial" w:hAnsi="Arial" w:cs="Arial"/>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C9188" w14:textId="77777777" w:rsidR="005B175C" w:rsidRPr="00587D5A" w:rsidRDefault="005B175C" w:rsidP="005B175C">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XVIII</w:t>
    </w:r>
    <w:r w:rsidRPr="00587D5A">
      <w:rPr>
        <w:rFonts w:ascii="Arial" w:hAnsi="Arial" w:cs="Arial"/>
        <w:sz w:val="20"/>
        <w:szCs w:val="20"/>
      </w:rPr>
      <w:t>/3</w:t>
    </w:r>
  </w:p>
  <w:p w14:paraId="1327E16E" w14:textId="7BFFF653" w:rsidR="005B175C" w:rsidRPr="00587D5A" w:rsidRDefault="005B175C" w:rsidP="005B175C">
    <w:pPr>
      <w:pStyle w:val="Header"/>
      <w:ind w:left="7088"/>
      <w:rPr>
        <w:rFonts w:ascii="Arial" w:hAnsi="Arial" w:cs="Arial"/>
        <w:sz w:val="20"/>
        <w:szCs w:val="20"/>
      </w:rPr>
    </w:pPr>
    <w:r>
      <w:rPr>
        <w:rFonts w:ascii="Arial" w:hAnsi="Arial" w:cs="Arial"/>
        <w:sz w:val="20"/>
        <w:szCs w:val="20"/>
      </w:rPr>
      <w:t>Annex V</w:t>
    </w:r>
    <w:r>
      <w:rPr>
        <w:rFonts w:ascii="Arial" w:hAnsi="Arial" w:cs="Arial"/>
        <w:sz w:val="20"/>
        <w:szCs w:val="20"/>
      </w:rPr>
      <w:t>I</w:t>
    </w:r>
    <w:r>
      <w:rPr>
        <w:rFonts w:ascii="Arial" w:hAnsi="Arial" w:cs="Arial"/>
        <w:sz w:val="20"/>
        <w:szCs w:val="20"/>
      </w:rPr>
      <w:t xml:space="preserve">I 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sz w:val="20"/>
        <w:szCs w:val="20"/>
      </w:rPr>
      <w:t>3</w:t>
    </w:r>
    <w:r w:rsidRPr="00587D5A">
      <w:rPr>
        <w:rFonts w:ascii="Arial" w:hAnsi="Arial" w:cs="Arial"/>
        <w:noProof/>
        <w:sz w:val="20"/>
        <w:szCs w:val="20"/>
      </w:rPr>
      <w:fldChar w:fldCharType="end"/>
    </w:r>
  </w:p>
  <w:p w14:paraId="6016D175" w14:textId="7510E156" w:rsidR="004225E3" w:rsidRPr="00E9194C" w:rsidRDefault="004225E3" w:rsidP="00C07CD7">
    <w:pPr>
      <w:pStyle w:val="Header"/>
      <w:ind w:left="6521" w:hanging="6521"/>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B62F8" w14:textId="77777777" w:rsidR="005B175C" w:rsidRPr="00587D5A" w:rsidRDefault="005B175C"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XVIII</w:t>
    </w:r>
    <w:r w:rsidRPr="00587D5A">
      <w:rPr>
        <w:rFonts w:ascii="Arial" w:hAnsi="Arial" w:cs="Arial"/>
        <w:sz w:val="20"/>
        <w:szCs w:val="20"/>
      </w:rPr>
      <w:t>/3</w:t>
    </w:r>
  </w:p>
  <w:p w14:paraId="15207480" w14:textId="4B4042FD" w:rsidR="005B175C" w:rsidRPr="00587D5A" w:rsidRDefault="005B175C" w:rsidP="005B175C">
    <w:pPr>
      <w:pStyle w:val="Header"/>
      <w:ind w:left="7088"/>
      <w:rPr>
        <w:rFonts w:ascii="Arial" w:hAnsi="Arial" w:cs="Arial"/>
        <w:sz w:val="20"/>
        <w:szCs w:val="20"/>
      </w:rPr>
    </w:pPr>
    <w:r>
      <w:rPr>
        <w:rFonts w:ascii="Arial" w:hAnsi="Arial" w:cs="Arial"/>
        <w:sz w:val="20"/>
        <w:szCs w:val="20"/>
      </w:rPr>
      <w:t>Annex V</w:t>
    </w:r>
    <w:r>
      <w:rPr>
        <w:rFonts w:ascii="Arial" w:hAnsi="Arial" w:cs="Arial"/>
        <w:sz w:val="20"/>
        <w:szCs w:val="20"/>
      </w:rPr>
      <w:t>I</w:t>
    </w:r>
    <w:r>
      <w:rPr>
        <w:rFonts w:ascii="Arial" w:hAnsi="Arial" w:cs="Arial"/>
        <w:sz w:val="20"/>
        <w:szCs w:val="20"/>
      </w:rPr>
      <w:t xml:space="preserve">I 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sz w:val="20"/>
        <w:szCs w:val="20"/>
      </w:rPr>
      <w:t>1</w:t>
    </w:r>
    <w:r w:rsidRPr="00587D5A">
      <w:rPr>
        <w:rFonts w:ascii="Arial" w:hAnsi="Arial" w:cs="Arial"/>
        <w:noProof/>
        <w:sz w:val="20"/>
        <w:szCs w:val="20"/>
      </w:rPr>
      <w:fldChar w:fldCharType="end"/>
    </w:r>
  </w:p>
  <w:p w14:paraId="19221304" w14:textId="77777777" w:rsidR="005B175C" w:rsidRPr="00587D5A" w:rsidRDefault="005B175C" w:rsidP="00AA4EFD">
    <w:pPr>
      <w:pStyle w:val="Header"/>
      <w:tabs>
        <w:tab w:val="left" w:pos="7088"/>
      </w:tabs>
      <w:ind w:left="7088"/>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E1AE" w14:textId="77777777" w:rsidR="00DC4C26" w:rsidRDefault="00DC4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8472D" w14:textId="54FAE0D0" w:rsidR="00DC4C26" w:rsidRPr="00587D5A" w:rsidRDefault="00DC4C26" w:rsidP="00691AB0">
    <w:pPr>
      <w:pStyle w:val="Header"/>
      <w:ind w:left="6663"/>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F3040E">
      <w:rPr>
        <w:rFonts w:ascii="Arial" w:hAnsi="Arial" w:cs="Arial"/>
        <w:sz w:val="20"/>
        <w:szCs w:val="20"/>
      </w:rPr>
      <w:t>V</w:t>
    </w:r>
    <w:r w:rsidR="00691AB0">
      <w:rPr>
        <w:rFonts w:ascii="Arial" w:hAnsi="Arial" w:cs="Arial"/>
        <w:sz w:val="20"/>
        <w:szCs w:val="20"/>
      </w:rPr>
      <w:t>II</w:t>
    </w:r>
    <w:r w:rsidR="00F3040E">
      <w:rPr>
        <w:rFonts w:ascii="Arial" w:hAnsi="Arial" w:cs="Arial"/>
        <w:sz w:val="20"/>
        <w:szCs w:val="20"/>
      </w:rPr>
      <w:t>I</w:t>
    </w:r>
    <w:r w:rsidRPr="00587D5A">
      <w:rPr>
        <w:rFonts w:ascii="Arial" w:hAnsi="Arial" w:cs="Arial"/>
        <w:sz w:val="20"/>
        <w:szCs w:val="20"/>
      </w:rPr>
      <w:t>/3</w:t>
    </w:r>
  </w:p>
  <w:p w14:paraId="1D9F2EBD" w14:textId="1B91A4C1" w:rsidR="00DC4C26" w:rsidRPr="00587D5A" w:rsidRDefault="00DC4C26" w:rsidP="00CE6B30">
    <w:pPr>
      <w:pStyle w:val="Header"/>
      <w:ind w:left="6663"/>
      <w:jc w:val="center"/>
      <w:rPr>
        <w:rFonts w:ascii="Arial" w:hAnsi="Arial" w:cs="Arial"/>
        <w:sz w:val="20"/>
        <w:szCs w:val="20"/>
      </w:rPr>
    </w:pPr>
    <w:r>
      <w:rPr>
        <w:rFonts w:ascii="Arial" w:hAnsi="Arial" w:cs="Arial"/>
        <w:sz w:val="20"/>
        <w:szCs w:val="20"/>
      </w:rPr>
      <w:t>page (</w:t>
    </w:r>
    <w:r w:rsidR="008D5458">
      <w:rPr>
        <w:rFonts w:ascii="Arial" w:hAnsi="Arial" w:cs="Arial"/>
        <w:sz w:val="20"/>
        <w:szCs w:val="20"/>
      </w:rPr>
      <w:fldChar w:fldCharType="begin"/>
    </w:r>
    <w:r w:rsidR="008D5458">
      <w:rPr>
        <w:rFonts w:ascii="Arial" w:hAnsi="Arial" w:cs="Arial"/>
        <w:sz w:val="20"/>
        <w:szCs w:val="20"/>
      </w:rPr>
      <w:instrText xml:space="preserve"> PAGE  \* Arabic  \* MERGEFORMAT </w:instrText>
    </w:r>
    <w:r w:rsidR="008D5458">
      <w:rPr>
        <w:rFonts w:ascii="Arial" w:hAnsi="Arial" w:cs="Arial"/>
        <w:sz w:val="20"/>
        <w:szCs w:val="20"/>
      </w:rPr>
      <w:fldChar w:fldCharType="separate"/>
    </w:r>
    <w:r w:rsidR="008D5458">
      <w:rPr>
        <w:rFonts w:ascii="Arial" w:hAnsi="Arial" w:cs="Arial"/>
        <w:noProof/>
        <w:sz w:val="20"/>
        <w:szCs w:val="20"/>
      </w:rPr>
      <w:t>51</w:t>
    </w:r>
    <w:r w:rsidR="008D5458">
      <w:rPr>
        <w:rFonts w:ascii="Arial" w:hAnsi="Arial" w:cs="Arial"/>
        <w:sz w:val="20"/>
        <w:szCs w:val="20"/>
      </w:rPr>
      <w:fldChar w:fldCharType="end"/>
    </w:r>
    <w:r>
      <w:rPr>
        <w:rFonts w:ascii="Arial" w:hAnsi="Arial" w:cs="Arial"/>
        <w:noProof/>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5219" w14:textId="77777777" w:rsidR="00DC4C26" w:rsidRPr="00385803" w:rsidRDefault="00DC4C2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D271" w14:textId="77777777" w:rsidR="009F077A" w:rsidRPr="00587D5A" w:rsidRDefault="009F077A" w:rsidP="009F077A">
    <w:pPr>
      <w:pStyle w:val="Header"/>
      <w:ind w:left="6663"/>
      <w:rPr>
        <w:rFonts w:ascii="Arial" w:hAnsi="Arial" w:cs="Arial"/>
        <w:sz w:val="20"/>
        <w:szCs w:val="20"/>
      </w:rPr>
    </w:pPr>
    <w:r w:rsidRPr="00587D5A">
      <w:rPr>
        <w:rFonts w:ascii="Arial" w:hAnsi="Arial" w:cs="Arial"/>
        <w:sz w:val="20"/>
        <w:szCs w:val="20"/>
      </w:rPr>
      <w:t>IOC/TOWS-WG-</w:t>
    </w:r>
    <w:r>
      <w:rPr>
        <w:rFonts w:ascii="Arial" w:hAnsi="Arial" w:cs="Arial"/>
        <w:sz w:val="20"/>
        <w:szCs w:val="20"/>
      </w:rPr>
      <w:t>XVIII</w:t>
    </w:r>
    <w:r w:rsidRPr="00587D5A">
      <w:rPr>
        <w:rFonts w:ascii="Arial" w:hAnsi="Arial" w:cs="Arial"/>
        <w:sz w:val="20"/>
        <w:szCs w:val="20"/>
      </w:rPr>
      <w:t>/3</w:t>
    </w:r>
  </w:p>
  <w:p w14:paraId="2AA3283F" w14:textId="0901F4CA" w:rsidR="009F077A" w:rsidRPr="00587D5A" w:rsidRDefault="009F077A" w:rsidP="009F077A">
    <w:pPr>
      <w:pStyle w:val="Header"/>
      <w:ind w:left="6663"/>
      <w:jc w:val="center"/>
      <w:rPr>
        <w:rFonts w:ascii="Arial" w:hAnsi="Arial" w:cs="Arial"/>
        <w:sz w:val="20"/>
        <w:szCs w:val="20"/>
      </w:rPr>
    </w:pPr>
    <w:r>
      <w:rPr>
        <w:rFonts w:ascii="Arial" w:hAnsi="Arial" w:cs="Arial"/>
        <w:sz w:val="20"/>
        <w:szCs w:val="20"/>
      </w:rPr>
      <w:t>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sz w:val="20"/>
        <w:szCs w:val="20"/>
      </w:rPr>
      <w:t>3</w:t>
    </w:r>
    <w:r>
      <w:rPr>
        <w:rFonts w:ascii="Arial" w:hAnsi="Arial" w:cs="Arial"/>
        <w:sz w:val="20"/>
        <w:szCs w:val="20"/>
      </w:rPr>
      <w:fldChar w:fldCharType="end"/>
    </w:r>
    <w:r>
      <w:rPr>
        <w:rFonts w:ascii="Arial" w:hAnsi="Arial" w:cs="Arial"/>
        <w:noProof/>
        <w:sz w:val="20"/>
        <w:szCs w:val="20"/>
      </w:rPr>
      <w:t>)</w:t>
    </w:r>
  </w:p>
  <w:p w14:paraId="1C551F15" w14:textId="77777777" w:rsidR="009F077A" w:rsidRDefault="009F07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E5A7" w14:textId="77777777" w:rsidR="009F077A" w:rsidRPr="00587D5A" w:rsidRDefault="009F077A" w:rsidP="00691AB0">
    <w:pPr>
      <w:pStyle w:val="Header"/>
      <w:ind w:left="6663"/>
      <w:rPr>
        <w:rFonts w:ascii="Arial" w:hAnsi="Arial" w:cs="Arial"/>
        <w:sz w:val="20"/>
        <w:szCs w:val="20"/>
      </w:rPr>
    </w:pPr>
    <w:r w:rsidRPr="00587D5A">
      <w:rPr>
        <w:rFonts w:ascii="Arial" w:hAnsi="Arial" w:cs="Arial"/>
        <w:sz w:val="20"/>
        <w:szCs w:val="20"/>
      </w:rPr>
      <w:t>IOC/TOWS-WG-</w:t>
    </w:r>
    <w:r>
      <w:rPr>
        <w:rFonts w:ascii="Arial" w:hAnsi="Arial" w:cs="Arial"/>
        <w:sz w:val="20"/>
        <w:szCs w:val="20"/>
      </w:rPr>
      <w:t>XVIII</w:t>
    </w:r>
    <w:r w:rsidRPr="00587D5A">
      <w:rPr>
        <w:rFonts w:ascii="Arial" w:hAnsi="Arial" w:cs="Arial"/>
        <w:sz w:val="20"/>
        <w:szCs w:val="20"/>
      </w:rPr>
      <w:t>/3</w:t>
    </w:r>
  </w:p>
  <w:p w14:paraId="71671EFE" w14:textId="131ADFA2" w:rsidR="009F077A" w:rsidRPr="00587D5A" w:rsidRDefault="009F077A" w:rsidP="009F077A">
    <w:pPr>
      <w:pStyle w:val="Header"/>
      <w:ind w:left="6663"/>
      <w:jc w:val="center"/>
      <w:rPr>
        <w:rFonts w:ascii="Arial" w:hAnsi="Arial" w:cs="Arial"/>
        <w:sz w:val="20"/>
        <w:szCs w:val="20"/>
      </w:rPr>
    </w:pPr>
    <w:r>
      <w:rPr>
        <w:rFonts w:ascii="Arial" w:hAnsi="Arial" w:cs="Arial"/>
        <w:sz w:val="20"/>
        <w:szCs w:val="20"/>
      </w:rPr>
      <w:t>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noProof/>
        <w:sz w:val="20"/>
        <w:szCs w:val="20"/>
      </w:rPr>
      <w:t>51</w:t>
    </w:r>
    <w:r>
      <w:rPr>
        <w:rFonts w:ascii="Arial" w:hAnsi="Arial" w:cs="Arial"/>
        <w:sz w:val="20"/>
        <w:szCs w:val="20"/>
      </w:rPr>
      <w:fldChar w:fldCharType="end"/>
    </w:r>
    <w:r>
      <w:rPr>
        <w:rFonts w:ascii="Arial" w:hAnsi="Arial" w:cs="Arial"/>
        <w:noProof/>
        <w:sz w:val="20"/>
        <w:szCs w:val="2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B129" w14:textId="77777777" w:rsidR="005B175C" w:rsidRPr="00587D5A" w:rsidRDefault="005B175C" w:rsidP="00691AB0">
    <w:pPr>
      <w:pStyle w:val="Header"/>
      <w:ind w:left="6663"/>
      <w:rPr>
        <w:rFonts w:ascii="Arial" w:hAnsi="Arial" w:cs="Arial"/>
        <w:sz w:val="20"/>
        <w:szCs w:val="20"/>
      </w:rPr>
    </w:pPr>
    <w:r w:rsidRPr="00587D5A">
      <w:rPr>
        <w:rFonts w:ascii="Arial" w:hAnsi="Arial" w:cs="Arial"/>
        <w:sz w:val="20"/>
        <w:szCs w:val="20"/>
      </w:rPr>
      <w:t>IOC/TOWS-WG-</w:t>
    </w:r>
    <w:r>
      <w:rPr>
        <w:rFonts w:ascii="Arial" w:hAnsi="Arial" w:cs="Arial"/>
        <w:sz w:val="20"/>
        <w:szCs w:val="20"/>
      </w:rPr>
      <w:t>XVIII</w:t>
    </w:r>
    <w:r w:rsidRPr="00587D5A">
      <w:rPr>
        <w:rFonts w:ascii="Arial" w:hAnsi="Arial" w:cs="Arial"/>
        <w:sz w:val="20"/>
        <w:szCs w:val="20"/>
      </w:rPr>
      <w:t>/3</w:t>
    </w:r>
  </w:p>
  <w:p w14:paraId="652337A7" w14:textId="6ABC504A" w:rsidR="005B175C" w:rsidRPr="00587D5A" w:rsidRDefault="005B175C" w:rsidP="009F077A">
    <w:pPr>
      <w:pStyle w:val="Header"/>
      <w:ind w:left="6663"/>
      <w:jc w:val="center"/>
      <w:rPr>
        <w:rFonts w:ascii="Arial" w:hAnsi="Arial" w:cs="Arial"/>
        <w:sz w:val="20"/>
        <w:szCs w:val="20"/>
      </w:rPr>
    </w:pPr>
    <w:r>
      <w:rPr>
        <w:rFonts w:ascii="Arial" w:hAnsi="Arial" w:cs="Arial"/>
        <w:sz w:val="20"/>
        <w:szCs w:val="20"/>
      </w:rPr>
      <w:t>ANNEX I 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noProof/>
        <w:sz w:val="20"/>
        <w:szCs w:val="20"/>
      </w:rPr>
      <w:t>51</w:t>
    </w:r>
    <w:r>
      <w:rPr>
        <w:rFonts w:ascii="Arial" w:hAnsi="Arial" w:cs="Arial"/>
        <w:sz w:val="20"/>
        <w:szCs w:val="20"/>
      </w:rPr>
      <w:fldChar w:fldCharType="end"/>
    </w:r>
    <w:r>
      <w:rPr>
        <w:rFonts w:ascii="Arial" w:hAnsi="Arial" w:cs="Arial"/>
        <w:noProof/>
        <w:sz w:val="20"/>
        <w:szCs w:val="20"/>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73D7" w14:textId="77777777" w:rsidR="005B175C" w:rsidRPr="00587D5A" w:rsidRDefault="005B175C" w:rsidP="00691AB0">
    <w:pPr>
      <w:pStyle w:val="Header"/>
      <w:ind w:left="6663"/>
      <w:rPr>
        <w:rFonts w:ascii="Arial" w:hAnsi="Arial" w:cs="Arial"/>
        <w:sz w:val="20"/>
        <w:szCs w:val="20"/>
      </w:rPr>
    </w:pPr>
    <w:r w:rsidRPr="00587D5A">
      <w:rPr>
        <w:rFonts w:ascii="Arial" w:hAnsi="Arial" w:cs="Arial"/>
        <w:sz w:val="20"/>
        <w:szCs w:val="20"/>
      </w:rPr>
      <w:t>IOC/TOWS-WG-</w:t>
    </w:r>
    <w:r>
      <w:rPr>
        <w:rFonts w:ascii="Arial" w:hAnsi="Arial" w:cs="Arial"/>
        <w:sz w:val="20"/>
        <w:szCs w:val="20"/>
      </w:rPr>
      <w:t>XVIII</w:t>
    </w:r>
    <w:r w:rsidRPr="00587D5A">
      <w:rPr>
        <w:rFonts w:ascii="Arial" w:hAnsi="Arial" w:cs="Arial"/>
        <w:sz w:val="20"/>
        <w:szCs w:val="20"/>
      </w:rPr>
      <w:t>/3</w:t>
    </w:r>
  </w:p>
  <w:p w14:paraId="654BE023" w14:textId="2AE2812C" w:rsidR="005B175C" w:rsidRPr="00587D5A" w:rsidRDefault="005B175C" w:rsidP="009F077A">
    <w:pPr>
      <w:pStyle w:val="Header"/>
      <w:ind w:left="6663"/>
      <w:jc w:val="center"/>
      <w:rPr>
        <w:rFonts w:ascii="Arial" w:hAnsi="Arial" w:cs="Arial"/>
        <w:sz w:val="20"/>
        <w:szCs w:val="20"/>
      </w:rPr>
    </w:pPr>
    <w:r>
      <w:rPr>
        <w:rFonts w:ascii="Arial" w:hAnsi="Arial" w:cs="Arial"/>
        <w:sz w:val="20"/>
        <w:szCs w:val="20"/>
      </w:rPr>
      <w:t>ANNEX II 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noProof/>
        <w:sz w:val="20"/>
        <w:szCs w:val="20"/>
      </w:rPr>
      <w:t>51</w:t>
    </w:r>
    <w:r>
      <w:rPr>
        <w:rFonts w:ascii="Arial" w:hAnsi="Arial" w:cs="Arial"/>
        <w:sz w:val="20"/>
        <w:szCs w:val="20"/>
      </w:rPr>
      <w:fldChar w:fldCharType="end"/>
    </w:r>
    <w:r>
      <w:rPr>
        <w:rFonts w:ascii="Arial" w:hAnsi="Arial" w:cs="Arial"/>
        <w:noProof/>
        <w:sz w:val="20"/>
        <w:szCs w:val="20"/>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DD06A" w14:textId="77777777" w:rsidR="009F077A" w:rsidRPr="00587D5A" w:rsidRDefault="009F077A" w:rsidP="00691AB0">
    <w:pPr>
      <w:pStyle w:val="Header"/>
      <w:ind w:left="6663"/>
      <w:rPr>
        <w:rFonts w:ascii="Arial" w:hAnsi="Arial" w:cs="Arial"/>
        <w:sz w:val="20"/>
        <w:szCs w:val="20"/>
      </w:rPr>
    </w:pPr>
    <w:r w:rsidRPr="00587D5A">
      <w:rPr>
        <w:rFonts w:ascii="Arial" w:hAnsi="Arial" w:cs="Arial"/>
        <w:sz w:val="20"/>
        <w:szCs w:val="20"/>
      </w:rPr>
      <w:t>IOC/TOWS-WG-</w:t>
    </w:r>
    <w:r>
      <w:rPr>
        <w:rFonts w:ascii="Arial" w:hAnsi="Arial" w:cs="Arial"/>
        <w:sz w:val="20"/>
        <w:szCs w:val="20"/>
      </w:rPr>
      <w:t>XVIII</w:t>
    </w:r>
    <w:r w:rsidRPr="00587D5A">
      <w:rPr>
        <w:rFonts w:ascii="Arial" w:hAnsi="Arial" w:cs="Arial"/>
        <w:sz w:val="20"/>
        <w:szCs w:val="20"/>
      </w:rPr>
      <w:t>/3</w:t>
    </w:r>
  </w:p>
  <w:p w14:paraId="21C173B0" w14:textId="77777777" w:rsidR="009F077A" w:rsidRPr="00587D5A" w:rsidRDefault="009F077A" w:rsidP="00691AB0">
    <w:pPr>
      <w:pStyle w:val="Header"/>
      <w:ind w:left="6663"/>
      <w:rPr>
        <w:rFonts w:ascii="Arial" w:hAnsi="Arial" w:cs="Arial"/>
        <w:sz w:val="20"/>
        <w:szCs w:val="20"/>
      </w:rPr>
    </w:pPr>
    <w:r>
      <w:rPr>
        <w:rFonts w:ascii="Arial" w:hAnsi="Arial" w:cs="Arial"/>
        <w:sz w:val="20"/>
        <w:szCs w:val="20"/>
      </w:rPr>
      <w:t>ANNEX III 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noProof/>
        <w:sz w:val="20"/>
        <w:szCs w:val="20"/>
      </w:rPr>
      <w:t>51</w:t>
    </w:r>
    <w:r>
      <w:rPr>
        <w:rFonts w:ascii="Arial" w:hAnsi="Arial" w:cs="Arial"/>
        <w:sz w:val="20"/>
        <w:szCs w:val="20"/>
      </w:rPr>
      <w:fldChar w:fldCharType="end"/>
    </w:r>
    <w:r>
      <w:rPr>
        <w:rFonts w:ascii="Arial" w:hAnsi="Arial" w:cs="Arial"/>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lvl w:ilvl="0">
      <w:start w:val="1"/>
      <w:numFmt w:val="lowerRoman"/>
      <w:pStyle w:val="i"/>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9"/>
    <w:multiLevelType w:val="multilevel"/>
    <w:tmpl w:val="00000009"/>
    <w:lvl w:ilvl="0">
      <w:start w:val="1"/>
      <w:numFmt w:val="bullet"/>
      <w:pStyle w:val="Tiret"/>
      <w:lvlText w:val="-"/>
      <w:lvlJc w:val="left"/>
      <w:pPr>
        <w:tabs>
          <w:tab w:val="num" w:pos="2062"/>
        </w:tabs>
        <w:ind w:left="1702" w:firstLine="0"/>
      </w:pPr>
      <w:rPr>
        <w:rFonts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0B"/>
    <w:multiLevelType w:val="multilevel"/>
    <w:tmpl w:val="0000000B"/>
    <w:lvl w:ilvl="0">
      <w:start w:val="1"/>
      <w:numFmt w:val="bullet"/>
      <w:pStyle w:val="StyleLatinGaramondBoldAllcapsJustifiedBeforeAutoA"/>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C"/>
    <w:multiLevelType w:val="singleLevel"/>
    <w:tmpl w:val="0000000C"/>
    <w:lvl w:ilvl="0">
      <w:start w:val="1"/>
      <w:numFmt w:val="bullet"/>
      <w:pStyle w:val="TIRET-"/>
      <w:lvlText w:val="─"/>
      <w:lvlJc w:val="left"/>
      <w:pPr>
        <w:tabs>
          <w:tab w:val="num" w:pos="1636"/>
        </w:tabs>
        <w:ind w:left="1559" w:hanging="283"/>
      </w:pPr>
      <w:rPr>
        <w:rFonts w:ascii="Times New Roman" w:hAnsi="Times New Roman" w:cs="Times New Roman" w:hint="default"/>
        <w:b w:val="0"/>
        <w:i w:val="0"/>
        <w:sz w:val="24"/>
      </w:rPr>
    </w:lvl>
  </w:abstractNum>
  <w:abstractNum w:abstractNumId="4" w15:restartNumberingAfterBreak="0">
    <w:nsid w:val="0000000D"/>
    <w:multiLevelType w:val="multilevel"/>
    <w:tmpl w:val="0000000D"/>
    <w:lvl w:ilvl="0">
      <w:start w:val="1"/>
      <w:numFmt w:val="upperRoman"/>
      <w:pStyle w:val="Participantcategories"/>
      <w:lvlText w:val="%1."/>
      <w:lvlJc w:val="left"/>
      <w:pPr>
        <w:tabs>
          <w:tab w:val="num" w:pos="72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E"/>
    <w:multiLevelType w:val="multilevel"/>
    <w:tmpl w:val="0000000E"/>
    <w:lvl w:ilvl="0">
      <w:start w:val="1"/>
      <w:numFmt w:val="bullet"/>
      <w:pStyle w:val="TIRETbul"/>
      <w:lvlText w:val=""/>
      <w:lvlJc w:val="left"/>
      <w:pPr>
        <w:tabs>
          <w:tab w:val="num" w:pos="1276"/>
        </w:tabs>
        <w:ind w:left="1276" w:hanging="567"/>
      </w:pPr>
      <w:rPr>
        <w:rFonts w:ascii="Symbol" w:hAnsi="Symbol" w:hint="default"/>
        <w:b w:val="0"/>
        <w:i w:val="0"/>
        <w:color w:val="0000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000011"/>
    <w:multiLevelType w:val="multilevel"/>
    <w:tmpl w:val="00000011"/>
    <w:lvl w:ilvl="0">
      <w:start w:val="1"/>
      <w:numFmt w:val="decimal"/>
      <w:pStyle w:val="COI"/>
      <w:lvlText w:val="%1"/>
      <w:lvlJc w:val="left"/>
      <w:pPr>
        <w:tabs>
          <w:tab w:val="num" w:pos="709"/>
        </w:tabs>
        <w:ind w:left="709" w:hanging="709"/>
      </w:pPr>
      <w:rPr>
        <w:rFonts w:hint="default"/>
        <w:b w:val="0"/>
        <w:i/>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7" w15:restartNumberingAfterBreak="0">
    <w:nsid w:val="00000012"/>
    <w:multiLevelType w:val="multilevel"/>
    <w:tmpl w:val="A3CE7E30"/>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0000014"/>
    <w:multiLevelType w:val="multilevel"/>
    <w:tmpl w:val="00000014"/>
    <w:lvl w:ilvl="0">
      <w:start w:val="1"/>
      <w:numFmt w:val="decimal"/>
      <w:pStyle w:val="StyleHeading1"/>
      <w:lvlText w:val="%1."/>
      <w:lvlJc w:val="left"/>
      <w:pPr>
        <w:tabs>
          <w:tab w:val="num" w:pos="880"/>
        </w:tabs>
        <w:ind w:left="880" w:hanging="952"/>
      </w:pPr>
      <w:rPr>
        <w:rFonts w:ascii="Arial" w:hAnsi="Arial"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15"/>
    <w:multiLevelType w:val="multilevel"/>
    <w:tmpl w:val="00000015"/>
    <w:lvl w:ilvl="0">
      <w:start w:val="1"/>
      <w:numFmt w:val="decimal"/>
      <w:pStyle w:val="Paragrafonumerato"/>
      <w:lvlText w:val="%1"/>
      <w:lvlJc w:val="left"/>
      <w:pPr>
        <w:tabs>
          <w:tab w:val="num" w:pos="720"/>
        </w:tabs>
        <w:ind w:left="720" w:hanging="360"/>
      </w:pPr>
      <w:rPr>
        <w:rFonts w:hint="default"/>
        <w:b w:val="0"/>
        <w:i/>
      </w:rPr>
    </w:lvl>
    <w:lvl w:ilvl="1">
      <w:start w:val="1"/>
      <w:numFmt w:val="bullet"/>
      <w:lvlText w:val=""/>
      <w:lvlJc w:val="left"/>
      <w:pPr>
        <w:tabs>
          <w:tab w:val="num" w:pos="1440"/>
        </w:tabs>
        <w:ind w:left="1440" w:hanging="360"/>
      </w:pPr>
      <w:rPr>
        <w:rFonts w:ascii="Symbol" w:hAnsi="Symbol" w:hint="default"/>
        <w:b w:val="0"/>
        <w:i/>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7"/>
    <w:multiLevelType w:val="multilevel"/>
    <w:tmpl w:val="00000017"/>
    <w:lvl w:ilvl="0">
      <w:start w:val="1"/>
      <w:numFmt w:val="lowerRoman"/>
      <w:pStyle w:val="StyleListParagraphArialJustified"/>
      <w:lvlText w:val="(%1)"/>
      <w:lvlJc w:val="left"/>
      <w:pPr>
        <w:ind w:left="3000" w:hanging="720"/>
      </w:pPr>
      <w:rPr>
        <w:rFonts w:hint="default"/>
      </w:r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11" w15:restartNumberingAfterBreak="0">
    <w:nsid w:val="00000018"/>
    <w:multiLevelType w:val="multilevel"/>
    <w:tmpl w:val="00000018"/>
    <w:lvl w:ilvl="0">
      <w:start w:val="1"/>
      <w:numFmt w:val="lowerLetter"/>
      <w:pStyle w:val="Indenta"/>
      <w:lvlText w:val="(%1)"/>
      <w:lvlJc w:val="left"/>
      <w:pPr>
        <w:tabs>
          <w:tab w:val="num" w:pos="1429"/>
        </w:tabs>
        <w:ind w:left="1429"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E15829"/>
    <w:multiLevelType w:val="multilevel"/>
    <w:tmpl w:val="E786A6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 w15:restartNumberingAfterBreak="0">
    <w:nsid w:val="017F1603"/>
    <w:multiLevelType w:val="multilevel"/>
    <w:tmpl w:val="65DAFA4A"/>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1D20DC2"/>
    <w:multiLevelType w:val="multilevel"/>
    <w:tmpl w:val="19EE2868"/>
    <w:lvl w:ilvl="0">
      <w:start w:val="3"/>
      <w:numFmt w:val="decimal"/>
      <w:lvlText w:val="%1"/>
      <w:lvlJc w:val="left"/>
      <w:pPr>
        <w:ind w:left="360" w:hanging="360"/>
      </w:pPr>
      <w:rPr>
        <w:b w:val="0"/>
        <w:color w:val="000000"/>
      </w:rPr>
    </w:lvl>
    <w:lvl w:ilvl="1">
      <w:start w:val="1"/>
      <w:numFmt w:val="decimal"/>
      <w:lvlText w:val="%1.%2"/>
      <w:lvlJc w:val="left"/>
      <w:pPr>
        <w:ind w:left="1440" w:hanging="360"/>
      </w:pPr>
      <w:rPr>
        <w:b w:val="0"/>
        <w:color w:val="000000"/>
      </w:rPr>
    </w:lvl>
    <w:lvl w:ilvl="2">
      <w:start w:val="1"/>
      <w:numFmt w:val="decimal"/>
      <w:lvlText w:val="%1.%2.%3"/>
      <w:lvlJc w:val="left"/>
      <w:pPr>
        <w:ind w:left="2880" w:hanging="720"/>
      </w:pPr>
      <w:rPr>
        <w:b w:val="0"/>
        <w:color w:val="000000"/>
      </w:rPr>
    </w:lvl>
    <w:lvl w:ilvl="3">
      <w:start w:val="1"/>
      <w:numFmt w:val="decimal"/>
      <w:lvlText w:val="%1.%2.%3.%4"/>
      <w:lvlJc w:val="left"/>
      <w:pPr>
        <w:ind w:left="3960" w:hanging="720"/>
      </w:pPr>
      <w:rPr>
        <w:b w:val="0"/>
        <w:color w:val="000000"/>
      </w:rPr>
    </w:lvl>
    <w:lvl w:ilvl="4">
      <w:start w:val="1"/>
      <w:numFmt w:val="decimal"/>
      <w:lvlText w:val="%1.%2.%3.%4.%5"/>
      <w:lvlJc w:val="left"/>
      <w:pPr>
        <w:ind w:left="5400" w:hanging="1080"/>
      </w:pPr>
      <w:rPr>
        <w:b w:val="0"/>
        <w:color w:val="000000"/>
      </w:rPr>
    </w:lvl>
    <w:lvl w:ilvl="5">
      <w:start w:val="1"/>
      <w:numFmt w:val="decimal"/>
      <w:lvlText w:val="%1.%2.%3.%4.%5.%6"/>
      <w:lvlJc w:val="left"/>
      <w:pPr>
        <w:ind w:left="6480" w:hanging="1080"/>
      </w:pPr>
      <w:rPr>
        <w:b w:val="0"/>
        <w:color w:val="000000"/>
      </w:rPr>
    </w:lvl>
    <w:lvl w:ilvl="6">
      <w:start w:val="1"/>
      <w:numFmt w:val="decimal"/>
      <w:lvlText w:val="%1.%2.%3.%4.%5.%6.%7"/>
      <w:lvlJc w:val="left"/>
      <w:pPr>
        <w:ind w:left="7920" w:hanging="1440"/>
      </w:pPr>
      <w:rPr>
        <w:b w:val="0"/>
        <w:color w:val="000000"/>
      </w:rPr>
    </w:lvl>
    <w:lvl w:ilvl="7">
      <w:start w:val="1"/>
      <w:numFmt w:val="decimal"/>
      <w:lvlText w:val="%1.%2.%3.%4.%5.%6.%7.%8"/>
      <w:lvlJc w:val="left"/>
      <w:pPr>
        <w:ind w:left="9000" w:hanging="1440"/>
      </w:pPr>
      <w:rPr>
        <w:b w:val="0"/>
        <w:color w:val="000000"/>
      </w:rPr>
    </w:lvl>
    <w:lvl w:ilvl="8">
      <w:start w:val="1"/>
      <w:numFmt w:val="decimal"/>
      <w:lvlText w:val="%1.%2.%3.%4.%5.%6.%7.%8.%9"/>
      <w:lvlJc w:val="left"/>
      <w:pPr>
        <w:ind w:left="10440" w:hanging="1800"/>
      </w:pPr>
      <w:rPr>
        <w:b w:val="0"/>
        <w:color w:val="000000"/>
      </w:rPr>
    </w:lvl>
  </w:abstractNum>
  <w:abstractNum w:abstractNumId="15" w15:restartNumberingAfterBreak="0">
    <w:nsid w:val="01E43291"/>
    <w:multiLevelType w:val="multilevel"/>
    <w:tmpl w:val="3F668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3C01D9A"/>
    <w:multiLevelType w:val="multilevel"/>
    <w:tmpl w:val="B2DC4D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4D74D9A"/>
    <w:multiLevelType w:val="multilevel"/>
    <w:tmpl w:val="BECACC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50B2DE4"/>
    <w:multiLevelType w:val="multilevel"/>
    <w:tmpl w:val="1D1C46B6"/>
    <w:lvl w:ilvl="0">
      <w:start w:val="1"/>
      <w:numFmt w:val="decimal"/>
      <w:lvlText w:val="%1."/>
      <w:lvlJc w:val="left"/>
      <w:pPr>
        <w:ind w:left="1235" w:hanging="548"/>
      </w:pPr>
      <w:rPr>
        <w:rFonts w:ascii="Arial" w:eastAsia="Arial" w:hAnsi="Arial" w:cs="Arial" w:hint="default"/>
        <w:b/>
        <w:bCs/>
        <w:spacing w:val="-1"/>
        <w:w w:val="100"/>
        <w:sz w:val="22"/>
        <w:szCs w:val="22"/>
      </w:rPr>
    </w:lvl>
    <w:lvl w:ilvl="1">
      <w:start w:val="1"/>
      <w:numFmt w:val="decimal"/>
      <w:lvlText w:val="%1.%2"/>
      <w:lvlJc w:val="left"/>
      <w:pPr>
        <w:ind w:left="1799" w:hanging="540"/>
      </w:pPr>
      <w:rPr>
        <w:rFonts w:ascii="Arial" w:eastAsia="Arial" w:hAnsi="Arial" w:cs="Arial" w:hint="default"/>
        <w:w w:val="100"/>
        <w:sz w:val="22"/>
        <w:szCs w:val="22"/>
      </w:rPr>
    </w:lvl>
    <w:lvl w:ilvl="2">
      <w:start w:val="1"/>
      <w:numFmt w:val="decimal"/>
      <w:lvlText w:val="%1.%2.%3"/>
      <w:lvlJc w:val="left"/>
      <w:pPr>
        <w:ind w:left="2529" w:hanging="719"/>
      </w:pPr>
      <w:rPr>
        <w:rFonts w:ascii="Arial" w:eastAsia="Arial" w:hAnsi="Arial" w:cs="Arial" w:hint="default"/>
        <w:w w:val="100"/>
        <w:sz w:val="22"/>
        <w:szCs w:val="22"/>
      </w:rPr>
    </w:lvl>
    <w:lvl w:ilvl="3">
      <w:numFmt w:val="bullet"/>
      <w:lvlText w:val="•"/>
      <w:lvlJc w:val="left"/>
      <w:pPr>
        <w:ind w:left="3375" w:hanging="719"/>
      </w:pPr>
      <w:rPr>
        <w:rFonts w:hint="default"/>
      </w:rPr>
    </w:lvl>
    <w:lvl w:ilvl="4">
      <w:numFmt w:val="bullet"/>
      <w:lvlText w:val="•"/>
      <w:lvlJc w:val="left"/>
      <w:pPr>
        <w:ind w:left="4231" w:hanging="719"/>
      </w:pPr>
      <w:rPr>
        <w:rFonts w:hint="default"/>
      </w:rPr>
    </w:lvl>
    <w:lvl w:ilvl="5">
      <w:numFmt w:val="bullet"/>
      <w:lvlText w:val="•"/>
      <w:lvlJc w:val="left"/>
      <w:pPr>
        <w:ind w:left="5087" w:hanging="719"/>
      </w:pPr>
      <w:rPr>
        <w:rFonts w:hint="default"/>
      </w:rPr>
    </w:lvl>
    <w:lvl w:ilvl="6">
      <w:numFmt w:val="bullet"/>
      <w:lvlText w:val="•"/>
      <w:lvlJc w:val="left"/>
      <w:pPr>
        <w:ind w:left="5943" w:hanging="719"/>
      </w:pPr>
      <w:rPr>
        <w:rFonts w:hint="default"/>
      </w:rPr>
    </w:lvl>
    <w:lvl w:ilvl="7">
      <w:numFmt w:val="bullet"/>
      <w:lvlText w:val="•"/>
      <w:lvlJc w:val="left"/>
      <w:pPr>
        <w:ind w:left="6799" w:hanging="719"/>
      </w:pPr>
      <w:rPr>
        <w:rFonts w:hint="default"/>
      </w:rPr>
    </w:lvl>
    <w:lvl w:ilvl="8">
      <w:numFmt w:val="bullet"/>
      <w:lvlText w:val="•"/>
      <w:lvlJc w:val="left"/>
      <w:pPr>
        <w:ind w:left="7654" w:hanging="719"/>
      </w:pPr>
      <w:rPr>
        <w:rFonts w:hint="default"/>
      </w:rPr>
    </w:lvl>
  </w:abstractNum>
  <w:abstractNum w:abstractNumId="19" w15:restartNumberingAfterBreak="0">
    <w:nsid w:val="05413715"/>
    <w:multiLevelType w:val="multilevel"/>
    <w:tmpl w:val="9B685D4C"/>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8043FB8"/>
    <w:multiLevelType w:val="hybridMultilevel"/>
    <w:tmpl w:val="2174A826"/>
    <w:lvl w:ilvl="0" w:tplc="FFFFFFFF">
      <w:start w:val="1"/>
      <w:numFmt w:val="decimal"/>
      <w:lvlText w:val="%1."/>
      <w:lvlJc w:val="left"/>
      <w:pPr>
        <w:ind w:left="0" w:hanging="360"/>
      </w:pPr>
      <w:rPr>
        <w:rFonts w:asciiTheme="minorBidi" w:hAnsiTheme="minorBidi" w:cstheme="minorBidi" w:hint="default"/>
        <w:b w:val="0"/>
        <w:i/>
        <w:sz w:val="20"/>
        <w:szCs w:val="22"/>
        <w:lang w:val="en-GB"/>
      </w:rPr>
    </w:lvl>
    <w:lvl w:ilvl="1" w:tplc="FFFFFFFF">
      <w:start w:val="1"/>
      <w:numFmt w:val="lowerLetter"/>
      <w:lvlText w:val="%2."/>
      <w:lvlJc w:val="left"/>
      <w:pPr>
        <w:ind w:left="720" w:hanging="360"/>
      </w:pPr>
    </w:lvl>
    <w:lvl w:ilvl="2" w:tplc="FFFFFFFF">
      <w:start w:val="1"/>
      <w:numFmt w:val="bullet"/>
      <w:lvlText w:val="•"/>
      <w:lvlJc w:val="left"/>
      <w:pPr>
        <w:ind w:left="1812" w:hanging="552"/>
      </w:pPr>
      <w:rPr>
        <w:rFonts w:ascii="Arial" w:eastAsia="SimSun" w:hAnsi="Arial" w:cs="Arial" w:hint="default"/>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1" w15:restartNumberingAfterBreak="0">
    <w:nsid w:val="083A50EA"/>
    <w:multiLevelType w:val="hybridMultilevel"/>
    <w:tmpl w:val="312AA5D8"/>
    <w:lvl w:ilvl="0" w:tplc="C922B510">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08863C6E"/>
    <w:multiLevelType w:val="multilevel"/>
    <w:tmpl w:val="E786A6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3" w15:restartNumberingAfterBreak="0">
    <w:nsid w:val="0A092791"/>
    <w:multiLevelType w:val="hybridMultilevel"/>
    <w:tmpl w:val="E3AE3342"/>
    <w:lvl w:ilvl="0" w:tplc="3A58B13C">
      <w:start w:val="5"/>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2955F2"/>
    <w:multiLevelType w:val="multilevel"/>
    <w:tmpl w:val="D1369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D6D418E"/>
    <w:multiLevelType w:val="multilevel"/>
    <w:tmpl w:val="47D084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E592354"/>
    <w:multiLevelType w:val="multilevel"/>
    <w:tmpl w:val="2C3A3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0C20727"/>
    <w:multiLevelType w:val="multilevel"/>
    <w:tmpl w:val="3AB6E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20C0187"/>
    <w:multiLevelType w:val="hybridMultilevel"/>
    <w:tmpl w:val="99EED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24770E1"/>
    <w:multiLevelType w:val="multilevel"/>
    <w:tmpl w:val="6E1A5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24D5912"/>
    <w:multiLevelType w:val="multilevel"/>
    <w:tmpl w:val="C6367EF6"/>
    <w:lvl w:ilvl="0">
      <w:start w:val="2"/>
      <w:numFmt w:val="decimal"/>
      <w:lvlText w:val="%1"/>
      <w:lvlJc w:val="left"/>
      <w:pPr>
        <w:ind w:left="480" w:hanging="480"/>
      </w:pPr>
      <w:rPr>
        <w:rFonts w:asciiTheme="minorBidi" w:hAnsiTheme="minorBidi" w:cstheme="minorBidi" w:hint="default"/>
        <w:b/>
        <w:bCs/>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28645F3"/>
    <w:multiLevelType w:val="hybridMultilevel"/>
    <w:tmpl w:val="4ADC4D66"/>
    <w:lvl w:ilvl="0" w:tplc="6F128694">
      <w:start w:val="1"/>
      <w:numFmt w:val="decimal"/>
      <w:lvlText w:val="%1."/>
      <w:lvlJc w:val="left"/>
      <w:pPr>
        <w:ind w:left="360" w:hanging="360"/>
      </w:pPr>
      <w:rPr>
        <w:rFonts w:hint="default"/>
      </w:rPr>
    </w:lvl>
    <w:lvl w:ilvl="1" w:tplc="FFFFFFFF">
      <w:start w:val="1"/>
      <w:numFmt w:val="decimal"/>
      <w:lvlText w:val="4.%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2B85C98"/>
    <w:multiLevelType w:val="hybridMultilevel"/>
    <w:tmpl w:val="E7A2D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376550A"/>
    <w:multiLevelType w:val="hybridMultilevel"/>
    <w:tmpl w:val="601686CC"/>
    <w:lvl w:ilvl="0" w:tplc="A9AEF968">
      <w:numFmt w:val="bullet"/>
      <w:lvlText w:val=""/>
      <w:lvlJc w:val="left"/>
      <w:pPr>
        <w:ind w:left="723" w:hanging="360"/>
      </w:pPr>
      <w:rPr>
        <w:rFonts w:ascii="Symbol" w:eastAsia="Symbol" w:hAnsi="Symbol" w:cs="Symbol" w:hint="default"/>
        <w:b w:val="0"/>
        <w:bCs w:val="0"/>
        <w:i w:val="0"/>
        <w:iCs w:val="0"/>
        <w:w w:val="100"/>
        <w:sz w:val="20"/>
        <w:szCs w:val="20"/>
        <w:lang w:val="en-US" w:eastAsia="en-US" w:bidi="ar-SA"/>
      </w:rPr>
    </w:lvl>
    <w:lvl w:ilvl="1" w:tplc="D5D00F0A">
      <w:numFmt w:val="bullet"/>
      <w:lvlText w:val="•"/>
      <w:lvlJc w:val="left"/>
      <w:pPr>
        <w:ind w:left="1129" w:hanging="360"/>
      </w:pPr>
      <w:rPr>
        <w:rFonts w:hint="default"/>
        <w:lang w:val="en-US" w:eastAsia="en-US" w:bidi="ar-SA"/>
      </w:rPr>
    </w:lvl>
    <w:lvl w:ilvl="2" w:tplc="6B983E6E">
      <w:numFmt w:val="bullet"/>
      <w:lvlText w:val="•"/>
      <w:lvlJc w:val="left"/>
      <w:pPr>
        <w:ind w:left="1538" w:hanging="360"/>
      </w:pPr>
      <w:rPr>
        <w:rFonts w:hint="default"/>
        <w:lang w:val="en-US" w:eastAsia="en-US" w:bidi="ar-SA"/>
      </w:rPr>
    </w:lvl>
    <w:lvl w:ilvl="3" w:tplc="51FC9518">
      <w:numFmt w:val="bullet"/>
      <w:lvlText w:val="•"/>
      <w:lvlJc w:val="left"/>
      <w:pPr>
        <w:ind w:left="1947" w:hanging="360"/>
      </w:pPr>
      <w:rPr>
        <w:rFonts w:hint="default"/>
        <w:lang w:val="en-US" w:eastAsia="en-US" w:bidi="ar-SA"/>
      </w:rPr>
    </w:lvl>
    <w:lvl w:ilvl="4" w:tplc="6040CD4C">
      <w:numFmt w:val="bullet"/>
      <w:lvlText w:val="•"/>
      <w:lvlJc w:val="left"/>
      <w:pPr>
        <w:ind w:left="2356" w:hanging="360"/>
      </w:pPr>
      <w:rPr>
        <w:rFonts w:hint="default"/>
        <w:lang w:val="en-US" w:eastAsia="en-US" w:bidi="ar-SA"/>
      </w:rPr>
    </w:lvl>
    <w:lvl w:ilvl="5" w:tplc="8D1C0BE0">
      <w:numFmt w:val="bullet"/>
      <w:lvlText w:val="•"/>
      <w:lvlJc w:val="left"/>
      <w:pPr>
        <w:ind w:left="2766" w:hanging="360"/>
      </w:pPr>
      <w:rPr>
        <w:rFonts w:hint="default"/>
        <w:lang w:val="en-US" w:eastAsia="en-US" w:bidi="ar-SA"/>
      </w:rPr>
    </w:lvl>
    <w:lvl w:ilvl="6" w:tplc="DD303862">
      <w:numFmt w:val="bullet"/>
      <w:lvlText w:val="•"/>
      <w:lvlJc w:val="left"/>
      <w:pPr>
        <w:ind w:left="3175" w:hanging="360"/>
      </w:pPr>
      <w:rPr>
        <w:rFonts w:hint="default"/>
        <w:lang w:val="en-US" w:eastAsia="en-US" w:bidi="ar-SA"/>
      </w:rPr>
    </w:lvl>
    <w:lvl w:ilvl="7" w:tplc="91363482">
      <w:numFmt w:val="bullet"/>
      <w:lvlText w:val="•"/>
      <w:lvlJc w:val="left"/>
      <w:pPr>
        <w:ind w:left="3584" w:hanging="360"/>
      </w:pPr>
      <w:rPr>
        <w:rFonts w:hint="default"/>
        <w:lang w:val="en-US" w:eastAsia="en-US" w:bidi="ar-SA"/>
      </w:rPr>
    </w:lvl>
    <w:lvl w:ilvl="8" w:tplc="C71AD44E">
      <w:numFmt w:val="bullet"/>
      <w:lvlText w:val="•"/>
      <w:lvlJc w:val="left"/>
      <w:pPr>
        <w:ind w:left="3993" w:hanging="360"/>
      </w:pPr>
      <w:rPr>
        <w:rFonts w:hint="default"/>
        <w:lang w:val="en-US" w:eastAsia="en-US" w:bidi="ar-SA"/>
      </w:rPr>
    </w:lvl>
  </w:abstractNum>
  <w:abstractNum w:abstractNumId="34" w15:restartNumberingAfterBreak="0">
    <w:nsid w:val="13E8597B"/>
    <w:multiLevelType w:val="multilevel"/>
    <w:tmpl w:val="301AB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4B64D44"/>
    <w:multiLevelType w:val="hybridMultilevel"/>
    <w:tmpl w:val="CBAE7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91017F"/>
    <w:multiLevelType w:val="multilevel"/>
    <w:tmpl w:val="BECE7ED0"/>
    <w:lvl w:ilvl="0">
      <w:start w:val="1"/>
      <w:numFmt w:val="lowerRoman"/>
      <w:lvlText w:val="(%1)"/>
      <w:lvlJc w:val="right"/>
      <w:pPr>
        <w:ind w:left="1080" w:hanging="360"/>
      </w:pPr>
      <w:rPr>
        <w:rFonts w:hint="default"/>
        <w:w w:val="99"/>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15BE3D3E"/>
    <w:multiLevelType w:val="multilevel"/>
    <w:tmpl w:val="4BBA8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5FE7456"/>
    <w:multiLevelType w:val="hybridMultilevel"/>
    <w:tmpl w:val="CF3820F8"/>
    <w:lvl w:ilvl="0" w:tplc="0409000F">
      <w:start w:val="1"/>
      <w:numFmt w:val="decimal"/>
      <w:lvlText w:val="%1."/>
      <w:lvlJc w:val="left"/>
      <w:pPr>
        <w:ind w:left="360" w:hanging="360"/>
      </w:pPr>
    </w:lvl>
    <w:lvl w:ilvl="1" w:tplc="3A10CC4E">
      <w:start w:val="1"/>
      <w:numFmt w:val="decimal"/>
      <w:lvlText w:val="4.%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4146C7"/>
    <w:multiLevelType w:val="multilevel"/>
    <w:tmpl w:val="D5968D02"/>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79D0E60"/>
    <w:multiLevelType w:val="multilevel"/>
    <w:tmpl w:val="4C76C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7A36D7B"/>
    <w:multiLevelType w:val="hybridMultilevel"/>
    <w:tmpl w:val="C524AD58"/>
    <w:lvl w:ilvl="0" w:tplc="040C0001">
      <w:start w:val="1"/>
      <w:numFmt w:val="bullet"/>
      <w:lvlText w:val=""/>
      <w:lvlJc w:val="left"/>
      <w:pPr>
        <w:ind w:left="720" w:hanging="360"/>
      </w:pPr>
      <w:rPr>
        <w:rFonts w:ascii="Symbol" w:hAnsi="Symbol" w:hint="default"/>
        <w:b w:val="0"/>
        <w:i/>
        <w:sz w:val="20"/>
        <w:szCs w:val="22"/>
        <w:lang w:val="en-GB"/>
      </w:rPr>
    </w:lvl>
    <w:lvl w:ilvl="1" w:tplc="FFFFFFFF">
      <w:start w:val="1"/>
      <w:numFmt w:val="lowerLetter"/>
      <w:lvlText w:val="%2."/>
      <w:lvlJc w:val="left"/>
      <w:pPr>
        <w:ind w:left="1440" w:hanging="360"/>
      </w:pPr>
    </w:lvl>
    <w:lvl w:ilvl="2" w:tplc="FFFFFFFF">
      <w:start w:val="1"/>
      <w:numFmt w:val="bullet"/>
      <w:lvlText w:val="•"/>
      <w:lvlJc w:val="left"/>
      <w:pPr>
        <w:ind w:left="2532" w:hanging="552"/>
      </w:pPr>
      <w:rPr>
        <w:rFonts w:ascii="Arial" w:eastAsia="SimSu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7EB432C"/>
    <w:multiLevelType w:val="hybridMultilevel"/>
    <w:tmpl w:val="454A90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8D96847"/>
    <w:multiLevelType w:val="multilevel"/>
    <w:tmpl w:val="5C98B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93C47CB"/>
    <w:multiLevelType w:val="hybridMultilevel"/>
    <w:tmpl w:val="1ABAB762"/>
    <w:lvl w:ilvl="0" w:tplc="BDAC0E88">
      <w:start w:val="1"/>
      <w:numFmt w:val="bullet"/>
      <w:lvlText w:val="•"/>
      <w:lvlJc w:val="left"/>
      <w:pPr>
        <w:tabs>
          <w:tab w:val="num" w:pos="720"/>
        </w:tabs>
        <w:ind w:left="720" w:hanging="360"/>
      </w:pPr>
      <w:rPr>
        <w:rFonts w:ascii="Arial" w:hAnsi="Arial" w:hint="default"/>
      </w:rPr>
    </w:lvl>
    <w:lvl w:ilvl="1" w:tplc="FCBA2AA8" w:tentative="1">
      <w:start w:val="1"/>
      <w:numFmt w:val="bullet"/>
      <w:lvlText w:val="•"/>
      <w:lvlJc w:val="left"/>
      <w:pPr>
        <w:tabs>
          <w:tab w:val="num" w:pos="1440"/>
        </w:tabs>
        <w:ind w:left="1440" w:hanging="360"/>
      </w:pPr>
      <w:rPr>
        <w:rFonts w:ascii="Arial" w:hAnsi="Arial" w:hint="default"/>
      </w:rPr>
    </w:lvl>
    <w:lvl w:ilvl="2" w:tplc="E38E6FF8" w:tentative="1">
      <w:start w:val="1"/>
      <w:numFmt w:val="bullet"/>
      <w:lvlText w:val="•"/>
      <w:lvlJc w:val="left"/>
      <w:pPr>
        <w:tabs>
          <w:tab w:val="num" w:pos="2160"/>
        </w:tabs>
        <w:ind w:left="2160" w:hanging="360"/>
      </w:pPr>
      <w:rPr>
        <w:rFonts w:ascii="Arial" w:hAnsi="Arial" w:hint="default"/>
      </w:rPr>
    </w:lvl>
    <w:lvl w:ilvl="3" w:tplc="E40E9122" w:tentative="1">
      <w:start w:val="1"/>
      <w:numFmt w:val="bullet"/>
      <w:lvlText w:val="•"/>
      <w:lvlJc w:val="left"/>
      <w:pPr>
        <w:tabs>
          <w:tab w:val="num" w:pos="2880"/>
        </w:tabs>
        <w:ind w:left="2880" w:hanging="360"/>
      </w:pPr>
      <w:rPr>
        <w:rFonts w:ascii="Arial" w:hAnsi="Arial" w:hint="default"/>
      </w:rPr>
    </w:lvl>
    <w:lvl w:ilvl="4" w:tplc="3620EB66" w:tentative="1">
      <w:start w:val="1"/>
      <w:numFmt w:val="bullet"/>
      <w:lvlText w:val="•"/>
      <w:lvlJc w:val="left"/>
      <w:pPr>
        <w:tabs>
          <w:tab w:val="num" w:pos="3600"/>
        </w:tabs>
        <w:ind w:left="3600" w:hanging="360"/>
      </w:pPr>
      <w:rPr>
        <w:rFonts w:ascii="Arial" w:hAnsi="Arial" w:hint="default"/>
      </w:rPr>
    </w:lvl>
    <w:lvl w:ilvl="5" w:tplc="391E9FC6" w:tentative="1">
      <w:start w:val="1"/>
      <w:numFmt w:val="bullet"/>
      <w:lvlText w:val="•"/>
      <w:lvlJc w:val="left"/>
      <w:pPr>
        <w:tabs>
          <w:tab w:val="num" w:pos="4320"/>
        </w:tabs>
        <w:ind w:left="4320" w:hanging="360"/>
      </w:pPr>
      <w:rPr>
        <w:rFonts w:ascii="Arial" w:hAnsi="Arial" w:hint="default"/>
      </w:rPr>
    </w:lvl>
    <w:lvl w:ilvl="6" w:tplc="E94CC8E6" w:tentative="1">
      <w:start w:val="1"/>
      <w:numFmt w:val="bullet"/>
      <w:lvlText w:val="•"/>
      <w:lvlJc w:val="left"/>
      <w:pPr>
        <w:tabs>
          <w:tab w:val="num" w:pos="5040"/>
        </w:tabs>
        <w:ind w:left="5040" w:hanging="360"/>
      </w:pPr>
      <w:rPr>
        <w:rFonts w:ascii="Arial" w:hAnsi="Arial" w:hint="default"/>
      </w:rPr>
    </w:lvl>
    <w:lvl w:ilvl="7" w:tplc="AC826730" w:tentative="1">
      <w:start w:val="1"/>
      <w:numFmt w:val="bullet"/>
      <w:lvlText w:val="•"/>
      <w:lvlJc w:val="left"/>
      <w:pPr>
        <w:tabs>
          <w:tab w:val="num" w:pos="5760"/>
        </w:tabs>
        <w:ind w:left="5760" w:hanging="360"/>
      </w:pPr>
      <w:rPr>
        <w:rFonts w:ascii="Arial" w:hAnsi="Arial" w:hint="default"/>
      </w:rPr>
    </w:lvl>
    <w:lvl w:ilvl="8" w:tplc="F2DA549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A777DE0"/>
    <w:multiLevelType w:val="hybridMultilevel"/>
    <w:tmpl w:val="FD80B368"/>
    <w:lvl w:ilvl="0" w:tplc="3A58B13C">
      <w:start w:val="5"/>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BA07E0C"/>
    <w:multiLevelType w:val="multilevel"/>
    <w:tmpl w:val="DD5EE4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CB50996"/>
    <w:multiLevelType w:val="multilevel"/>
    <w:tmpl w:val="E786A6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8" w15:restartNumberingAfterBreak="0">
    <w:nsid w:val="1D3F25FC"/>
    <w:multiLevelType w:val="multilevel"/>
    <w:tmpl w:val="853A84FE"/>
    <w:lvl w:ilvl="0">
      <w:start w:val="2"/>
      <w:numFmt w:val="decimal"/>
      <w:lvlText w:val="%1"/>
      <w:lvlJc w:val="left"/>
      <w:pPr>
        <w:ind w:left="480" w:hanging="480"/>
      </w:pPr>
      <w:rPr>
        <w:rFonts w:asciiTheme="minorBidi" w:hAnsiTheme="minorBidi" w:cstheme="minorBidi" w:hint="default"/>
        <w:b/>
        <w:bCs/>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E1B36C8"/>
    <w:multiLevelType w:val="multilevel"/>
    <w:tmpl w:val="952AF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FBE6630"/>
    <w:multiLevelType w:val="multilevel"/>
    <w:tmpl w:val="04CEB45E"/>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18A6CB3"/>
    <w:multiLevelType w:val="multilevel"/>
    <w:tmpl w:val="D78CB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36803E5"/>
    <w:multiLevelType w:val="multilevel"/>
    <w:tmpl w:val="426450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23C73FEC"/>
    <w:multiLevelType w:val="multilevel"/>
    <w:tmpl w:val="5F305354"/>
    <w:lvl w:ilvl="0">
      <w:start w:val="1"/>
      <w:numFmt w:val="decimal"/>
      <w:lvlText w:val="%1."/>
      <w:lvlJc w:val="left"/>
      <w:pPr>
        <w:ind w:left="1080" w:hanging="360"/>
      </w:pPr>
      <w:rPr>
        <w:rFonts w:hint="default"/>
        <w:u w:val="none"/>
      </w:rPr>
    </w:lvl>
    <w:lvl w:ilvl="1">
      <w:start w:val="1"/>
      <w:numFmt w:val="lowerLetter"/>
      <w:lvlText w:val="%2."/>
      <w:lvlJc w:val="left"/>
      <w:pPr>
        <w:ind w:left="1800" w:hanging="360"/>
      </w:pPr>
      <w:rPr>
        <w:rFonts w:hint="default"/>
        <w:u w:val="none"/>
      </w:rPr>
    </w:lvl>
    <w:lvl w:ilvl="2">
      <w:start w:val="1"/>
      <w:numFmt w:val="lowerRoman"/>
      <w:lvlText w:val="%3."/>
      <w:lvlJc w:val="right"/>
      <w:pPr>
        <w:ind w:left="2520" w:hanging="360"/>
      </w:pPr>
      <w:rPr>
        <w:rFonts w:hint="default"/>
        <w:u w:val="none"/>
      </w:rPr>
    </w:lvl>
    <w:lvl w:ilvl="3">
      <w:start w:val="1"/>
      <w:numFmt w:val="decimal"/>
      <w:lvlText w:val="%4."/>
      <w:lvlJc w:val="left"/>
      <w:pPr>
        <w:ind w:left="3240" w:hanging="360"/>
      </w:pPr>
      <w:rPr>
        <w:rFonts w:hint="default"/>
        <w:u w:val="none"/>
      </w:rPr>
    </w:lvl>
    <w:lvl w:ilvl="4">
      <w:start w:val="1"/>
      <w:numFmt w:val="lowerLetter"/>
      <w:lvlText w:val="%5."/>
      <w:lvlJc w:val="left"/>
      <w:pPr>
        <w:ind w:left="3960" w:hanging="360"/>
      </w:pPr>
      <w:rPr>
        <w:rFonts w:hint="default"/>
        <w:u w:val="none"/>
      </w:rPr>
    </w:lvl>
    <w:lvl w:ilvl="5">
      <w:start w:val="1"/>
      <w:numFmt w:val="lowerRoman"/>
      <w:lvlText w:val="%6."/>
      <w:lvlJc w:val="right"/>
      <w:pPr>
        <w:ind w:left="4680" w:hanging="360"/>
      </w:pPr>
      <w:rPr>
        <w:rFonts w:hint="default"/>
        <w:u w:val="none"/>
      </w:rPr>
    </w:lvl>
    <w:lvl w:ilvl="6">
      <w:start w:val="1"/>
      <w:numFmt w:val="decimal"/>
      <w:lvlText w:val="%7."/>
      <w:lvlJc w:val="left"/>
      <w:pPr>
        <w:ind w:left="5400" w:hanging="360"/>
      </w:pPr>
      <w:rPr>
        <w:rFonts w:hint="default"/>
        <w:u w:val="none"/>
      </w:rPr>
    </w:lvl>
    <w:lvl w:ilvl="7">
      <w:start w:val="1"/>
      <w:numFmt w:val="lowerLetter"/>
      <w:lvlText w:val="%8."/>
      <w:lvlJc w:val="left"/>
      <w:pPr>
        <w:ind w:left="6120" w:hanging="360"/>
      </w:pPr>
      <w:rPr>
        <w:rFonts w:hint="default"/>
        <w:u w:val="none"/>
      </w:rPr>
    </w:lvl>
    <w:lvl w:ilvl="8">
      <w:start w:val="1"/>
      <w:numFmt w:val="lowerRoman"/>
      <w:lvlText w:val="%9."/>
      <w:lvlJc w:val="right"/>
      <w:pPr>
        <w:ind w:left="6840" w:hanging="360"/>
      </w:pPr>
      <w:rPr>
        <w:rFonts w:hint="default"/>
        <w:u w:val="none"/>
      </w:rPr>
    </w:lvl>
  </w:abstractNum>
  <w:abstractNum w:abstractNumId="54" w15:restartNumberingAfterBreak="0">
    <w:nsid w:val="24242C0D"/>
    <w:multiLevelType w:val="multilevel"/>
    <w:tmpl w:val="710A2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25920397"/>
    <w:multiLevelType w:val="multilevel"/>
    <w:tmpl w:val="CA50DCCA"/>
    <w:lvl w:ilvl="0">
      <w:start w:val="1"/>
      <w:numFmt w:val="bullet"/>
      <w:lvlText w:val="●"/>
      <w:lvlJc w:val="left"/>
      <w:pPr>
        <w:ind w:left="836" w:hanging="360"/>
      </w:pPr>
      <w:rPr>
        <w:rFonts w:ascii="Noto Sans Symbols" w:eastAsia="Noto Sans Symbols" w:hAnsi="Noto Sans Symbols" w:cs="Noto Sans Symbols"/>
      </w:rPr>
    </w:lvl>
    <w:lvl w:ilvl="1">
      <w:start w:val="1"/>
      <w:numFmt w:val="bullet"/>
      <w:lvlText w:val="o"/>
      <w:lvlJc w:val="left"/>
      <w:pPr>
        <w:ind w:left="1556" w:hanging="360"/>
      </w:pPr>
      <w:rPr>
        <w:rFonts w:ascii="Courier New" w:eastAsia="Courier New" w:hAnsi="Courier New" w:cs="Courier New"/>
      </w:rPr>
    </w:lvl>
    <w:lvl w:ilvl="2">
      <w:start w:val="1"/>
      <w:numFmt w:val="bullet"/>
      <w:lvlText w:val="▪"/>
      <w:lvlJc w:val="left"/>
      <w:pPr>
        <w:ind w:left="2276" w:hanging="360"/>
      </w:pPr>
      <w:rPr>
        <w:rFonts w:ascii="Noto Sans Symbols" w:eastAsia="Noto Sans Symbols" w:hAnsi="Noto Sans Symbols" w:cs="Noto Sans Symbols"/>
      </w:rPr>
    </w:lvl>
    <w:lvl w:ilvl="3">
      <w:start w:val="1"/>
      <w:numFmt w:val="bullet"/>
      <w:lvlText w:val="●"/>
      <w:lvlJc w:val="left"/>
      <w:pPr>
        <w:ind w:left="2996" w:hanging="360"/>
      </w:pPr>
      <w:rPr>
        <w:rFonts w:ascii="Noto Sans Symbols" w:eastAsia="Noto Sans Symbols" w:hAnsi="Noto Sans Symbols" w:cs="Noto Sans Symbols"/>
      </w:rPr>
    </w:lvl>
    <w:lvl w:ilvl="4">
      <w:start w:val="1"/>
      <w:numFmt w:val="bullet"/>
      <w:lvlText w:val="o"/>
      <w:lvlJc w:val="left"/>
      <w:pPr>
        <w:ind w:left="3716" w:hanging="360"/>
      </w:pPr>
      <w:rPr>
        <w:rFonts w:ascii="Courier New" w:eastAsia="Courier New" w:hAnsi="Courier New" w:cs="Courier New"/>
      </w:rPr>
    </w:lvl>
    <w:lvl w:ilvl="5">
      <w:start w:val="1"/>
      <w:numFmt w:val="bullet"/>
      <w:lvlText w:val="▪"/>
      <w:lvlJc w:val="left"/>
      <w:pPr>
        <w:ind w:left="4436" w:hanging="360"/>
      </w:pPr>
      <w:rPr>
        <w:rFonts w:ascii="Noto Sans Symbols" w:eastAsia="Noto Sans Symbols" w:hAnsi="Noto Sans Symbols" w:cs="Noto Sans Symbols"/>
      </w:rPr>
    </w:lvl>
    <w:lvl w:ilvl="6">
      <w:start w:val="1"/>
      <w:numFmt w:val="bullet"/>
      <w:lvlText w:val="●"/>
      <w:lvlJc w:val="left"/>
      <w:pPr>
        <w:ind w:left="5156" w:hanging="360"/>
      </w:pPr>
      <w:rPr>
        <w:rFonts w:ascii="Noto Sans Symbols" w:eastAsia="Noto Sans Symbols" w:hAnsi="Noto Sans Symbols" w:cs="Noto Sans Symbols"/>
      </w:rPr>
    </w:lvl>
    <w:lvl w:ilvl="7">
      <w:start w:val="1"/>
      <w:numFmt w:val="bullet"/>
      <w:lvlText w:val="o"/>
      <w:lvlJc w:val="left"/>
      <w:pPr>
        <w:ind w:left="5876" w:hanging="360"/>
      </w:pPr>
      <w:rPr>
        <w:rFonts w:ascii="Courier New" w:eastAsia="Courier New" w:hAnsi="Courier New" w:cs="Courier New"/>
      </w:rPr>
    </w:lvl>
    <w:lvl w:ilvl="8">
      <w:start w:val="1"/>
      <w:numFmt w:val="bullet"/>
      <w:lvlText w:val="▪"/>
      <w:lvlJc w:val="left"/>
      <w:pPr>
        <w:ind w:left="6596" w:hanging="360"/>
      </w:pPr>
      <w:rPr>
        <w:rFonts w:ascii="Noto Sans Symbols" w:eastAsia="Noto Sans Symbols" w:hAnsi="Noto Sans Symbols" w:cs="Noto Sans Symbols"/>
      </w:rPr>
    </w:lvl>
  </w:abstractNum>
  <w:abstractNum w:abstractNumId="56" w15:restartNumberingAfterBreak="0">
    <w:nsid w:val="25CF2707"/>
    <w:multiLevelType w:val="multilevel"/>
    <w:tmpl w:val="F47824C0"/>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27454906"/>
    <w:multiLevelType w:val="hybridMultilevel"/>
    <w:tmpl w:val="6CB86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7E66DFC"/>
    <w:multiLevelType w:val="multilevel"/>
    <w:tmpl w:val="560C9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80B5774"/>
    <w:multiLevelType w:val="multilevel"/>
    <w:tmpl w:val="91669C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8895B5C"/>
    <w:multiLevelType w:val="multilevel"/>
    <w:tmpl w:val="4C5849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28B86416"/>
    <w:multiLevelType w:val="multilevel"/>
    <w:tmpl w:val="D7880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A3E531A"/>
    <w:multiLevelType w:val="multilevel"/>
    <w:tmpl w:val="CBE84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A4253D9"/>
    <w:multiLevelType w:val="multilevel"/>
    <w:tmpl w:val="E0CEE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AFE1DB5"/>
    <w:multiLevelType w:val="multilevel"/>
    <w:tmpl w:val="C7C0CC7A"/>
    <w:lvl w:ilvl="0">
      <w:start w:val="8"/>
      <w:numFmt w:val="decimal"/>
      <w:lvlText w:val="%1.0"/>
      <w:lvlJc w:val="left"/>
      <w:pPr>
        <w:ind w:left="370" w:hanging="370"/>
      </w:pPr>
    </w:lvl>
    <w:lvl w:ilvl="1">
      <w:start w:val="1"/>
      <w:numFmt w:val="decimal"/>
      <w:lvlText w:val="%1.%2"/>
      <w:lvlJc w:val="left"/>
      <w:pPr>
        <w:ind w:left="1090" w:hanging="37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5" w15:restartNumberingAfterBreak="0">
    <w:nsid w:val="2B976B35"/>
    <w:multiLevelType w:val="multilevel"/>
    <w:tmpl w:val="BD1A3830"/>
    <w:lvl w:ilvl="0">
      <w:start w:val="1"/>
      <w:numFmt w:val="decimal"/>
      <w:lvlText w:val="%1."/>
      <w:lvlJc w:val="left"/>
      <w:pPr>
        <w:ind w:left="1069" w:hanging="360"/>
      </w:pPr>
      <w:rPr>
        <w:rFonts w:ascii="Arial" w:hAnsi="Arial" w:cs="Arial" w:hint="default"/>
        <w:i w:val="0"/>
        <w:iCs w:val="0"/>
        <w:sz w:val="22"/>
        <w:szCs w:val="22"/>
      </w:rPr>
    </w:lvl>
    <w:lvl w:ilvl="1">
      <w:start w:val="3"/>
      <w:numFmt w:val="decimal"/>
      <w:isLgl/>
      <w:lvlText w:val="%1.%2"/>
      <w:lvlJc w:val="left"/>
      <w:pPr>
        <w:ind w:left="1068" w:hanging="708"/>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66" w15:restartNumberingAfterBreak="0">
    <w:nsid w:val="2BF4613A"/>
    <w:multiLevelType w:val="multilevel"/>
    <w:tmpl w:val="882441FC"/>
    <w:lvl w:ilvl="0">
      <w:start w:val="1"/>
      <w:numFmt w:val="decimal"/>
      <w:lvlText w:val="%1.0"/>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7" w15:restartNumberingAfterBreak="0">
    <w:nsid w:val="2C1D0EDD"/>
    <w:multiLevelType w:val="multilevel"/>
    <w:tmpl w:val="CA8A8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C4161F8"/>
    <w:multiLevelType w:val="multilevel"/>
    <w:tmpl w:val="63008C64"/>
    <w:lvl w:ilvl="0">
      <w:start w:val="2"/>
      <w:numFmt w:val="decimal"/>
      <w:lvlText w:val="%1.0"/>
      <w:lvlJc w:val="left"/>
      <w:pPr>
        <w:ind w:left="470" w:hanging="470"/>
      </w:pPr>
    </w:lvl>
    <w:lvl w:ilvl="1">
      <w:start w:val="1"/>
      <w:numFmt w:val="decimal"/>
      <w:lvlText w:val="%1.%2"/>
      <w:lvlJc w:val="left"/>
      <w:pPr>
        <w:ind w:left="1190" w:hanging="47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9" w15:restartNumberingAfterBreak="0">
    <w:nsid w:val="2EB47E9A"/>
    <w:multiLevelType w:val="multilevel"/>
    <w:tmpl w:val="E786A6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15:restartNumberingAfterBreak="0">
    <w:nsid w:val="303D5B3B"/>
    <w:multiLevelType w:val="multilevel"/>
    <w:tmpl w:val="5F64E282"/>
    <w:lvl w:ilvl="0">
      <w:numFmt w:val="bullet"/>
      <w:lvlText w:val="-"/>
      <w:lvlJc w:val="left"/>
      <w:pPr>
        <w:ind w:left="1080" w:hanging="360"/>
      </w:pPr>
      <w:rPr>
        <w:rFonts w:ascii="Times New Roman" w:eastAsia="Times New Roman" w:hAnsi="Times New Roman" w:cs="Times New Roman" w:hint="default"/>
        <w:b w:val="0"/>
        <w:bCs w:val="0"/>
        <w:i w:val="0"/>
        <w:iCs w:val="0"/>
        <w:w w:val="100"/>
        <w:sz w:val="22"/>
        <w:szCs w:val="22"/>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30427F8F"/>
    <w:multiLevelType w:val="multilevel"/>
    <w:tmpl w:val="E070C8C2"/>
    <w:lvl w:ilvl="0">
      <w:start w:val="1"/>
      <w:numFmt w:val="decimal"/>
      <w:lvlText w:val="%1.0"/>
      <w:lvlJc w:val="left"/>
      <w:pPr>
        <w:ind w:left="590" w:hanging="590"/>
      </w:pPr>
    </w:lvl>
    <w:lvl w:ilvl="1">
      <w:start w:val="1"/>
      <w:numFmt w:val="decimal"/>
      <w:lvlText w:val="%1.%2"/>
      <w:lvlJc w:val="left"/>
      <w:pPr>
        <w:ind w:left="1310" w:hanging="59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2" w15:restartNumberingAfterBreak="0">
    <w:nsid w:val="32E65AE5"/>
    <w:multiLevelType w:val="multilevel"/>
    <w:tmpl w:val="D5968D02"/>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4251C2D"/>
    <w:multiLevelType w:val="multilevel"/>
    <w:tmpl w:val="2A627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7894B9E"/>
    <w:multiLevelType w:val="multilevel"/>
    <w:tmpl w:val="5C382762"/>
    <w:lvl w:ilvl="0">
      <w:start w:val="1"/>
      <w:numFmt w:val="lowerRoman"/>
      <w:lvlText w:val="%1."/>
      <w:lvlJc w:val="right"/>
      <w:pPr>
        <w:ind w:left="1550" w:hanging="360"/>
      </w:pPr>
      <w:rPr>
        <w:color w:val="000000"/>
      </w:rPr>
    </w:lvl>
    <w:lvl w:ilvl="1">
      <w:start w:val="1"/>
      <w:numFmt w:val="lowerLetter"/>
      <w:lvlText w:val="%2."/>
      <w:lvlJc w:val="left"/>
      <w:pPr>
        <w:ind w:left="2270" w:hanging="360"/>
      </w:pPr>
    </w:lvl>
    <w:lvl w:ilvl="2">
      <w:start w:val="1"/>
      <w:numFmt w:val="lowerRoman"/>
      <w:lvlText w:val="%3."/>
      <w:lvlJc w:val="right"/>
      <w:pPr>
        <w:ind w:left="2990" w:hanging="180"/>
      </w:pPr>
    </w:lvl>
    <w:lvl w:ilvl="3">
      <w:start w:val="1"/>
      <w:numFmt w:val="decimal"/>
      <w:lvlText w:val="%4."/>
      <w:lvlJc w:val="left"/>
      <w:pPr>
        <w:ind w:left="3710" w:hanging="360"/>
      </w:pPr>
    </w:lvl>
    <w:lvl w:ilvl="4">
      <w:start w:val="1"/>
      <w:numFmt w:val="lowerLetter"/>
      <w:lvlText w:val="%5."/>
      <w:lvlJc w:val="left"/>
      <w:pPr>
        <w:ind w:left="4430" w:hanging="360"/>
      </w:pPr>
    </w:lvl>
    <w:lvl w:ilvl="5">
      <w:start w:val="1"/>
      <w:numFmt w:val="lowerRoman"/>
      <w:lvlText w:val="%6."/>
      <w:lvlJc w:val="right"/>
      <w:pPr>
        <w:ind w:left="5150" w:hanging="180"/>
      </w:pPr>
    </w:lvl>
    <w:lvl w:ilvl="6">
      <w:start w:val="1"/>
      <w:numFmt w:val="decimal"/>
      <w:lvlText w:val="%7."/>
      <w:lvlJc w:val="left"/>
      <w:pPr>
        <w:ind w:left="5870" w:hanging="360"/>
      </w:pPr>
    </w:lvl>
    <w:lvl w:ilvl="7">
      <w:start w:val="1"/>
      <w:numFmt w:val="lowerLetter"/>
      <w:lvlText w:val="%8."/>
      <w:lvlJc w:val="left"/>
      <w:pPr>
        <w:ind w:left="6590" w:hanging="360"/>
      </w:pPr>
    </w:lvl>
    <w:lvl w:ilvl="8">
      <w:start w:val="1"/>
      <w:numFmt w:val="lowerRoman"/>
      <w:lvlText w:val="%9."/>
      <w:lvlJc w:val="right"/>
      <w:pPr>
        <w:ind w:left="7310" w:hanging="180"/>
      </w:pPr>
    </w:lvl>
  </w:abstractNum>
  <w:abstractNum w:abstractNumId="75" w15:restartNumberingAfterBreak="0">
    <w:nsid w:val="37B55D49"/>
    <w:multiLevelType w:val="hybridMultilevel"/>
    <w:tmpl w:val="EEBAF892"/>
    <w:lvl w:ilvl="0" w:tplc="43D0D482">
      <w:start w:val="1"/>
      <w:numFmt w:val="decimal"/>
      <w:lvlText w:val="3.%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7FC08C2"/>
    <w:multiLevelType w:val="hybridMultilevel"/>
    <w:tmpl w:val="47469484"/>
    <w:lvl w:ilvl="0" w:tplc="F79CC190">
      <w:start w:val="1"/>
      <w:numFmt w:val="lowerRoman"/>
      <w:lvlText w:val="%1."/>
      <w:lvlJc w:val="right"/>
      <w:pPr>
        <w:tabs>
          <w:tab w:val="num" w:pos="720"/>
        </w:tabs>
        <w:ind w:left="720" w:hanging="360"/>
      </w:pPr>
    </w:lvl>
    <w:lvl w:ilvl="1" w:tplc="361052FE" w:tentative="1">
      <w:start w:val="1"/>
      <w:numFmt w:val="lowerRoman"/>
      <w:lvlText w:val="%2."/>
      <w:lvlJc w:val="right"/>
      <w:pPr>
        <w:tabs>
          <w:tab w:val="num" w:pos="1440"/>
        </w:tabs>
        <w:ind w:left="1440" w:hanging="360"/>
      </w:pPr>
    </w:lvl>
    <w:lvl w:ilvl="2" w:tplc="465EF9C8" w:tentative="1">
      <w:start w:val="1"/>
      <w:numFmt w:val="lowerRoman"/>
      <w:lvlText w:val="%3."/>
      <w:lvlJc w:val="right"/>
      <w:pPr>
        <w:tabs>
          <w:tab w:val="num" w:pos="2160"/>
        </w:tabs>
        <w:ind w:left="2160" w:hanging="360"/>
      </w:pPr>
    </w:lvl>
    <w:lvl w:ilvl="3" w:tplc="30266DD4" w:tentative="1">
      <w:start w:val="1"/>
      <w:numFmt w:val="lowerRoman"/>
      <w:lvlText w:val="%4."/>
      <w:lvlJc w:val="right"/>
      <w:pPr>
        <w:tabs>
          <w:tab w:val="num" w:pos="2880"/>
        </w:tabs>
        <w:ind w:left="2880" w:hanging="360"/>
      </w:pPr>
    </w:lvl>
    <w:lvl w:ilvl="4" w:tplc="CC6E3D8A" w:tentative="1">
      <w:start w:val="1"/>
      <w:numFmt w:val="lowerRoman"/>
      <w:lvlText w:val="%5."/>
      <w:lvlJc w:val="right"/>
      <w:pPr>
        <w:tabs>
          <w:tab w:val="num" w:pos="3600"/>
        </w:tabs>
        <w:ind w:left="3600" w:hanging="360"/>
      </w:pPr>
    </w:lvl>
    <w:lvl w:ilvl="5" w:tplc="5A666302" w:tentative="1">
      <w:start w:val="1"/>
      <w:numFmt w:val="lowerRoman"/>
      <w:lvlText w:val="%6."/>
      <w:lvlJc w:val="right"/>
      <w:pPr>
        <w:tabs>
          <w:tab w:val="num" w:pos="4320"/>
        </w:tabs>
        <w:ind w:left="4320" w:hanging="360"/>
      </w:pPr>
    </w:lvl>
    <w:lvl w:ilvl="6" w:tplc="9D2AD670" w:tentative="1">
      <w:start w:val="1"/>
      <w:numFmt w:val="lowerRoman"/>
      <w:lvlText w:val="%7."/>
      <w:lvlJc w:val="right"/>
      <w:pPr>
        <w:tabs>
          <w:tab w:val="num" w:pos="5040"/>
        </w:tabs>
        <w:ind w:left="5040" w:hanging="360"/>
      </w:pPr>
    </w:lvl>
    <w:lvl w:ilvl="7" w:tplc="37808E64" w:tentative="1">
      <w:start w:val="1"/>
      <w:numFmt w:val="lowerRoman"/>
      <w:lvlText w:val="%8."/>
      <w:lvlJc w:val="right"/>
      <w:pPr>
        <w:tabs>
          <w:tab w:val="num" w:pos="5760"/>
        </w:tabs>
        <w:ind w:left="5760" w:hanging="360"/>
      </w:pPr>
    </w:lvl>
    <w:lvl w:ilvl="8" w:tplc="39C49CF2" w:tentative="1">
      <w:start w:val="1"/>
      <w:numFmt w:val="lowerRoman"/>
      <w:lvlText w:val="%9."/>
      <w:lvlJc w:val="right"/>
      <w:pPr>
        <w:tabs>
          <w:tab w:val="num" w:pos="6480"/>
        </w:tabs>
        <w:ind w:left="6480" w:hanging="360"/>
      </w:pPr>
    </w:lvl>
  </w:abstractNum>
  <w:abstractNum w:abstractNumId="77" w15:restartNumberingAfterBreak="0">
    <w:nsid w:val="399A0364"/>
    <w:multiLevelType w:val="multilevel"/>
    <w:tmpl w:val="80DAB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9BA63A9"/>
    <w:multiLevelType w:val="hybridMultilevel"/>
    <w:tmpl w:val="AAEA7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A271E36"/>
    <w:multiLevelType w:val="multilevel"/>
    <w:tmpl w:val="4E9629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3A4A7492"/>
    <w:multiLevelType w:val="multilevel"/>
    <w:tmpl w:val="C4708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A7D0E54"/>
    <w:multiLevelType w:val="hybridMultilevel"/>
    <w:tmpl w:val="B8DEB636"/>
    <w:lvl w:ilvl="0" w:tplc="040C0001">
      <w:start w:val="1"/>
      <w:numFmt w:val="bullet"/>
      <w:lvlText w:val=""/>
      <w:lvlJc w:val="left"/>
      <w:pPr>
        <w:ind w:left="720" w:hanging="360"/>
      </w:pPr>
      <w:rPr>
        <w:rFonts w:ascii="Symbol" w:hAnsi="Symbol" w:hint="default"/>
        <w:b w:val="0"/>
        <w:i/>
        <w:sz w:val="20"/>
        <w:szCs w:val="22"/>
        <w:lang w:val="en-GB"/>
      </w:rPr>
    </w:lvl>
    <w:lvl w:ilvl="1" w:tplc="FFFFFFFF">
      <w:start w:val="1"/>
      <w:numFmt w:val="lowerLetter"/>
      <w:lvlText w:val="%2."/>
      <w:lvlJc w:val="left"/>
      <w:pPr>
        <w:ind w:left="1440" w:hanging="360"/>
      </w:pPr>
    </w:lvl>
    <w:lvl w:ilvl="2" w:tplc="FFFFFFFF">
      <w:start w:val="1"/>
      <w:numFmt w:val="bullet"/>
      <w:lvlText w:val="•"/>
      <w:lvlJc w:val="left"/>
      <w:pPr>
        <w:ind w:left="2532" w:hanging="552"/>
      </w:pPr>
      <w:rPr>
        <w:rFonts w:ascii="Arial" w:eastAsia="SimSu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B2C4DA0"/>
    <w:multiLevelType w:val="hybridMultilevel"/>
    <w:tmpl w:val="5504D390"/>
    <w:lvl w:ilvl="0" w:tplc="D59EB1B6">
      <w:numFmt w:val="bullet"/>
      <w:lvlText w:val="-"/>
      <w:lvlJc w:val="left"/>
      <w:pPr>
        <w:ind w:left="470" w:hanging="360"/>
      </w:pPr>
      <w:rPr>
        <w:rFonts w:ascii="Times New Roman" w:eastAsia="Times New Roman" w:hAnsi="Times New Roman" w:cs="Times New Roman" w:hint="default"/>
        <w:b w:val="0"/>
        <w:bCs w:val="0"/>
        <w:i w:val="0"/>
        <w:iCs w:val="0"/>
        <w:w w:val="100"/>
        <w:sz w:val="22"/>
        <w:szCs w:val="22"/>
        <w:lang w:val="en-US" w:eastAsia="en-US" w:bidi="ar-SA"/>
      </w:rPr>
    </w:lvl>
    <w:lvl w:ilvl="1" w:tplc="35C894C4">
      <w:numFmt w:val="bullet"/>
      <w:lvlText w:val="•"/>
      <w:lvlJc w:val="left"/>
      <w:pPr>
        <w:ind w:left="909" w:hanging="360"/>
      </w:pPr>
      <w:rPr>
        <w:rFonts w:hint="default"/>
        <w:lang w:val="en-US" w:eastAsia="en-US" w:bidi="ar-SA"/>
      </w:rPr>
    </w:lvl>
    <w:lvl w:ilvl="2" w:tplc="9A763580">
      <w:numFmt w:val="bullet"/>
      <w:lvlText w:val="•"/>
      <w:lvlJc w:val="left"/>
      <w:pPr>
        <w:ind w:left="1339" w:hanging="360"/>
      </w:pPr>
      <w:rPr>
        <w:rFonts w:hint="default"/>
        <w:lang w:val="en-US" w:eastAsia="en-US" w:bidi="ar-SA"/>
      </w:rPr>
    </w:lvl>
    <w:lvl w:ilvl="3" w:tplc="ED5A31DC">
      <w:numFmt w:val="bullet"/>
      <w:lvlText w:val="•"/>
      <w:lvlJc w:val="left"/>
      <w:pPr>
        <w:ind w:left="1769" w:hanging="360"/>
      </w:pPr>
      <w:rPr>
        <w:rFonts w:hint="default"/>
        <w:lang w:val="en-US" w:eastAsia="en-US" w:bidi="ar-SA"/>
      </w:rPr>
    </w:lvl>
    <w:lvl w:ilvl="4" w:tplc="368CF50C">
      <w:numFmt w:val="bullet"/>
      <w:lvlText w:val="•"/>
      <w:lvlJc w:val="left"/>
      <w:pPr>
        <w:ind w:left="2198" w:hanging="360"/>
      </w:pPr>
      <w:rPr>
        <w:rFonts w:hint="default"/>
        <w:lang w:val="en-US" w:eastAsia="en-US" w:bidi="ar-SA"/>
      </w:rPr>
    </w:lvl>
    <w:lvl w:ilvl="5" w:tplc="950A358A">
      <w:numFmt w:val="bullet"/>
      <w:lvlText w:val="•"/>
      <w:lvlJc w:val="left"/>
      <w:pPr>
        <w:ind w:left="2628" w:hanging="360"/>
      </w:pPr>
      <w:rPr>
        <w:rFonts w:hint="default"/>
        <w:lang w:val="en-US" w:eastAsia="en-US" w:bidi="ar-SA"/>
      </w:rPr>
    </w:lvl>
    <w:lvl w:ilvl="6" w:tplc="4E2E964A">
      <w:numFmt w:val="bullet"/>
      <w:lvlText w:val="•"/>
      <w:lvlJc w:val="left"/>
      <w:pPr>
        <w:ind w:left="3058" w:hanging="360"/>
      </w:pPr>
      <w:rPr>
        <w:rFonts w:hint="default"/>
        <w:lang w:val="en-US" w:eastAsia="en-US" w:bidi="ar-SA"/>
      </w:rPr>
    </w:lvl>
    <w:lvl w:ilvl="7" w:tplc="274CE634">
      <w:numFmt w:val="bullet"/>
      <w:lvlText w:val="•"/>
      <w:lvlJc w:val="left"/>
      <w:pPr>
        <w:ind w:left="3487" w:hanging="360"/>
      </w:pPr>
      <w:rPr>
        <w:rFonts w:hint="default"/>
        <w:lang w:val="en-US" w:eastAsia="en-US" w:bidi="ar-SA"/>
      </w:rPr>
    </w:lvl>
    <w:lvl w:ilvl="8" w:tplc="0B8EB3D4">
      <w:numFmt w:val="bullet"/>
      <w:lvlText w:val="•"/>
      <w:lvlJc w:val="left"/>
      <w:pPr>
        <w:ind w:left="3917" w:hanging="360"/>
      </w:pPr>
      <w:rPr>
        <w:rFonts w:hint="default"/>
        <w:lang w:val="en-US" w:eastAsia="en-US" w:bidi="ar-SA"/>
      </w:rPr>
    </w:lvl>
  </w:abstractNum>
  <w:abstractNum w:abstractNumId="83" w15:restartNumberingAfterBreak="0">
    <w:nsid w:val="3B3F102A"/>
    <w:multiLevelType w:val="hybridMultilevel"/>
    <w:tmpl w:val="848ED2C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4" w15:restartNumberingAfterBreak="0">
    <w:nsid w:val="3BEA354D"/>
    <w:multiLevelType w:val="multilevel"/>
    <w:tmpl w:val="168C3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3C605E02"/>
    <w:multiLevelType w:val="multilevel"/>
    <w:tmpl w:val="6BBA2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3C84550E"/>
    <w:multiLevelType w:val="hybridMultilevel"/>
    <w:tmpl w:val="7DDE220A"/>
    <w:lvl w:ilvl="0" w:tplc="446A0B4C">
      <w:start w:val="1"/>
      <w:numFmt w:val="bullet"/>
      <w:lvlText w:val=""/>
      <w:lvlJc w:val="left"/>
      <w:pPr>
        <w:tabs>
          <w:tab w:val="num" w:pos="720"/>
        </w:tabs>
        <w:ind w:left="720" w:hanging="360"/>
      </w:pPr>
      <w:rPr>
        <w:rFonts w:ascii="Wingdings" w:hAnsi="Wingdings" w:hint="default"/>
      </w:rPr>
    </w:lvl>
    <w:lvl w:ilvl="1" w:tplc="A760AF1A" w:tentative="1">
      <w:start w:val="1"/>
      <w:numFmt w:val="bullet"/>
      <w:lvlText w:val=""/>
      <w:lvlJc w:val="left"/>
      <w:pPr>
        <w:tabs>
          <w:tab w:val="num" w:pos="1440"/>
        </w:tabs>
        <w:ind w:left="1440" w:hanging="360"/>
      </w:pPr>
      <w:rPr>
        <w:rFonts w:ascii="Wingdings" w:hAnsi="Wingdings" w:hint="default"/>
      </w:rPr>
    </w:lvl>
    <w:lvl w:ilvl="2" w:tplc="2BF6C154" w:tentative="1">
      <w:start w:val="1"/>
      <w:numFmt w:val="bullet"/>
      <w:lvlText w:val=""/>
      <w:lvlJc w:val="left"/>
      <w:pPr>
        <w:tabs>
          <w:tab w:val="num" w:pos="2160"/>
        </w:tabs>
        <w:ind w:left="2160" w:hanging="360"/>
      </w:pPr>
      <w:rPr>
        <w:rFonts w:ascii="Wingdings" w:hAnsi="Wingdings" w:hint="default"/>
      </w:rPr>
    </w:lvl>
    <w:lvl w:ilvl="3" w:tplc="6FEC2042" w:tentative="1">
      <w:start w:val="1"/>
      <w:numFmt w:val="bullet"/>
      <w:lvlText w:val=""/>
      <w:lvlJc w:val="left"/>
      <w:pPr>
        <w:tabs>
          <w:tab w:val="num" w:pos="2880"/>
        </w:tabs>
        <w:ind w:left="2880" w:hanging="360"/>
      </w:pPr>
      <w:rPr>
        <w:rFonts w:ascii="Wingdings" w:hAnsi="Wingdings" w:hint="default"/>
      </w:rPr>
    </w:lvl>
    <w:lvl w:ilvl="4" w:tplc="D5BC43E6" w:tentative="1">
      <w:start w:val="1"/>
      <w:numFmt w:val="bullet"/>
      <w:lvlText w:val=""/>
      <w:lvlJc w:val="left"/>
      <w:pPr>
        <w:tabs>
          <w:tab w:val="num" w:pos="3600"/>
        </w:tabs>
        <w:ind w:left="3600" w:hanging="360"/>
      </w:pPr>
      <w:rPr>
        <w:rFonts w:ascii="Wingdings" w:hAnsi="Wingdings" w:hint="default"/>
      </w:rPr>
    </w:lvl>
    <w:lvl w:ilvl="5" w:tplc="57060AD8" w:tentative="1">
      <w:start w:val="1"/>
      <w:numFmt w:val="bullet"/>
      <w:lvlText w:val=""/>
      <w:lvlJc w:val="left"/>
      <w:pPr>
        <w:tabs>
          <w:tab w:val="num" w:pos="4320"/>
        </w:tabs>
        <w:ind w:left="4320" w:hanging="360"/>
      </w:pPr>
      <w:rPr>
        <w:rFonts w:ascii="Wingdings" w:hAnsi="Wingdings" w:hint="default"/>
      </w:rPr>
    </w:lvl>
    <w:lvl w:ilvl="6" w:tplc="61DE05D8" w:tentative="1">
      <w:start w:val="1"/>
      <w:numFmt w:val="bullet"/>
      <w:lvlText w:val=""/>
      <w:lvlJc w:val="left"/>
      <w:pPr>
        <w:tabs>
          <w:tab w:val="num" w:pos="5040"/>
        </w:tabs>
        <w:ind w:left="5040" w:hanging="360"/>
      </w:pPr>
      <w:rPr>
        <w:rFonts w:ascii="Wingdings" w:hAnsi="Wingdings" w:hint="default"/>
      </w:rPr>
    </w:lvl>
    <w:lvl w:ilvl="7" w:tplc="705018A2" w:tentative="1">
      <w:start w:val="1"/>
      <w:numFmt w:val="bullet"/>
      <w:lvlText w:val=""/>
      <w:lvlJc w:val="left"/>
      <w:pPr>
        <w:tabs>
          <w:tab w:val="num" w:pos="5760"/>
        </w:tabs>
        <w:ind w:left="5760" w:hanging="360"/>
      </w:pPr>
      <w:rPr>
        <w:rFonts w:ascii="Wingdings" w:hAnsi="Wingdings" w:hint="default"/>
      </w:rPr>
    </w:lvl>
    <w:lvl w:ilvl="8" w:tplc="68144772"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E591579"/>
    <w:multiLevelType w:val="hybridMultilevel"/>
    <w:tmpl w:val="024E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4747FD"/>
    <w:multiLevelType w:val="multilevel"/>
    <w:tmpl w:val="A6DA80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00D6924"/>
    <w:multiLevelType w:val="multilevel"/>
    <w:tmpl w:val="A024F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0966E6B"/>
    <w:multiLevelType w:val="multilevel"/>
    <w:tmpl w:val="8188A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12D1C85"/>
    <w:multiLevelType w:val="hybridMultilevel"/>
    <w:tmpl w:val="7FEC0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12D21EA"/>
    <w:multiLevelType w:val="multilevel"/>
    <w:tmpl w:val="E68871C6"/>
    <w:lvl w:ilvl="0">
      <w:start w:val="1"/>
      <w:numFmt w:val="decimal"/>
      <w:pStyle w:val="Heading1"/>
      <w:lvlText w:val="%1."/>
      <w:lvlJc w:val="left"/>
      <w:pPr>
        <w:ind w:left="720" w:hanging="360"/>
      </w:pPr>
      <w:rPr>
        <w:rFonts w:ascii="Arial" w:hAnsi="Arial" w:cs="Arial" w:hint="default"/>
        <w:b/>
        <w:sz w:val="22"/>
        <w:szCs w:val="22"/>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4218651F"/>
    <w:multiLevelType w:val="multilevel"/>
    <w:tmpl w:val="61E62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39E403B"/>
    <w:multiLevelType w:val="multilevel"/>
    <w:tmpl w:val="A66AA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43D46BAB"/>
    <w:multiLevelType w:val="hybridMultilevel"/>
    <w:tmpl w:val="0AC2068A"/>
    <w:lvl w:ilvl="0" w:tplc="6A525B60">
      <w:start w:val="1"/>
      <w:numFmt w:val="decimal"/>
      <w:lvlText w:val="%1."/>
      <w:lvlJc w:val="left"/>
      <w:pPr>
        <w:ind w:left="0" w:hanging="360"/>
      </w:pPr>
      <w:rPr>
        <w:rFonts w:asciiTheme="minorBidi" w:hAnsiTheme="minorBidi" w:cstheme="minorBidi" w:hint="default"/>
        <w:b w:val="0"/>
        <w:i/>
        <w:sz w:val="20"/>
        <w:szCs w:val="22"/>
        <w:lang w:val="en-GB"/>
      </w:rPr>
    </w:lvl>
    <w:lvl w:ilvl="1" w:tplc="040C0019">
      <w:start w:val="1"/>
      <w:numFmt w:val="lowerLetter"/>
      <w:lvlText w:val="%2."/>
      <w:lvlJc w:val="left"/>
      <w:pPr>
        <w:ind w:left="720" w:hanging="360"/>
      </w:pPr>
    </w:lvl>
    <w:lvl w:ilvl="2" w:tplc="FF6453A4">
      <w:start w:val="1"/>
      <w:numFmt w:val="bullet"/>
      <w:lvlText w:val="•"/>
      <w:lvlJc w:val="left"/>
      <w:pPr>
        <w:ind w:left="1812" w:hanging="552"/>
      </w:pPr>
      <w:rPr>
        <w:rFonts w:ascii="Arial" w:eastAsia="SimSun" w:hAnsi="Arial" w:cs="Arial" w:hint="default"/>
      </w:r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96" w15:restartNumberingAfterBreak="0">
    <w:nsid w:val="44E84DDA"/>
    <w:multiLevelType w:val="multilevel"/>
    <w:tmpl w:val="CB7CE9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450B0BC3"/>
    <w:multiLevelType w:val="multilevel"/>
    <w:tmpl w:val="7C207330"/>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46626807"/>
    <w:multiLevelType w:val="multilevel"/>
    <w:tmpl w:val="E57EC93E"/>
    <w:lvl w:ilvl="0">
      <w:start w:val="1"/>
      <w:numFmt w:val="bullet"/>
      <w:lvlText w:val="●"/>
      <w:lvlJc w:val="left"/>
      <w:pPr>
        <w:ind w:left="720" w:hanging="360"/>
      </w:pPr>
      <w:rPr>
        <w:sz w:val="14"/>
        <w:szCs w:val="14"/>
        <w:u w:val="none"/>
      </w:rPr>
    </w:lvl>
    <w:lvl w:ilvl="1">
      <w:start w:val="1"/>
      <w:numFmt w:val="bullet"/>
      <w:lvlText w:val="○"/>
      <w:lvlJc w:val="left"/>
      <w:pPr>
        <w:ind w:left="1440" w:hanging="360"/>
      </w:pPr>
      <w:rPr>
        <w:sz w:val="14"/>
        <w:szCs w:val="1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468E6B15"/>
    <w:multiLevelType w:val="multilevel"/>
    <w:tmpl w:val="AECA073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0" w15:restartNumberingAfterBreak="0">
    <w:nsid w:val="469800DC"/>
    <w:multiLevelType w:val="multilevel"/>
    <w:tmpl w:val="471C56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8967997"/>
    <w:multiLevelType w:val="multilevel"/>
    <w:tmpl w:val="E2A44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49D70019"/>
    <w:multiLevelType w:val="multilevel"/>
    <w:tmpl w:val="E79854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4A112BE0"/>
    <w:multiLevelType w:val="multilevel"/>
    <w:tmpl w:val="E9AC2B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4A8E6052"/>
    <w:multiLevelType w:val="hybridMultilevel"/>
    <w:tmpl w:val="63E495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ABE21FE"/>
    <w:multiLevelType w:val="multilevel"/>
    <w:tmpl w:val="6714C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4BE67770"/>
    <w:multiLevelType w:val="multilevel"/>
    <w:tmpl w:val="C688C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4D13261A"/>
    <w:multiLevelType w:val="hybridMultilevel"/>
    <w:tmpl w:val="CBF4E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D917306"/>
    <w:multiLevelType w:val="multilevel"/>
    <w:tmpl w:val="33D6FBB8"/>
    <w:lvl w:ilvl="0">
      <w:start w:val="2"/>
      <w:numFmt w:val="decimal"/>
      <w:lvlText w:val="%1"/>
      <w:lvlJc w:val="left"/>
      <w:pPr>
        <w:ind w:left="480" w:hanging="480"/>
      </w:pPr>
      <w:rPr>
        <w:rFonts w:ascii="Arial" w:hAnsi="Arial" w:cs="Arial" w:hint="default"/>
        <w:b/>
        <w:sz w:val="22"/>
      </w:rPr>
    </w:lvl>
    <w:lvl w:ilvl="1">
      <w:start w:val="1"/>
      <w:numFmt w:val="decimal"/>
      <w:lvlText w:val="%1.%2"/>
      <w:lvlJc w:val="left"/>
      <w:pPr>
        <w:ind w:left="480" w:hanging="480"/>
      </w:pPr>
      <w:rPr>
        <w:rFonts w:ascii="Arial" w:hAnsi="Arial" w:cs="Arial" w:hint="default"/>
        <w:b w:val="0"/>
        <w:bCs w:val="0"/>
        <w:sz w:val="22"/>
      </w:rPr>
    </w:lvl>
    <w:lvl w:ilvl="2">
      <w:start w:val="4"/>
      <w:numFmt w:val="decimal"/>
      <w:lvlText w:val="%1.%2.%3"/>
      <w:lvlJc w:val="left"/>
      <w:pPr>
        <w:ind w:left="720" w:hanging="720"/>
      </w:pPr>
      <w:rPr>
        <w:rFonts w:ascii="Arial" w:hAnsi="Arial" w:cs="Arial" w:hint="default"/>
        <w:b/>
        <w:sz w:val="22"/>
      </w:rPr>
    </w:lvl>
    <w:lvl w:ilvl="3">
      <w:start w:val="1"/>
      <w:numFmt w:val="decimal"/>
      <w:lvlText w:val="%1.%2.%3.%4"/>
      <w:lvlJc w:val="left"/>
      <w:pPr>
        <w:ind w:left="720" w:hanging="720"/>
      </w:pPr>
      <w:rPr>
        <w:rFonts w:ascii="Arial" w:hAnsi="Arial" w:cs="Arial" w:hint="default"/>
        <w:b/>
        <w:sz w:val="22"/>
      </w:rPr>
    </w:lvl>
    <w:lvl w:ilvl="4">
      <w:start w:val="1"/>
      <w:numFmt w:val="decimal"/>
      <w:lvlText w:val="%1.%2.%3.%4.%5"/>
      <w:lvlJc w:val="left"/>
      <w:pPr>
        <w:ind w:left="1080" w:hanging="1080"/>
      </w:pPr>
      <w:rPr>
        <w:rFonts w:ascii="Arial" w:hAnsi="Arial" w:cs="Arial" w:hint="default"/>
        <w:b/>
        <w:sz w:val="22"/>
      </w:rPr>
    </w:lvl>
    <w:lvl w:ilvl="5">
      <w:start w:val="1"/>
      <w:numFmt w:val="decimal"/>
      <w:lvlText w:val="%1.%2.%3.%4.%5.%6"/>
      <w:lvlJc w:val="left"/>
      <w:pPr>
        <w:ind w:left="1080" w:hanging="1080"/>
      </w:pPr>
      <w:rPr>
        <w:rFonts w:ascii="Arial" w:hAnsi="Arial" w:cs="Arial" w:hint="default"/>
        <w:b/>
        <w:sz w:val="22"/>
      </w:rPr>
    </w:lvl>
    <w:lvl w:ilvl="6">
      <w:start w:val="1"/>
      <w:numFmt w:val="decimal"/>
      <w:lvlText w:val="%1.%2.%3.%4.%5.%6.%7"/>
      <w:lvlJc w:val="left"/>
      <w:pPr>
        <w:ind w:left="1440" w:hanging="1440"/>
      </w:pPr>
      <w:rPr>
        <w:rFonts w:ascii="Arial" w:hAnsi="Arial" w:cs="Arial" w:hint="default"/>
        <w:b/>
        <w:sz w:val="22"/>
      </w:rPr>
    </w:lvl>
    <w:lvl w:ilvl="7">
      <w:start w:val="1"/>
      <w:numFmt w:val="decimal"/>
      <w:lvlText w:val="%1.%2.%3.%4.%5.%6.%7.%8"/>
      <w:lvlJc w:val="left"/>
      <w:pPr>
        <w:ind w:left="1440" w:hanging="1440"/>
      </w:pPr>
      <w:rPr>
        <w:rFonts w:ascii="Arial" w:hAnsi="Arial" w:cs="Arial" w:hint="default"/>
        <w:b/>
        <w:sz w:val="22"/>
      </w:rPr>
    </w:lvl>
    <w:lvl w:ilvl="8">
      <w:start w:val="1"/>
      <w:numFmt w:val="decimal"/>
      <w:lvlText w:val="%1.%2.%3.%4.%5.%6.%7.%8.%9"/>
      <w:lvlJc w:val="left"/>
      <w:pPr>
        <w:ind w:left="1800" w:hanging="1800"/>
      </w:pPr>
      <w:rPr>
        <w:rFonts w:ascii="Arial" w:hAnsi="Arial" w:cs="Arial" w:hint="default"/>
        <w:b/>
        <w:sz w:val="22"/>
      </w:rPr>
    </w:lvl>
  </w:abstractNum>
  <w:abstractNum w:abstractNumId="109" w15:restartNumberingAfterBreak="0">
    <w:nsid w:val="4DD368FF"/>
    <w:multiLevelType w:val="multilevel"/>
    <w:tmpl w:val="00000012"/>
    <w:styleLink w:val="Style1"/>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4E7A63F4"/>
    <w:multiLevelType w:val="multilevel"/>
    <w:tmpl w:val="972CDE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4F273EB6"/>
    <w:multiLevelType w:val="multilevel"/>
    <w:tmpl w:val="1CC4D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4F5E0D2E"/>
    <w:multiLevelType w:val="multilevel"/>
    <w:tmpl w:val="90CEC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4FB760D1"/>
    <w:multiLevelType w:val="hybridMultilevel"/>
    <w:tmpl w:val="AD365B1E"/>
    <w:lvl w:ilvl="0" w:tplc="3A58B13C">
      <w:start w:val="5"/>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FCB584B"/>
    <w:multiLevelType w:val="hybridMultilevel"/>
    <w:tmpl w:val="09427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FF351EE"/>
    <w:multiLevelType w:val="hybridMultilevel"/>
    <w:tmpl w:val="E28CB3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0453017"/>
    <w:multiLevelType w:val="multilevel"/>
    <w:tmpl w:val="3B8843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51A454C4"/>
    <w:multiLevelType w:val="hybridMultilevel"/>
    <w:tmpl w:val="DC74CF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52F83938"/>
    <w:multiLevelType w:val="multilevel"/>
    <w:tmpl w:val="91D66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554330D7"/>
    <w:multiLevelType w:val="hybridMultilevel"/>
    <w:tmpl w:val="9B5200D6"/>
    <w:lvl w:ilvl="0" w:tplc="0409000F">
      <w:start w:val="1"/>
      <w:numFmt w:val="decimal"/>
      <w:lvlText w:val="%1."/>
      <w:lvlJc w:val="left"/>
      <w:pPr>
        <w:ind w:left="720" w:hanging="72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55C36C22"/>
    <w:multiLevelType w:val="multilevel"/>
    <w:tmpl w:val="43D83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55E02ED0"/>
    <w:multiLevelType w:val="hybridMultilevel"/>
    <w:tmpl w:val="C0C61480"/>
    <w:lvl w:ilvl="0" w:tplc="0409000F">
      <w:start w:val="1"/>
      <w:numFmt w:val="decimal"/>
      <w:lvlText w:val="%1."/>
      <w:lvlJc w:val="left"/>
      <w:pPr>
        <w:ind w:left="720" w:hanging="72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590C5F83"/>
    <w:multiLevelType w:val="hybridMultilevel"/>
    <w:tmpl w:val="F478605E"/>
    <w:lvl w:ilvl="0" w:tplc="9104E09A">
      <w:start w:val="1"/>
      <w:numFmt w:val="bullet"/>
      <w:lvlText w:val="•"/>
      <w:lvlJc w:val="left"/>
      <w:pPr>
        <w:tabs>
          <w:tab w:val="num" w:pos="720"/>
        </w:tabs>
        <w:ind w:left="720" w:hanging="360"/>
      </w:pPr>
      <w:rPr>
        <w:rFonts w:ascii="Arial" w:hAnsi="Arial" w:hint="default"/>
      </w:rPr>
    </w:lvl>
    <w:lvl w:ilvl="1" w:tplc="F4D04F4E" w:tentative="1">
      <w:start w:val="1"/>
      <w:numFmt w:val="bullet"/>
      <w:lvlText w:val="•"/>
      <w:lvlJc w:val="left"/>
      <w:pPr>
        <w:tabs>
          <w:tab w:val="num" w:pos="1440"/>
        </w:tabs>
        <w:ind w:left="1440" w:hanging="360"/>
      </w:pPr>
      <w:rPr>
        <w:rFonts w:ascii="Arial" w:hAnsi="Arial" w:hint="default"/>
      </w:rPr>
    </w:lvl>
    <w:lvl w:ilvl="2" w:tplc="BA86472E" w:tentative="1">
      <w:start w:val="1"/>
      <w:numFmt w:val="bullet"/>
      <w:lvlText w:val="•"/>
      <w:lvlJc w:val="left"/>
      <w:pPr>
        <w:tabs>
          <w:tab w:val="num" w:pos="2160"/>
        </w:tabs>
        <w:ind w:left="2160" w:hanging="360"/>
      </w:pPr>
      <w:rPr>
        <w:rFonts w:ascii="Arial" w:hAnsi="Arial" w:hint="default"/>
      </w:rPr>
    </w:lvl>
    <w:lvl w:ilvl="3" w:tplc="29423034" w:tentative="1">
      <w:start w:val="1"/>
      <w:numFmt w:val="bullet"/>
      <w:lvlText w:val="•"/>
      <w:lvlJc w:val="left"/>
      <w:pPr>
        <w:tabs>
          <w:tab w:val="num" w:pos="2880"/>
        </w:tabs>
        <w:ind w:left="2880" w:hanging="360"/>
      </w:pPr>
      <w:rPr>
        <w:rFonts w:ascii="Arial" w:hAnsi="Arial" w:hint="default"/>
      </w:rPr>
    </w:lvl>
    <w:lvl w:ilvl="4" w:tplc="BCF236D6" w:tentative="1">
      <w:start w:val="1"/>
      <w:numFmt w:val="bullet"/>
      <w:lvlText w:val="•"/>
      <w:lvlJc w:val="left"/>
      <w:pPr>
        <w:tabs>
          <w:tab w:val="num" w:pos="3600"/>
        </w:tabs>
        <w:ind w:left="3600" w:hanging="360"/>
      </w:pPr>
      <w:rPr>
        <w:rFonts w:ascii="Arial" w:hAnsi="Arial" w:hint="default"/>
      </w:rPr>
    </w:lvl>
    <w:lvl w:ilvl="5" w:tplc="1B6C68D2" w:tentative="1">
      <w:start w:val="1"/>
      <w:numFmt w:val="bullet"/>
      <w:lvlText w:val="•"/>
      <w:lvlJc w:val="left"/>
      <w:pPr>
        <w:tabs>
          <w:tab w:val="num" w:pos="4320"/>
        </w:tabs>
        <w:ind w:left="4320" w:hanging="360"/>
      </w:pPr>
      <w:rPr>
        <w:rFonts w:ascii="Arial" w:hAnsi="Arial" w:hint="default"/>
      </w:rPr>
    </w:lvl>
    <w:lvl w:ilvl="6" w:tplc="C76AE460" w:tentative="1">
      <w:start w:val="1"/>
      <w:numFmt w:val="bullet"/>
      <w:lvlText w:val="•"/>
      <w:lvlJc w:val="left"/>
      <w:pPr>
        <w:tabs>
          <w:tab w:val="num" w:pos="5040"/>
        </w:tabs>
        <w:ind w:left="5040" w:hanging="360"/>
      </w:pPr>
      <w:rPr>
        <w:rFonts w:ascii="Arial" w:hAnsi="Arial" w:hint="default"/>
      </w:rPr>
    </w:lvl>
    <w:lvl w:ilvl="7" w:tplc="ECFC3C28" w:tentative="1">
      <w:start w:val="1"/>
      <w:numFmt w:val="bullet"/>
      <w:lvlText w:val="•"/>
      <w:lvlJc w:val="left"/>
      <w:pPr>
        <w:tabs>
          <w:tab w:val="num" w:pos="5760"/>
        </w:tabs>
        <w:ind w:left="5760" w:hanging="360"/>
      </w:pPr>
      <w:rPr>
        <w:rFonts w:ascii="Arial" w:hAnsi="Arial" w:hint="default"/>
      </w:rPr>
    </w:lvl>
    <w:lvl w:ilvl="8" w:tplc="592A0902"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BCB43CD"/>
    <w:multiLevelType w:val="multilevel"/>
    <w:tmpl w:val="E786A6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4" w15:restartNumberingAfterBreak="0">
    <w:nsid w:val="5C89301B"/>
    <w:multiLevelType w:val="multilevel"/>
    <w:tmpl w:val="6C1A8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5D862DC5"/>
    <w:multiLevelType w:val="hybridMultilevel"/>
    <w:tmpl w:val="398C0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61E96166"/>
    <w:multiLevelType w:val="multilevel"/>
    <w:tmpl w:val="B686E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2657DD5"/>
    <w:multiLevelType w:val="hybridMultilevel"/>
    <w:tmpl w:val="31B0BB48"/>
    <w:lvl w:ilvl="0" w:tplc="040C000F">
      <w:start w:val="1"/>
      <w:numFmt w:val="decimal"/>
      <w:lvlText w:val="%1."/>
      <w:lvlJc w:val="left"/>
      <w:pPr>
        <w:ind w:left="720" w:hanging="360"/>
      </w:pPr>
    </w:lvl>
    <w:lvl w:ilvl="1" w:tplc="6000694C">
      <w:start w:val="4"/>
      <w:numFmt w:val="bullet"/>
      <w:lvlText w:val="-"/>
      <w:lvlJc w:val="left"/>
      <w:pPr>
        <w:ind w:left="1455" w:hanging="375"/>
      </w:pPr>
      <w:rPr>
        <w:rFonts w:ascii="Arial" w:eastAsia="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62A05652"/>
    <w:multiLevelType w:val="multilevel"/>
    <w:tmpl w:val="B62C3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632E1665"/>
    <w:multiLevelType w:val="multilevel"/>
    <w:tmpl w:val="944489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0" w15:restartNumberingAfterBreak="0">
    <w:nsid w:val="63D35874"/>
    <w:multiLevelType w:val="multilevel"/>
    <w:tmpl w:val="338E3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40A2B12"/>
    <w:multiLevelType w:val="multilevel"/>
    <w:tmpl w:val="E786A6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2" w15:restartNumberingAfterBreak="0">
    <w:nsid w:val="66FD574B"/>
    <w:multiLevelType w:val="multilevel"/>
    <w:tmpl w:val="C908E5EE"/>
    <w:lvl w:ilvl="0">
      <w:start w:val="1"/>
      <w:numFmt w:val="bullet"/>
      <w:lvlText w:val="●"/>
      <w:lvlJc w:val="left"/>
      <w:pPr>
        <w:ind w:left="720" w:hanging="360"/>
      </w:pPr>
      <w:rPr>
        <w:sz w:val="12"/>
        <w:szCs w:val="12"/>
        <w:u w:val="none"/>
        <w:shd w:val="pct15" w:color="auto" w:fill="FFFFFF"/>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68320E78"/>
    <w:multiLevelType w:val="multilevel"/>
    <w:tmpl w:val="89F03E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68D45161"/>
    <w:multiLevelType w:val="hybridMultilevel"/>
    <w:tmpl w:val="2EC252DC"/>
    <w:lvl w:ilvl="0" w:tplc="040C0001">
      <w:start w:val="1"/>
      <w:numFmt w:val="bullet"/>
      <w:lvlText w:val=""/>
      <w:lvlJc w:val="left"/>
      <w:pPr>
        <w:ind w:left="720" w:hanging="360"/>
      </w:pPr>
      <w:rPr>
        <w:rFonts w:ascii="Symbol" w:hAnsi="Symbol" w:hint="default"/>
        <w:b w:val="0"/>
        <w:i/>
        <w:sz w:val="20"/>
        <w:szCs w:val="22"/>
        <w:lang w:val="en-GB"/>
      </w:rPr>
    </w:lvl>
    <w:lvl w:ilvl="1" w:tplc="FFFFFFFF">
      <w:start w:val="1"/>
      <w:numFmt w:val="lowerLetter"/>
      <w:lvlText w:val="%2."/>
      <w:lvlJc w:val="left"/>
      <w:pPr>
        <w:ind w:left="1440" w:hanging="360"/>
      </w:pPr>
    </w:lvl>
    <w:lvl w:ilvl="2" w:tplc="FFFFFFFF">
      <w:start w:val="1"/>
      <w:numFmt w:val="bullet"/>
      <w:lvlText w:val="•"/>
      <w:lvlJc w:val="left"/>
      <w:pPr>
        <w:ind w:left="2532" w:hanging="552"/>
      </w:pPr>
      <w:rPr>
        <w:rFonts w:ascii="Arial" w:eastAsia="SimSu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8D61774"/>
    <w:multiLevelType w:val="multilevel"/>
    <w:tmpl w:val="EB6E7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68DB5857"/>
    <w:multiLevelType w:val="multilevel"/>
    <w:tmpl w:val="B5A28B96"/>
    <w:lvl w:ilvl="0">
      <w:start w:val="1"/>
      <w:numFmt w:val="decimal"/>
      <w:lvlText w:val="%1."/>
      <w:lvlJc w:val="left"/>
      <w:pPr>
        <w:ind w:left="830" w:hanging="360"/>
      </w:pPr>
    </w:lvl>
    <w:lvl w:ilvl="1">
      <w:start w:val="1"/>
      <w:numFmt w:val="decimal"/>
      <w:lvlText w:val="%1.%2"/>
      <w:lvlJc w:val="left"/>
      <w:pPr>
        <w:ind w:left="830" w:hanging="360"/>
      </w:pPr>
      <w:rPr>
        <w:b/>
      </w:rPr>
    </w:lvl>
    <w:lvl w:ilvl="2">
      <w:start w:val="1"/>
      <w:numFmt w:val="decimal"/>
      <w:lvlText w:val="%1.%2.%3"/>
      <w:lvlJc w:val="left"/>
      <w:pPr>
        <w:ind w:left="1190" w:hanging="720"/>
      </w:pPr>
    </w:lvl>
    <w:lvl w:ilvl="3">
      <w:start w:val="1"/>
      <w:numFmt w:val="decimal"/>
      <w:lvlText w:val="%1.%2.%3.%4"/>
      <w:lvlJc w:val="left"/>
      <w:pPr>
        <w:ind w:left="1190" w:hanging="720"/>
      </w:pPr>
    </w:lvl>
    <w:lvl w:ilvl="4">
      <w:start w:val="1"/>
      <w:numFmt w:val="decimal"/>
      <w:lvlText w:val="%1.%2.%3.%4.%5"/>
      <w:lvlJc w:val="left"/>
      <w:pPr>
        <w:ind w:left="1550" w:hanging="1080"/>
      </w:pPr>
    </w:lvl>
    <w:lvl w:ilvl="5">
      <w:start w:val="1"/>
      <w:numFmt w:val="decimal"/>
      <w:lvlText w:val="%1.%2.%3.%4.%5.%6"/>
      <w:lvlJc w:val="left"/>
      <w:pPr>
        <w:ind w:left="1550" w:hanging="1080"/>
      </w:pPr>
    </w:lvl>
    <w:lvl w:ilvl="6">
      <w:start w:val="1"/>
      <w:numFmt w:val="decimal"/>
      <w:lvlText w:val="%1.%2.%3.%4.%5.%6.%7"/>
      <w:lvlJc w:val="left"/>
      <w:pPr>
        <w:ind w:left="1910" w:hanging="1440"/>
      </w:pPr>
    </w:lvl>
    <w:lvl w:ilvl="7">
      <w:start w:val="1"/>
      <w:numFmt w:val="decimal"/>
      <w:lvlText w:val="%1.%2.%3.%4.%5.%6.%7.%8"/>
      <w:lvlJc w:val="left"/>
      <w:pPr>
        <w:ind w:left="1910" w:hanging="1440"/>
      </w:pPr>
    </w:lvl>
    <w:lvl w:ilvl="8">
      <w:start w:val="1"/>
      <w:numFmt w:val="decimal"/>
      <w:lvlText w:val="%1.%2.%3.%4.%5.%6.%7.%8.%9"/>
      <w:lvlJc w:val="left"/>
      <w:pPr>
        <w:ind w:left="2270" w:hanging="1800"/>
      </w:pPr>
    </w:lvl>
  </w:abstractNum>
  <w:abstractNum w:abstractNumId="137" w15:restartNumberingAfterBreak="0">
    <w:nsid w:val="692D231D"/>
    <w:multiLevelType w:val="hybridMultilevel"/>
    <w:tmpl w:val="91E43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A371283"/>
    <w:multiLevelType w:val="hybridMultilevel"/>
    <w:tmpl w:val="754EB66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6A7670C6"/>
    <w:multiLevelType w:val="multilevel"/>
    <w:tmpl w:val="5F305354"/>
    <w:lvl w:ilvl="0">
      <w:start w:val="1"/>
      <w:numFmt w:val="decimal"/>
      <w:lvlText w:val="%1."/>
      <w:lvlJc w:val="left"/>
      <w:pPr>
        <w:ind w:left="1080" w:hanging="360"/>
      </w:pPr>
      <w:rPr>
        <w:rFonts w:hint="default"/>
        <w:u w:val="none"/>
      </w:rPr>
    </w:lvl>
    <w:lvl w:ilvl="1">
      <w:start w:val="1"/>
      <w:numFmt w:val="lowerLetter"/>
      <w:lvlText w:val="%2."/>
      <w:lvlJc w:val="left"/>
      <w:pPr>
        <w:ind w:left="1800" w:hanging="360"/>
      </w:pPr>
      <w:rPr>
        <w:rFonts w:hint="default"/>
        <w:u w:val="none"/>
      </w:rPr>
    </w:lvl>
    <w:lvl w:ilvl="2">
      <w:start w:val="1"/>
      <w:numFmt w:val="lowerRoman"/>
      <w:lvlText w:val="%3."/>
      <w:lvlJc w:val="right"/>
      <w:pPr>
        <w:ind w:left="2520" w:hanging="360"/>
      </w:pPr>
      <w:rPr>
        <w:rFonts w:hint="default"/>
        <w:u w:val="none"/>
      </w:rPr>
    </w:lvl>
    <w:lvl w:ilvl="3">
      <w:start w:val="1"/>
      <w:numFmt w:val="decimal"/>
      <w:lvlText w:val="%4."/>
      <w:lvlJc w:val="left"/>
      <w:pPr>
        <w:ind w:left="3240" w:hanging="360"/>
      </w:pPr>
      <w:rPr>
        <w:rFonts w:hint="default"/>
        <w:u w:val="none"/>
      </w:rPr>
    </w:lvl>
    <w:lvl w:ilvl="4">
      <w:start w:val="1"/>
      <w:numFmt w:val="lowerLetter"/>
      <w:lvlText w:val="%5."/>
      <w:lvlJc w:val="left"/>
      <w:pPr>
        <w:ind w:left="3960" w:hanging="360"/>
      </w:pPr>
      <w:rPr>
        <w:rFonts w:hint="default"/>
        <w:u w:val="none"/>
      </w:rPr>
    </w:lvl>
    <w:lvl w:ilvl="5">
      <w:start w:val="1"/>
      <w:numFmt w:val="lowerRoman"/>
      <w:lvlText w:val="%6."/>
      <w:lvlJc w:val="right"/>
      <w:pPr>
        <w:ind w:left="4680" w:hanging="360"/>
      </w:pPr>
      <w:rPr>
        <w:rFonts w:hint="default"/>
        <w:u w:val="none"/>
      </w:rPr>
    </w:lvl>
    <w:lvl w:ilvl="6">
      <w:start w:val="1"/>
      <w:numFmt w:val="decimal"/>
      <w:lvlText w:val="%7."/>
      <w:lvlJc w:val="left"/>
      <w:pPr>
        <w:ind w:left="5400" w:hanging="360"/>
      </w:pPr>
      <w:rPr>
        <w:rFonts w:hint="default"/>
        <w:u w:val="none"/>
      </w:rPr>
    </w:lvl>
    <w:lvl w:ilvl="7">
      <w:start w:val="1"/>
      <w:numFmt w:val="lowerLetter"/>
      <w:lvlText w:val="%8."/>
      <w:lvlJc w:val="left"/>
      <w:pPr>
        <w:ind w:left="6120" w:hanging="360"/>
      </w:pPr>
      <w:rPr>
        <w:rFonts w:hint="default"/>
        <w:u w:val="none"/>
      </w:rPr>
    </w:lvl>
    <w:lvl w:ilvl="8">
      <w:start w:val="1"/>
      <w:numFmt w:val="lowerRoman"/>
      <w:lvlText w:val="%9."/>
      <w:lvlJc w:val="right"/>
      <w:pPr>
        <w:ind w:left="6840" w:hanging="360"/>
      </w:pPr>
      <w:rPr>
        <w:rFonts w:hint="default"/>
        <w:u w:val="none"/>
      </w:rPr>
    </w:lvl>
  </w:abstractNum>
  <w:abstractNum w:abstractNumId="140" w15:restartNumberingAfterBreak="0">
    <w:nsid w:val="6A836924"/>
    <w:multiLevelType w:val="multilevel"/>
    <w:tmpl w:val="A8069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6B13132E"/>
    <w:multiLevelType w:val="hybridMultilevel"/>
    <w:tmpl w:val="97AAC1B0"/>
    <w:lvl w:ilvl="0" w:tplc="EC5ADCDC">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C6A66BF"/>
    <w:multiLevelType w:val="multilevel"/>
    <w:tmpl w:val="E586E6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3" w15:restartNumberingAfterBreak="0">
    <w:nsid w:val="6EEE7551"/>
    <w:multiLevelType w:val="multilevel"/>
    <w:tmpl w:val="EBCEF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4" w15:restartNumberingAfterBreak="0">
    <w:nsid w:val="6F833E10"/>
    <w:multiLevelType w:val="hybridMultilevel"/>
    <w:tmpl w:val="6CA0B8F0"/>
    <w:lvl w:ilvl="0" w:tplc="0F9E871C">
      <w:numFmt w:val="decimal"/>
      <w:lvlText w:val="%1."/>
      <w:lvlJc w:val="left"/>
      <w:pPr>
        <w:ind w:left="0" w:hanging="360"/>
      </w:pPr>
      <w:rPr>
        <w:rFonts w:asciiTheme="minorBidi" w:hAnsiTheme="minorBidi" w:cstheme="minorBidi" w:hint="default"/>
        <w:b w:val="0"/>
        <w:i/>
        <w:sz w:val="20"/>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6F986E13"/>
    <w:multiLevelType w:val="hybridMultilevel"/>
    <w:tmpl w:val="4FEA52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15:restartNumberingAfterBreak="0">
    <w:nsid w:val="702800EA"/>
    <w:multiLevelType w:val="multilevel"/>
    <w:tmpl w:val="E786A6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7" w15:restartNumberingAfterBreak="0">
    <w:nsid w:val="715B0FCF"/>
    <w:multiLevelType w:val="hybridMultilevel"/>
    <w:tmpl w:val="491C2264"/>
    <w:lvl w:ilvl="0" w:tplc="DEE6D740">
      <w:start w:val="1"/>
      <w:numFmt w:val="lowerRoman"/>
      <w:lvlText w:val="(%1)"/>
      <w:lvlJc w:val="left"/>
      <w:pPr>
        <w:ind w:left="1440" w:hanging="360"/>
      </w:pPr>
      <w:rPr>
        <w:rFonts w:ascii="Arial" w:eastAsia="Times New Roman"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24B035C"/>
    <w:multiLevelType w:val="multilevel"/>
    <w:tmpl w:val="1D92E85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72F4476B"/>
    <w:multiLevelType w:val="multilevel"/>
    <w:tmpl w:val="32E4A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749305FE"/>
    <w:multiLevelType w:val="multilevel"/>
    <w:tmpl w:val="45D0BC78"/>
    <w:lvl w:ilvl="0">
      <w:start w:val="1"/>
      <w:numFmt w:val="lowerLetter"/>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1" w15:restartNumberingAfterBreak="0">
    <w:nsid w:val="75E77B82"/>
    <w:multiLevelType w:val="hybridMultilevel"/>
    <w:tmpl w:val="0330C394"/>
    <w:lvl w:ilvl="0" w:tplc="982E8426">
      <w:start w:val="1"/>
      <w:numFmt w:val="bullet"/>
      <w:lvlText w:val=""/>
      <w:lvlJc w:val="left"/>
      <w:pPr>
        <w:tabs>
          <w:tab w:val="num" w:pos="720"/>
        </w:tabs>
        <w:ind w:left="720" w:hanging="360"/>
      </w:pPr>
      <w:rPr>
        <w:rFonts w:ascii="Wingdings" w:hAnsi="Wingdings" w:hint="default"/>
      </w:rPr>
    </w:lvl>
    <w:lvl w:ilvl="1" w:tplc="0C9AB7D6" w:tentative="1">
      <w:start w:val="1"/>
      <w:numFmt w:val="bullet"/>
      <w:lvlText w:val=""/>
      <w:lvlJc w:val="left"/>
      <w:pPr>
        <w:tabs>
          <w:tab w:val="num" w:pos="1440"/>
        </w:tabs>
        <w:ind w:left="1440" w:hanging="360"/>
      </w:pPr>
      <w:rPr>
        <w:rFonts w:ascii="Wingdings" w:hAnsi="Wingdings" w:hint="default"/>
      </w:rPr>
    </w:lvl>
    <w:lvl w:ilvl="2" w:tplc="3C587822" w:tentative="1">
      <w:start w:val="1"/>
      <w:numFmt w:val="bullet"/>
      <w:lvlText w:val=""/>
      <w:lvlJc w:val="left"/>
      <w:pPr>
        <w:tabs>
          <w:tab w:val="num" w:pos="2160"/>
        </w:tabs>
        <w:ind w:left="2160" w:hanging="360"/>
      </w:pPr>
      <w:rPr>
        <w:rFonts w:ascii="Wingdings" w:hAnsi="Wingdings" w:hint="default"/>
      </w:rPr>
    </w:lvl>
    <w:lvl w:ilvl="3" w:tplc="151073A2" w:tentative="1">
      <w:start w:val="1"/>
      <w:numFmt w:val="bullet"/>
      <w:lvlText w:val=""/>
      <w:lvlJc w:val="left"/>
      <w:pPr>
        <w:tabs>
          <w:tab w:val="num" w:pos="2880"/>
        </w:tabs>
        <w:ind w:left="2880" w:hanging="360"/>
      </w:pPr>
      <w:rPr>
        <w:rFonts w:ascii="Wingdings" w:hAnsi="Wingdings" w:hint="default"/>
      </w:rPr>
    </w:lvl>
    <w:lvl w:ilvl="4" w:tplc="97DC7A7E" w:tentative="1">
      <w:start w:val="1"/>
      <w:numFmt w:val="bullet"/>
      <w:lvlText w:val=""/>
      <w:lvlJc w:val="left"/>
      <w:pPr>
        <w:tabs>
          <w:tab w:val="num" w:pos="3600"/>
        </w:tabs>
        <w:ind w:left="3600" w:hanging="360"/>
      </w:pPr>
      <w:rPr>
        <w:rFonts w:ascii="Wingdings" w:hAnsi="Wingdings" w:hint="default"/>
      </w:rPr>
    </w:lvl>
    <w:lvl w:ilvl="5" w:tplc="997A8B2C" w:tentative="1">
      <w:start w:val="1"/>
      <w:numFmt w:val="bullet"/>
      <w:lvlText w:val=""/>
      <w:lvlJc w:val="left"/>
      <w:pPr>
        <w:tabs>
          <w:tab w:val="num" w:pos="4320"/>
        </w:tabs>
        <w:ind w:left="4320" w:hanging="360"/>
      </w:pPr>
      <w:rPr>
        <w:rFonts w:ascii="Wingdings" w:hAnsi="Wingdings" w:hint="default"/>
      </w:rPr>
    </w:lvl>
    <w:lvl w:ilvl="6" w:tplc="94644918" w:tentative="1">
      <w:start w:val="1"/>
      <w:numFmt w:val="bullet"/>
      <w:lvlText w:val=""/>
      <w:lvlJc w:val="left"/>
      <w:pPr>
        <w:tabs>
          <w:tab w:val="num" w:pos="5040"/>
        </w:tabs>
        <w:ind w:left="5040" w:hanging="360"/>
      </w:pPr>
      <w:rPr>
        <w:rFonts w:ascii="Wingdings" w:hAnsi="Wingdings" w:hint="default"/>
      </w:rPr>
    </w:lvl>
    <w:lvl w:ilvl="7" w:tplc="9490F038" w:tentative="1">
      <w:start w:val="1"/>
      <w:numFmt w:val="bullet"/>
      <w:lvlText w:val=""/>
      <w:lvlJc w:val="left"/>
      <w:pPr>
        <w:tabs>
          <w:tab w:val="num" w:pos="5760"/>
        </w:tabs>
        <w:ind w:left="5760" w:hanging="360"/>
      </w:pPr>
      <w:rPr>
        <w:rFonts w:ascii="Wingdings" w:hAnsi="Wingdings" w:hint="default"/>
      </w:rPr>
    </w:lvl>
    <w:lvl w:ilvl="8" w:tplc="1E063206"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60C7107"/>
    <w:multiLevelType w:val="multilevel"/>
    <w:tmpl w:val="C0B21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77320E5E"/>
    <w:multiLevelType w:val="hybridMultilevel"/>
    <w:tmpl w:val="C290A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777D41E9"/>
    <w:multiLevelType w:val="multilevel"/>
    <w:tmpl w:val="5F305354"/>
    <w:lvl w:ilvl="0">
      <w:start w:val="1"/>
      <w:numFmt w:val="decimal"/>
      <w:lvlText w:val="%1."/>
      <w:lvlJc w:val="left"/>
      <w:pPr>
        <w:ind w:left="1080" w:hanging="360"/>
      </w:pPr>
      <w:rPr>
        <w:rFonts w:hint="default"/>
        <w:u w:val="none"/>
      </w:rPr>
    </w:lvl>
    <w:lvl w:ilvl="1">
      <w:start w:val="1"/>
      <w:numFmt w:val="lowerLetter"/>
      <w:lvlText w:val="%2."/>
      <w:lvlJc w:val="left"/>
      <w:pPr>
        <w:ind w:left="1800" w:hanging="360"/>
      </w:pPr>
      <w:rPr>
        <w:rFonts w:hint="default"/>
        <w:u w:val="none"/>
      </w:rPr>
    </w:lvl>
    <w:lvl w:ilvl="2">
      <w:start w:val="1"/>
      <w:numFmt w:val="lowerRoman"/>
      <w:lvlText w:val="%3."/>
      <w:lvlJc w:val="right"/>
      <w:pPr>
        <w:ind w:left="2520" w:hanging="360"/>
      </w:pPr>
      <w:rPr>
        <w:rFonts w:hint="default"/>
        <w:u w:val="none"/>
      </w:rPr>
    </w:lvl>
    <w:lvl w:ilvl="3">
      <w:start w:val="1"/>
      <w:numFmt w:val="decimal"/>
      <w:lvlText w:val="%4."/>
      <w:lvlJc w:val="left"/>
      <w:pPr>
        <w:ind w:left="3240" w:hanging="360"/>
      </w:pPr>
      <w:rPr>
        <w:rFonts w:hint="default"/>
        <w:u w:val="none"/>
      </w:rPr>
    </w:lvl>
    <w:lvl w:ilvl="4">
      <w:start w:val="1"/>
      <w:numFmt w:val="lowerLetter"/>
      <w:lvlText w:val="%5."/>
      <w:lvlJc w:val="left"/>
      <w:pPr>
        <w:ind w:left="3960" w:hanging="360"/>
      </w:pPr>
      <w:rPr>
        <w:rFonts w:hint="default"/>
        <w:u w:val="none"/>
      </w:rPr>
    </w:lvl>
    <w:lvl w:ilvl="5">
      <w:start w:val="1"/>
      <w:numFmt w:val="lowerRoman"/>
      <w:lvlText w:val="%6."/>
      <w:lvlJc w:val="right"/>
      <w:pPr>
        <w:ind w:left="4680" w:hanging="360"/>
      </w:pPr>
      <w:rPr>
        <w:rFonts w:hint="default"/>
        <w:u w:val="none"/>
      </w:rPr>
    </w:lvl>
    <w:lvl w:ilvl="6">
      <w:start w:val="1"/>
      <w:numFmt w:val="decimal"/>
      <w:lvlText w:val="%7."/>
      <w:lvlJc w:val="left"/>
      <w:pPr>
        <w:ind w:left="5400" w:hanging="360"/>
      </w:pPr>
      <w:rPr>
        <w:rFonts w:hint="default"/>
        <w:u w:val="none"/>
      </w:rPr>
    </w:lvl>
    <w:lvl w:ilvl="7">
      <w:start w:val="1"/>
      <w:numFmt w:val="lowerLetter"/>
      <w:lvlText w:val="%8."/>
      <w:lvlJc w:val="left"/>
      <w:pPr>
        <w:ind w:left="6120" w:hanging="360"/>
      </w:pPr>
      <w:rPr>
        <w:rFonts w:hint="default"/>
        <w:u w:val="none"/>
      </w:rPr>
    </w:lvl>
    <w:lvl w:ilvl="8">
      <w:start w:val="1"/>
      <w:numFmt w:val="lowerRoman"/>
      <w:lvlText w:val="%9."/>
      <w:lvlJc w:val="right"/>
      <w:pPr>
        <w:ind w:left="6840" w:hanging="360"/>
      </w:pPr>
      <w:rPr>
        <w:rFonts w:hint="default"/>
        <w:u w:val="none"/>
      </w:rPr>
    </w:lvl>
  </w:abstractNum>
  <w:abstractNum w:abstractNumId="155" w15:restartNumberingAfterBreak="0">
    <w:nsid w:val="77DF008E"/>
    <w:multiLevelType w:val="multilevel"/>
    <w:tmpl w:val="FE908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79BC7FB7"/>
    <w:multiLevelType w:val="hybridMultilevel"/>
    <w:tmpl w:val="B360F47A"/>
    <w:lvl w:ilvl="0" w:tplc="DD860B94">
      <w:start w:val="1"/>
      <w:numFmt w:val="lowerRoman"/>
      <w:lvlText w:val="(%1)"/>
      <w:lvlJc w:val="left"/>
      <w:pPr>
        <w:ind w:left="144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A83565D"/>
    <w:multiLevelType w:val="multilevel"/>
    <w:tmpl w:val="CC5C6B8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7B472F11"/>
    <w:multiLevelType w:val="multilevel"/>
    <w:tmpl w:val="CAA6D6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9" w15:restartNumberingAfterBreak="0">
    <w:nsid w:val="7B537CCE"/>
    <w:multiLevelType w:val="multilevel"/>
    <w:tmpl w:val="FAC85964"/>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7C90763B"/>
    <w:multiLevelType w:val="hybridMultilevel"/>
    <w:tmpl w:val="F0FC7B40"/>
    <w:lvl w:ilvl="0" w:tplc="B4163634">
      <w:start w:val="1"/>
      <w:numFmt w:val="bullet"/>
      <w:lvlText w:val="-"/>
      <w:lvlJc w:val="left"/>
      <w:pPr>
        <w:ind w:left="2026" w:hanging="360"/>
      </w:pPr>
      <w:rPr>
        <w:rFonts w:ascii="Walbaum Display Light" w:hAnsi="Walbaum Display Light" w:hint="default"/>
      </w:rPr>
    </w:lvl>
    <w:lvl w:ilvl="1" w:tplc="08090003" w:tentative="1">
      <w:start w:val="1"/>
      <w:numFmt w:val="bullet"/>
      <w:lvlText w:val="o"/>
      <w:lvlJc w:val="left"/>
      <w:pPr>
        <w:ind w:left="2746" w:hanging="360"/>
      </w:pPr>
      <w:rPr>
        <w:rFonts w:ascii="Courier New" w:hAnsi="Courier New" w:cs="Courier New" w:hint="default"/>
      </w:rPr>
    </w:lvl>
    <w:lvl w:ilvl="2" w:tplc="08090005" w:tentative="1">
      <w:start w:val="1"/>
      <w:numFmt w:val="bullet"/>
      <w:lvlText w:val=""/>
      <w:lvlJc w:val="left"/>
      <w:pPr>
        <w:ind w:left="3466" w:hanging="360"/>
      </w:pPr>
      <w:rPr>
        <w:rFonts w:ascii="Wingdings" w:hAnsi="Wingdings" w:hint="default"/>
      </w:rPr>
    </w:lvl>
    <w:lvl w:ilvl="3" w:tplc="08090001" w:tentative="1">
      <w:start w:val="1"/>
      <w:numFmt w:val="bullet"/>
      <w:lvlText w:val=""/>
      <w:lvlJc w:val="left"/>
      <w:pPr>
        <w:ind w:left="4186" w:hanging="360"/>
      </w:pPr>
      <w:rPr>
        <w:rFonts w:ascii="Symbol" w:hAnsi="Symbol" w:hint="default"/>
      </w:rPr>
    </w:lvl>
    <w:lvl w:ilvl="4" w:tplc="08090003" w:tentative="1">
      <w:start w:val="1"/>
      <w:numFmt w:val="bullet"/>
      <w:lvlText w:val="o"/>
      <w:lvlJc w:val="left"/>
      <w:pPr>
        <w:ind w:left="4906" w:hanging="360"/>
      </w:pPr>
      <w:rPr>
        <w:rFonts w:ascii="Courier New" w:hAnsi="Courier New" w:cs="Courier New" w:hint="default"/>
      </w:rPr>
    </w:lvl>
    <w:lvl w:ilvl="5" w:tplc="08090005" w:tentative="1">
      <w:start w:val="1"/>
      <w:numFmt w:val="bullet"/>
      <w:lvlText w:val=""/>
      <w:lvlJc w:val="left"/>
      <w:pPr>
        <w:ind w:left="5626" w:hanging="360"/>
      </w:pPr>
      <w:rPr>
        <w:rFonts w:ascii="Wingdings" w:hAnsi="Wingdings" w:hint="default"/>
      </w:rPr>
    </w:lvl>
    <w:lvl w:ilvl="6" w:tplc="08090001" w:tentative="1">
      <w:start w:val="1"/>
      <w:numFmt w:val="bullet"/>
      <w:lvlText w:val=""/>
      <w:lvlJc w:val="left"/>
      <w:pPr>
        <w:ind w:left="6346" w:hanging="360"/>
      </w:pPr>
      <w:rPr>
        <w:rFonts w:ascii="Symbol" w:hAnsi="Symbol" w:hint="default"/>
      </w:rPr>
    </w:lvl>
    <w:lvl w:ilvl="7" w:tplc="08090003" w:tentative="1">
      <w:start w:val="1"/>
      <w:numFmt w:val="bullet"/>
      <w:lvlText w:val="o"/>
      <w:lvlJc w:val="left"/>
      <w:pPr>
        <w:ind w:left="7066" w:hanging="360"/>
      </w:pPr>
      <w:rPr>
        <w:rFonts w:ascii="Courier New" w:hAnsi="Courier New" w:cs="Courier New" w:hint="default"/>
      </w:rPr>
    </w:lvl>
    <w:lvl w:ilvl="8" w:tplc="08090005" w:tentative="1">
      <w:start w:val="1"/>
      <w:numFmt w:val="bullet"/>
      <w:lvlText w:val=""/>
      <w:lvlJc w:val="left"/>
      <w:pPr>
        <w:ind w:left="7786" w:hanging="360"/>
      </w:pPr>
      <w:rPr>
        <w:rFonts w:ascii="Wingdings" w:hAnsi="Wingdings" w:hint="default"/>
      </w:rPr>
    </w:lvl>
  </w:abstractNum>
  <w:abstractNum w:abstractNumId="161" w15:restartNumberingAfterBreak="0">
    <w:nsid w:val="7D410924"/>
    <w:multiLevelType w:val="hybridMultilevel"/>
    <w:tmpl w:val="6736EF36"/>
    <w:lvl w:ilvl="0" w:tplc="0409000F">
      <w:start w:val="1"/>
      <w:numFmt w:val="decimal"/>
      <w:lvlText w:val="%1."/>
      <w:lvlJc w:val="left"/>
      <w:pPr>
        <w:ind w:left="360" w:hanging="360"/>
      </w:pPr>
    </w:lvl>
    <w:lvl w:ilvl="1" w:tplc="FFFFFFFF">
      <w:start w:val="1"/>
      <w:numFmt w:val="decimal"/>
      <w:lvlText w:val="4.%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7D824374"/>
    <w:multiLevelType w:val="multilevel"/>
    <w:tmpl w:val="D22A0E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3" w15:restartNumberingAfterBreak="0">
    <w:nsid w:val="7E264054"/>
    <w:multiLevelType w:val="multilevel"/>
    <w:tmpl w:val="1084E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7EF540C4"/>
    <w:multiLevelType w:val="multilevel"/>
    <w:tmpl w:val="BBD2E52A"/>
    <w:lvl w:ilvl="0">
      <w:start w:val="93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7F066822"/>
    <w:multiLevelType w:val="multilevel"/>
    <w:tmpl w:val="DDE42820"/>
    <w:lvl w:ilvl="0">
      <w:start w:val="1"/>
      <w:numFmt w:val="decimal"/>
      <w:lvlText w:val="%1."/>
      <w:lvlJc w:val="left"/>
      <w:pPr>
        <w:ind w:left="1080" w:hanging="360"/>
      </w:pPr>
      <w:rPr>
        <w:rFonts w:hint="default"/>
        <w:u w:val="none"/>
      </w:rPr>
    </w:lvl>
    <w:lvl w:ilvl="1">
      <w:start w:val="1"/>
      <w:numFmt w:val="lowerLetter"/>
      <w:lvlText w:val="%2."/>
      <w:lvlJc w:val="left"/>
      <w:pPr>
        <w:ind w:left="1800" w:hanging="360"/>
      </w:pPr>
      <w:rPr>
        <w:rFonts w:hint="default"/>
        <w:u w:val="none"/>
      </w:rPr>
    </w:lvl>
    <w:lvl w:ilvl="2">
      <w:start w:val="1"/>
      <w:numFmt w:val="lowerRoman"/>
      <w:lvlText w:val="%3."/>
      <w:lvlJc w:val="right"/>
      <w:pPr>
        <w:ind w:left="2520" w:hanging="360"/>
      </w:pPr>
      <w:rPr>
        <w:rFonts w:hint="default"/>
        <w:u w:val="none"/>
      </w:rPr>
    </w:lvl>
    <w:lvl w:ilvl="3">
      <w:start w:val="1"/>
      <w:numFmt w:val="decimal"/>
      <w:lvlText w:val="%4."/>
      <w:lvlJc w:val="left"/>
      <w:pPr>
        <w:ind w:left="3240" w:hanging="360"/>
      </w:pPr>
      <w:rPr>
        <w:rFonts w:hint="default"/>
        <w:u w:val="none"/>
      </w:rPr>
    </w:lvl>
    <w:lvl w:ilvl="4">
      <w:start w:val="1"/>
      <w:numFmt w:val="lowerLetter"/>
      <w:lvlText w:val="%5."/>
      <w:lvlJc w:val="left"/>
      <w:pPr>
        <w:ind w:left="3960" w:hanging="360"/>
      </w:pPr>
      <w:rPr>
        <w:rFonts w:hint="default"/>
        <w:u w:val="none"/>
      </w:rPr>
    </w:lvl>
    <w:lvl w:ilvl="5">
      <w:start w:val="1"/>
      <w:numFmt w:val="lowerRoman"/>
      <w:lvlText w:val="%6."/>
      <w:lvlJc w:val="right"/>
      <w:pPr>
        <w:ind w:left="4680" w:hanging="360"/>
      </w:pPr>
      <w:rPr>
        <w:rFonts w:hint="default"/>
        <w:u w:val="none"/>
      </w:rPr>
    </w:lvl>
    <w:lvl w:ilvl="6">
      <w:start w:val="1"/>
      <w:numFmt w:val="decimal"/>
      <w:lvlText w:val="%7."/>
      <w:lvlJc w:val="left"/>
      <w:pPr>
        <w:ind w:left="5400" w:hanging="360"/>
      </w:pPr>
      <w:rPr>
        <w:rFonts w:hint="default"/>
        <w:u w:val="none"/>
      </w:rPr>
    </w:lvl>
    <w:lvl w:ilvl="7">
      <w:start w:val="1"/>
      <w:numFmt w:val="lowerLetter"/>
      <w:lvlText w:val="%8."/>
      <w:lvlJc w:val="left"/>
      <w:pPr>
        <w:ind w:left="6120" w:hanging="360"/>
      </w:pPr>
      <w:rPr>
        <w:rFonts w:hint="default"/>
        <w:u w:val="none"/>
      </w:rPr>
    </w:lvl>
    <w:lvl w:ilvl="8">
      <w:start w:val="1"/>
      <w:numFmt w:val="lowerRoman"/>
      <w:lvlText w:val="%9."/>
      <w:lvlJc w:val="right"/>
      <w:pPr>
        <w:ind w:left="6840" w:hanging="360"/>
      </w:pPr>
      <w:rPr>
        <w:rFonts w:hint="default"/>
        <w:u w:val="none"/>
      </w:rPr>
    </w:lvl>
  </w:abstractNum>
  <w:num w:numId="1" w16cid:durableId="1169563061">
    <w:abstractNumId w:val="7"/>
  </w:num>
  <w:num w:numId="2" w16cid:durableId="490214851">
    <w:abstractNumId w:val="3"/>
  </w:num>
  <w:num w:numId="3" w16cid:durableId="1431395925">
    <w:abstractNumId w:val="11"/>
  </w:num>
  <w:num w:numId="4" w16cid:durableId="490558868">
    <w:abstractNumId w:val="4"/>
  </w:num>
  <w:num w:numId="5" w16cid:durableId="667287897">
    <w:abstractNumId w:val="9"/>
  </w:num>
  <w:num w:numId="6" w16cid:durableId="1061363233">
    <w:abstractNumId w:val="1"/>
  </w:num>
  <w:num w:numId="7" w16cid:durableId="1375233155">
    <w:abstractNumId w:val="2"/>
  </w:num>
  <w:num w:numId="8" w16cid:durableId="1889608798">
    <w:abstractNumId w:val="10"/>
  </w:num>
  <w:num w:numId="9" w16cid:durableId="1577664191">
    <w:abstractNumId w:val="8"/>
  </w:num>
  <w:num w:numId="10" w16cid:durableId="161746802">
    <w:abstractNumId w:val="6"/>
  </w:num>
  <w:num w:numId="11" w16cid:durableId="483131851">
    <w:abstractNumId w:val="0"/>
  </w:num>
  <w:num w:numId="12" w16cid:durableId="488642410">
    <w:abstractNumId w:val="5"/>
  </w:num>
  <w:num w:numId="13" w16cid:durableId="722408110">
    <w:abstractNumId w:val="95"/>
  </w:num>
  <w:num w:numId="14" w16cid:durableId="119349284">
    <w:abstractNumId w:val="109"/>
  </w:num>
  <w:num w:numId="15" w16cid:durableId="731927819">
    <w:abstractNumId w:val="95"/>
  </w:num>
  <w:num w:numId="16" w16cid:durableId="1127043961">
    <w:abstractNumId w:val="92"/>
  </w:num>
  <w:num w:numId="17" w16cid:durableId="292828465">
    <w:abstractNumId w:val="32"/>
  </w:num>
  <w:num w:numId="18" w16cid:durableId="1106271531">
    <w:abstractNumId w:val="108"/>
  </w:num>
  <w:num w:numId="19" w16cid:durableId="677511430">
    <w:abstractNumId w:val="117"/>
  </w:num>
  <w:num w:numId="20" w16cid:durableId="587886058">
    <w:abstractNumId w:val="48"/>
  </w:num>
  <w:num w:numId="21" w16cid:durableId="525798126">
    <w:abstractNumId w:val="18"/>
  </w:num>
  <w:num w:numId="22" w16cid:durableId="1482425698">
    <w:abstractNumId w:val="100"/>
  </w:num>
  <w:num w:numId="23" w16cid:durableId="1426726517">
    <w:abstractNumId w:val="46"/>
  </w:num>
  <w:num w:numId="24" w16cid:durableId="382287877">
    <w:abstractNumId w:val="102"/>
  </w:num>
  <w:num w:numId="25" w16cid:durableId="1037391372">
    <w:abstractNumId w:val="116"/>
  </w:num>
  <w:num w:numId="26" w16cid:durableId="265818111">
    <w:abstractNumId w:val="101"/>
  </w:num>
  <w:num w:numId="27" w16cid:durableId="520316709">
    <w:abstractNumId w:val="127"/>
  </w:num>
  <w:num w:numId="28" w16cid:durableId="966858719">
    <w:abstractNumId w:val="83"/>
  </w:num>
  <w:num w:numId="29" w16cid:durableId="449395567">
    <w:abstractNumId w:val="60"/>
  </w:num>
  <w:num w:numId="30" w16cid:durableId="1190223445">
    <w:abstractNumId w:val="38"/>
  </w:num>
  <w:num w:numId="31" w16cid:durableId="936867461">
    <w:abstractNumId w:val="75"/>
  </w:num>
  <w:num w:numId="32" w16cid:durableId="205028549">
    <w:abstractNumId w:val="82"/>
  </w:num>
  <w:num w:numId="33" w16cid:durableId="1920796183">
    <w:abstractNumId w:val="33"/>
  </w:num>
  <w:num w:numId="34" w16cid:durableId="1808543190">
    <w:abstractNumId w:val="45"/>
  </w:num>
  <w:num w:numId="35" w16cid:durableId="1541167434">
    <w:abstractNumId w:val="113"/>
  </w:num>
  <w:num w:numId="36" w16cid:durableId="1929996310">
    <w:abstractNumId w:val="146"/>
  </w:num>
  <w:num w:numId="37" w16cid:durableId="1438259372">
    <w:abstractNumId w:val="69"/>
  </w:num>
  <w:num w:numId="38" w16cid:durableId="965427212">
    <w:abstractNumId w:val="123"/>
  </w:num>
  <w:num w:numId="39" w16cid:durableId="1188833755">
    <w:abstractNumId w:val="22"/>
  </w:num>
  <w:num w:numId="40" w16cid:durableId="1874421054">
    <w:abstractNumId w:val="131"/>
  </w:num>
  <w:num w:numId="41" w16cid:durableId="942542023">
    <w:abstractNumId w:val="12"/>
  </w:num>
  <w:num w:numId="42" w16cid:durableId="1867451036">
    <w:abstractNumId w:val="47"/>
  </w:num>
  <w:num w:numId="43" w16cid:durableId="994996802">
    <w:abstractNumId w:val="139"/>
  </w:num>
  <w:num w:numId="44" w16cid:durableId="1509443297">
    <w:abstractNumId w:val="154"/>
  </w:num>
  <w:num w:numId="45" w16cid:durableId="929893317">
    <w:abstractNumId w:val="42"/>
  </w:num>
  <w:num w:numId="46" w16cid:durableId="1207992049">
    <w:abstractNumId w:val="161"/>
  </w:num>
  <w:num w:numId="47" w16cid:durableId="831602408">
    <w:abstractNumId w:val="31"/>
  </w:num>
  <w:num w:numId="48" w16cid:durableId="57368206">
    <w:abstractNumId w:val="121"/>
  </w:num>
  <w:num w:numId="49" w16cid:durableId="800464236">
    <w:abstractNumId w:val="119"/>
  </w:num>
  <w:num w:numId="50" w16cid:durableId="445850189">
    <w:abstractNumId w:val="165"/>
  </w:num>
  <w:num w:numId="51" w16cid:durableId="1666129162">
    <w:abstractNumId w:val="104"/>
  </w:num>
  <w:num w:numId="52" w16cid:durableId="1216509341">
    <w:abstractNumId w:val="28"/>
  </w:num>
  <w:num w:numId="53" w16cid:durableId="1385720531">
    <w:abstractNumId w:val="158"/>
  </w:num>
  <w:num w:numId="54" w16cid:durableId="1739018656">
    <w:abstractNumId w:val="70"/>
  </w:num>
  <w:num w:numId="55" w16cid:durableId="817961979">
    <w:abstractNumId w:val="57"/>
  </w:num>
  <w:num w:numId="56" w16cid:durableId="644773479">
    <w:abstractNumId w:val="114"/>
  </w:num>
  <w:num w:numId="57" w16cid:durableId="510530114">
    <w:abstractNumId w:val="107"/>
  </w:num>
  <w:num w:numId="58" w16cid:durableId="2003923074">
    <w:abstractNumId w:val="96"/>
  </w:num>
  <w:num w:numId="59" w16cid:durableId="2052420606">
    <w:abstractNumId w:val="61"/>
  </w:num>
  <w:num w:numId="60" w16cid:durableId="682704458">
    <w:abstractNumId w:val="79"/>
  </w:num>
  <w:num w:numId="61" w16cid:durableId="1593732834">
    <w:abstractNumId w:val="25"/>
  </w:num>
  <w:num w:numId="62" w16cid:durableId="316343795">
    <w:abstractNumId w:val="157"/>
  </w:num>
  <w:num w:numId="63" w16cid:durableId="2060322039">
    <w:abstractNumId w:val="103"/>
  </w:num>
  <w:num w:numId="64" w16cid:durableId="846334029">
    <w:abstractNumId w:val="133"/>
  </w:num>
  <w:num w:numId="65" w16cid:durableId="464736307">
    <w:abstractNumId w:val="50"/>
  </w:num>
  <w:num w:numId="66" w16cid:durableId="1777872721">
    <w:abstractNumId w:val="17"/>
  </w:num>
  <w:num w:numId="67" w16cid:durableId="1963068867">
    <w:abstractNumId w:val="85"/>
  </w:num>
  <w:num w:numId="68" w16cid:durableId="406389838">
    <w:abstractNumId w:val="148"/>
  </w:num>
  <w:num w:numId="69" w16cid:durableId="1234703268">
    <w:abstractNumId w:val="27"/>
  </w:num>
  <w:num w:numId="70" w16cid:durableId="903947592">
    <w:abstractNumId w:val="110"/>
  </w:num>
  <w:num w:numId="71" w16cid:durableId="2095277232">
    <w:abstractNumId w:val="59"/>
  </w:num>
  <w:num w:numId="72" w16cid:durableId="1959025771">
    <w:abstractNumId w:val="21"/>
  </w:num>
  <w:num w:numId="73" w16cid:durableId="1049187583">
    <w:abstractNumId w:val="54"/>
  </w:num>
  <w:num w:numId="74" w16cid:durableId="141626350">
    <w:abstractNumId w:val="162"/>
  </w:num>
  <w:num w:numId="75" w16cid:durableId="1370568979">
    <w:abstractNumId w:val="143"/>
  </w:num>
  <w:num w:numId="76" w16cid:durableId="569925418">
    <w:abstractNumId w:val="62"/>
  </w:num>
  <w:num w:numId="77" w16cid:durableId="570894488">
    <w:abstractNumId w:val="93"/>
  </w:num>
  <w:num w:numId="78" w16cid:durableId="218562737">
    <w:abstractNumId w:val="145"/>
  </w:num>
  <w:num w:numId="79" w16cid:durableId="889269404">
    <w:abstractNumId w:val="23"/>
  </w:num>
  <w:num w:numId="80" w16cid:durableId="1878422480">
    <w:abstractNumId w:val="53"/>
  </w:num>
  <w:num w:numId="81" w16cid:durableId="10641788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52375294">
    <w:abstractNumId w:val="141"/>
  </w:num>
  <w:num w:numId="83" w16cid:durableId="1361013224">
    <w:abstractNumId w:val="138"/>
  </w:num>
  <w:num w:numId="84" w16cid:durableId="249782128">
    <w:abstractNumId w:val="65"/>
  </w:num>
  <w:num w:numId="85" w16cid:durableId="220753779">
    <w:abstractNumId w:val="156"/>
  </w:num>
  <w:num w:numId="86" w16cid:durableId="1361466925">
    <w:abstractNumId w:val="147"/>
  </w:num>
  <w:num w:numId="87" w16cid:durableId="1097480083">
    <w:abstractNumId w:val="160"/>
  </w:num>
  <w:num w:numId="88" w16cid:durableId="64230406">
    <w:abstractNumId w:val="36"/>
  </w:num>
  <w:num w:numId="89" w16cid:durableId="1326015394">
    <w:abstractNumId w:val="88"/>
  </w:num>
  <w:num w:numId="90" w16cid:durableId="729228577">
    <w:abstractNumId w:val="20"/>
  </w:num>
  <w:num w:numId="91" w16cid:durableId="1185749137">
    <w:abstractNumId w:val="92"/>
  </w:num>
  <w:num w:numId="92" w16cid:durableId="447311282">
    <w:abstractNumId w:val="92"/>
  </w:num>
  <w:num w:numId="93" w16cid:durableId="59179743">
    <w:abstractNumId w:val="92"/>
  </w:num>
  <w:num w:numId="94" w16cid:durableId="1489856156">
    <w:abstractNumId w:val="92"/>
  </w:num>
  <w:num w:numId="95" w16cid:durableId="1917742046">
    <w:abstractNumId w:val="144"/>
  </w:num>
  <w:num w:numId="96" w16cid:durableId="773212536">
    <w:abstractNumId w:val="86"/>
  </w:num>
  <w:num w:numId="97" w16cid:durableId="1994486829">
    <w:abstractNumId w:val="122"/>
  </w:num>
  <w:num w:numId="98" w16cid:durableId="1117258578">
    <w:abstractNumId w:val="134"/>
  </w:num>
  <w:num w:numId="99" w16cid:durableId="800153321">
    <w:abstractNumId w:val="44"/>
  </w:num>
  <w:num w:numId="100" w16cid:durableId="1272938092">
    <w:abstractNumId w:val="81"/>
  </w:num>
  <w:num w:numId="101" w16cid:durableId="970019654">
    <w:abstractNumId w:val="151"/>
  </w:num>
  <w:num w:numId="102" w16cid:durableId="1776435706">
    <w:abstractNumId w:val="41"/>
  </w:num>
  <w:num w:numId="103" w16cid:durableId="1009023372">
    <w:abstractNumId w:val="92"/>
  </w:num>
  <w:num w:numId="104" w16cid:durableId="373116819">
    <w:abstractNumId w:val="30"/>
  </w:num>
  <w:num w:numId="105" w16cid:durableId="421335841">
    <w:abstractNumId w:val="92"/>
  </w:num>
  <w:num w:numId="106" w16cid:durableId="1028068670">
    <w:abstractNumId w:val="92"/>
  </w:num>
  <w:num w:numId="107" w16cid:durableId="1766146231">
    <w:abstractNumId w:val="92"/>
  </w:num>
  <w:num w:numId="108" w16cid:durableId="1708799291">
    <w:abstractNumId w:val="92"/>
  </w:num>
  <w:num w:numId="109" w16cid:durableId="1038241694">
    <w:abstractNumId w:val="92"/>
  </w:num>
  <w:num w:numId="110" w16cid:durableId="1424037288">
    <w:abstractNumId w:val="92"/>
  </w:num>
  <w:num w:numId="111" w16cid:durableId="1666738605">
    <w:abstractNumId w:val="92"/>
  </w:num>
  <w:num w:numId="112" w16cid:durableId="1070999527">
    <w:abstractNumId w:val="92"/>
  </w:num>
  <w:num w:numId="113" w16cid:durableId="115760178">
    <w:abstractNumId w:val="92"/>
  </w:num>
  <w:num w:numId="114" w16cid:durableId="1447626005">
    <w:abstractNumId w:val="92"/>
  </w:num>
  <w:num w:numId="115" w16cid:durableId="1340934170">
    <w:abstractNumId w:val="126"/>
  </w:num>
  <w:num w:numId="116" w16cid:durableId="702562209">
    <w:abstractNumId w:val="111"/>
  </w:num>
  <w:num w:numId="117" w16cid:durableId="1562055994">
    <w:abstractNumId w:val="159"/>
  </w:num>
  <w:num w:numId="118" w16cid:durableId="386418410">
    <w:abstractNumId w:val="13"/>
  </w:num>
  <w:num w:numId="119" w16cid:durableId="1640652684">
    <w:abstractNumId w:val="128"/>
  </w:num>
  <w:num w:numId="120" w16cid:durableId="633170440">
    <w:abstractNumId w:val="94"/>
  </w:num>
  <w:num w:numId="121" w16cid:durableId="1530217913">
    <w:abstractNumId w:val="97"/>
  </w:num>
  <w:num w:numId="122" w16cid:durableId="445807250">
    <w:abstractNumId w:val="98"/>
  </w:num>
  <w:num w:numId="123" w16cid:durableId="1181118779">
    <w:abstractNumId w:val="71"/>
  </w:num>
  <w:num w:numId="124" w16cid:durableId="873347516">
    <w:abstractNumId w:val="136"/>
  </w:num>
  <w:num w:numId="125" w16cid:durableId="1623152944">
    <w:abstractNumId w:val="74"/>
  </w:num>
  <w:num w:numId="126" w16cid:durableId="1907911512">
    <w:abstractNumId w:val="77"/>
  </w:num>
  <w:num w:numId="127" w16cid:durableId="418134804">
    <w:abstractNumId w:val="68"/>
  </w:num>
  <w:num w:numId="128" w16cid:durableId="1697004685">
    <w:abstractNumId w:val="84"/>
  </w:num>
  <w:num w:numId="129" w16cid:durableId="1432048998">
    <w:abstractNumId w:val="52"/>
  </w:num>
  <w:num w:numId="130" w16cid:durableId="1684479950">
    <w:abstractNumId w:val="129"/>
  </w:num>
  <w:num w:numId="131" w16cid:durableId="539439104">
    <w:abstractNumId w:val="56"/>
  </w:num>
  <w:num w:numId="132" w16cid:durableId="1564488962">
    <w:abstractNumId w:val="19"/>
  </w:num>
  <w:num w:numId="133" w16cid:durableId="822818124">
    <w:abstractNumId w:val="132"/>
  </w:num>
  <w:num w:numId="134" w16cid:durableId="334655601">
    <w:abstractNumId w:val="153"/>
  </w:num>
  <w:num w:numId="135" w16cid:durableId="1353874152">
    <w:abstractNumId w:val="125"/>
  </w:num>
  <w:num w:numId="136" w16cid:durableId="1647510866">
    <w:abstractNumId w:val="87"/>
  </w:num>
  <w:num w:numId="137" w16cid:durableId="1949698352">
    <w:abstractNumId w:val="35"/>
  </w:num>
  <w:num w:numId="138" w16cid:durableId="238250008">
    <w:abstractNumId w:val="72"/>
  </w:num>
  <w:num w:numId="139" w16cid:durableId="433979431">
    <w:abstractNumId w:val="39"/>
  </w:num>
  <w:num w:numId="140" w16cid:durableId="1261184854">
    <w:abstractNumId w:val="115"/>
  </w:num>
  <w:num w:numId="141" w16cid:durableId="1114010614">
    <w:abstractNumId w:val="140"/>
  </w:num>
  <w:num w:numId="142" w16cid:durableId="881946477">
    <w:abstractNumId w:val="163"/>
  </w:num>
  <w:num w:numId="143" w16cid:durableId="865292904">
    <w:abstractNumId w:val="99"/>
  </w:num>
  <w:num w:numId="144" w16cid:durableId="1999192880">
    <w:abstractNumId w:val="49"/>
  </w:num>
  <w:num w:numId="145" w16cid:durableId="667288797">
    <w:abstractNumId w:val="67"/>
  </w:num>
  <w:num w:numId="146" w16cid:durableId="1234664041">
    <w:abstractNumId w:val="55"/>
  </w:num>
  <w:num w:numId="147" w16cid:durableId="1279292722">
    <w:abstractNumId w:val="142"/>
  </w:num>
  <w:num w:numId="148" w16cid:durableId="749155774">
    <w:abstractNumId w:val="152"/>
  </w:num>
  <w:num w:numId="149" w16cid:durableId="1375234400">
    <w:abstractNumId w:val="64"/>
  </w:num>
  <w:num w:numId="150" w16cid:durableId="1928418362">
    <w:abstractNumId w:val="90"/>
  </w:num>
  <w:num w:numId="151" w16cid:durableId="431903279">
    <w:abstractNumId w:val="24"/>
  </w:num>
  <w:num w:numId="152" w16cid:durableId="320348744">
    <w:abstractNumId w:val="14"/>
  </w:num>
  <w:num w:numId="153" w16cid:durableId="537357894">
    <w:abstractNumId w:val="66"/>
  </w:num>
  <w:num w:numId="154" w16cid:durableId="1644389826">
    <w:abstractNumId w:val="164"/>
  </w:num>
  <w:num w:numId="155" w16cid:durableId="1238325317">
    <w:abstractNumId w:val="105"/>
  </w:num>
  <w:num w:numId="156" w16cid:durableId="1101998175">
    <w:abstractNumId w:val="51"/>
  </w:num>
  <w:num w:numId="157" w16cid:durableId="1149707265">
    <w:abstractNumId w:val="89"/>
  </w:num>
  <w:num w:numId="158" w16cid:durableId="2067874935">
    <w:abstractNumId w:val="135"/>
  </w:num>
  <w:num w:numId="159" w16cid:durableId="631979556">
    <w:abstractNumId w:val="34"/>
  </w:num>
  <w:num w:numId="160" w16cid:durableId="602224510">
    <w:abstractNumId w:val="149"/>
  </w:num>
  <w:num w:numId="161" w16cid:durableId="907689901">
    <w:abstractNumId w:val="118"/>
  </w:num>
  <w:num w:numId="162" w16cid:durableId="1532840617">
    <w:abstractNumId w:val="37"/>
  </w:num>
  <w:num w:numId="163" w16cid:durableId="1162507853">
    <w:abstractNumId w:val="26"/>
  </w:num>
  <w:num w:numId="164" w16cid:durableId="835531936">
    <w:abstractNumId w:val="155"/>
  </w:num>
  <w:num w:numId="165" w16cid:durableId="140199907">
    <w:abstractNumId w:val="120"/>
  </w:num>
  <w:num w:numId="166" w16cid:durableId="765155263">
    <w:abstractNumId w:val="73"/>
  </w:num>
  <w:num w:numId="167" w16cid:durableId="48769192">
    <w:abstractNumId w:val="40"/>
  </w:num>
  <w:num w:numId="168" w16cid:durableId="1652977201">
    <w:abstractNumId w:val="106"/>
  </w:num>
  <w:num w:numId="169" w16cid:durableId="1611282002">
    <w:abstractNumId w:val="80"/>
  </w:num>
  <w:num w:numId="170" w16cid:durableId="214122266">
    <w:abstractNumId w:val="15"/>
  </w:num>
  <w:num w:numId="171" w16cid:durableId="106196159">
    <w:abstractNumId w:val="16"/>
  </w:num>
  <w:num w:numId="172" w16cid:durableId="727188463">
    <w:abstractNumId w:val="150"/>
  </w:num>
  <w:num w:numId="173" w16cid:durableId="1482577478">
    <w:abstractNumId w:val="58"/>
  </w:num>
  <w:num w:numId="174" w16cid:durableId="264458530">
    <w:abstractNumId w:val="63"/>
  </w:num>
  <w:num w:numId="175" w16cid:durableId="1335189547">
    <w:abstractNumId w:val="130"/>
  </w:num>
  <w:num w:numId="176" w16cid:durableId="25719807">
    <w:abstractNumId w:val="124"/>
  </w:num>
  <w:num w:numId="177" w16cid:durableId="279067848">
    <w:abstractNumId w:val="112"/>
  </w:num>
  <w:num w:numId="178" w16cid:durableId="1212620670">
    <w:abstractNumId w:val="43"/>
  </w:num>
  <w:num w:numId="179" w16cid:durableId="727146289">
    <w:abstractNumId w:val="29"/>
  </w:num>
  <w:num w:numId="180" w16cid:durableId="1197087122">
    <w:abstractNumId w:val="76"/>
  </w:num>
  <w:num w:numId="181" w16cid:durableId="914124571">
    <w:abstractNumId w:val="91"/>
  </w:num>
  <w:num w:numId="182" w16cid:durableId="623774025">
    <w:abstractNumId w:val="137"/>
  </w:num>
  <w:num w:numId="183" w16cid:durableId="1554200130">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hideSpellingErrors/>
  <w:activeWritingStyle w:appName="MSWord" w:lang="fr-F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ru-RU"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ru-RU" w:vendorID="64" w:dllVersion="4096" w:nlCheck="1" w:checkStyle="0"/>
  <w:activeWritingStyle w:appName="MSWord" w:lang="en-CA" w:vendorID="64" w:dllVersion="0" w:nlCheck="1" w:checkStyle="0"/>
  <w:activeWritingStyle w:appName="MSWord" w:lang="en-IN" w:vendorID="64" w:dllVersion="0" w:nlCheck="1" w:checkStyle="0"/>
  <w:activeWritingStyle w:appName="MSWord" w:lang="en-ID"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2"/>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0B"/>
    <w:rsid w:val="00000E90"/>
    <w:rsid w:val="00001DA0"/>
    <w:rsid w:val="000025DC"/>
    <w:rsid w:val="00002ACC"/>
    <w:rsid w:val="00002FB6"/>
    <w:rsid w:val="0000326B"/>
    <w:rsid w:val="00004708"/>
    <w:rsid w:val="00006CCA"/>
    <w:rsid w:val="00007489"/>
    <w:rsid w:val="000078A8"/>
    <w:rsid w:val="00010272"/>
    <w:rsid w:val="00010FD2"/>
    <w:rsid w:val="00012D45"/>
    <w:rsid w:val="00012F8C"/>
    <w:rsid w:val="00013977"/>
    <w:rsid w:val="00013CCB"/>
    <w:rsid w:val="00013E2C"/>
    <w:rsid w:val="00014E76"/>
    <w:rsid w:val="0001628C"/>
    <w:rsid w:val="000170C6"/>
    <w:rsid w:val="00020A88"/>
    <w:rsid w:val="00020AEE"/>
    <w:rsid w:val="00020B02"/>
    <w:rsid w:val="00020B4B"/>
    <w:rsid w:val="000218D0"/>
    <w:rsid w:val="000219F0"/>
    <w:rsid w:val="00021CB7"/>
    <w:rsid w:val="0002208D"/>
    <w:rsid w:val="00022E19"/>
    <w:rsid w:val="00023340"/>
    <w:rsid w:val="00023579"/>
    <w:rsid w:val="00023DF7"/>
    <w:rsid w:val="0002404D"/>
    <w:rsid w:val="0002423A"/>
    <w:rsid w:val="0002447C"/>
    <w:rsid w:val="0002474B"/>
    <w:rsid w:val="00024951"/>
    <w:rsid w:val="000254F8"/>
    <w:rsid w:val="00025C65"/>
    <w:rsid w:val="00025D58"/>
    <w:rsid w:val="00026C94"/>
    <w:rsid w:val="000277DD"/>
    <w:rsid w:val="00027B7C"/>
    <w:rsid w:val="00027D00"/>
    <w:rsid w:val="000304BB"/>
    <w:rsid w:val="000304C1"/>
    <w:rsid w:val="00030595"/>
    <w:rsid w:val="00030861"/>
    <w:rsid w:val="00030E8B"/>
    <w:rsid w:val="00031012"/>
    <w:rsid w:val="000319DB"/>
    <w:rsid w:val="000330BD"/>
    <w:rsid w:val="000347AA"/>
    <w:rsid w:val="00034840"/>
    <w:rsid w:val="00034D90"/>
    <w:rsid w:val="00035151"/>
    <w:rsid w:val="00035A91"/>
    <w:rsid w:val="00035E86"/>
    <w:rsid w:val="0003626E"/>
    <w:rsid w:val="0003674F"/>
    <w:rsid w:val="000367E3"/>
    <w:rsid w:val="00036B71"/>
    <w:rsid w:val="00037354"/>
    <w:rsid w:val="0004008B"/>
    <w:rsid w:val="000408E2"/>
    <w:rsid w:val="00040C36"/>
    <w:rsid w:val="000411E5"/>
    <w:rsid w:val="00041293"/>
    <w:rsid w:val="00042349"/>
    <w:rsid w:val="000424FF"/>
    <w:rsid w:val="00043512"/>
    <w:rsid w:val="00043C88"/>
    <w:rsid w:val="000440BB"/>
    <w:rsid w:val="000445D8"/>
    <w:rsid w:val="00044E64"/>
    <w:rsid w:val="000452FD"/>
    <w:rsid w:val="0004566A"/>
    <w:rsid w:val="00046447"/>
    <w:rsid w:val="00046571"/>
    <w:rsid w:val="000467E8"/>
    <w:rsid w:val="000507DF"/>
    <w:rsid w:val="000509FF"/>
    <w:rsid w:val="00050B71"/>
    <w:rsid w:val="00051B47"/>
    <w:rsid w:val="00051F1E"/>
    <w:rsid w:val="0005275E"/>
    <w:rsid w:val="0005286C"/>
    <w:rsid w:val="000530A3"/>
    <w:rsid w:val="0005337D"/>
    <w:rsid w:val="000536EA"/>
    <w:rsid w:val="00053809"/>
    <w:rsid w:val="00053FD7"/>
    <w:rsid w:val="000547C9"/>
    <w:rsid w:val="00054CBD"/>
    <w:rsid w:val="00054E29"/>
    <w:rsid w:val="000565DD"/>
    <w:rsid w:val="0005713E"/>
    <w:rsid w:val="000576E4"/>
    <w:rsid w:val="000577D8"/>
    <w:rsid w:val="0006040F"/>
    <w:rsid w:val="00061098"/>
    <w:rsid w:val="00061239"/>
    <w:rsid w:val="00061DF2"/>
    <w:rsid w:val="0006227A"/>
    <w:rsid w:val="0006245D"/>
    <w:rsid w:val="000628AF"/>
    <w:rsid w:val="00062C96"/>
    <w:rsid w:val="00064492"/>
    <w:rsid w:val="0006453F"/>
    <w:rsid w:val="0006480C"/>
    <w:rsid w:val="00065177"/>
    <w:rsid w:val="0006539E"/>
    <w:rsid w:val="00065851"/>
    <w:rsid w:val="0006586E"/>
    <w:rsid w:val="0006593B"/>
    <w:rsid w:val="00066A2C"/>
    <w:rsid w:val="00067277"/>
    <w:rsid w:val="00071277"/>
    <w:rsid w:val="000713A4"/>
    <w:rsid w:val="00071C10"/>
    <w:rsid w:val="00072DDD"/>
    <w:rsid w:val="000734F6"/>
    <w:rsid w:val="00073FB6"/>
    <w:rsid w:val="00075660"/>
    <w:rsid w:val="0007585A"/>
    <w:rsid w:val="00076036"/>
    <w:rsid w:val="000765D6"/>
    <w:rsid w:val="0007692C"/>
    <w:rsid w:val="000776E2"/>
    <w:rsid w:val="00077F53"/>
    <w:rsid w:val="00080484"/>
    <w:rsid w:val="00080B2E"/>
    <w:rsid w:val="00081BA4"/>
    <w:rsid w:val="00081F29"/>
    <w:rsid w:val="00082B9E"/>
    <w:rsid w:val="00082C6D"/>
    <w:rsid w:val="00082DE8"/>
    <w:rsid w:val="00084587"/>
    <w:rsid w:val="00084874"/>
    <w:rsid w:val="0009054C"/>
    <w:rsid w:val="00090782"/>
    <w:rsid w:val="00090994"/>
    <w:rsid w:val="000918FC"/>
    <w:rsid w:val="00091ED6"/>
    <w:rsid w:val="000925CD"/>
    <w:rsid w:val="00092AE0"/>
    <w:rsid w:val="00093429"/>
    <w:rsid w:val="00093F2F"/>
    <w:rsid w:val="00093FB8"/>
    <w:rsid w:val="000948C2"/>
    <w:rsid w:val="00094B6D"/>
    <w:rsid w:val="0009639D"/>
    <w:rsid w:val="00096EDD"/>
    <w:rsid w:val="0009748B"/>
    <w:rsid w:val="000977FE"/>
    <w:rsid w:val="00097B74"/>
    <w:rsid w:val="00097E5D"/>
    <w:rsid w:val="000A03A5"/>
    <w:rsid w:val="000A148E"/>
    <w:rsid w:val="000A1631"/>
    <w:rsid w:val="000A186D"/>
    <w:rsid w:val="000A1F23"/>
    <w:rsid w:val="000A21E1"/>
    <w:rsid w:val="000A2B59"/>
    <w:rsid w:val="000A3920"/>
    <w:rsid w:val="000A3E87"/>
    <w:rsid w:val="000A44C3"/>
    <w:rsid w:val="000A53F0"/>
    <w:rsid w:val="000A54AF"/>
    <w:rsid w:val="000A6FDF"/>
    <w:rsid w:val="000A73BD"/>
    <w:rsid w:val="000A74F1"/>
    <w:rsid w:val="000A7C5A"/>
    <w:rsid w:val="000A7F90"/>
    <w:rsid w:val="000B0528"/>
    <w:rsid w:val="000B0D37"/>
    <w:rsid w:val="000B27C5"/>
    <w:rsid w:val="000B300F"/>
    <w:rsid w:val="000B3312"/>
    <w:rsid w:val="000B3403"/>
    <w:rsid w:val="000B42E3"/>
    <w:rsid w:val="000B44BA"/>
    <w:rsid w:val="000B4A57"/>
    <w:rsid w:val="000B4CF4"/>
    <w:rsid w:val="000B4D8B"/>
    <w:rsid w:val="000B5497"/>
    <w:rsid w:val="000B5778"/>
    <w:rsid w:val="000B6585"/>
    <w:rsid w:val="000B6753"/>
    <w:rsid w:val="000B6FA1"/>
    <w:rsid w:val="000B721D"/>
    <w:rsid w:val="000B72D3"/>
    <w:rsid w:val="000B7D64"/>
    <w:rsid w:val="000B7F2B"/>
    <w:rsid w:val="000B7F83"/>
    <w:rsid w:val="000C052A"/>
    <w:rsid w:val="000C0752"/>
    <w:rsid w:val="000C0A08"/>
    <w:rsid w:val="000C0D77"/>
    <w:rsid w:val="000C22F5"/>
    <w:rsid w:val="000C245F"/>
    <w:rsid w:val="000C32CD"/>
    <w:rsid w:val="000C3CD8"/>
    <w:rsid w:val="000C430B"/>
    <w:rsid w:val="000C4642"/>
    <w:rsid w:val="000C4845"/>
    <w:rsid w:val="000C51D2"/>
    <w:rsid w:val="000C564E"/>
    <w:rsid w:val="000C5C36"/>
    <w:rsid w:val="000C5F75"/>
    <w:rsid w:val="000C63DA"/>
    <w:rsid w:val="000C7566"/>
    <w:rsid w:val="000D0280"/>
    <w:rsid w:val="000D0DDE"/>
    <w:rsid w:val="000D0E47"/>
    <w:rsid w:val="000D103F"/>
    <w:rsid w:val="000D1067"/>
    <w:rsid w:val="000D2787"/>
    <w:rsid w:val="000D283B"/>
    <w:rsid w:val="000D2DF2"/>
    <w:rsid w:val="000D3945"/>
    <w:rsid w:val="000D3BD5"/>
    <w:rsid w:val="000D3EAF"/>
    <w:rsid w:val="000D4737"/>
    <w:rsid w:val="000D52C5"/>
    <w:rsid w:val="000D5435"/>
    <w:rsid w:val="000D5469"/>
    <w:rsid w:val="000D57D2"/>
    <w:rsid w:val="000D5851"/>
    <w:rsid w:val="000D5DFB"/>
    <w:rsid w:val="000D61B6"/>
    <w:rsid w:val="000D6CE6"/>
    <w:rsid w:val="000D6EF8"/>
    <w:rsid w:val="000E01D7"/>
    <w:rsid w:val="000E0EF3"/>
    <w:rsid w:val="000E20BB"/>
    <w:rsid w:val="000E2ADB"/>
    <w:rsid w:val="000E2D6A"/>
    <w:rsid w:val="000E4D1E"/>
    <w:rsid w:val="000E5232"/>
    <w:rsid w:val="000E5294"/>
    <w:rsid w:val="000E52A4"/>
    <w:rsid w:val="000E549B"/>
    <w:rsid w:val="000E59C8"/>
    <w:rsid w:val="000E5D67"/>
    <w:rsid w:val="000E78BF"/>
    <w:rsid w:val="000E7DFF"/>
    <w:rsid w:val="000F0021"/>
    <w:rsid w:val="000F0BD2"/>
    <w:rsid w:val="000F28C0"/>
    <w:rsid w:val="000F2E16"/>
    <w:rsid w:val="000F357B"/>
    <w:rsid w:val="000F3904"/>
    <w:rsid w:val="000F3DBC"/>
    <w:rsid w:val="000F4704"/>
    <w:rsid w:val="000F48B0"/>
    <w:rsid w:val="000F49DB"/>
    <w:rsid w:val="000F52C0"/>
    <w:rsid w:val="000F5C88"/>
    <w:rsid w:val="000F64CF"/>
    <w:rsid w:val="000F6569"/>
    <w:rsid w:val="000F6C22"/>
    <w:rsid w:val="000F72A5"/>
    <w:rsid w:val="000F7701"/>
    <w:rsid w:val="00102B25"/>
    <w:rsid w:val="00103503"/>
    <w:rsid w:val="00103954"/>
    <w:rsid w:val="00103E43"/>
    <w:rsid w:val="001047FB"/>
    <w:rsid w:val="00105F69"/>
    <w:rsid w:val="00106586"/>
    <w:rsid w:val="00106A86"/>
    <w:rsid w:val="0010766B"/>
    <w:rsid w:val="00107816"/>
    <w:rsid w:val="00107D36"/>
    <w:rsid w:val="00110266"/>
    <w:rsid w:val="001102BC"/>
    <w:rsid w:val="0011264A"/>
    <w:rsid w:val="0011270A"/>
    <w:rsid w:val="00113872"/>
    <w:rsid w:val="0011392E"/>
    <w:rsid w:val="00113F11"/>
    <w:rsid w:val="00114194"/>
    <w:rsid w:val="00114F6B"/>
    <w:rsid w:val="00115181"/>
    <w:rsid w:val="0011561B"/>
    <w:rsid w:val="001160C8"/>
    <w:rsid w:val="00116668"/>
    <w:rsid w:val="0011696B"/>
    <w:rsid w:val="00116A39"/>
    <w:rsid w:val="00116C8B"/>
    <w:rsid w:val="00116E5F"/>
    <w:rsid w:val="001175C8"/>
    <w:rsid w:val="00117B23"/>
    <w:rsid w:val="00117B66"/>
    <w:rsid w:val="00120010"/>
    <w:rsid w:val="001202D8"/>
    <w:rsid w:val="00120411"/>
    <w:rsid w:val="00120B45"/>
    <w:rsid w:val="0012125F"/>
    <w:rsid w:val="00121A20"/>
    <w:rsid w:val="00123471"/>
    <w:rsid w:val="001240EE"/>
    <w:rsid w:val="00124776"/>
    <w:rsid w:val="0012586D"/>
    <w:rsid w:val="00125C76"/>
    <w:rsid w:val="00126915"/>
    <w:rsid w:val="001269D8"/>
    <w:rsid w:val="00126E16"/>
    <w:rsid w:val="00127AC7"/>
    <w:rsid w:val="00130718"/>
    <w:rsid w:val="001307F4"/>
    <w:rsid w:val="00130868"/>
    <w:rsid w:val="00130ADB"/>
    <w:rsid w:val="00130DD5"/>
    <w:rsid w:val="00130FB6"/>
    <w:rsid w:val="0013162E"/>
    <w:rsid w:val="0013199F"/>
    <w:rsid w:val="0013272B"/>
    <w:rsid w:val="001327A8"/>
    <w:rsid w:val="00132C68"/>
    <w:rsid w:val="00133117"/>
    <w:rsid w:val="00133379"/>
    <w:rsid w:val="001338C4"/>
    <w:rsid w:val="00133B06"/>
    <w:rsid w:val="00134374"/>
    <w:rsid w:val="00134509"/>
    <w:rsid w:val="00134C90"/>
    <w:rsid w:val="00135B43"/>
    <w:rsid w:val="001366A5"/>
    <w:rsid w:val="001370C2"/>
    <w:rsid w:val="0013766D"/>
    <w:rsid w:val="00137C53"/>
    <w:rsid w:val="0014017B"/>
    <w:rsid w:val="00140A3F"/>
    <w:rsid w:val="00140B82"/>
    <w:rsid w:val="00141451"/>
    <w:rsid w:val="0014164D"/>
    <w:rsid w:val="00141FC3"/>
    <w:rsid w:val="00142256"/>
    <w:rsid w:val="001437C1"/>
    <w:rsid w:val="001437EA"/>
    <w:rsid w:val="00143C70"/>
    <w:rsid w:val="00143EDD"/>
    <w:rsid w:val="0014428C"/>
    <w:rsid w:val="00144A45"/>
    <w:rsid w:val="00145715"/>
    <w:rsid w:val="001465C4"/>
    <w:rsid w:val="001478E4"/>
    <w:rsid w:val="00147C98"/>
    <w:rsid w:val="00147DDF"/>
    <w:rsid w:val="00147E00"/>
    <w:rsid w:val="00150912"/>
    <w:rsid w:val="00151C6C"/>
    <w:rsid w:val="00151FB4"/>
    <w:rsid w:val="00152652"/>
    <w:rsid w:val="00152BD7"/>
    <w:rsid w:val="00153142"/>
    <w:rsid w:val="00153D37"/>
    <w:rsid w:val="00153EC4"/>
    <w:rsid w:val="001548E4"/>
    <w:rsid w:val="00154952"/>
    <w:rsid w:val="00155954"/>
    <w:rsid w:val="00156137"/>
    <w:rsid w:val="00156167"/>
    <w:rsid w:val="00156869"/>
    <w:rsid w:val="001570B2"/>
    <w:rsid w:val="00157620"/>
    <w:rsid w:val="00157964"/>
    <w:rsid w:val="00157A32"/>
    <w:rsid w:val="00157C7E"/>
    <w:rsid w:val="00157F17"/>
    <w:rsid w:val="0016039C"/>
    <w:rsid w:val="00160413"/>
    <w:rsid w:val="00161849"/>
    <w:rsid w:val="00161FF4"/>
    <w:rsid w:val="001623E7"/>
    <w:rsid w:val="0016254C"/>
    <w:rsid w:val="00162606"/>
    <w:rsid w:val="001637CA"/>
    <w:rsid w:val="00163821"/>
    <w:rsid w:val="00163A77"/>
    <w:rsid w:val="001640ED"/>
    <w:rsid w:val="00164B6E"/>
    <w:rsid w:val="00164D63"/>
    <w:rsid w:val="00164E4A"/>
    <w:rsid w:val="00164EE6"/>
    <w:rsid w:val="00165738"/>
    <w:rsid w:val="00165C3B"/>
    <w:rsid w:val="00165DAE"/>
    <w:rsid w:val="00165E11"/>
    <w:rsid w:val="0016620F"/>
    <w:rsid w:val="00166294"/>
    <w:rsid w:val="001668C8"/>
    <w:rsid w:val="00167288"/>
    <w:rsid w:val="0016747C"/>
    <w:rsid w:val="001674AD"/>
    <w:rsid w:val="0016765E"/>
    <w:rsid w:val="001703F5"/>
    <w:rsid w:val="0017050C"/>
    <w:rsid w:val="00170592"/>
    <w:rsid w:val="00170B74"/>
    <w:rsid w:val="0017186D"/>
    <w:rsid w:val="001726C1"/>
    <w:rsid w:val="00172A27"/>
    <w:rsid w:val="00172C9D"/>
    <w:rsid w:val="00172FE0"/>
    <w:rsid w:val="0017384A"/>
    <w:rsid w:val="00173992"/>
    <w:rsid w:val="001742B0"/>
    <w:rsid w:val="00174B00"/>
    <w:rsid w:val="001750F2"/>
    <w:rsid w:val="001762D3"/>
    <w:rsid w:val="001764C9"/>
    <w:rsid w:val="001775B5"/>
    <w:rsid w:val="00180676"/>
    <w:rsid w:val="00180C58"/>
    <w:rsid w:val="00180E55"/>
    <w:rsid w:val="00181D48"/>
    <w:rsid w:val="00181E50"/>
    <w:rsid w:val="00182E7B"/>
    <w:rsid w:val="0018321D"/>
    <w:rsid w:val="001833C8"/>
    <w:rsid w:val="00183998"/>
    <w:rsid w:val="00183AB8"/>
    <w:rsid w:val="00184A13"/>
    <w:rsid w:val="001861BE"/>
    <w:rsid w:val="00187474"/>
    <w:rsid w:val="00187AAB"/>
    <w:rsid w:val="00187B27"/>
    <w:rsid w:val="00187D4B"/>
    <w:rsid w:val="00187EA9"/>
    <w:rsid w:val="00190608"/>
    <w:rsid w:val="001909B0"/>
    <w:rsid w:val="00190D0E"/>
    <w:rsid w:val="00191E18"/>
    <w:rsid w:val="0019229D"/>
    <w:rsid w:val="001923D1"/>
    <w:rsid w:val="0019265D"/>
    <w:rsid w:val="001933B5"/>
    <w:rsid w:val="00194C87"/>
    <w:rsid w:val="00195358"/>
    <w:rsid w:val="001956EF"/>
    <w:rsid w:val="00195F8F"/>
    <w:rsid w:val="00196442"/>
    <w:rsid w:val="001972A2"/>
    <w:rsid w:val="001974E4"/>
    <w:rsid w:val="001977C9"/>
    <w:rsid w:val="00197ACB"/>
    <w:rsid w:val="001A0360"/>
    <w:rsid w:val="001A06DA"/>
    <w:rsid w:val="001A0CAB"/>
    <w:rsid w:val="001A1629"/>
    <w:rsid w:val="001A1C6B"/>
    <w:rsid w:val="001A1E46"/>
    <w:rsid w:val="001A2681"/>
    <w:rsid w:val="001A2720"/>
    <w:rsid w:val="001A321A"/>
    <w:rsid w:val="001A3360"/>
    <w:rsid w:val="001A34E6"/>
    <w:rsid w:val="001A3A54"/>
    <w:rsid w:val="001A4D8C"/>
    <w:rsid w:val="001A4E83"/>
    <w:rsid w:val="001A5512"/>
    <w:rsid w:val="001A5651"/>
    <w:rsid w:val="001A596C"/>
    <w:rsid w:val="001A612F"/>
    <w:rsid w:val="001A6535"/>
    <w:rsid w:val="001A7634"/>
    <w:rsid w:val="001A7CE7"/>
    <w:rsid w:val="001A7D3C"/>
    <w:rsid w:val="001B1445"/>
    <w:rsid w:val="001B17B0"/>
    <w:rsid w:val="001B18FA"/>
    <w:rsid w:val="001B1F64"/>
    <w:rsid w:val="001B2290"/>
    <w:rsid w:val="001B246E"/>
    <w:rsid w:val="001B2D3B"/>
    <w:rsid w:val="001B32A7"/>
    <w:rsid w:val="001B3A04"/>
    <w:rsid w:val="001B3F9E"/>
    <w:rsid w:val="001B4154"/>
    <w:rsid w:val="001B43E4"/>
    <w:rsid w:val="001B46A7"/>
    <w:rsid w:val="001B4706"/>
    <w:rsid w:val="001B4B24"/>
    <w:rsid w:val="001B4B7C"/>
    <w:rsid w:val="001B4BFD"/>
    <w:rsid w:val="001B5589"/>
    <w:rsid w:val="001B575C"/>
    <w:rsid w:val="001B5E75"/>
    <w:rsid w:val="001B698A"/>
    <w:rsid w:val="001B6A15"/>
    <w:rsid w:val="001B6DA5"/>
    <w:rsid w:val="001B704A"/>
    <w:rsid w:val="001C0F3F"/>
    <w:rsid w:val="001C1246"/>
    <w:rsid w:val="001C288D"/>
    <w:rsid w:val="001C3863"/>
    <w:rsid w:val="001C46AD"/>
    <w:rsid w:val="001C4A5A"/>
    <w:rsid w:val="001C5677"/>
    <w:rsid w:val="001C5E10"/>
    <w:rsid w:val="001C619F"/>
    <w:rsid w:val="001C67AB"/>
    <w:rsid w:val="001C718C"/>
    <w:rsid w:val="001C7442"/>
    <w:rsid w:val="001D0677"/>
    <w:rsid w:val="001D0B32"/>
    <w:rsid w:val="001D1760"/>
    <w:rsid w:val="001D19DF"/>
    <w:rsid w:val="001D1F65"/>
    <w:rsid w:val="001D2AD6"/>
    <w:rsid w:val="001D2DB2"/>
    <w:rsid w:val="001D359D"/>
    <w:rsid w:val="001D4553"/>
    <w:rsid w:val="001D58F3"/>
    <w:rsid w:val="001D749B"/>
    <w:rsid w:val="001D7C35"/>
    <w:rsid w:val="001D7FA0"/>
    <w:rsid w:val="001E05FB"/>
    <w:rsid w:val="001E060D"/>
    <w:rsid w:val="001E07A6"/>
    <w:rsid w:val="001E0BC1"/>
    <w:rsid w:val="001E11E2"/>
    <w:rsid w:val="001E19DB"/>
    <w:rsid w:val="001E1B84"/>
    <w:rsid w:val="001E1D44"/>
    <w:rsid w:val="001E2E20"/>
    <w:rsid w:val="001E30F1"/>
    <w:rsid w:val="001E4A8C"/>
    <w:rsid w:val="001E4A9D"/>
    <w:rsid w:val="001E6EE8"/>
    <w:rsid w:val="001E6FBE"/>
    <w:rsid w:val="001F0AD1"/>
    <w:rsid w:val="001F1223"/>
    <w:rsid w:val="001F14C8"/>
    <w:rsid w:val="001F1785"/>
    <w:rsid w:val="001F1791"/>
    <w:rsid w:val="001F253E"/>
    <w:rsid w:val="001F2642"/>
    <w:rsid w:val="001F2ABB"/>
    <w:rsid w:val="001F38FF"/>
    <w:rsid w:val="001F51D1"/>
    <w:rsid w:val="001F5FF3"/>
    <w:rsid w:val="001F6781"/>
    <w:rsid w:val="001F6D45"/>
    <w:rsid w:val="00200302"/>
    <w:rsid w:val="0020111A"/>
    <w:rsid w:val="0020199B"/>
    <w:rsid w:val="002026B8"/>
    <w:rsid w:val="0020298D"/>
    <w:rsid w:val="00202F0D"/>
    <w:rsid w:val="0020319A"/>
    <w:rsid w:val="0020332A"/>
    <w:rsid w:val="00203E70"/>
    <w:rsid w:val="00205425"/>
    <w:rsid w:val="002054C4"/>
    <w:rsid w:val="00205599"/>
    <w:rsid w:val="0020588B"/>
    <w:rsid w:val="00207610"/>
    <w:rsid w:val="0020772B"/>
    <w:rsid w:val="00207754"/>
    <w:rsid w:val="002105AC"/>
    <w:rsid w:val="00211034"/>
    <w:rsid w:val="00211517"/>
    <w:rsid w:val="00211A52"/>
    <w:rsid w:val="002122C5"/>
    <w:rsid w:val="0021253B"/>
    <w:rsid w:val="0021382C"/>
    <w:rsid w:val="00213BBB"/>
    <w:rsid w:val="00213FA1"/>
    <w:rsid w:val="00215293"/>
    <w:rsid w:val="002155DC"/>
    <w:rsid w:val="00215D01"/>
    <w:rsid w:val="00216F48"/>
    <w:rsid w:val="002171B2"/>
    <w:rsid w:val="002176D4"/>
    <w:rsid w:val="00220985"/>
    <w:rsid w:val="00220D69"/>
    <w:rsid w:val="00220FA5"/>
    <w:rsid w:val="00221E13"/>
    <w:rsid w:val="00222291"/>
    <w:rsid w:val="00222D58"/>
    <w:rsid w:val="00223889"/>
    <w:rsid w:val="00224895"/>
    <w:rsid w:val="0022554D"/>
    <w:rsid w:val="00225DE1"/>
    <w:rsid w:val="0022637C"/>
    <w:rsid w:val="002263AB"/>
    <w:rsid w:val="00226445"/>
    <w:rsid w:val="0022743E"/>
    <w:rsid w:val="00227FCC"/>
    <w:rsid w:val="0023142C"/>
    <w:rsid w:val="00231A51"/>
    <w:rsid w:val="00231F92"/>
    <w:rsid w:val="00232346"/>
    <w:rsid w:val="002327B9"/>
    <w:rsid w:val="0023314C"/>
    <w:rsid w:val="002335E9"/>
    <w:rsid w:val="0023421E"/>
    <w:rsid w:val="0023429D"/>
    <w:rsid w:val="00235036"/>
    <w:rsid w:val="0023530E"/>
    <w:rsid w:val="0023587D"/>
    <w:rsid w:val="00235ABE"/>
    <w:rsid w:val="00236FDC"/>
    <w:rsid w:val="00237B98"/>
    <w:rsid w:val="00241CD6"/>
    <w:rsid w:val="00242D50"/>
    <w:rsid w:val="00242D7A"/>
    <w:rsid w:val="00242F70"/>
    <w:rsid w:val="002439FA"/>
    <w:rsid w:val="00243AFC"/>
    <w:rsid w:val="00244BF7"/>
    <w:rsid w:val="0024510F"/>
    <w:rsid w:val="0024590C"/>
    <w:rsid w:val="00245D42"/>
    <w:rsid w:val="00246BE8"/>
    <w:rsid w:val="00246C7E"/>
    <w:rsid w:val="002471CC"/>
    <w:rsid w:val="00247CD3"/>
    <w:rsid w:val="002504F3"/>
    <w:rsid w:val="00250798"/>
    <w:rsid w:val="0025087F"/>
    <w:rsid w:val="0025105E"/>
    <w:rsid w:val="0025234E"/>
    <w:rsid w:val="002524EB"/>
    <w:rsid w:val="00252508"/>
    <w:rsid w:val="002526D8"/>
    <w:rsid w:val="00253164"/>
    <w:rsid w:val="00254086"/>
    <w:rsid w:val="0025425B"/>
    <w:rsid w:val="00254629"/>
    <w:rsid w:val="002546A3"/>
    <w:rsid w:val="0025476E"/>
    <w:rsid w:val="00254821"/>
    <w:rsid w:val="00254CF0"/>
    <w:rsid w:val="00254DB5"/>
    <w:rsid w:val="0025561D"/>
    <w:rsid w:val="00255782"/>
    <w:rsid w:val="00255F42"/>
    <w:rsid w:val="002564A9"/>
    <w:rsid w:val="0025726F"/>
    <w:rsid w:val="0025778E"/>
    <w:rsid w:val="0025783A"/>
    <w:rsid w:val="002578B3"/>
    <w:rsid w:val="002579BA"/>
    <w:rsid w:val="00257A2E"/>
    <w:rsid w:val="0026033E"/>
    <w:rsid w:val="002603A9"/>
    <w:rsid w:val="00260B68"/>
    <w:rsid w:val="00261927"/>
    <w:rsid w:val="00261C5B"/>
    <w:rsid w:val="002628DA"/>
    <w:rsid w:val="00262B1E"/>
    <w:rsid w:val="00263180"/>
    <w:rsid w:val="0026394A"/>
    <w:rsid w:val="00263B68"/>
    <w:rsid w:val="00264942"/>
    <w:rsid w:val="00264F83"/>
    <w:rsid w:val="00266062"/>
    <w:rsid w:val="002665E6"/>
    <w:rsid w:val="00266AA0"/>
    <w:rsid w:val="00267923"/>
    <w:rsid w:val="00267F62"/>
    <w:rsid w:val="00270B5F"/>
    <w:rsid w:val="00270D52"/>
    <w:rsid w:val="00271F47"/>
    <w:rsid w:val="0027277D"/>
    <w:rsid w:val="002728A9"/>
    <w:rsid w:val="00272FEB"/>
    <w:rsid w:val="00273225"/>
    <w:rsid w:val="00274B82"/>
    <w:rsid w:val="0027589A"/>
    <w:rsid w:val="00275EC3"/>
    <w:rsid w:val="00275FED"/>
    <w:rsid w:val="00276799"/>
    <w:rsid w:val="00276A8C"/>
    <w:rsid w:val="0027760D"/>
    <w:rsid w:val="0028009A"/>
    <w:rsid w:val="0028018E"/>
    <w:rsid w:val="002818C1"/>
    <w:rsid w:val="00281EF3"/>
    <w:rsid w:val="002823FE"/>
    <w:rsid w:val="00282FA1"/>
    <w:rsid w:val="00283460"/>
    <w:rsid w:val="00283D93"/>
    <w:rsid w:val="00284253"/>
    <w:rsid w:val="00284802"/>
    <w:rsid w:val="00284903"/>
    <w:rsid w:val="00284A72"/>
    <w:rsid w:val="002851EB"/>
    <w:rsid w:val="002859B6"/>
    <w:rsid w:val="0028608F"/>
    <w:rsid w:val="002865A3"/>
    <w:rsid w:val="00286D1E"/>
    <w:rsid w:val="00290074"/>
    <w:rsid w:val="002907F8"/>
    <w:rsid w:val="0029098A"/>
    <w:rsid w:val="00290A38"/>
    <w:rsid w:val="00291D65"/>
    <w:rsid w:val="00292E51"/>
    <w:rsid w:val="00292FD9"/>
    <w:rsid w:val="002942E2"/>
    <w:rsid w:val="00294BFF"/>
    <w:rsid w:val="00294FC7"/>
    <w:rsid w:val="0029524A"/>
    <w:rsid w:val="00296859"/>
    <w:rsid w:val="002968E5"/>
    <w:rsid w:val="00296D0E"/>
    <w:rsid w:val="00297D1C"/>
    <w:rsid w:val="00297FDC"/>
    <w:rsid w:val="002A05DD"/>
    <w:rsid w:val="002A0660"/>
    <w:rsid w:val="002A1091"/>
    <w:rsid w:val="002A11CF"/>
    <w:rsid w:val="002A1498"/>
    <w:rsid w:val="002A16A1"/>
    <w:rsid w:val="002A1934"/>
    <w:rsid w:val="002A19B8"/>
    <w:rsid w:val="002A1B9D"/>
    <w:rsid w:val="002A20F2"/>
    <w:rsid w:val="002A2397"/>
    <w:rsid w:val="002A2571"/>
    <w:rsid w:val="002A25D8"/>
    <w:rsid w:val="002A2CD0"/>
    <w:rsid w:val="002A35AD"/>
    <w:rsid w:val="002A5026"/>
    <w:rsid w:val="002A53D7"/>
    <w:rsid w:val="002A5DD1"/>
    <w:rsid w:val="002A5DF7"/>
    <w:rsid w:val="002A5E02"/>
    <w:rsid w:val="002A7813"/>
    <w:rsid w:val="002A7E0F"/>
    <w:rsid w:val="002A7EFF"/>
    <w:rsid w:val="002B006B"/>
    <w:rsid w:val="002B010B"/>
    <w:rsid w:val="002B0680"/>
    <w:rsid w:val="002B1924"/>
    <w:rsid w:val="002B1CEE"/>
    <w:rsid w:val="002B1EF9"/>
    <w:rsid w:val="002B2A65"/>
    <w:rsid w:val="002B34EE"/>
    <w:rsid w:val="002B3845"/>
    <w:rsid w:val="002B3C95"/>
    <w:rsid w:val="002B3EBE"/>
    <w:rsid w:val="002B4765"/>
    <w:rsid w:val="002B54C3"/>
    <w:rsid w:val="002B59F1"/>
    <w:rsid w:val="002B6098"/>
    <w:rsid w:val="002B6ED7"/>
    <w:rsid w:val="002B73CF"/>
    <w:rsid w:val="002B78B8"/>
    <w:rsid w:val="002B7C3F"/>
    <w:rsid w:val="002C08F7"/>
    <w:rsid w:val="002C173D"/>
    <w:rsid w:val="002C195D"/>
    <w:rsid w:val="002C2862"/>
    <w:rsid w:val="002C378F"/>
    <w:rsid w:val="002C3CB9"/>
    <w:rsid w:val="002C3D81"/>
    <w:rsid w:val="002C3EDB"/>
    <w:rsid w:val="002C4478"/>
    <w:rsid w:val="002C4DB7"/>
    <w:rsid w:val="002C51DC"/>
    <w:rsid w:val="002C559F"/>
    <w:rsid w:val="002D0782"/>
    <w:rsid w:val="002D2252"/>
    <w:rsid w:val="002D2358"/>
    <w:rsid w:val="002D29EB"/>
    <w:rsid w:val="002D2A8F"/>
    <w:rsid w:val="002D2AFE"/>
    <w:rsid w:val="002D307A"/>
    <w:rsid w:val="002D32AB"/>
    <w:rsid w:val="002D3F0C"/>
    <w:rsid w:val="002D41DF"/>
    <w:rsid w:val="002D44C7"/>
    <w:rsid w:val="002D45B1"/>
    <w:rsid w:val="002D4E3E"/>
    <w:rsid w:val="002D50FA"/>
    <w:rsid w:val="002D5A6A"/>
    <w:rsid w:val="002D6213"/>
    <w:rsid w:val="002D67E4"/>
    <w:rsid w:val="002D694C"/>
    <w:rsid w:val="002D7821"/>
    <w:rsid w:val="002E0775"/>
    <w:rsid w:val="002E0897"/>
    <w:rsid w:val="002E0AC0"/>
    <w:rsid w:val="002E0D9F"/>
    <w:rsid w:val="002E193D"/>
    <w:rsid w:val="002E1E05"/>
    <w:rsid w:val="002E2061"/>
    <w:rsid w:val="002E3829"/>
    <w:rsid w:val="002E3DCD"/>
    <w:rsid w:val="002E4B80"/>
    <w:rsid w:val="002E54FD"/>
    <w:rsid w:val="002E6474"/>
    <w:rsid w:val="002E6E82"/>
    <w:rsid w:val="002E79D4"/>
    <w:rsid w:val="002E7E76"/>
    <w:rsid w:val="002F096B"/>
    <w:rsid w:val="002F0C9A"/>
    <w:rsid w:val="002F20B5"/>
    <w:rsid w:val="002F2182"/>
    <w:rsid w:val="002F23BC"/>
    <w:rsid w:val="002F253E"/>
    <w:rsid w:val="002F29F5"/>
    <w:rsid w:val="002F328C"/>
    <w:rsid w:val="002F3588"/>
    <w:rsid w:val="002F3AA1"/>
    <w:rsid w:val="002F4C60"/>
    <w:rsid w:val="002F4DD9"/>
    <w:rsid w:val="002F568F"/>
    <w:rsid w:val="002F64DA"/>
    <w:rsid w:val="002F6670"/>
    <w:rsid w:val="002F688B"/>
    <w:rsid w:val="002F6CBE"/>
    <w:rsid w:val="002F77C7"/>
    <w:rsid w:val="002F7E7E"/>
    <w:rsid w:val="00300126"/>
    <w:rsid w:val="00300399"/>
    <w:rsid w:val="003023BD"/>
    <w:rsid w:val="0030286C"/>
    <w:rsid w:val="0030326D"/>
    <w:rsid w:val="003034C7"/>
    <w:rsid w:val="00303BA9"/>
    <w:rsid w:val="00304638"/>
    <w:rsid w:val="0030474C"/>
    <w:rsid w:val="00306A26"/>
    <w:rsid w:val="00306EAB"/>
    <w:rsid w:val="00310042"/>
    <w:rsid w:val="00310687"/>
    <w:rsid w:val="00310A8E"/>
    <w:rsid w:val="00310AAA"/>
    <w:rsid w:val="0031115B"/>
    <w:rsid w:val="003112C3"/>
    <w:rsid w:val="0031152F"/>
    <w:rsid w:val="00311B52"/>
    <w:rsid w:val="00311B73"/>
    <w:rsid w:val="00311DB5"/>
    <w:rsid w:val="00311DFE"/>
    <w:rsid w:val="00312463"/>
    <w:rsid w:val="003124D6"/>
    <w:rsid w:val="0031253A"/>
    <w:rsid w:val="00312FC7"/>
    <w:rsid w:val="0031307A"/>
    <w:rsid w:val="00313AC1"/>
    <w:rsid w:val="00315676"/>
    <w:rsid w:val="00315867"/>
    <w:rsid w:val="00315A87"/>
    <w:rsid w:val="00315B17"/>
    <w:rsid w:val="00315F2B"/>
    <w:rsid w:val="003160A8"/>
    <w:rsid w:val="003162D8"/>
    <w:rsid w:val="00316322"/>
    <w:rsid w:val="00316981"/>
    <w:rsid w:val="003169F9"/>
    <w:rsid w:val="0031766F"/>
    <w:rsid w:val="003179E2"/>
    <w:rsid w:val="00317B05"/>
    <w:rsid w:val="0032099D"/>
    <w:rsid w:val="00321048"/>
    <w:rsid w:val="003211C8"/>
    <w:rsid w:val="0032174B"/>
    <w:rsid w:val="00321A13"/>
    <w:rsid w:val="00321B00"/>
    <w:rsid w:val="003220D6"/>
    <w:rsid w:val="00323935"/>
    <w:rsid w:val="003239FD"/>
    <w:rsid w:val="00323BD8"/>
    <w:rsid w:val="00323C6D"/>
    <w:rsid w:val="00324220"/>
    <w:rsid w:val="00324367"/>
    <w:rsid w:val="003249A5"/>
    <w:rsid w:val="00325787"/>
    <w:rsid w:val="00326176"/>
    <w:rsid w:val="0032681F"/>
    <w:rsid w:val="00326A6F"/>
    <w:rsid w:val="003270F1"/>
    <w:rsid w:val="0032778A"/>
    <w:rsid w:val="0032779D"/>
    <w:rsid w:val="00327FF0"/>
    <w:rsid w:val="00330582"/>
    <w:rsid w:val="0033060C"/>
    <w:rsid w:val="00330A5E"/>
    <w:rsid w:val="00330A65"/>
    <w:rsid w:val="00331484"/>
    <w:rsid w:val="003316A9"/>
    <w:rsid w:val="0033188A"/>
    <w:rsid w:val="0033285C"/>
    <w:rsid w:val="0033392B"/>
    <w:rsid w:val="00333ABB"/>
    <w:rsid w:val="0033439E"/>
    <w:rsid w:val="00334CB6"/>
    <w:rsid w:val="00336163"/>
    <w:rsid w:val="00337252"/>
    <w:rsid w:val="003378FD"/>
    <w:rsid w:val="00340254"/>
    <w:rsid w:val="003403F7"/>
    <w:rsid w:val="0034078B"/>
    <w:rsid w:val="00341C21"/>
    <w:rsid w:val="00342414"/>
    <w:rsid w:val="0034284A"/>
    <w:rsid w:val="00343821"/>
    <w:rsid w:val="0034466C"/>
    <w:rsid w:val="003450F9"/>
    <w:rsid w:val="00345923"/>
    <w:rsid w:val="00345B1B"/>
    <w:rsid w:val="0034685B"/>
    <w:rsid w:val="00347788"/>
    <w:rsid w:val="00347D50"/>
    <w:rsid w:val="0035008B"/>
    <w:rsid w:val="00350D7B"/>
    <w:rsid w:val="0035107A"/>
    <w:rsid w:val="00351B42"/>
    <w:rsid w:val="00351D7B"/>
    <w:rsid w:val="003524D7"/>
    <w:rsid w:val="00352874"/>
    <w:rsid w:val="00352AD9"/>
    <w:rsid w:val="003538DB"/>
    <w:rsid w:val="00354F67"/>
    <w:rsid w:val="003553E7"/>
    <w:rsid w:val="00356733"/>
    <w:rsid w:val="00356B79"/>
    <w:rsid w:val="00357B5D"/>
    <w:rsid w:val="00360B19"/>
    <w:rsid w:val="00361583"/>
    <w:rsid w:val="00362F8B"/>
    <w:rsid w:val="00363335"/>
    <w:rsid w:val="00363479"/>
    <w:rsid w:val="00363D9C"/>
    <w:rsid w:val="00363E14"/>
    <w:rsid w:val="00364331"/>
    <w:rsid w:val="003646D0"/>
    <w:rsid w:val="0036502A"/>
    <w:rsid w:val="00366080"/>
    <w:rsid w:val="003673B6"/>
    <w:rsid w:val="00367580"/>
    <w:rsid w:val="00371935"/>
    <w:rsid w:val="00371D83"/>
    <w:rsid w:val="00371F64"/>
    <w:rsid w:val="003724A4"/>
    <w:rsid w:val="003731B7"/>
    <w:rsid w:val="003734F3"/>
    <w:rsid w:val="003739BA"/>
    <w:rsid w:val="00375197"/>
    <w:rsid w:val="003753C2"/>
    <w:rsid w:val="00375424"/>
    <w:rsid w:val="00375537"/>
    <w:rsid w:val="003756DE"/>
    <w:rsid w:val="00375F4A"/>
    <w:rsid w:val="003770A6"/>
    <w:rsid w:val="003773FE"/>
    <w:rsid w:val="00377760"/>
    <w:rsid w:val="0038009B"/>
    <w:rsid w:val="00380750"/>
    <w:rsid w:val="003810E9"/>
    <w:rsid w:val="0038195F"/>
    <w:rsid w:val="00382600"/>
    <w:rsid w:val="00382D77"/>
    <w:rsid w:val="003835A0"/>
    <w:rsid w:val="00383C5B"/>
    <w:rsid w:val="003843C5"/>
    <w:rsid w:val="003844CB"/>
    <w:rsid w:val="0038468E"/>
    <w:rsid w:val="0038514E"/>
    <w:rsid w:val="00385389"/>
    <w:rsid w:val="00385478"/>
    <w:rsid w:val="00385803"/>
    <w:rsid w:val="00387BB7"/>
    <w:rsid w:val="00387CB0"/>
    <w:rsid w:val="00387E43"/>
    <w:rsid w:val="003910AE"/>
    <w:rsid w:val="00391973"/>
    <w:rsid w:val="0039208A"/>
    <w:rsid w:val="003920E9"/>
    <w:rsid w:val="00392DF9"/>
    <w:rsid w:val="003938C3"/>
    <w:rsid w:val="003939E5"/>
    <w:rsid w:val="00393BB5"/>
    <w:rsid w:val="003943B1"/>
    <w:rsid w:val="00394F63"/>
    <w:rsid w:val="00395172"/>
    <w:rsid w:val="00395D4B"/>
    <w:rsid w:val="003968A3"/>
    <w:rsid w:val="003973A1"/>
    <w:rsid w:val="003A2065"/>
    <w:rsid w:val="003A4568"/>
    <w:rsid w:val="003A4FE9"/>
    <w:rsid w:val="003A60C5"/>
    <w:rsid w:val="003A747F"/>
    <w:rsid w:val="003A7CBB"/>
    <w:rsid w:val="003A7FF5"/>
    <w:rsid w:val="003B0085"/>
    <w:rsid w:val="003B0D77"/>
    <w:rsid w:val="003B201A"/>
    <w:rsid w:val="003B2AF2"/>
    <w:rsid w:val="003B3345"/>
    <w:rsid w:val="003B33C5"/>
    <w:rsid w:val="003B41C4"/>
    <w:rsid w:val="003B4A57"/>
    <w:rsid w:val="003B4E6C"/>
    <w:rsid w:val="003B4FC6"/>
    <w:rsid w:val="003B52D0"/>
    <w:rsid w:val="003B53D2"/>
    <w:rsid w:val="003B57D1"/>
    <w:rsid w:val="003B58BD"/>
    <w:rsid w:val="003B5C7F"/>
    <w:rsid w:val="003B68D0"/>
    <w:rsid w:val="003B692E"/>
    <w:rsid w:val="003B7724"/>
    <w:rsid w:val="003C01EF"/>
    <w:rsid w:val="003C1AB6"/>
    <w:rsid w:val="003C1C44"/>
    <w:rsid w:val="003C239E"/>
    <w:rsid w:val="003C23C5"/>
    <w:rsid w:val="003C272E"/>
    <w:rsid w:val="003C3B3F"/>
    <w:rsid w:val="003C4664"/>
    <w:rsid w:val="003C50B9"/>
    <w:rsid w:val="003C55F1"/>
    <w:rsid w:val="003C5DE3"/>
    <w:rsid w:val="003C60C6"/>
    <w:rsid w:val="003C6FD5"/>
    <w:rsid w:val="003D0701"/>
    <w:rsid w:val="003D0B82"/>
    <w:rsid w:val="003D27CB"/>
    <w:rsid w:val="003D28F6"/>
    <w:rsid w:val="003D4265"/>
    <w:rsid w:val="003D473B"/>
    <w:rsid w:val="003D4FCC"/>
    <w:rsid w:val="003D5129"/>
    <w:rsid w:val="003D5562"/>
    <w:rsid w:val="003D5879"/>
    <w:rsid w:val="003D596F"/>
    <w:rsid w:val="003D61CA"/>
    <w:rsid w:val="003D6430"/>
    <w:rsid w:val="003D6D48"/>
    <w:rsid w:val="003D6D6B"/>
    <w:rsid w:val="003D6F0E"/>
    <w:rsid w:val="003D7373"/>
    <w:rsid w:val="003D7D6E"/>
    <w:rsid w:val="003E0579"/>
    <w:rsid w:val="003E06AA"/>
    <w:rsid w:val="003E079A"/>
    <w:rsid w:val="003E292C"/>
    <w:rsid w:val="003E2A5B"/>
    <w:rsid w:val="003E397C"/>
    <w:rsid w:val="003E4146"/>
    <w:rsid w:val="003E45EF"/>
    <w:rsid w:val="003E487F"/>
    <w:rsid w:val="003E4CC7"/>
    <w:rsid w:val="003E50E5"/>
    <w:rsid w:val="003E5337"/>
    <w:rsid w:val="003E5A9D"/>
    <w:rsid w:val="003E5CC6"/>
    <w:rsid w:val="003E5EC2"/>
    <w:rsid w:val="003E614F"/>
    <w:rsid w:val="003E62D8"/>
    <w:rsid w:val="003E6463"/>
    <w:rsid w:val="003E6974"/>
    <w:rsid w:val="003E6E60"/>
    <w:rsid w:val="003E7293"/>
    <w:rsid w:val="003E7D51"/>
    <w:rsid w:val="003E7FFB"/>
    <w:rsid w:val="003F14B5"/>
    <w:rsid w:val="003F1631"/>
    <w:rsid w:val="003F1EF4"/>
    <w:rsid w:val="003F37F3"/>
    <w:rsid w:val="003F3EE3"/>
    <w:rsid w:val="003F55F9"/>
    <w:rsid w:val="003F5875"/>
    <w:rsid w:val="003F5D64"/>
    <w:rsid w:val="003F641A"/>
    <w:rsid w:val="003F6520"/>
    <w:rsid w:val="003F6868"/>
    <w:rsid w:val="003F6FFA"/>
    <w:rsid w:val="003F7481"/>
    <w:rsid w:val="0040150A"/>
    <w:rsid w:val="00401726"/>
    <w:rsid w:val="00401A52"/>
    <w:rsid w:val="0040231C"/>
    <w:rsid w:val="004025D4"/>
    <w:rsid w:val="0040290A"/>
    <w:rsid w:val="00402E2D"/>
    <w:rsid w:val="00402F18"/>
    <w:rsid w:val="00403291"/>
    <w:rsid w:val="00404807"/>
    <w:rsid w:val="004050C0"/>
    <w:rsid w:val="004052A4"/>
    <w:rsid w:val="0040657B"/>
    <w:rsid w:val="0040662A"/>
    <w:rsid w:val="00406812"/>
    <w:rsid w:val="00406D88"/>
    <w:rsid w:val="004074A4"/>
    <w:rsid w:val="00407D26"/>
    <w:rsid w:val="00410ADD"/>
    <w:rsid w:val="00410C61"/>
    <w:rsid w:val="00410CC6"/>
    <w:rsid w:val="0041113F"/>
    <w:rsid w:val="00411533"/>
    <w:rsid w:val="004121C1"/>
    <w:rsid w:val="00412591"/>
    <w:rsid w:val="004126CF"/>
    <w:rsid w:val="00412802"/>
    <w:rsid w:val="00412EF7"/>
    <w:rsid w:val="00413E3F"/>
    <w:rsid w:val="00413F2C"/>
    <w:rsid w:val="00414196"/>
    <w:rsid w:val="004148CD"/>
    <w:rsid w:val="00414975"/>
    <w:rsid w:val="00414BC8"/>
    <w:rsid w:val="0041564B"/>
    <w:rsid w:val="00416881"/>
    <w:rsid w:val="0041720A"/>
    <w:rsid w:val="00417467"/>
    <w:rsid w:val="0041768A"/>
    <w:rsid w:val="00420186"/>
    <w:rsid w:val="00420555"/>
    <w:rsid w:val="004211C3"/>
    <w:rsid w:val="004218F1"/>
    <w:rsid w:val="00421951"/>
    <w:rsid w:val="004225E3"/>
    <w:rsid w:val="00423219"/>
    <w:rsid w:val="004236A5"/>
    <w:rsid w:val="00423A14"/>
    <w:rsid w:val="00425338"/>
    <w:rsid w:val="0042588E"/>
    <w:rsid w:val="00425A4E"/>
    <w:rsid w:val="00425E38"/>
    <w:rsid w:val="00426408"/>
    <w:rsid w:val="00426917"/>
    <w:rsid w:val="0042737E"/>
    <w:rsid w:val="00427B12"/>
    <w:rsid w:val="00427CA4"/>
    <w:rsid w:val="004304EC"/>
    <w:rsid w:val="004305DE"/>
    <w:rsid w:val="00430AD6"/>
    <w:rsid w:val="00430FA1"/>
    <w:rsid w:val="004312C3"/>
    <w:rsid w:val="0043149A"/>
    <w:rsid w:val="004314AE"/>
    <w:rsid w:val="00431796"/>
    <w:rsid w:val="00431A56"/>
    <w:rsid w:val="00432171"/>
    <w:rsid w:val="00432555"/>
    <w:rsid w:val="00432632"/>
    <w:rsid w:val="00432A20"/>
    <w:rsid w:val="00432DF9"/>
    <w:rsid w:val="00432F38"/>
    <w:rsid w:val="004331F5"/>
    <w:rsid w:val="004341C4"/>
    <w:rsid w:val="004360E8"/>
    <w:rsid w:val="00436566"/>
    <w:rsid w:val="00436771"/>
    <w:rsid w:val="00440FA6"/>
    <w:rsid w:val="00442790"/>
    <w:rsid w:val="00443032"/>
    <w:rsid w:val="004430C6"/>
    <w:rsid w:val="00443937"/>
    <w:rsid w:val="00443B60"/>
    <w:rsid w:val="00444180"/>
    <w:rsid w:val="004449A8"/>
    <w:rsid w:val="0044571F"/>
    <w:rsid w:val="0044576C"/>
    <w:rsid w:val="00446CE6"/>
    <w:rsid w:val="004470CD"/>
    <w:rsid w:val="004506E6"/>
    <w:rsid w:val="004507D9"/>
    <w:rsid w:val="00450EEB"/>
    <w:rsid w:val="0045135C"/>
    <w:rsid w:val="0045212C"/>
    <w:rsid w:val="0045241A"/>
    <w:rsid w:val="00452904"/>
    <w:rsid w:val="00452E9F"/>
    <w:rsid w:val="0045328F"/>
    <w:rsid w:val="00453822"/>
    <w:rsid w:val="00453ACC"/>
    <w:rsid w:val="00453F6D"/>
    <w:rsid w:val="0045560D"/>
    <w:rsid w:val="004563FA"/>
    <w:rsid w:val="00456D9D"/>
    <w:rsid w:val="00457A93"/>
    <w:rsid w:val="00457E74"/>
    <w:rsid w:val="00460D0E"/>
    <w:rsid w:val="004615D3"/>
    <w:rsid w:val="00461B0F"/>
    <w:rsid w:val="00461C07"/>
    <w:rsid w:val="0046204B"/>
    <w:rsid w:val="00462283"/>
    <w:rsid w:val="00462291"/>
    <w:rsid w:val="00462A71"/>
    <w:rsid w:val="0046357A"/>
    <w:rsid w:val="00464090"/>
    <w:rsid w:val="004647DB"/>
    <w:rsid w:val="00464B01"/>
    <w:rsid w:val="00464F07"/>
    <w:rsid w:val="0046523E"/>
    <w:rsid w:val="004657EE"/>
    <w:rsid w:val="0046585B"/>
    <w:rsid w:val="004661C9"/>
    <w:rsid w:val="0046699C"/>
    <w:rsid w:val="00466AFC"/>
    <w:rsid w:val="00466CA1"/>
    <w:rsid w:val="00467190"/>
    <w:rsid w:val="004674A1"/>
    <w:rsid w:val="004676D9"/>
    <w:rsid w:val="00467D26"/>
    <w:rsid w:val="00467DA4"/>
    <w:rsid w:val="00467E6E"/>
    <w:rsid w:val="00470281"/>
    <w:rsid w:val="004721EB"/>
    <w:rsid w:val="00474173"/>
    <w:rsid w:val="00474A83"/>
    <w:rsid w:val="0047541C"/>
    <w:rsid w:val="004760E3"/>
    <w:rsid w:val="004764F7"/>
    <w:rsid w:val="004766A7"/>
    <w:rsid w:val="00477BB8"/>
    <w:rsid w:val="00477C7F"/>
    <w:rsid w:val="00480104"/>
    <w:rsid w:val="004811C5"/>
    <w:rsid w:val="00481D3F"/>
    <w:rsid w:val="00482E50"/>
    <w:rsid w:val="00482F95"/>
    <w:rsid w:val="004834CB"/>
    <w:rsid w:val="00483BF0"/>
    <w:rsid w:val="00483F05"/>
    <w:rsid w:val="0048483E"/>
    <w:rsid w:val="00485028"/>
    <w:rsid w:val="00485349"/>
    <w:rsid w:val="00485485"/>
    <w:rsid w:val="00486546"/>
    <w:rsid w:val="00486A39"/>
    <w:rsid w:val="00486F03"/>
    <w:rsid w:val="00487572"/>
    <w:rsid w:val="00491554"/>
    <w:rsid w:val="0049191C"/>
    <w:rsid w:val="00491ED5"/>
    <w:rsid w:val="004920FE"/>
    <w:rsid w:val="0049221B"/>
    <w:rsid w:val="004922BF"/>
    <w:rsid w:val="004924C3"/>
    <w:rsid w:val="00492BED"/>
    <w:rsid w:val="004930BA"/>
    <w:rsid w:val="00493457"/>
    <w:rsid w:val="00493C23"/>
    <w:rsid w:val="00494852"/>
    <w:rsid w:val="00494950"/>
    <w:rsid w:val="00494C92"/>
    <w:rsid w:val="00494CFF"/>
    <w:rsid w:val="004952DC"/>
    <w:rsid w:val="004955EC"/>
    <w:rsid w:val="004958E1"/>
    <w:rsid w:val="004962AD"/>
    <w:rsid w:val="00496D55"/>
    <w:rsid w:val="00496DF9"/>
    <w:rsid w:val="004A0199"/>
    <w:rsid w:val="004A02F6"/>
    <w:rsid w:val="004A093D"/>
    <w:rsid w:val="004A0BA9"/>
    <w:rsid w:val="004A16E1"/>
    <w:rsid w:val="004A1B67"/>
    <w:rsid w:val="004A21CA"/>
    <w:rsid w:val="004A3ED4"/>
    <w:rsid w:val="004A403C"/>
    <w:rsid w:val="004A4482"/>
    <w:rsid w:val="004A48EE"/>
    <w:rsid w:val="004A4B9C"/>
    <w:rsid w:val="004A5465"/>
    <w:rsid w:val="004A629A"/>
    <w:rsid w:val="004A651D"/>
    <w:rsid w:val="004B0453"/>
    <w:rsid w:val="004B1960"/>
    <w:rsid w:val="004B199B"/>
    <w:rsid w:val="004B3320"/>
    <w:rsid w:val="004B3323"/>
    <w:rsid w:val="004B3867"/>
    <w:rsid w:val="004B3F6B"/>
    <w:rsid w:val="004B42CE"/>
    <w:rsid w:val="004B5B20"/>
    <w:rsid w:val="004B64E6"/>
    <w:rsid w:val="004B6DEB"/>
    <w:rsid w:val="004B6F9D"/>
    <w:rsid w:val="004B7D05"/>
    <w:rsid w:val="004C00BD"/>
    <w:rsid w:val="004C08AF"/>
    <w:rsid w:val="004C0C4D"/>
    <w:rsid w:val="004C0E0B"/>
    <w:rsid w:val="004C1705"/>
    <w:rsid w:val="004C2715"/>
    <w:rsid w:val="004C275D"/>
    <w:rsid w:val="004C34E9"/>
    <w:rsid w:val="004C4836"/>
    <w:rsid w:val="004C4D54"/>
    <w:rsid w:val="004C4F43"/>
    <w:rsid w:val="004C4FFF"/>
    <w:rsid w:val="004C5307"/>
    <w:rsid w:val="004C5322"/>
    <w:rsid w:val="004C545D"/>
    <w:rsid w:val="004C5A65"/>
    <w:rsid w:val="004C63D3"/>
    <w:rsid w:val="004C64D3"/>
    <w:rsid w:val="004C69F4"/>
    <w:rsid w:val="004C6E9A"/>
    <w:rsid w:val="004C734B"/>
    <w:rsid w:val="004C772E"/>
    <w:rsid w:val="004D17FE"/>
    <w:rsid w:val="004D215E"/>
    <w:rsid w:val="004D2483"/>
    <w:rsid w:val="004D2B11"/>
    <w:rsid w:val="004D2CCF"/>
    <w:rsid w:val="004D2EA3"/>
    <w:rsid w:val="004D30A6"/>
    <w:rsid w:val="004D44AD"/>
    <w:rsid w:val="004D4E5E"/>
    <w:rsid w:val="004D5121"/>
    <w:rsid w:val="004D518E"/>
    <w:rsid w:val="004D5321"/>
    <w:rsid w:val="004D642F"/>
    <w:rsid w:val="004D6503"/>
    <w:rsid w:val="004D6CBB"/>
    <w:rsid w:val="004D701A"/>
    <w:rsid w:val="004D718F"/>
    <w:rsid w:val="004D795C"/>
    <w:rsid w:val="004E0109"/>
    <w:rsid w:val="004E01DC"/>
    <w:rsid w:val="004E0440"/>
    <w:rsid w:val="004E0BC8"/>
    <w:rsid w:val="004E14AE"/>
    <w:rsid w:val="004E1885"/>
    <w:rsid w:val="004E1AAA"/>
    <w:rsid w:val="004E29B7"/>
    <w:rsid w:val="004E3066"/>
    <w:rsid w:val="004E369E"/>
    <w:rsid w:val="004E3B31"/>
    <w:rsid w:val="004E48CD"/>
    <w:rsid w:val="004E49BD"/>
    <w:rsid w:val="004E4FD0"/>
    <w:rsid w:val="004E50EA"/>
    <w:rsid w:val="004E53F3"/>
    <w:rsid w:val="004E549F"/>
    <w:rsid w:val="004E5AD0"/>
    <w:rsid w:val="004E623F"/>
    <w:rsid w:val="004E6681"/>
    <w:rsid w:val="004E6BBB"/>
    <w:rsid w:val="004E6F1F"/>
    <w:rsid w:val="004E749E"/>
    <w:rsid w:val="004F08DF"/>
    <w:rsid w:val="004F1ED7"/>
    <w:rsid w:val="004F2447"/>
    <w:rsid w:val="004F296E"/>
    <w:rsid w:val="004F348B"/>
    <w:rsid w:val="004F3CD6"/>
    <w:rsid w:val="004F3EFA"/>
    <w:rsid w:val="004F41C9"/>
    <w:rsid w:val="004F41E3"/>
    <w:rsid w:val="004F4430"/>
    <w:rsid w:val="004F5315"/>
    <w:rsid w:val="004F5534"/>
    <w:rsid w:val="004F577B"/>
    <w:rsid w:val="004F63A3"/>
    <w:rsid w:val="004F6FB0"/>
    <w:rsid w:val="005009AE"/>
    <w:rsid w:val="00500A97"/>
    <w:rsid w:val="0050119C"/>
    <w:rsid w:val="005024AE"/>
    <w:rsid w:val="00502833"/>
    <w:rsid w:val="00502BF2"/>
    <w:rsid w:val="00502CBE"/>
    <w:rsid w:val="00503457"/>
    <w:rsid w:val="00503787"/>
    <w:rsid w:val="00503A90"/>
    <w:rsid w:val="00503BF0"/>
    <w:rsid w:val="00503C52"/>
    <w:rsid w:val="005040D0"/>
    <w:rsid w:val="00504131"/>
    <w:rsid w:val="00504149"/>
    <w:rsid w:val="0050426E"/>
    <w:rsid w:val="005052F4"/>
    <w:rsid w:val="005061AD"/>
    <w:rsid w:val="0050732C"/>
    <w:rsid w:val="005078A9"/>
    <w:rsid w:val="00507DDA"/>
    <w:rsid w:val="00507DE9"/>
    <w:rsid w:val="00510BCC"/>
    <w:rsid w:val="00511323"/>
    <w:rsid w:val="00511586"/>
    <w:rsid w:val="0051215E"/>
    <w:rsid w:val="00513076"/>
    <w:rsid w:val="005133A7"/>
    <w:rsid w:val="005133BD"/>
    <w:rsid w:val="00513F1E"/>
    <w:rsid w:val="00514BA6"/>
    <w:rsid w:val="00514C4C"/>
    <w:rsid w:val="00514F0C"/>
    <w:rsid w:val="00515991"/>
    <w:rsid w:val="005159B1"/>
    <w:rsid w:val="00517097"/>
    <w:rsid w:val="005206CE"/>
    <w:rsid w:val="00520815"/>
    <w:rsid w:val="0052098C"/>
    <w:rsid w:val="00521575"/>
    <w:rsid w:val="00521F7F"/>
    <w:rsid w:val="005238D2"/>
    <w:rsid w:val="00523E43"/>
    <w:rsid w:val="005240FC"/>
    <w:rsid w:val="00524C1D"/>
    <w:rsid w:val="00524DE4"/>
    <w:rsid w:val="00526096"/>
    <w:rsid w:val="00526E99"/>
    <w:rsid w:val="00526FD6"/>
    <w:rsid w:val="0052715A"/>
    <w:rsid w:val="005276C6"/>
    <w:rsid w:val="00527E9C"/>
    <w:rsid w:val="00527FE2"/>
    <w:rsid w:val="00530107"/>
    <w:rsid w:val="005302C3"/>
    <w:rsid w:val="005305BC"/>
    <w:rsid w:val="0053123A"/>
    <w:rsid w:val="00531765"/>
    <w:rsid w:val="005317C1"/>
    <w:rsid w:val="005318EA"/>
    <w:rsid w:val="005319E0"/>
    <w:rsid w:val="00532D88"/>
    <w:rsid w:val="005335D6"/>
    <w:rsid w:val="00533877"/>
    <w:rsid w:val="00533965"/>
    <w:rsid w:val="005346C2"/>
    <w:rsid w:val="00535341"/>
    <w:rsid w:val="00536144"/>
    <w:rsid w:val="005365CF"/>
    <w:rsid w:val="005367C9"/>
    <w:rsid w:val="00536AE4"/>
    <w:rsid w:val="00536C7D"/>
    <w:rsid w:val="00536EA4"/>
    <w:rsid w:val="00537B83"/>
    <w:rsid w:val="00537F5F"/>
    <w:rsid w:val="005401B6"/>
    <w:rsid w:val="00541645"/>
    <w:rsid w:val="00542553"/>
    <w:rsid w:val="0054299D"/>
    <w:rsid w:val="00543E58"/>
    <w:rsid w:val="00544279"/>
    <w:rsid w:val="005443D1"/>
    <w:rsid w:val="00544867"/>
    <w:rsid w:val="005448A8"/>
    <w:rsid w:val="005448D6"/>
    <w:rsid w:val="005459D2"/>
    <w:rsid w:val="00545F92"/>
    <w:rsid w:val="00546082"/>
    <w:rsid w:val="005461F6"/>
    <w:rsid w:val="0054642A"/>
    <w:rsid w:val="00546BF9"/>
    <w:rsid w:val="00547541"/>
    <w:rsid w:val="00547A44"/>
    <w:rsid w:val="00547A8C"/>
    <w:rsid w:val="005501F5"/>
    <w:rsid w:val="0055056E"/>
    <w:rsid w:val="00550582"/>
    <w:rsid w:val="0055072A"/>
    <w:rsid w:val="00550764"/>
    <w:rsid w:val="00550BA9"/>
    <w:rsid w:val="00550E24"/>
    <w:rsid w:val="00551262"/>
    <w:rsid w:val="005513B3"/>
    <w:rsid w:val="00551DDB"/>
    <w:rsid w:val="0055291E"/>
    <w:rsid w:val="00552D10"/>
    <w:rsid w:val="00552DC3"/>
    <w:rsid w:val="005537D9"/>
    <w:rsid w:val="00553AD8"/>
    <w:rsid w:val="005543BF"/>
    <w:rsid w:val="0055473A"/>
    <w:rsid w:val="0055483E"/>
    <w:rsid w:val="00554880"/>
    <w:rsid w:val="005548B4"/>
    <w:rsid w:val="0055598D"/>
    <w:rsid w:val="00555CFB"/>
    <w:rsid w:val="00556703"/>
    <w:rsid w:val="00557AC2"/>
    <w:rsid w:val="00557DE6"/>
    <w:rsid w:val="0056058E"/>
    <w:rsid w:val="005605CB"/>
    <w:rsid w:val="005606A4"/>
    <w:rsid w:val="005611D9"/>
    <w:rsid w:val="005615D4"/>
    <w:rsid w:val="00561876"/>
    <w:rsid w:val="00561983"/>
    <w:rsid w:val="00562BD2"/>
    <w:rsid w:val="00563A52"/>
    <w:rsid w:val="00563C79"/>
    <w:rsid w:val="00565FF5"/>
    <w:rsid w:val="00566BE8"/>
    <w:rsid w:val="00567972"/>
    <w:rsid w:val="00570A14"/>
    <w:rsid w:val="005712B4"/>
    <w:rsid w:val="005712F3"/>
    <w:rsid w:val="00571414"/>
    <w:rsid w:val="00571852"/>
    <w:rsid w:val="005726CD"/>
    <w:rsid w:val="005737AA"/>
    <w:rsid w:val="00573B6D"/>
    <w:rsid w:val="00573D0B"/>
    <w:rsid w:val="005747E9"/>
    <w:rsid w:val="0057492D"/>
    <w:rsid w:val="00574A7A"/>
    <w:rsid w:val="00575760"/>
    <w:rsid w:val="00576C8E"/>
    <w:rsid w:val="005802F7"/>
    <w:rsid w:val="00580BB1"/>
    <w:rsid w:val="00581551"/>
    <w:rsid w:val="005818D8"/>
    <w:rsid w:val="00581BFC"/>
    <w:rsid w:val="005824FB"/>
    <w:rsid w:val="0058251A"/>
    <w:rsid w:val="005832CB"/>
    <w:rsid w:val="00583866"/>
    <w:rsid w:val="00583BC5"/>
    <w:rsid w:val="0058432F"/>
    <w:rsid w:val="00584B20"/>
    <w:rsid w:val="00584E92"/>
    <w:rsid w:val="00584EB8"/>
    <w:rsid w:val="00585327"/>
    <w:rsid w:val="0058580E"/>
    <w:rsid w:val="00585855"/>
    <w:rsid w:val="00585ADF"/>
    <w:rsid w:val="00585C55"/>
    <w:rsid w:val="00585DAA"/>
    <w:rsid w:val="00586097"/>
    <w:rsid w:val="00586276"/>
    <w:rsid w:val="005863F4"/>
    <w:rsid w:val="00587959"/>
    <w:rsid w:val="00587965"/>
    <w:rsid w:val="00587AA3"/>
    <w:rsid w:val="00587D5A"/>
    <w:rsid w:val="00587F34"/>
    <w:rsid w:val="00590490"/>
    <w:rsid w:val="005904D4"/>
    <w:rsid w:val="00591980"/>
    <w:rsid w:val="00591B26"/>
    <w:rsid w:val="00592799"/>
    <w:rsid w:val="00592BE8"/>
    <w:rsid w:val="005930A1"/>
    <w:rsid w:val="00593628"/>
    <w:rsid w:val="0059418A"/>
    <w:rsid w:val="0059445C"/>
    <w:rsid w:val="00594606"/>
    <w:rsid w:val="00594724"/>
    <w:rsid w:val="00594A2B"/>
    <w:rsid w:val="00594A8C"/>
    <w:rsid w:val="005952C9"/>
    <w:rsid w:val="005A0765"/>
    <w:rsid w:val="005A11D4"/>
    <w:rsid w:val="005A1DDB"/>
    <w:rsid w:val="005A2691"/>
    <w:rsid w:val="005A2CD0"/>
    <w:rsid w:val="005A3868"/>
    <w:rsid w:val="005A41EC"/>
    <w:rsid w:val="005A4C8E"/>
    <w:rsid w:val="005A50C6"/>
    <w:rsid w:val="005A529B"/>
    <w:rsid w:val="005A54B1"/>
    <w:rsid w:val="005A55B0"/>
    <w:rsid w:val="005A5C2F"/>
    <w:rsid w:val="005A63F4"/>
    <w:rsid w:val="005A6BAC"/>
    <w:rsid w:val="005A6F4A"/>
    <w:rsid w:val="005A713B"/>
    <w:rsid w:val="005A74FD"/>
    <w:rsid w:val="005A7894"/>
    <w:rsid w:val="005A7FCD"/>
    <w:rsid w:val="005B0132"/>
    <w:rsid w:val="005B07F6"/>
    <w:rsid w:val="005B083D"/>
    <w:rsid w:val="005B0BC5"/>
    <w:rsid w:val="005B0FDA"/>
    <w:rsid w:val="005B175C"/>
    <w:rsid w:val="005B1AFC"/>
    <w:rsid w:val="005B23A3"/>
    <w:rsid w:val="005B41E8"/>
    <w:rsid w:val="005B4BA1"/>
    <w:rsid w:val="005B6120"/>
    <w:rsid w:val="005B6190"/>
    <w:rsid w:val="005B624E"/>
    <w:rsid w:val="005B651F"/>
    <w:rsid w:val="005B6824"/>
    <w:rsid w:val="005B6946"/>
    <w:rsid w:val="005B6991"/>
    <w:rsid w:val="005B6FC5"/>
    <w:rsid w:val="005B73CE"/>
    <w:rsid w:val="005B7623"/>
    <w:rsid w:val="005C0235"/>
    <w:rsid w:val="005C0A13"/>
    <w:rsid w:val="005C1C5D"/>
    <w:rsid w:val="005C1D19"/>
    <w:rsid w:val="005C2607"/>
    <w:rsid w:val="005C2AE7"/>
    <w:rsid w:val="005C35DD"/>
    <w:rsid w:val="005C3715"/>
    <w:rsid w:val="005C3EA8"/>
    <w:rsid w:val="005C4137"/>
    <w:rsid w:val="005C41B4"/>
    <w:rsid w:val="005C4257"/>
    <w:rsid w:val="005C42AD"/>
    <w:rsid w:val="005C6447"/>
    <w:rsid w:val="005C6A42"/>
    <w:rsid w:val="005C6F49"/>
    <w:rsid w:val="005C743E"/>
    <w:rsid w:val="005D0893"/>
    <w:rsid w:val="005D0B89"/>
    <w:rsid w:val="005D0FC7"/>
    <w:rsid w:val="005D144A"/>
    <w:rsid w:val="005D1B2B"/>
    <w:rsid w:val="005D3C82"/>
    <w:rsid w:val="005D3F05"/>
    <w:rsid w:val="005D43EB"/>
    <w:rsid w:val="005D4828"/>
    <w:rsid w:val="005D4D76"/>
    <w:rsid w:val="005D4E85"/>
    <w:rsid w:val="005D5373"/>
    <w:rsid w:val="005D697D"/>
    <w:rsid w:val="005D784E"/>
    <w:rsid w:val="005D7A0F"/>
    <w:rsid w:val="005D7F87"/>
    <w:rsid w:val="005E0B47"/>
    <w:rsid w:val="005E1334"/>
    <w:rsid w:val="005E3274"/>
    <w:rsid w:val="005E3370"/>
    <w:rsid w:val="005E365E"/>
    <w:rsid w:val="005E3D63"/>
    <w:rsid w:val="005E3DD3"/>
    <w:rsid w:val="005E480D"/>
    <w:rsid w:val="005E554B"/>
    <w:rsid w:val="005E67BD"/>
    <w:rsid w:val="005E680A"/>
    <w:rsid w:val="005E6ADF"/>
    <w:rsid w:val="005E6F04"/>
    <w:rsid w:val="005E7290"/>
    <w:rsid w:val="005E7B98"/>
    <w:rsid w:val="005E7C6A"/>
    <w:rsid w:val="005F0459"/>
    <w:rsid w:val="005F09F3"/>
    <w:rsid w:val="005F0AD7"/>
    <w:rsid w:val="005F1C92"/>
    <w:rsid w:val="005F1CAD"/>
    <w:rsid w:val="005F28AF"/>
    <w:rsid w:val="005F29D7"/>
    <w:rsid w:val="005F2EF7"/>
    <w:rsid w:val="005F360D"/>
    <w:rsid w:val="005F3AA3"/>
    <w:rsid w:val="005F4F58"/>
    <w:rsid w:val="005F5D14"/>
    <w:rsid w:val="005F625D"/>
    <w:rsid w:val="005F66ED"/>
    <w:rsid w:val="005F7168"/>
    <w:rsid w:val="005F73CB"/>
    <w:rsid w:val="0060004D"/>
    <w:rsid w:val="0060077B"/>
    <w:rsid w:val="00600F61"/>
    <w:rsid w:val="006018A5"/>
    <w:rsid w:val="00602340"/>
    <w:rsid w:val="006031F1"/>
    <w:rsid w:val="006040C1"/>
    <w:rsid w:val="006046F2"/>
    <w:rsid w:val="00604CA5"/>
    <w:rsid w:val="00605C02"/>
    <w:rsid w:val="00605C24"/>
    <w:rsid w:val="00605C37"/>
    <w:rsid w:val="006064C9"/>
    <w:rsid w:val="00606FA3"/>
    <w:rsid w:val="00607232"/>
    <w:rsid w:val="006073E2"/>
    <w:rsid w:val="006079A3"/>
    <w:rsid w:val="00607A7B"/>
    <w:rsid w:val="0061057C"/>
    <w:rsid w:val="006109F7"/>
    <w:rsid w:val="0061155F"/>
    <w:rsid w:val="00611983"/>
    <w:rsid w:val="0061308E"/>
    <w:rsid w:val="006139C4"/>
    <w:rsid w:val="0061402A"/>
    <w:rsid w:val="00614092"/>
    <w:rsid w:val="00614537"/>
    <w:rsid w:val="00614BAD"/>
    <w:rsid w:val="00615376"/>
    <w:rsid w:val="00615803"/>
    <w:rsid w:val="00616216"/>
    <w:rsid w:val="006165B9"/>
    <w:rsid w:val="00616785"/>
    <w:rsid w:val="00616F88"/>
    <w:rsid w:val="0061703B"/>
    <w:rsid w:val="006170D1"/>
    <w:rsid w:val="0061769C"/>
    <w:rsid w:val="00617FC1"/>
    <w:rsid w:val="006201C2"/>
    <w:rsid w:val="00620E56"/>
    <w:rsid w:val="00621693"/>
    <w:rsid w:val="006218C2"/>
    <w:rsid w:val="00621B20"/>
    <w:rsid w:val="006224A6"/>
    <w:rsid w:val="00622826"/>
    <w:rsid w:val="0062290E"/>
    <w:rsid w:val="006231DF"/>
    <w:rsid w:val="00625245"/>
    <w:rsid w:val="006252BC"/>
    <w:rsid w:val="0062609C"/>
    <w:rsid w:val="00626AD5"/>
    <w:rsid w:val="0062712B"/>
    <w:rsid w:val="00627412"/>
    <w:rsid w:val="00627A88"/>
    <w:rsid w:val="0063000E"/>
    <w:rsid w:val="0063021C"/>
    <w:rsid w:val="0063033F"/>
    <w:rsid w:val="00630A2D"/>
    <w:rsid w:val="00630E6F"/>
    <w:rsid w:val="0063106B"/>
    <w:rsid w:val="00631F69"/>
    <w:rsid w:val="0063284E"/>
    <w:rsid w:val="00632B5E"/>
    <w:rsid w:val="0063386D"/>
    <w:rsid w:val="00634173"/>
    <w:rsid w:val="006353AB"/>
    <w:rsid w:val="006360EB"/>
    <w:rsid w:val="00636141"/>
    <w:rsid w:val="006375DF"/>
    <w:rsid w:val="006376DD"/>
    <w:rsid w:val="00637725"/>
    <w:rsid w:val="006401FC"/>
    <w:rsid w:val="00640D02"/>
    <w:rsid w:val="00643B08"/>
    <w:rsid w:val="00643D41"/>
    <w:rsid w:val="00644566"/>
    <w:rsid w:val="006445C9"/>
    <w:rsid w:val="0064471F"/>
    <w:rsid w:val="006448E5"/>
    <w:rsid w:val="00645D16"/>
    <w:rsid w:val="006502FD"/>
    <w:rsid w:val="006504C4"/>
    <w:rsid w:val="00651434"/>
    <w:rsid w:val="00651C0C"/>
    <w:rsid w:val="006521F9"/>
    <w:rsid w:val="006529C2"/>
    <w:rsid w:val="0065360A"/>
    <w:rsid w:val="00653A30"/>
    <w:rsid w:val="00653C4E"/>
    <w:rsid w:val="00654B11"/>
    <w:rsid w:val="00657300"/>
    <w:rsid w:val="00657B6C"/>
    <w:rsid w:val="00660116"/>
    <w:rsid w:val="00660D02"/>
    <w:rsid w:val="00661A85"/>
    <w:rsid w:val="00663B8F"/>
    <w:rsid w:val="00663C00"/>
    <w:rsid w:val="00664B10"/>
    <w:rsid w:val="00665C38"/>
    <w:rsid w:val="00665F7D"/>
    <w:rsid w:val="00666551"/>
    <w:rsid w:val="00667047"/>
    <w:rsid w:val="006675D2"/>
    <w:rsid w:val="00667645"/>
    <w:rsid w:val="00670633"/>
    <w:rsid w:val="00670F58"/>
    <w:rsid w:val="00671551"/>
    <w:rsid w:val="006718E1"/>
    <w:rsid w:val="00671C52"/>
    <w:rsid w:val="00672C25"/>
    <w:rsid w:val="00672CC9"/>
    <w:rsid w:val="00673076"/>
    <w:rsid w:val="006733CB"/>
    <w:rsid w:val="00674498"/>
    <w:rsid w:val="00674578"/>
    <w:rsid w:val="00674657"/>
    <w:rsid w:val="0067511B"/>
    <w:rsid w:val="00675741"/>
    <w:rsid w:val="00676591"/>
    <w:rsid w:val="006768EE"/>
    <w:rsid w:val="00676BC1"/>
    <w:rsid w:val="006800A5"/>
    <w:rsid w:val="006814C0"/>
    <w:rsid w:val="00681F0A"/>
    <w:rsid w:val="00682737"/>
    <w:rsid w:val="00682E7A"/>
    <w:rsid w:val="00683862"/>
    <w:rsid w:val="00684DF7"/>
    <w:rsid w:val="006852C3"/>
    <w:rsid w:val="00685654"/>
    <w:rsid w:val="006857D4"/>
    <w:rsid w:val="00685CAB"/>
    <w:rsid w:val="00685F31"/>
    <w:rsid w:val="00686412"/>
    <w:rsid w:val="00686D16"/>
    <w:rsid w:val="00686F00"/>
    <w:rsid w:val="0068736C"/>
    <w:rsid w:val="00687714"/>
    <w:rsid w:val="006906BE"/>
    <w:rsid w:val="0069089C"/>
    <w:rsid w:val="006909C5"/>
    <w:rsid w:val="00690A3A"/>
    <w:rsid w:val="00690BA8"/>
    <w:rsid w:val="00690F66"/>
    <w:rsid w:val="00690FC8"/>
    <w:rsid w:val="00691907"/>
    <w:rsid w:val="00691AB0"/>
    <w:rsid w:val="00691DEC"/>
    <w:rsid w:val="00692449"/>
    <w:rsid w:val="00692926"/>
    <w:rsid w:val="00693313"/>
    <w:rsid w:val="00693BE5"/>
    <w:rsid w:val="00693C97"/>
    <w:rsid w:val="0069438A"/>
    <w:rsid w:val="006945FF"/>
    <w:rsid w:val="006946D0"/>
    <w:rsid w:val="006947FB"/>
    <w:rsid w:val="0069510B"/>
    <w:rsid w:val="00696010"/>
    <w:rsid w:val="00696D7F"/>
    <w:rsid w:val="00697CF5"/>
    <w:rsid w:val="006A053C"/>
    <w:rsid w:val="006A1423"/>
    <w:rsid w:val="006A167E"/>
    <w:rsid w:val="006A1E4B"/>
    <w:rsid w:val="006A21F5"/>
    <w:rsid w:val="006A37DF"/>
    <w:rsid w:val="006A4224"/>
    <w:rsid w:val="006A43F8"/>
    <w:rsid w:val="006A5659"/>
    <w:rsid w:val="006A5B5B"/>
    <w:rsid w:val="006A5CEF"/>
    <w:rsid w:val="006A6630"/>
    <w:rsid w:val="006A6AD4"/>
    <w:rsid w:val="006A76A6"/>
    <w:rsid w:val="006B007F"/>
    <w:rsid w:val="006B1295"/>
    <w:rsid w:val="006B2ABC"/>
    <w:rsid w:val="006B306C"/>
    <w:rsid w:val="006B3B4B"/>
    <w:rsid w:val="006B553E"/>
    <w:rsid w:val="006B6598"/>
    <w:rsid w:val="006B68FA"/>
    <w:rsid w:val="006B6E6F"/>
    <w:rsid w:val="006B6EE4"/>
    <w:rsid w:val="006B6F1B"/>
    <w:rsid w:val="006B75CA"/>
    <w:rsid w:val="006B78AE"/>
    <w:rsid w:val="006C02D5"/>
    <w:rsid w:val="006C08B5"/>
    <w:rsid w:val="006C0CF3"/>
    <w:rsid w:val="006C1024"/>
    <w:rsid w:val="006C1E3D"/>
    <w:rsid w:val="006C22DB"/>
    <w:rsid w:val="006C2640"/>
    <w:rsid w:val="006C2C85"/>
    <w:rsid w:val="006C324D"/>
    <w:rsid w:val="006C3D20"/>
    <w:rsid w:val="006C3ECF"/>
    <w:rsid w:val="006C41F0"/>
    <w:rsid w:val="006C4267"/>
    <w:rsid w:val="006C4843"/>
    <w:rsid w:val="006C49EF"/>
    <w:rsid w:val="006C51A8"/>
    <w:rsid w:val="006C57F5"/>
    <w:rsid w:val="006C5E2B"/>
    <w:rsid w:val="006C65EF"/>
    <w:rsid w:val="006C67F7"/>
    <w:rsid w:val="006C6B13"/>
    <w:rsid w:val="006D19E7"/>
    <w:rsid w:val="006D424F"/>
    <w:rsid w:val="006D478F"/>
    <w:rsid w:val="006D58C0"/>
    <w:rsid w:val="006D7CBB"/>
    <w:rsid w:val="006D7DBD"/>
    <w:rsid w:val="006D7E90"/>
    <w:rsid w:val="006E019E"/>
    <w:rsid w:val="006E028C"/>
    <w:rsid w:val="006E07B3"/>
    <w:rsid w:val="006E213B"/>
    <w:rsid w:val="006E277D"/>
    <w:rsid w:val="006E295F"/>
    <w:rsid w:val="006E2E47"/>
    <w:rsid w:val="006E3953"/>
    <w:rsid w:val="006E3BD7"/>
    <w:rsid w:val="006E593F"/>
    <w:rsid w:val="006E5DE7"/>
    <w:rsid w:val="006E604F"/>
    <w:rsid w:val="006E6124"/>
    <w:rsid w:val="006E6DE1"/>
    <w:rsid w:val="006E7683"/>
    <w:rsid w:val="006E7AFE"/>
    <w:rsid w:val="006E7B02"/>
    <w:rsid w:val="006F0663"/>
    <w:rsid w:val="006F0B17"/>
    <w:rsid w:val="006F1076"/>
    <w:rsid w:val="006F14AC"/>
    <w:rsid w:val="006F1886"/>
    <w:rsid w:val="006F19A2"/>
    <w:rsid w:val="006F23B7"/>
    <w:rsid w:val="006F23F8"/>
    <w:rsid w:val="006F24B3"/>
    <w:rsid w:val="006F2982"/>
    <w:rsid w:val="006F29BF"/>
    <w:rsid w:val="006F2BB0"/>
    <w:rsid w:val="006F32C8"/>
    <w:rsid w:val="006F40B8"/>
    <w:rsid w:val="006F5208"/>
    <w:rsid w:val="006F5A2B"/>
    <w:rsid w:val="006F5B4E"/>
    <w:rsid w:val="006F60E1"/>
    <w:rsid w:val="006F6CEC"/>
    <w:rsid w:val="00700E97"/>
    <w:rsid w:val="00700F41"/>
    <w:rsid w:val="00701E3D"/>
    <w:rsid w:val="00701F88"/>
    <w:rsid w:val="00703463"/>
    <w:rsid w:val="00703908"/>
    <w:rsid w:val="00703EBA"/>
    <w:rsid w:val="00704162"/>
    <w:rsid w:val="007042EE"/>
    <w:rsid w:val="007043F7"/>
    <w:rsid w:val="00704648"/>
    <w:rsid w:val="00705458"/>
    <w:rsid w:val="00705B8F"/>
    <w:rsid w:val="00706AC6"/>
    <w:rsid w:val="00706AF7"/>
    <w:rsid w:val="00706EF4"/>
    <w:rsid w:val="00707299"/>
    <w:rsid w:val="00707390"/>
    <w:rsid w:val="0070758F"/>
    <w:rsid w:val="00707E0B"/>
    <w:rsid w:val="00710437"/>
    <w:rsid w:val="007106D1"/>
    <w:rsid w:val="00711B73"/>
    <w:rsid w:val="00711D36"/>
    <w:rsid w:val="00711D9B"/>
    <w:rsid w:val="00712400"/>
    <w:rsid w:val="00712455"/>
    <w:rsid w:val="007138F2"/>
    <w:rsid w:val="00714A53"/>
    <w:rsid w:val="00714E20"/>
    <w:rsid w:val="00716468"/>
    <w:rsid w:val="007207DC"/>
    <w:rsid w:val="00720A98"/>
    <w:rsid w:val="00721018"/>
    <w:rsid w:val="007211B5"/>
    <w:rsid w:val="00721AC0"/>
    <w:rsid w:val="00721E70"/>
    <w:rsid w:val="007222BC"/>
    <w:rsid w:val="007224BB"/>
    <w:rsid w:val="00722ADA"/>
    <w:rsid w:val="00722CBC"/>
    <w:rsid w:val="00723BC6"/>
    <w:rsid w:val="007241A7"/>
    <w:rsid w:val="00724853"/>
    <w:rsid w:val="00724B93"/>
    <w:rsid w:val="00725109"/>
    <w:rsid w:val="00725D58"/>
    <w:rsid w:val="007268AC"/>
    <w:rsid w:val="00726B9B"/>
    <w:rsid w:val="00727391"/>
    <w:rsid w:val="00730C80"/>
    <w:rsid w:val="007319C5"/>
    <w:rsid w:val="00731DF3"/>
    <w:rsid w:val="00732034"/>
    <w:rsid w:val="007324A1"/>
    <w:rsid w:val="0073264A"/>
    <w:rsid w:val="00732C7D"/>
    <w:rsid w:val="007337CC"/>
    <w:rsid w:val="00733856"/>
    <w:rsid w:val="00733919"/>
    <w:rsid w:val="00733D7F"/>
    <w:rsid w:val="00733E87"/>
    <w:rsid w:val="00734252"/>
    <w:rsid w:val="00734456"/>
    <w:rsid w:val="00734662"/>
    <w:rsid w:val="007347EA"/>
    <w:rsid w:val="00734D68"/>
    <w:rsid w:val="007352D5"/>
    <w:rsid w:val="00736F6D"/>
    <w:rsid w:val="00737CC1"/>
    <w:rsid w:val="00740CE0"/>
    <w:rsid w:val="0074143D"/>
    <w:rsid w:val="00741D91"/>
    <w:rsid w:val="00742788"/>
    <w:rsid w:val="007433C3"/>
    <w:rsid w:val="00743E9E"/>
    <w:rsid w:val="007440A3"/>
    <w:rsid w:val="00744B36"/>
    <w:rsid w:val="00745140"/>
    <w:rsid w:val="00745613"/>
    <w:rsid w:val="007459B2"/>
    <w:rsid w:val="00746206"/>
    <w:rsid w:val="007466EA"/>
    <w:rsid w:val="0074773D"/>
    <w:rsid w:val="00747B51"/>
    <w:rsid w:val="0075060E"/>
    <w:rsid w:val="0075099C"/>
    <w:rsid w:val="00750CBE"/>
    <w:rsid w:val="007519A4"/>
    <w:rsid w:val="00752366"/>
    <w:rsid w:val="00752C8C"/>
    <w:rsid w:val="007531DC"/>
    <w:rsid w:val="007543B0"/>
    <w:rsid w:val="00754CBD"/>
    <w:rsid w:val="00755472"/>
    <w:rsid w:val="007555F3"/>
    <w:rsid w:val="00755921"/>
    <w:rsid w:val="00755C6C"/>
    <w:rsid w:val="0075623B"/>
    <w:rsid w:val="007567FC"/>
    <w:rsid w:val="007568F7"/>
    <w:rsid w:val="00756CE3"/>
    <w:rsid w:val="0075746F"/>
    <w:rsid w:val="0075766E"/>
    <w:rsid w:val="0075795A"/>
    <w:rsid w:val="00757972"/>
    <w:rsid w:val="00760EE6"/>
    <w:rsid w:val="00761769"/>
    <w:rsid w:val="007622C9"/>
    <w:rsid w:val="00762462"/>
    <w:rsid w:val="00763093"/>
    <w:rsid w:val="0076313D"/>
    <w:rsid w:val="007631E9"/>
    <w:rsid w:val="00763713"/>
    <w:rsid w:val="0076517B"/>
    <w:rsid w:val="007659E3"/>
    <w:rsid w:val="00766EFB"/>
    <w:rsid w:val="0076723C"/>
    <w:rsid w:val="00767299"/>
    <w:rsid w:val="00767A34"/>
    <w:rsid w:val="00771311"/>
    <w:rsid w:val="007715D9"/>
    <w:rsid w:val="00771834"/>
    <w:rsid w:val="00771943"/>
    <w:rsid w:val="007720B5"/>
    <w:rsid w:val="00772456"/>
    <w:rsid w:val="007727BF"/>
    <w:rsid w:val="00772BD1"/>
    <w:rsid w:val="00772EB9"/>
    <w:rsid w:val="00773D79"/>
    <w:rsid w:val="00774A5C"/>
    <w:rsid w:val="00774BD6"/>
    <w:rsid w:val="00776517"/>
    <w:rsid w:val="00776BE9"/>
    <w:rsid w:val="00777093"/>
    <w:rsid w:val="0077712A"/>
    <w:rsid w:val="007775A7"/>
    <w:rsid w:val="00777DDB"/>
    <w:rsid w:val="007801EA"/>
    <w:rsid w:val="00780256"/>
    <w:rsid w:val="007810BB"/>
    <w:rsid w:val="00781368"/>
    <w:rsid w:val="00781A37"/>
    <w:rsid w:val="00781F1C"/>
    <w:rsid w:val="007820D1"/>
    <w:rsid w:val="00782DB7"/>
    <w:rsid w:val="0078344D"/>
    <w:rsid w:val="007835D8"/>
    <w:rsid w:val="00783608"/>
    <w:rsid w:val="00783969"/>
    <w:rsid w:val="00784E5C"/>
    <w:rsid w:val="007850DB"/>
    <w:rsid w:val="0078588E"/>
    <w:rsid w:val="00785933"/>
    <w:rsid w:val="007861F0"/>
    <w:rsid w:val="00786252"/>
    <w:rsid w:val="00786887"/>
    <w:rsid w:val="00786B00"/>
    <w:rsid w:val="00786F62"/>
    <w:rsid w:val="007873DF"/>
    <w:rsid w:val="007873EF"/>
    <w:rsid w:val="00787B29"/>
    <w:rsid w:val="00787B45"/>
    <w:rsid w:val="00790900"/>
    <w:rsid w:val="00790954"/>
    <w:rsid w:val="00790C52"/>
    <w:rsid w:val="0079120E"/>
    <w:rsid w:val="0079185D"/>
    <w:rsid w:val="0079239E"/>
    <w:rsid w:val="007924C5"/>
    <w:rsid w:val="007940BE"/>
    <w:rsid w:val="007944D6"/>
    <w:rsid w:val="00794EF6"/>
    <w:rsid w:val="007963D1"/>
    <w:rsid w:val="00796F3B"/>
    <w:rsid w:val="00797146"/>
    <w:rsid w:val="00797206"/>
    <w:rsid w:val="0079736B"/>
    <w:rsid w:val="00797E6C"/>
    <w:rsid w:val="007A0D81"/>
    <w:rsid w:val="007A12F3"/>
    <w:rsid w:val="007A1DB5"/>
    <w:rsid w:val="007A21BB"/>
    <w:rsid w:val="007A275B"/>
    <w:rsid w:val="007A2BF5"/>
    <w:rsid w:val="007A363B"/>
    <w:rsid w:val="007A4488"/>
    <w:rsid w:val="007A476B"/>
    <w:rsid w:val="007A5199"/>
    <w:rsid w:val="007A51A5"/>
    <w:rsid w:val="007A54D5"/>
    <w:rsid w:val="007A6061"/>
    <w:rsid w:val="007A6700"/>
    <w:rsid w:val="007A76F6"/>
    <w:rsid w:val="007A7F3E"/>
    <w:rsid w:val="007B0EA0"/>
    <w:rsid w:val="007B104B"/>
    <w:rsid w:val="007B1C0A"/>
    <w:rsid w:val="007B1C76"/>
    <w:rsid w:val="007B278B"/>
    <w:rsid w:val="007B3EBA"/>
    <w:rsid w:val="007B405A"/>
    <w:rsid w:val="007B431D"/>
    <w:rsid w:val="007B5190"/>
    <w:rsid w:val="007B5E04"/>
    <w:rsid w:val="007B6093"/>
    <w:rsid w:val="007B64D8"/>
    <w:rsid w:val="007B67C8"/>
    <w:rsid w:val="007B6D99"/>
    <w:rsid w:val="007B73E7"/>
    <w:rsid w:val="007C0173"/>
    <w:rsid w:val="007C09E1"/>
    <w:rsid w:val="007C0E03"/>
    <w:rsid w:val="007C1091"/>
    <w:rsid w:val="007C158A"/>
    <w:rsid w:val="007C196E"/>
    <w:rsid w:val="007C19C8"/>
    <w:rsid w:val="007C21B4"/>
    <w:rsid w:val="007C2312"/>
    <w:rsid w:val="007C2351"/>
    <w:rsid w:val="007C29E6"/>
    <w:rsid w:val="007C31C0"/>
    <w:rsid w:val="007C35AD"/>
    <w:rsid w:val="007C3A85"/>
    <w:rsid w:val="007C426F"/>
    <w:rsid w:val="007C60C3"/>
    <w:rsid w:val="007C618E"/>
    <w:rsid w:val="007C69A3"/>
    <w:rsid w:val="007C6EFA"/>
    <w:rsid w:val="007C7A90"/>
    <w:rsid w:val="007D015E"/>
    <w:rsid w:val="007D0A7A"/>
    <w:rsid w:val="007D0CBC"/>
    <w:rsid w:val="007D3366"/>
    <w:rsid w:val="007D5702"/>
    <w:rsid w:val="007D6102"/>
    <w:rsid w:val="007D659E"/>
    <w:rsid w:val="007D6920"/>
    <w:rsid w:val="007D6F1C"/>
    <w:rsid w:val="007D7096"/>
    <w:rsid w:val="007E19B7"/>
    <w:rsid w:val="007E2D15"/>
    <w:rsid w:val="007E2D80"/>
    <w:rsid w:val="007E2FD7"/>
    <w:rsid w:val="007E3D7A"/>
    <w:rsid w:val="007E4A87"/>
    <w:rsid w:val="007E52BC"/>
    <w:rsid w:val="007E5425"/>
    <w:rsid w:val="007E6928"/>
    <w:rsid w:val="007E70EE"/>
    <w:rsid w:val="007E7308"/>
    <w:rsid w:val="007F0695"/>
    <w:rsid w:val="007F0FC7"/>
    <w:rsid w:val="007F136F"/>
    <w:rsid w:val="007F1565"/>
    <w:rsid w:val="007F2AFD"/>
    <w:rsid w:val="007F2D98"/>
    <w:rsid w:val="007F3350"/>
    <w:rsid w:val="007F4901"/>
    <w:rsid w:val="007F4981"/>
    <w:rsid w:val="007F4F47"/>
    <w:rsid w:val="007F75B9"/>
    <w:rsid w:val="007F783B"/>
    <w:rsid w:val="00801567"/>
    <w:rsid w:val="008015F4"/>
    <w:rsid w:val="00801A63"/>
    <w:rsid w:val="00801E2B"/>
    <w:rsid w:val="008029E0"/>
    <w:rsid w:val="00803259"/>
    <w:rsid w:val="00804676"/>
    <w:rsid w:val="00804B55"/>
    <w:rsid w:val="008052EC"/>
    <w:rsid w:val="008053F3"/>
    <w:rsid w:val="008066FC"/>
    <w:rsid w:val="008067D5"/>
    <w:rsid w:val="00807A31"/>
    <w:rsid w:val="00807E70"/>
    <w:rsid w:val="008100C2"/>
    <w:rsid w:val="00810BDC"/>
    <w:rsid w:val="00810FE3"/>
    <w:rsid w:val="00811648"/>
    <w:rsid w:val="00811774"/>
    <w:rsid w:val="00811AC6"/>
    <w:rsid w:val="00813559"/>
    <w:rsid w:val="00813BAD"/>
    <w:rsid w:val="00814300"/>
    <w:rsid w:val="00814636"/>
    <w:rsid w:val="008147FA"/>
    <w:rsid w:val="008151A1"/>
    <w:rsid w:val="0081590C"/>
    <w:rsid w:val="00816581"/>
    <w:rsid w:val="00820A75"/>
    <w:rsid w:val="00820F3E"/>
    <w:rsid w:val="0082128F"/>
    <w:rsid w:val="00821FAC"/>
    <w:rsid w:val="0082222C"/>
    <w:rsid w:val="0082236C"/>
    <w:rsid w:val="008227CF"/>
    <w:rsid w:val="008231C6"/>
    <w:rsid w:val="00823CE9"/>
    <w:rsid w:val="00823F6F"/>
    <w:rsid w:val="00824280"/>
    <w:rsid w:val="00824A1F"/>
    <w:rsid w:val="00825112"/>
    <w:rsid w:val="008257AA"/>
    <w:rsid w:val="00825DB9"/>
    <w:rsid w:val="00825EB0"/>
    <w:rsid w:val="00825F9E"/>
    <w:rsid w:val="00826F44"/>
    <w:rsid w:val="0082713F"/>
    <w:rsid w:val="00827333"/>
    <w:rsid w:val="00830E10"/>
    <w:rsid w:val="00831255"/>
    <w:rsid w:val="008316B7"/>
    <w:rsid w:val="00831E3C"/>
    <w:rsid w:val="008324A0"/>
    <w:rsid w:val="00832612"/>
    <w:rsid w:val="00832C5C"/>
    <w:rsid w:val="00833501"/>
    <w:rsid w:val="00833909"/>
    <w:rsid w:val="00833EA6"/>
    <w:rsid w:val="00834133"/>
    <w:rsid w:val="008347BC"/>
    <w:rsid w:val="00834BB7"/>
    <w:rsid w:val="00835427"/>
    <w:rsid w:val="008360D1"/>
    <w:rsid w:val="00836C1B"/>
    <w:rsid w:val="00840387"/>
    <w:rsid w:val="0084070E"/>
    <w:rsid w:val="00840868"/>
    <w:rsid w:val="00841397"/>
    <w:rsid w:val="00841524"/>
    <w:rsid w:val="00841AC7"/>
    <w:rsid w:val="00841FB0"/>
    <w:rsid w:val="00842117"/>
    <w:rsid w:val="00842B9A"/>
    <w:rsid w:val="0084305F"/>
    <w:rsid w:val="008435B1"/>
    <w:rsid w:val="0084410E"/>
    <w:rsid w:val="008449C3"/>
    <w:rsid w:val="00844B1E"/>
    <w:rsid w:val="00844FB7"/>
    <w:rsid w:val="008450F6"/>
    <w:rsid w:val="00845393"/>
    <w:rsid w:val="008464B8"/>
    <w:rsid w:val="0084674D"/>
    <w:rsid w:val="008467CC"/>
    <w:rsid w:val="00847F67"/>
    <w:rsid w:val="0085068D"/>
    <w:rsid w:val="00850C97"/>
    <w:rsid w:val="008515BF"/>
    <w:rsid w:val="008528D2"/>
    <w:rsid w:val="00854092"/>
    <w:rsid w:val="0085420B"/>
    <w:rsid w:val="00854AD4"/>
    <w:rsid w:val="00854E2C"/>
    <w:rsid w:val="00856929"/>
    <w:rsid w:val="00857D80"/>
    <w:rsid w:val="008604C0"/>
    <w:rsid w:val="00860E6D"/>
    <w:rsid w:val="00860E6F"/>
    <w:rsid w:val="0086180A"/>
    <w:rsid w:val="00861E32"/>
    <w:rsid w:val="008620AF"/>
    <w:rsid w:val="0086220B"/>
    <w:rsid w:val="0086224B"/>
    <w:rsid w:val="0086236D"/>
    <w:rsid w:val="00863289"/>
    <w:rsid w:val="00863D95"/>
    <w:rsid w:val="00864987"/>
    <w:rsid w:val="008649F9"/>
    <w:rsid w:val="00864AFC"/>
    <w:rsid w:val="0086695C"/>
    <w:rsid w:val="008705B2"/>
    <w:rsid w:val="0087074D"/>
    <w:rsid w:val="00873015"/>
    <w:rsid w:val="0087304C"/>
    <w:rsid w:val="00873DDC"/>
    <w:rsid w:val="00874110"/>
    <w:rsid w:val="008743EE"/>
    <w:rsid w:val="008746EA"/>
    <w:rsid w:val="00875CF5"/>
    <w:rsid w:val="00875FC0"/>
    <w:rsid w:val="00875FDC"/>
    <w:rsid w:val="00876889"/>
    <w:rsid w:val="00876983"/>
    <w:rsid w:val="00877231"/>
    <w:rsid w:val="00877C28"/>
    <w:rsid w:val="00880ECA"/>
    <w:rsid w:val="008821EE"/>
    <w:rsid w:val="00882952"/>
    <w:rsid w:val="00883BA1"/>
    <w:rsid w:val="00883C02"/>
    <w:rsid w:val="00883FA7"/>
    <w:rsid w:val="00884524"/>
    <w:rsid w:val="00884B31"/>
    <w:rsid w:val="00884BC9"/>
    <w:rsid w:val="00885DC2"/>
    <w:rsid w:val="00886667"/>
    <w:rsid w:val="00887B6D"/>
    <w:rsid w:val="00890004"/>
    <w:rsid w:val="0089058C"/>
    <w:rsid w:val="008906F1"/>
    <w:rsid w:val="00891118"/>
    <w:rsid w:val="00891727"/>
    <w:rsid w:val="008917DB"/>
    <w:rsid w:val="00891C16"/>
    <w:rsid w:val="008938BD"/>
    <w:rsid w:val="00895E33"/>
    <w:rsid w:val="008968ED"/>
    <w:rsid w:val="00896DFA"/>
    <w:rsid w:val="00897880"/>
    <w:rsid w:val="00897C27"/>
    <w:rsid w:val="008A010D"/>
    <w:rsid w:val="008A08B9"/>
    <w:rsid w:val="008A0D3D"/>
    <w:rsid w:val="008A10A7"/>
    <w:rsid w:val="008A182D"/>
    <w:rsid w:val="008A1C62"/>
    <w:rsid w:val="008A1E3B"/>
    <w:rsid w:val="008A215B"/>
    <w:rsid w:val="008A23CA"/>
    <w:rsid w:val="008A3528"/>
    <w:rsid w:val="008A41BD"/>
    <w:rsid w:val="008A4410"/>
    <w:rsid w:val="008A4607"/>
    <w:rsid w:val="008A5123"/>
    <w:rsid w:val="008A5DE7"/>
    <w:rsid w:val="008A5E77"/>
    <w:rsid w:val="008A681F"/>
    <w:rsid w:val="008A6DE7"/>
    <w:rsid w:val="008A765C"/>
    <w:rsid w:val="008A7C07"/>
    <w:rsid w:val="008B01B4"/>
    <w:rsid w:val="008B1171"/>
    <w:rsid w:val="008B1552"/>
    <w:rsid w:val="008B1C0F"/>
    <w:rsid w:val="008B2017"/>
    <w:rsid w:val="008B3DFE"/>
    <w:rsid w:val="008B413B"/>
    <w:rsid w:val="008B4222"/>
    <w:rsid w:val="008B49BE"/>
    <w:rsid w:val="008B5E3D"/>
    <w:rsid w:val="008B62CE"/>
    <w:rsid w:val="008B651B"/>
    <w:rsid w:val="008B724D"/>
    <w:rsid w:val="008B7D3C"/>
    <w:rsid w:val="008C0062"/>
    <w:rsid w:val="008C014F"/>
    <w:rsid w:val="008C0627"/>
    <w:rsid w:val="008C11B7"/>
    <w:rsid w:val="008C18C8"/>
    <w:rsid w:val="008C2203"/>
    <w:rsid w:val="008C2F07"/>
    <w:rsid w:val="008C2FBA"/>
    <w:rsid w:val="008C3E64"/>
    <w:rsid w:val="008C48C4"/>
    <w:rsid w:val="008C4C5A"/>
    <w:rsid w:val="008C56F3"/>
    <w:rsid w:val="008C592F"/>
    <w:rsid w:val="008C5ADD"/>
    <w:rsid w:val="008C5D3B"/>
    <w:rsid w:val="008C61A5"/>
    <w:rsid w:val="008C672E"/>
    <w:rsid w:val="008C6C00"/>
    <w:rsid w:val="008C71B8"/>
    <w:rsid w:val="008C7A6B"/>
    <w:rsid w:val="008C7D34"/>
    <w:rsid w:val="008C7ECB"/>
    <w:rsid w:val="008D07E1"/>
    <w:rsid w:val="008D124A"/>
    <w:rsid w:val="008D1330"/>
    <w:rsid w:val="008D1B25"/>
    <w:rsid w:val="008D2AB9"/>
    <w:rsid w:val="008D369F"/>
    <w:rsid w:val="008D4516"/>
    <w:rsid w:val="008D4C81"/>
    <w:rsid w:val="008D4E97"/>
    <w:rsid w:val="008D52C1"/>
    <w:rsid w:val="008D53F7"/>
    <w:rsid w:val="008D5458"/>
    <w:rsid w:val="008D5903"/>
    <w:rsid w:val="008D61AA"/>
    <w:rsid w:val="008D6B07"/>
    <w:rsid w:val="008D7319"/>
    <w:rsid w:val="008D757F"/>
    <w:rsid w:val="008D7A01"/>
    <w:rsid w:val="008D7C3C"/>
    <w:rsid w:val="008D7F2B"/>
    <w:rsid w:val="008E0BC0"/>
    <w:rsid w:val="008E0C42"/>
    <w:rsid w:val="008E0C5A"/>
    <w:rsid w:val="008E110A"/>
    <w:rsid w:val="008E1B7D"/>
    <w:rsid w:val="008E1E27"/>
    <w:rsid w:val="008E228D"/>
    <w:rsid w:val="008E2359"/>
    <w:rsid w:val="008E2834"/>
    <w:rsid w:val="008E2DAB"/>
    <w:rsid w:val="008E2E41"/>
    <w:rsid w:val="008E32A9"/>
    <w:rsid w:val="008E37D2"/>
    <w:rsid w:val="008E38F7"/>
    <w:rsid w:val="008E3B6C"/>
    <w:rsid w:val="008E3B73"/>
    <w:rsid w:val="008E3F8B"/>
    <w:rsid w:val="008E46C6"/>
    <w:rsid w:val="008E576E"/>
    <w:rsid w:val="008E5D1F"/>
    <w:rsid w:val="008E6658"/>
    <w:rsid w:val="008E67D2"/>
    <w:rsid w:val="008F0804"/>
    <w:rsid w:val="008F12E6"/>
    <w:rsid w:val="008F1750"/>
    <w:rsid w:val="008F17A2"/>
    <w:rsid w:val="008F1842"/>
    <w:rsid w:val="008F28A2"/>
    <w:rsid w:val="008F394E"/>
    <w:rsid w:val="008F3D40"/>
    <w:rsid w:val="008F462A"/>
    <w:rsid w:val="008F4ACB"/>
    <w:rsid w:val="008F4D24"/>
    <w:rsid w:val="008F514D"/>
    <w:rsid w:val="008F522F"/>
    <w:rsid w:val="008F523A"/>
    <w:rsid w:val="008F567B"/>
    <w:rsid w:val="008F58DD"/>
    <w:rsid w:val="008F59D6"/>
    <w:rsid w:val="008F5E9F"/>
    <w:rsid w:val="008F7AD2"/>
    <w:rsid w:val="009000DF"/>
    <w:rsid w:val="00900206"/>
    <w:rsid w:val="00900305"/>
    <w:rsid w:val="009003DF"/>
    <w:rsid w:val="0090066E"/>
    <w:rsid w:val="0090085A"/>
    <w:rsid w:val="00900B1F"/>
    <w:rsid w:val="00900CE7"/>
    <w:rsid w:val="009011A0"/>
    <w:rsid w:val="0090121C"/>
    <w:rsid w:val="0090146F"/>
    <w:rsid w:val="00901D29"/>
    <w:rsid w:val="009025B1"/>
    <w:rsid w:val="009025E4"/>
    <w:rsid w:val="009031ED"/>
    <w:rsid w:val="00903481"/>
    <w:rsid w:val="009036CD"/>
    <w:rsid w:val="00903C1F"/>
    <w:rsid w:val="00904FB8"/>
    <w:rsid w:val="009051B3"/>
    <w:rsid w:val="009058AB"/>
    <w:rsid w:val="00905C01"/>
    <w:rsid w:val="00906CD9"/>
    <w:rsid w:val="00906F5B"/>
    <w:rsid w:val="009071FD"/>
    <w:rsid w:val="00911B88"/>
    <w:rsid w:val="00912755"/>
    <w:rsid w:val="00913032"/>
    <w:rsid w:val="00913F75"/>
    <w:rsid w:val="00913FC5"/>
    <w:rsid w:val="00914A12"/>
    <w:rsid w:val="00915335"/>
    <w:rsid w:val="00915C41"/>
    <w:rsid w:val="00915EE4"/>
    <w:rsid w:val="00916208"/>
    <w:rsid w:val="009164EE"/>
    <w:rsid w:val="009172B6"/>
    <w:rsid w:val="00917407"/>
    <w:rsid w:val="00917F58"/>
    <w:rsid w:val="009203B7"/>
    <w:rsid w:val="00920403"/>
    <w:rsid w:val="00920A10"/>
    <w:rsid w:val="009225FD"/>
    <w:rsid w:val="00922873"/>
    <w:rsid w:val="00922B1E"/>
    <w:rsid w:val="00923457"/>
    <w:rsid w:val="00923490"/>
    <w:rsid w:val="009237FC"/>
    <w:rsid w:val="009239F1"/>
    <w:rsid w:val="00923F0A"/>
    <w:rsid w:val="00923F25"/>
    <w:rsid w:val="00924E27"/>
    <w:rsid w:val="00924E32"/>
    <w:rsid w:val="009252A4"/>
    <w:rsid w:val="00925BA9"/>
    <w:rsid w:val="0092617C"/>
    <w:rsid w:val="00926493"/>
    <w:rsid w:val="00927ECB"/>
    <w:rsid w:val="00930C79"/>
    <w:rsid w:val="009311BC"/>
    <w:rsid w:val="009313E0"/>
    <w:rsid w:val="0093159E"/>
    <w:rsid w:val="00931C80"/>
    <w:rsid w:val="009321F8"/>
    <w:rsid w:val="00932F4C"/>
    <w:rsid w:val="009339AF"/>
    <w:rsid w:val="00933B2C"/>
    <w:rsid w:val="00933B36"/>
    <w:rsid w:val="00933CC2"/>
    <w:rsid w:val="00934507"/>
    <w:rsid w:val="009348D1"/>
    <w:rsid w:val="00934AF3"/>
    <w:rsid w:val="00934CAF"/>
    <w:rsid w:val="00935811"/>
    <w:rsid w:val="00935C11"/>
    <w:rsid w:val="00935E04"/>
    <w:rsid w:val="009366FA"/>
    <w:rsid w:val="00936A37"/>
    <w:rsid w:val="00936B18"/>
    <w:rsid w:val="00936CD3"/>
    <w:rsid w:val="00936E7C"/>
    <w:rsid w:val="00936E7F"/>
    <w:rsid w:val="00940090"/>
    <w:rsid w:val="00940629"/>
    <w:rsid w:val="00941234"/>
    <w:rsid w:val="009413D4"/>
    <w:rsid w:val="00941B90"/>
    <w:rsid w:val="009436AE"/>
    <w:rsid w:val="009448FD"/>
    <w:rsid w:val="00944EC3"/>
    <w:rsid w:val="00945432"/>
    <w:rsid w:val="009458A7"/>
    <w:rsid w:val="0094616C"/>
    <w:rsid w:val="00946830"/>
    <w:rsid w:val="00946BB1"/>
    <w:rsid w:val="00946DCF"/>
    <w:rsid w:val="00946FB1"/>
    <w:rsid w:val="009477B8"/>
    <w:rsid w:val="00947E1D"/>
    <w:rsid w:val="00950004"/>
    <w:rsid w:val="0095092A"/>
    <w:rsid w:val="00952AD9"/>
    <w:rsid w:val="00952D37"/>
    <w:rsid w:val="009530CD"/>
    <w:rsid w:val="009531FF"/>
    <w:rsid w:val="00953364"/>
    <w:rsid w:val="00953A47"/>
    <w:rsid w:val="00953D0B"/>
    <w:rsid w:val="00954A2C"/>
    <w:rsid w:val="00955300"/>
    <w:rsid w:val="0095635C"/>
    <w:rsid w:val="00956B91"/>
    <w:rsid w:val="009570FE"/>
    <w:rsid w:val="009575AA"/>
    <w:rsid w:val="009579FE"/>
    <w:rsid w:val="00960537"/>
    <w:rsid w:val="009608D5"/>
    <w:rsid w:val="00960E5C"/>
    <w:rsid w:val="009632D2"/>
    <w:rsid w:val="009633F2"/>
    <w:rsid w:val="00963430"/>
    <w:rsid w:val="00963B32"/>
    <w:rsid w:val="00963B7B"/>
    <w:rsid w:val="00963C4C"/>
    <w:rsid w:val="00963F1A"/>
    <w:rsid w:val="0096415A"/>
    <w:rsid w:val="009641C1"/>
    <w:rsid w:val="00964760"/>
    <w:rsid w:val="00964803"/>
    <w:rsid w:val="0096537C"/>
    <w:rsid w:val="00966C16"/>
    <w:rsid w:val="0096750F"/>
    <w:rsid w:val="0096783D"/>
    <w:rsid w:val="00967EC0"/>
    <w:rsid w:val="009702D2"/>
    <w:rsid w:val="009707DF"/>
    <w:rsid w:val="00970B64"/>
    <w:rsid w:val="00970D5A"/>
    <w:rsid w:val="00971ED5"/>
    <w:rsid w:val="00972A50"/>
    <w:rsid w:val="00973C29"/>
    <w:rsid w:val="00973F8C"/>
    <w:rsid w:val="0097520C"/>
    <w:rsid w:val="009753DF"/>
    <w:rsid w:val="0097777F"/>
    <w:rsid w:val="009779E0"/>
    <w:rsid w:val="00981B96"/>
    <w:rsid w:val="00981E65"/>
    <w:rsid w:val="00982466"/>
    <w:rsid w:val="0098293E"/>
    <w:rsid w:val="00982E18"/>
    <w:rsid w:val="00982EE3"/>
    <w:rsid w:val="009834B1"/>
    <w:rsid w:val="00984CEA"/>
    <w:rsid w:val="00984D73"/>
    <w:rsid w:val="00986177"/>
    <w:rsid w:val="009863C6"/>
    <w:rsid w:val="00986B36"/>
    <w:rsid w:val="00990AED"/>
    <w:rsid w:val="0099140F"/>
    <w:rsid w:val="00991BD2"/>
    <w:rsid w:val="00991F14"/>
    <w:rsid w:val="0099228F"/>
    <w:rsid w:val="00992A7F"/>
    <w:rsid w:val="00993150"/>
    <w:rsid w:val="009931FA"/>
    <w:rsid w:val="0099369B"/>
    <w:rsid w:val="00993B72"/>
    <w:rsid w:val="00993EA7"/>
    <w:rsid w:val="00993FAC"/>
    <w:rsid w:val="00994B9B"/>
    <w:rsid w:val="0099570D"/>
    <w:rsid w:val="009964AB"/>
    <w:rsid w:val="00996E92"/>
    <w:rsid w:val="00996EFD"/>
    <w:rsid w:val="009971FB"/>
    <w:rsid w:val="0099769A"/>
    <w:rsid w:val="00997979"/>
    <w:rsid w:val="00997AB0"/>
    <w:rsid w:val="009A0294"/>
    <w:rsid w:val="009A0397"/>
    <w:rsid w:val="009A04C7"/>
    <w:rsid w:val="009A16E4"/>
    <w:rsid w:val="009A19C9"/>
    <w:rsid w:val="009A244A"/>
    <w:rsid w:val="009A2681"/>
    <w:rsid w:val="009A2C3E"/>
    <w:rsid w:val="009A2D4E"/>
    <w:rsid w:val="009A3228"/>
    <w:rsid w:val="009A3664"/>
    <w:rsid w:val="009A3CB2"/>
    <w:rsid w:val="009A492E"/>
    <w:rsid w:val="009A4978"/>
    <w:rsid w:val="009A49B7"/>
    <w:rsid w:val="009A52D6"/>
    <w:rsid w:val="009A5481"/>
    <w:rsid w:val="009A5B86"/>
    <w:rsid w:val="009A5E54"/>
    <w:rsid w:val="009A5E6B"/>
    <w:rsid w:val="009A6C0F"/>
    <w:rsid w:val="009B150E"/>
    <w:rsid w:val="009B180C"/>
    <w:rsid w:val="009B1D71"/>
    <w:rsid w:val="009B21E5"/>
    <w:rsid w:val="009B24AE"/>
    <w:rsid w:val="009B31D2"/>
    <w:rsid w:val="009B31D6"/>
    <w:rsid w:val="009B3831"/>
    <w:rsid w:val="009B443A"/>
    <w:rsid w:val="009B45BE"/>
    <w:rsid w:val="009B4783"/>
    <w:rsid w:val="009B4874"/>
    <w:rsid w:val="009B51C5"/>
    <w:rsid w:val="009B5778"/>
    <w:rsid w:val="009B5BA2"/>
    <w:rsid w:val="009B63F1"/>
    <w:rsid w:val="009B743D"/>
    <w:rsid w:val="009B76F4"/>
    <w:rsid w:val="009B7E0E"/>
    <w:rsid w:val="009C0787"/>
    <w:rsid w:val="009C0DBD"/>
    <w:rsid w:val="009C110E"/>
    <w:rsid w:val="009C1361"/>
    <w:rsid w:val="009C162F"/>
    <w:rsid w:val="009C187E"/>
    <w:rsid w:val="009C298F"/>
    <w:rsid w:val="009C29C0"/>
    <w:rsid w:val="009C320E"/>
    <w:rsid w:val="009C3406"/>
    <w:rsid w:val="009C37E9"/>
    <w:rsid w:val="009C391D"/>
    <w:rsid w:val="009C4204"/>
    <w:rsid w:val="009C42F6"/>
    <w:rsid w:val="009C4848"/>
    <w:rsid w:val="009C4C4B"/>
    <w:rsid w:val="009C4E33"/>
    <w:rsid w:val="009C4F1E"/>
    <w:rsid w:val="009C4F61"/>
    <w:rsid w:val="009C5A7A"/>
    <w:rsid w:val="009C62C8"/>
    <w:rsid w:val="009C6C28"/>
    <w:rsid w:val="009C6D6B"/>
    <w:rsid w:val="009C716B"/>
    <w:rsid w:val="009C732D"/>
    <w:rsid w:val="009D140B"/>
    <w:rsid w:val="009D20E3"/>
    <w:rsid w:val="009D32AA"/>
    <w:rsid w:val="009D35B1"/>
    <w:rsid w:val="009D3962"/>
    <w:rsid w:val="009D3E36"/>
    <w:rsid w:val="009D3E3B"/>
    <w:rsid w:val="009D427B"/>
    <w:rsid w:val="009D4ABF"/>
    <w:rsid w:val="009D550D"/>
    <w:rsid w:val="009D59B3"/>
    <w:rsid w:val="009D5AAB"/>
    <w:rsid w:val="009D5BCF"/>
    <w:rsid w:val="009D668E"/>
    <w:rsid w:val="009D76D8"/>
    <w:rsid w:val="009D7D30"/>
    <w:rsid w:val="009E0D45"/>
    <w:rsid w:val="009E0FCC"/>
    <w:rsid w:val="009E2364"/>
    <w:rsid w:val="009E319C"/>
    <w:rsid w:val="009E35B9"/>
    <w:rsid w:val="009E51B8"/>
    <w:rsid w:val="009E5418"/>
    <w:rsid w:val="009E5513"/>
    <w:rsid w:val="009E5874"/>
    <w:rsid w:val="009E5BAA"/>
    <w:rsid w:val="009E6348"/>
    <w:rsid w:val="009E710D"/>
    <w:rsid w:val="009E7BFD"/>
    <w:rsid w:val="009F077A"/>
    <w:rsid w:val="009F0A35"/>
    <w:rsid w:val="009F0BD3"/>
    <w:rsid w:val="009F0D74"/>
    <w:rsid w:val="009F17A7"/>
    <w:rsid w:val="009F1C05"/>
    <w:rsid w:val="009F298F"/>
    <w:rsid w:val="009F2D5E"/>
    <w:rsid w:val="009F320D"/>
    <w:rsid w:val="009F3425"/>
    <w:rsid w:val="009F3B13"/>
    <w:rsid w:val="009F3BDB"/>
    <w:rsid w:val="009F3C08"/>
    <w:rsid w:val="009F59F9"/>
    <w:rsid w:val="009F5EC5"/>
    <w:rsid w:val="009F6397"/>
    <w:rsid w:val="009F66D5"/>
    <w:rsid w:val="009F6882"/>
    <w:rsid w:val="009F7E20"/>
    <w:rsid w:val="009F7ECD"/>
    <w:rsid w:val="00A0049B"/>
    <w:rsid w:val="00A00A24"/>
    <w:rsid w:val="00A00AD5"/>
    <w:rsid w:val="00A00C15"/>
    <w:rsid w:val="00A019DA"/>
    <w:rsid w:val="00A027C3"/>
    <w:rsid w:val="00A0309A"/>
    <w:rsid w:val="00A0351B"/>
    <w:rsid w:val="00A0379D"/>
    <w:rsid w:val="00A03C69"/>
    <w:rsid w:val="00A03D48"/>
    <w:rsid w:val="00A0501D"/>
    <w:rsid w:val="00A050E1"/>
    <w:rsid w:val="00A05783"/>
    <w:rsid w:val="00A05975"/>
    <w:rsid w:val="00A05B02"/>
    <w:rsid w:val="00A05D64"/>
    <w:rsid w:val="00A06412"/>
    <w:rsid w:val="00A06C8C"/>
    <w:rsid w:val="00A06DC1"/>
    <w:rsid w:val="00A06F52"/>
    <w:rsid w:val="00A0701B"/>
    <w:rsid w:val="00A10101"/>
    <w:rsid w:val="00A108A4"/>
    <w:rsid w:val="00A108F6"/>
    <w:rsid w:val="00A10A43"/>
    <w:rsid w:val="00A12164"/>
    <w:rsid w:val="00A12AD7"/>
    <w:rsid w:val="00A12B69"/>
    <w:rsid w:val="00A12D2C"/>
    <w:rsid w:val="00A12EE8"/>
    <w:rsid w:val="00A138B6"/>
    <w:rsid w:val="00A13ED3"/>
    <w:rsid w:val="00A14A25"/>
    <w:rsid w:val="00A15FBF"/>
    <w:rsid w:val="00A16B05"/>
    <w:rsid w:val="00A16CD7"/>
    <w:rsid w:val="00A173BB"/>
    <w:rsid w:val="00A2092B"/>
    <w:rsid w:val="00A20DBF"/>
    <w:rsid w:val="00A21986"/>
    <w:rsid w:val="00A225A7"/>
    <w:rsid w:val="00A226CC"/>
    <w:rsid w:val="00A22A30"/>
    <w:rsid w:val="00A231E0"/>
    <w:rsid w:val="00A23B67"/>
    <w:rsid w:val="00A23DB0"/>
    <w:rsid w:val="00A2464D"/>
    <w:rsid w:val="00A2499A"/>
    <w:rsid w:val="00A25A86"/>
    <w:rsid w:val="00A25C19"/>
    <w:rsid w:val="00A26252"/>
    <w:rsid w:val="00A26591"/>
    <w:rsid w:val="00A2770A"/>
    <w:rsid w:val="00A31716"/>
    <w:rsid w:val="00A31A38"/>
    <w:rsid w:val="00A320A0"/>
    <w:rsid w:val="00A32410"/>
    <w:rsid w:val="00A32651"/>
    <w:rsid w:val="00A32838"/>
    <w:rsid w:val="00A3379C"/>
    <w:rsid w:val="00A339D6"/>
    <w:rsid w:val="00A33AB6"/>
    <w:rsid w:val="00A34057"/>
    <w:rsid w:val="00A348F8"/>
    <w:rsid w:val="00A351AC"/>
    <w:rsid w:val="00A3521D"/>
    <w:rsid w:val="00A3623E"/>
    <w:rsid w:val="00A36A82"/>
    <w:rsid w:val="00A36F8E"/>
    <w:rsid w:val="00A37DAB"/>
    <w:rsid w:val="00A4083F"/>
    <w:rsid w:val="00A40ADF"/>
    <w:rsid w:val="00A40E02"/>
    <w:rsid w:val="00A40F59"/>
    <w:rsid w:val="00A41DE3"/>
    <w:rsid w:val="00A434AA"/>
    <w:rsid w:val="00A43DB0"/>
    <w:rsid w:val="00A44874"/>
    <w:rsid w:val="00A44894"/>
    <w:rsid w:val="00A45607"/>
    <w:rsid w:val="00A46EA7"/>
    <w:rsid w:val="00A470CC"/>
    <w:rsid w:val="00A473AE"/>
    <w:rsid w:val="00A4781B"/>
    <w:rsid w:val="00A47D8E"/>
    <w:rsid w:val="00A50197"/>
    <w:rsid w:val="00A50212"/>
    <w:rsid w:val="00A51C9B"/>
    <w:rsid w:val="00A52012"/>
    <w:rsid w:val="00A53DF8"/>
    <w:rsid w:val="00A541EE"/>
    <w:rsid w:val="00A54547"/>
    <w:rsid w:val="00A5477F"/>
    <w:rsid w:val="00A54B4E"/>
    <w:rsid w:val="00A54E62"/>
    <w:rsid w:val="00A55103"/>
    <w:rsid w:val="00A5543D"/>
    <w:rsid w:val="00A55721"/>
    <w:rsid w:val="00A55B17"/>
    <w:rsid w:val="00A55BAD"/>
    <w:rsid w:val="00A564A3"/>
    <w:rsid w:val="00A567E5"/>
    <w:rsid w:val="00A56C63"/>
    <w:rsid w:val="00A5725D"/>
    <w:rsid w:val="00A57A37"/>
    <w:rsid w:val="00A57DB8"/>
    <w:rsid w:val="00A60051"/>
    <w:rsid w:val="00A60435"/>
    <w:rsid w:val="00A60C0B"/>
    <w:rsid w:val="00A60ECD"/>
    <w:rsid w:val="00A61AFC"/>
    <w:rsid w:val="00A61B92"/>
    <w:rsid w:val="00A62F40"/>
    <w:rsid w:val="00A64DF8"/>
    <w:rsid w:val="00A65535"/>
    <w:rsid w:val="00A65944"/>
    <w:rsid w:val="00A6665C"/>
    <w:rsid w:val="00A6708D"/>
    <w:rsid w:val="00A67496"/>
    <w:rsid w:val="00A7004F"/>
    <w:rsid w:val="00A70370"/>
    <w:rsid w:val="00A7053F"/>
    <w:rsid w:val="00A70FFC"/>
    <w:rsid w:val="00A71ABE"/>
    <w:rsid w:val="00A724B9"/>
    <w:rsid w:val="00A726DA"/>
    <w:rsid w:val="00A72EDC"/>
    <w:rsid w:val="00A7320D"/>
    <w:rsid w:val="00A748BD"/>
    <w:rsid w:val="00A74B64"/>
    <w:rsid w:val="00A74C5F"/>
    <w:rsid w:val="00A74FD2"/>
    <w:rsid w:val="00A75A8A"/>
    <w:rsid w:val="00A76321"/>
    <w:rsid w:val="00A775DD"/>
    <w:rsid w:val="00A77713"/>
    <w:rsid w:val="00A77B61"/>
    <w:rsid w:val="00A77E1C"/>
    <w:rsid w:val="00A77EAB"/>
    <w:rsid w:val="00A80687"/>
    <w:rsid w:val="00A8139A"/>
    <w:rsid w:val="00A8148E"/>
    <w:rsid w:val="00A814D3"/>
    <w:rsid w:val="00A828CC"/>
    <w:rsid w:val="00A835B0"/>
    <w:rsid w:val="00A849D9"/>
    <w:rsid w:val="00A85F11"/>
    <w:rsid w:val="00A86B80"/>
    <w:rsid w:val="00A87363"/>
    <w:rsid w:val="00A874E4"/>
    <w:rsid w:val="00A8762F"/>
    <w:rsid w:val="00A8777B"/>
    <w:rsid w:val="00A877A5"/>
    <w:rsid w:val="00A87B3D"/>
    <w:rsid w:val="00A9025E"/>
    <w:rsid w:val="00A904C0"/>
    <w:rsid w:val="00A904F8"/>
    <w:rsid w:val="00A906D1"/>
    <w:rsid w:val="00A909B4"/>
    <w:rsid w:val="00A90C9C"/>
    <w:rsid w:val="00A914BC"/>
    <w:rsid w:val="00A91C15"/>
    <w:rsid w:val="00A91C73"/>
    <w:rsid w:val="00A9299F"/>
    <w:rsid w:val="00A93035"/>
    <w:rsid w:val="00A95244"/>
    <w:rsid w:val="00A95F2A"/>
    <w:rsid w:val="00A96C68"/>
    <w:rsid w:val="00A96FF2"/>
    <w:rsid w:val="00A972BB"/>
    <w:rsid w:val="00A975B2"/>
    <w:rsid w:val="00A976B3"/>
    <w:rsid w:val="00A97C73"/>
    <w:rsid w:val="00AA0086"/>
    <w:rsid w:val="00AA0488"/>
    <w:rsid w:val="00AA0A90"/>
    <w:rsid w:val="00AA1781"/>
    <w:rsid w:val="00AA17E3"/>
    <w:rsid w:val="00AA2782"/>
    <w:rsid w:val="00AA2896"/>
    <w:rsid w:val="00AA2B98"/>
    <w:rsid w:val="00AA39DF"/>
    <w:rsid w:val="00AA3B6F"/>
    <w:rsid w:val="00AA452B"/>
    <w:rsid w:val="00AA464A"/>
    <w:rsid w:val="00AA4BDE"/>
    <w:rsid w:val="00AA4EFD"/>
    <w:rsid w:val="00AA5595"/>
    <w:rsid w:val="00AA6504"/>
    <w:rsid w:val="00AA695A"/>
    <w:rsid w:val="00AA754E"/>
    <w:rsid w:val="00AB04D0"/>
    <w:rsid w:val="00AB125A"/>
    <w:rsid w:val="00AB149F"/>
    <w:rsid w:val="00AB18E7"/>
    <w:rsid w:val="00AB2725"/>
    <w:rsid w:val="00AB2BED"/>
    <w:rsid w:val="00AB4166"/>
    <w:rsid w:val="00AB441C"/>
    <w:rsid w:val="00AB4B59"/>
    <w:rsid w:val="00AB52F3"/>
    <w:rsid w:val="00AB64F8"/>
    <w:rsid w:val="00AB6911"/>
    <w:rsid w:val="00AB73AC"/>
    <w:rsid w:val="00AB747C"/>
    <w:rsid w:val="00AB7752"/>
    <w:rsid w:val="00AC010A"/>
    <w:rsid w:val="00AC094D"/>
    <w:rsid w:val="00AC0CC3"/>
    <w:rsid w:val="00AC10EE"/>
    <w:rsid w:val="00AC11EA"/>
    <w:rsid w:val="00AC247E"/>
    <w:rsid w:val="00AC2610"/>
    <w:rsid w:val="00AC27C7"/>
    <w:rsid w:val="00AC284E"/>
    <w:rsid w:val="00AC2893"/>
    <w:rsid w:val="00AC3063"/>
    <w:rsid w:val="00AC3500"/>
    <w:rsid w:val="00AC374E"/>
    <w:rsid w:val="00AC3EE5"/>
    <w:rsid w:val="00AC3F35"/>
    <w:rsid w:val="00AC409A"/>
    <w:rsid w:val="00AC41AA"/>
    <w:rsid w:val="00AC4960"/>
    <w:rsid w:val="00AC5854"/>
    <w:rsid w:val="00AC680F"/>
    <w:rsid w:val="00AC685E"/>
    <w:rsid w:val="00AC72FC"/>
    <w:rsid w:val="00AC7642"/>
    <w:rsid w:val="00AC7994"/>
    <w:rsid w:val="00AD035C"/>
    <w:rsid w:val="00AD3367"/>
    <w:rsid w:val="00AD414D"/>
    <w:rsid w:val="00AD506A"/>
    <w:rsid w:val="00AD51AE"/>
    <w:rsid w:val="00AD5A02"/>
    <w:rsid w:val="00AD5D02"/>
    <w:rsid w:val="00AD721A"/>
    <w:rsid w:val="00AD7A40"/>
    <w:rsid w:val="00AD7F26"/>
    <w:rsid w:val="00AE0971"/>
    <w:rsid w:val="00AE1C0D"/>
    <w:rsid w:val="00AE21D6"/>
    <w:rsid w:val="00AE2EB5"/>
    <w:rsid w:val="00AE4753"/>
    <w:rsid w:val="00AE4F6B"/>
    <w:rsid w:val="00AE5C3D"/>
    <w:rsid w:val="00AE6225"/>
    <w:rsid w:val="00AE69F4"/>
    <w:rsid w:val="00AE7897"/>
    <w:rsid w:val="00AF0EF3"/>
    <w:rsid w:val="00AF112D"/>
    <w:rsid w:val="00AF134B"/>
    <w:rsid w:val="00AF17D0"/>
    <w:rsid w:val="00AF2313"/>
    <w:rsid w:val="00AF2F2B"/>
    <w:rsid w:val="00AF341E"/>
    <w:rsid w:val="00AF3AD7"/>
    <w:rsid w:val="00AF3E41"/>
    <w:rsid w:val="00AF4073"/>
    <w:rsid w:val="00AF4123"/>
    <w:rsid w:val="00AF4362"/>
    <w:rsid w:val="00AF48A9"/>
    <w:rsid w:val="00AF4F30"/>
    <w:rsid w:val="00AF53B8"/>
    <w:rsid w:val="00AF71B9"/>
    <w:rsid w:val="00AF7505"/>
    <w:rsid w:val="00AF79F5"/>
    <w:rsid w:val="00B00977"/>
    <w:rsid w:val="00B01FF8"/>
    <w:rsid w:val="00B0277A"/>
    <w:rsid w:val="00B02E81"/>
    <w:rsid w:val="00B03259"/>
    <w:rsid w:val="00B035EF"/>
    <w:rsid w:val="00B03D43"/>
    <w:rsid w:val="00B05251"/>
    <w:rsid w:val="00B05CB2"/>
    <w:rsid w:val="00B06364"/>
    <w:rsid w:val="00B0643B"/>
    <w:rsid w:val="00B074BB"/>
    <w:rsid w:val="00B07535"/>
    <w:rsid w:val="00B107C4"/>
    <w:rsid w:val="00B12607"/>
    <w:rsid w:val="00B12757"/>
    <w:rsid w:val="00B1309A"/>
    <w:rsid w:val="00B13370"/>
    <w:rsid w:val="00B140EF"/>
    <w:rsid w:val="00B141B8"/>
    <w:rsid w:val="00B14E83"/>
    <w:rsid w:val="00B1538C"/>
    <w:rsid w:val="00B157D7"/>
    <w:rsid w:val="00B15BBF"/>
    <w:rsid w:val="00B16A21"/>
    <w:rsid w:val="00B16AC5"/>
    <w:rsid w:val="00B171D7"/>
    <w:rsid w:val="00B172A8"/>
    <w:rsid w:val="00B1750B"/>
    <w:rsid w:val="00B1791D"/>
    <w:rsid w:val="00B2055B"/>
    <w:rsid w:val="00B21077"/>
    <w:rsid w:val="00B21086"/>
    <w:rsid w:val="00B219B8"/>
    <w:rsid w:val="00B22110"/>
    <w:rsid w:val="00B23703"/>
    <w:rsid w:val="00B248D8"/>
    <w:rsid w:val="00B254BF"/>
    <w:rsid w:val="00B25B25"/>
    <w:rsid w:val="00B27261"/>
    <w:rsid w:val="00B30062"/>
    <w:rsid w:val="00B307FA"/>
    <w:rsid w:val="00B31620"/>
    <w:rsid w:val="00B32DB2"/>
    <w:rsid w:val="00B3331F"/>
    <w:rsid w:val="00B33A2E"/>
    <w:rsid w:val="00B33A40"/>
    <w:rsid w:val="00B346E4"/>
    <w:rsid w:val="00B358AB"/>
    <w:rsid w:val="00B35CA3"/>
    <w:rsid w:val="00B363AD"/>
    <w:rsid w:val="00B36BD9"/>
    <w:rsid w:val="00B36DA3"/>
    <w:rsid w:val="00B371C8"/>
    <w:rsid w:val="00B40CB4"/>
    <w:rsid w:val="00B415B4"/>
    <w:rsid w:val="00B4164A"/>
    <w:rsid w:val="00B42AF4"/>
    <w:rsid w:val="00B43312"/>
    <w:rsid w:val="00B4415A"/>
    <w:rsid w:val="00B451F5"/>
    <w:rsid w:val="00B45994"/>
    <w:rsid w:val="00B469B2"/>
    <w:rsid w:val="00B46F18"/>
    <w:rsid w:val="00B47010"/>
    <w:rsid w:val="00B4760C"/>
    <w:rsid w:val="00B47B5C"/>
    <w:rsid w:val="00B5021D"/>
    <w:rsid w:val="00B50547"/>
    <w:rsid w:val="00B506B1"/>
    <w:rsid w:val="00B50B1C"/>
    <w:rsid w:val="00B50C12"/>
    <w:rsid w:val="00B50EF0"/>
    <w:rsid w:val="00B510CB"/>
    <w:rsid w:val="00B516EA"/>
    <w:rsid w:val="00B517BB"/>
    <w:rsid w:val="00B51D21"/>
    <w:rsid w:val="00B51EE2"/>
    <w:rsid w:val="00B51F7F"/>
    <w:rsid w:val="00B521B3"/>
    <w:rsid w:val="00B54559"/>
    <w:rsid w:val="00B5601A"/>
    <w:rsid w:val="00B5762E"/>
    <w:rsid w:val="00B57BD8"/>
    <w:rsid w:val="00B6021D"/>
    <w:rsid w:val="00B604C2"/>
    <w:rsid w:val="00B605E3"/>
    <w:rsid w:val="00B612A1"/>
    <w:rsid w:val="00B61DB6"/>
    <w:rsid w:val="00B61E6E"/>
    <w:rsid w:val="00B6271B"/>
    <w:rsid w:val="00B6277E"/>
    <w:rsid w:val="00B628BF"/>
    <w:rsid w:val="00B62E2D"/>
    <w:rsid w:val="00B630EC"/>
    <w:rsid w:val="00B636A5"/>
    <w:rsid w:val="00B63BEE"/>
    <w:rsid w:val="00B63CA0"/>
    <w:rsid w:val="00B642E7"/>
    <w:rsid w:val="00B643EB"/>
    <w:rsid w:val="00B64F73"/>
    <w:rsid w:val="00B65167"/>
    <w:rsid w:val="00B654B9"/>
    <w:rsid w:val="00B65676"/>
    <w:rsid w:val="00B656D3"/>
    <w:rsid w:val="00B65CF3"/>
    <w:rsid w:val="00B66368"/>
    <w:rsid w:val="00B664E4"/>
    <w:rsid w:val="00B66DEB"/>
    <w:rsid w:val="00B66F74"/>
    <w:rsid w:val="00B672C9"/>
    <w:rsid w:val="00B701BD"/>
    <w:rsid w:val="00B703E3"/>
    <w:rsid w:val="00B7081D"/>
    <w:rsid w:val="00B708E0"/>
    <w:rsid w:val="00B712A2"/>
    <w:rsid w:val="00B7287D"/>
    <w:rsid w:val="00B72C52"/>
    <w:rsid w:val="00B73710"/>
    <w:rsid w:val="00B737E4"/>
    <w:rsid w:val="00B73F98"/>
    <w:rsid w:val="00B7561A"/>
    <w:rsid w:val="00B763D1"/>
    <w:rsid w:val="00B77D19"/>
    <w:rsid w:val="00B80039"/>
    <w:rsid w:val="00B80DAD"/>
    <w:rsid w:val="00B8186F"/>
    <w:rsid w:val="00B82C06"/>
    <w:rsid w:val="00B82E23"/>
    <w:rsid w:val="00B8345B"/>
    <w:rsid w:val="00B834A2"/>
    <w:rsid w:val="00B834AA"/>
    <w:rsid w:val="00B83694"/>
    <w:rsid w:val="00B83F2F"/>
    <w:rsid w:val="00B84AED"/>
    <w:rsid w:val="00B84DC4"/>
    <w:rsid w:val="00B8526F"/>
    <w:rsid w:val="00B85A31"/>
    <w:rsid w:val="00B8634A"/>
    <w:rsid w:val="00B8675E"/>
    <w:rsid w:val="00B86A3D"/>
    <w:rsid w:val="00B87642"/>
    <w:rsid w:val="00B87F3E"/>
    <w:rsid w:val="00B900F8"/>
    <w:rsid w:val="00B90EFA"/>
    <w:rsid w:val="00B9128D"/>
    <w:rsid w:val="00B91BFC"/>
    <w:rsid w:val="00B92682"/>
    <w:rsid w:val="00B92A20"/>
    <w:rsid w:val="00B92B3A"/>
    <w:rsid w:val="00B934C5"/>
    <w:rsid w:val="00B952AD"/>
    <w:rsid w:val="00B957B0"/>
    <w:rsid w:val="00B95DC9"/>
    <w:rsid w:val="00B961D9"/>
    <w:rsid w:val="00B96A2A"/>
    <w:rsid w:val="00B97030"/>
    <w:rsid w:val="00B97449"/>
    <w:rsid w:val="00BA06A0"/>
    <w:rsid w:val="00BA0FBD"/>
    <w:rsid w:val="00BA352B"/>
    <w:rsid w:val="00BA3D15"/>
    <w:rsid w:val="00BA5DB5"/>
    <w:rsid w:val="00BA60FA"/>
    <w:rsid w:val="00BA781D"/>
    <w:rsid w:val="00BB2BF6"/>
    <w:rsid w:val="00BB3B10"/>
    <w:rsid w:val="00BB3B27"/>
    <w:rsid w:val="00BB467B"/>
    <w:rsid w:val="00BB4D8D"/>
    <w:rsid w:val="00BB4FED"/>
    <w:rsid w:val="00BB5030"/>
    <w:rsid w:val="00BB5653"/>
    <w:rsid w:val="00BB5F63"/>
    <w:rsid w:val="00BB6190"/>
    <w:rsid w:val="00BB6300"/>
    <w:rsid w:val="00BB677F"/>
    <w:rsid w:val="00BB6BA4"/>
    <w:rsid w:val="00BB7163"/>
    <w:rsid w:val="00BB76AE"/>
    <w:rsid w:val="00BC076E"/>
    <w:rsid w:val="00BC09E8"/>
    <w:rsid w:val="00BC0C4C"/>
    <w:rsid w:val="00BC0DC6"/>
    <w:rsid w:val="00BC1759"/>
    <w:rsid w:val="00BC17F0"/>
    <w:rsid w:val="00BC23D7"/>
    <w:rsid w:val="00BC3F06"/>
    <w:rsid w:val="00BC4575"/>
    <w:rsid w:val="00BC5CF8"/>
    <w:rsid w:val="00BC60BB"/>
    <w:rsid w:val="00BC6BED"/>
    <w:rsid w:val="00BC6E1D"/>
    <w:rsid w:val="00BC7646"/>
    <w:rsid w:val="00BC7B48"/>
    <w:rsid w:val="00BC7F7D"/>
    <w:rsid w:val="00BD18F3"/>
    <w:rsid w:val="00BD1ED9"/>
    <w:rsid w:val="00BD24A9"/>
    <w:rsid w:val="00BD31E6"/>
    <w:rsid w:val="00BD45F4"/>
    <w:rsid w:val="00BD730C"/>
    <w:rsid w:val="00BD742F"/>
    <w:rsid w:val="00BE066C"/>
    <w:rsid w:val="00BE06FE"/>
    <w:rsid w:val="00BE1A2A"/>
    <w:rsid w:val="00BE1DE8"/>
    <w:rsid w:val="00BE26A7"/>
    <w:rsid w:val="00BE296A"/>
    <w:rsid w:val="00BE2CBC"/>
    <w:rsid w:val="00BE3078"/>
    <w:rsid w:val="00BE37AF"/>
    <w:rsid w:val="00BE39B5"/>
    <w:rsid w:val="00BE46C0"/>
    <w:rsid w:val="00BE4F85"/>
    <w:rsid w:val="00BE58C4"/>
    <w:rsid w:val="00BE5CD5"/>
    <w:rsid w:val="00BE6CAB"/>
    <w:rsid w:val="00BE6E9A"/>
    <w:rsid w:val="00BE746D"/>
    <w:rsid w:val="00BF07B3"/>
    <w:rsid w:val="00BF0CF4"/>
    <w:rsid w:val="00BF0F9A"/>
    <w:rsid w:val="00BF1331"/>
    <w:rsid w:val="00BF1BE7"/>
    <w:rsid w:val="00BF1F5C"/>
    <w:rsid w:val="00BF1FC4"/>
    <w:rsid w:val="00BF27E0"/>
    <w:rsid w:val="00BF2A9C"/>
    <w:rsid w:val="00BF2CA6"/>
    <w:rsid w:val="00BF34E4"/>
    <w:rsid w:val="00BF3B75"/>
    <w:rsid w:val="00BF4174"/>
    <w:rsid w:val="00BF4FA0"/>
    <w:rsid w:val="00BF5065"/>
    <w:rsid w:val="00BF58B2"/>
    <w:rsid w:val="00BF5FB0"/>
    <w:rsid w:val="00BF6E6E"/>
    <w:rsid w:val="00C008C5"/>
    <w:rsid w:val="00C00980"/>
    <w:rsid w:val="00C00999"/>
    <w:rsid w:val="00C00D40"/>
    <w:rsid w:val="00C019E3"/>
    <w:rsid w:val="00C0295D"/>
    <w:rsid w:val="00C0511C"/>
    <w:rsid w:val="00C06130"/>
    <w:rsid w:val="00C065B4"/>
    <w:rsid w:val="00C06EC5"/>
    <w:rsid w:val="00C07101"/>
    <w:rsid w:val="00C07735"/>
    <w:rsid w:val="00C07759"/>
    <w:rsid w:val="00C078E4"/>
    <w:rsid w:val="00C07C9A"/>
    <w:rsid w:val="00C07CD7"/>
    <w:rsid w:val="00C102B5"/>
    <w:rsid w:val="00C11664"/>
    <w:rsid w:val="00C116D1"/>
    <w:rsid w:val="00C11971"/>
    <w:rsid w:val="00C11CD9"/>
    <w:rsid w:val="00C129AF"/>
    <w:rsid w:val="00C12F3C"/>
    <w:rsid w:val="00C134B7"/>
    <w:rsid w:val="00C13D87"/>
    <w:rsid w:val="00C1447F"/>
    <w:rsid w:val="00C14986"/>
    <w:rsid w:val="00C14FFD"/>
    <w:rsid w:val="00C16811"/>
    <w:rsid w:val="00C16847"/>
    <w:rsid w:val="00C169D6"/>
    <w:rsid w:val="00C17240"/>
    <w:rsid w:val="00C17C10"/>
    <w:rsid w:val="00C20DF7"/>
    <w:rsid w:val="00C22668"/>
    <w:rsid w:val="00C22E6B"/>
    <w:rsid w:val="00C2338F"/>
    <w:rsid w:val="00C23B00"/>
    <w:rsid w:val="00C24445"/>
    <w:rsid w:val="00C25668"/>
    <w:rsid w:val="00C25BD8"/>
    <w:rsid w:val="00C25DFC"/>
    <w:rsid w:val="00C260DD"/>
    <w:rsid w:val="00C26145"/>
    <w:rsid w:val="00C2632C"/>
    <w:rsid w:val="00C2725E"/>
    <w:rsid w:val="00C27DAC"/>
    <w:rsid w:val="00C301EB"/>
    <w:rsid w:val="00C3028C"/>
    <w:rsid w:val="00C312CE"/>
    <w:rsid w:val="00C316D6"/>
    <w:rsid w:val="00C31AA0"/>
    <w:rsid w:val="00C32B47"/>
    <w:rsid w:val="00C32E1C"/>
    <w:rsid w:val="00C334D8"/>
    <w:rsid w:val="00C33709"/>
    <w:rsid w:val="00C33A5D"/>
    <w:rsid w:val="00C33B52"/>
    <w:rsid w:val="00C346BE"/>
    <w:rsid w:val="00C35ACB"/>
    <w:rsid w:val="00C35BBD"/>
    <w:rsid w:val="00C36212"/>
    <w:rsid w:val="00C37D59"/>
    <w:rsid w:val="00C40CF5"/>
    <w:rsid w:val="00C40E19"/>
    <w:rsid w:val="00C411A8"/>
    <w:rsid w:val="00C4142C"/>
    <w:rsid w:val="00C41F7B"/>
    <w:rsid w:val="00C42526"/>
    <w:rsid w:val="00C427A4"/>
    <w:rsid w:val="00C42F61"/>
    <w:rsid w:val="00C43DF5"/>
    <w:rsid w:val="00C43FC4"/>
    <w:rsid w:val="00C44481"/>
    <w:rsid w:val="00C446CA"/>
    <w:rsid w:val="00C456BE"/>
    <w:rsid w:val="00C45A9C"/>
    <w:rsid w:val="00C45D3C"/>
    <w:rsid w:val="00C46342"/>
    <w:rsid w:val="00C4639F"/>
    <w:rsid w:val="00C467B9"/>
    <w:rsid w:val="00C46D9E"/>
    <w:rsid w:val="00C46E57"/>
    <w:rsid w:val="00C4716D"/>
    <w:rsid w:val="00C47826"/>
    <w:rsid w:val="00C4795E"/>
    <w:rsid w:val="00C47C22"/>
    <w:rsid w:val="00C50343"/>
    <w:rsid w:val="00C50AAF"/>
    <w:rsid w:val="00C50B9A"/>
    <w:rsid w:val="00C50CD5"/>
    <w:rsid w:val="00C511F2"/>
    <w:rsid w:val="00C51390"/>
    <w:rsid w:val="00C51837"/>
    <w:rsid w:val="00C51873"/>
    <w:rsid w:val="00C51D02"/>
    <w:rsid w:val="00C52593"/>
    <w:rsid w:val="00C52ED5"/>
    <w:rsid w:val="00C53E06"/>
    <w:rsid w:val="00C5493C"/>
    <w:rsid w:val="00C57725"/>
    <w:rsid w:val="00C579C2"/>
    <w:rsid w:val="00C57C3F"/>
    <w:rsid w:val="00C60133"/>
    <w:rsid w:val="00C611CA"/>
    <w:rsid w:val="00C61484"/>
    <w:rsid w:val="00C61EEA"/>
    <w:rsid w:val="00C6337B"/>
    <w:rsid w:val="00C643F9"/>
    <w:rsid w:val="00C65C31"/>
    <w:rsid w:val="00C6603E"/>
    <w:rsid w:val="00C66736"/>
    <w:rsid w:val="00C66FD0"/>
    <w:rsid w:val="00C6715F"/>
    <w:rsid w:val="00C676FF"/>
    <w:rsid w:val="00C67D01"/>
    <w:rsid w:val="00C67F29"/>
    <w:rsid w:val="00C700A7"/>
    <w:rsid w:val="00C70EF2"/>
    <w:rsid w:val="00C7129E"/>
    <w:rsid w:val="00C71700"/>
    <w:rsid w:val="00C72B25"/>
    <w:rsid w:val="00C72DBB"/>
    <w:rsid w:val="00C7335C"/>
    <w:rsid w:val="00C7379D"/>
    <w:rsid w:val="00C73A5E"/>
    <w:rsid w:val="00C740D1"/>
    <w:rsid w:val="00C741A4"/>
    <w:rsid w:val="00C74CF2"/>
    <w:rsid w:val="00C7552D"/>
    <w:rsid w:val="00C761D0"/>
    <w:rsid w:val="00C76516"/>
    <w:rsid w:val="00C76D66"/>
    <w:rsid w:val="00C76E02"/>
    <w:rsid w:val="00C77B08"/>
    <w:rsid w:val="00C77E3A"/>
    <w:rsid w:val="00C80C65"/>
    <w:rsid w:val="00C80E41"/>
    <w:rsid w:val="00C80F8F"/>
    <w:rsid w:val="00C8113D"/>
    <w:rsid w:val="00C817AC"/>
    <w:rsid w:val="00C82240"/>
    <w:rsid w:val="00C82551"/>
    <w:rsid w:val="00C8300B"/>
    <w:rsid w:val="00C83544"/>
    <w:rsid w:val="00C83F6D"/>
    <w:rsid w:val="00C84339"/>
    <w:rsid w:val="00C84378"/>
    <w:rsid w:val="00C84413"/>
    <w:rsid w:val="00C84671"/>
    <w:rsid w:val="00C85763"/>
    <w:rsid w:val="00C85879"/>
    <w:rsid w:val="00C85EB4"/>
    <w:rsid w:val="00C86195"/>
    <w:rsid w:val="00C86636"/>
    <w:rsid w:val="00C86AC9"/>
    <w:rsid w:val="00C87BEE"/>
    <w:rsid w:val="00C9052C"/>
    <w:rsid w:val="00C90A96"/>
    <w:rsid w:val="00C90DCE"/>
    <w:rsid w:val="00C91C9B"/>
    <w:rsid w:val="00C94BF1"/>
    <w:rsid w:val="00C961D7"/>
    <w:rsid w:val="00C96BA3"/>
    <w:rsid w:val="00C96EEE"/>
    <w:rsid w:val="00C970EE"/>
    <w:rsid w:val="00C974A4"/>
    <w:rsid w:val="00C9774D"/>
    <w:rsid w:val="00C97981"/>
    <w:rsid w:val="00C97A75"/>
    <w:rsid w:val="00CA026C"/>
    <w:rsid w:val="00CA0A7C"/>
    <w:rsid w:val="00CA1C71"/>
    <w:rsid w:val="00CA2732"/>
    <w:rsid w:val="00CA298B"/>
    <w:rsid w:val="00CA35B5"/>
    <w:rsid w:val="00CA410A"/>
    <w:rsid w:val="00CA4CB5"/>
    <w:rsid w:val="00CA4CDD"/>
    <w:rsid w:val="00CA5F8D"/>
    <w:rsid w:val="00CA6A2D"/>
    <w:rsid w:val="00CA7188"/>
    <w:rsid w:val="00CB0257"/>
    <w:rsid w:val="00CB07EA"/>
    <w:rsid w:val="00CB0F93"/>
    <w:rsid w:val="00CB142E"/>
    <w:rsid w:val="00CB1680"/>
    <w:rsid w:val="00CB17DA"/>
    <w:rsid w:val="00CB1ABA"/>
    <w:rsid w:val="00CB1AD3"/>
    <w:rsid w:val="00CB1D93"/>
    <w:rsid w:val="00CB2078"/>
    <w:rsid w:val="00CB2356"/>
    <w:rsid w:val="00CB2EA4"/>
    <w:rsid w:val="00CB3596"/>
    <w:rsid w:val="00CB3776"/>
    <w:rsid w:val="00CB4541"/>
    <w:rsid w:val="00CB4FCA"/>
    <w:rsid w:val="00CB59FA"/>
    <w:rsid w:val="00CB5D32"/>
    <w:rsid w:val="00CC08B0"/>
    <w:rsid w:val="00CC0BCF"/>
    <w:rsid w:val="00CC13EC"/>
    <w:rsid w:val="00CC149A"/>
    <w:rsid w:val="00CC1DED"/>
    <w:rsid w:val="00CC25F1"/>
    <w:rsid w:val="00CC270A"/>
    <w:rsid w:val="00CC383B"/>
    <w:rsid w:val="00CC4209"/>
    <w:rsid w:val="00CC480A"/>
    <w:rsid w:val="00CC4DD9"/>
    <w:rsid w:val="00CC5013"/>
    <w:rsid w:val="00CC517E"/>
    <w:rsid w:val="00CC5B14"/>
    <w:rsid w:val="00CC5D23"/>
    <w:rsid w:val="00CC7065"/>
    <w:rsid w:val="00CC7348"/>
    <w:rsid w:val="00CC771E"/>
    <w:rsid w:val="00CD067D"/>
    <w:rsid w:val="00CD1E2B"/>
    <w:rsid w:val="00CD2082"/>
    <w:rsid w:val="00CD2982"/>
    <w:rsid w:val="00CD2B78"/>
    <w:rsid w:val="00CD2C6E"/>
    <w:rsid w:val="00CD2F42"/>
    <w:rsid w:val="00CD30E1"/>
    <w:rsid w:val="00CD3511"/>
    <w:rsid w:val="00CD397C"/>
    <w:rsid w:val="00CD4372"/>
    <w:rsid w:val="00CD5B11"/>
    <w:rsid w:val="00CD67E2"/>
    <w:rsid w:val="00CD7B3D"/>
    <w:rsid w:val="00CE00C7"/>
    <w:rsid w:val="00CE0146"/>
    <w:rsid w:val="00CE15C9"/>
    <w:rsid w:val="00CE1D45"/>
    <w:rsid w:val="00CE3770"/>
    <w:rsid w:val="00CE3C13"/>
    <w:rsid w:val="00CE402D"/>
    <w:rsid w:val="00CE4597"/>
    <w:rsid w:val="00CE4B14"/>
    <w:rsid w:val="00CE4E10"/>
    <w:rsid w:val="00CE5186"/>
    <w:rsid w:val="00CE52BA"/>
    <w:rsid w:val="00CE63F1"/>
    <w:rsid w:val="00CE6B30"/>
    <w:rsid w:val="00CE6D95"/>
    <w:rsid w:val="00CE6F0A"/>
    <w:rsid w:val="00CE7FE1"/>
    <w:rsid w:val="00CF0468"/>
    <w:rsid w:val="00CF0609"/>
    <w:rsid w:val="00CF0696"/>
    <w:rsid w:val="00CF0783"/>
    <w:rsid w:val="00CF0F5C"/>
    <w:rsid w:val="00CF1740"/>
    <w:rsid w:val="00CF1A64"/>
    <w:rsid w:val="00CF1CD6"/>
    <w:rsid w:val="00CF1E89"/>
    <w:rsid w:val="00CF1F93"/>
    <w:rsid w:val="00CF2104"/>
    <w:rsid w:val="00CF21B5"/>
    <w:rsid w:val="00CF244C"/>
    <w:rsid w:val="00CF2B03"/>
    <w:rsid w:val="00CF2CF0"/>
    <w:rsid w:val="00CF6F20"/>
    <w:rsid w:val="00CF7A95"/>
    <w:rsid w:val="00D0010E"/>
    <w:rsid w:val="00D001D7"/>
    <w:rsid w:val="00D01320"/>
    <w:rsid w:val="00D01441"/>
    <w:rsid w:val="00D0304C"/>
    <w:rsid w:val="00D0319D"/>
    <w:rsid w:val="00D03913"/>
    <w:rsid w:val="00D04293"/>
    <w:rsid w:val="00D04457"/>
    <w:rsid w:val="00D0462D"/>
    <w:rsid w:val="00D04AEA"/>
    <w:rsid w:val="00D0542E"/>
    <w:rsid w:val="00D0585C"/>
    <w:rsid w:val="00D05BFB"/>
    <w:rsid w:val="00D06519"/>
    <w:rsid w:val="00D0704F"/>
    <w:rsid w:val="00D07135"/>
    <w:rsid w:val="00D075B9"/>
    <w:rsid w:val="00D07806"/>
    <w:rsid w:val="00D07B3A"/>
    <w:rsid w:val="00D10573"/>
    <w:rsid w:val="00D108CB"/>
    <w:rsid w:val="00D109C7"/>
    <w:rsid w:val="00D10B40"/>
    <w:rsid w:val="00D10B85"/>
    <w:rsid w:val="00D12B7C"/>
    <w:rsid w:val="00D1325D"/>
    <w:rsid w:val="00D13ADB"/>
    <w:rsid w:val="00D13C07"/>
    <w:rsid w:val="00D13E66"/>
    <w:rsid w:val="00D145AF"/>
    <w:rsid w:val="00D14F81"/>
    <w:rsid w:val="00D14FB5"/>
    <w:rsid w:val="00D15527"/>
    <w:rsid w:val="00D164C8"/>
    <w:rsid w:val="00D166D6"/>
    <w:rsid w:val="00D17252"/>
    <w:rsid w:val="00D177E0"/>
    <w:rsid w:val="00D1785B"/>
    <w:rsid w:val="00D17A57"/>
    <w:rsid w:val="00D17CB5"/>
    <w:rsid w:val="00D17DDE"/>
    <w:rsid w:val="00D17FCD"/>
    <w:rsid w:val="00D20052"/>
    <w:rsid w:val="00D201D3"/>
    <w:rsid w:val="00D20656"/>
    <w:rsid w:val="00D20BEA"/>
    <w:rsid w:val="00D20C1B"/>
    <w:rsid w:val="00D21CB3"/>
    <w:rsid w:val="00D21D54"/>
    <w:rsid w:val="00D21E0C"/>
    <w:rsid w:val="00D22B09"/>
    <w:rsid w:val="00D22FA6"/>
    <w:rsid w:val="00D23737"/>
    <w:rsid w:val="00D2374E"/>
    <w:rsid w:val="00D248CD"/>
    <w:rsid w:val="00D249E4"/>
    <w:rsid w:val="00D24BCD"/>
    <w:rsid w:val="00D25382"/>
    <w:rsid w:val="00D25414"/>
    <w:rsid w:val="00D25546"/>
    <w:rsid w:val="00D258FC"/>
    <w:rsid w:val="00D25D33"/>
    <w:rsid w:val="00D260BC"/>
    <w:rsid w:val="00D26B0B"/>
    <w:rsid w:val="00D26F13"/>
    <w:rsid w:val="00D2744E"/>
    <w:rsid w:val="00D27DF8"/>
    <w:rsid w:val="00D3009C"/>
    <w:rsid w:val="00D309FD"/>
    <w:rsid w:val="00D30E81"/>
    <w:rsid w:val="00D312F8"/>
    <w:rsid w:val="00D31AC9"/>
    <w:rsid w:val="00D32D09"/>
    <w:rsid w:val="00D33720"/>
    <w:rsid w:val="00D35603"/>
    <w:rsid w:val="00D371DC"/>
    <w:rsid w:val="00D404F2"/>
    <w:rsid w:val="00D40C5F"/>
    <w:rsid w:val="00D422D0"/>
    <w:rsid w:val="00D425D2"/>
    <w:rsid w:val="00D42955"/>
    <w:rsid w:val="00D438CE"/>
    <w:rsid w:val="00D43E7F"/>
    <w:rsid w:val="00D46E4A"/>
    <w:rsid w:val="00D47FD1"/>
    <w:rsid w:val="00D51630"/>
    <w:rsid w:val="00D51B03"/>
    <w:rsid w:val="00D53CC3"/>
    <w:rsid w:val="00D54827"/>
    <w:rsid w:val="00D55110"/>
    <w:rsid w:val="00D55791"/>
    <w:rsid w:val="00D55E01"/>
    <w:rsid w:val="00D5626A"/>
    <w:rsid w:val="00D565F4"/>
    <w:rsid w:val="00D56E9D"/>
    <w:rsid w:val="00D60CD9"/>
    <w:rsid w:val="00D62542"/>
    <w:rsid w:val="00D62EEC"/>
    <w:rsid w:val="00D647C6"/>
    <w:rsid w:val="00D651FA"/>
    <w:rsid w:val="00D659A7"/>
    <w:rsid w:val="00D65C2B"/>
    <w:rsid w:val="00D65C77"/>
    <w:rsid w:val="00D6630E"/>
    <w:rsid w:val="00D704C6"/>
    <w:rsid w:val="00D707E4"/>
    <w:rsid w:val="00D713DB"/>
    <w:rsid w:val="00D720EC"/>
    <w:rsid w:val="00D75327"/>
    <w:rsid w:val="00D767F2"/>
    <w:rsid w:val="00D80381"/>
    <w:rsid w:val="00D80DD6"/>
    <w:rsid w:val="00D80DE6"/>
    <w:rsid w:val="00D81016"/>
    <w:rsid w:val="00D817CC"/>
    <w:rsid w:val="00D81866"/>
    <w:rsid w:val="00D8186C"/>
    <w:rsid w:val="00D81874"/>
    <w:rsid w:val="00D81AAA"/>
    <w:rsid w:val="00D81B10"/>
    <w:rsid w:val="00D82ED7"/>
    <w:rsid w:val="00D834A5"/>
    <w:rsid w:val="00D84AAF"/>
    <w:rsid w:val="00D86999"/>
    <w:rsid w:val="00D87815"/>
    <w:rsid w:val="00D90943"/>
    <w:rsid w:val="00D90F6C"/>
    <w:rsid w:val="00D91204"/>
    <w:rsid w:val="00D925CD"/>
    <w:rsid w:val="00D93686"/>
    <w:rsid w:val="00D94075"/>
    <w:rsid w:val="00D94606"/>
    <w:rsid w:val="00D94FD2"/>
    <w:rsid w:val="00D95CC5"/>
    <w:rsid w:val="00D962A6"/>
    <w:rsid w:val="00D9646C"/>
    <w:rsid w:val="00D96559"/>
    <w:rsid w:val="00D9655C"/>
    <w:rsid w:val="00D97572"/>
    <w:rsid w:val="00D977DC"/>
    <w:rsid w:val="00D977F6"/>
    <w:rsid w:val="00D97D0D"/>
    <w:rsid w:val="00DA17A1"/>
    <w:rsid w:val="00DA1C49"/>
    <w:rsid w:val="00DA2A02"/>
    <w:rsid w:val="00DA3E84"/>
    <w:rsid w:val="00DA4DBC"/>
    <w:rsid w:val="00DA4E46"/>
    <w:rsid w:val="00DA57B5"/>
    <w:rsid w:val="00DA596B"/>
    <w:rsid w:val="00DA68C4"/>
    <w:rsid w:val="00DA6D44"/>
    <w:rsid w:val="00DA7525"/>
    <w:rsid w:val="00DA75D7"/>
    <w:rsid w:val="00DA791C"/>
    <w:rsid w:val="00DB0313"/>
    <w:rsid w:val="00DB0E28"/>
    <w:rsid w:val="00DB1AFC"/>
    <w:rsid w:val="00DB21EE"/>
    <w:rsid w:val="00DB2A6E"/>
    <w:rsid w:val="00DB2CC0"/>
    <w:rsid w:val="00DB2DB8"/>
    <w:rsid w:val="00DB396F"/>
    <w:rsid w:val="00DB3AAB"/>
    <w:rsid w:val="00DB3B93"/>
    <w:rsid w:val="00DB4376"/>
    <w:rsid w:val="00DB4629"/>
    <w:rsid w:val="00DB5073"/>
    <w:rsid w:val="00DC0324"/>
    <w:rsid w:val="00DC137A"/>
    <w:rsid w:val="00DC1ACE"/>
    <w:rsid w:val="00DC2127"/>
    <w:rsid w:val="00DC222F"/>
    <w:rsid w:val="00DC3893"/>
    <w:rsid w:val="00DC3A1B"/>
    <w:rsid w:val="00DC4965"/>
    <w:rsid w:val="00DC4C26"/>
    <w:rsid w:val="00DC56E5"/>
    <w:rsid w:val="00DC6C84"/>
    <w:rsid w:val="00DC6D60"/>
    <w:rsid w:val="00DC6EAD"/>
    <w:rsid w:val="00DC70C6"/>
    <w:rsid w:val="00DC7250"/>
    <w:rsid w:val="00DC75FE"/>
    <w:rsid w:val="00DC7698"/>
    <w:rsid w:val="00DC7F82"/>
    <w:rsid w:val="00DD054F"/>
    <w:rsid w:val="00DD08EB"/>
    <w:rsid w:val="00DD09A6"/>
    <w:rsid w:val="00DD0DBF"/>
    <w:rsid w:val="00DD10D4"/>
    <w:rsid w:val="00DD175D"/>
    <w:rsid w:val="00DD24E3"/>
    <w:rsid w:val="00DD2982"/>
    <w:rsid w:val="00DD30E6"/>
    <w:rsid w:val="00DD319F"/>
    <w:rsid w:val="00DD3312"/>
    <w:rsid w:val="00DD3A77"/>
    <w:rsid w:val="00DD3C1A"/>
    <w:rsid w:val="00DD4148"/>
    <w:rsid w:val="00DD5412"/>
    <w:rsid w:val="00DD5AC5"/>
    <w:rsid w:val="00DD5B33"/>
    <w:rsid w:val="00DD6EEF"/>
    <w:rsid w:val="00DD7049"/>
    <w:rsid w:val="00DD74D6"/>
    <w:rsid w:val="00DD76BA"/>
    <w:rsid w:val="00DE0407"/>
    <w:rsid w:val="00DE106A"/>
    <w:rsid w:val="00DE16B4"/>
    <w:rsid w:val="00DE2451"/>
    <w:rsid w:val="00DE26E8"/>
    <w:rsid w:val="00DE2CD9"/>
    <w:rsid w:val="00DE3086"/>
    <w:rsid w:val="00DE3679"/>
    <w:rsid w:val="00DE50F7"/>
    <w:rsid w:val="00DE57D1"/>
    <w:rsid w:val="00DE57EB"/>
    <w:rsid w:val="00DE6330"/>
    <w:rsid w:val="00DE7559"/>
    <w:rsid w:val="00DE779F"/>
    <w:rsid w:val="00DE7DBF"/>
    <w:rsid w:val="00DF0720"/>
    <w:rsid w:val="00DF19F9"/>
    <w:rsid w:val="00DF1D81"/>
    <w:rsid w:val="00DF2006"/>
    <w:rsid w:val="00DF3248"/>
    <w:rsid w:val="00DF46FE"/>
    <w:rsid w:val="00DF502F"/>
    <w:rsid w:val="00DF58B1"/>
    <w:rsid w:val="00DF5F30"/>
    <w:rsid w:val="00DF6281"/>
    <w:rsid w:val="00DF63A6"/>
    <w:rsid w:val="00DF6860"/>
    <w:rsid w:val="00DF76CF"/>
    <w:rsid w:val="00DF77E9"/>
    <w:rsid w:val="00DF7862"/>
    <w:rsid w:val="00E0082F"/>
    <w:rsid w:val="00E00F41"/>
    <w:rsid w:val="00E01C64"/>
    <w:rsid w:val="00E01E41"/>
    <w:rsid w:val="00E02220"/>
    <w:rsid w:val="00E02342"/>
    <w:rsid w:val="00E027B1"/>
    <w:rsid w:val="00E02DEF"/>
    <w:rsid w:val="00E02F25"/>
    <w:rsid w:val="00E0300E"/>
    <w:rsid w:val="00E0354B"/>
    <w:rsid w:val="00E03956"/>
    <w:rsid w:val="00E03CB0"/>
    <w:rsid w:val="00E041C5"/>
    <w:rsid w:val="00E04C9A"/>
    <w:rsid w:val="00E0534C"/>
    <w:rsid w:val="00E05A6E"/>
    <w:rsid w:val="00E05EB7"/>
    <w:rsid w:val="00E06697"/>
    <w:rsid w:val="00E06760"/>
    <w:rsid w:val="00E07B69"/>
    <w:rsid w:val="00E100C1"/>
    <w:rsid w:val="00E103CB"/>
    <w:rsid w:val="00E1120C"/>
    <w:rsid w:val="00E1195B"/>
    <w:rsid w:val="00E119BD"/>
    <w:rsid w:val="00E12633"/>
    <w:rsid w:val="00E12D79"/>
    <w:rsid w:val="00E12DE6"/>
    <w:rsid w:val="00E12E85"/>
    <w:rsid w:val="00E13DB6"/>
    <w:rsid w:val="00E15450"/>
    <w:rsid w:val="00E155F5"/>
    <w:rsid w:val="00E15709"/>
    <w:rsid w:val="00E15F18"/>
    <w:rsid w:val="00E15F3F"/>
    <w:rsid w:val="00E15F80"/>
    <w:rsid w:val="00E165B8"/>
    <w:rsid w:val="00E16898"/>
    <w:rsid w:val="00E16C21"/>
    <w:rsid w:val="00E16DC8"/>
    <w:rsid w:val="00E16E30"/>
    <w:rsid w:val="00E20A60"/>
    <w:rsid w:val="00E20AE4"/>
    <w:rsid w:val="00E21114"/>
    <w:rsid w:val="00E2179F"/>
    <w:rsid w:val="00E217DC"/>
    <w:rsid w:val="00E22275"/>
    <w:rsid w:val="00E22426"/>
    <w:rsid w:val="00E22E8F"/>
    <w:rsid w:val="00E23003"/>
    <w:rsid w:val="00E23246"/>
    <w:rsid w:val="00E2353E"/>
    <w:rsid w:val="00E23696"/>
    <w:rsid w:val="00E23881"/>
    <w:rsid w:val="00E24587"/>
    <w:rsid w:val="00E249D7"/>
    <w:rsid w:val="00E2667B"/>
    <w:rsid w:val="00E2698B"/>
    <w:rsid w:val="00E27F1B"/>
    <w:rsid w:val="00E30108"/>
    <w:rsid w:val="00E30AE8"/>
    <w:rsid w:val="00E31DF0"/>
    <w:rsid w:val="00E31E85"/>
    <w:rsid w:val="00E31EC4"/>
    <w:rsid w:val="00E31EEA"/>
    <w:rsid w:val="00E32699"/>
    <w:rsid w:val="00E3375D"/>
    <w:rsid w:val="00E35257"/>
    <w:rsid w:val="00E35382"/>
    <w:rsid w:val="00E356EE"/>
    <w:rsid w:val="00E35881"/>
    <w:rsid w:val="00E3603F"/>
    <w:rsid w:val="00E36550"/>
    <w:rsid w:val="00E36881"/>
    <w:rsid w:val="00E36FC5"/>
    <w:rsid w:val="00E37B18"/>
    <w:rsid w:val="00E40B81"/>
    <w:rsid w:val="00E40D88"/>
    <w:rsid w:val="00E41FD2"/>
    <w:rsid w:val="00E425D3"/>
    <w:rsid w:val="00E42CAF"/>
    <w:rsid w:val="00E4367C"/>
    <w:rsid w:val="00E43A99"/>
    <w:rsid w:val="00E43AD8"/>
    <w:rsid w:val="00E43D05"/>
    <w:rsid w:val="00E4436C"/>
    <w:rsid w:val="00E44A2F"/>
    <w:rsid w:val="00E452FD"/>
    <w:rsid w:val="00E457BB"/>
    <w:rsid w:val="00E458D7"/>
    <w:rsid w:val="00E45D09"/>
    <w:rsid w:val="00E46293"/>
    <w:rsid w:val="00E50E4A"/>
    <w:rsid w:val="00E5155A"/>
    <w:rsid w:val="00E521CA"/>
    <w:rsid w:val="00E52DFD"/>
    <w:rsid w:val="00E52E56"/>
    <w:rsid w:val="00E53159"/>
    <w:rsid w:val="00E5323A"/>
    <w:rsid w:val="00E537F3"/>
    <w:rsid w:val="00E53AA2"/>
    <w:rsid w:val="00E5415B"/>
    <w:rsid w:val="00E552C0"/>
    <w:rsid w:val="00E554F7"/>
    <w:rsid w:val="00E56A82"/>
    <w:rsid w:val="00E572CD"/>
    <w:rsid w:val="00E57A47"/>
    <w:rsid w:val="00E57B4E"/>
    <w:rsid w:val="00E6007F"/>
    <w:rsid w:val="00E606B9"/>
    <w:rsid w:val="00E60974"/>
    <w:rsid w:val="00E60A8E"/>
    <w:rsid w:val="00E60F83"/>
    <w:rsid w:val="00E614B4"/>
    <w:rsid w:val="00E6250D"/>
    <w:rsid w:val="00E6253B"/>
    <w:rsid w:val="00E6275C"/>
    <w:rsid w:val="00E628A8"/>
    <w:rsid w:val="00E62F5F"/>
    <w:rsid w:val="00E630BF"/>
    <w:rsid w:val="00E63613"/>
    <w:rsid w:val="00E64241"/>
    <w:rsid w:val="00E647BD"/>
    <w:rsid w:val="00E6487F"/>
    <w:rsid w:val="00E64D20"/>
    <w:rsid w:val="00E65820"/>
    <w:rsid w:val="00E65FF7"/>
    <w:rsid w:val="00E66D8C"/>
    <w:rsid w:val="00E6702B"/>
    <w:rsid w:val="00E677B4"/>
    <w:rsid w:val="00E67E1C"/>
    <w:rsid w:val="00E70932"/>
    <w:rsid w:val="00E70973"/>
    <w:rsid w:val="00E70A1F"/>
    <w:rsid w:val="00E71081"/>
    <w:rsid w:val="00E71605"/>
    <w:rsid w:val="00E71A6A"/>
    <w:rsid w:val="00E71EAD"/>
    <w:rsid w:val="00E72EBF"/>
    <w:rsid w:val="00E732CD"/>
    <w:rsid w:val="00E73575"/>
    <w:rsid w:val="00E73955"/>
    <w:rsid w:val="00E73B6D"/>
    <w:rsid w:val="00E7447C"/>
    <w:rsid w:val="00E74A6A"/>
    <w:rsid w:val="00E74FE8"/>
    <w:rsid w:val="00E7575C"/>
    <w:rsid w:val="00E75CE1"/>
    <w:rsid w:val="00E75F63"/>
    <w:rsid w:val="00E76631"/>
    <w:rsid w:val="00E766DC"/>
    <w:rsid w:val="00E76AB1"/>
    <w:rsid w:val="00E803CD"/>
    <w:rsid w:val="00E804A0"/>
    <w:rsid w:val="00E805E2"/>
    <w:rsid w:val="00E812C1"/>
    <w:rsid w:val="00E8241F"/>
    <w:rsid w:val="00E825EB"/>
    <w:rsid w:val="00E83282"/>
    <w:rsid w:val="00E83467"/>
    <w:rsid w:val="00E84089"/>
    <w:rsid w:val="00E841C1"/>
    <w:rsid w:val="00E846D8"/>
    <w:rsid w:val="00E84AA0"/>
    <w:rsid w:val="00E84C34"/>
    <w:rsid w:val="00E85212"/>
    <w:rsid w:val="00E87141"/>
    <w:rsid w:val="00E87F61"/>
    <w:rsid w:val="00E87FC3"/>
    <w:rsid w:val="00E90216"/>
    <w:rsid w:val="00E90AF1"/>
    <w:rsid w:val="00E90E13"/>
    <w:rsid w:val="00E90F72"/>
    <w:rsid w:val="00E91790"/>
    <w:rsid w:val="00E918E3"/>
    <w:rsid w:val="00E9190A"/>
    <w:rsid w:val="00E9194C"/>
    <w:rsid w:val="00E919FC"/>
    <w:rsid w:val="00E92474"/>
    <w:rsid w:val="00E92930"/>
    <w:rsid w:val="00E92E0E"/>
    <w:rsid w:val="00E93B1F"/>
    <w:rsid w:val="00E94F7D"/>
    <w:rsid w:val="00E95C5E"/>
    <w:rsid w:val="00E967D0"/>
    <w:rsid w:val="00EA0904"/>
    <w:rsid w:val="00EA0F79"/>
    <w:rsid w:val="00EA17F3"/>
    <w:rsid w:val="00EA181A"/>
    <w:rsid w:val="00EA24F0"/>
    <w:rsid w:val="00EA29E0"/>
    <w:rsid w:val="00EA2EFC"/>
    <w:rsid w:val="00EA32A7"/>
    <w:rsid w:val="00EA3639"/>
    <w:rsid w:val="00EA39B2"/>
    <w:rsid w:val="00EA4154"/>
    <w:rsid w:val="00EA421A"/>
    <w:rsid w:val="00EA50E6"/>
    <w:rsid w:val="00EA5806"/>
    <w:rsid w:val="00EA5BF5"/>
    <w:rsid w:val="00EA5D5F"/>
    <w:rsid w:val="00EA5ECC"/>
    <w:rsid w:val="00EA6611"/>
    <w:rsid w:val="00EA751D"/>
    <w:rsid w:val="00EA7AAD"/>
    <w:rsid w:val="00EB0F8C"/>
    <w:rsid w:val="00EB0FA8"/>
    <w:rsid w:val="00EB1881"/>
    <w:rsid w:val="00EB1FE0"/>
    <w:rsid w:val="00EB221B"/>
    <w:rsid w:val="00EB2D3B"/>
    <w:rsid w:val="00EB336E"/>
    <w:rsid w:val="00EB3B53"/>
    <w:rsid w:val="00EB4162"/>
    <w:rsid w:val="00EB47E3"/>
    <w:rsid w:val="00EB51B5"/>
    <w:rsid w:val="00EB5948"/>
    <w:rsid w:val="00EB5EFE"/>
    <w:rsid w:val="00EB5F37"/>
    <w:rsid w:val="00EB60AF"/>
    <w:rsid w:val="00EB6355"/>
    <w:rsid w:val="00EB6D42"/>
    <w:rsid w:val="00EB7A99"/>
    <w:rsid w:val="00EC0E60"/>
    <w:rsid w:val="00EC1B50"/>
    <w:rsid w:val="00EC1E0B"/>
    <w:rsid w:val="00EC2927"/>
    <w:rsid w:val="00EC2E5C"/>
    <w:rsid w:val="00EC2FF1"/>
    <w:rsid w:val="00EC33D0"/>
    <w:rsid w:val="00EC3A04"/>
    <w:rsid w:val="00EC411D"/>
    <w:rsid w:val="00EC419E"/>
    <w:rsid w:val="00EC62B5"/>
    <w:rsid w:val="00ED0E5D"/>
    <w:rsid w:val="00ED131F"/>
    <w:rsid w:val="00ED1872"/>
    <w:rsid w:val="00ED2E6A"/>
    <w:rsid w:val="00ED2FE3"/>
    <w:rsid w:val="00ED3CFF"/>
    <w:rsid w:val="00ED4AAB"/>
    <w:rsid w:val="00ED4FD6"/>
    <w:rsid w:val="00ED5586"/>
    <w:rsid w:val="00ED6ED6"/>
    <w:rsid w:val="00EE0E93"/>
    <w:rsid w:val="00EE19DA"/>
    <w:rsid w:val="00EE1D76"/>
    <w:rsid w:val="00EE1EF1"/>
    <w:rsid w:val="00EE2314"/>
    <w:rsid w:val="00EE2B27"/>
    <w:rsid w:val="00EE3827"/>
    <w:rsid w:val="00EE3830"/>
    <w:rsid w:val="00EE3B1E"/>
    <w:rsid w:val="00EE45E1"/>
    <w:rsid w:val="00EE4A10"/>
    <w:rsid w:val="00EE4F4D"/>
    <w:rsid w:val="00EE5D56"/>
    <w:rsid w:val="00EE5ED7"/>
    <w:rsid w:val="00EE5F99"/>
    <w:rsid w:val="00EE5F9B"/>
    <w:rsid w:val="00EE6DC0"/>
    <w:rsid w:val="00EE6F34"/>
    <w:rsid w:val="00EE78BA"/>
    <w:rsid w:val="00EF0062"/>
    <w:rsid w:val="00EF08F1"/>
    <w:rsid w:val="00EF0C94"/>
    <w:rsid w:val="00EF0E4C"/>
    <w:rsid w:val="00EF164C"/>
    <w:rsid w:val="00EF19D2"/>
    <w:rsid w:val="00EF1C57"/>
    <w:rsid w:val="00EF2D9E"/>
    <w:rsid w:val="00EF318E"/>
    <w:rsid w:val="00EF36D1"/>
    <w:rsid w:val="00EF3F6D"/>
    <w:rsid w:val="00EF4585"/>
    <w:rsid w:val="00EF480E"/>
    <w:rsid w:val="00EF4A89"/>
    <w:rsid w:val="00EF4A9E"/>
    <w:rsid w:val="00EF4E18"/>
    <w:rsid w:val="00EF4FC3"/>
    <w:rsid w:val="00EF520A"/>
    <w:rsid w:val="00EF5243"/>
    <w:rsid w:val="00EF57E5"/>
    <w:rsid w:val="00EF65E5"/>
    <w:rsid w:val="00EF662F"/>
    <w:rsid w:val="00EF7991"/>
    <w:rsid w:val="00F005ED"/>
    <w:rsid w:val="00F01773"/>
    <w:rsid w:val="00F01BC8"/>
    <w:rsid w:val="00F01DC2"/>
    <w:rsid w:val="00F025E3"/>
    <w:rsid w:val="00F04992"/>
    <w:rsid w:val="00F04C37"/>
    <w:rsid w:val="00F0694E"/>
    <w:rsid w:val="00F07828"/>
    <w:rsid w:val="00F079BD"/>
    <w:rsid w:val="00F10385"/>
    <w:rsid w:val="00F10986"/>
    <w:rsid w:val="00F11E39"/>
    <w:rsid w:val="00F12190"/>
    <w:rsid w:val="00F12518"/>
    <w:rsid w:val="00F1266A"/>
    <w:rsid w:val="00F136A5"/>
    <w:rsid w:val="00F143C8"/>
    <w:rsid w:val="00F14E24"/>
    <w:rsid w:val="00F150CA"/>
    <w:rsid w:val="00F15879"/>
    <w:rsid w:val="00F166C5"/>
    <w:rsid w:val="00F16FEE"/>
    <w:rsid w:val="00F1775B"/>
    <w:rsid w:val="00F17A8A"/>
    <w:rsid w:val="00F17EF0"/>
    <w:rsid w:val="00F20E20"/>
    <w:rsid w:val="00F20FFA"/>
    <w:rsid w:val="00F22015"/>
    <w:rsid w:val="00F220DA"/>
    <w:rsid w:val="00F2230E"/>
    <w:rsid w:val="00F22313"/>
    <w:rsid w:val="00F22A08"/>
    <w:rsid w:val="00F22CE1"/>
    <w:rsid w:val="00F22F4E"/>
    <w:rsid w:val="00F22FA8"/>
    <w:rsid w:val="00F23A08"/>
    <w:rsid w:val="00F23D69"/>
    <w:rsid w:val="00F23F15"/>
    <w:rsid w:val="00F24517"/>
    <w:rsid w:val="00F24F67"/>
    <w:rsid w:val="00F257DD"/>
    <w:rsid w:val="00F26536"/>
    <w:rsid w:val="00F26AB6"/>
    <w:rsid w:val="00F26F3A"/>
    <w:rsid w:val="00F271DE"/>
    <w:rsid w:val="00F3040E"/>
    <w:rsid w:val="00F30694"/>
    <w:rsid w:val="00F3071D"/>
    <w:rsid w:val="00F30B24"/>
    <w:rsid w:val="00F30C26"/>
    <w:rsid w:val="00F30CB9"/>
    <w:rsid w:val="00F31754"/>
    <w:rsid w:val="00F320CE"/>
    <w:rsid w:val="00F32509"/>
    <w:rsid w:val="00F32A4B"/>
    <w:rsid w:val="00F339A8"/>
    <w:rsid w:val="00F33A67"/>
    <w:rsid w:val="00F33CCD"/>
    <w:rsid w:val="00F33D21"/>
    <w:rsid w:val="00F34BB9"/>
    <w:rsid w:val="00F35170"/>
    <w:rsid w:val="00F354D6"/>
    <w:rsid w:val="00F37015"/>
    <w:rsid w:val="00F377D6"/>
    <w:rsid w:val="00F378EC"/>
    <w:rsid w:val="00F37ECF"/>
    <w:rsid w:val="00F401D1"/>
    <w:rsid w:val="00F40F36"/>
    <w:rsid w:val="00F41DDC"/>
    <w:rsid w:val="00F4233B"/>
    <w:rsid w:val="00F42573"/>
    <w:rsid w:val="00F42E0B"/>
    <w:rsid w:val="00F43171"/>
    <w:rsid w:val="00F439FB"/>
    <w:rsid w:val="00F44050"/>
    <w:rsid w:val="00F4490F"/>
    <w:rsid w:val="00F44A8A"/>
    <w:rsid w:val="00F4591D"/>
    <w:rsid w:val="00F45CB1"/>
    <w:rsid w:val="00F45D9E"/>
    <w:rsid w:val="00F463BD"/>
    <w:rsid w:val="00F4676D"/>
    <w:rsid w:val="00F46784"/>
    <w:rsid w:val="00F46D36"/>
    <w:rsid w:val="00F47B1B"/>
    <w:rsid w:val="00F47DFA"/>
    <w:rsid w:val="00F50841"/>
    <w:rsid w:val="00F518C2"/>
    <w:rsid w:val="00F519C9"/>
    <w:rsid w:val="00F522D5"/>
    <w:rsid w:val="00F524BA"/>
    <w:rsid w:val="00F52C8E"/>
    <w:rsid w:val="00F533BA"/>
    <w:rsid w:val="00F53479"/>
    <w:rsid w:val="00F5365A"/>
    <w:rsid w:val="00F537C7"/>
    <w:rsid w:val="00F53A89"/>
    <w:rsid w:val="00F54251"/>
    <w:rsid w:val="00F546FE"/>
    <w:rsid w:val="00F55833"/>
    <w:rsid w:val="00F559D5"/>
    <w:rsid w:val="00F55C6F"/>
    <w:rsid w:val="00F56087"/>
    <w:rsid w:val="00F562AD"/>
    <w:rsid w:val="00F564E5"/>
    <w:rsid w:val="00F56920"/>
    <w:rsid w:val="00F5728C"/>
    <w:rsid w:val="00F57778"/>
    <w:rsid w:val="00F57AE9"/>
    <w:rsid w:val="00F61A4E"/>
    <w:rsid w:val="00F6209D"/>
    <w:rsid w:val="00F62731"/>
    <w:rsid w:val="00F62DEC"/>
    <w:rsid w:val="00F63A5B"/>
    <w:rsid w:val="00F63BCE"/>
    <w:rsid w:val="00F63D1A"/>
    <w:rsid w:val="00F644C5"/>
    <w:rsid w:val="00F64870"/>
    <w:rsid w:val="00F65219"/>
    <w:rsid w:val="00F65238"/>
    <w:rsid w:val="00F6567B"/>
    <w:rsid w:val="00F65E24"/>
    <w:rsid w:val="00F6631F"/>
    <w:rsid w:val="00F668CD"/>
    <w:rsid w:val="00F66B29"/>
    <w:rsid w:val="00F66B7A"/>
    <w:rsid w:val="00F66B98"/>
    <w:rsid w:val="00F66D84"/>
    <w:rsid w:val="00F67402"/>
    <w:rsid w:val="00F674B2"/>
    <w:rsid w:val="00F67C5A"/>
    <w:rsid w:val="00F70166"/>
    <w:rsid w:val="00F713FC"/>
    <w:rsid w:val="00F71999"/>
    <w:rsid w:val="00F72E3E"/>
    <w:rsid w:val="00F7305C"/>
    <w:rsid w:val="00F7311C"/>
    <w:rsid w:val="00F7382A"/>
    <w:rsid w:val="00F738BC"/>
    <w:rsid w:val="00F73AE5"/>
    <w:rsid w:val="00F73C3A"/>
    <w:rsid w:val="00F73DB7"/>
    <w:rsid w:val="00F73E15"/>
    <w:rsid w:val="00F74064"/>
    <w:rsid w:val="00F74A5F"/>
    <w:rsid w:val="00F75483"/>
    <w:rsid w:val="00F7608C"/>
    <w:rsid w:val="00F7608D"/>
    <w:rsid w:val="00F76991"/>
    <w:rsid w:val="00F77423"/>
    <w:rsid w:val="00F77E74"/>
    <w:rsid w:val="00F80D94"/>
    <w:rsid w:val="00F81942"/>
    <w:rsid w:val="00F81FB2"/>
    <w:rsid w:val="00F81FE9"/>
    <w:rsid w:val="00F82259"/>
    <w:rsid w:val="00F8239C"/>
    <w:rsid w:val="00F83018"/>
    <w:rsid w:val="00F8304A"/>
    <w:rsid w:val="00F830B5"/>
    <w:rsid w:val="00F83B2F"/>
    <w:rsid w:val="00F843E7"/>
    <w:rsid w:val="00F85142"/>
    <w:rsid w:val="00F859CC"/>
    <w:rsid w:val="00F85A51"/>
    <w:rsid w:val="00F879C9"/>
    <w:rsid w:val="00F87BFC"/>
    <w:rsid w:val="00F9054F"/>
    <w:rsid w:val="00F90C25"/>
    <w:rsid w:val="00F90FF3"/>
    <w:rsid w:val="00F91140"/>
    <w:rsid w:val="00F9157B"/>
    <w:rsid w:val="00F91AE1"/>
    <w:rsid w:val="00F92644"/>
    <w:rsid w:val="00F92776"/>
    <w:rsid w:val="00F92D00"/>
    <w:rsid w:val="00F93040"/>
    <w:rsid w:val="00F934D5"/>
    <w:rsid w:val="00F935BF"/>
    <w:rsid w:val="00F94841"/>
    <w:rsid w:val="00F948BB"/>
    <w:rsid w:val="00F952B0"/>
    <w:rsid w:val="00F952EA"/>
    <w:rsid w:val="00F967F3"/>
    <w:rsid w:val="00F96C1F"/>
    <w:rsid w:val="00F97E45"/>
    <w:rsid w:val="00FA0653"/>
    <w:rsid w:val="00FA07FE"/>
    <w:rsid w:val="00FA1D9C"/>
    <w:rsid w:val="00FA1E38"/>
    <w:rsid w:val="00FA1EA9"/>
    <w:rsid w:val="00FA2D7E"/>
    <w:rsid w:val="00FA3291"/>
    <w:rsid w:val="00FA52E3"/>
    <w:rsid w:val="00FA5BE8"/>
    <w:rsid w:val="00FA685D"/>
    <w:rsid w:val="00FA6A0C"/>
    <w:rsid w:val="00FA77CA"/>
    <w:rsid w:val="00FB04D1"/>
    <w:rsid w:val="00FB0574"/>
    <w:rsid w:val="00FB128F"/>
    <w:rsid w:val="00FB15EE"/>
    <w:rsid w:val="00FB17BF"/>
    <w:rsid w:val="00FB2705"/>
    <w:rsid w:val="00FB293B"/>
    <w:rsid w:val="00FB2A20"/>
    <w:rsid w:val="00FB438A"/>
    <w:rsid w:val="00FB45E4"/>
    <w:rsid w:val="00FB4960"/>
    <w:rsid w:val="00FB5039"/>
    <w:rsid w:val="00FB5412"/>
    <w:rsid w:val="00FB603C"/>
    <w:rsid w:val="00FB6063"/>
    <w:rsid w:val="00FB6101"/>
    <w:rsid w:val="00FB672E"/>
    <w:rsid w:val="00FB68DA"/>
    <w:rsid w:val="00FB6DC3"/>
    <w:rsid w:val="00FB741F"/>
    <w:rsid w:val="00FB7B2F"/>
    <w:rsid w:val="00FC0B7F"/>
    <w:rsid w:val="00FC0EC6"/>
    <w:rsid w:val="00FC10CE"/>
    <w:rsid w:val="00FC14FB"/>
    <w:rsid w:val="00FC167B"/>
    <w:rsid w:val="00FC1ACE"/>
    <w:rsid w:val="00FC28FA"/>
    <w:rsid w:val="00FC3144"/>
    <w:rsid w:val="00FC3204"/>
    <w:rsid w:val="00FC3A88"/>
    <w:rsid w:val="00FC3E73"/>
    <w:rsid w:val="00FC3FC0"/>
    <w:rsid w:val="00FC41D4"/>
    <w:rsid w:val="00FC533D"/>
    <w:rsid w:val="00FC58FB"/>
    <w:rsid w:val="00FC6D63"/>
    <w:rsid w:val="00FC729F"/>
    <w:rsid w:val="00FC7678"/>
    <w:rsid w:val="00FC7A86"/>
    <w:rsid w:val="00FD0CC1"/>
    <w:rsid w:val="00FD1D8C"/>
    <w:rsid w:val="00FD29C1"/>
    <w:rsid w:val="00FD29D1"/>
    <w:rsid w:val="00FD2CA4"/>
    <w:rsid w:val="00FD3194"/>
    <w:rsid w:val="00FD35C4"/>
    <w:rsid w:val="00FD3C1B"/>
    <w:rsid w:val="00FD3E77"/>
    <w:rsid w:val="00FD4122"/>
    <w:rsid w:val="00FD44D5"/>
    <w:rsid w:val="00FD4745"/>
    <w:rsid w:val="00FD50E5"/>
    <w:rsid w:val="00FD5745"/>
    <w:rsid w:val="00FD781B"/>
    <w:rsid w:val="00FD7E0C"/>
    <w:rsid w:val="00FE082B"/>
    <w:rsid w:val="00FE0B40"/>
    <w:rsid w:val="00FE0B7A"/>
    <w:rsid w:val="00FE0CBD"/>
    <w:rsid w:val="00FE0DBF"/>
    <w:rsid w:val="00FE10E9"/>
    <w:rsid w:val="00FE2170"/>
    <w:rsid w:val="00FE23A3"/>
    <w:rsid w:val="00FE3020"/>
    <w:rsid w:val="00FE35CE"/>
    <w:rsid w:val="00FE36F0"/>
    <w:rsid w:val="00FE3AA6"/>
    <w:rsid w:val="00FE3E9D"/>
    <w:rsid w:val="00FE402E"/>
    <w:rsid w:val="00FE416C"/>
    <w:rsid w:val="00FE4490"/>
    <w:rsid w:val="00FE5820"/>
    <w:rsid w:val="00FE5C37"/>
    <w:rsid w:val="00FE5D30"/>
    <w:rsid w:val="00FE6068"/>
    <w:rsid w:val="00FE64EF"/>
    <w:rsid w:val="00FE64F6"/>
    <w:rsid w:val="00FE6BB4"/>
    <w:rsid w:val="00FE7FB7"/>
    <w:rsid w:val="00FF0F61"/>
    <w:rsid w:val="00FF0F64"/>
    <w:rsid w:val="00FF14C3"/>
    <w:rsid w:val="00FF173B"/>
    <w:rsid w:val="00FF17A9"/>
    <w:rsid w:val="00FF23CE"/>
    <w:rsid w:val="00FF2548"/>
    <w:rsid w:val="00FF2907"/>
    <w:rsid w:val="00FF295D"/>
    <w:rsid w:val="00FF3D1A"/>
    <w:rsid w:val="00FF4353"/>
    <w:rsid w:val="00FF4415"/>
    <w:rsid w:val="00FF472B"/>
    <w:rsid w:val="00FF4ED5"/>
    <w:rsid w:val="00FF54E1"/>
    <w:rsid w:val="00FF6658"/>
    <w:rsid w:val="00FF6727"/>
    <w:rsid w:val="00FF715B"/>
    <w:rsid w:val="00FF78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380CF"/>
  <w15:chartTrackingRefBased/>
  <w15:docId w15:val="{13B02C67-63D2-46EC-A30F-1CBDD269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10"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4B00"/>
    <w:pPr>
      <w:tabs>
        <w:tab w:val="left" w:pos="709"/>
      </w:tabs>
      <w:snapToGrid w:val="0"/>
    </w:pPr>
    <w:rPr>
      <w:snapToGrid w:val="0"/>
      <w:sz w:val="24"/>
      <w:szCs w:val="24"/>
      <w:lang w:val="en-GB" w:eastAsia="zh-CN"/>
    </w:rPr>
  </w:style>
  <w:style w:type="paragraph" w:styleId="Heading1">
    <w:name w:val="heading 1"/>
    <w:basedOn w:val="ListParagraph"/>
    <w:next w:val="Heading2"/>
    <w:link w:val="Heading1Char"/>
    <w:autoRedefine/>
    <w:uiPriority w:val="9"/>
    <w:qFormat/>
    <w:rsid w:val="00507DE9"/>
    <w:pPr>
      <w:numPr>
        <w:numId w:val="16"/>
      </w:numPr>
      <w:spacing w:after="240"/>
      <w:outlineLvl w:val="0"/>
    </w:pPr>
    <w:rPr>
      <w:rFonts w:ascii="Arial" w:hAnsi="Arial" w:cs="Arial"/>
      <w:b/>
      <w:sz w:val="22"/>
    </w:rPr>
  </w:style>
  <w:style w:type="paragraph" w:styleId="Heading2">
    <w:name w:val="heading 2"/>
    <w:basedOn w:val="Normal"/>
    <w:next w:val="Normal"/>
    <w:link w:val="Heading2Char"/>
    <w:uiPriority w:val="9"/>
    <w:qFormat/>
    <w:rsid w:val="00507DE9"/>
    <w:pPr>
      <w:keepNext/>
      <w:keepLines/>
      <w:numPr>
        <w:ilvl w:val="1"/>
        <w:numId w:val="16"/>
      </w:numPr>
      <w:tabs>
        <w:tab w:val="clear" w:pos="709"/>
        <w:tab w:val="left" w:pos="720"/>
        <w:tab w:val="left" w:pos="1002"/>
      </w:tabs>
      <w:spacing w:after="240"/>
      <w:outlineLvl w:val="1"/>
    </w:pPr>
    <w:rPr>
      <w:rFonts w:ascii="Arial" w:eastAsia="Times New Roman" w:hAnsi="Arial" w:cs="Arial"/>
      <w:bCs/>
      <w:sz w:val="22"/>
      <w:szCs w:val="22"/>
      <w:lang w:eastAsia="en-US"/>
    </w:rPr>
  </w:style>
  <w:style w:type="paragraph" w:styleId="Heading3">
    <w:name w:val="heading 3"/>
    <w:basedOn w:val="Normal"/>
    <w:next w:val="Normal"/>
    <w:link w:val="Heading3Char"/>
    <w:uiPriority w:val="9"/>
    <w:qFormat/>
    <w:pPr>
      <w:keepNext/>
      <w:keepLines/>
      <w:tabs>
        <w:tab w:val="clear" w:pos="709"/>
      </w:tabs>
      <w:spacing w:before="100" w:beforeAutospacing="1" w:after="240"/>
      <w:outlineLvl w:val="2"/>
    </w:pPr>
    <w:rPr>
      <w:rFonts w:ascii="Arial" w:eastAsia="Times New Roman" w:hAnsi="Arial"/>
      <w:bCs/>
      <w:sz w:val="22"/>
      <w:lang w:eastAsia="en-US"/>
    </w:rPr>
  </w:style>
  <w:style w:type="paragraph" w:styleId="Heading4">
    <w:name w:val="heading 4"/>
    <w:basedOn w:val="Normal"/>
    <w:next w:val="Normal"/>
    <w:link w:val="Heading4Char"/>
    <w:uiPriority w:val="9"/>
    <w:qFormat/>
    <w:pPr>
      <w:keepNext/>
      <w:keepLines/>
      <w:numPr>
        <w:ilvl w:val="3"/>
        <w:numId w:val="1"/>
      </w:numPr>
      <w:tabs>
        <w:tab w:val="clear" w:pos="709"/>
        <w:tab w:val="clear" w:pos="864"/>
        <w:tab w:val="left" w:pos="720"/>
      </w:tabs>
      <w:spacing w:before="100" w:beforeAutospacing="1" w:after="240"/>
      <w:outlineLvl w:val="3"/>
    </w:pPr>
    <w:rPr>
      <w:rFonts w:eastAsia="Times New Roman"/>
      <w:bCs/>
      <w:i/>
      <w:u w:color="000000"/>
      <w:lang w:eastAsia="en-US"/>
    </w:rPr>
  </w:style>
  <w:style w:type="paragraph" w:styleId="Heading5">
    <w:name w:val="heading 5"/>
    <w:basedOn w:val="Normal"/>
    <w:next w:val="Marge"/>
    <w:link w:val="Heading5Char"/>
    <w:uiPriority w:val="9"/>
    <w:qFormat/>
    <w:pPr>
      <w:keepNext/>
      <w:keepLines/>
      <w:numPr>
        <w:ilvl w:val="4"/>
        <w:numId w:val="1"/>
      </w:numPr>
      <w:tabs>
        <w:tab w:val="clear" w:pos="709"/>
        <w:tab w:val="clear" w:pos="1008"/>
        <w:tab w:val="left" w:pos="720"/>
        <w:tab w:val="left" w:pos="1418"/>
      </w:tabs>
      <w:spacing w:after="240"/>
      <w:outlineLvl w:val="4"/>
    </w:pPr>
    <w:rPr>
      <w:rFonts w:eastAsia="Times New Roman"/>
      <w:b/>
      <w:bCs/>
      <w:lang w:eastAsia="en-US"/>
    </w:rPr>
  </w:style>
  <w:style w:type="paragraph" w:styleId="Heading6">
    <w:name w:val="heading 6"/>
    <w:basedOn w:val="Normal"/>
    <w:next w:val="Marge"/>
    <w:link w:val="Heading6Char"/>
    <w:uiPriority w:val="9"/>
    <w:qFormat/>
    <w:pPr>
      <w:keepNext/>
      <w:keepLines/>
      <w:numPr>
        <w:ilvl w:val="5"/>
        <w:numId w:val="1"/>
      </w:numPr>
      <w:tabs>
        <w:tab w:val="clear" w:pos="709"/>
        <w:tab w:val="clear" w:pos="1152"/>
        <w:tab w:val="left" w:pos="720"/>
        <w:tab w:val="left" w:pos="1418"/>
      </w:tabs>
      <w:spacing w:after="240"/>
      <w:outlineLvl w:val="5"/>
    </w:pPr>
    <w:rPr>
      <w:rFonts w:eastAsia="Times New Roman"/>
      <w:b/>
      <w:iCs/>
      <w:szCs w:val="22"/>
      <w:lang w:eastAsia="en-US"/>
    </w:rPr>
  </w:style>
  <w:style w:type="paragraph" w:styleId="Heading7">
    <w:name w:val="heading 7"/>
    <w:basedOn w:val="Normal"/>
    <w:next w:val="Normal"/>
    <w:link w:val="Heading7Char"/>
    <w:uiPriority w:val="9"/>
    <w:qFormat/>
    <w:rsid w:val="003A747F"/>
    <w:pPr>
      <w:tabs>
        <w:tab w:val="clear" w:pos="709"/>
        <w:tab w:val="num" w:pos="1296"/>
      </w:tabs>
      <w:snapToGrid/>
      <w:spacing w:before="240" w:after="60"/>
      <w:ind w:left="1296" w:hanging="1296"/>
      <w:outlineLvl w:val="6"/>
    </w:pPr>
    <w:rPr>
      <w:snapToGrid/>
      <w:lang w:val="en-AU"/>
    </w:rPr>
  </w:style>
  <w:style w:type="paragraph" w:styleId="Heading8">
    <w:name w:val="heading 8"/>
    <w:basedOn w:val="Normal"/>
    <w:next w:val="Normal"/>
    <w:link w:val="Heading8Char"/>
    <w:uiPriority w:val="9"/>
    <w:qFormat/>
    <w:rsid w:val="003A747F"/>
    <w:pPr>
      <w:tabs>
        <w:tab w:val="clear" w:pos="709"/>
        <w:tab w:val="num" w:pos="1440"/>
      </w:tabs>
      <w:snapToGrid/>
      <w:spacing w:before="240" w:after="60"/>
      <w:ind w:left="1440" w:hanging="1440"/>
      <w:outlineLvl w:val="7"/>
    </w:pPr>
    <w:rPr>
      <w:i/>
      <w:iCs/>
      <w:snapToGrid/>
      <w:lang w:val="en-AU"/>
    </w:rPr>
  </w:style>
  <w:style w:type="paragraph" w:styleId="Heading9">
    <w:name w:val="heading 9"/>
    <w:basedOn w:val="Normal"/>
    <w:next w:val="Normal"/>
    <w:link w:val="Heading9Char"/>
    <w:uiPriority w:val="9"/>
    <w:qFormat/>
    <w:rsid w:val="003A747F"/>
    <w:pPr>
      <w:tabs>
        <w:tab w:val="clear" w:pos="709"/>
        <w:tab w:val="num" w:pos="1584"/>
      </w:tabs>
      <w:snapToGrid/>
      <w:spacing w:before="240" w:after="60"/>
      <w:ind w:left="1584" w:hanging="1584"/>
      <w:outlineLvl w:val="8"/>
    </w:pPr>
    <w:rPr>
      <w:rFonts w:ascii="Arial" w:hAnsi="Arial" w:cs="Arial"/>
      <w:snapToGrid/>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3A54"/>
    <w:rPr>
      <w:rFonts w:ascii="Arial" w:hAnsi="Arial"/>
      <w:color w:val="0000FF"/>
      <w:sz w:val="22"/>
      <w:u w:val="none"/>
    </w:rPr>
  </w:style>
  <w:style w:type="character" w:styleId="FootnoteReference">
    <w:name w:val="footnote reference"/>
    <w:uiPriority w:val="99"/>
    <w:rPr>
      <w:vertAlign w:val="superscript"/>
    </w:rPr>
  </w:style>
  <w:style w:type="character" w:styleId="FollowedHyperlink">
    <w:name w:val="FollowedHyperlink"/>
    <w:uiPriority w:val="99"/>
    <w:rPr>
      <w:color w:val="800080"/>
      <w:u w:val="single"/>
    </w:rPr>
  </w:style>
  <w:style w:type="character" w:customStyle="1" w:styleId="PageNumber1">
    <w:name w:val="Page Number1"/>
    <w:basedOn w:val="DefaultParagraphFont"/>
  </w:style>
  <w:style w:type="character" w:customStyle="1" w:styleId="WW8Num5z0">
    <w:name w:val="WW8Num5z0"/>
    <w:rPr>
      <w:rFonts w:ascii="Symbol" w:hAnsi="Symbol"/>
    </w:rPr>
  </w:style>
  <w:style w:type="character" w:customStyle="1" w:styleId="WW8Num5z2">
    <w:name w:val="WW8Num5z2"/>
    <w:rPr>
      <w:rFonts w:ascii="Wingdings" w:hAnsi="Wingdings"/>
    </w:rPr>
  </w:style>
  <w:style w:type="character" w:customStyle="1" w:styleId="Caractredenotedebasdepage">
    <w:name w:val="Caractère de note de bas de page"/>
    <w:rPr>
      <w:position w:val="4"/>
      <w:sz w:val="16"/>
    </w:rPr>
  </w:style>
  <w:style w:type="character" w:customStyle="1" w:styleId="apple-style-span">
    <w:name w:val="apple-style-span"/>
    <w:basedOn w:val="DefaultParagraphFont"/>
  </w:style>
  <w:style w:type="character" w:customStyle="1" w:styleId="CommentReference1">
    <w:name w:val="Comment Reference1"/>
    <w:rPr>
      <w:sz w:val="16"/>
      <w:szCs w:val="16"/>
    </w:rPr>
  </w:style>
  <w:style w:type="character" w:customStyle="1" w:styleId="CommentTextChar">
    <w:name w:val="Comment Text Char"/>
    <w:link w:val="CommentText"/>
    <w:uiPriority w:val="99"/>
    <w:rPr>
      <w:rFonts w:ascii="Calibri" w:hAnsi="Calibri"/>
      <w:lang w:val="en-US" w:eastAsia="en-US"/>
    </w:rPr>
  </w:style>
  <w:style w:type="character" w:customStyle="1" w:styleId="CommentSubjectChar">
    <w:name w:val="Comment Subject Char"/>
    <w:link w:val="CommentSubject1"/>
    <w:uiPriority w:val="99"/>
    <w:rPr>
      <w:rFonts w:ascii="Calibri" w:hAnsi="Calibri"/>
      <w:b/>
      <w:bCs/>
      <w:lang w:val="en-US" w:eastAsia="en-US"/>
    </w:rPr>
  </w:style>
  <w:style w:type="character" w:customStyle="1" w:styleId="BalloonTextChar">
    <w:name w:val="Balloon Text Char"/>
    <w:link w:val="BalloonText"/>
    <w:uiPriority w:val="99"/>
    <w:rPr>
      <w:rFonts w:ascii="Tahoma" w:eastAsia="SimSun" w:hAnsi="Tahoma" w:cs="Tahoma"/>
      <w:snapToGrid w:val="0"/>
      <w:sz w:val="16"/>
      <w:szCs w:val="16"/>
      <w:lang w:val="en-US" w:eastAsia="zh-CN"/>
    </w:rPr>
  </w:style>
  <w:style w:type="character" w:customStyle="1" w:styleId="FootnoteTextChar">
    <w:name w:val="Footnote Text Char"/>
    <w:link w:val="FootnoteText"/>
    <w:uiPriority w:val="99"/>
    <w:rPr>
      <w:rFonts w:ascii="Arial" w:hAnsi="Arial"/>
      <w:snapToGrid w:val="0"/>
      <w:lang w:val="en-US" w:eastAsia="en-US"/>
    </w:rPr>
  </w:style>
  <w:style w:type="character" w:customStyle="1" w:styleId="HeaderChar">
    <w:name w:val="Header Char"/>
    <w:link w:val="Header"/>
    <w:uiPriority w:val="99"/>
    <w:rPr>
      <w:snapToGrid w:val="0"/>
      <w:sz w:val="22"/>
      <w:szCs w:val="24"/>
      <w:lang w:val="en-US" w:eastAsia="en-US"/>
    </w:rPr>
  </w:style>
  <w:style w:type="character" w:customStyle="1" w:styleId="FooterChar">
    <w:name w:val="Footer Char"/>
    <w:link w:val="Footer"/>
    <w:uiPriority w:val="99"/>
    <w:rPr>
      <w:snapToGrid w:val="0"/>
      <w:sz w:val="24"/>
      <w:szCs w:val="24"/>
      <w:lang w:val="en-US" w:eastAsia="en-US"/>
    </w:rPr>
  </w:style>
  <w:style w:type="character" w:customStyle="1" w:styleId="SansinterligneCar">
    <w:name w:val="Sans interligne Car"/>
    <w:link w:val="Sansinterligne1"/>
    <w:rPr>
      <w:rFonts w:ascii="Calibri" w:eastAsia="Times New Roman" w:hAnsi="Calibri"/>
      <w:sz w:val="22"/>
      <w:szCs w:val="22"/>
      <w:lang w:val="en-US" w:eastAsia="en-US" w:bidi="ar-SA"/>
    </w:rPr>
  </w:style>
  <w:style w:type="character" w:customStyle="1" w:styleId="DateChar">
    <w:name w:val="Date Char"/>
    <w:link w:val="Date1"/>
    <w:rPr>
      <w:snapToGrid w:val="0"/>
      <w:sz w:val="24"/>
      <w:szCs w:val="24"/>
      <w:lang w:val="en-US"/>
    </w:rPr>
  </w:style>
  <w:style w:type="character" w:customStyle="1" w:styleId="ParCar">
    <w:name w:val="Par Car"/>
    <w:link w:val="Par"/>
    <w:rPr>
      <w:rFonts w:eastAsia="Times New Roman"/>
      <w:snapToGrid w:val="0"/>
      <w:sz w:val="24"/>
      <w:szCs w:val="24"/>
      <w:lang w:eastAsia="en-US"/>
    </w:rPr>
  </w:style>
  <w:style w:type="character" w:customStyle="1" w:styleId="MargeCar">
    <w:name w:val="Marge Car"/>
    <w:link w:val="Marge"/>
    <w:rPr>
      <w:rFonts w:eastAsia="Times New Roman"/>
      <w:snapToGrid w:val="0"/>
      <w:sz w:val="24"/>
      <w:szCs w:val="24"/>
      <w:lang w:val="en-US" w:eastAsia="en-US"/>
    </w:rPr>
  </w:style>
  <w:style w:type="character" w:customStyle="1" w:styleId="BodyTextChar">
    <w:name w:val="Body Text Char"/>
    <w:link w:val="BodyText"/>
    <w:uiPriority w:val="1"/>
    <w:rPr>
      <w:rFonts w:eastAsia="Times New Roman"/>
      <w:sz w:val="24"/>
      <w:szCs w:val="24"/>
      <w:lang w:val="en-US" w:eastAsia="en-US"/>
    </w:rPr>
  </w:style>
  <w:style w:type="character" w:customStyle="1" w:styleId="bold">
    <w:name w:val="bold"/>
    <w:basedOn w:val="DefaultParagraphFont"/>
  </w:style>
  <w:style w:type="paragraph" w:styleId="TOC3">
    <w:name w:val="toc 3"/>
    <w:basedOn w:val="Normal"/>
    <w:next w:val="Normal"/>
    <w:uiPriority w:val="39"/>
    <w:qFormat/>
    <w:pPr>
      <w:tabs>
        <w:tab w:val="clear" w:pos="709"/>
      </w:tabs>
      <w:ind w:left="480"/>
    </w:pPr>
  </w:style>
  <w:style w:type="paragraph" w:styleId="BalloonText">
    <w:name w:val="Balloon Text"/>
    <w:basedOn w:val="Normal"/>
    <w:link w:val="BalloonTextChar"/>
    <w:uiPriority w:val="99"/>
    <w:rPr>
      <w:rFonts w:ascii="Tahoma" w:hAnsi="Tahoma"/>
      <w:sz w:val="16"/>
      <w:szCs w:val="16"/>
    </w:rPr>
  </w:style>
  <w:style w:type="paragraph" w:styleId="Header">
    <w:name w:val="header"/>
    <w:basedOn w:val="Normal"/>
    <w:link w:val="HeaderChar"/>
    <w:uiPriority w:val="99"/>
    <w:pPr>
      <w:tabs>
        <w:tab w:val="clear" w:pos="709"/>
      </w:tabs>
    </w:pPr>
    <w:rPr>
      <w:sz w:val="22"/>
      <w:lang w:eastAsia="en-US"/>
    </w:rPr>
  </w:style>
  <w:style w:type="paragraph" w:styleId="TOC2">
    <w:name w:val="toc 2"/>
    <w:basedOn w:val="Normal"/>
    <w:next w:val="Normal"/>
    <w:uiPriority w:val="39"/>
    <w:qFormat/>
    <w:pPr>
      <w:tabs>
        <w:tab w:val="clear" w:pos="709"/>
        <w:tab w:val="right" w:leader="dot" w:pos="9000"/>
      </w:tabs>
      <w:spacing w:after="120"/>
      <w:ind w:left="706" w:hanging="706"/>
    </w:pPr>
    <w:rPr>
      <w:rFonts w:ascii="Arial" w:hAnsi="Arial"/>
      <w:caps/>
      <w:sz w:val="22"/>
    </w:rPr>
  </w:style>
  <w:style w:type="paragraph" w:customStyle="1" w:styleId="ANNEX">
    <w:name w:val="ANNEX"/>
    <w:basedOn w:val="Headingchapter"/>
    <w:pPr>
      <w:tabs>
        <w:tab w:val="clear" w:pos="2989"/>
      </w:tabs>
      <w:spacing w:after="100" w:afterAutospacing="1"/>
    </w:pPr>
    <w:rPr>
      <w:rFonts w:ascii="Times New Roman" w:hAnsi="Times New Roman"/>
      <w:b w:val="0"/>
      <w:bCs/>
      <w:lang w:val="en-US"/>
    </w:rPr>
  </w:style>
  <w:style w:type="paragraph" w:customStyle="1" w:styleId="Participantaffiliation">
    <w:name w:val="Participant affiliation"/>
    <w:basedOn w:val="Normal"/>
    <w:pPr>
      <w:spacing w:after="120"/>
    </w:pPr>
    <w:rPr>
      <w:rFonts w:ascii="Times New Roman Bold" w:hAnsi="Times New Roman Bold"/>
      <w:b/>
      <w:sz w:val="22"/>
      <w:lang w:val="en-US"/>
    </w:rPr>
  </w:style>
  <w:style w:type="paragraph" w:customStyle="1" w:styleId="TIRET-">
    <w:name w:val="TIRET -"/>
    <w:basedOn w:val="TIRETbul"/>
    <w:pPr>
      <w:numPr>
        <w:numId w:val="2"/>
      </w:numPr>
      <w:tabs>
        <w:tab w:val="left" w:pos="709"/>
        <w:tab w:val="left" w:pos="1276"/>
        <w:tab w:val="left" w:pos="1636"/>
      </w:tabs>
      <w:ind w:left="1560" w:hanging="284"/>
    </w:pPr>
  </w:style>
  <w:style w:type="paragraph" w:customStyle="1" w:styleId="Indenta">
    <w:name w:val="Indent (a)"/>
    <w:basedOn w:val="ii"/>
    <w:pPr>
      <w:numPr>
        <w:numId w:val="3"/>
      </w:numPr>
      <w:tabs>
        <w:tab w:val="left" w:pos="709"/>
        <w:tab w:val="left" w:pos="1429"/>
      </w:tabs>
    </w:pPr>
    <w:rPr>
      <w:b/>
      <w:bCs/>
    </w:rPr>
  </w:style>
  <w:style w:type="paragraph" w:customStyle="1" w:styleId="quotation">
    <w:name w:val="quotation"/>
    <w:basedOn w:val="Normal"/>
    <w:pPr>
      <w:spacing w:before="120" w:after="120"/>
      <w:ind w:left="709" w:right="709"/>
      <w:jc w:val="both"/>
    </w:pPr>
    <w:rPr>
      <w:i/>
    </w:rPr>
  </w:style>
  <w:style w:type="paragraph" w:styleId="Caption">
    <w:name w:val="caption"/>
    <w:basedOn w:val="Normal"/>
    <w:next w:val="Normal"/>
    <w:qFormat/>
    <w:pPr>
      <w:tabs>
        <w:tab w:val="clear" w:pos="709"/>
      </w:tabs>
      <w:snapToGrid/>
      <w:spacing w:after="200" w:line="276" w:lineRule="auto"/>
    </w:pPr>
    <w:rPr>
      <w:rFonts w:ascii="Calibri" w:eastAsia="Calibri" w:hAnsi="Calibri"/>
      <w:b/>
      <w:bCs/>
      <w:snapToGrid/>
      <w:sz w:val="20"/>
      <w:szCs w:val="20"/>
      <w:lang w:val="en-US" w:eastAsia="en-US"/>
    </w:rPr>
  </w:style>
  <w:style w:type="paragraph" w:styleId="Title">
    <w:name w:val="Title"/>
    <w:basedOn w:val="Normal"/>
    <w:link w:val="TitleChar"/>
    <w:uiPriority w:val="10"/>
    <w:qFormat/>
    <w:pPr>
      <w:tabs>
        <w:tab w:val="clear" w:pos="709"/>
        <w:tab w:val="left" w:pos="3690"/>
        <w:tab w:val="center" w:pos="4665"/>
      </w:tabs>
      <w:snapToGrid/>
      <w:jc w:val="center"/>
    </w:pPr>
    <w:rPr>
      <w:rFonts w:eastAsia="Times New Roman"/>
      <w:b/>
      <w:bCs/>
      <w:snapToGrid/>
      <w:lang w:val="en-US" w:eastAsia="en-US"/>
    </w:rPr>
  </w:style>
  <w:style w:type="paragraph" w:styleId="BodyText">
    <w:name w:val="Body Text"/>
    <w:basedOn w:val="Normal"/>
    <w:link w:val="BodyTextChar"/>
    <w:uiPriority w:val="1"/>
    <w:qFormat/>
    <w:pPr>
      <w:tabs>
        <w:tab w:val="clear" w:pos="709"/>
      </w:tabs>
      <w:snapToGrid/>
      <w:spacing w:after="120"/>
    </w:pPr>
    <w:rPr>
      <w:rFonts w:eastAsia="Times New Roman"/>
      <w:snapToGrid/>
      <w:lang w:eastAsia="en-US"/>
    </w:rPr>
  </w:style>
  <w:style w:type="paragraph" w:styleId="Footer">
    <w:name w:val="footer"/>
    <w:basedOn w:val="Normal"/>
    <w:link w:val="FooterChar"/>
    <w:uiPriority w:val="99"/>
    <w:rPr>
      <w:lang w:eastAsia="en-US"/>
    </w:rPr>
  </w:style>
  <w:style w:type="paragraph" w:styleId="CommentText">
    <w:name w:val="annotation text"/>
    <w:basedOn w:val="Normal"/>
    <w:link w:val="CommentTextChar"/>
    <w:uiPriority w:val="99"/>
    <w:pPr>
      <w:tabs>
        <w:tab w:val="clear" w:pos="709"/>
      </w:tabs>
      <w:snapToGrid/>
      <w:spacing w:after="200" w:line="276" w:lineRule="auto"/>
    </w:pPr>
    <w:rPr>
      <w:rFonts w:ascii="Calibri" w:hAnsi="Calibri"/>
      <w:snapToGrid/>
      <w:sz w:val="20"/>
      <w:szCs w:val="20"/>
      <w:lang w:val="en-US" w:eastAsia="en-US"/>
    </w:rPr>
  </w:style>
  <w:style w:type="paragraph" w:styleId="FootnoteText">
    <w:name w:val="footnote text"/>
    <w:basedOn w:val="Normal"/>
    <w:link w:val="FootnoteTextChar"/>
    <w:uiPriority w:val="99"/>
    <w:pPr>
      <w:tabs>
        <w:tab w:val="clear" w:pos="709"/>
        <w:tab w:val="left" w:pos="720"/>
      </w:tabs>
      <w:spacing w:after="60"/>
      <w:ind w:left="720" w:hanging="720"/>
      <w:jc w:val="both"/>
    </w:pPr>
    <w:rPr>
      <w:rFonts w:ascii="Arial" w:hAnsi="Arial"/>
      <w:sz w:val="20"/>
      <w:szCs w:val="20"/>
      <w:lang w:eastAsia="en-US"/>
    </w:rPr>
  </w:style>
  <w:style w:type="paragraph" w:customStyle="1" w:styleId="Participantdetail">
    <w:name w:val="Participant detail"/>
    <w:basedOn w:val="Normal"/>
    <w:pPr>
      <w:spacing w:after="240"/>
    </w:pPr>
    <w:rPr>
      <w:sz w:val="22"/>
      <w:lang w:val="en-US"/>
    </w:rPr>
  </w:style>
  <w:style w:type="paragraph" w:customStyle="1" w:styleId="Participantcategories">
    <w:name w:val="Participant categories"/>
    <w:basedOn w:val="Normal"/>
    <w:pPr>
      <w:numPr>
        <w:numId w:val="4"/>
      </w:numPr>
      <w:tabs>
        <w:tab w:val="left" w:pos="720"/>
      </w:tabs>
      <w:spacing w:after="240"/>
    </w:pPr>
    <w:rPr>
      <w:rFonts w:ascii="Times New Roman Bold" w:hAnsi="Times New Roman Bold"/>
      <w:b/>
      <w:bCs/>
      <w:caps/>
      <w:sz w:val="22"/>
      <w:lang w:val="en-US"/>
    </w:rPr>
  </w:style>
  <w:style w:type="paragraph" w:customStyle="1" w:styleId="Paragrafonumerato">
    <w:name w:val="Paragrafo numerato"/>
    <w:basedOn w:val="Normal"/>
    <w:pPr>
      <w:numPr>
        <w:numId w:val="5"/>
      </w:numPr>
      <w:tabs>
        <w:tab w:val="left" w:pos="720"/>
      </w:tabs>
      <w:snapToGrid/>
      <w:spacing w:after="240"/>
      <w:jc w:val="both"/>
    </w:pPr>
    <w:rPr>
      <w:rFonts w:eastAsia="Times New Roman"/>
      <w:snapToGrid/>
      <w:lang w:val="en-US" w:eastAsia="en-US"/>
    </w:rPr>
  </w:style>
  <w:style w:type="paragraph" w:customStyle="1" w:styleId="Recommendation">
    <w:name w:val="Recommendation"/>
    <w:basedOn w:val="Headingchapter"/>
    <w:pPr>
      <w:tabs>
        <w:tab w:val="clear" w:pos="2989"/>
      </w:tabs>
      <w:spacing w:after="240"/>
    </w:pPr>
    <w:rPr>
      <w:rFonts w:ascii="Times New Roman" w:hAnsi="Times New Roman"/>
      <w:b w:val="0"/>
      <w:caps/>
      <w:u w:val="single"/>
      <w:lang w:val="en-US"/>
    </w:rPr>
  </w:style>
  <w:style w:type="paragraph" w:customStyle="1" w:styleId="Tiret">
    <w:name w:val="Tiret"/>
    <w:basedOn w:val="Normal"/>
    <w:pPr>
      <w:numPr>
        <w:numId w:val="6"/>
      </w:numPr>
      <w:tabs>
        <w:tab w:val="clear" w:pos="709"/>
        <w:tab w:val="left" w:pos="2062"/>
      </w:tabs>
      <w:spacing w:after="240"/>
      <w:ind w:left="851" w:hanging="284"/>
      <w:jc w:val="both"/>
    </w:pPr>
    <w:rPr>
      <w:lang w:val="en-US"/>
    </w:rPr>
  </w:style>
  <w:style w:type="paragraph" w:customStyle="1" w:styleId="TIRETbul1cm">
    <w:name w:val="TIRET bul 1cm"/>
    <w:basedOn w:val="Normal"/>
    <w:pPr>
      <w:tabs>
        <w:tab w:val="clear" w:pos="709"/>
      </w:tabs>
      <w:adjustRightInd w:val="0"/>
      <w:spacing w:after="240"/>
      <w:ind w:left="851" w:hanging="284"/>
      <w:jc w:val="both"/>
    </w:pPr>
    <w:rPr>
      <w:lang w:val="en-US"/>
    </w:rPr>
  </w:style>
  <w:style w:type="paragraph" w:customStyle="1" w:styleId="Rectitle">
    <w:name w:val="Rec. title"/>
    <w:basedOn w:val="Normal"/>
    <w:pPr>
      <w:spacing w:after="240"/>
      <w:jc w:val="center"/>
    </w:pPr>
    <w:rPr>
      <w:rFonts w:ascii="Times New Roman Bold" w:hAnsi="Times New Roman Bold"/>
      <w:b/>
      <w:caps/>
      <w:lang w:val="en-US"/>
    </w:rPr>
  </w:style>
  <w:style w:type="paragraph" w:customStyle="1" w:styleId="paragraph">
    <w:name w:val="paragraph"/>
    <w:basedOn w:val="Indenta"/>
    <w:pPr>
      <w:numPr>
        <w:numId w:val="0"/>
      </w:numPr>
      <w:tabs>
        <w:tab w:val="clear" w:pos="709"/>
        <w:tab w:val="left" w:pos="1429"/>
      </w:tabs>
      <w:ind w:firstLine="720"/>
    </w:pPr>
    <w:rPr>
      <w:b w:val="0"/>
    </w:rPr>
  </w:style>
  <w:style w:type="paragraph" w:customStyle="1" w:styleId="Par">
    <w:name w:val="Par"/>
    <w:basedOn w:val="Normal"/>
    <w:link w:val="ParCar"/>
    <w:pPr>
      <w:tabs>
        <w:tab w:val="clear" w:pos="709"/>
        <w:tab w:val="left" w:pos="567"/>
      </w:tabs>
      <w:spacing w:after="240"/>
      <w:ind w:firstLine="567"/>
      <w:jc w:val="both"/>
    </w:pPr>
    <w:rPr>
      <w:rFonts w:eastAsia="Times New Roman"/>
      <w:lang w:val="x-none" w:eastAsia="en-US"/>
    </w:rPr>
  </w:style>
  <w:style w:type="paragraph" w:customStyle="1" w:styleId="BodyText21">
    <w:name w:val="Body Text 21"/>
    <w:basedOn w:val="Normal"/>
    <w:pPr>
      <w:tabs>
        <w:tab w:val="clear" w:pos="709"/>
      </w:tabs>
      <w:snapToGrid/>
      <w:spacing w:after="240"/>
      <w:jc w:val="both"/>
    </w:pPr>
    <w:rPr>
      <w:rFonts w:ascii="Arial" w:eastAsia="Times New Roman" w:hAnsi="Arial" w:cs="Arial"/>
      <w:snapToGrid/>
      <w:sz w:val="22"/>
      <w:szCs w:val="22"/>
      <w:lang w:val="en-US" w:eastAsia="en-US"/>
    </w:rPr>
  </w:style>
  <w:style w:type="paragraph" w:customStyle="1" w:styleId="agendaitem">
    <w:name w:val="agenda_item"/>
    <w:basedOn w:val="Normal"/>
    <w:pPr>
      <w:tabs>
        <w:tab w:val="clear" w:pos="709"/>
      </w:tabs>
      <w:suppressAutoHyphens/>
      <w:snapToGrid/>
      <w:spacing w:before="280"/>
      <w:ind w:left="900" w:hanging="900"/>
    </w:pPr>
    <w:rPr>
      <w:rFonts w:ascii="Trebuchet MS" w:eastAsia="Times New Roman" w:hAnsi="Trebuchet MS"/>
      <w:snapToGrid/>
      <w:sz w:val="20"/>
      <w:szCs w:val="20"/>
      <w:lang w:val="en-US" w:eastAsia="ar-SA"/>
    </w:rPr>
  </w:style>
  <w:style w:type="paragraph" w:customStyle="1" w:styleId="indenttext1">
    <w:name w:val="indenttext1"/>
    <w:basedOn w:val="Normal"/>
    <w:pPr>
      <w:tabs>
        <w:tab w:val="clear" w:pos="709"/>
      </w:tabs>
      <w:snapToGrid/>
      <w:spacing w:before="100" w:beforeAutospacing="1" w:after="100" w:afterAutospacing="1"/>
      <w:ind w:left="300" w:right="300"/>
    </w:pPr>
    <w:rPr>
      <w:rFonts w:ascii="Verdana" w:eastAsia="MS Mincho" w:hAnsi="Verdana"/>
      <w:snapToGrid/>
      <w:sz w:val="20"/>
      <w:szCs w:val="20"/>
      <w:lang w:val="en-US" w:eastAsia="ja-JP"/>
    </w:rPr>
  </w:style>
  <w:style w:type="paragraph" w:customStyle="1" w:styleId="Char3CharCharChar">
    <w:name w:val="Char3 Char Char Char"/>
    <w:basedOn w:val="Normal"/>
    <w:pPr>
      <w:tabs>
        <w:tab w:val="clear" w:pos="709"/>
      </w:tabs>
      <w:snapToGrid/>
      <w:spacing w:after="160" w:line="240" w:lineRule="exact"/>
    </w:pPr>
    <w:rPr>
      <w:rFonts w:ascii="Verdana" w:eastAsia="Times New Roman" w:hAnsi="Verdana"/>
      <w:snapToGrid/>
      <w:sz w:val="20"/>
      <w:szCs w:val="20"/>
      <w:lang w:eastAsia="en-US"/>
    </w:rPr>
  </w:style>
  <w:style w:type="paragraph" w:customStyle="1" w:styleId="StyleLatinGaramondBoldAllcapsJustifiedBeforeAutoA">
    <w:name w:val="Style (Latin) Garamond Bold All caps Justified Before:  Auto A..."/>
    <w:basedOn w:val="Normal"/>
    <w:pPr>
      <w:numPr>
        <w:numId w:val="7"/>
      </w:numPr>
      <w:tabs>
        <w:tab w:val="left" w:pos="720"/>
      </w:tabs>
      <w:suppressAutoHyphens/>
      <w:snapToGrid/>
      <w:spacing w:before="240" w:after="120"/>
      <w:jc w:val="both"/>
    </w:pPr>
    <w:rPr>
      <w:rFonts w:ascii="Garamond" w:eastAsia="Times New Roman" w:hAnsi="Garamond"/>
      <w:b/>
      <w:bCs/>
      <w:snapToGrid/>
      <w:szCs w:val="20"/>
      <w:lang w:eastAsia="ar-SA"/>
    </w:rPr>
  </w:style>
  <w:style w:type="paragraph" w:customStyle="1" w:styleId="StyleHeading2Arial11ptBold">
    <w:name w:val="Style Heading 2 + Arial 11 pt Bold"/>
    <w:basedOn w:val="Heading2"/>
  </w:style>
  <w:style w:type="paragraph" w:customStyle="1" w:styleId="BodyA">
    <w:name w:val="Body A"/>
    <w:rPr>
      <w:rFonts w:ascii="Helvetica" w:eastAsia="ヒラギノ角ゴ Pro W3" w:hAnsi="Helvetica"/>
      <w:color w:val="000000"/>
      <w:kern w:val="1"/>
      <w:sz w:val="24"/>
      <w:lang w:eastAsia="fr-FR"/>
    </w:rPr>
  </w:style>
  <w:style w:type="paragraph" w:customStyle="1" w:styleId="FreeForm">
    <w:name w:val="Free Form"/>
    <w:rPr>
      <w:rFonts w:eastAsia="ヒラギノ角ゴ Pro W3"/>
      <w:color w:val="000000"/>
      <w:kern w:val="1"/>
      <w:lang w:eastAsia="fr-FR"/>
    </w:rPr>
  </w:style>
  <w:style w:type="paragraph" w:customStyle="1" w:styleId="Paragraphedeliste1">
    <w:name w:val="Paragraphe de liste1"/>
    <w:basedOn w:val="Normal"/>
    <w:qFormat/>
    <w:pPr>
      <w:tabs>
        <w:tab w:val="clear" w:pos="709"/>
      </w:tabs>
      <w:snapToGrid/>
      <w:spacing w:after="200" w:line="276" w:lineRule="auto"/>
      <w:ind w:left="720"/>
    </w:pPr>
    <w:rPr>
      <w:rFonts w:ascii="Calibri" w:eastAsia="Times New Roman" w:hAnsi="Calibri"/>
      <w:snapToGrid/>
      <w:sz w:val="22"/>
      <w:szCs w:val="22"/>
      <w:lang w:val="en-US" w:eastAsia="en-US"/>
    </w:rPr>
  </w:style>
  <w:style w:type="paragraph" w:customStyle="1" w:styleId="StyleListParagraphArialJustified">
    <w:name w:val="Style List Paragraph + Arial Justified"/>
    <w:basedOn w:val="Paragraphedeliste1"/>
    <w:pPr>
      <w:numPr>
        <w:numId w:val="8"/>
      </w:numPr>
      <w:spacing w:after="240" w:line="240" w:lineRule="auto"/>
      <w:jc w:val="both"/>
    </w:pPr>
    <w:rPr>
      <w:rFonts w:ascii="Arial" w:eastAsia="Cambria" w:hAnsi="Arial"/>
      <w:szCs w:val="20"/>
    </w:rPr>
  </w:style>
  <w:style w:type="paragraph" w:customStyle="1" w:styleId="Default">
    <w:name w:val="Default"/>
    <w:pPr>
      <w:autoSpaceDE w:val="0"/>
      <w:autoSpaceDN w:val="0"/>
      <w:adjustRightInd w:val="0"/>
    </w:pPr>
    <w:rPr>
      <w:color w:val="000000"/>
      <w:sz w:val="24"/>
      <w:szCs w:val="24"/>
      <w:lang w:eastAsia="fr-FR"/>
    </w:rPr>
  </w:style>
  <w:style w:type="paragraph" w:customStyle="1" w:styleId="CommentSubject1">
    <w:name w:val="Comment Subject1"/>
    <w:basedOn w:val="CommentText"/>
    <w:next w:val="CommentText"/>
    <w:link w:val="CommentSubjectChar"/>
    <w:pPr>
      <w:tabs>
        <w:tab w:val="left" w:pos="709"/>
      </w:tabs>
    </w:pPr>
    <w:rPr>
      <w:b/>
      <w:bCs/>
    </w:rPr>
  </w:style>
  <w:style w:type="paragraph" w:customStyle="1" w:styleId="Rvision1">
    <w:name w:val="Révision1"/>
    <w:rPr>
      <w:rFonts w:ascii="Calibri" w:eastAsia="Times New Roman" w:hAnsi="Calibri"/>
      <w:sz w:val="22"/>
      <w:szCs w:val="22"/>
    </w:rPr>
  </w:style>
  <w:style w:type="paragraph" w:customStyle="1" w:styleId="Sansinterligne1">
    <w:name w:val="Sans interligne1"/>
    <w:link w:val="SansinterligneCar"/>
    <w:qFormat/>
    <w:rPr>
      <w:rFonts w:ascii="Calibri" w:eastAsia="Times New Roman" w:hAnsi="Calibri"/>
      <w:sz w:val="22"/>
      <w:szCs w:val="22"/>
    </w:rPr>
  </w:style>
  <w:style w:type="paragraph" w:customStyle="1" w:styleId="standard">
    <w:name w:val="standard"/>
    <w:basedOn w:val="Normal"/>
    <w:next w:val="Normal"/>
    <w:pPr>
      <w:tabs>
        <w:tab w:val="clear" w:pos="709"/>
      </w:tabs>
      <w:autoSpaceDE w:val="0"/>
      <w:autoSpaceDN w:val="0"/>
      <w:adjustRightInd w:val="0"/>
      <w:snapToGrid/>
      <w:ind w:firstLine="1134"/>
      <w:jc w:val="both"/>
    </w:pPr>
    <w:rPr>
      <w:rFonts w:ascii="KDBGMC+TimesNewRoman" w:eastAsia="Batang" w:hAnsi="KDBGMC+TimesNewRoman"/>
      <w:snapToGrid/>
      <w:lang w:eastAsia="en-US"/>
    </w:rPr>
  </w:style>
  <w:style w:type="paragraph" w:customStyle="1" w:styleId="HeadingAnnex">
    <w:name w:val="Heading Annex"/>
    <w:basedOn w:val="Normal"/>
    <w:next w:val="Normal"/>
    <w:pPr>
      <w:keepNext/>
      <w:tabs>
        <w:tab w:val="clear" w:pos="709"/>
      </w:tabs>
      <w:snapToGrid/>
      <w:spacing w:before="240" w:after="240"/>
      <w:jc w:val="center"/>
      <w:outlineLvl w:val="1"/>
    </w:pPr>
    <w:rPr>
      <w:rFonts w:ascii="Arial" w:eastAsia="Times New Roman" w:hAnsi="Arial" w:cs="Arial"/>
      <w:bCs/>
      <w:iCs/>
      <w:caps/>
      <w:snapToGrid/>
      <w:sz w:val="22"/>
      <w:szCs w:val="22"/>
      <w:lang w:eastAsia="en-US"/>
    </w:rPr>
  </w:style>
  <w:style w:type="paragraph" w:customStyle="1" w:styleId="Annextitle">
    <w:name w:val="Annex title"/>
    <w:basedOn w:val="Normal"/>
    <w:pPr>
      <w:tabs>
        <w:tab w:val="clear" w:pos="709"/>
      </w:tabs>
      <w:autoSpaceDE w:val="0"/>
      <w:autoSpaceDN w:val="0"/>
      <w:adjustRightInd w:val="0"/>
      <w:snapToGrid/>
      <w:spacing w:after="360"/>
      <w:jc w:val="center"/>
    </w:pPr>
    <w:rPr>
      <w:rFonts w:ascii="Arial" w:eastAsia="Batang" w:hAnsi="Arial" w:cs="Arial"/>
      <w:b/>
      <w:caps/>
      <w:snapToGrid/>
      <w:color w:val="000000"/>
      <w:sz w:val="22"/>
      <w:szCs w:val="22"/>
      <w:lang w:eastAsia="en-US"/>
    </w:rPr>
  </w:style>
  <w:style w:type="paragraph" w:customStyle="1" w:styleId="StyleHeading1">
    <w:name w:val="Style Heading 1+"/>
    <w:basedOn w:val="Heading1"/>
    <w:pPr>
      <w:numPr>
        <w:numId w:val="9"/>
      </w:numPr>
      <w:tabs>
        <w:tab w:val="left" w:pos="880"/>
      </w:tabs>
      <w:spacing w:before="360"/>
    </w:pPr>
    <w:rPr>
      <w:rFonts w:eastAsia="Batang"/>
      <w:snapToGrid/>
      <w:color w:val="000000"/>
      <w:szCs w:val="20"/>
      <w:lang w:eastAsia="ko-KR"/>
    </w:rPr>
  </w:style>
  <w:style w:type="paragraph" w:customStyle="1" w:styleId="Date1">
    <w:name w:val="Date1"/>
    <w:basedOn w:val="Normal"/>
    <w:next w:val="Normal"/>
    <w:link w:val="DateChar"/>
    <w:rPr>
      <w:lang w:eastAsia="x-none"/>
    </w:rPr>
  </w:style>
  <w:style w:type="paragraph" w:customStyle="1" w:styleId="b">
    <w:name w:val="(b)"/>
    <w:basedOn w:val="Normal"/>
    <w:pPr>
      <w:tabs>
        <w:tab w:val="clear" w:pos="709"/>
        <w:tab w:val="left" w:pos="1418"/>
      </w:tabs>
      <w:spacing w:after="240"/>
      <w:ind w:left="1418" w:hanging="709"/>
      <w:jc w:val="both"/>
    </w:pPr>
    <w:rPr>
      <w:rFonts w:ascii="Arial" w:eastAsia="Times New Roman" w:hAnsi="Arial" w:cs="Arial"/>
      <w:sz w:val="22"/>
      <w:szCs w:val="22"/>
      <w:lang w:val="en-US" w:eastAsia="en-US"/>
    </w:rPr>
  </w:style>
  <w:style w:type="paragraph" w:customStyle="1" w:styleId="Seriestitle2">
    <w:name w:val="Series title 2"/>
    <w:basedOn w:val="Seriestitle1"/>
    <w:pPr>
      <w:tabs>
        <w:tab w:val="clear" w:pos="2989"/>
      </w:tabs>
    </w:pPr>
    <w:rPr>
      <w:b w:val="0"/>
      <w:i/>
      <w:iCs/>
    </w:rPr>
  </w:style>
  <w:style w:type="paragraph" w:customStyle="1" w:styleId="COI">
    <w:name w:val="COI"/>
    <w:basedOn w:val="Marge"/>
    <w:pPr>
      <w:numPr>
        <w:numId w:val="10"/>
      </w:numPr>
      <w:tabs>
        <w:tab w:val="left" w:pos="709"/>
      </w:tabs>
      <w:ind w:left="0"/>
    </w:pPr>
    <w:rPr>
      <w:rFonts w:ascii="Arial" w:hAnsi="Arial" w:cs="Arial"/>
      <w:sz w:val="22"/>
      <w:szCs w:val="22"/>
      <w:lang w:val="en-US"/>
    </w:rPr>
  </w:style>
  <w:style w:type="paragraph" w:customStyle="1" w:styleId="ASLOSBodyText">
    <w:name w:val="ASLOS Body Text"/>
    <w:basedOn w:val="BodyText"/>
    <w:pPr>
      <w:tabs>
        <w:tab w:val="left" w:pos="709"/>
      </w:tabs>
      <w:spacing w:before="120"/>
      <w:ind w:left="720"/>
    </w:pPr>
    <w:rPr>
      <w:bCs/>
      <w:sz w:val="22"/>
      <w:szCs w:val="22"/>
    </w:rPr>
  </w:style>
  <w:style w:type="paragraph" w:styleId="TOC1">
    <w:name w:val="toc 1"/>
    <w:basedOn w:val="Normal"/>
    <w:next w:val="Normal"/>
    <w:uiPriority w:val="39"/>
    <w:qFormat/>
    <w:pPr>
      <w:tabs>
        <w:tab w:val="clear" w:pos="709"/>
        <w:tab w:val="right" w:leader="dot" w:pos="9000"/>
      </w:tabs>
      <w:spacing w:before="120" w:after="120"/>
    </w:pPr>
    <w:rPr>
      <w:b/>
      <w:caps/>
    </w:rPr>
  </w:style>
  <w:style w:type="paragraph" w:customStyle="1" w:styleId="i">
    <w:name w:val="(i)"/>
    <w:basedOn w:val="Normal"/>
    <w:pPr>
      <w:numPr>
        <w:numId w:val="11"/>
      </w:numPr>
      <w:tabs>
        <w:tab w:val="clear" w:pos="709"/>
        <w:tab w:val="left" w:pos="-737"/>
      </w:tabs>
      <w:spacing w:before="100" w:beforeAutospacing="1" w:after="240"/>
      <w:jc w:val="both"/>
    </w:pPr>
    <w:rPr>
      <w:rFonts w:eastAsia="Times New Roman"/>
      <w:lang w:eastAsia="en-US"/>
    </w:rPr>
  </w:style>
  <w:style w:type="paragraph" w:customStyle="1" w:styleId="c">
    <w:name w:val="(c)"/>
    <w:basedOn w:val="Normal"/>
    <w:pPr>
      <w:tabs>
        <w:tab w:val="clear" w:pos="709"/>
        <w:tab w:val="left" w:pos="2126"/>
      </w:tabs>
      <w:spacing w:after="240"/>
      <w:ind w:left="2127" w:hanging="709"/>
      <w:jc w:val="both"/>
    </w:pPr>
  </w:style>
  <w:style w:type="paragraph" w:customStyle="1" w:styleId="Marge">
    <w:name w:val="Marge"/>
    <w:basedOn w:val="Normal"/>
    <w:link w:val="MargeCar"/>
    <w:pPr>
      <w:spacing w:after="240"/>
      <w:jc w:val="both"/>
    </w:pPr>
    <w:rPr>
      <w:rFonts w:eastAsia="Times New Roman"/>
      <w:lang w:eastAsia="en-US"/>
    </w:rPr>
  </w:style>
  <w:style w:type="paragraph" w:customStyle="1" w:styleId="TIRETbul">
    <w:name w:val="TIRET bul"/>
    <w:basedOn w:val="Normal"/>
    <w:pPr>
      <w:numPr>
        <w:numId w:val="12"/>
      </w:numPr>
      <w:tabs>
        <w:tab w:val="clear" w:pos="709"/>
        <w:tab w:val="left" w:pos="1276"/>
      </w:tabs>
      <w:adjustRightInd w:val="0"/>
      <w:spacing w:before="120" w:after="100" w:afterAutospacing="1"/>
      <w:jc w:val="both"/>
    </w:pPr>
  </w:style>
  <w:style w:type="paragraph" w:customStyle="1" w:styleId="ii">
    <w:name w:val="(ii)"/>
    <w:basedOn w:val="i"/>
    <w:pPr>
      <w:numPr>
        <w:numId w:val="0"/>
      </w:numPr>
      <w:tabs>
        <w:tab w:val="clear" w:pos="-737"/>
        <w:tab w:val="left" w:pos="1418"/>
      </w:tabs>
      <w:ind w:left="1440" w:hanging="720"/>
    </w:pPr>
  </w:style>
  <w:style w:type="paragraph" w:customStyle="1" w:styleId="Headingchapter">
    <w:name w:val="Heading chapter"/>
    <w:basedOn w:val="Heading1"/>
    <w:next w:val="Normal"/>
    <w:pPr>
      <w:tabs>
        <w:tab w:val="left" w:pos="2989"/>
      </w:tabs>
      <w:spacing w:after="480"/>
      <w:jc w:val="center"/>
    </w:pPr>
    <w:rPr>
      <w:rFonts w:ascii="Times New Roman Bold" w:hAnsi="Times New Roman Bold"/>
    </w:rPr>
  </w:style>
  <w:style w:type="paragraph" w:customStyle="1" w:styleId="centretext">
    <w:name w:val="centre text"/>
    <w:basedOn w:val="Marge"/>
    <w:pPr>
      <w:tabs>
        <w:tab w:val="clear" w:pos="709"/>
      </w:tabs>
      <w:spacing w:after="0"/>
      <w:jc w:val="center"/>
    </w:pPr>
    <w:rPr>
      <w:bCs/>
    </w:rPr>
  </w:style>
  <w:style w:type="paragraph" w:customStyle="1" w:styleId="Seriestitle1">
    <w:name w:val="Series title 1"/>
    <w:basedOn w:val="Heading1"/>
    <w:pPr>
      <w:tabs>
        <w:tab w:val="left" w:pos="2989"/>
      </w:tabs>
      <w:spacing w:after="0"/>
    </w:pPr>
    <w:rPr>
      <w:bCs/>
      <w:caps/>
      <w:sz w:val="36"/>
      <w:szCs w:val="36"/>
    </w:rPr>
  </w:style>
  <w:style w:type="character" w:styleId="CommentReference">
    <w:name w:val="annotation reference"/>
    <w:uiPriority w:val="99"/>
    <w:rsid w:val="00025D58"/>
    <w:rPr>
      <w:sz w:val="16"/>
      <w:szCs w:val="16"/>
    </w:rPr>
  </w:style>
  <w:style w:type="paragraph" w:styleId="CommentSubject">
    <w:name w:val="annotation subject"/>
    <w:basedOn w:val="CommentText"/>
    <w:next w:val="CommentText"/>
    <w:uiPriority w:val="99"/>
    <w:rsid w:val="00025D58"/>
    <w:pPr>
      <w:tabs>
        <w:tab w:val="left" w:pos="709"/>
      </w:tabs>
      <w:snapToGrid w:val="0"/>
      <w:spacing w:after="0" w:line="240" w:lineRule="auto"/>
    </w:pPr>
    <w:rPr>
      <w:rFonts w:ascii="Times New Roman" w:hAnsi="Times New Roman"/>
      <w:b/>
      <w:bCs/>
      <w:lang w:eastAsia="zh-CN"/>
    </w:rPr>
  </w:style>
  <w:style w:type="table" w:styleId="TableGrid">
    <w:name w:val="Table Grid"/>
    <w:basedOn w:val="TableNormal"/>
    <w:uiPriority w:val="39"/>
    <w:rsid w:val="00B12607"/>
    <w:pPr>
      <w:tabs>
        <w:tab w:val="left" w:pos="709"/>
      </w:tab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596C"/>
    <w:pPr>
      <w:tabs>
        <w:tab w:val="clear" w:pos="709"/>
      </w:tabs>
      <w:snapToGrid/>
      <w:spacing w:before="100" w:beforeAutospacing="1" w:after="100" w:afterAutospacing="1"/>
    </w:pPr>
    <w:rPr>
      <w:rFonts w:eastAsia="Times New Roman"/>
      <w:snapToGrid/>
      <w:lang w:val="fr-FR" w:eastAsia="fr-FR"/>
    </w:rPr>
  </w:style>
  <w:style w:type="paragraph" w:styleId="NoSpacing">
    <w:name w:val="No Spacing"/>
    <w:uiPriority w:val="1"/>
    <w:qFormat/>
    <w:rsid w:val="000C0D77"/>
    <w:pPr>
      <w:tabs>
        <w:tab w:val="left" w:pos="709"/>
      </w:tabs>
      <w:snapToGrid w:val="0"/>
    </w:pPr>
    <w:rPr>
      <w:snapToGrid w:val="0"/>
      <w:sz w:val="24"/>
      <w:szCs w:val="24"/>
      <w:lang w:eastAsia="zh-CN"/>
    </w:rPr>
  </w:style>
  <w:style w:type="character" w:customStyle="1" w:styleId="Heading7Char">
    <w:name w:val="Heading 7 Char"/>
    <w:link w:val="Heading7"/>
    <w:uiPriority w:val="9"/>
    <w:rsid w:val="003A747F"/>
    <w:rPr>
      <w:sz w:val="24"/>
      <w:szCs w:val="24"/>
      <w:lang w:val="en-AU" w:eastAsia="zh-CN"/>
    </w:rPr>
  </w:style>
  <w:style w:type="character" w:customStyle="1" w:styleId="Heading8Char">
    <w:name w:val="Heading 8 Char"/>
    <w:link w:val="Heading8"/>
    <w:uiPriority w:val="9"/>
    <w:rsid w:val="003A747F"/>
    <w:rPr>
      <w:i/>
      <w:iCs/>
      <w:sz w:val="24"/>
      <w:szCs w:val="24"/>
      <w:lang w:val="en-AU" w:eastAsia="zh-CN"/>
    </w:rPr>
  </w:style>
  <w:style w:type="character" w:customStyle="1" w:styleId="Heading9Char">
    <w:name w:val="Heading 9 Char"/>
    <w:link w:val="Heading9"/>
    <w:uiPriority w:val="9"/>
    <w:rsid w:val="003A747F"/>
    <w:rPr>
      <w:rFonts w:ascii="Arial" w:hAnsi="Arial" w:cs="Arial"/>
      <w:sz w:val="22"/>
      <w:szCs w:val="22"/>
      <w:lang w:val="en-AU" w:eastAsia="zh-CN"/>
    </w:rPr>
  </w:style>
  <w:style w:type="character" w:styleId="PageNumber">
    <w:name w:val="page number"/>
    <w:rsid w:val="003A747F"/>
  </w:style>
  <w:style w:type="paragraph" w:styleId="ListParagraph">
    <w:name w:val="List Paragraph"/>
    <w:basedOn w:val="Normal"/>
    <w:uiPriority w:val="34"/>
    <w:qFormat/>
    <w:rsid w:val="008F1842"/>
    <w:pPr>
      <w:ind w:left="708"/>
    </w:pPr>
  </w:style>
  <w:style w:type="numbering" w:customStyle="1" w:styleId="Style1">
    <w:name w:val="Style1"/>
    <w:rsid w:val="003E7D51"/>
    <w:pPr>
      <w:numPr>
        <w:numId w:val="14"/>
      </w:numPr>
    </w:pPr>
  </w:style>
  <w:style w:type="paragraph" w:styleId="Revision">
    <w:name w:val="Revision"/>
    <w:hidden/>
    <w:uiPriority w:val="99"/>
    <w:rsid w:val="00F150CA"/>
    <w:rPr>
      <w:snapToGrid w:val="0"/>
      <w:sz w:val="24"/>
      <w:szCs w:val="24"/>
      <w:lang w:eastAsia="zh-CN"/>
    </w:rPr>
  </w:style>
  <w:style w:type="table" w:customStyle="1" w:styleId="TableGrid1">
    <w:name w:val="Table Grid1"/>
    <w:basedOn w:val="TableNormal"/>
    <w:next w:val="TableGrid"/>
    <w:uiPriority w:val="59"/>
    <w:rsid w:val="004E1885"/>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99"/>
    <w:qFormat/>
    <w:rsid w:val="00DB4376"/>
    <w:pPr>
      <w:tabs>
        <w:tab w:val="clear" w:pos="709"/>
      </w:tabs>
      <w:snapToGrid/>
      <w:spacing w:after="200" w:line="276" w:lineRule="auto"/>
      <w:ind w:left="720"/>
      <w:contextualSpacing/>
    </w:pPr>
    <w:rPr>
      <w:rFonts w:ascii="Calibri" w:eastAsia="Calibri" w:hAnsi="Calibri"/>
      <w:snapToGrid/>
      <w:sz w:val="22"/>
      <w:szCs w:val="22"/>
      <w:lang w:val="en-US" w:eastAsia="en-US"/>
    </w:rPr>
  </w:style>
  <w:style w:type="character" w:customStyle="1" w:styleId="st">
    <w:name w:val="st"/>
    <w:rsid w:val="00DB4376"/>
  </w:style>
  <w:style w:type="character" w:styleId="Emphasis">
    <w:name w:val="Emphasis"/>
    <w:uiPriority w:val="20"/>
    <w:qFormat/>
    <w:rsid w:val="00DB4376"/>
    <w:rPr>
      <w:i/>
      <w:iCs/>
    </w:rPr>
  </w:style>
  <w:style w:type="character" w:customStyle="1" w:styleId="apple-converted-space">
    <w:name w:val="apple-converted-space"/>
    <w:rsid w:val="00C85879"/>
  </w:style>
  <w:style w:type="character" w:customStyle="1" w:styleId="Heading1Char">
    <w:name w:val="Heading 1 Char"/>
    <w:link w:val="Heading1"/>
    <w:uiPriority w:val="9"/>
    <w:rsid w:val="00507DE9"/>
    <w:rPr>
      <w:rFonts w:ascii="Arial" w:hAnsi="Arial" w:cs="Arial"/>
      <w:b/>
      <w:snapToGrid w:val="0"/>
      <w:sz w:val="22"/>
      <w:szCs w:val="24"/>
      <w:lang w:val="en-GB" w:eastAsia="zh-CN"/>
    </w:rPr>
  </w:style>
  <w:style w:type="character" w:customStyle="1" w:styleId="Heading2Char">
    <w:name w:val="Heading 2 Char"/>
    <w:link w:val="Heading2"/>
    <w:uiPriority w:val="9"/>
    <w:rsid w:val="00507DE9"/>
    <w:rPr>
      <w:rFonts w:ascii="Arial" w:eastAsia="Times New Roman" w:hAnsi="Arial" w:cs="Arial"/>
      <w:bCs/>
      <w:snapToGrid w:val="0"/>
      <w:sz w:val="22"/>
      <w:szCs w:val="22"/>
      <w:lang w:val="en-GB"/>
    </w:rPr>
  </w:style>
  <w:style w:type="paragraph" w:styleId="TOCHeading">
    <w:name w:val="TOC Heading"/>
    <w:basedOn w:val="Heading1"/>
    <w:next w:val="Normal"/>
    <w:uiPriority w:val="39"/>
    <w:unhideWhenUsed/>
    <w:qFormat/>
    <w:rsid w:val="00C85879"/>
    <w:pPr>
      <w:snapToGrid/>
      <w:spacing w:after="0" w:line="276" w:lineRule="auto"/>
      <w:outlineLvl w:val="9"/>
    </w:pPr>
    <w:rPr>
      <w:rFonts w:ascii="Cambria" w:hAnsi="Cambria"/>
      <w:caps/>
      <w:snapToGrid/>
      <w:color w:val="365F91"/>
      <w:sz w:val="28"/>
      <w:szCs w:val="28"/>
      <w:lang w:val="en-US" w:eastAsia="ja-JP"/>
    </w:rPr>
  </w:style>
  <w:style w:type="table" w:customStyle="1" w:styleId="TableGrid2">
    <w:name w:val="Table Grid2"/>
    <w:basedOn w:val="TableNormal"/>
    <w:next w:val="TableGrid"/>
    <w:rsid w:val="00C858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mark">
    <w:name w:val="skype_pnh_mark"/>
    <w:rsid w:val="00412EF7"/>
    <w:rPr>
      <w:vanish/>
      <w:webHidden w:val="0"/>
      <w:specVanish w:val="0"/>
    </w:rPr>
  </w:style>
  <w:style w:type="character" w:customStyle="1" w:styleId="skypepnhprintcontainer">
    <w:name w:val="skype_pnh_print_container"/>
    <w:rsid w:val="00412EF7"/>
  </w:style>
  <w:style w:type="character" w:customStyle="1" w:styleId="skypepnhcontainer">
    <w:name w:val="skype_pnh_container"/>
    <w:rsid w:val="00412EF7"/>
  </w:style>
  <w:style w:type="character" w:customStyle="1" w:styleId="skypepnhleftspan">
    <w:name w:val="skype_pnh_left_span"/>
    <w:rsid w:val="00412EF7"/>
  </w:style>
  <w:style w:type="character" w:customStyle="1" w:styleId="skypepnhdropartspan">
    <w:name w:val="skype_pnh_dropart_span"/>
    <w:rsid w:val="00412EF7"/>
  </w:style>
  <w:style w:type="character" w:customStyle="1" w:styleId="skypepnhdropartflagspan">
    <w:name w:val="skype_pnh_dropart_flag_span"/>
    <w:rsid w:val="00412EF7"/>
  </w:style>
  <w:style w:type="character" w:customStyle="1" w:styleId="skypepnhtextspan">
    <w:name w:val="skype_pnh_text_span"/>
    <w:rsid w:val="00412EF7"/>
  </w:style>
  <w:style w:type="character" w:customStyle="1" w:styleId="skypepnhrightspan">
    <w:name w:val="skype_pnh_right_span"/>
    <w:rsid w:val="00412EF7"/>
  </w:style>
  <w:style w:type="paragraph" w:styleId="TOC4">
    <w:name w:val="toc 4"/>
    <w:basedOn w:val="Normal"/>
    <w:next w:val="Normal"/>
    <w:autoRedefine/>
    <w:uiPriority w:val="39"/>
    <w:unhideWhenUsed/>
    <w:rsid w:val="00157964"/>
    <w:pPr>
      <w:tabs>
        <w:tab w:val="clear" w:pos="709"/>
      </w:tabs>
      <w:snapToGrid/>
      <w:spacing w:after="100" w:line="276" w:lineRule="auto"/>
      <w:ind w:left="660"/>
    </w:pPr>
    <w:rPr>
      <w:rFonts w:ascii="Calibri" w:eastAsia="Times New Roman" w:hAnsi="Calibri"/>
      <w:snapToGrid/>
      <w:sz w:val="22"/>
      <w:szCs w:val="22"/>
      <w:lang w:val="fr-FR" w:eastAsia="fr-FR"/>
    </w:rPr>
  </w:style>
  <w:style w:type="paragraph" w:styleId="TOC5">
    <w:name w:val="toc 5"/>
    <w:basedOn w:val="Normal"/>
    <w:next w:val="Normal"/>
    <w:autoRedefine/>
    <w:uiPriority w:val="39"/>
    <w:unhideWhenUsed/>
    <w:rsid w:val="00157964"/>
    <w:pPr>
      <w:tabs>
        <w:tab w:val="clear" w:pos="709"/>
      </w:tabs>
      <w:snapToGrid/>
      <w:spacing w:after="100" w:line="276" w:lineRule="auto"/>
      <w:ind w:left="880"/>
    </w:pPr>
    <w:rPr>
      <w:rFonts w:ascii="Calibri" w:eastAsia="Times New Roman" w:hAnsi="Calibri"/>
      <w:snapToGrid/>
      <w:sz w:val="22"/>
      <w:szCs w:val="22"/>
      <w:lang w:val="fr-FR" w:eastAsia="fr-FR"/>
    </w:rPr>
  </w:style>
  <w:style w:type="paragraph" w:styleId="TOC6">
    <w:name w:val="toc 6"/>
    <w:basedOn w:val="Normal"/>
    <w:next w:val="Normal"/>
    <w:autoRedefine/>
    <w:uiPriority w:val="39"/>
    <w:unhideWhenUsed/>
    <w:rsid w:val="00157964"/>
    <w:pPr>
      <w:tabs>
        <w:tab w:val="clear" w:pos="709"/>
      </w:tabs>
      <w:snapToGrid/>
      <w:spacing w:after="100" w:line="276" w:lineRule="auto"/>
      <w:ind w:left="1100"/>
    </w:pPr>
    <w:rPr>
      <w:rFonts w:ascii="Calibri" w:eastAsia="Times New Roman" w:hAnsi="Calibri"/>
      <w:snapToGrid/>
      <w:sz w:val="22"/>
      <w:szCs w:val="22"/>
      <w:lang w:val="fr-FR" w:eastAsia="fr-FR"/>
    </w:rPr>
  </w:style>
  <w:style w:type="paragraph" w:styleId="TOC7">
    <w:name w:val="toc 7"/>
    <w:basedOn w:val="Normal"/>
    <w:next w:val="Normal"/>
    <w:autoRedefine/>
    <w:uiPriority w:val="39"/>
    <w:unhideWhenUsed/>
    <w:rsid w:val="00157964"/>
    <w:pPr>
      <w:tabs>
        <w:tab w:val="clear" w:pos="709"/>
      </w:tabs>
      <w:snapToGrid/>
      <w:spacing w:after="100" w:line="276" w:lineRule="auto"/>
      <w:ind w:left="1320"/>
    </w:pPr>
    <w:rPr>
      <w:rFonts w:ascii="Calibri" w:eastAsia="Times New Roman" w:hAnsi="Calibri"/>
      <w:snapToGrid/>
      <w:sz w:val="22"/>
      <w:szCs w:val="22"/>
      <w:lang w:val="fr-FR" w:eastAsia="fr-FR"/>
    </w:rPr>
  </w:style>
  <w:style w:type="paragraph" w:styleId="TOC8">
    <w:name w:val="toc 8"/>
    <w:basedOn w:val="Normal"/>
    <w:next w:val="Normal"/>
    <w:autoRedefine/>
    <w:uiPriority w:val="39"/>
    <w:unhideWhenUsed/>
    <w:rsid w:val="00157964"/>
    <w:pPr>
      <w:tabs>
        <w:tab w:val="clear" w:pos="709"/>
      </w:tabs>
      <w:snapToGrid/>
      <w:spacing w:after="100" w:line="276" w:lineRule="auto"/>
      <w:ind w:left="1540"/>
    </w:pPr>
    <w:rPr>
      <w:rFonts w:ascii="Calibri" w:eastAsia="Times New Roman" w:hAnsi="Calibri"/>
      <w:snapToGrid/>
      <w:sz w:val="22"/>
      <w:szCs w:val="22"/>
      <w:lang w:val="fr-FR" w:eastAsia="fr-FR"/>
    </w:rPr>
  </w:style>
  <w:style w:type="paragraph" w:styleId="TOC9">
    <w:name w:val="toc 9"/>
    <w:basedOn w:val="Normal"/>
    <w:next w:val="Normal"/>
    <w:autoRedefine/>
    <w:uiPriority w:val="39"/>
    <w:unhideWhenUsed/>
    <w:rsid w:val="00157964"/>
    <w:pPr>
      <w:tabs>
        <w:tab w:val="clear" w:pos="709"/>
      </w:tabs>
      <w:snapToGrid/>
      <w:spacing w:after="100" w:line="276" w:lineRule="auto"/>
      <w:ind w:left="1760"/>
    </w:pPr>
    <w:rPr>
      <w:rFonts w:ascii="Calibri" w:eastAsia="Times New Roman" w:hAnsi="Calibri"/>
      <w:snapToGrid/>
      <w:sz w:val="22"/>
      <w:szCs w:val="22"/>
      <w:lang w:val="fr-FR" w:eastAsia="fr-FR"/>
    </w:rPr>
  </w:style>
  <w:style w:type="paragraph" w:styleId="PlainText">
    <w:name w:val="Plain Text"/>
    <w:basedOn w:val="Normal"/>
    <w:link w:val="PlainTextChar"/>
    <w:uiPriority w:val="99"/>
    <w:unhideWhenUsed/>
    <w:rsid w:val="00094B6D"/>
    <w:pPr>
      <w:tabs>
        <w:tab w:val="clear" w:pos="709"/>
      </w:tabs>
      <w:snapToGrid/>
    </w:pPr>
    <w:rPr>
      <w:rFonts w:ascii="Consolas" w:eastAsia="Calibri" w:hAnsi="Consolas" w:cs="Consolas"/>
      <w:snapToGrid/>
      <w:sz w:val="21"/>
      <w:szCs w:val="21"/>
      <w:lang w:val="en-US"/>
    </w:rPr>
  </w:style>
  <w:style w:type="character" w:customStyle="1" w:styleId="PlainTextChar">
    <w:name w:val="Plain Text Char"/>
    <w:link w:val="PlainText"/>
    <w:uiPriority w:val="99"/>
    <w:rsid w:val="00094B6D"/>
    <w:rPr>
      <w:rFonts w:ascii="Consolas" w:eastAsia="Calibri" w:hAnsi="Consolas" w:cs="Consolas"/>
      <w:sz w:val="21"/>
      <w:szCs w:val="21"/>
      <w:lang w:val="en-US"/>
    </w:rPr>
  </w:style>
  <w:style w:type="paragraph" w:customStyle="1" w:styleId="ColorfulList-Accent11">
    <w:name w:val="Colorful List - Accent 11"/>
    <w:basedOn w:val="Normal"/>
    <w:qFormat/>
    <w:rsid w:val="008F4D24"/>
    <w:pPr>
      <w:tabs>
        <w:tab w:val="clear" w:pos="709"/>
      </w:tabs>
      <w:snapToGrid/>
      <w:ind w:left="720"/>
      <w:contextualSpacing/>
    </w:pPr>
    <w:rPr>
      <w:rFonts w:eastAsia="Times New Roman"/>
      <w:snapToGrid/>
      <w:lang w:val="en-US"/>
    </w:rPr>
  </w:style>
  <w:style w:type="character" w:customStyle="1" w:styleId="rwrr">
    <w:name w:val="rwrr"/>
    <w:rsid w:val="008F4D24"/>
  </w:style>
  <w:style w:type="character" w:customStyle="1" w:styleId="skypec2ctextspan">
    <w:name w:val="skype_c2c_text_span"/>
    <w:rsid w:val="00D0704F"/>
  </w:style>
  <w:style w:type="paragraph" w:customStyle="1" w:styleId="Reference">
    <w:name w:val="Reference"/>
    <w:basedOn w:val="Normal"/>
    <w:rsid w:val="00557AC2"/>
    <w:pPr>
      <w:tabs>
        <w:tab w:val="clear" w:pos="709"/>
      </w:tabs>
      <w:snapToGrid/>
      <w:spacing w:after="240" w:line="360" w:lineRule="auto"/>
      <w:ind w:left="360" w:hanging="360"/>
      <w:jc w:val="both"/>
    </w:pPr>
    <w:rPr>
      <w:rFonts w:ascii="Times" w:eastAsia="Times" w:hAnsi="Times"/>
      <w:snapToGrid/>
      <w:color w:val="000000"/>
      <w:szCs w:val="20"/>
      <w:u w:color="000000"/>
      <w:lang w:val="en-US" w:eastAsia="en-US"/>
    </w:rPr>
  </w:style>
  <w:style w:type="character" w:styleId="Strong">
    <w:name w:val="Strong"/>
    <w:uiPriority w:val="22"/>
    <w:qFormat/>
    <w:rsid w:val="00557AC2"/>
    <w:rPr>
      <w:b/>
    </w:rPr>
  </w:style>
  <w:style w:type="character" w:customStyle="1" w:styleId="adr">
    <w:name w:val="adr"/>
    <w:rsid w:val="00F518C2"/>
  </w:style>
  <w:style w:type="character" w:customStyle="1" w:styleId="margechar">
    <w:name w:val="marge__char"/>
    <w:rsid w:val="00B36DA3"/>
  </w:style>
  <w:style w:type="table" w:customStyle="1" w:styleId="TableGrid3">
    <w:name w:val="Table Grid3"/>
    <w:basedOn w:val="TableNormal"/>
    <w:next w:val="TableGrid"/>
    <w:uiPriority w:val="59"/>
    <w:rsid w:val="00787B45"/>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C84671"/>
    <w:pPr>
      <w:tabs>
        <w:tab w:val="clear" w:pos="709"/>
      </w:tabs>
      <w:spacing w:after="240"/>
      <w:jc w:val="both"/>
    </w:pPr>
    <w:rPr>
      <w:rFonts w:ascii="Arial" w:hAnsi="Arial" w:cs="Arial"/>
      <w:snapToGrid/>
      <w:color w:val="000000"/>
      <w:sz w:val="22"/>
      <w:szCs w:val="22"/>
      <w:lang w:eastAsia="en-US"/>
    </w:rPr>
  </w:style>
  <w:style w:type="character" w:customStyle="1" w:styleId="Absatz-Standardschriftart1">
    <w:name w:val="Absatz-Standardschriftart1"/>
    <w:rsid w:val="00C84671"/>
  </w:style>
  <w:style w:type="paragraph" w:styleId="EndnoteText">
    <w:name w:val="endnote text"/>
    <w:basedOn w:val="Normal"/>
    <w:link w:val="EndnoteTextChar"/>
    <w:rsid w:val="00FC729F"/>
    <w:rPr>
      <w:sz w:val="20"/>
      <w:szCs w:val="20"/>
    </w:rPr>
  </w:style>
  <w:style w:type="character" w:customStyle="1" w:styleId="EndnoteTextChar">
    <w:name w:val="Endnote Text Char"/>
    <w:basedOn w:val="DefaultParagraphFont"/>
    <w:link w:val="EndnoteText"/>
    <w:rsid w:val="00FC729F"/>
    <w:rPr>
      <w:snapToGrid w:val="0"/>
      <w:lang w:val="en-GB" w:eastAsia="zh-CN"/>
    </w:rPr>
  </w:style>
  <w:style w:type="character" w:styleId="EndnoteReference">
    <w:name w:val="endnote reference"/>
    <w:basedOn w:val="DefaultParagraphFont"/>
    <w:rsid w:val="00FC729F"/>
    <w:rPr>
      <w:vertAlign w:val="superscript"/>
    </w:rPr>
  </w:style>
  <w:style w:type="character" w:customStyle="1" w:styleId="StyleHyperlink10pt">
    <w:name w:val="Style Hyperlink + 10 pt"/>
    <w:basedOn w:val="Hyperlink"/>
    <w:rsid w:val="00DE16B4"/>
    <w:rPr>
      <w:rFonts w:ascii="Arial" w:hAnsi="Arial"/>
      <w:color w:val="0000FF"/>
      <w:sz w:val="22"/>
      <w:u w:val="none"/>
    </w:rPr>
  </w:style>
  <w:style w:type="character" w:styleId="UnresolvedMention">
    <w:name w:val="Unresolved Mention"/>
    <w:basedOn w:val="DefaultParagraphFont"/>
    <w:uiPriority w:val="99"/>
    <w:semiHidden/>
    <w:unhideWhenUsed/>
    <w:rsid w:val="00FF715B"/>
    <w:rPr>
      <w:color w:val="605E5C"/>
      <w:shd w:val="clear" w:color="auto" w:fill="E1DFDD"/>
    </w:rPr>
  </w:style>
  <w:style w:type="character" w:customStyle="1" w:styleId="address-line1">
    <w:name w:val="address-line1"/>
    <w:basedOn w:val="DefaultParagraphFont"/>
    <w:rsid w:val="00A64DF8"/>
  </w:style>
  <w:style w:type="character" w:customStyle="1" w:styleId="locality">
    <w:name w:val="locality"/>
    <w:basedOn w:val="DefaultParagraphFont"/>
    <w:rsid w:val="00A64DF8"/>
  </w:style>
  <w:style w:type="character" w:customStyle="1" w:styleId="postal-code">
    <w:name w:val="postal-code"/>
    <w:basedOn w:val="DefaultParagraphFont"/>
    <w:rsid w:val="00A64DF8"/>
  </w:style>
  <w:style w:type="character" w:customStyle="1" w:styleId="country">
    <w:name w:val="country"/>
    <w:basedOn w:val="DefaultParagraphFont"/>
    <w:rsid w:val="00A64DF8"/>
  </w:style>
  <w:style w:type="character" w:customStyle="1" w:styleId="address-line2">
    <w:name w:val="address-line2"/>
    <w:basedOn w:val="DefaultParagraphFont"/>
    <w:rsid w:val="00A64DF8"/>
  </w:style>
  <w:style w:type="character" w:customStyle="1" w:styleId="administrative-area">
    <w:name w:val="administrative-area"/>
    <w:basedOn w:val="DefaultParagraphFont"/>
    <w:rsid w:val="00A64DF8"/>
  </w:style>
  <w:style w:type="paragraph" w:styleId="Subtitle">
    <w:name w:val="Subtitle"/>
    <w:basedOn w:val="Normal"/>
    <w:next w:val="Normal"/>
    <w:link w:val="SubtitleChar"/>
    <w:uiPriority w:val="11"/>
    <w:qFormat/>
    <w:rsid w:val="00C33B52"/>
    <w:pPr>
      <w:keepNext/>
      <w:keepLines/>
      <w:tabs>
        <w:tab w:val="clear" w:pos="709"/>
      </w:tabs>
      <w:snapToGrid/>
      <w:spacing w:before="360" w:after="80" w:line="276" w:lineRule="auto"/>
    </w:pPr>
    <w:rPr>
      <w:rFonts w:ascii="Georgia" w:eastAsia="Georgia" w:hAnsi="Georgia" w:cs="Georgia"/>
      <w:i/>
      <w:snapToGrid/>
      <w:color w:val="666666"/>
      <w:sz w:val="48"/>
      <w:szCs w:val="48"/>
      <w:lang w:val="en-US" w:eastAsia="es-ES"/>
    </w:rPr>
  </w:style>
  <w:style w:type="character" w:customStyle="1" w:styleId="SubtitleChar">
    <w:name w:val="Subtitle Char"/>
    <w:basedOn w:val="DefaultParagraphFont"/>
    <w:link w:val="Subtitle"/>
    <w:uiPriority w:val="11"/>
    <w:rsid w:val="00C33B52"/>
    <w:rPr>
      <w:rFonts w:ascii="Georgia" w:eastAsia="Georgia" w:hAnsi="Georgia" w:cs="Georgia"/>
      <w:i/>
      <w:color w:val="666666"/>
      <w:sz w:val="48"/>
      <w:szCs w:val="48"/>
      <w:lang w:eastAsia="es-ES"/>
    </w:rPr>
  </w:style>
  <w:style w:type="character" w:customStyle="1" w:styleId="UnresolvedMention1">
    <w:name w:val="Unresolved Mention1"/>
    <w:basedOn w:val="DefaultParagraphFont"/>
    <w:uiPriority w:val="99"/>
    <w:semiHidden/>
    <w:unhideWhenUsed/>
    <w:rsid w:val="00C33B52"/>
    <w:rPr>
      <w:color w:val="605E5C"/>
      <w:shd w:val="clear" w:color="auto" w:fill="E1DFDD"/>
    </w:rPr>
  </w:style>
  <w:style w:type="paragraph" w:customStyle="1" w:styleId="TableParagraph">
    <w:name w:val="Table Paragraph"/>
    <w:basedOn w:val="Normal"/>
    <w:uiPriority w:val="1"/>
    <w:qFormat/>
    <w:rsid w:val="00C33B52"/>
    <w:pPr>
      <w:widowControl w:val="0"/>
      <w:tabs>
        <w:tab w:val="clear" w:pos="709"/>
      </w:tabs>
      <w:autoSpaceDE w:val="0"/>
      <w:autoSpaceDN w:val="0"/>
      <w:snapToGrid/>
      <w:spacing w:before="15"/>
      <w:ind w:left="23"/>
    </w:pPr>
    <w:rPr>
      <w:rFonts w:eastAsia="Times New Roman"/>
      <w:snapToGrid/>
      <w:sz w:val="22"/>
      <w:szCs w:val="22"/>
      <w:lang w:val="en-US" w:eastAsia="en-US"/>
    </w:rPr>
  </w:style>
  <w:style w:type="character" w:customStyle="1" w:styleId="cf01">
    <w:name w:val="cf01"/>
    <w:basedOn w:val="DefaultParagraphFont"/>
    <w:rsid w:val="00C33B52"/>
    <w:rPr>
      <w:rFonts w:ascii="Segoe UI" w:hAnsi="Segoe UI" w:cs="Segoe UI" w:hint="default"/>
      <w:color w:val="262626"/>
      <w:sz w:val="36"/>
      <w:szCs w:val="36"/>
    </w:rPr>
  </w:style>
  <w:style w:type="character" w:customStyle="1" w:styleId="UnresolvedMention2">
    <w:name w:val="Unresolved Mention2"/>
    <w:basedOn w:val="DefaultParagraphFont"/>
    <w:uiPriority w:val="99"/>
    <w:rsid w:val="00C33B52"/>
    <w:rPr>
      <w:color w:val="605E5C"/>
      <w:shd w:val="clear" w:color="auto" w:fill="E1DFDD"/>
    </w:rPr>
  </w:style>
  <w:style w:type="character" w:customStyle="1" w:styleId="UnresolvedMention3">
    <w:name w:val="Unresolved Mention3"/>
    <w:basedOn w:val="DefaultParagraphFont"/>
    <w:uiPriority w:val="99"/>
    <w:semiHidden/>
    <w:unhideWhenUsed/>
    <w:rsid w:val="00C33B52"/>
    <w:rPr>
      <w:color w:val="605E5C"/>
      <w:shd w:val="clear" w:color="auto" w:fill="E1DFDD"/>
    </w:rPr>
  </w:style>
  <w:style w:type="character" w:customStyle="1" w:styleId="UnresolvedMention4">
    <w:name w:val="Unresolved Mention4"/>
    <w:basedOn w:val="DefaultParagraphFont"/>
    <w:uiPriority w:val="99"/>
    <w:semiHidden/>
    <w:unhideWhenUsed/>
    <w:rsid w:val="007E2D80"/>
    <w:rPr>
      <w:color w:val="605E5C"/>
      <w:shd w:val="clear" w:color="auto" w:fill="E1DFDD"/>
    </w:rPr>
  </w:style>
  <w:style w:type="numbering" w:customStyle="1" w:styleId="NoList1">
    <w:name w:val="No List1"/>
    <w:next w:val="NoList"/>
    <w:uiPriority w:val="99"/>
    <w:semiHidden/>
    <w:unhideWhenUsed/>
    <w:rsid w:val="00733E87"/>
  </w:style>
  <w:style w:type="numbering" w:customStyle="1" w:styleId="NoList2">
    <w:name w:val="No List2"/>
    <w:next w:val="NoList"/>
    <w:uiPriority w:val="99"/>
    <w:semiHidden/>
    <w:unhideWhenUsed/>
    <w:rsid w:val="0084305F"/>
  </w:style>
  <w:style w:type="numbering" w:customStyle="1" w:styleId="NoList3">
    <w:name w:val="No List3"/>
    <w:next w:val="NoList"/>
    <w:uiPriority w:val="99"/>
    <w:semiHidden/>
    <w:unhideWhenUsed/>
    <w:rsid w:val="00B96A2A"/>
  </w:style>
  <w:style w:type="character" w:customStyle="1" w:styleId="Heading3Char">
    <w:name w:val="Heading 3 Char"/>
    <w:basedOn w:val="DefaultParagraphFont"/>
    <w:link w:val="Heading3"/>
    <w:uiPriority w:val="9"/>
    <w:rsid w:val="00B96A2A"/>
    <w:rPr>
      <w:rFonts w:ascii="Arial" w:eastAsia="Times New Roman" w:hAnsi="Arial"/>
      <w:bCs/>
      <w:snapToGrid w:val="0"/>
      <w:sz w:val="22"/>
      <w:szCs w:val="24"/>
      <w:lang w:val="en-GB"/>
    </w:rPr>
  </w:style>
  <w:style w:type="character" w:customStyle="1" w:styleId="Heading4Char">
    <w:name w:val="Heading 4 Char"/>
    <w:basedOn w:val="DefaultParagraphFont"/>
    <w:link w:val="Heading4"/>
    <w:uiPriority w:val="9"/>
    <w:rsid w:val="00B96A2A"/>
    <w:rPr>
      <w:rFonts w:eastAsia="Times New Roman"/>
      <w:bCs/>
      <w:i/>
      <w:snapToGrid w:val="0"/>
      <w:sz w:val="24"/>
      <w:szCs w:val="24"/>
      <w:u w:color="000000"/>
      <w:lang w:val="en-GB"/>
    </w:rPr>
  </w:style>
  <w:style w:type="character" w:customStyle="1" w:styleId="Heading5Char">
    <w:name w:val="Heading 5 Char"/>
    <w:basedOn w:val="DefaultParagraphFont"/>
    <w:link w:val="Heading5"/>
    <w:uiPriority w:val="9"/>
    <w:rsid w:val="00B96A2A"/>
    <w:rPr>
      <w:rFonts w:eastAsia="Times New Roman"/>
      <w:b/>
      <w:bCs/>
      <w:snapToGrid w:val="0"/>
      <w:sz w:val="24"/>
      <w:szCs w:val="24"/>
      <w:lang w:val="en-GB"/>
    </w:rPr>
  </w:style>
  <w:style w:type="character" w:customStyle="1" w:styleId="Heading6Char">
    <w:name w:val="Heading 6 Char"/>
    <w:basedOn w:val="DefaultParagraphFont"/>
    <w:link w:val="Heading6"/>
    <w:uiPriority w:val="9"/>
    <w:rsid w:val="00B96A2A"/>
    <w:rPr>
      <w:rFonts w:eastAsia="Times New Roman"/>
      <w:b/>
      <w:iCs/>
      <w:snapToGrid w:val="0"/>
      <w:sz w:val="24"/>
      <w:szCs w:val="22"/>
      <w:lang w:val="en-GB"/>
    </w:rPr>
  </w:style>
  <w:style w:type="character" w:customStyle="1" w:styleId="TitleChar">
    <w:name w:val="Title Char"/>
    <w:basedOn w:val="DefaultParagraphFont"/>
    <w:link w:val="Title"/>
    <w:uiPriority w:val="10"/>
    <w:rsid w:val="00B96A2A"/>
    <w:rPr>
      <w:rFonts w:eastAsia="Times New Roman"/>
      <w:b/>
      <w:bCs/>
      <w:sz w:val="24"/>
      <w:szCs w:val="24"/>
    </w:rPr>
  </w:style>
  <w:style w:type="paragraph" w:customStyle="1" w:styleId="Quote1">
    <w:name w:val="Quote1"/>
    <w:basedOn w:val="Normal"/>
    <w:next w:val="Normal"/>
    <w:uiPriority w:val="29"/>
    <w:qFormat/>
    <w:rsid w:val="00B96A2A"/>
    <w:pPr>
      <w:tabs>
        <w:tab w:val="clear" w:pos="709"/>
      </w:tabs>
      <w:snapToGrid/>
      <w:spacing w:before="160" w:after="160" w:line="278" w:lineRule="auto"/>
      <w:jc w:val="center"/>
    </w:pPr>
    <w:rPr>
      <w:rFonts w:ascii="Aptos" w:eastAsia="DengXian" w:hAnsi="Aptos" w:cs="Arial"/>
      <w:i/>
      <w:iCs/>
      <w:snapToGrid/>
      <w:color w:val="404040"/>
      <w:kern w:val="2"/>
      <w:lang w:val="fr-FR"/>
      <w14:ligatures w14:val="standardContextual"/>
    </w:rPr>
  </w:style>
  <w:style w:type="character" w:customStyle="1" w:styleId="QuoteChar">
    <w:name w:val="Quote Char"/>
    <w:basedOn w:val="DefaultParagraphFont"/>
    <w:link w:val="Quote"/>
    <w:uiPriority w:val="29"/>
    <w:rsid w:val="00B96A2A"/>
    <w:rPr>
      <w:i/>
      <w:iCs/>
      <w:color w:val="404040"/>
    </w:rPr>
  </w:style>
  <w:style w:type="character" w:customStyle="1" w:styleId="IntenseEmphasis1">
    <w:name w:val="Intense Emphasis1"/>
    <w:basedOn w:val="DefaultParagraphFont"/>
    <w:uiPriority w:val="21"/>
    <w:qFormat/>
    <w:rsid w:val="00B96A2A"/>
    <w:rPr>
      <w:i/>
      <w:iCs/>
      <w:color w:val="0F4761"/>
    </w:rPr>
  </w:style>
  <w:style w:type="paragraph" w:customStyle="1" w:styleId="IntenseQuote1">
    <w:name w:val="Intense Quote1"/>
    <w:basedOn w:val="Normal"/>
    <w:next w:val="Normal"/>
    <w:uiPriority w:val="30"/>
    <w:qFormat/>
    <w:rsid w:val="00B96A2A"/>
    <w:pPr>
      <w:pBdr>
        <w:top w:val="single" w:sz="4" w:space="10" w:color="0F4761"/>
        <w:bottom w:val="single" w:sz="4" w:space="10" w:color="0F4761"/>
      </w:pBdr>
      <w:tabs>
        <w:tab w:val="clear" w:pos="709"/>
      </w:tabs>
      <w:snapToGrid/>
      <w:spacing w:before="360" w:after="360" w:line="278" w:lineRule="auto"/>
      <w:ind w:left="864" w:right="864"/>
      <w:jc w:val="center"/>
    </w:pPr>
    <w:rPr>
      <w:rFonts w:ascii="Aptos" w:eastAsia="DengXian" w:hAnsi="Aptos" w:cs="Arial"/>
      <w:i/>
      <w:iCs/>
      <w:snapToGrid/>
      <w:color w:val="0F4761"/>
      <w:kern w:val="2"/>
      <w:lang w:val="fr-FR"/>
      <w14:ligatures w14:val="standardContextual"/>
    </w:rPr>
  </w:style>
  <w:style w:type="character" w:customStyle="1" w:styleId="IntenseQuoteChar">
    <w:name w:val="Intense Quote Char"/>
    <w:basedOn w:val="DefaultParagraphFont"/>
    <w:link w:val="IntenseQuote"/>
    <w:uiPriority w:val="30"/>
    <w:rsid w:val="00B96A2A"/>
    <w:rPr>
      <w:i/>
      <w:iCs/>
      <w:color w:val="0F4761"/>
    </w:rPr>
  </w:style>
  <w:style w:type="character" w:customStyle="1" w:styleId="IntenseReference1">
    <w:name w:val="Intense Reference1"/>
    <w:basedOn w:val="DefaultParagraphFont"/>
    <w:uiPriority w:val="32"/>
    <w:qFormat/>
    <w:rsid w:val="00B96A2A"/>
    <w:rPr>
      <w:b/>
      <w:bCs/>
      <w:smallCaps/>
      <w:color w:val="0F4761"/>
      <w:spacing w:val="5"/>
    </w:rPr>
  </w:style>
  <w:style w:type="numbering" w:customStyle="1" w:styleId="NoList11">
    <w:name w:val="No List11"/>
    <w:next w:val="NoList"/>
    <w:uiPriority w:val="99"/>
    <w:semiHidden/>
    <w:unhideWhenUsed/>
    <w:rsid w:val="00B96A2A"/>
  </w:style>
  <w:style w:type="character" w:customStyle="1" w:styleId="Hyperlink1">
    <w:name w:val="Hyperlink1"/>
    <w:basedOn w:val="DefaultParagraphFont"/>
    <w:uiPriority w:val="99"/>
    <w:unhideWhenUsed/>
    <w:rsid w:val="00B96A2A"/>
    <w:rPr>
      <w:color w:val="0000FF"/>
      <w:u w:val="single"/>
    </w:rPr>
  </w:style>
  <w:style w:type="paragraph" w:styleId="Quote">
    <w:name w:val="Quote"/>
    <w:basedOn w:val="Normal"/>
    <w:next w:val="Normal"/>
    <w:link w:val="QuoteChar"/>
    <w:uiPriority w:val="29"/>
    <w:qFormat/>
    <w:rsid w:val="00B96A2A"/>
    <w:pPr>
      <w:spacing w:before="200" w:after="160"/>
      <w:ind w:left="864" w:right="864"/>
      <w:jc w:val="center"/>
    </w:pPr>
    <w:rPr>
      <w:i/>
      <w:iCs/>
      <w:snapToGrid/>
      <w:color w:val="404040"/>
      <w:sz w:val="20"/>
      <w:szCs w:val="20"/>
      <w:lang w:val="en-US" w:eastAsia="en-US"/>
    </w:rPr>
  </w:style>
  <w:style w:type="character" w:customStyle="1" w:styleId="QuoteChar1">
    <w:name w:val="Quote Char1"/>
    <w:basedOn w:val="DefaultParagraphFont"/>
    <w:uiPriority w:val="29"/>
    <w:rsid w:val="00B96A2A"/>
    <w:rPr>
      <w:i/>
      <w:iCs/>
      <w:snapToGrid w:val="0"/>
      <w:color w:val="404040" w:themeColor="text1" w:themeTint="BF"/>
      <w:sz w:val="24"/>
      <w:szCs w:val="24"/>
      <w:lang w:val="en-GB" w:eastAsia="zh-CN"/>
    </w:rPr>
  </w:style>
  <w:style w:type="character" w:styleId="IntenseEmphasis">
    <w:name w:val="Intense Emphasis"/>
    <w:basedOn w:val="DefaultParagraphFont"/>
    <w:uiPriority w:val="21"/>
    <w:qFormat/>
    <w:rsid w:val="00B96A2A"/>
    <w:rPr>
      <w:i/>
      <w:iCs/>
      <w:color w:val="5B9BD5" w:themeColor="accent1"/>
    </w:rPr>
  </w:style>
  <w:style w:type="paragraph" w:styleId="IntenseQuote">
    <w:name w:val="Intense Quote"/>
    <w:basedOn w:val="Normal"/>
    <w:next w:val="Normal"/>
    <w:link w:val="IntenseQuoteChar"/>
    <w:uiPriority w:val="30"/>
    <w:qFormat/>
    <w:rsid w:val="00B96A2A"/>
    <w:pPr>
      <w:pBdr>
        <w:top w:val="single" w:sz="4" w:space="10" w:color="5B9BD5" w:themeColor="accent1"/>
        <w:bottom w:val="single" w:sz="4" w:space="10" w:color="5B9BD5" w:themeColor="accent1"/>
      </w:pBdr>
      <w:spacing w:before="360" w:after="360"/>
      <w:ind w:left="864" w:right="864"/>
      <w:jc w:val="center"/>
    </w:pPr>
    <w:rPr>
      <w:i/>
      <w:iCs/>
      <w:snapToGrid/>
      <w:color w:val="0F4761"/>
      <w:sz w:val="20"/>
      <w:szCs w:val="20"/>
      <w:lang w:val="en-US" w:eastAsia="en-US"/>
    </w:rPr>
  </w:style>
  <w:style w:type="character" w:customStyle="1" w:styleId="IntenseQuoteChar1">
    <w:name w:val="Intense Quote Char1"/>
    <w:basedOn w:val="DefaultParagraphFont"/>
    <w:uiPriority w:val="30"/>
    <w:rsid w:val="00B96A2A"/>
    <w:rPr>
      <w:i/>
      <w:iCs/>
      <w:snapToGrid w:val="0"/>
      <w:color w:val="5B9BD5" w:themeColor="accent1"/>
      <w:sz w:val="24"/>
      <w:szCs w:val="24"/>
      <w:lang w:val="en-GB" w:eastAsia="zh-CN"/>
    </w:rPr>
  </w:style>
  <w:style w:type="character" w:styleId="IntenseReference">
    <w:name w:val="Intense Reference"/>
    <w:basedOn w:val="DefaultParagraphFont"/>
    <w:uiPriority w:val="32"/>
    <w:qFormat/>
    <w:rsid w:val="00B96A2A"/>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0570">
      <w:bodyDiv w:val="1"/>
      <w:marLeft w:val="0"/>
      <w:marRight w:val="0"/>
      <w:marTop w:val="0"/>
      <w:marBottom w:val="0"/>
      <w:divBdr>
        <w:top w:val="none" w:sz="0" w:space="0" w:color="auto"/>
        <w:left w:val="none" w:sz="0" w:space="0" w:color="auto"/>
        <w:bottom w:val="none" w:sz="0" w:space="0" w:color="auto"/>
        <w:right w:val="none" w:sz="0" w:space="0" w:color="auto"/>
      </w:divBdr>
      <w:divsChild>
        <w:div w:id="501940781">
          <w:marLeft w:val="518"/>
          <w:marRight w:val="0"/>
          <w:marTop w:val="295"/>
          <w:marBottom w:val="0"/>
          <w:divBdr>
            <w:top w:val="none" w:sz="0" w:space="0" w:color="auto"/>
            <w:left w:val="none" w:sz="0" w:space="0" w:color="auto"/>
            <w:bottom w:val="none" w:sz="0" w:space="0" w:color="auto"/>
            <w:right w:val="none" w:sz="0" w:space="0" w:color="auto"/>
          </w:divBdr>
        </w:div>
        <w:div w:id="1052341337">
          <w:marLeft w:val="518"/>
          <w:marRight w:val="0"/>
          <w:marTop w:val="295"/>
          <w:marBottom w:val="0"/>
          <w:divBdr>
            <w:top w:val="none" w:sz="0" w:space="0" w:color="auto"/>
            <w:left w:val="none" w:sz="0" w:space="0" w:color="auto"/>
            <w:bottom w:val="none" w:sz="0" w:space="0" w:color="auto"/>
            <w:right w:val="none" w:sz="0" w:space="0" w:color="auto"/>
          </w:divBdr>
        </w:div>
        <w:div w:id="572668337">
          <w:marLeft w:val="1354"/>
          <w:marRight w:val="0"/>
          <w:marTop w:val="295"/>
          <w:marBottom w:val="0"/>
          <w:divBdr>
            <w:top w:val="none" w:sz="0" w:space="0" w:color="auto"/>
            <w:left w:val="none" w:sz="0" w:space="0" w:color="auto"/>
            <w:bottom w:val="none" w:sz="0" w:space="0" w:color="auto"/>
            <w:right w:val="none" w:sz="0" w:space="0" w:color="auto"/>
          </w:divBdr>
        </w:div>
        <w:div w:id="1992754368">
          <w:marLeft w:val="1354"/>
          <w:marRight w:val="0"/>
          <w:marTop w:val="295"/>
          <w:marBottom w:val="0"/>
          <w:divBdr>
            <w:top w:val="none" w:sz="0" w:space="0" w:color="auto"/>
            <w:left w:val="none" w:sz="0" w:space="0" w:color="auto"/>
            <w:bottom w:val="none" w:sz="0" w:space="0" w:color="auto"/>
            <w:right w:val="none" w:sz="0" w:space="0" w:color="auto"/>
          </w:divBdr>
        </w:div>
        <w:div w:id="1150904104">
          <w:marLeft w:val="518"/>
          <w:marRight w:val="0"/>
          <w:marTop w:val="295"/>
          <w:marBottom w:val="0"/>
          <w:divBdr>
            <w:top w:val="none" w:sz="0" w:space="0" w:color="auto"/>
            <w:left w:val="none" w:sz="0" w:space="0" w:color="auto"/>
            <w:bottom w:val="none" w:sz="0" w:space="0" w:color="auto"/>
            <w:right w:val="none" w:sz="0" w:space="0" w:color="auto"/>
          </w:divBdr>
        </w:div>
        <w:div w:id="1174803210">
          <w:marLeft w:val="1354"/>
          <w:marRight w:val="0"/>
          <w:marTop w:val="295"/>
          <w:marBottom w:val="0"/>
          <w:divBdr>
            <w:top w:val="none" w:sz="0" w:space="0" w:color="auto"/>
            <w:left w:val="none" w:sz="0" w:space="0" w:color="auto"/>
            <w:bottom w:val="none" w:sz="0" w:space="0" w:color="auto"/>
            <w:right w:val="none" w:sz="0" w:space="0" w:color="auto"/>
          </w:divBdr>
        </w:div>
      </w:divsChild>
    </w:div>
    <w:div w:id="10374402">
      <w:bodyDiv w:val="1"/>
      <w:marLeft w:val="0"/>
      <w:marRight w:val="0"/>
      <w:marTop w:val="0"/>
      <w:marBottom w:val="0"/>
      <w:divBdr>
        <w:top w:val="none" w:sz="0" w:space="0" w:color="auto"/>
        <w:left w:val="none" w:sz="0" w:space="0" w:color="auto"/>
        <w:bottom w:val="none" w:sz="0" w:space="0" w:color="auto"/>
        <w:right w:val="none" w:sz="0" w:space="0" w:color="auto"/>
      </w:divBdr>
    </w:div>
    <w:div w:id="11617152">
      <w:bodyDiv w:val="1"/>
      <w:marLeft w:val="0"/>
      <w:marRight w:val="0"/>
      <w:marTop w:val="0"/>
      <w:marBottom w:val="0"/>
      <w:divBdr>
        <w:top w:val="none" w:sz="0" w:space="0" w:color="auto"/>
        <w:left w:val="none" w:sz="0" w:space="0" w:color="auto"/>
        <w:bottom w:val="none" w:sz="0" w:space="0" w:color="auto"/>
        <w:right w:val="none" w:sz="0" w:space="0" w:color="auto"/>
      </w:divBdr>
      <w:divsChild>
        <w:div w:id="1199196789">
          <w:marLeft w:val="0"/>
          <w:marRight w:val="0"/>
          <w:marTop w:val="0"/>
          <w:marBottom w:val="0"/>
          <w:divBdr>
            <w:top w:val="none" w:sz="0" w:space="0" w:color="auto"/>
            <w:left w:val="none" w:sz="0" w:space="0" w:color="auto"/>
            <w:bottom w:val="none" w:sz="0" w:space="0" w:color="auto"/>
            <w:right w:val="none" w:sz="0" w:space="0" w:color="auto"/>
          </w:divBdr>
        </w:div>
      </w:divsChild>
    </w:div>
    <w:div w:id="15277602">
      <w:bodyDiv w:val="1"/>
      <w:marLeft w:val="0"/>
      <w:marRight w:val="0"/>
      <w:marTop w:val="0"/>
      <w:marBottom w:val="0"/>
      <w:divBdr>
        <w:top w:val="none" w:sz="0" w:space="0" w:color="auto"/>
        <w:left w:val="none" w:sz="0" w:space="0" w:color="auto"/>
        <w:bottom w:val="none" w:sz="0" w:space="0" w:color="auto"/>
        <w:right w:val="none" w:sz="0" w:space="0" w:color="auto"/>
      </w:divBdr>
    </w:div>
    <w:div w:id="25524230">
      <w:bodyDiv w:val="1"/>
      <w:marLeft w:val="0"/>
      <w:marRight w:val="0"/>
      <w:marTop w:val="0"/>
      <w:marBottom w:val="0"/>
      <w:divBdr>
        <w:top w:val="none" w:sz="0" w:space="0" w:color="auto"/>
        <w:left w:val="none" w:sz="0" w:space="0" w:color="auto"/>
        <w:bottom w:val="none" w:sz="0" w:space="0" w:color="auto"/>
        <w:right w:val="none" w:sz="0" w:space="0" w:color="auto"/>
      </w:divBdr>
    </w:div>
    <w:div w:id="34427591">
      <w:bodyDiv w:val="1"/>
      <w:marLeft w:val="0"/>
      <w:marRight w:val="0"/>
      <w:marTop w:val="0"/>
      <w:marBottom w:val="0"/>
      <w:divBdr>
        <w:top w:val="none" w:sz="0" w:space="0" w:color="auto"/>
        <w:left w:val="none" w:sz="0" w:space="0" w:color="auto"/>
        <w:bottom w:val="none" w:sz="0" w:space="0" w:color="auto"/>
        <w:right w:val="none" w:sz="0" w:space="0" w:color="auto"/>
      </w:divBdr>
    </w:div>
    <w:div w:id="53698627">
      <w:bodyDiv w:val="1"/>
      <w:marLeft w:val="0"/>
      <w:marRight w:val="0"/>
      <w:marTop w:val="0"/>
      <w:marBottom w:val="0"/>
      <w:divBdr>
        <w:top w:val="none" w:sz="0" w:space="0" w:color="auto"/>
        <w:left w:val="none" w:sz="0" w:space="0" w:color="auto"/>
        <w:bottom w:val="none" w:sz="0" w:space="0" w:color="auto"/>
        <w:right w:val="none" w:sz="0" w:space="0" w:color="auto"/>
      </w:divBdr>
    </w:div>
    <w:div w:id="71127038">
      <w:bodyDiv w:val="1"/>
      <w:marLeft w:val="0"/>
      <w:marRight w:val="0"/>
      <w:marTop w:val="0"/>
      <w:marBottom w:val="0"/>
      <w:divBdr>
        <w:top w:val="none" w:sz="0" w:space="0" w:color="auto"/>
        <w:left w:val="none" w:sz="0" w:space="0" w:color="auto"/>
        <w:bottom w:val="none" w:sz="0" w:space="0" w:color="auto"/>
        <w:right w:val="none" w:sz="0" w:space="0" w:color="auto"/>
      </w:divBdr>
    </w:div>
    <w:div w:id="85347165">
      <w:bodyDiv w:val="1"/>
      <w:marLeft w:val="0"/>
      <w:marRight w:val="0"/>
      <w:marTop w:val="0"/>
      <w:marBottom w:val="0"/>
      <w:divBdr>
        <w:top w:val="none" w:sz="0" w:space="0" w:color="auto"/>
        <w:left w:val="none" w:sz="0" w:space="0" w:color="auto"/>
        <w:bottom w:val="none" w:sz="0" w:space="0" w:color="auto"/>
        <w:right w:val="none" w:sz="0" w:space="0" w:color="auto"/>
      </w:divBdr>
    </w:div>
    <w:div w:id="100880780">
      <w:bodyDiv w:val="1"/>
      <w:marLeft w:val="0"/>
      <w:marRight w:val="0"/>
      <w:marTop w:val="0"/>
      <w:marBottom w:val="0"/>
      <w:divBdr>
        <w:top w:val="none" w:sz="0" w:space="0" w:color="auto"/>
        <w:left w:val="none" w:sz="0" w:space="0" w:color="auto"/>
        <w:bottom w:val="none" w:sz="0" w:space="0" w:color="auto"/>
        <w:right w:val="none" w:sz="0" w:space="0" w:color="auto"/>
      </w:divBdr>
      <w:divsChild>
        <w:div w:id="1627849866">
          <w:marLeft w:val="720"/>
          <w:marRight w:val="0"/>
          <w:marTop w:val="400"/>
          <w:marBottom w:val="0"/>
          <w:divBdr>
            <w:top w:val="none" w:sz="0" w:space="0" w:color="auto"/>
            <w:left w:val="none" w:sz="0" w:space="0" w:color="auto"/>
            <w:bottom w:val="none" w:sz="0" w:space="0" w:color="auto"/>
            <w:right w:val="none" w:sz="0" w:space="0" w:color="auto"/>
          </w:divBdr>
        </w:div>
        <w:div w:id="1312562790">
          <w:marLeft w:val="720"/>
          <w:marRight w:val="0"/>
          <w:marTop w:val="400"/>
          <w:marBottom w:val="0"/>
          <w:divBdr>
            <w:top w:val="none" w:sz="0" w:space="0" w:color="auto"/>
            <w:left w:val="none" w:sz="0" w:space="0" w:color="auto"/>
            <w:bottom w:val="none" w:sz="0" w:space="0" w:color="auto"/>
            <w:right w:val="none" w:sz="0" w:space="0" w:color="auto"/>
          </w:divBdr>
        </w:div>
        <w:div w:id="145441978">
          <w:marLeft w:val="720"/>
          <w:marRight w:val="0"/>
          <w:marTop w:val="400"/>
          <w:marBottom w:val="0"/>
          <w:divBdr>
            <w:top w:val="none" w:sz="0" w:space="0" w:color="auto"/>
            <w:left w:val="none" w:sz="0" w:space="0" w:color="auto"/>
            <w:bottom w:val="none" w:sz="0" w:space="0" w:color="auto"/>
            <w:right w:val="none" w:sz="0" w:space="0" w:color="auto"/>
          </w:divBdr>
        </w:div>
        <w:div w:id="1936941670">
          <w:marLeft w:val="720"/>
          <w:marRight w:val="0"/>
          <w:marTop w:val="400"/>
          <w:marBottom w:val="0"/>
          <w:divBdr>
            <w:top w:val="none" w:sz="0" w:space="0" w:color="auto"/>
            <w:left w:val="none" w:sz="0" w:space="0" w:color="auto"/>
            <w:bottom w:val="none" w:sz="0" w:space="0" w:color="auto"/>
            <w:right w:val="none" w:sz="0" w:space="0" w:color="auto"/>
          </w:divBdr>
        </w:div>
        <w:div w:id="62873355">
          <w:marLeft w:val="720"/>
          <w:marRight w:val="0"/>
          <w:marTop w:val="400"/>
          <w:marBottom w:val="0"/>
          <w:divBdr>
            <w:top w:val="none" w:sz="0" w:space="0" w:color="auto"/>
            <w:left w:val="none" w:sz="0" w:space="0" w:color="auto"/>
            <w:bottom w:val="none" w:sz="0" w:space="0" w:color="auto"/>
            <w:right w:val="none" w:sz="0" w:space="0" w:color="auto"/>
          </w:divBdr>
        </w:div>
        <w:div w:id="1840467056">
          <w:marLeft w:val="2160"/>
          <w:marRight w:val="0"/>
          <w:marTop w:val="200"/>
          <w:marBottom w:val="0"/>
          <w:divBdr>
            <w:top w:val="none" w:sz="0" w:space="0" w:color="auto"/>
            <w:left w:val="none" w:sz="0" w:space="0" w:color="auto"/>
            <w:bottom w:val="none" w:sz="0" w:space="0" w:color="auto"/>
            <w:right w:val="none" w:sz="0" w:space="0" w:color="auto"/>
          </w:divBdr>
        </w:div>
      </w:divsChild>
    </w:div>
    <w:div w:id="105003620">
      <w:bodyDiv w:val="1"/>
      <w:marLeft w:val="0"/>
      <w:marRight w:val="0"/>
      <w:marTop w:val="0"/>
      <w:marBottom w:val="0"/>
      <w:divBdr>
        <w:top w:val="none" w:sz="0" w:space="0" w:color="auto"/>
        <w:left w:val="none" w:sz="0" w:space="0" w:color="auto"/>
        <w:bottom w:val="none" w:sz="0" w:space="0" w:color="auto"/>
        <w:right w:val="none" w:sz="0" w:space="0" w:color="auto"/>
      </w:divBdr>
      <w:divsChild>
        <w:div w:id="1834829761">
          <w:marLeft w:val="547"/>
          <w:marRight w:val="0"/>
          <w:marTop w:val="0"/>
          <w:marBottom w:val="0"/>
          <w:divBdr>
            <w:top w:val="none" w:sz="0" w:space="0" w:color="auto"/>
            <w:left w:val="none" w:sz="0" w:space="0" w:color="auto"/>
            <w:bottom w:val="none" w:sz="0" w:space="0" w:color="auto"/>
            <w:right w:val="none" w:sz="0" w:space="0" w:color="auto"/>
          </w:divBdr>
        </w:div>
        <w:div w:id="1709256496">
          <w:marLeft w:val="547"/>
          <w:marRight w:val="0"/>
          <w:marTop w:val="0"/>
          <w:marBottom w:val="0"/>
          <w:divBdr>
            <w:top w:val="none" w:sz="0" w:space="0" w:color="auto"/>
            <w:left w:val="none" w:sz="0" w:space="0" w:color="auto"/>
            <w:bottom w:val="none" w:sz="0" w:space="0" w:color="auto"/>
            <w:right w:val="none" w:sz="0" w:space="0" w:color="auto"/>
          </w:divBdr>
        </w:div>
        <w:div w:id="1717587494">
          <w:marLeft w:val="547"/>
          <w:marRight w:val="0"/>
          <w:marTop w:val="0"/>
          <w:marBottom w:val="0"/>
          <w:divBdr>
            <w:top w:val="none" w:sz="0" w:space="0" w:color="auto"/>
            <w:left w:val="none" w:sz="0" w:space="0" w:color="auto"/>
            <w:bottom w:val="none" w:sz="0" w:space="0" w:color="auto"/>
            <w:right w:val="none" w:sz="0" w:space="0" w:color="auto"/>
          </w:divBdr>
        </w:div>
        <w:div w:id="1276404453">
          <w:marLeft w:val="547"/>
          <w:marRight w:val="0"/>
          <w:marTop w:val="0"/>
          <w:marBottom w:val="0"/>
          <w:divBdr>
            <w:top w:val="none" w:sz="0" w:space="0" w:color="auto"/>
            <w:left w:val="none" w:sz="0" w:space="0" w:color="auto"/>
            <w:bottom w:val="none" w:sz="0" w:space="0" w:color="auto"/>
            <w:right w:val="none" w:sz="0" w:space="0" w:color="auto"/>
          </w:divBdr>
        </w:div>
      </w:divsChild>
    </w:div>
    <w:div w:id="109015408">
      <w:bodyDiv w:val="1"/>
      <w:marLeft w:val="0"/>
      <w:marRight w:val="0"/>
      <w:marTop w:val="0"/>
      <w:marBottom w:val="0"/>
      <w:divBdr>
        <w:top w:val="none" w:sz="0" w:space="0" w:color="auto"/>
        <w:left w:val="none" w:sz="0" w:space="0" w:color="auto"/>
        <w:bottom w:val="none" w:sz="0" w:space="0" w:color="auto"/>
        <w:right w:val="none" w:sz="0" w:space="0" w:color="auto"/>
      </w:divBdr>
      <w:divsChild>
        <w:div w:id="453448424">
          <w:marLeft w:val="518"/>
          <w:marRight w:val="0"/>
          <w:marTop w:val="295"/>
          <w:marBottom w:val="0"/>
          <w:divBdr>
            <w:top w:val="none" w:sz="0" w:space="0" w:color="auto"/>
            <w:left w:val="none" w:sz="0" w:space="0" w:color="auto"/>
            <w:bottom w:val="none" w:sz="0" w:space="0" w:color="auto"/>
            <w:right w:val="none" w:sz="0" w:space="0" w:color="auto"/>
          </w:divBdr>
        </w:div>
        <w:div w:id="259339227">
          <w:marLeft w:val="518"/>
          <w:marRight w:val="0"/>
          <w:marTop w:val="295"/>
          <w:marBottom w:val="0"/>
          <w:divBdr>
            <w:top w:val="none" w:sz="0" w:space="0" w:color="auto"/>
            <w:left w:val="none" w:sz="0" w:space="0" w:color="auto"/>
            <w:bottom w:val="none" w:sz="0" w:space="0" w:color="auto"/>
            <w:right w:val="none" w:sz="0" w:space="0" w:color="auto"/>
          </w:divBdr>
        </w:div>
        <w:div w:id="173424360">
          <w:marLeft w:val="518"/>
          <w:marRight w:val="0"/>
          <w:marTop w:val="295"/>
          <w:marBottom w:val="0"/>
          <w:divBdr>
            <w:top w:val="none" w:sz="0" w:space="0" w:color="auto"/>
            <w:left w:val="none" w:sz="0" w:space="0" w:color="auto"/>
            <w:bottom w:val="none" w:sz="0" w:space="0" w:color="auto"/>
            <w:right w:val="none" w:sz="0" w:space="0" w:color="auto"/>
          </w:divBdr>
        </w:div>
        <w:div w:id="183322817">
          <w:marLeft w:val="518"/>
          <w:marRight w:val="0"/>
          <w:marTop w:val="295"/>
          <w:marBottom w:val="0"/>
          <w:divBdr>
            <w:top w:val="none" w:sz="0" w:space="0" w:color="auto"/>
            <w:left w:val="none" w:sz="0" w:space="0" w:color="auto"/>
            <w:bottom w:val="none" w:sz="0" w:space="0" w:color="auto"/>
            <w:right w:val="none" w:sz="0" w:space="0" w:color="auto"/>
          </w:divBdr>
        </w:div>
        <w:div w:id="849100441">
          <w:marLeft w:val="1354"/>
          <w:marRight w:val="0"/>
          <w:marTop w:val="295"/>
          <w:marBottom w:val="0"/>
          <w:divBdr>
            <w:top w:val="none" w:sz="0" w:space="0" w:color="auto"/>
            <w:left w:val="none" w:sz="0" w:space="0" w:color="auto"/>
            <w:bottom w:val="none" w:sz="0" w:space="0" w:color="auto"/>
            <w:right w:val="none" w:sz="0" w:space="0" w:color="auto"/>
          </w:divBdr>
        </w:div>
      </w:divsChild>
    </w:div>
    <w:div w:id="111049933">
      <w:bodyDiv w:val="1"/>
      <w:marLeft w:val="0"/>
      <w:marRight w:val="0"/>
      <w:marTop w:val="0"/>
      <w:marBottom w:val="0"/>
      <w:divBdr>
        <w:top w:val="none" w:sz="0" w:space="0" w:color="auto"/>
        <w:left w:val="none" w:sz="0" w:space="0" w:color="auto"/>
        <w:bottom w:val="none" w:sz="0" w:space="0" w:color="auto"/>
        <w:right w:val="none" w:sz="0" w:space="0" w:color="auto"/>
      </w:divBdr>
    </w:div>
    <w:div w:id="147551254">
      <w:bodyDiv w:val="1"/>
      <w:marLeft w:val="0"/>
      <w:marRight w:val="0"/>
      <w:marTop w:val="0"/>
      <w:marBottom w:val="0"/>
      <w:divBdr>
        <w:top w:val="none" w:sz="0" w:space="0" w:color="auto"/>
        <w:left w:val="none" w:sz="0" w:space="0" w:color="auto"/>
        <w:bottom w:val="none" w:sz="0" w:space="0" w:color="auto"/>
        <w:right w:val="none" w:sz="0" w:space="0" w:color="auto"/>
      </w:divBdr>
      <w:divsChild>
        <w:div w:id="1778524272">
          <w:marLeft w:val="0"/>
          <w:marRight w:val="0"/>
          <w:marTop w:val="0"/>
          <w:marBottom w:val="0"/>
          <w:divBdr>
            <w:top w:val="none" w:sz="0" w:space="0" w:color="auto"/>
            <w:left w:val="none" w:sz="0" w:space="0" w:color="auto"/>
            <w:bottom w:val="none" w:sz="0" w:space="0" w:color="auto"/>
            <w:right w:val="none" w:sz="0" w:space="0" w:color="auto"/>
          </w:divBdr>
        </w:div>
      </w:divsChild>
    </w:div>
    <w:div w:id="154617607">
      <w:bodyDiv w:val="1"/>
      <w:marLeft w:val="0"/>
      <w:marRight w:val="0"/>
      <w:marTop w:val="0"/>
      <w:marBottom w:val="0"/>
      <w:divBdr>
        <w:top w:val="none" w:sz="0" w:space="0" w:color="auto"/>
        <w:left w:val="none" w:sz="0" w:space="0" w:color="auto"/>
        <w:bottom w:val="none" w:sz="0" w:space="0" w:color="auto"/>
        <w:right w:val="none" w:sz="0" w:space="0" w:color="auto"/>
      </w:divBdr>
      <w:divsChild>
        <w:div w:id="2070878056">
          <w:marLeft w:val="144"/>
          <w:marRight w:val="0"/>
          <w:marTop w:val="0"/>
          <w:marBottom w:val="0"/>
          <w:divBdr>
            <w:top w:val="none" w:sz="0" w:space="0" w:color="auto"/>
            <w:left w:val="none" w:sz="0" w:space="0" w:color="auto"/>
            <w:bottom w:val="none" w:sz="0" w:space="0" w:color="auto"/>
            <w:right w:val="none" w:sz="0" w:space="0" w:color="auto"/>
          </w:divBdr>
        </w:div>
        <w:div w:id="233705627">
          <w:marLeft w:val="144"/>
          <w:marRight w:val="0"/>
          <w:marTop w:val="0"/>
          <w:marBottom w:val="0"/>
          <w:divBdr>
            <w:top w:val="none" w:sz="0" w:space="0" w:color="auto"/>
            <w:left w:val="none" w:sz="0" w:space="0" w:color="auto"/>
            <w:bottom w:val="none" w:sz="0" w:space="0" w:color="auto"/>
            <w:right w:val="none" w:sz="0" w:space="0" w:color="auto"/>
          </w:divBdr>
        </w:div>
      </w:divsChild>
    </w:div>
    <w:div w:id="180828129">
      <w:bodyDiv w:val="1"/>
      <w:marLeft w:val="0"/>
      <w:marRight w:val="0"/>
      <w:marTop w:val="0"/>
      <w:marBottom w:val="0"/>
      <w:divBdr>
        <w:top w:val="none" w:sz="0" w:space="0" w:color="auto"/>
        <w:left w:val="none" w:sz="0" w:space="0" w:color="auto"/>
        <w:bottom w:val="none" w:sz="0" w:space="0" w:color="auto"/>
        <w:right w:val="none" w:sz="0" w:space="0" w:color="auto"/>
      </w:divBdr>
      <w:divsChild>
        <w:div w:id="1015763865">
          <w:marLeft w:val="720"/>
          <w:marRight w:val="0"/>
          <w:marTop w:val="120"/>
          <w:marBottom w:val="0"/>
          <w:divBdr>
            <w:top w:val="none" w:sz="0" w:space="0" w:color="auto"/>
            <w:left w:val="none" w:sz="0" w:space="0" w:color="auto"/>
            <w:bottom w:val="none" w:sz="0" w:space="0" w:color="auto"/>
            <w:right w:val="none" w:sz="0" w:space="0" w:color="auto"/>
          </w:divBdr>
        </w:div>
        <w:div w:id="1023553814">
          <w:marLeft w:val="720"/>
          <w:marRight w:val="0"/>
          <w:marTop w:val="120"/>
          <w:marBottom w:val="0"/>
          <w:divBdr>
            <w:top w:val="none" w:sz="0" w:space="0" w:color="auto"/>
            <w:left w:val="none" w:sz="0" w:space="0" w:color="auto"/>
            <w:bottom w:val="none" w:sz="0" w:space="0" w:color="auto"/>
            <w:right w:val="none" w:sz="0" w:space="0" w:color="auto"/>
          </w:divBdr>
        </w:div>
        <w:div w:id="1967152941">
          <w:marLeft w:val="720"/>
          <w:marRight w:val="0"/>
          <w:marTop w:val="120"/>
          <w:marBottom w:val="0"/>
          <w:divBdr>
            <w:top w:val="none" w:sz="0" w:space="0" w:color="auto"/>
            <w:left w:val="none" w:sz="0" w:space="0" w:color="auto"/>
            <w:bottom w:val="none" w:sz="0" w:space="0" w:color="auto"/>
            <w:right w:val="none" w:sz="0" w:space="0" w:color="auto"/>
          </w:divBdr>
        </w:div>
        <w:div w:id="932011964">
          <w:marLeft w:val="1541"/>
          <w:marRight w:val="0"/>
          <w:marTop w:val="120"/>
          <w:marBottom w:val="0"/>
          <w:divBdr>
            <w:top w:val="none" w:sz="0" w:space="0" w:color="auto"/>
            <w:left w:val="none" w:sz="0" w:space="0" w:color="auto"/>
            <w:bottom w:val="none" w:sz="0" w:space="0" w:color="auto"/>
            <w:right w:val="none" w:sz="0" w:space="0" w:color="auto"/>
          </w:divBdr>
        </w:div>
        <w:div w:id="760756854">
          <w:marLeft w:val="1541"/>
          <w:marRight w:val="0"/>
          <w:marTop w:val="120"/>
          <w:marBottom w:val="0"/>
          <w:divBdr>
            <w:top w:val="none" w:sz="0" w:space="0" w:color="auto"/>
            <w:left w:val="none" w:sz="0" w:space="0" w:color="auto"/>
            <w:bottom w:val="none" w:sz="0" w:space="0" w:color="auto"/>
            <w:right w:val="none" w:sz="0" w:space="0" w:color="auto"/>
          </w:divBdr>
        </w:div>
        <w:div w:id="1043866723">
          <w:marLeft w:val="1541"/>
          <w:marRight w:val="0"/>
          <w:marTop w:val="120"/>
          <w:marBottom w:val="0"/>
          <w:divBdr>
            <w:top w:val="none" w:sz="0" w:space="0" w:color="auto"/>
            <w:left w:val="none" w:sz="0" w:space="0" w:color="auto"/>
            <w:bottom w:val="none" w:sz="0" w:space="0" w:color="auto"/>
            <w:right w:val="none" w:sz="0" w:space="0" w:color="auto"/>
          </w:divBdr>
        </w:div>
      </w:divsChild>
    </w:div>
    <w:div w:id="193353427">
      <w:bodyDiv w:val="1"/>
      <w:marLeft w:val="0"/>
      <w:marRight w:val="0"/>
      <w:marTop w:val="0"/>
      <w:marBottom w:val="0"/>
      <w:divBdr>
        <w:top w:val="none" w:sz="0" w:space="0" w:color="auto"/>
        <w:left w:val="none" w:sz="0" w:space="0" w:color="auto"/>
        <w:bottom w:val="none" w:sz="0" w:space="0" w:color="auto"/>
        <w:right w:val="none" w:sz="0" w:space="0" w:color="auto"/>
      </w:divBdr>
    </w:div>
    <w:div w:id="205917555">
      <w:bodyDiv w:val="1"/>
      <w:marLeft w:val="0"/>
      <w:marRight w:val="0"/>
      <w:marTop w:val="0"/>
      <w:marBottom w:val="0"/>
      <w:divBdr>
        <w:top w:val="none" w:sz="0" w:space="0" w:color="auto"/>
        <w:left w:val="none" w:sz="0" w:space="0" w:color="auto"/>
        <w:bottom w:val="none" w:sz="0" w:space="0" w:color="auto"/>
        <w:right w:val="none" w:sz="0" w:space="0" w:color="auto"/>
      </w:divBdr>
      <w:divsChild>
        <w:div w:id="1889147976">
          <w:marLeft w:val="518"/>
          <w:marRight w:val="0"/>
          <w:marTop w:val="295"/>
          <w:marBottom w:val="0"/>
          <w:divBdr>
            <w:top w:val="none" w:sz="0" w:space="0" w:color="auto"/>
            <w:left w:val="none" w:sz="0" w:space="0" w:color="auto"/>
            <w:bottom w:val="none" w:sz="0" w:space="0" w:color="auto"/>
            <w:right w:val="none" w:sz="0" w:space="0" w:color="auto"/>
          </w:divBdr>
        </w:div>
        <w:div w:id="761879061">
          <w:marLeft w:val="1354"/>
          <w:marRight w:val="0"/>
          <w:marTop w:val="295"/>
          <w:marBottom w:val="0"/>
          <w:divBdr>
            <w:top w:val="none" w:sz="0" w:space="0" w:color="auto"/>
            <w:left w:val="none" w:sz="0" w:space="0" w:color="auto"/>
            <w:bottom w:val="none" w:sz="0" w:space="0" w:color="auto"/>
            <w:right w:val="none" w:sz="0" w:space="0" w:color="auto"/>
          </w:divBdr>
        </w:div>
        <w:div w:id="1333140408">
          <w:marLeft w:val="1354"/>
          <w:marRight w:val="0"/>
          <w:marTop w:val="295"/>
          <w:marBottom w:val="0"/>
          <w:divBdr>
            <w:top w:val="none" w:sz="0" w:space="0" w:color="auto"/>
            <w:left w:val="none" w:sz="0" w:space="0" w:color="auto"/>
            <w:bottom w:val="none" w:sz="0" w:space="0" w:color="auto"/>
            <w:right w:val="none" w:sz="0" w:space="0" w:color="auto"/>
          </w:divBdr>
        </w:div>
        <w:div w:id="526601033">
          <w:marLeft w:val="2246"/>
          <w:marRight w:val="0"/>
          <w:marTop w:val="295"/>
          <w:marBottom w:val="0"/>
          <w:divBdr>
            <w:top w:val="none" w:sz="0" w:space="0" w:color="auto"/>
            <w:left w:val="none" w:sz="0" w:space="0" w:color="auto"/>
            <w:bottom w:val="none" w:sz="0" w:space="0" w:color="auto"/>
            <w:right w:val="none" w:sz="0" w:space="0" w:color="auto"/>
          </w:divBdr>
        </w:div>
        <w:div w:id="1474133004">
          <w:marLeft w:val="1354"/>
          <w:marRight w:val="0"/>
          <w:marTop w:val="295"/>
          <w:marBottom w:val="0"/>
          <w:divBdr>
            <w:top w:val="none" w:sz="0" w:space="0" w:color="auto"/>
            <w:left w:val="none" w:sz="0" w:space="0" w:color="auto"/>
            <w:bottom w:val="none" w:sz="0" w:space="0" w:color="auto"/>
            <w:right w:val="none" w:sz="0" w:space="0" w:color="auto"/>
          </w:divBdr>
        </w:div>
      </w:divsChild>
    </w:div>
    <w:div w:id="216355107">
      <w:bodyDiv w:val="1"/>
      <w:marLeft w:val="0"/>
      <w:marRight w:val="0"/>
      <w:marTop w:val="0"/>
      <w:marBottom w:val="0"/>
      <w:divBdr>
        <w:top w:val="none" w:sz="0" w:space="0" w:color="auto"/>
        <w:left w:val="none" w:sz="0" w:space="0" w:color="auto"/>
        <w:bottom w:val="none" w:sz="0" w:space="0" w:color="auto"/>
        <w:right w:val="none" w:sz="0" w:space="0" w:color="auto"/>
      </w:divBdr>
    </w:div>
    <w:div w:id="222985688">
      <w:bodyDiv w:val="1"/>
      <w:marLeft w:val="0"/>
      <w:marRight w:val="0"/>
      <w:marTop w:val="0"/>
      <w:marBottom w:val="0"/>
      <w:divBdr>
        <w:top w:val="none" w:sz="0" w:space="0" w:color="auto"/>
        <w:left w:val="none" w:sz="0" w:space="0" w:color="auto"/>
        <w:bottom w:val="none" w:sz="0" w:space="0" w:color="auto"/>
        <w:right w:val="none" w:sz="0" w:space="0" w:color="auto"/>
      </w:divBdr>
    </w:div>
    <w:div w:id="239025692">
      <w:bodyDiv w:val="1"/>
      <w:marLeft w:val="0"/>
      <w:marRight w:val="0"/>
      <w:marTop w:val="0"/>
      <w:marBottom w:val="0"/>
      <w:divBdr>
        <w:top w:val="none" w:sz="0" w:space="0" w:color="auto"/>
        <w:left w:val="none" w:sz="0" w:space="0" w:color="auto"/>
        <w:bottom w:val="none" w:sz="0" w:space="0" w:color="auto"/>
        <w:right w:val="none" w:sz="0" w:space="0" w:color="auto"/>
      </w:divBdr>
      <w:divsChild>
        <w:div w:id="1705708954">
          <w:marLeft w:val="547"/>
          <w:marRight w:val="0"/>
          <w:marTop w:val="144"/>
          <w:marBottom w:val="0"/>
          <w:divBdr>
            <w:top w:val="none" w:sz="0" w:space="0" w:color="auto"/>
            <w:left w:val="none" w:sz="0" w:space="0" w:color="auto"/>
            <w:bottom w:val="none" w:sz="0" w:space="0" w:color="auto"/>
            <w:right w:val="none" w:sz="0" w:space="0" w:color="auto"/>
          </w:divBdr>
        </w:div>
        <w:div w:id="1146623864">
          <w:marLeft w:val="547"/>
          <w:marRight w:val="0"/>
          <w:marTop w:val="144"/>
          <w:marBottom w:val="0"/>
          <w:divBdr>
            <w:top w:val="none" w:sz="0" w:space="0" w:color="auto"/>
            <w:left w:val="none" w:sz="0" w:space="0" w:color="auto"/>
            <w:bottom w:val="none" w:sz="0" w:space="0" w:color="auto"/>
            <w:right w:val="none" w:sz="0" w:space="0" w:color="auto"/>
          </w:divBdr>
        </w:div>
        <w:div w:id="1149131277">
          <w:marLeft w:val="547"/>
          <w:marRight w:val="0"/>
          <w:marTop w:val="144"/>
          <w:marBottom w:val="0"/>
          <w:divBdr>
            <w:top w:val="none" w:sz="0" w:space="0" w:color="auto"/>
            <w:left w:val="none" w:sz="0" w:space="0" w:color="auto"/>
            <w:bottom w:val="none" w:sz="0" w:space="0" w:color="auto"/>
            <w:right w:val="none" w:sz="0" w:space="0" w:color="auto"/>
          </w:divBdr>
        </w:div>
        <w:div w:id="1865628342">
          <w:marLeft w:val="547"/>
          <w:marRight w:val="0"/>
          <w:marTop w:val="144"/>
          <w:marBottom w:val="0"/>
          <w:divBdr>
            <w:top w:val="none" w:sz="0" w:space="0" w:color="auto"/>
            <w:left w:val="none" w:sz="0" w:space="0" w:color="auto"/>
            <w:bottom w:val="none" w:sz="0" w:space="0" w:color="auto"/>
            <w:right w:val="none" w:sz="0" w:space="0" w:color="auto"/>
          </w:divBdr>
        </w:div>
        <w:div w:id="568030840">
          <w:marLeft w:val="547"/>
          <w:marRight w:val="0"/>
          <w:marTop w:val="144"/>
          <w:marBottom w:val="0"/>
          <w:divBdr>
            <w:top w:val="none" w:sz="0" w:space="0" w:color="auto"/>
            <w:left w:val="none" w:sz="0" w:space="0" w:color="auto"/>
            <w:bottom w:val="none" w:sz="0" w:space="0" w:color="auto"/>
            <w:right w:val="none" w:sz="0" w:space="0" w:color="auto"/>
          </w:divBdr>
        </w:div>
      </w:divsChild>
    </w:div>
    <w:div w:id="243225135">
      <w:bodyDiv w:val="1"/>
      <w:marLeft w:val="0"/>
      <w:marRight w:val="0"/>
      <w:marTop w:val="0"/>
      <w:marBottom w:val="0"/>
      <w:divBdr>
        <w:top w:val="none" w:sz="0" w:space="0" w:color="auto"/>
        <w:left w:val="none" w:sz="0" w:space="0" w:color="auto"/>
        <w:bottom w:val="none" w:sz="0" w:space="0" w:color="auto"/>
        <w:right w:val="none" w:sz="0" w:space="0" w:color="auto"/>
      </w:divBdr>
      <w:divsChild>
        <w:div w:id="757094283">
          <w:marLeft w:val="144"/>
          <w:marRight w:val="0"/>
          <w:marTop w:val="0"/>
          <w:marBottom w:val="0"/>
          <w:divBdr>
            <w:top w:val="none" w:sz="0" w:space="0" w:color="auto"/>
            <w:left w:val="none" w:sz="0" w:space="0" w:color="auto"/>
            <w:bottom w:val="none" w:sz="0" w:space="0" w:color="auto"/>
            <w:right w:val="none" w:sz="0" w:space="0" w:color="auto"/>
          </w:divBdr>
        </w:div>
        <w:div w:id="803155595">
          <w:marLeft w:val="144"/>
          <w:marRight w:val="0"/>
          <w:marTop w:val="0"/>
          <w:marBottom w:val="0"/>
          <w:divBdr>
            <w:top w:val="none" w:sz="0" w:space="0" w:color="auto"/>
            <w:left w:val="none" w:sz="0" w:space="0" w:color="auto"/>
            <w:bottom w:val="none" w:sz="0" w:space="0" w:color="auto"/>
            <w:right w:val="none" w:sz="0" w:space="0" w:color="auto"/>
          </w:divBdr>
        </w:div>
      </w:divsChild>
    </w:div>
    <w:div w:id="257838856">
      <w:bodyDiv w:val="1"/>
      <w:marLeft w:val="0"/>
      <w:marRight w:val="0"/>
      <w:marTop w:val="0"/>
      <w:marBottom w:val="0"/>
      <w:divBdr>
        <w:top w:val="none" w:sz="0" w:space="0" w:color="auto"/>
        <w:left w:val="none" w:sz="0" w:space="0" w:color="auto"/>
        <w:bottom w:val="none" w:sz="0" w:space="0" w:color="auto"/>
        <w:right w:val="none" w:sz="0" w:space="0" w:color="auto"/>
      </w:divBdr>
      <w:divsChild>
        <w:div w:id="615218177">
          <w:marLeft w:val="446"/>
          <w:marRight w:val="0"/>
          <w:marTop w:val="0"/>
          <w:marBottom w:val="0"/>
          <w:divBdr>
            <w:top w:val="none" w:sz="0" w:space="0" w:color="auto"/>
            <w:left w:val="none" w:sz="0" w:space="0" w:color="auto"/>
            <w:bottom w:val="none" w:sz="0" w:space="0" w:color="auto"/>
            <w:right w:val="none" w:sz="0" w:space="0" w:color="auto"/>
          </w:divBdr>
        </w:div>
        <w:div w:id="464662623">
          <w:marLeft w:val="1166"/>
          <w:marRight w:val="0"/>
          <w:marTop w:val="0"/>
          <w:marBottom w:val="0"/>
          <w:divBdr>
            <w:top w:val="none" w:sz="0" w:space="0" w:color="auto"/>
            <w:left w:val="none" w:sz="0" w:space="0" w:color="auto"/>
            <w:bottom w:val="none" w:sz="0" w:space="0" w:color="auto"/>
            <w:right w:val="none" w:sz="0" w:space="0" w:color="auto"/>
          </w:divBdr>
        </w:div>
        <w:div w:id="717052885">
          <w:marLeft w:val="446"/>
          <w:marRight w:val="0"/>
          <w:marTop w:val="0"/>
          <w:marBottom w:val="0"/>
          <w:divBdr>
            <w:top w:val="none" w:sz="0" w:space="0" w:color="auto"/>
            <w:left w:val="none" w:sz="0" w:space="0" w:color="auto"/>
            <w:bottom w:val="none" w:sz="0" w:space="0" w:color="auto"/>
            <w:right w:val="none" w:sz="0" w:space="0" w:color="auto"/>
          </w:divBdr>
        </w:div>
        <w:div w:id="1104307328">
          <w:marLeft w:val="1166"/>
          <w:marRight w:val="0"/>
          <w:marTop w:val="0"/>
          <w:marBottom w:val="0"/>
          <w:divBdr>
            <w:top w:val="none" w:sz="0" w:space="0" w:color="auto"/>
            <w:left w:val="none" w:sz="0" w:space="0" w:color="auto"/>
            <w:bottom w:val="none" w:sz="0" w:space="0" w:color="auto"/>
            <w:right w:val="none" w:sz="0" w:space="0" w:color="auto"/>
          </w:divBdr>
        </w:div>
        <w:div w:id="1630816398">
          <w:marLeft w:val="1166"/>
          <w:marRight w:val="0"/>
          <w:marTop w:val="0"/>
          <w:marBottom w:val="0"/>
          <w:divBdr>
            <w:top w:val="none" w:sz="0" w:space="0" w:color="auto"/>
            <w:left w:val="none" w:sz="0" w:space="0" w:color="auto"/>
            <w:bottom w:val="none" w:sz="0" w:space="0" w:color="auto"/>
            <w:right w:val="none" w:sz="0" w:space="0" w:color="auto"/>
          </w:divBdr>
        </w:div>
        <w:div w:id="1883859652">
          <w:marLeft w:val="1886"/>
          <w:marRight w:val="0"/>
          <w:marTop w:val="0"/>
          <w:marBottom w:val="0"/>
          <w:divBdr>
            <w:top w:val="none" w:sz="0" w:space="0" w:color="auto"/>
            <w:left w:val="none" w:sz="0" w:space="0" w:color="auto"/>
            <w:bottom w:val="none" w:sz="0" w:space="0" w:color="auto"/>
            <w:right w:val="none" w:sz="0" w:space="0" w:color="auto"/>
          </w:divBdr>
        </w:div>
        <w:div w:id="1259024276">
          <w:marLeft w:val="1886"/>
          <w:marRight w:val="0"/>
          <w:marTop w:val="0"/>
          <w:marBottom w:val="0"/>
          <w:divBdr>
            <w:top w:val="none" w:sz="0" w:space="0" w:color="auto"/>
            <w:left w:val="none" w:sz="0" w:space="0" w:color="auto"/>
            <w:bottom w:val="none" w:sz="0" w:space="0" w:color="auto"/>
            <w:right w:val="none" w:sz="0" w:space="0" w:color="auto"/>
          </w:divBdr>
        </w:div>
        <w:div w:id="1042678360">
          <w:marLeft w:val="1886"/>
          <w:marRight w:val="0"/>
          <w:marTop w:val="0"/>
          <w:marBottom w:val="0"/>
          <w:divBdr>
            <w:top w:val="none" w:sz="0" w:space="0" w:color="auto"/>
            <w:left w:val="none" w:sz="0" w:space="0" w:color="auto"/>
            <w:bottom w:val="none" w:sz="0" w:space="0" w:color="auto"/>
            <w:right w:val="none" w:sz="0" w:space="0" w:color="auto"/>
          </w:divBdr>
        </w:div>
        <w:div w:id="341471711">
          <w:marLeft w:val="446"/>
          <w:marRight w:val="0"/>
          <w:marTop w:val="0"/>
          <w:marBottom w:val="0"/>
          <w:divBdr>
            <w:top w:val="none" w:sz="0" w:space="0" w:color="auto"/>
            <w:left w:val="none" w:sz="0" w:space="0" w:color="auto"/>
            <w:bottom w:val="none" w:sz="0" w:space="0" w:color="auto"/>
            <w:right w:val="none" w:sz="0" w:space="0" w:color="auto"/>
          </w:divBdr>
        </w:div>
      </w:divsChild>
    </w:div>
    <w:div w:id="279654438">
      <w:bodyDiv w:val="1"/>
      <w:marLeft w:val="0"/>
      <w:marRight w:val="0"/>
      <w:marTop w:val="0"/>
      <w:marBottom w:val="0"/>
      <w:divBdr>
        <w:top w:val="none" w:sz="0" w:space="0" w:color="auto"/>
        <w:left w:val="none" w:sz="0" w:space="0" w:color="auto"/>
        <w:bottom w:val="none" w:sz="0" w:space="0" w:color="auto"/>
        <w:right w:val="none" w:sz="0" w:space="0" w:color="auto"/>
      </w:divBdr>
    </w:div>
    <w:div w:id="306321891">
      <w:bodyDiv w:val="1"/>
      <w:marLeft w:val="0"/>
      <w:marRight w:val="0"/>
      <w:marTop w:val="0"/>
      <w:marBottom w:val="0"/>
      <w:divBdr>
        <w:top w:val="none" w:sz="0" w:space="0" w:color="auto"/>
        <w:left w:val="none" w:sz="0" w:space="0" w:color="auto"/>
        <w:bottom w:val="none" w:sz="0" w:space="0" w:color="auto"/>
        <w:right w:val="none" w:sz="0" w:space="0" w:color="auto"/>
      </w:divBdr>
    </w:div>
    <w:div w:id="325675613">
      <w:bodyDiv w:val="1"/>
      <w:marLeft w:val="0"/>
      <w:marRight w:val="0"/>
      <w:marTop w:val="0"/>
      <w:marBottom w:val="0"/>
      <w:divBdr>
        <w:top w:val="none" w:sz="0" w:space="0" w:color="auto"/>
        <w:left w:val="none" w:sz="0" w:space="0" w:color="auto"/>
        <w:bottom w:val="none" w:sz="0" w:space="0" w:color="auto"/>
        <w:right w:val="none" w:sz="0" w:space="0" w:color="auto"/>
      </w:divBdr>
    </w:div>
    <w:div w:id="374039232">
      <w:bodyDiv w:val="1"/>
      <w:marLeft w:val="0"/>
      <w:marRight w:val="0"/>
      <w:marTop w:val="0"/>
      <w:marBottom w:val="0"/>
      <w:divBdr>
        <w:top w:val="none" w:sz="0" w:space="0" w:color="auto"/>
        <w:left w:val="none" w:sz="0" w:space="0" w:color="auto"/>
        <w:bottom w:val="none" w:sz="0" w:space="0" w:color="auto"/>
        <w:right w:val="none" w:sz="0" w:space="0" w:color="auto"/>
      </w:divBdr>
      <w:divsChild>
        <w:div w:id="915894150">
          <w:marLeft w:val="547"/>
          <w:marRight w:val="0"/>
          <w:marTop w:val="0"/>
          <w:marBottom w:val="0"/>
          <w:divBdr>
            <w:top w:val="none" w:sz="0" w:space="0" w:color="auto"/>
            <w:left w:val="none" w:sz="0" w:space="0" w:color="auto"/>
            <w:bottom w:val="none" w:sz="0" w:space="0" w:color="auto"/>
            <w:right w:val="none" w:sz="0" w:space="0" w:color="auto"/>
          </w:divBdr>
        </w:div>
      </w:divsChild>
    </w:div>
    <w:div w:id="395706506">
      <w:bodyDiv w:val="1"/>
      <w:marLeft w:val="0"/>
      <w:marRight w:val="0"/>
      <w:marTop w:val="0"/>
      <w:marBottom w:val="0"/>
      <w:divBdr>
        <w:top w:val="none" w:sz="0" w:space="0" w:color="auto"/>
        <w:left w:val="none" w:sz="0" w:space="0" w:color="auto"/>
        <w:bottom w:val="none" w:sz="0" w:space="0" w:color="auto"/>
        <w:right w:val="none" w:sz="0" w:space="0" w:color="auto"/>
      </w:divBdr>
    </w:div>
    <w:div w:id="402219555">
      <w:bodyDiv w:val="1"/>
      <w:marLeft w:val="0"/>
      <w:marRight w:val="0"/>
      <w:marTop w:val="0"/>
      <w:marBottom w:val="0"/>
      <w:divBdr>
        <w:top w:val="none" w:sz="0" w:space="0" w:color="auto"/>
        <w:left w:val="none" w:sz="0" w:space="0" w:color="auto"/>
        <w:bottom w:val="none" w:sz="0" w:space="0" w:color="auto"/>
        <w:right w:val="none" w:sz="0" w:space="0" w:color="auto"/>
      </w:divBdr>
    </w:div>
    <w:div w:id="404231011">
      <w:bodyDiv w:val="1"/>
      <w:marLeft w:val="0"/>
      <w:marRight w:val="0"/>
      <w:marTop w:val="0"/>
      <w:marBottom w:val="0"/>
      <w:divBdr>
        <w:top w:val="none" w:sz="0" w:space="0" w:color="auto"/>
        <w:left w:val="none" w:sz="0" w:space="0" w:color="auto"/>
        <w:bottom w:val="none" w:sz="0" w:space="0" w:color="auto"/>
        <w:right w:val="none" w:sz="0" w:space="0" w:color="auto"/>
      </w:divBdr>
      <w:divsChild>
        <w:div w:id="1903521693">
          <w:marLeft w:val="547"/>
          <w:marRight w:val="0"/>
          <w:marTop w:val="0"/>
          <w:marBottom w:val="0"/>
          <w:divBdr>
            <w:top w:val="none" w:sz="0" w:space="0" w:color="auto"/>
            <w:left w:val="none" w:sz="0" w:space="0" w:color="auto"/>
            <w:bottom w:val="none" w:sz="0" w:space="0" w:color="auto"/>
            <w:right w:val="none" w:sz="0" w:space="0" w:color="auto"/>
          </w:divBdr>
        </w:div>
        <w:div w:id="1332100642">
          <w:marLeft w:val="547"/>
          <w:marRight w:val="0"/>
          <w:marTop w:val="0"/>
          <w:marBottom w:val="0"/>
          <w:divBdr>
            <w:top w:val="none" w:sz="0" w:space="0" w:color="auto"/>
            <w:left w:val="none" w:sz="0" w:space="0" w:color="auto"/>
            <w:bottom w:val="none" w:sz="0" w:space="0" w:color="auto"/>
            <w:right w:val="none" w:sz="0" w:space="0" w:color="auto"/>
          </w:divBdr>
        </w:div>
        <w:div w:id="1958948133">
          <w:marLeft w:val="547"/>
          <w:marRight w:val="0"/>
          <w:marTop w:val="0"/>
          <w:marBottom w:val="0"/>
          <w:divBdr>
            <w:top w:val="none" w:sz="0" w:space="0" w:color="auto"/>
            <w:left w:val="none" w:sz="0" w:space="0" w:color="auto"/>
            <w:bottom w:val="none" w:sz="0" w:space="0" w:color="auto"/>
            <w:right w:val="none" w:sz="0" w:space="0" w:color="auto"/>
          </w:divBdr>
        </w:div>
        <w:div w:id="1559709916">
          <w:marLeft w:val="547"/>
          <w:marRight w:val="0"/>
          <w:marTop w:val="0"/>
          <w:marBottom w:val="0"/>
          <w:divBdr>
            <w:top w:val="none" w:sz="0" w:space="0" w:color="auto"/>
            <w:left w:val="none" w:sz="0" w:space="0" w:color="auto"/>
            <w:bottom w:val="none" w:sz="0" w:space="0" w:color="auto"/>
            <w:right w:val="none" w:sz="0" w:space="0" w:color="auto"/>
          </w:divBdr>
        </w:div>
        <w:div w:id="1285304200">
          <w:marLeft w:val="547"/>
          <w:marRight w:val="0"/>
          <w:marTop w:val="0"/>
          <w:marBottom w:val="0"/>
          <w:divBdr>
            <w:top w:val="none" w:sz="0" w:space="0" w:color="auto"/>
            <w:left w:val="none" w:sz="0" w:space="0" w:color="auto"/>
            <w:bottom w:val="none" w:sz="0" w:space="0" w:color="auto"/>
            <w:right w:val="none" w:sz="0" w:space="0" w:color="auto"/>
          </w:divBdr>
        </w:div>
      </w:divsChild>
    </w:div>
    <w:div w:id="413089216">
      <w:bodyDiv w:val="1"/>
      <w:marLeft w:val="0"/>
      <w:marRight w:val="0"/>
      <w:marTop w:val="0"/>
      <w:marBottom w:val="0"/>
      <w:divBdr>
        <w:top w:val="none" w:sz="0" w:space="0" w:color="auto"/>
        <w:left w:val="none" w:sz="0" w:space="0" w:color="auto"/>
        <w:bottom w:val="none" w:sz="0" w:space="0" w:color="auto"/>
        <w:right w:val="none" w:sz="0" w:space="0" w:color="auto"/>
      </w:divBdr>
      <w:divsChild>
        <w:div w:id="1327392845">
          <w:marLeft w:val="346"/>
          <w:marRight w:val="0"/>
          <w:marTop w:val="197"/>
          <w:marBottom w:val="0"/>
          <w:divBdr>
            <w:top w:val="none" w:sz="0" w:space="0" w:color="auto"/>
            <w:left w:val="none" w:sz="0" w:space="0" w:color="auto"/>
            <w:bottom w:val="none" w:sz="0" w:space="0" w:color="auto"/>
            <w:right w:val="none" w:sz="0" w:space="0" w:color="auto"/>
          </w:divBdr>
        </w:div>
        <w:div w:id="421493599">
          <w:marLeft w:val="346"/>
          <w:marRight w:val="0"/>
          <w:marTop w:val="197"/>
          <w:marBottom w:val="0"/>
          <w:divBdr>
            <w:top w:val="none" w:sz="0" w:space="0" w:color="auto"/>
            <w:left w:val="none" w:sz="0" w:space="0" w:color="auto"/>
            <w:bottom w:val="none" w:sz="0" w:space="0" w:color="auto"/>
            <w:right w:val="none" w:sz="0" w:space="0" w:color="auto"/>
          </w:divBdr>
        </w:div>
      </w:divsChild>
    </w:div>
    <w:div w:id="522476376">
      <w:bodyDiv w:val="1"/>
      <w:marLeft w:val="0"/>
      <w:marRight w:val="0"/>
      <w:marTop w:val="0"/>
      <w:marBottom w:val="0"/>
      <w:divBdr>
        <w:top w:val="none" w:sz="0" w:space="0" w:color="auto"/>
        <w:left w:val="none" w:sz="0" w:space="0" w:color="auto"/>
        <w:bottom w:val="none" w:sz="0" w:space="0" w:color="auto"/>
        <w:right w:val="none" w:sz="0" w:space="0" w:color="auto"/>
      </w:divBdr>
      <w:divsChild>
        <w:div w:id="1897011416">
          <w:marLeft w:val="1080"/>
          <w:marRight w:val="0"/>
          <w:marTop w:val="0"/>
          <w:marBottom w:val="0"/>
          <w:divBdr>
            <w:top w:val="none" w:sz="0" w:space="0" w:color="auto"/>
            <w:left w:val="none" w:sz="0" w:space="0" w:color="auto"/>
            <w:bottom w:val="none" w:sz="0" w:space="0" w:color="auto"/>
            <w:right w:val="none" w:sz="0" w:space="0" w:color="auto"/>
          </w:divBdr>
        </w:div>
        <w:div w:id="1982271334">
          <w:marLeft w:val="1080"/>
          <w:marRight w:val="0"/>
          <w:marTop w:val="0"/>
          <w:marBottom w:val="0"/>
          <w:divBdr>
            <w:top w:val="none" w:sz="0" w:space="0" w:color="auto"/>
            <w:left w:val="none" w:sz="0" w:space="0" w:color="auto"/>
            <w:bottom w:val="none" w:sz="0" w:space="0" w:color="auto"/>
            <w:right w:val="none" w:sz="0" w:space="0" w:color="auto"/>
          </w:divBdr>
        </w:div>
        <w:div w:id="162357731">
          <w:marLeft w:val="1080"/>
          <w:marRight w:val="0"/>
          <w:marTop w:val="0"/>
          <w:marBottom w:val="0"/>
          <w:divBdr>
            <w:top w:val="none" w:sz="0" w:space="0" w:color="auto"/>
            <w:left w:val="none" w:sz="0" w:space="0" w:color="auto"/>
            <w:bottom w:val="none" w:sz="0" w:space="0" w:color="auto"/>
            <w:right w:val="none" w:sz="0" w:space="0" w:color="auto"/>
          </w:divBdr>
        </w:div>
        <w:div w:id="1646540825">
          <w:marLeft w:val="1080"/>
          <w:marRight w:val="0"/>
          <w:marTop w:val="0"/>
          <w:marBottom w:val="0"/>
          <w:divBdr>
            <w:top w:val="none" w:sz="0" w:space="0" w:color="auto"/>
            <w:left w:val="none" w:sz="0" w:space="0" w:color="auto"/>
            <w:bottom w:val="none" w:sz="0" w:space="0" w:color="auto"/>
            <w:right w:val="none" w:sz="0" w:space="0" w:color="auto"/>
          </w:divBdr>
        </w:div>
      </w:divsChild>
    </w:div>
    <w:div w:id="524834146">
      <w:bodyDiv w:val="1"/>
      <w:marLeft w:val="0"/>
      <w:marRight w:val="0"/>
      <w:marTop w:val="0"/>
      <w:marBottom w:val="0"/>
      <w:divBdr>
        <w:top w:val="none" w:sz="0" w:space="0" w:color="auto"/>
        <w:left w:val="none" w:sz="0" w:space="0" w:color="auto"/>
        <w:bottom w:val="none" w:sz="0" w:space="0" w:color="auto"/>
        <w:right w:val="none" w:sz="0" w:space="0" w:color="auto"/>
      </w:divBdr>
      <w:divsChild>
        <w:div w:id="2032563770">
          <w:marLeft w:val="547"/>
          <w:marRight w:val="0"/>
          <w:marTop w:val="115"/>
          <w:marBottom w:val="0"/>
          <w:divBdr>
            <w:top w:val="none" w:sz="0" w:space="0" w:color="auto"/>
            <w:left w:val="none" w:sz="0" w:space="0" w:color="auto"/>
            <w:bottom w:val="none" w:sz="0" w:space="0" w:color="auto"/>
            <w:right w:val="none" w:sz="0" w:space="0" w:color="auto"/>
          </w:divBdr>
        </w:div>
        <w:div w:id="1736319220">
          <w:marLeft w:val="547"/>
          <w:marRight w:val="0"/>
          <w:marTop w:val="115"/>
          <w:marBottom w:val="0"/>
          <w:divBdr>
            <w:top w:val="none" w:sz="0" w:space="0" w:color="auto"/>
            <w:left w:val="none" w:sz="0" w:space="0" w:color="auto"/>
            <w:bottom w:val="none" w:sz="0" w:space="0" w:color="auto"/>
            <w:right w:val="none" w:sz="0" w:space="0" w:color="auto"/>
          </w:divBdr>
        </w:div>
        <w:div w:id="1288775812">
          <w:marLeft w:val="547"/>
          <w:marRight w:val="0"/>
          <w:marTop w:val="115"/>
          <w:marBottom w:val="0"/>
          <w:divBdr>
            <w:top w:val="none" w:sz="0" w:space="0" w:color="auto"/>
            <w:left w:val="none" w:sz="0" w:space="0" w:color="auto"/>
            <w:bottom w:val="none" w:sz="0" w:space="0" w:color="auto"/>
            <w:right w:val="none" w:sz="0" w:space="0" w:color="auto"/>
          </w:divBdr>
        </w:div>
        <w:div w:id="1258059671">
          <w:marLeft w:val="1166"/>
          <w:marRight w:val="0"/>
          <w:marTop w:val="115"/>
          <w:marBottom w:val="0"/>
          <w:divBdr>
            <w:top w:val="none" w:sz="0" w:space="0" w:color="auto"/>
            <w:left w:val="none" w:sz="0" w:space="0" w:color="auto"/>
            <w:bottom w:val="none" w:sz="0" w:space="0" w:color="auto"/>
            <w:right w:val="none" w:sz="0" w:space="0" w:color="auto"/>
          </w:divBdr>
        </w:div>
        <w:div w:id="2032679684">
          <w:marLeft w:val="1166"/>
          <w:marRight w:val="0"/>
          <w:marTop w:val="115"/>
          <w:marBottom w:val="0"/>
          <w:divBdr>
            <w:top w:val="none" w:sz="0" w:space="0" w:color="auto"/>
            <w:left w:val="none" w:sz="0" w:space="0" w:color="auto"/>
            <w:bottom w:val="none" w:sz="0" w:space="0" w:color="auto"/>
            <w:right w:val="none" w:sz="0" w:space="0" w:color="auto"/>
          </w:divBdr>
        </w:div>
        <w:div w:id="618607594">
          <w:marLeft w:val="1166"/>
          <w:marRight w:val="0"/>
          <w:marTop w:val="115"/>
          <w:marBottom w:val="0"/>
          <w:divBdr>
            <w:top w:val="none" w:sz="0" w:space="0" w:color="auto"/>
            <w:left w:val="none" w:sz="0" w:space="0" w:color="auto"/>
            <w:bottom w:val="none" w:sz="0" w:space="0" w:color="auto"/>
            <w:right w:val="none" w:sz="0" w:space="0" w:color="auto"/>
          </w:divBdr>
        </w:div>
        <w:div w:id="897134729">
          <w:marLeft w:val="547"/>
          <w:marRight w:val="0"/>
          <w:marTop w:val="115"/>
          <w:marBottom w:val="0"/>
          <w:divBdr>
            <w:top w:val="none" w:sz="0" w:space="0" w:color="auto"/>
            <w:left w:val="none" w:sz="0" w:space="0" w:color="auto"/>
            <w:bottom w:val="none" w:sz="0" w:space="0" w:color="auto"/>
            <w:right w:val="none" w:sz="0" w:space="0" w:color="auto"/>
          </w:divBdr>
        </w:div>
      </w:divsChild>
    </w:div>
    <w:div w:id="535240999">
      <w:bodyDiv w:val="1"/>
      <w:marLeft w:val="0"/>
      <w:marRight w:val="0"/>
      <w:marTop w:val="0"/>
      <w:marBottom w:val="0"/>
      <w:divBdr>
        <w:top w:val="none" w:sz="0" w:space="0" w:color="auto"/>
        <w:left w:val="none" w:sz="0" w:space="0" w:color="auto"/>
        <w:bottom w:val="none" w:sz="0" w:space="0" w:color="auto"/>
        <w:right w:val="none" w:sz="0" w:space="0" w:color="auto"/>
      </w:divBdr>
    </w:div>
    <w:div w:id="538784944">
      <w:bodyDiv w:val="1"/>
      <w:marLeft w:val="0"/>
      <w:marRight w:val="0"/>
      <w:marTop w:val="0"/>
      <w:marBottom w:val="0"/>
      <w:divBdr>
        <w:top w:val="none" w:sz="0" w:space="0" w:color="auto"/>
        <w:left w:val="none" w:sz="0" w:space="0" w:color="auto"/>
        <w:bottom w:val="none" w:sz="0" w:space="0" w:color="auto"/>
        <w:right w:val="none" w:sz="0" w:space="0" w:color="auto"/>
      </w:divBdr>
      <w:divsChild>
        <w:div w:id="1288121368">
          <w:marLeft w:val="547"/>
          <w:marRight w:val="0"/>
          <w:marTop w:val="96"/>
          <w:marBottom w:val="0"/>
          <w:divBdr>
            <w:top w:val="none" w:sz="0" w:space="0" w:color="auto"/>
            <w:left w:val="none" w:sz="0" w:space="0" w:color="auto"/>
            <w:bottom w:val="none" w:sz="0" w:space="0" w:color="auto"/>
            <w:right w:val="none" w:sz="0" w:space="0" w:color="auto"/>
          </w:divBdr>
        </w:div>
      </w:divsChild>
    </w:div>
    <w:div w:id="559481164">
      <w:bodyDiv w:val="1"/>
      <w:marLeft w:val="0"/>
      <w:marRight w:val="0"/>
      <w:marTop w:val="0"/>
      <w:marBottom w:val="0"/>
      <w:divBdr>
        <w:top w:val="none" w:sz="0" w:space="0" w:color="auto"/>
        <w:left w:val="none" w:sz="0" w:space="0" w:color="auto"/>
        <w:bottom w:val="none" w:sz="0" w:space="0" w:color="auto"/>
        <w:right w:val="none" w:sz="0" w:space="0" w:color="auto"/>
      </w:divBdr>
      <w:divsChild>
        <w:div w:id="1230726845">
          <w:marLeft w:val="547"/>
          <w:marRight w:val="0"/>
          <w:marTop w:val="0"/>
          <w:marBottom w:val="0"/>
          <w:divBdr>
            <w:top w:val="none" w:sz="0" w:space="0" w:color="auto"/>
            <w:left w:val="none" w:sz="0" w:space="0" w:color="auto"/>
            <w:bottom w:val="none" w:sz="0" w:space="0" w:color="auto"/>
            <w:right w:val="none" w:sz="0" w:space="0" w:color="auto"/>
          </w:divBdr>
        </w:div>
        <w:div w:id="105348827">
          <w:marLeft w:val="547"/>
          <w:marRight w:val="0"/>
          <w:marTop w:val="0"/>
          <w:marBottom w:val="0"/>
          <w:divBdr>
            <w:top w:val="none" w:sz="0" w:space="0" w:color="auto"/>
            <w:left w:val="none" w:sz="0" w:space="0" w:color="auto"/>
            <w:bottom w:val="none" w:sz="0" w:space="0" w:color="auto"/>
            <w:right w:val="none" w:sz="0" w:space="0" w:color="auto"/>
          </w:divBdr>
        </w:div>
        <w:div w:id="572669101">
          <w:marLeft w:val="547"/>
          <w:marRight w:val="0"/>
          <w:marTop w:val="0"/>
          <w:marBottom w:val="0"/>
          <w:divBdr>
            <w:top w:val="none" w:sz="0" w:space="0" w:color="auto"/>
            <w:left w:val="none" w:sz="0" w:space="0" w:color="auto"/>
            <w:bottom w:val="none" w:sz="0" w:space="0" w:color="auto"/>
            <w:right w:val="none" w:sz="0" w:space="0" w:color="auto"/>
          </w:divBdr>
        </w:div>
        <w:div w:id="516964888">
          <w:marLeft w:val="547"/>
          <w:marRight w:val="0"/>
          <w:marTop w:val="0"/>
          <w:marBottom w:val="0"/>
          <w:divBdr>
            <w:top w:val="none" w:sz="0" w:space="0" w:color="auto"/>
            <w:left w:val="none" w:sz="0" w:space="0" w:color="auto"/>
            <w:bottom w:val="none" w:sz="0" w:space="0" w:color="auto"/>
            <w:right w:val="none" w:sz="0" w:space="0" w:color="auto"/>
          </w:divBdr>
        </w:div>
        <w:div w:id="1438481431">
          <w:marLeft w:val="547"/>
          <w:marRight w:val="0"/>
          <w:marTop w:val="0"/>
          <w:marBottom w:val="0"/>
          <w:divBdr>
            <w:top w:val="none" w:sz="0" w:space="0" w:color="auto"/>
            <w:left w:val="none" w:sz="0" w:space="0" w:color="auto"/>
            <w:bottom w:val="none" w:sz="0" w:space="0" w:color="auto"/>
            <w:right w:val="none" w:sz="0" w:space="0" w:color="auto"/>
          </w:divBdr>
        </w:div>
      </w:divsChild>
    </w:div>
    <w:div w:id="560017939">
      <w:bodyDiv w:val="1"/>
      <w:marLeft w:val="0"/>
      <w:marRight w:val="0"/>
      <w:marTop w:val="0"/>
      <w:marBottom w:val="0"/>
      <w:divBdr>
        <w:top w:val="none" w:sz="0" w:space="0" w:color="auto"/>
        <w:left w:val="none" w:sz="0" w:space="0" w:color="auto"/>
        <w:bottom w:val="none" w:sz="0" w:space="0" w:color="auto"/>
        <w:right w:val="none" w:sz="0" w:space="0" w:color="auto"/>
      </w:divBdr>
    </w:div>
    <w:div w:id="583611196">
      <w:bodyDiv w:val="1"/>
      <w:marLeft w:val="0"/>
      <w:marRight w:val="0"/>
      <w:marTop w:val="0"/>
      <w:marBottom w:val="0"/>
      <w:divBdr>
        <w:top w:val="none" w:sz="0" w:space="0" w:color="auto"/>
        <w:left w:val="none" w:sz="0" w:space="0" w:color="auto"/>
        <w:bottom w:val="none" w:sz="0" w:space="0" w:color="auto"/>
        <w:right w:val="none" w:sz="0" w:space="0" w:color="auto"/>
      </w:divBdr>
    </w:div>
    <w:div w:id="588000015">
      <w:bodyDiv w:val="1"/>
      <w:marLeft w:val="0"/>
      <w:marRight w:val="0"/>
      <w:marTop w:val="0"/>
      <w:marBottom w:val="0"/>
      <w:divBdr>
        <w:top w:val="none" w:sz="0" w:space="0" w:color="auto"/>
        <w:left w:val="none" w:sz="0" w:space="0" w:color="auto"/>
        <w:bottom w:val="none" w:sz="0" w:space="0" w:color="auto"/>
        <w:right w:val="none" w:sz="0" w:space="0" w:color="auto"/>
      </w:divBdr>
      <w:divsChild>
        <w:div w:id="750660738">
          <w:marLeft w:val="547"/>
          <w:marRight w:val="0"/>
          <w:marTop w:val="96"/>
          <w:marBottom w:val="0"/>
          <w:divBdr>
            <w:top w:val="none" w:sz="0" w:space="0" w:color="auto"/>
            <w:left w:val="none" w:sz="0" w:space="0" w:color="auto"/>
            <w:bottom w:val="none" w:sz="0" w:space="0" w:color="auto"/>
            <w:right w:val="none" w:sz="0" w:space="0" w:color="auto"/>
          </w:divBdr>
        </w:div>
        <w:div w:id="240221280">
          <w:marLeft w:val="1166"/>
          <w:marRight w:val="0"/>
          <w:marTop w:val="86"/>
          <w:marBottom w:val="0"/>
          <w:divBdr>
            <w:top w:val="none" w:sz="0" w:space="0" w:color="auto"/>
            <w:left w:val="none" w:sz="0" w:space="0" w:color="auto"/>
            <w:bottom w:val="none" w:sz="0" w:space="0" w:color="auto"/>
            <w:right w:val="none" w:sz="0" w:space="0" w:color="auto"/>
          </w:divBdr>
        </w:div>
        <w:div w:id="1200822528">
          <w:marLeft w:val="1166"/>
          <w:marRight w:val="0"/>
          <w:marTop w:val="86"/>
          <w:marBottom w:val="0"/>
          <w:divBdr>
            <w:top w:val="none" w:sz="0" w:space="0" w:color="auto"/>
            <w:left w:val="none" w:sz="0" w:space="0" w:color="auto"/>
            <w:bottom w:val="none" w:sz="0" w:space="0" w:color="auto"/>
            <w:right w:val="none" w:sz="0" w:space="0" w:color="auto"/>
          </w:divBdr>
        </w:div>
        <w:div w:id="1290548971">
          <w:marLeft w:val="1166"/>
          <w:marRight w:val="0"/>
          <w:marTop w:val="86"/>
          <w:marBottom w:val="0"/>
          <w:divBdr>
            <w:top w:val="none" w:sz="0" w:space="0" w:color="auto"/>
            <w:left w:val="none" w:sz="0" w:space="0" w:color="auto"/>
            <w:bottom w:val="none" w:sz="0" w:space="0" w:color="auto"/>
            <w:right w:val="none" w:sz="0" w:space="0" w:color="auto"/>
          </w:divBdr>
        </w:div>
        <w:div w:id="2039623605">
          <w:marLeft w:val="547"/>
          <w:marRight w:val="0"/>
          <w:marTop w:val="96"/>
          <w:marBottom w:val="0"/>
          <w:divBdr>
            <w:top w:val="none" w:sz="0" w:space="0" w:color="auto"/>
            <w:left w:val="none" w:sz="0" w:space="0" w:color="auto"/>
            <w:bottom w:val="none" w:sz="0" w:space="0" w:color="auto"/>
            <w:right w:val="none" w:sz="0" w:space="0" w:color="auto"/>
          </w:divBdr>
        </w:div>
        <w:div w:id="1657614099">
          <w:marLeft w:val="1166"/>
          <w:marRight w:val="0"/>
          <w:marTop w:val="86"/>
          <w:marBottom w:val="0"/>
          <w:divBdr>
            <w:top w:val="none" w:sz="0" w:space="0" w:color="auto"/>
            <w:left w:val="none" w:sz="0" w:space="0" w:color="auto"/>
            <w:bottom w:val="none" w:sz="0" w:space="0" w:color="auto"/>
            <w:right w:val="none" w:sz="0" w:space="0" w:color="auto"/>
          </w:divBdr>
        </w:div>
        <w:div w:id="781221335">
          <w:marLeft w:val="1166"/>
          <w:marRight w:val="0"/>
          <w:marTop w:val="86"/>
          <w:marBottom w:val="0"/>
          <w:divBdr>
            <w:top w:val="none" w:sz="0" w:space="0" w:color="auto"/>
            <w:left w:val="none" w:sz="0" w:space="0" w:color="auto"/>
            <w:bottom w:val="none" w:sz="0" w:space="0" w:color="auto"/>
            <w:right w:val="none" w:sz="0" w:space="0" w:color="auto"/>
          </w:divBdr>
        </w:div>
        <w:div w:id="1024478266">
          <w:marLeft w:val="1166"/>
          <w:marRight w:val="0"/>
          <w:marTop w:val="86"/>
          <w:marBottom w:val="0"/>
          <w:divBdr>
            <w:top w:val="none" w:sz="0" w:space="0" w:color="auto"/>
            <w:left w:val="none" w:sz="0" w:space="0" w:color="auto"/>
            <w:bottom w:val="none" w:sz="0" w:space="0" w:color="auto"/>
            <w:right w:val="none" w:sz="0" w:space="0" w:color="auto"/>
          </w:divBdr>
        </w:div>
        <w:div w:id="539787010">
          <w:marLeft w:val="547"/>
          <w:marRight w:val="0"/>
          <w:marTop w:val="96"/>
          <w:marBottom w:val="0"/>
          <w:divBdr>
            <w:top w:val="none" w:sz="0" w:space="0" w:color="auto"/>
            <w:left w:val="none" w:sz="0" w:space="0" w:color="auto"/>
            <w:bottom w:val="none" w:sz="0" w:space="0" w:color="auto"/>
            <w:right w:val="none" w:sz="0" w:space="0" w:color="auto"/>
          </w:divBdr>
        </w:div>
        <w:div w:id="57900429">
          <w:marLeft w:val="1166"/>
          <w:marRight w:val="0"/>
          <w:marTop w:val="86"/>
          <w:marBottom w:val="0"/>
          <w:divBdr>
            <w:top w:val="none" w:sz="0" w:space="0" w:color="auto"/>
            <w:left w:val="none" w:sz="0" w:space="0" w:color="auto"/>
            <w:bottom w:val="none" w:sz="0" w:space="0" w:color="auto"/>
            <w:right w:val="none" w:sz="0" w:space="0" w:color="auto"/>
          </w:divBdr>
        </w:div>
        <w:div w:id="1062026274">
          <w:marLeft w:val="1166"/>
          <w:marRight w:val="0"/>
          <w:marTop w:val="86"/>
          <w:marBottom w:val="0"/>
          <w:divBdr>
            <w:top w:val="none" w:sz="0" w:space="0" w:color="auto"/>
            <w:left w:val="none" w:sz="0" w:space="0" w:color="auto"/>
            <w:bottom w:val="none" w:sz="0" w:space="0" w:color="auto"/>
            <w:right w:val="none" w:sz="0" w:space="0" w:color="auto"/>
          </w:divBdr>
        </w:div>
        <w:div w:id="2105759000">
          <w:marLeft w:val="1166"/>
          <w:marRight w:val="0"/>
          <w:marTop w:val="86"/>
          <w:marBottom w:val="0"/>
          <w:divBdr>
            <w:top w:val="none" w:sz="0" w:space="0" w:color="auto"/>
            <w:left w:val="none" w:sz="0" w:space="0" w:color="auto"/>
            <w:bottom w:val="none" w:sz="0" w:space="0" w:color="auto"/>
            <w:right w:val="none" w:sz="0" w:space="0" w:color="auto"/>
          </w:divBdr>
        </w:div>
      </w:divsChild>
    </w:div>
    <w:div w:id="589394969">
      <w:bodyDiv w:val="1"/>
      <w:marLeft w:val="0"/>
      <w:marRight w:val="0"/>
      <w:marTop w:val="0"/>
      <w:marBottom w:val="0"/>
      <w:divBdr>
        <w:top w:val="none" w:sz="0" w:space="0" w:color="auto"/>
        <w:left w:val="none" w:sz="0" w:space="0" w:color="auto"/>
        <w:bottom w:val="none" w:sz="0" w:space="0" w:color="auto"/>
        <w:right w:val="none" w:sz="0" w:space="0" w:color="auto"/>
      </w:divBdr>
      <w:divsChild>
        <w:div w:id="1964145320">
          <w:marLeft w:val="547"/>
          <w:marRight w:val="0"/>
          <w:marTop w:val="0"/>
          <w:marBottom w:val="0"/>
          <w:divBdr>
            <w:top w:val="none" w:sz="0" w:space="0" w:color="auto"/>
            <w:left w:val="none" w:sz="0" w:space="0" w:color="auto"/>
            <w:bottom w:val="none" w:sz="0" w:space="0" w:color="auto"/>
            <w:right w:val="none" w:sz="0" w:space="0" w:color="auto"/>
          </w:divBdr>
        </w:div>
      </w:divsChild>
    </w:div>
    <w:div w:id="598296354">
      <w:bodyDiv w:val="1"/>
      <w:marLeft w:val="0"/>
      <w:marRight w:val="0"/>
      <w:marTop w:val="0"/>
      <w:marBottom w:val="0"/>
      <w:divBdr>
        <w:top w:val="none" w:sz="0" w:space="0" w:color="auto"/>
        <w:left w:val="none" w:sz="0" w:space="0" w:color="auto"/>
        <w:bottom w:val="none" w:sz="0" w:space="0" w:color="auto"/>
        <w:right w:val="none" w:sz="0" w:space="0" w:color="auto"/>
      </w:divBdr>
      <w:divsChild>
        <w:div w:id="126245438">
          <w:marLeft w:val="2160"/>
          <w:marRight w:val="0"/>
          <w:marTop w:val="200"/>
          <w:marBottom w:val="0"/>
          <w:divBdr>
            <w:top w:val="none" w:sz="0" w:space="0" w:color="auto"/>
            <w:left w:val="none" w:sz="0" w:space="0" w:color="auto"/>
            <w:bottom w:val="none" w:sz="0" w:space="0" w:color="auto"/>
            <w:right w:val="none" w:sz="0" w:space="0" w:color="auto"/>
          </w:divBdr>
        </w:div>
        <w:div w:id="355157107">
          <w:marLeft w:val="2160"/>
          <w:marRight w:val="0"/>
          <w:marTop w:val="200"/>
          <w:marBottom w:val="0"/>
          <w:divBdr>
            <w:top w:val="none" w:sz="0" w:space="0" w:color="auto"/>
            <w:left w:val="none" w:sz="0" w:space="0" w:color="auto"/>
            <w:bottom w:val="none" w:sz="0" w:space="0" w:color="auto"/>
            <w:right w:val="none" w:sz="0" w:space="0" w:color="auto"/>
          </w:divBdr>
        </w:div>
        <w:div w:id="1697383114">
          <w:marLeft w:val="2160"/>
          <w:marRight w:val="0"/>
          <w:marTop w:val="200"/>
          <w:marBottom w:val="0"/>
          <w:divBdr>
            <w:top w:val="none" w:sz="0" w:space="0" w:color="auto"/>
            <w:left w:val="none" w:sz="0" w:space="0" w:color="auto"/>
            <w:bottom w:val="none" w:sz="0" w:space="0" w:color="auto"/>
            <w:right w:val="none" w:sz="0" w:space="0" w:color="auto"/>
          </w:divBdr>
        </w:div>
        <w:div w:id="1577983017">
          <w:marLeft w:val="2160"/>
          <w:marRight w:val="0"/>
          <w:marTop w:val="200"/>
          <w:marBottom w:val="0"/>
          <w:divBdr>
            <w:top w:val="none" w:sz="0" w:space="0" w:color="auto"/>
            <w:left w:val="none" w:sz="0" w:space="0" w:color="auto"/>
            <w:bottom w:val="none" w:sz="0" w:space="0" w:color="auto"/>
            <w:right w:val="none" w:sz="0" w:space="0" w:color="auto"/>
          </w:divBdr>
        </w:div>
        <w:div w:id="551426958">
          <w:marLeft w:val="2160"/>
          <w:marRight w:val="0"/>
          <w:marTop w:val="200"/>
          <w:marBottom w:val="0"/>
          <w:divBdr>
            <w:top w:val="none" w:sz="0" w:space="0" w:color="auto"/>
            <w:left w:val="none" w:sz="0" w:space="0" w:color="auto"/>
            <w:bottom w:val="none" w:sz="0" w:space="0" w:color="auto"/>
            <w:right w:val="none" w:sz="0" w:space="0" w:color="auto"/>
          </w:divBdr>
        </w:div>
        <w:div w:id="672613191">
          <w:marLeft w:val="720"/>
          <w:marRight w:val="0"/>
          <w:marTop w:val="400"/>
          <w:marBottom w:val="0"/>
          <w:divBdr>
            <w:top w:val="none" w:sz="0" w:space="0" w:color="auto"/>
            <w:left w:val="none" w:sz="0" w:space="0" w:color="auto"/>
            <w:bottom w:val="none" w:sz="0" w:space="0" w:color="auto"/>
            <w:right w:val="none" w:sz="0" w:space="0" w:color="auto"/>
          </w:divBdr>
        </w:div>
      </w:divsChild>
    </w:div>
    <w:div w:id="614100268">
      <w:bodyDiv w:val="1"/>
      <w:marLeft w:val="0"/>
      <w:marRight w:val="0"/>
      <w:marTop w:val="0"/>
      <w:marBottom w:val="0"/>
      <w:divBdr>
        <w:top w:val="none" w:sz="0" w:space="0" w:color="auto"/>
        <w:left w:val="none" w:sz="0" w:space="0" w:color="auto"/>
        <w:bottom w:val="none" w:sz="0" w:space="0" w:color="auto"/>
        <w:right w:val="none" w:sz="0" w:space="0" w:color="auto"/>
      </w:divBdr>
      <w:divsChild>
        <w:div w:id="1832787956">
          <w:marLeft w:val="547"/>
          <w:marRight w:val="0"/>
          <w:marTop w:val="115"/>
          <w:marBottom w:val="0"/>
          <w:divBdr>
            <w:top w:val="none" w:sz="0" w:space="0" w:color="auto"/>
            <w:left w:val="none" w:sz="0" w:space="0" w:color="auto"/>
            <w:bottom w:val="none" w:sz="0" w:space="0" w:color="auto"/>
            <w:right w:val="none" w:sz="0" w:space="0" w:color="auto"/>
          </w:divBdr>
        </w:div>
        <w:div w:id="833253953">
          <w:marLeft w:val="547"/>
          <w:marRight w:val="0"/>
          <w:marTop w:val="115"/>
          <w:marBottom w:val="0"/>
          <w:divBdr>
            <w:top w:val="none" w:sz="0" w:space="0" w:color="auto"/>
            <w:left w:val="none" w:sz="0" w:space="0" w:color="auto"/>
            <w:bottom w:val="none" w:sz="0" w:space="0" w:color="auto"/>
            <w:right w:val="none" w:sz="0" w:space="0" w:color="auto"/>
          </w:divBdr>
        </w:div>
        <w:div w:id="801852596">
          <w:marLeft w:val="547"/>
          <w:marRight w:val="0"/>
          <w:marTop w:val="115"/>
          <w:marBottom w:val="0"/>
          <w:divBdr>
            <w:top w:val="none" w:sz="0" w:space="0" w:color="auto"/>
            <w:left w:val="none" w:sz="0" w:space="0" w:color="auto"/>
            <w:bottom w:val="none" w:sz="0" w:space="0" w:color="auto"/>
            <w:right w:val="none" w:sz="0" w:space="0" w:color="auto"/>
          </w:divBdr>
        </w:div>
      </w:divsChild>
    </w:div>
    <w:div w:id="616987583">
      <w:bodyDiv w:val="1"/>
      <w:marLeft w:val="0"/>
      <w:marRight w:val="0"/>
      <w:marTop w:val="0"/>
      <w:marBottom w:val="0"/>
      <w:divBdr>
        <w:top w:val="none" w:sz="0" w:space="0" w:color="auto"/>
        <w:left w:val="none" w:sz="0" w:space="0" w:color="auto"/>
        <w:bottom w:val="none" w:sz="0" w:space="0" w:color="auto"/>
        <w:right w:val="none" w:sz="0" w:space="0" w:color="auto"/>
      </w:divBdr>
    </w:div>
    <w:div w:id="634723426">
      <w:bodyDiv w:val="1"/>
      <w:marLeft w:val="0"/>
      <w:marRight w:val="0"/>
      <w:marTop w:val="0"/>
      <w:marBottom w:val="0"/>
      <w:divBdr>
        <w:top w:val="none" w:sz="0" w:space="0" w:color="auto"/>
        <w:left w:val="none" w:sz="0" w:space="0" w:color="auto"/>
        <w:bottom w:val="none" w:sz="0" w:space="0" w:color="auto"/>
        <w:right w:val="none" w:sz="0" w:space="0" w:color="auto"/>
      </w:divBdr>
      <w:divsChild>
        <w:div w:id="1477915218">
          <w:marLeft w:val="562"/>
          <w:marRight w:val="0"/>
          <w:marTop w:val="0"/>
          <w:marBottom w:val="0"/>
          <w:divBdr>
            <w:top w:val="none" w:sz="0" w:space="0" w:color="auto"/>
            <w:left w:val="none" w:sz="0" w:space="0" w:color="auto"/>
            <w:bottom w:val="none" w:sz="0" w:space="0" w:color="auto"/>
            <w:right w:val="none" w:sz="0" w:space="0" w:color="auto"/>
          </w:divBdr>
        </w:div>
        <w:div w:id="1842576130">
          <w:marLeft w:val="562"/>
          <w:marRight w:val="0"/>
          <w:marTop w:val="0"/>
          <w:marBottom w:val="0"/>
          <w:divBdr>
            <w:top w:val="none" w:sz="0" w:space="0" w:color="auto"/>
            <w:left w:val="none" w:sz="0" w:space="0" w:color="auto"/>
            <w:bottom w:val="none" w:sz="0" w:space="0" w:color="auto"/>
            <w:right w:val="none" w:sz="0" w:space="0" w:color="auto"/>
          </w:divBdr>
        </w:div>
        <w:div w:id="1239555647">
          <w:marLeft w:val="562"/>
          <w:marRight w:val="0"/>
          <w:marTop w:val="0"/>
          <w:marBottom w:val="0"/>
          <w:divBdr>
            <w:top w:val="none" w:sz="0" w:space="0" w:color="auto"/>
            <w:left w:val="none" w:sz="0" w:space="0" w:color="auto"/>
            <w:bottom w:val="none" w:sz="0" w:space="0" w:color="auto"/>
            <w:right w:val="none" w:sz="0" w:space="0" w:color="auto"/>
          </w:divBdr>
        </w:div>
        <w:div w:id="1490248949">
          <w:marLeft w:val="562"/>
          <w:marRight w:val="0"/>
          <w:marTop w:val="0"/>
          <w:marBottom w:val="0"/>
          <w:divBdr>
            <w:top w:val="none" w:sz="0" w:space="0" w:color="auto"/>
            <w:left w:val="none" w:sz="0" w:space="0" w:color="auto"/>
            <w:bottom w:val="none" w:sz="0" w:space="0" w:color="auto"/>
            <w:right w:val="none" w:sz="0" w:space="0" w:color="auto"/>
          </w:divBdr>
        </w:div>
      </w:divsChild>
    </w:div>
    <w:div w:id="643004969">
      <w:bodyDiv w:val="1"/>
      <w:marLeft w:val="0"/>
      <w:marRight w:val="0"/>
      <w:marTop w:val="0"/>
      <w:marBottom w:val="0"/>
      <w:divBdr>
        <w:top w:val="none" w:sz="0" w:space="0" w:color="auto"/>
        <w:left w:val="none" w:sz="0" w:space="0" w:color="auto"/>
        <w:bottom w:val="none" w:sz="0" w:space="0" w:color="auto"/>
        <w:right w:val="none" w:sz="0" w:space="0" w:color="auto"/>
      </w:divBdr>
      <w:divsChild>
        <w:div w:id="1559709077">
          <w:marLeft w:val="446"/>
          <w:marRight w:val="0"/>
          <w:marTop w:val="115"/>
          <w:marBottom w:val="0"/>
          <w:divBdr>
            <w:top w:val="none" w:sz="0" w:space="0" w:color="auto"/>
            <w:left w:val="none" w:sz="0" w:space="0" w:color="auto"/>
            <w:bottom w:val="none" w:sz="0" w:space="0" w:color="auto"/>
            <w:right w:val="none" w:sz="0" w:space="0" w:color="auto"/>
          </w:divBdr>
        </w:div>
        <w:div w:id="1586257303">
          <w:marLeft w:val="1166"/>
          <w:marRight w:val="0"/>
          <w:marTop w:val="115"/>
          <w:marBottom w:val="0"/>
          <w:divBdr>
            <w:top w:val="none" w:sz="0" w:space="0" w:color="auto"/>
            <w:left w:val="none" w:sz="0" w:space="0" w:color="auto"/>
            <w:bottom w:val="none" w:sz="0" w:space="0" w:color="auto"/>
            <w:right w:val="none" w:sz="0" w:space="0" w:color="auto"/>
          </w:divBdr>
        </w:div>
        <w:div w:id="1285964156">
          <w:marLeft w:val="1166"/>
          <w:marRight w:val="0"/>
          <w:marTop w:val="115"/>
          <w:marBottom w:val="0"/>
          <w:divBdr>
            <w:top w:val="none" w:sz="0" w:space="0" w:color="auto"/>
            <w:left w:val="none" w:sz="0" w:space="0" w:color="auto"/>
            <w:bottom w:val="none" w:sz="0" w:space="0" w:color="auto"/>
            <w:right w:val="none" w:sz="0" w:space="0" w:color="auto"/>
          </w:divBdr>
        </w:div>
        <w:div w:id="70200854">
          <w:marLeft w:val="1166"/>
          <w:marRight w:val="0"/>
          <w:marTop w:val="115"/>
          <w:marBottom w:val="0"/>
          <w:divBdr>
            <w:top w:val="none" w:sz="0" w:space="0" w:color="auto"/>
            <w:left w:val="none" w:sz="0" w:space="0" w:color="auto"/>
            <w:bottom w:val="none" w:sz="0" w:space="0" w:color="auto"/>
            <w:right w:val="none" w:sz="0" w:space="0" w:color="auto"/>
          </w:divBdr>
        </w:div>
      </w:divsChild>
    </w:div>
    <w:div w:id="647828232">
      <w:bodyDiv w:val="1"/>
      <w:marLeft w:val="0"/>
      <w:marRight w:val="0"/>
      <w:marTop w:val="0"/>
      <w:marBottom w:val="0"/>
      <w:divBdr>
        <w:top w:val="none" w:sz="0" w:space="0" w:color="auto"/>
        <w:left w:val="none" w:sz="0" w:space="0" w:color="auto"/>
        <w:bottom w:val="none" w:sz="0" w:space="0" w:color="auto"/>
        <w:right w:val="none" w:sz="0" w:space="0" w:color="auto"/>
      </w:divBdr>
    </w:div>
    <w:div w:id="664013083">
      <w:bodyDiv w:val="1"/>
      <w:marLeft w:val="0"/>
      <w:marRight w:val="0"/>
      <w:marTop w:val="0"/>
      <w:marBottom w:val="0"/>
      <w:divBdr>
        <w:top w:val="none" w:sz="0" w:space="0" w:color="auto"/>
        <w:left w:val="none" w:sz="0" w:space="0" w:color="auto"/>
        <w:bottom w:val="none" w:sz="0" w:space="0" w:color="auto"/>
        <w:right w:val="none" w:sz="0" w:space="0" w:color="auto"/>
      </w:divBdr>
      <w:divsChild>
        <w:div w:id="448092804">
          <w:marLeft w:val="547"/>
          <w:marRight w:val="0"/>
          <w:marTop w:val="0"/>
          <w:marBottom w:val="0"/>
          <w:divBdr>
            <w:top w:val="none" w:sz="0" w:space="0" w:color="auto"/>
            <w:left w:val="none" w:sz="0" w:space="0" w:color="auto"/>
            <w:bottom w:val="none" w:sz="0" w:space="0" w:color="auto"/>
            <w:right w:val="none" w:sz="0" w:space="0" w:color="auto"/>
          </w:divBdr>
        </w:div>
      </w:divsChild>
    </w:div>
    <w:div w:id="695157062">
      <w:bodyDiv w:val="1"/>
      <w:marLeft w:val="0"/>
      <w:marRight w:val="0"/>
      <w:marTop w:val="0"/>
      <w:marBottom w:val="0"/>
      <w:divBdr>
        <w:top w:val="none" w:sz="0" w:space="0" w:color="auto"/>
        <w:left w:val="none" w:sz="0" w:space="0" w:color="auto"/>
        <w:bottom w:val="none" w:sz="0" w:space="0" w:color="auto"/>
        <w:right w:val="none" w:sz="0" w:space="0" w:color="auto"/>
      </w:divBdr>
    </w:div>
    <w:div w:id="724790525">
      <w:bodyDiv w:val="1"/>
      <w:marLeft w:val="0"/>
      <w:marRight w:val="0"/>
      <w:marTop w:val="0"/>
      <w:marBottom w:val="0"/>
      <w:divBdr>
        <w:top w:val="none" w:sz="0" w:space="0" w:color="auto"/>
        <w:left w:val="none" w:sz="0" w:space="0" w:color="auto"/>
        <w:bottom w:val="none" w:sz="0" w:space="0" w:color="auto"/>
        <w:right w:val="none" w:sz="0" w:space="0" w:color="auto"/>
      </w:divBdr>
      <w:divsChild>
        <w:div w:id="1056389298">
          <w:marLeft w:val="547"/>
          <w:marRight w:val="0"/>
          <w:marTop w:val="120"/>
          <w:marBottom w:val="0"/>
          <w:divBdr>
            <w:top w:val="none" w:sz="0" w:space="0" w:color="auto"/>
            <w:left w:val="none" w:sz="0" w:space="0" w:color="auto"/>
            <w:bottom w:val="none" w:sz="0" w:space="0" w:color="auto"/>
            <w:right w:val="none" w:sz="0" w:space="0" w:color="auto"/>
          </w:divBdr>
        </w:div>
        <w:div w:id="513033077">
          <w:marLeft w:val="1166"/>
          <w:marRight w:val="0"/>
          <w:marTop w:val="106"/>
          <w:marBottom w:val="0"/>
          <w:divBdr>
            <w:top w:val="none" w:sz="0" w:space="0" w:color="auto"/>
            <w:left w:val="none" w:sz="0" w:space="0" w:color="auto"/>
            <w:bottom w:val="none" w:sz="0" w:space="0" w:color="auto"/>
            <w:right w:val="none" w:sz="0" w:space="0" w:color="auto"/>
          </w:divBdr>
        </w:div>
        <w:div w:id="723605096">
          <w:marLeft w:val="1166"/>
          <w:marRight w:val="0"/>
          <w:marTop w:val="106"/>
          <w:marBottom w:val="0"/>
          <w:divBdr>
            <w:top w:val="none" w:sz="0" w:space="0" w:color="auto"/>
            <w:left w:val="none" w:sz="0" w:space="0" w:color="auto"/>
            <w:bottom w:val="none" w:sz="0" w:space="0" w:color="auto"/>
            <w:right w:val="none" w:sz="0" w:space="0" w:color="auto"/>
          </w:divBdr>
        </w:div>
        <w:div w:id="1942880516">
          <w:marLeft w:val="547"/>
          <w:marRight w:val="0"/>
          <w:marTop w:val="120"/>
          <w:marBottom w:val="0"/>
          <w:divBdr>
            <w:top w:val="none" w:sz="0" w:space="0" w:color="auto"/>
            <w:left w:val="none" w:sz="0" w:space="0" w:color="auto"/>
            <w:bottom w:val="none" w:sz="0" w:space="0" w:color="auto"/>
            <w:right w:val="none" w:sz="0" w:space="0" w:color="auto"/>
          </w:divBdr>
        </w:div>
        <w:div w:id="860779294">
          <w:marLeft w:val="1166"/>
          <w:marRight w:val="0"/>
          <w:marTop w:val="106"/>
          <w:marBottom w:val="0"/>
          <w:divBdr>
            <w:top w:val="none" w:sz="0" w:space="0" w:color="auto"/>
            <w:left w:val="none" w:sz="0" w:space="0" w:color="auto"/>
            <w:bottom w:val="none" w:sz="0" w:space="0" w:color="auto"/>
            <w:right w:val="none" w:sz="0" w:space="0" w:color="auto"/>
          </w:divBdr>
        </w:div>
        <w:div w:id="445270543">
          <w:marLeft w:val="1166"/>
          <w:marRight w:val="0"/>
          <w:marTop w:val="106"/>
          <w:marBottom w:val="0"/>
          <w:divBdr>
            <w:top w:val="none" w:sz="0" w:space="0" w:color="auto"/>
            <w:left w:val="none" w:sz="0" w:space="0" w:color="auto"/>
            <w:bottom w:val="none" w:sz="0" w:space="0" w:color="auto"/>
            <w:right w:val="none" w:sz="0" w:space="0" w:color="auto"/>
          </w:divBdr>
        </w:div>
        <w:div w:id="973215173">
          <w:marLeft w:val="547"/>
          <w:marRight w:val="0"/>
          <w:marTop w:val="120"/>
          <w:marBottom w:val="0"/>
          <w:divBdr>
            <w:top w:val="none" w:sz="0" w:space="0" w:color="auto"/>
            <w:left w:val="none" w:sz="0" w:space="0" w:color="auto"/>
            <w:bottom w:val="none" w:sz="0" w:space="0" w:color="auto"/>
            <w:right w:val="none" w:sz="0" w:space="0" w:color="auto"/>
          </w:divBdr>
        </w:div>
        <w:div w:id="492064155">
          <w:marLeft w:val="1166"/>
          <w:marRight w:val="0"/>
          <w:marTop w:val="106"/>
          <w:marBottom w:val="0"/>
          <w:divBdr>
            <w:top w:val="none" w:sz="0" w:space="0" w:color="auto"/>
            <w:left w:val="none" w:sz="0" w:space="0" w:color="auto"/>
            <w:bottom w:val="none" w:sz="0" w:space="0" w:color="auto"/>
            <w:right w:val="none" w:sz="0" w:space="0" w:color="auto"/>
          </w:divBdr>
        </w:div>
        <w:div w:id="1847594218">
          <w:marLeft w:val="1166"/>
          <w:marRight w:val="0"/>
          <w:marTop w:val="106"/>
          <w:marBottom w:val="0"/>
          <w:divBdr>
            <w:top w:val="none" w:sz="0" w:space="0" w:color="auto"/>
            <w:left w:val="none" w:sz="0" w:space="0" w:color="auto"/>
            <w:bottom w:val="none" w:sz="0" w:space="0" w:color="auto"/>
            <w:right w:val="none" w:sz="0" w:space="0" w:color="auto"/>
          </w:divBdr>
        </w:div>
        <w:div w:id="109590488">
          <w:marLeft w:val="547"/>
          <w:marRight w:val="0"/>
          <w:marTop w:val="120"/>
          <w:marBottom w:val="0"/>
          <w:divBdr>
            <w:top w:val="none" w:sz="0" w:space="0" w:color="auto"/>
            <w:left w:val="none" w:sz="0" w:space="0" w:color="auto"/>
            <w:bottom w:val="none" w:sz="0" w:space="0" w:color="auto"/>
            <w:right w:val="none" w:sz="0" w:space="0" w:color="auto"/>
          </w:divBdr>
        </w:div>
        <w:div w:id="1663703948">
          <w:marLeft w:val="1166"/>
          <w:marRight w:val="0"/>
          <w:marTop w:val="106"/>
          <w:marBottom w:val="0"/>
          <w:divBdr>
            <w:top w:val="none" w:sz="0" w:space="0" w:color="auto"/>
            <w:left w:val="none" w:sz="0" w:space="0" w:color="auto"/>
            <w:bottom w:val="none" w:sz="0" w:space="0" w:color="auto"/>
            <w:right w:val="none" w:sz="0" w:space="0" w:color="auto"/>
          </w:divBdr>
        </w:div>
        <w:div w:id="820971420">
          <w:marLeft w:val="1166"/>
          <w:marRight w:val="0"/>
          <w:marTop w:val="106"/>
          <w:marBottom w:val="0"/>
          <w:divBdr>
            <w:top w:val="none" w:sz="0" w:space="0" w:color="auto"/>
            <w:left w:val="none" w:sz="0" w:space="0" w:color="auto"/>
            <w:bottom w:val="none" w:sz="0" w:space="0" w:color="auto"/>
            <w:right w:val="none" w:sz="0" w:space="0" w:color="auto"/>
          </w:divBdr>
        </w:div>
        <w:div w:id="606349306">
          <w:marLeft w:val="1166"/>
          <w:marRight w:val="0"/>
          <w:marTop w:val="106"/>
          <w:marBottom w:val="0"/>
          <w:divBdr>
            <w:top w:val="none" w:sz="0" w:space="0" w:color="auto"/>
            <w:left w:val="none" w:sz="0" w:space="0" w:color="auto"/>
            <w:bottom w:val="none" w:sz="0" w:space="0" w:color="auto"/>
            <w:right w:val="none" w:sz="0" w:space="0" w:color="auto"/>
          </w:divBdr>
        </w:div>
      </w:divsChild>
    </w:div>
    <w:div w:id="747655448">
      <w:bodyDiv w:val="1"/>
      <w:marLeft w:val="0"/>
      <w:marRight w:val="0"/>
      <w:marTop w:val="0"/>
      <w:marBottom w:val="0"/>
      <w:divBdr>
        <w:top w:val="none" w:sz="0" w:space="0" w:color="auto"/>
        <w:left w:val="none" w:sz="0" w:space="0" w:color="auto"/>
        <w:bottom w:val="none" w:sz="0" w:space="0" w:color="auto"/>
        <w:right w:val="none" w:sz="0" w:space="0" w:color="auto"/>
      </w:divBdr>
    </w:div>
    <w:div w:id="812142954">
      <w:bodyDiv w:val="1"/>
      <w:marLeft w:val="0"/>
      <w:marRight w:val="0"/>
      <w:marTop w:val="0"/>
      <w:marBottom w:val="0"/>
      <w:divBdr>
        <w:top w:val="none" w:sz="0" w:space="0" w:color="auto"/>
        <w:left w:val="none" w:sz="0" w:space="0" w:color="auto"/>
        <w:bottom w:val="none" w:sz="0" w:space="0" w:color="auto"/>
        <w:right w:val="none" w:sz="0" w:space="0" w:color="auto"/>
      </w:divBdr>
      <w:divsChild>
        <w:div w:id="10959440">
          <w:marLeft w:val="893"/>
          <w:marRight w:val="0"/>
          <w:marTop w:val="0"/>
          <w:marBottom w:val="0"/>
          <w:divBdr>
            <w:top w:val="none" w:sz="0" w:space="0" w:color="auto"/>
            <w:left w:val="none" w:sz="0" w:space="0" w:color="auto"/>
            <w:bottom w:val="none" w:sz="0" w:space="0" w:color="auto"/>
            <w:right w:val="none" w:sz="0" w:space="0" w:color="auto"/>
          </w:divBdr>
        </w:div>
      </w:divsChild>
    </w:div>
    <w:div w:id="823279235">
      <w:bodyDiv w:val="1"/>
      <w:marLeft w:val="0"/>
      <w:marRight w:val="0"/>
      <w:marTop w:val="0"/>
      <w:marBottom w:val="0"/>
      <w:divBdr>
        <w:top w:val="none" w:sz="0" w:space="0" w:color="auto"/>
        <w:left w:val="none" w:sz="0" w:space="0" w:color="auto"/>
        <w:bottom w:val="none" w:sz="0" w:space="0" w:color="auto"/>
        <w:right w:val="none" w:sz="0" w:space="0" w:color="auto"/>
      </w:divBdr>
      <w:divsChild>
        <w:div w:id="1949071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897">
      <w:bodyDiv w:val="1"/>
      <w:marLeft w:val="0"/>
      <w:marRight w:val="0"/>
      <w:marTop w:val="0"/>
      <w:marBottom w:val="0"/>
      <w:divBdr>
        <w:top w:val="none" w:sz="0" w:space="0" w:color="auto"/>
        <w:left w:val="none" w:sz="0" w:space="0" w:color="auto"/>
        <w:bottom w:val="none" w:sz="0" w:space="0" w:color="auto"/>
        <w:right w:val="none" w:sz="0" w:space="0" w:color="auto"/>
      </w:divBdr>
    </w:div>
    <w:div w:id="911231586">
      <w:bodyDiv w:val="1"/>
      <w:marLeft w:val="0"/>
      <w:marRight w:val="0"/>
      <w:marTop w:val="0"/>
      <w:marBottom w:val="0"/>
      <w:divBdr>
        <w:top w:val="none" w:sz="0" w:space="0" w:color="auto"/>
        <w:left w:val="none" w:sz="0" w:space="0" w:color="auto"/>
        <w:bottom w:val="none" w:sz="0" w:space="0" w:color="auto"/>
        <w:right w:val="none" w:sz="0" w:space="0" w:color="auto"/>
      </w:divBdr>
      <w:divsChild>
        <w:div w:id="1325280023">
          <w:marLeft w:val="1613"/>
          <w:marRight w:val="0"/>
          <w:marTop w:val="0"/>
          <w:marBottom w:val="0"/>
          <w:divBdr>
            <w:top w:val="none" w:sz="0" w:space="0" w:color="auto"/>
            <w:left w:val="none" w:sz="0" w:space="0" w:color="auto"/>
            <w:bottom w:val="none" w:sz="0" w:space="0" w:color="auto"/>
            <w:right w:val="none" w:sz="0" w:space="0" w:color="auto"/>
          </w:divBdr>
        </w:div>
        <w:div w:id="1645574596">
          <w:marLeft w:val="1613"/>
          <w:marRight w:val="0"/>
          <w:marTop w:val="0"/>
          <w:marBottom w:val="0"/>
          <w:divBdr>
            <w:top w:val="none" w:sz="0" w:space="0" w:color="auto"/>
            <w:left w:val="none" w:sz="0" w:space="0" w:color="auto"/>
            <w:bottom w:val="none" w:sz="0" w:space="0" w:color="auto"/>
            <w:right w:val="none" w:sz="0" w:space="0" w:color="auto"/>
          </w:divBdr>
        </w:div>
        <w:div w:id="1848324750">
          <w:marLeft w:val="1613"/>
          <w:marRight w:val="0"/>
          <w:marTop w:val="0"/>
          <w:marBottom w:val="0"/>
          <w:divBdr>
            <w:top w:val="none" w:sz="0" w:space="0" w:color="auto"/>
            <w:left w:val="none" w:sz="0" w:space="0" w:color="auto"/>
            <w:bottom w:val="none" w:sz="0" w:space="0" w:color="auto"/>
            <w:right w:val="none" w:sz="0" w:space="0" w:color="auto"/>
          </w:divBdr>
        </w:div>
        <w:div w:id="776408663">
          <w:marLeft w:val="1613"/>
          <w:marRight w:val="0"/>
          <w:marTop w:val="0"/>
          <w:marBottom w:val="0"/>
          <w:divBdr>
            <w:top w:val="none" w:sz="0" w:space="0" w:color="auto"/>
            <w:left w:val="none" w:sz="0" w:space="0" w:color="auto"/>
            <w:bottom w:val="none" w:sz="0" w:space="0" w:color="auto"/>
            <w:right w:val="none" w:sz="0" w:space="0" w:color="auto"/>
          </w:divBdr>
        </w:div>
        <w:div w:id="1641495281">
          <w:marLeft w:val="1613"/>
          <w:marRight w:val="0"/>
          <w:marTop w:val="0"/>
          <w:marBottom w:val="0"/>
          <w:divBdr>
            <w:top w:val="none" w:sz="0" w:space="0" w:color="auto"/>
            <w:left w:val="none" w:sz="0" w:space="0" w:color="auto"/>
            <w:bottom w:val="none" w:sz="0" w:space="0" w:color="auto"/>
            <w:right w:val="none" w:sz="0" w:space="0" w:color="auto"/>
          </w:divBdr>
        </w:div>
        <w:div w:id="1856966808">
          <w:marLeft w:val="1613"/>
          <w:marRight w:val="0"/>
          <w:marTop w:val="0"/>
          <w:marBottom w:val="0"/>
          <w:divBdr>
            <w:top w:val="none" w:sz="0" w:space="0" w:color="auto"/>
            <w:left w:val="none" w:sz="0" w:space="0" w:color="auto"/>
            <w:bottom w:val="none" w:sz="0" w:space="0" w:color="auto"/>
            <w:right w:val="none" w:sz="0" w:space="0" w:color="auto"/>
          </w:divBdr>
        </w:div>
      </w:divsChild>
    </w:div>
    <w:div w:id="919826818">
      <w:bodyDiv w:val="1"/>
      <w:marLeft w:val="0"/>
      <w:marRight w:val="0"/>
      <w:marTop w:val="0"/>
      <w:marBottom w:val="0"/>
      <w:divBdr>
        <w:top w:val="none" w:sz="0" w:space="0" w:color="auto"/>
        <w:left w:val="none" w:sz="0" w:space="0" w:color="auto"/>
        <w:bottom w:val="none" w:sz="0" w:space="0" w:color="auto"/>
        <w:right w:val="none" w:sz="0" w:space="0" w:color="auto"/>
      </w:divBdr>
      <w:divsChild>
        <w:div w:id="1520697666">
          <w:marLeft w:val="1080"/>
          <w:marRight w:val="0"/>
          <w:marTop w:val="0"/>
          <w:marBottom w:val="480"/>
          <w:divBdr>
            <w:top w:val="none" w:sz="0" w:space="0" w:color="auto"/>
            <w:left w:val="none" w:sz="0" w:space="0" w:color="auto"/>
            <w:bottom w:val="none" w:sz="0" w:space="0" w:color="auto"/>
            <w:right w:val="none" w:sz="0" w:space="0" w:color="auto"/>
          </w:divBdr>
        </w:div>
      </w:divsChild>
    </w:div>
    <w:div w:id="923954583">
      <w:bodyDiv w:val="1"/>
      <w:marLeft w:val="0"/>
      <w:marRight w:val="0"/>
      <w:marTop w:val="0"/>
      <w:marBottom w:val="0"/>
      <w:divBdr>
        <w:top w:val="none" w:sz="0" w:space="0" w:color="auto"/>
        <w:left w:val="none" w:sz="0" w:space="0" w:color="auto"/>
        <w:bottom w:val="none" w:sz="0" w:space="0" w:color="auto"/>
        <w:right w:val="none" w:sz="0" w:space="0" w:color="auto"/>
      </w:divBdr>
    </w:div>
    <w:div w:id="924150541">
      <w:bodyDiv w:val="1"/>
      <w:marLeft w:val="0"/>
      <w:marRight w:val="0"/>
      <w:marTop w:val="0"/>
      <w:marBottom w:val="0"/>
      <w:divBdr>
        <w:top w:val="none" w:sz="0" w:space="0" w:color="auto"/>
        <w:left w:val="none" w:sz="0" w:space="0" w:color="auto"/>
        <w:bottom w:val="none" w:sz="0" w:space="0" w:color="auto"/>
        <w:right w:val="none" w:sz="0" w:space="0" w:color="auto"/>
      </w:divBdr>
      <w:divsChild>
        <w:div w:id="1181164318">
          <w:marLeft w:val="720"/>
          <w:marRight w:val="0"/>
          <w:marTop w:val="400"/>
          <w:marBottom w:val="0"/>
          <w:divBdr>
            <w:top w:val="none" w:sz="0" w:space="0" w:color="auto"/>
            <w:left w:val="none" w:sz="0" w:space="0" w:color="auto"/>
            <w:bottom w:val="none" w:sz="0" w:space="0" w:color="auto"/>
            <w:right w:val="none" w:sz="0" w:space="0" w:color="auto"/>
          </w:divBdr>
        </w:div>
        <w:div w:id="1944533760">
          <w:marLeft w:val="720"/>
          <w:marRight w:val="0"/>
          <w:marTop w:val="400"/>
          <w:marBottom w:val="0"/>
          <w:divBdr>
            <w:top w:val="none" w:sz="0" w:space="0" w:color="auto"/>
            <w:left w:val="none" w:sz="0" w:space="0" w:color="auto"/>
            <w:bottom w:val="none" w:sz="0" w:space="0" w:color="auto"/>
            <w:right w:val="none" w:sz="0" w:space="0" w:color="auto"/>
          </w:divBdr>
        </w:div>
        <w:div w:id="12268626">
          <w:marLeft w:val="720"/>
          <w:marRight w:val="0"/>
          <w:marTop w:val="400"/>
          <w:marBottom w:val="0"/>
          <w:divBdr>
            <w:top w:val="none" w:sz="0" w:space="0" w:color="auto"/>
            <w:left w:val="none" w:sz="0" w:space="0" w:color="auto"/>
            <w:bottom w:val="none" w:sz="0" w:space="0" w:color="auto"/>
            <w:right w:val="none" w:sz="0" w:space="0" w:color="auto"/>
          </w:divBdr>
        </w:div>
      </w:divsChild>
    </w:div>
    <w:div w:id="974719797">
      <w:bodyDiv w:val="1"/>
      <w:marLeft w:val="0"/>
      <w:marRight w:val="0"/>
      <w:marTop w:val="0"/>
      <w:marBottom w:val="0"/>
      <w:divBdr>
        <w:top w:val="none" w:sz="0" w:space="0" w:color="auto"/>
        <w:left w:val="none" w:sz="0" w:space="0" w:color="auto"/>
        <w:bottom w:val="none" w:sz="0" w:space="0" w:color="auto"/>
        <w:right w:val="none" w:sz="0" w:space="0" w:color="auto"/>
      </w:divBdr>
      <w:divsChild>
        <w:div w:id="1917786280">
          <w:marLeft w:val="547"/>
          <w:marRight w:val="0"/>
          <w:marTop w:val="115"/>
          <w:marBottom w:val="0"/>
          <w:divBdr>
            <w:top w:val="none" w:sz="0" w:space="0" w:color="auto"/>
            <w:left w:val="none" w:sz="0" w:space="0" w:color="auto"/>
            <w:bottom w:val="none" w:sz="0" w:space="0" w:color="auto"/>
            <w:right w:val="none" w:sz="0" w:space="0" w:color="auto"/>
          </w:divBdr>
        </w:div>
        <w:div w:id="183061490">
          <w:marLeft w:val="547"/>
          <w:marRight w:val="0"/>
          <w:marTop w:val="115"/>
          <w:marBottom w:val="0"/>
          <w:divBdr>
            <w:top w:val="none" w:sz="0" w:space="0" w:color="auto"/>
            <w:left w:val="none" w:sz="0" w:space="0" w:color="auto"/>
            <w:bottom w:val="none" w:sz="0" w:space="0" w:color="auto"/>
            <w:right w:val="none" w:sz="0" w:space="0" w:color="auto"/>
          </w:divBdr>
        </w:div>
        <w:div w:id="1031495185">
          <w:marLeft w:val="1166"/>
          <w:marRight w:val="0"/>
          <w:marTop w:val="115"/>
          <w:marBottom w:val="0"/>
          <w:divBdr>
            <w:top w:val="none" w:sz="0" w:space="0" w:color="auto"/>
            <w:left w:val="none" w:sz="0" w:space="0" w:color="auto"/>
            <w:bottom w:val="none" w:sz="0" w:space="0" w:color="auto"/>
            <w:right w:val="none" w:sz="0" w:space="0" w:color="auto"/>
          </w:divBdr>
        </w:div>
        <w:div w:id="1952084034">
          <w:marLeft w:val="1166"/>
          <w:marRight w:val="0"/>
          <w:marTop w:val="115"/>
          <w:marBottom w:val="0"/>
          <w:divBdr>
            <w:top w:val="none" w:sz="0" w:space="0" w:color="auto"/>
            <w:left w:val="none" w:sz="0" w:space="0" w:color="auto"/>
            <w:bottom w:val="none" w:sz="0" w:space="0" w:color="auto"/>
            <w:right w:val="none" w:sz="0" w:space="0" w:color="auto"/>
          </w:divBdr>
        </w:div>
      </w:divsChild>
    </w:div>
    <w:div w:id="994184261">
      <w:bodyDiv w:val="1"/>
      <w:marLeft w:val="0"/>
      <w:marRight w:val="0"/>
      <w:marTop w:val="0"/>
      <w:marBottom w:val="0"/>
      <w:divBdr>
        <w:top w:val="none" w:sz="0" w:space="0" w:color="auto"/>
        <w:left w:val="none" w:sz="0" w:space="0" w:color="auto"/>
        <w:bottom w:val="none" w:sz="0" w:space="0" w:color="auto"/>
        <w:right w:val="none" w:sz="0" w:space="0" w:color="auto"/>
      </w:divBdr>
      <w:divsChild>
        <w:div w:id="1709447794">
          <w:marLeft w:val="835"/>
          <w:marRight w:val="0"/>
          <w:marTop w:val="0"/>
          <w:marBottom w:val="0"/>
          <w:divBdr>
            <w:top w:val="none" w:sz="0" w:space="0" w:color="auto"/>
            <w:left w:val="none" w:sz="0" w:space="0" w:color="auto"/>
            <w:bottom w:val="none" w:sz="0" w:space="0" w:color="auto"/>
            <w:right w:val="none" w:sz="0" w:space="0" w:color="auto"/>
          </w:divBdr>
        </w:div>
        <w:div w:id="1725984740">
          <w:marLeft w:val="835"/>
          <w:marRight w:val="0"/>
          <w:marTop w:val="0"/>
          <w:marBottom w:val="0"/>
          <w:divBdr>
            <w:top w:val="none" w:sz="0" w:space="0" w:color="auto"/>
            <w:left w:val="none" w:sz="0" w:space="0" w:color="auto"/>
            <w:bottom w:val="none" w:sz="0" w:space="0" w:color="auto"/>
            <w:right w:val="none" w:sz="0" w:space="0" w:color="auto"/>
          </w:divBdr>
        </w:div>
        <w:div w:id="2011982337">
          <w:marLeft w:val="835"/>
          <w:marRight w:val="0"/>
          <w:marTop w:val="0"/>
          <w:marBottom w:val="0"/>
          <w:divBdr>
            <w:top w:val="none" w:sz="0" w:space="0" w:color="auto"/>
            <w:left w:val="none" w:sz="0" w:space="0" w:color="auto"/>
            <w:bottom w:val="none" w:sz="0" w:space="0" w:color="auto"/>
            <w:right w:val="none" w:sz="0" w:space="0" w:color="auto"/>
          </w:divBdr>
        </w:div>
        <w:div w:id="1049374517">
          <w:marLeft w:val="835"/>
          <w:marRight w:val="0"/>
          <w:marTop w:val="0"/>
          <w:marBottom w:val="0"/>
          <w:divBdr>
            <w:top w:val="none" w:sz="0" w:space="0" w:color="auto"/>
            <w:left w:val="none" w:sz="0" w:space="0" w:color="auto"/>
            <w:bottom w:val="none" w:sz="0" w:space="0" w:color="auto"/>
            <w:right w:val="none" w:sz="0" w:space="0" w:color="auto"/>
          </w:divBdr>
        </w:div>
        <w:div w:id="1998222570">
          <w:marLeft w:val="835"/>
          <w:marRight w:val="0"/>
          <w:marTop w:val="0"/>
          <w:marBottom w:val="0"/>
          <w:divBdr>
            <w:top w:val="none" w:sz="0" w:space="0" w:color="auto"/>
            <w:left w:val="none" w:sz="0" w:space="0" w:color="auto"/>
            <w:bottom w:val="none" w:sz="0" w:space="0" w:color="auto"/>
            <w:right w:val="none" w:sz="0" w:space="0" w:color="auto"/>
          </w:divBdr>
        </w:div>
        <w:div w:id="725957229">
          <w:marLeft w:val="835"/>
          <w:marRight w:val="0"/>
          <w:marTop w:val="0"/>
          <w:marBottom w:val="0"/>
          <w:divBdr>
            <w:top w:val="none" w:sz="0" w:space="0" w:color="auto"/>
            <w:left w:val="none" w:sz="0" w:space="0" w:color="auto"/>
            <w:bottom w:val="none" w:sz="0" w:space="0" w:color="auto"/>
            <w:right w:val="none" w:sz="0" w:space="0" w:color="auto"/>
          </w:divBdr>
        </w:div>
        <w:div w:id="652562215">
          <w:marLeft w:val="835"/>
          <w:marRight w:val="0"/>
          <w:marTop w:val="0"/>
          <w:marBottom w:val="0"/>
          <w:divBdr>
            <w:top w:val="none" w:sz="0" w:space="0" w:color="auto"/>
            <w:left w:val="none" w:sz="0" w:space="0" w:color="auto"/>
            <w:bottom w:val="none" w:sz="0" w:space="0" w:color="auto"/>
            <w:right w:val="none" w:sz="0" w:space="0" w:color="auto"/>
          </w:divBdr>
        </w:div>
      </w:divsChild>
    </w:div>
    <w:div w:id="996232035">
      <w:bodyDiv w:val="1"/>
      <w:marLeft w:val="0"/>
      <w:marRight w:val="0"/>
      <w:marTop w:val="0"/>
      <w:marBottom w:val="0"/>
      <w:divBdr>
        <w:top w:val="none" w:sz="0" w:space="0" w:color="auto"/>
        <w:left w:val="none" w:sz="0" w:space="0" w:color="auto"/>
        <w:bottom w:val="none" w:sz="0" w:space="0" w:color="auto"/>
        <w:right w:val="none" w:sz="0" w:space="0" w:color="auto"/>
      </w:divBdr>
    </w:div>
    <w:div w:id="1004698502">
      <w:bodyDiv w:val="1"/>
      <w:marLeft w:val="0"/>
      <w:marRight w:val="0"/>
      <w:marTop w:val="0"/>
      <w:marBottom w:val="0"/>
      <w:divBdr>
        <w:top w:val="none" w:sz="0" w:space="0" w:color="auto"/>
        <w:left w:val="none" w:sz="0" w:space="0" w:color="auto"/>
        <w:bottom w:val="none" w:sz="0" w:space="0" w:color="auto"/>
        <w:right w:val="none" w:sz="0" w:space="0" w:color="auto"/>
      </w:divBdr>
      <w:divsChild>
        <w:div w:id="736826370">
          <w:marLeft w:val="1080"/>
          <w:marRight w:val="0"/>
          <w:marTop w:val="0"/>
          <w:marBottom w:val="0"/>
          <w:divBdr>
            <w:top w:val="none" w:sz="0" w:space="0" w:color="auto"/>
            <w:left w:val="none" w:sz="0" w:space="0" w:color="auto"/>
            <w:bottom w:val="none" w:sz="0" w:space="0" w:color="auto"/>
            <w:right w:val="none" w:sz="0" w:space="0" w:color="auto"/>
          </w:divBdr>
        </w:div>
        <w:div w:id="1080129538">
          <w:marLeft w:val="1080"/>
          <w:marRight w:val="0"/>
          <w:marTop w:val="0"/>
          <w:marBottom w:val="0"/>
          <w:divBdr>
            <w:top w:val="none" w:sz="0" w:space="0" w:color="auto"/>
            <w:left w:val="none" w:sz="0" w:space="0" w:color="auto"/>
            <w:bottom w:val="none" w:sz="0" w:space="0" w:color="auto"/>
            <w:right w:val="none" w:sz="0" w:space="0" w:color="auto"/>
          </w:divBdr>
        </w:div>
        <w:div w:id="156189655">
          <w:marLeft w:val="1440"/>
          <w:marRight w:val="0"/>
          <w:marTop w:val="0"/>
          <w:marBottom w:val="0"/>
          <w:divBdr>
            <w:top w:val="none" w:sz="0" w:space="0" w:color="auto"/>
            <w:left w:val="none" w:sz="0" w:space="0" w:color="auto"/>
            <w:bottom w:val="none" w:sz="0" w:space="0" w:color="auto"/>
            <w:right w:val="none" w:sz="0" w:space="0" w:color="auto"/>
          </w:divBdr>
        </w:div>
      </w:divsChild>
    </w:div>
    <w:div w:id="1016494014">
      <w:bodyDiv w:val="1"/>
      <w:marLeft w:val="0"/>
      <w:marRight w:val="0"/>
      <w:marTop w:val="0"/>
      <w:marBottom w:val="0"/>
      <w:divBdr>
        <w:top w:val="none" w:sz="0" w:space="0" w:color="auto"/>
        <w:left w:val="none" w:sz="0" w:space="0" w:color="auto"/>
        <w:bottom w:val="none" w:sz="0" w:space="0" w:color="auto"/>
        <w:right w:val="none" w:sz="0" w:space="0" w:color="auto"/>
      </w:divBdr>
    </w:div>
    <w:div w:id="1021935029">
      <w:bodyDiv w:val="1"/>
      <w:marLeft w:val="0"/>
      <w:marRight w:val="0"/>
      <w:marTop w:val="0"/>
      <w:marBottom w:val="0"/>
      <w:divBdr>
        <w:top w:val="none" w:sz="0" w:space="0" w:color="auto"/>
        <w:left w:val="none" w:sz="0" w:space="0" w:color="auto"/>
        <w:bottom w:val="none" w:sz="0" w:space="0" w:color="auto"/>
        <w:right w:val="none" w:sz="0" w:space="0" w:color="auto"/>
      </w:divBdr>
    </w:div>
    <w:div w:id="1026176137">
      <w:bodyDiv w:val="1"/>
      <w:marLeft w:val="0"/>
      <w:marRight w:val="0"/>
      <w:marTop w:val="0"/>
      <w:marBottom w:val="0"/>
      <w:divBdr>
        <w:top w:val="none" w:sz="0" w:space="0" w:color="auto"/>
        <w:left w:val="none" w:sz="0" w:space="0" w:color="auto"/>
        <w:bottom w:val="none" w:sz="0" w:space="0" w:color="auto"/>
        <w:right w:val="none" w:sz="0" w:space="0" w:color="auto"/>
      </w:divBdr>
    </w:div>
    <w:div w:id="1079668574">
      <w:bodyDiv w:val="1"/>
      <w:marLeft w:val="0"/>
      <w:marRight w:val="0"/>
      <w:marTop w:val="0"/>
      <w:marBottom w:val="0"/>
      <w:divBdr>
        <w:top w:val="none" w:sz="0" w:space="0" w:color="auto"/>
        <w:left w:val="none" w:sz="0" w:space="0" w:color="auto"/>
        <w:bottom w:val="none" w:sz="0" w:space="0" w:color="auto"/>
        <w:right w:val="none" w:sz="0" w:space="0" w:color="auto"/>
      </w:divBdr>
    </w:div>
    <w:div w:id="1090660159">
      <w:bodyDiv w:val="1"/>
      <w:marLeft w:val="0"/>
      <w:marRight w:val="0"/>
      <w:marTop w:val="0"/>
      <w:marBottom w:val="0"/>
      <w:divBdr>
        <w:top w:val="none" w:sz="0" w:space="0" w:color="auto"/>
        <w:left w:val="none" w:sz="0" w:space="0" w:color="auto"/>
        <w:bottom w:val="none" w:sz="0" w:space="0" w:color="auto"/>
        <w:right w:val="none" w:sz="0" w:space="0" w:color="auto"/>
      </w:divBdr>
    </w:div>
    <w:div w:id="1104501290">
      <w:bodyDiv w:val="1"/>
      <w:marLeft w:val="0"/>
      <w:marRight w:val="0"/>
      <w:marTop w:val="0"/>
      <w:marBottom w:val="0"/>
      <w:divBdr>
        <w:top w:val="none" w:sz="0" w:space="0" w:color="auto"/>
        <w:left w:val="none" w:sz="0" w:space="0" w:color="auto"/>
        <w:bottom w:val="none" w:sz="0" w:space="0" w:color="auto"/>
        <w:right w:val="none" w:sz="0" w:space="0" w:color="auto"/>
      </w:divBdr>
    </w:div>
    <w:div w:id="1126653837">
      <w:bodyDiv w:val="1"/>
      <w:marLeft w:val="0"/>
      <w:marRight w:val="0"/>
      <w:marTop w:val="0"/>
      <w:marBottom w:val="0"/>
      <w:divBdr>
        <w:top w:val="none" w:sz="0" w:space="0" w:color="auto"/>
        <w:left w:val="none" w:sz="0" w:space="0" w:color="auto"/>
        <w:bottom w:val="none" w:sz="0" w:space="0" w:color="auto"/>
        <w:right w:val="none" w:sz="0" w:space="0" w:color="auto"/>
      </w:divBdr>
    </w:div>
    <w:div w:id="1139302956">
      <w:bodyDiv w:val="1"/>
      <w:marLeft w:val="0"/>
      <w:marRight w:val="0"/>
      <w:marTop w:val="0"/>
      <w:marBottom w:val="0"/>
      <w:divBdr>
        <w:top w:val="none" w:sz="0" w:space="0" w:color="auto"/>
        <w:left w:val="none" w:sz="0" w:space="0" w:color="auto"/>
        <w:bottom w:val="none" w:sz="0" w:space="0" w:color="auto"/>
        <w:right w:val="none" w:sz="0" w:space="0" w:color="auto"/>
      </w:divBdr>
      <w:divsChild>
        <w:div w:id="983851919">
          <w:marLeft w:val="2160"/>
          <w:marRight w:val="0"/>
          <w:marTop w:val="200"/>
          <w:marBottom w:val="0"/>
          <w:divBdr>
            <w:top w:val="none" w:sz="0" w:space="0" w:color="auto"/>
            <w:left w:val="none" w:sz="0" w:space="0" w:color="auto"/>
            <w:bottom w:val="none" w:sz="0" w:space="0" w:color="auto"/>
            <w:right w:val="none" w:sz="0" w:space="0" w:color="auto"/>
          </w:divBdr>
        </w:div>
        <w:div w:id="1794133420">
          <w:marLeft w:val="2160"/>
          <w:marRight w:val="0"/>
          <w:marTop w:val="200"/>
          <w:marBottom w:val="0"/>
          <w:divBdr>
            <w:top w:val="none" w:sz="0" w:space="0" w:color="auto"/>
            <w:left w:val="none" w:sz="0" w:space="0" w:color="auto"/>
            <w:bottom w:val="none" w:sz="0" w:space="0" w:color="auto"/>
            <w:right w:val="none" w:sz="0" w:space="0" w:color="auto"/>
          </w:divBdr>
        </w:div>
        <w:div w:id="1561555996">
          <w:marLeft w:val="2160"/>
          <w:marRight w:val="0"/>
          <w:marTop w:val="200"/>
          <w:marBottom w:val="0"/>
          <w:divBdr>
            <w:top w:val="none" w:sz="0" w:space="0" w:color="auto"/>
            <w:left w:val="none" w:sz="0" w:space="0" w:color="auto"/>
            <w:bottom w:val="none" w:sz="0" w:space="0" w:color="auto"/>
            <w:right w:val="none" w:sz="0" w:space="0" w:color="auto"/>
          </w:divBdr>
        </w:div>
        <w:div w:id="1438868869">
          <w:marLeft w:val="2160"/>
          <w:marRight w:val="0"/>
          <w:marTop w:val="200"/>
          <w:marBottom w:val="0"/>
          <w:divBdr>
            <w:top w:val="none" w:sz="0" w:space="0" w:color="auto"/>
            <w:left w:val="none" w:sz="0" w:space="0" w:color="auto"/>
            <w:bottom w:val="none" w:sz="0" w:space="0" w:color="auto"/>
            <w:right w:val="none" w:sz="0" w:space="0" w:color="auto"/>
          </w:divBdr>
        </w:div>
      </w:divsChild>
    </w:div>
    <w:div w:id="1142308022">
      <w:bodyDiv w:val="1"/>
      <w:marLeft w:val="0"/>
      <w:marRight w:val="0"/>
      <w:marTop w:val="0"/>
      <w:marBottom w:val="0"/>
      <w:divBdr>
        <w:top w:val="none" w:sz="0" w:space="0" w:color="auto"/>
        <w:left w:val="none" w:sz="0" w:space="0" w:color="auto"/>
        <w:bottom w:val="none" w:sz="0" w:space="0" w:color="auto"/>
        <w:right w:val="none" w:sz="0" w:space="0" w:color="auto"/>
      </w:divBdr>
    </w:div>
    <w:div w:id="1203329109">
      <w:bodyDiv w:val="1"/>
      <w:marLeft w:val="0"/>
      <w:marRight w:val="0"/>
      <w:marTop w:val="0"/>
      <w:marBottom w:val="0"/>
      <w:divBdr>
        <w:top w:val="none" w:sz="0" w:space="0" w:color="auto"/>
        <w:left w:val="none" w:sz="0" w:space="0" w:color="auto"/>
        <w:bottom w:val="none" w:sz="0" w:space="0" w:color="auto"/>
        <w:right w:val="none" w:sz="0" w:space="0" w:color="auto"/>
      </w:divBdr>
      <w:divsChild>
        <w:div w:id="462387424">
          <w:marLeft w:val="720"/>
          <w:marRight w:val="0"/>
          <w:marTop w:val="400"/>
          <w:marBottom w:val="0"/>
          <w:divBdr>
            <w:top w:val="none" w:sz="0" w:space="0" w:color="auto"/>
            <w:left w:val="none" w:sz="0" w:space="0" w:color="auto"/>
            <w:bottom w:val="none" w:sz="0" w:space="0" w:color="auto"/>
            <w:right w:val="none" w:sz="0" w:space="0" w:color="auto"/>
          </w:divBdr>
        </w:div>
      </w:divsChild>
    </w:div>
    <w:div w:id="1212226728">
      <w:bodyDiv w:val="1"/>
      <w:marLeft w:val="0"/>
      <w:marRight w:val="0"/>
      <w:marTop w:val="0"/>
      <w:marBottom w:val="0"/>
      <w:divBdr>
        <w:top w:val="none" w:sz="0" w:space="0" w:color="auto"/>
        <w:left w:val="none" w:sz="0" w:space="0" w:color="auto"/>
        <w:bottom w:val="none" w:sz="0" w:space="0" w:color="auto"/>
        <w:right w:val="none" w:sz="0" w:space="0" w:color="auto"/>
      </w:divBdr>
      <w:divsChild>
        <w:div w:id="377903292">
          <w:marLeft w:val="0"/>
          <w:marRight w:val="0"/>
          <w:marTop w:val="0"/>
          <w:marBottom w:val="0"/>
          <w:divBdr>
            <w:top w:val="none" w:sz="0" w:space="0" w:color="auto"/>
            <w:left w:val="none" w:sz="0" w:space="0" w:color="auto"/>
            <w:bottom w:val="none" w:sz="0" w:space="0" w:color="auto"/>
            <w:right w:val="none" w:sz="0" w:space="0" w:color="auto"/>
          </w:divBdr>
        </w:div>
      </w:divsChild>
    </w:div>
    <w:div w:id="1227496728">
      <w:bodyDiv w:val="1"/>
      <w:marLeft w:val="0"/>
      <w:marRight w:val="0"/>
      <w:marTop w:val="0"/>
      <w:marBottom w:val="0"/>
      <w:divBdr>
        <w:top w:val="none" w:sz="0" w:space="0" w:color="auto"/>
        <w:left w:val="none" w:sz="0" w:space="0" w:color="auto"/>
        <w:bottom w:val="none" w:sz="0" w:space="0" w:color="auto"/>
        <w:right w:val="none" w:sz="0" w:space="0" w:color="auto"/>
      </w:divBdr>
      <w:divsChild>
        <w:div w:id="113401300">
          <w:marLeft w:val="547"/>
          <w:marRight w:val="0"/>
          <w:marTop w:val="96"/>
          <w:marBottom w:val="0"/>
          <w:divBdr>
            <w:top w:val="none" w:sz="0" w:space="0" w:color="auto"/>
            <w:left w:val="none" w:sz="0" w:space="0" w:color="auto"/>
            <w:bottom w:val="none" w:sz="0" w:space="0" w:color="auto"/>
            <w:right w:val="none" w:sz="0" w:space="0" w:color="auto"/>
          </w:divBdr>
        </w:div>
        <w:div w:id="890045362">
          <w:marLeft w:val="547"/>
          <w:marRight w:val="0"/>
          <w:marTop w:val="96"/>
          <w:marBottom w:val="0"/>
          <w:divBdr>
            <w:top w:val="none" w:sz="0" w:space="0" w:color="auto"/>
            <w:left w:val="none" w:sz="0" w:space="0" w:color="auto"/>
            <w:bottom w:val="none" w:sz="0" w:space="0" w:color="auto"/>
            <w:right w:val="none" w:sz="0" w:space="0" w:color="auto"/>
          </w:divBdr>
        </w:div>
      </w:divsChild>
    </w:div>
    <w:div w:id="1244290752">
      <w:bodyDiv w:val="1"/>
      <w:marLeft w:val="0"/>
      <w:marRight w:val="0"/>
      <w:marTop w:val="0"/>
      <w:marBottom w:val="0"/>
      <w:divBdr>
        <w:top w:val="none" w:sz="0" w:space="0" w:color="auto"/>
        <w:left w:val="none" w:sz="0" w:space="0" w:color="auto"/>
        <w:bottom w:val="none" w:sz="0" w:space="0" w:color="auto"/>
        <w:right w:val="none" w:sz="0" w:space="0" w:color="auto"/>
      </w:divBdr>
    </w:div>
    <w:div w:id="1274942724">
      <w:bodyDiv w:val="1"/>
      <w:marLeft w:val="0"/>
      <w:marRight w:val="0"/>
      <w:marTop w:val="0"/>
      <w:marBottom w:val="0"/>
      <w:divBdr>
        <w:top w:val="none" w:sz="0" w:space="0" w:color="auto"/>
        <w:left w:val="none" w:sz="0" w:space="0" w:color="auto"/>
        <w:bottom w:val="none" w:sz="0" w:space="0" w:color="auto"/>
        <w:right w:val="none" w:sz="0" w:space="0" w:color="auto"/>
      </w:divBdr>
      <w:divsChild>
        <w:div w:id="1013914608">
          <w:marLeft w:val="547"/>
          <w:marRight w:val="0"/>
          <w:marTop w:val="130"/>
          <w:marBottom w:val="0"/>
          <w:divBdr>
            <w:top w:val="none" w:sz="0" w:space="0" w:color="auto"/>
            <w:left w:val="none" w:sz="0" w:space="0" w:color="auto"/>
            <w:bottom w:val="none" w:sz="0" w:space="0" w:color="auto"/>
            <w:right w:val="none" w:sz="0" w:space="0" w:color="auto"/>
          </w:divBdr>
        </w:div>
        <w:div w:id="494296285">
          <w:marLeft w:val="547"/>
          <w:marRight w:val="0"/>
          <w:marTop w:val="130"/>
          <w:marBottom w:val="0"/>
          <w:divBdr>
            <w:top w:val="none" w:sz="0" w:space="0" w:color="auto"/>
            <w:left w:val="none" w:sz="0" w:space="0" w:color="auto"/>
            <w:bottom w:val="none" w:sz="0" w:space="0" w:color="auto"/>
            <w:right w:val="none" w:sz="0" w:space="0" w:color="auto"/>
          </w:divBdr>
        </w:div>
        <w:div w:id="1502087367">
          <w:marLeft w:val="547"/>
          <w:marRight w:val="0"/>
          <w:marTop w:val="130"/>
          <w:marBottom w:val="0"/>
          <w:divBdr>
            <w:top w:val="none" w:sz="0" w:space="0" w:color="auto"/>
            <w:left w:val="none" w:sz="0" w:space="0" w:color="auto"/>
            <w:bottom w:val="none" w:sz="0" w:space="0" w:color="auto"/>
            <w:right w:val="none" w:sz="0" w:space="0" w:color="auto"/>
          </w:divBdr>
        </w:div>
      </w:divsChild>
    </w:div>
    <w:div w:id="1295257408">
      <w:bodyDiv w:val="1"/>
      <w:marLeft w:val="0"/>
      <w:marRight w:val="0"/>
      <w:marTop w:val="0"/>
      <w:marBottom w:val="0"/>
      <w:divBdr>
        <w:top w:val="none" w:sz="0" w:space="0" w:color="auto"/>
        <w:left w:val="none" w:sz="0" w:space="0" w:color="auto"/>
        <w:bottom w:val="none" w:sz="0" w:space="0" w:color="auto"/>
        <w:right w:val="none" w:sz="0" w:space="0" w:color="auto"/>
      </w:divBdr>
    </w:div>
    <w:div w:id="1302464150">
      <w:bodyDiv w:val="1"/>
      <w:marLeft w:val="0"/>
      <w:marRight w:val="0"/>
      <w:marTop w:val="0"/>
      <w:marBottom w:val="0"/>
      <w:divBdr>
        <w:top w:val="none" w:sz="0" w:space="0" w:color="auto"/>
        <w:left w:val="none" w:sz="0" w:space="0" w:color="auto"/>
        <w:bottom w:val="none" w:sz="0" w:space="0" w:color="auto"/>
        <w:right w:val="none" w:sz="0" w:space="0" w:color="auto"/>
      </w:divBdr>
    </w:div>
    <w:div w:id="1302734128">
      <w:bodyDiv w:val="1"/>
      <w:marLeft w:val="0"/>
      <w:marRight w:val="0"/>
      <w:marTop w:val="0"/>
      <w:marBottom w:val="0"/>
      <w:divBdr>
        <w:top w:val="none" w:sz="0" w:space="0" w:color="auto"/>
        <w:left w:val="none" w:sz="0" w:space="0" w:color="auto"/>
        <w:bottom w:val="none" w:sz="0" w:space="0" w:color="auto"/>
        <w:right w:val="none" w:sz="0" w:space="0" w:color="auto"/>
      </w:divBdr>
      <w:divsChild>
        <w:div w:id="1332367984">
          <w:marLeft w:val="720"/>
          <w:marRight w:val="0"/>
          <w:marTop w:val="400"/>
          <w:marBottom w:val="0"/>
          <w:divBdr>
            <w:top w:val="none" w:sz="0" w:space="0" w:color="auto"/>
            <w:left w:val="none" w:sz="0" w:space="0" w:color="auto"/>
            <w:bottom w:val="none" w:sz="0" w:space="0" w:color="auto"/>
            <w:right w:val="none" w:sz="0" w:space="0" w:color="auto"/>
          </w:divBdr>
        </w:div>
        <w:div w:id="758720712">
          <w:marLeft w:val="720"/>
          <w:marRight w:val="0"/>
          <w:marTop w:val="400"/>
          <w:marBottom w:val="0"/>
          <w:divBdr>
            <w:top w:val="none" w:sz="0" w:space="0" w:color="auto"/>
            <w:left w:val="none" w:sz="0" w:space="0" w:color="auto"/>
            <w:bottom w:val="none" w:sz="0" w:space="0" w:color="auto"/>
            <w:right w:val="none" w:sz="0" w:space="0" w:color="auto"/>
          </w:divBdr>
        </w:div>
        <w:div w:id="41104852">
          <w:marLeft w:val="2160"/>
          <w:marRight w:val="0"/>
          <w:marTop w:val="200"/>
          <w:marBottom w:val="0"/>
          <w:divBdr>
            <w:top w:val="none" w:sz="0" w:space="0" w:color="auto"/>
            <w:left w:val="none" w:sz="0" w:space="0" w:color="auto"/>
            <w:bottom w:val="none" w:sz="0" w:space="0" w:color="auto"/>
            <w:right w:val="none" w:sz="0" w:space="0" w:color="auto"/>
          </w:divBdr>
        </w:div>
        <w:div w:id="1264537551">
          <w:marLeft w:val="2160"/>
          <w:marRight w:val="0"/>
          <w:marTop w:val="200"/>
          <w:marBottom w:val="0"/>
          <w:divBdr>
            <w:top w:val="none" w:sz="0" w:space="0" w:color="auto"/>
            <w:left w:val="none" w:sz="0" w:space="0" w:color="auto"/>
            <w:bottom w:val="none" w:sz="0" w:space="0" w:color="auto"/>
            <w:right w:val="none" w:sz="0" w:space="0" w:color="auto"/>
          </w:divBdr>
        </w:div>
        <w:div w:id="1930650796">
          <w:marLeft w:val="2160"/>
          <w:marRight w:val="0"/>
          <w:marTop w:val="200"/>
          <w:marBottom w:val="0"/>
          <w:divBdr>
            <w:top w:val="none" w:sz="0" w:space="0" w:color="auto"/>
            <w:left w:val="none" w:sz="0" w:space="0" w:color="auto"/>
            <w:bottom w:val="none" w:sz="0" w:space="0" w:color="auto"/>
            <w:right w:val="none" w:sz="0" w:space="0" w:color="auto"/>
          </w:divBdr>
        </w:div>
      </w:divsChild>
    </w:div>
    <w:div w:id="1309744288">
      <w:bodyDiv w:val="1"/>
      <w:marLeft w:val="0"/>
      <w:marRight w:val="0"/>
      <w:marTop w:val="0"/>
      <w:marBottom w:val="0"/>
      <w:divBdr>
        <w:top w:val="none" w:sz="0" w:space="0" w:color="auto"/>
        <w:left w:val="none" w:sz="0" w:space="0" w:color="auto"/>
        <w:bottom w:val="none" w:sz="0" w:space="0" w:color="auto"/>
        <w:right w:val="none" w:sz="0" w:space="0" w:color="auto"/>
      </w:divBdr>
    </w:div>
    <w:div w:id="1314143803">
      <w:bodyDiv w:val="1"/>
      <w:marLeft w:val="0"/>
      <w:marRight w:val="0"/>
      <w:marTop w:val="0"/>
      <w:marBottom w:val="0"/>
      <w:divBdr>
        <w:top w:val="none" w:sz="0" w:space="0" w:color="auto"/>
        <w:left w:val="none" w:sz="0" w:space="0" w:color="auto"/>
        <w:bottom w:val="none" w:sz="0" w:space="0" w:color="auto"/>
        <w:right w:val="none" w:sz="0" w:space="0" w:color="auto"/>
      </w:divBdr>
    </w:div>
    <w:div w:id="1334644310">
      <w:bodyDiv w:val="1"/>
      <w:marLeft w:val="0"/>
      <w:marRight w:val="0"/>
      <w:marTop w:val="0"/>
      <w:marBottom w:val="0"/>
      <w:divBdr>
        <w:top w:val="none" w:sz="0" w:space="0" w:color="auto"/>
        <w:left w:val="none" w:sz="0" w:space="0" w:color="auto"/>
        <w:bottom w:val="none" w:sz="0" w:space="0" w:color="auto"/>
        <w:right w:val="none" w:sz="0" w:space="0" w:color="auto"/>
      </w:divBdr>
    </w:div>
    <w:div w:id="1336759936">
      <w:bodyDiv w:val="1"/>
      <w:marLeft w:val="0"/>
      <w:marRight w:val="0"/>
      <w:marTop w:val="0"/>
      <w:marBottom w:val="0"/>
      <w:divBdr>
        <w:top w:val="none" w:sz="0" w:space="0" w:color="auto"/>
        <w:left w:val="none" w:sz="0" w:space="0" w:color="auto"/>
        <w:bottom w:val="none" w:sz="0" w:space="0" w:color="auto"/>
        <w:right w:val="none" w:sz="0" w:space="0" w:color="auto"/>
      </w:divBdr>
    </w:div>
    <w:div w:id="1345791459">
      <w:bodyDiv w:val="1"/>
      <w:marLeft w:val="0"/>
      <w:marRight w:val="0"/>
      <w:marTop w:val="0"/>
      <w:marBottom w:val="0"/>
      <w:divBdr>
        <w:top w:val="none" w:sz="0" w:space="0" w:color="auto"/>
        <w:left w:val="none" w:sz="0" w:space="0" w:color="auto"/>
        <w:bottom w:val="none" w:sz="0" w:space="0" w:color="auto"/>
        <w:right w:val="none" w:sz="0" w:space="0" w:color="auto"/>
      </w:divBdr>
    </w:div>
    <w:div w:id="1348217072">
      <w:bodyDiv w:val="1"/>
      <w:marLeft w:val="0"/>
      <w:marRight w:val="0"/>
      <w:marTop w:val="0"/>
      <w:marBottom w:val="0"/>
      <w:divBdr>
        <w:top w:val="none" w:sz="0" w:space="0" w:color="auto"/>
        <w:left w:val="none" w:sz="0" w:space="0" w:color="auto"/>
        <w:bottom w:val="none" w:sz="0" w:space="0" w:color="auto"/>
        <w:right w:val="none" w:sz="0" w:space="0" w:color="auto"/>
      </w:divBdr>
      <w:divsChild>
        <w:div w:id="1897352928">
          <w:marLeft w:val="1080"/>
          <w:marRight w:val="0"/>
          <w:marTop w:val="0"/>
          <w:marBottom w:val="480"/>
          <w:divBdr>
            <w:top w:val="none" w:sz="0" w:space="0" w:color="auto"/>
            <w:left w:val="none" w:sz="0" w:space="0" w:color="auto"/>
            <w:bottom w:val="none" w:sz="0" w:space="0" w:color="auto"/>
            <w:right w:val="none" w:sz="0" w:space="0" w:color="auto"/>
          </w:divBdr>
        </w:div>
        <w:div w:id="1890876992">
          <w:marLeft w:val="1080"/>
          <w:marRight w:val="0"/>
          <w:marTop w:val="0"/>
          <w:marBottom w:val="480"/>
          <w:divBdr>
            <w:top w:val="none" w:sz="0" w:space="0" w:color="auto"/>
            <w:left w:val="none" w:sz="0" w:space="0" w:color="auto"/>
            <w:bottom w:val="none" w:sz="0" w:space="0" w:color="auto"/>
            <w:right w:val="none" w:sz="0" w:space="0" w:color="auto"/>
          </w:divBdr>
        </w:div>
        <w:div w:id="249437471">
          <w:marLeft w:val="1080"/>
          <w:marRight w:val="0"/>
          <w:marTop w:val="0"/>
          <w:marBottom w:val="480"/>
          <w:divBdr>
            <w:top w:val="none" w:sz="0" w:space="0" w:color="auto"/>
            <w:left w:val="none" w:sz="0" w:space="0" w:color="auto"/>
            <w:bottom w:val="none" w:sz="0" w:space="0" w:color="auto"/>
            <w:right w:val="none" w:sz="0" w:space="0" w:color="auto"/>
          </w:divBdr>
        </w:div>
        <w:div w:id="1327779174">
          <w:marLeft w:val="1080"/>
          <w:marRight w:val="0"/>
          <w:marTop w:val="0"/>
          <w:marBottom w:val="480"/>
          <w:divBdr>
            <w:top w:val="none" w:sz="0" w:space="0" w:color="auto"/>
            <w:left w:val="none" w:sz="0" w:space="0" w:color="auto"/>
            <w:bottom w:val="none" w:sz="0" w:space="0" w:color="auto"/>
            <w:right w:val="none" w:sz="0" w:space="0" w:color="auto"/>
          </w:divBdr>
        </w:div>
      </w:divsChild>
    </w:div>
    <w:div w:id="1396389825">
      <w:bodyDiv w:val="1"/>
      <w:marLeft w:val="0"/>
      <w:marRight w:val="0"/>
      <w:marTop w:val="0"/>
      <w:marBottom w:val="0"/>
      <w:divBdr>
        <w:top w:val="none" w:sz="0" w:space="0" w:color="auto"/>
        <w:left w:val="none" w:sz="0" w:space="0" w:color="auto"/>
        <w:bottom w:val="none" w:sz="0" w:space="0" w:color="auto"/>
        <w:right w:val="none" w:sz="0" w:space="0" w:color="auto"/>
      </w:divBdr>
    </w:div>
    <w:div w:id="1403092070">
      <w:bodyDiv w:val="1"/>
      <w:marLeft w:val="0"/>
      <w:marRight w:val="0"/>
      <w:marTop w:val="0"/>
      <w:marBottom w:val="0"/>
      <w:divBdr>
        <w:top w:val="none" w:sz="0" w:space="0" w:color="auto"/>
        <w:left w:val="none" w:sz="0" w:space="0" w:color="auto"/>
        <w:bottom w:val="none" w:sz="0" w:space="0" w:color="auto"/>
        <w:right w:val="none" w:sz="0" w:space="0" w:color="auto"/>
      </w:divBdr>
    </w:div>
    <w:div w:id="1413116798">
      <w:bodyDiv w:val="1"/>
      <w:marLeft w:val="0"/>
      <w:marRight w:val="0"/>
      <w:marTop w:val="0"/>
      <w:marBottom w:val="0"/>
      <w:divBdr>
        <w:top w:val="none" w:sz="0" w:space="0" w:color="auto"/>
        <w:left w:val="none" w:sz="0" w:space="0" w:color="auto"/>
        <w:bottom w:val="none" w:sz="0" w:space="0" w:color="auto"/>
        <w:right w:val="none" w:sz="0" w:space="0" w:color="auto"/>
      </w:divBdr>
    </w:div>
    <w:div w:id="1422263643">
      <w:bodyDiv w:val="1"/>
      <w:marLeft w:val="0"/>
      <w:marRight w:val="0"/>
      <w:marTop w:val="0"/>
      <w:marBottom w:val="0"/>
      <w:divBdr>
        <w:top w:val="none" w:sz="0" w:space="0" w:color="auto"/>
        <w:left w:val="none" w:sz="0" w:space="0" w:color="auto"/>
        <w:bottom w:val="none" w:sz="0" w:space="0" w:color="auto"/>
        <w:right w:val="none" w:sz="0" w:space="0" w:color="auto"/>
      </w:divBdr>
    </w:div>
    <w:div w:id="1443526317">
      <w:bodyDiv w:val="1"/>
      <w:marLeft w:val="0"/>
      <w:marRight w:val="0"/>
      <w:marTop w:val="0"/>
      <w:marBottom w:val="0"/>
      <w:divBdr>
        <w:top w:val="none" w:sz="0" w:space="0" w:color="auto"/>
        <w:left w:val="none" w:sz="0" w:space="0" w:color="auto"/>
        <w:bottom w:val="none" w:sz="0" w:space="0" w:color="auto"/>
        <w:right w:val="none" w:sz="0" w:space="0" w:color="auto"/>
      </w:divBdr>
      <w:divsChild>
        <w:div w:id="970750763">
          <w:marLeft w:val="547"/>
          <w:marRight w:val="0"/>
          <w:marTop w:val="0"/>
          <w:marBottom w:val="0"/>
          <w:divBdr>
            <w:top w:val="none" w:sz="0" w:space="0" w:color="auto"/>
            <w:left w:val="none" w:sz="0" w:space="0" w:color="auto"/>
            <w:bottom w:val="none" w:sz="0" w:space="0" w:color="auto"/>
            <w:right w:val="none" w:sz="0" w:space="0" w:color="auto"/>
          </w:divBdr>
        </w:div>
      </w:divsChild>
    </w:div>
    <w:div w:id="1453358949">
      <w:bodyDiv w:val="1"/>
      <w:marLeft w:val="0"/>
      <w:marRight w:val="0"/>
      <w:marTop w:val="0"/>
      <w:marBottom w:val="0"/>
      <w:divBdr>
        <w:top w:val="none" w:sz="0" w:space="0" w:color="auto"/>
        <w:left w:val="none" w:sz="0" w:space="0" w:color="auto"/>
        <w:bottom w:val="none" w:sz="0" w:space="0" w:color="auto"/>
        <w:right w:val="none" w:sz="0" w:space="0" w:color="auto"/>
      </w:divBdr>
      <w:divsChild>
        <w:div w:id="910233054">
          <w:marLeft w:val="2160"/>
          <w:marRight w:val="0"/>
          <w:marTop w:val="0"/>
          <w:marBottom w:val="0"/>
          <w:divBdr>
            <w:top w:val="none" w:sz="0" w:space="0" w:color="auto"/>
            <w:left w:val="none" w:sz="0" w:space="0" w:color="auto"/>
            <w:bottom w:val="none" w:sz="0" w:space="0" w:color="auto"/>
            <w:right w:val="none" w:sz="0" w:space="0" w:color="auto"/>
          </w:divBdr>
        </w:div>
        <w:div w:id="2031562900">
          <w:marLeft w:val="2160"/>
          <w:marRight w:val="0"/>
          <w:marTop w:val="0"/>
          <w:marBottom w:val="0"/>
          <w:divBdr>
            <w:top w:val="none" w:sz="0" w:space="0" w:color="auto"/>
            <w:left w:val="none" w:sz="0" w:space="0" w:color="auto"/>
            <w:bottom w:val="none" w:sz="0" w:space="0" w:color="auto"/>
            <w:right w:val="none" w:sz="0" w:space="0" w:color="auto"/>
          </w:divBdr>
        </w:div>
        <w:div w:id="395738461">
          <w:marLeft w:val="2520"/>
          <w:marRight w:val="0"/>
          <w:marTop w:val="0"/>
          <w:marBottom w:val="0"/>
          <w:divBdr>
            <w:top w:val="none" w:sz="0" w:space="0" w:color="auto"/>
            <w:left w:val="none" w:sz="0" w:space="0" w:color="auto"/>
            <w:bottom w:val="none" w:sz="0" w:space="0" w:color="auto"/>
            <w:right w:val="none" w:sz="0" w:space="0" w:color="auto"/>
          </w:divBdr>
        </w:div>
        <w:div w:id="1778062404">
          <w:marLeft w:val="2520"/>
          <w:marRight w:val="0"/>
          <w:marTop w:val="0"/>
          <w:marBottom w:val="0"/>
          <w:divBdr>
            <w:top w:val="none" w:sz="0" w:space="0" w:color="auto"/>
            <w:left w:val="none" w:sz="0" w:space="0" w:color="auto"/>
            <w:bottom w:val="none" w:sz="0" w:space="0" w:color="auto"/>
            <w:right w:val="none" w:sz="0" w:space="0" w:color="auto"/>
          </w:divBdr>
        </w:div>
        <w:div w:id="179398456">
          <w:marLeft w:val="2520"/>
          <w:marRight w:val="0"/>
          <w:marTop w:val="0"/>
          <w:marBottom w:val="0"/>
          <w:divBdr>
            <w:top w:val="none" w:sz="0" w:space="0" w:color="auto"/>
            <w:left w:val="none" w:sz="0" w:space="0" w:color="auto"/>
            <w:bottom w:val="none" w:sz="0" w:space="0" w:color="auto"/>
            <w:right w:val="none" w:sz="0" w:space="0" w:color="auto"/>
          </w:divBdr>
        </w:div>
        <w:div w:id="881525657">
          <w:marLeft w:val="2520"/>
          <w:marRight w:val="0"/>
          <w:marTop w:val="0"/>
          <w:marBottom w:val="0"/>
          <w:divBdr>
            <w:top w:val="none" w:sz="0" w:space="0" w:color="auto"/>
            <w:left w:val="none" w:sz="0" w:space="0" w:color="auto"/>
            <w:bottom w:val="none" w:sz="0" w:space="0" w:color="auto"/>
            <w:right w:val="none" w:sz="0" w:space="0" w:color="auto"/>
          </w:divBdr>
        </w:div>
        <w:div w:id="330262449">
          <w:marLeft w:val="2520"/>
          <w:marRight w:val="0"/>
          <w:marTop w:val="0"/>
          <w:marBottom w:val="0"/>
          <w:divBdr>
            <w:top w:val="none" w:sz="0" w:space="0" w:color="auto"/>
            <w:left w:val="none" w:sz="0" w:space="0" w:color="auto"/>
            <w:bottom w:val="none" w:sz="0" w:space="0" w:color="auto"/>
            <w:right w:val="none" w:sz="0" w:space="0" w:color="auto"/>
          </w:divBdr>
        </w:div>
        <w:div w:id="61485378">
          <w:marLeft w:val="2520"/>
          <w:marRight w:val="0"/>
          <w:marTop w:val="0"/>
          <w:marBottom w:val="0"/>
          <w:divBdr>
            <w:top w:val="none" w:sz="0" w:space="0" w:color="auto"/>
            <w:left w:val="none" w:sz="0" w:space="0" w:color="auto"/>
            <w:bottom w:val="none" w:sz="0" w:space="0" w:color="auto"/>
            <w:right w:val="none" w:sz="0" w:space="0" w:color="auto"/>
          </w:divBdr>
        </w:div>
        <w:div w:id="713504453">
          <w:marLeft w:val="2520"/>
          <w:marRight w:val="0"/>
          <w:marTop w:val="0"/>
          <w:marBottom w:val="0"/>
          <w:divBdr>
            <w:top w:val="none" w:sz="0" w:space="0" w:color="auto"/>
            <w:left w:val="none" w:sz="0" w:space="0" w:color="auto"/>
            <w:bottom w:val="none" w:sz="0" w:space="0" w:color="auto"/>
            <w:right w:val="none" w:sz="0" w:space="0" w:color="auto"/>
          </w:divBdr>
        </w:div>
        <w:div w:id="1383022972">
          <w:marLeft w:val="2520"/>
          <w:marRight w:val="0"/>
          <w:marTop w:val="0"/>
          <w:marBottom w:val="0"/>
          <w:divBdr>
            <w:top w:val="none" w:sz="0" w:space="0" w:color="auto"/>
            <w:left w:val="none" w:sz="0" w:space="0" w:color="auto"/>
            <w:bottom w:val="none" w:sz="0" w:space="0" w:color="auto"/>
            <w:right w:val="none" w:sz="0" w:space="0" w:color="auto"/>
          </w:divBdr>
        </w:div>
      </w:divsChild>
    </w:div>
    <w:div w:id="1455174224">
      <w:bodyDiv w:val="1"/>
      <w:marLeft w:val="0"/>
      <w:marRight w:val="0"/>
      <w:marTop w:val="0"/>
      <w:marBottom w:val="0"/>
      <w:divBdr>
        <w:top w:val="none" w:sz="0" w:space="0" w:color="auto"/>
        <w:left w:val="none" w:sz="0" w:space="0" w:color="auto"/>
        <w:bottom w:val="none" w:sz="0" w:space="0" w:color="auto"/>
        <w:right w:val="none" w:sz="0" w:space="0" w:color="auto"/>
      </w:divBdr>
      <w:divsChild>
        <w:div w:id="1724870173">
          <w:marLeft w:val="518"/>
          <w:marRight w:val="0"/>
          <w:marTop w:val="295"/>
          <w:marBottom w:val="0"/>
          <w:divBdr>
            <w:top w:val="none" w:sz="0" w:space="0" w:color="auto"/>
            <w:left w:val="none" w:sz="0" w:space="0" w:color="auto"/>
            <w:bottom w:val="none" w:sz="0" w:space="0" w:color="auto"/>
            <w:right w:val="none" w:sz="0" w:space="0" w:color="auto"/>
          </w:divBdr>
        </w:div>
        <w:div w:id="1683237309">
          <w:marLeft w:val="1354"/>
          <w:marRight w:val="0"/>
          <w:marTop w:val="295"/>
          <w:marBottom w:val="0"/>
          <w:divBdr>
            <w:top w:val="none" w:sz="0" w:space="0" w:color="auto"/>
            <w:left w:val="none" w:sz="0" w:space="0" w:color="auto"/>
            <w:bottom w:val="none" w:sz="0" w:space="0" w:color="auto"/>
            <w:right w:val="none" w:sz="0" w:space="0" w:color="auto"/>
          </w:divBdr>
        </w:div>
        <w:div w:id="1903253099">
          <w:marLeft w:val="518"/>
          <w:marRight w:val="0"/>
          <w:marTop w:val="295"/>
          <w:marBottom w:val="0"/>
          <w:divBdr>
            <w:top w:val="none" w:sz="0" w:space="0" w:color="auto"/>
            <w:left w:val="none" w:sz="0" w:space="0" w:color="auto"/>
            <w:bottom w:val="none" w:sz="0" w:space="0" w:color="auto"/>
            <w:right w:val="none" w:sz="0" w:space="0" w:color="auto"/>
          </w:divBdr>
        </w:div>
        <w:div w:id="390420646">
          <w:marLeft w:val="1354"/>
          <w:marRight w:val="0"/>
          <w:marTop w:val="295"/>
          <w:marBottom w:val="0"/>
          <w:divBdr>
            <w:top w:val="none" w:sz="0" w:space="0" w:color="auto"/>
            <w:left w:val="none" w:sz="0" w:space="0" w:color="auto"/>
            <w:bottom w:val="none" w:sz="0" w:space="0" w:color="auto"/>
            <w:right w:val="none" w:sz="0" w:space="0" w:color="auto"/>
          </w:divBdr>
        </w:div>
        <w:div w:id="2136874112">
          <w:marLeft w:val="1354"/>
          <w:marRight w:val="0"/>
          <w:marTop w:val="295"/>
          <w:marBottom w:val="0"/>
          <w:divBdr>
            <w:top w:val="none" w:sz="0" w:space="0" w:color="auto"/>
            <w:left w:val="none" w:sz="0" w:space="0" w:color="auto"/>
            <w:bottom w:val="none" w:sz="0" w:space="0" w:color="auto"/>
            <w:right w:val="none" w:sz="0" w:space="0" w:color="auto"/>
          </w:divBdr>
        </w:div>
        <w:div w:id="1540118711">
          <w:marLeft w:val="1354"/>
          <w:marRight w:val="0"/>
          <w:marTop w:val="295"/>
          <w:marBottom w:val="0"/>
          <w:divBdr>
            <w:top w:val="none" w:sz="0" w:space="0" w:color="auto"/>
            <w:left w:val="none" w:sz="0" w:space="0" w:color="auto"/>
            <w:bottom w:val="none" w:sz="0" w:space="0" w:color="auto"/>
            <w:right w:val="none" w:sz="0" w:space="0" w:color="auto"/>
          </w:divBdr>
        </w:div>
        <w:div w:id="1443455108">
          <w:marLeft w:val="1354"/>
          <w:marRight w:val="0"/>
          <w:marTop w:val="295"/>
          <w:marBottom w:val="0"/>
          <w:divBdr>
            <w:top w:val="none" w:sz="0" w:space="0" w:color="auto"/>
            <w:left w:val="none" w:sz="0" w:space="0" w:color="auto"/>
            <w:bottom w:val="none" w:sz="0" w:space="0" w:color="auto"/>
            <w:right w:val="none" w:sz="0" w:space="0" w:color="auto"/>
          </w:divBdr>
        </w:div>
        <w:div w:id="594443872">
          <w:marLeft w:val="1354"/>
          <w:marRight w:val="0"/>
          <w:marTop w:val="295"/>
          <w:marBottom w:val="0"/>
          <w:divBdr>
            <w:top w:val="none" w:sz="0" w:space="0" w:color="auto"/>
            <w:left w:val="none" w:sz="0" w:space="0" w:color="auto"/>
            <w:bottom w:val="none" w:sz="0" w:space="0" w:color="auto"/>
            <w:right w:val="none" w:sz="0" w:space="0" w:color="auto"/>
          </w:divBdr>
        </w:div>
        <w:div w:id="78260602">
          <w:marLeft w:val="1354"/>
          <w:marRight w:val="0"/>
          <w:marTop w:val="295"/>
          <w:marBottom w:val="0"/>
          <w:divBdr>
            <w:top w:val="none" w:sz="0" w:space="0" w:color="auto"/>
            <w:left w:val="none" w:sz="0" w:space="0" w:color="auto"/>
            <w:bottom w:val="none" w:sz="0" w:space="0" w:color="auto"/>
            <w:right w:val="none" w:sz="0" w:space="0" w:color="auto"/>
          </w:divBdr>
        </w:div>
        <w:div w:id="1437210413">
          <w:marLeft w:val="518"/>
          <w:marRight w:val="0"/>
          <w:marTop w:val="295"/>
          <w:marBottom w:val="0"/>
          <w:divBdr>
            <w:top w:val="none" w:sz="0" w:space="0" w:color="auto"/>
            <w:left w:val="none" w:sz="0" w:space="0" w:color="auto"/>
            <w:bottom w:val="none" w:sz="0" w:space="0" w:color="auto"/>
            <w:right w:val="none" w:sz="0" w:space="0" w:color="auto"/>
          </w:divBdr>
        </w:div>
        <w:div w:id="1936746808">
          <w:marLeft w:val="1354"/>
          <w:marRight w:val="0"/>
          <w:marTop w:val="295"/>
          <w:marBottom w:val="0"/>
          <w:divBdr>
            <w:top w:val="none" w:sz="0" w:space="0" w:color="auto"/>
            <w:left w:val="none" w:sz="0" w:space="0" w:color="auto"/>
            <w:bottom w:val="none" w:sz="0" w:space="0" w:color="auto"/>
            <w:right w:val="none" w:sz="0" w:space="0" w:color="auto"/>
          </w:divBdr>
        </w:div>
        <w:div w:id="1248611613">
          <w:marLeft w:val="518"/>
          <w:marRight w:val="0"/>
          <w:marTop w:val="295"/>
          <w:marBottom w:val="0"/>
          <w:divBdr>
            <w:top w:val="none" w:sz="0" w:space="0" w:color="auto"/>
            <w:left w:val="none" w:sz="0" w:space="0" w:color="auto"/>
            <w:bottom w:val="none" w:sz="0" w:space="0" w:color="auto"/>
            <w:right w:val="none" w:sz="0" w:space="0" w:color="auto"/>
          </w:divBdr>
        </w:div>
        <w:div w:id="1751922927">
          <w:marLeft w:val="1354"/>
          <w:marRight w:val="0"/>
          <w:marTop w:val="295"/>
          <w:marBottom w:val="0"/>
          <w:divBdr>
            <w:top w:val="none" w:sz="0" w:space="0" w:color="auto"/>
            <w:left w:val="none" w:sz="0" w:space="0" w:color="auto"/>
            <w:bottom w:val="none" w:sz="0" w:space="0" w:color="auto"/>
            <w:right w:val="none" w:sz="0" w:space="0" w:color="auto"/>
          </w:divBdr>
        </w:div>
        <w:div w:id="263537140">
          <w:marLeft w:val="1354"/>
          <w:marRight w:val="0"/>
          <w:marTop w:val="295"/>
          <w:marBottom w:val="0"/>
          <w:divBdr>
            <w:top w:val="none" w:sz="0" w:space="0" w:color="auto"/>
            <w:left w:val="none" w:sz="0" w:space="0" w:color="auto"/>
            <w:bottom w:val="none" w:sz="0" w:space="0" w:color="auto"/>
            <w:right w:val="none" w:sz="0" w:space="0" w:color="auto"/>
          </w:divBdr>
        </w:div>
      </w:divsChild>
    </w:div>
    <w:div w:id="1471898771">
      <w:bodyDiv w:val="1"/>
      <w:marLeft w:val="0"/>
      <w:marRight w:val="0"/>
      <w:marTop w:val="0"/>
      <w:marBottom w:val="0"/>
      <w:divBdr>
        <w:top w:val="none" w:sz="0" w:space="0" w:color="auto"/>
        <w:left w:val="none" w:sz="0" w:space="0" w:color="auto"/>
        <w:bottom w:val="none" w:sz="0" w:space="0" w:color="auto"/>
        <w:right w:val="none" w:sz="0" w:space="0" w:color="auto"/>
      </w:divBdr>
    </w:div>
    <w:div w:id="1478301742">
      <w:bodyDiv w:val="1"/>
      <w:marLeft w:val="0"/>
      <w:marRight w:val="0"/>
      <w:marTop w:val="0"/>
      <w:marBottom w:val="0"/>
      <w:divBdr>
        <w:top w:val="none" w:sz="0" w:space="0" w:color="auto"/>
        <w:left w:val="none" w:sz="0" w:space="0" w:color="auto"/>
        <w:bottom w:val="none" w:sz="0" w:space="0" w:color="auto"/>
        <w:right w:val="none" w:sz="0" w:space="0" w:color="auto"/>
      </w:divBdr>
      <w:divsChild>
        <w:div w:id="1659767906">
          <w:marLeft w:val="720"/>
          <w:marRight w:val="0"/>
          <w:marTop w:val="0"/>
          <w:marBottom w:val="0"/>
          <w:divBdr>
            <w:top w:val="none" w:sz="0" w:space="0" w:color="auto"/>
            <w:left w:val="none" w:sz="0" w:space="0" w:color="auto"/>
            <w:bottom w:val="none" w:sz="0" w:space="0" w:color="auto"/>
            <w:right w:val="none" w:sz="0" w:space="0" w:color="auto"/>
          </w:divBdr>
        </w:div>
        <w:div w:id="1924339862">
          <w:marLeft w:val="720"/>
          <w:marRight w:val="0"/>
          <w:marTop w:val="0"/>
          <w:marBottom w:val="0"/>
          <w:divBdr>
            <w:top w:val="none" w:sz="0" w:space="0" w:color="auto"/>
            <w:left w:val="none" w:sz="0" w:space="0" w:color="auto"/>
            <w:bottom w:val="none" w:sz="0" w:space="0" w:color="auto"/>
            <w:right w:val="none" w:sz="0" w:space="0" w:color="auto"/>
          </w:divBdr>
        </w:div>
        <w:div w:id="810515430">
          <w:marLeft w:val="720"/>
          <w:marRight w:val="0"/>
          <w:marTop w:val="0"/>
          <w:marBottom w:val="0"/>
          <w:divBdr>
            <w:top w:val="none" w:sz="0" w:space="0" w:color="auto"/>
            <w:left w:val="none" w:sz="0" w:space="0" w:color="auto"/>
            <w:bottom w:val="none" w:sz="0" w:space="0" w:color="auto"/>
            <w:right w:val="none" w:sz="0" w:space="0" w:color="auto"/>
          </w:divBdr>
        </w:div>
      </w:divsChild>
    </w:div>
    <w:div w:id="1492866183">
      <w:bodyDiv w:val="1"/>
      <w:marLeft w:val="0"/>
      <w:marRight w:val="0"/>
      <w:marTop w:val="0"/>
      <w:marBottom w:val="0"/>
      <w:divBdr>
        <w:top w:val="none" w:sz="0" w:space="0" w:color="auto"/>
        <w:left w:val="none" w:sz="0" w:space="0" w:color="auto"/>
        <w:bottom w:val="none" w:sz="0" w:space="0" w:color="auto"/>
        <w:right w:val="none" w:sz="0" w:space="0" w:color="auto"/>
      </w:divBdr>
      <w:divsChild>
        <w:div w:id="458652378">
          <w:marLeft w:val="1080"/>
          <w:marRight w:val="0"/>
          <w:marTop w:val="400"/>
          <w:marBottom w:val="0"/>
          <w:divBdr>
            <w:top w:val="none" w:sz="0" w:space="0" w:color="auto"/>
            <w:left w:val="none" w:sz="0" w:space="0" w:color="auto"/>
            <w:bottom w:val="none" w:sz="0" w:space="0" w:color="auto"/>
            <w:right w:val="none" w:sz="0" w:space="0" w:color="auto"/>
          </w:divBdr>
        </w:div>
        <w:div w:id="1978758394">
          <w:marLeft w:val="1080"/>
          <w:marRight w:val="0"/>
          <w:marTop w:val="400"/>
          <w:marBottom w:val="0"/>
          <w:divBdr>
            <w:top w:val="none" w:sz="0" w:space="0" w:color="auto"/>
            <w:left w:val="none" w:sz="0" w:space="0" w:color="auto"/>
            <w:bottom w:val="none" w:sz="0" w:space="0" w:color="auto"/>
            <w:right w:val="none" w:sz="0" w:space="0" w:color="auto"/>
          </w:divBdr>
        </w:div>
        <w:div w:id="691419529">
          <w:marLeft w:val="1080"/>
          <w:marRight w:val="0"/>
          <w:marTop w:val="400"/>
          <w:marBottom w:val="0"/>
          <w:divBdr>
            <w:top w:val="none" w:sz="0" w:space="0" w:color="auto"/>
            <w:left w:val="none" w:sz="0" w:space="0" w:color="auto"/>
            <w:bottom w:val="none" w:sz="0" w:space="0" w:color="auto"/>
            <w:right w:val="none" w:sz="0" w:space="0" w:color="auto"/>
          </w:divBdr>
        </w:div>
        <w:div w:id="1611861145">
          <w:marLeft w:val="1080"/>
          <w:marRight w:val="0"/>
          <w:marTop w:val="400"/>
          <w:marBottom w:val="0"/>
          <w:divBdr>
            <w:top w:val="none" w:sz="0" w:space="0" w:color="auto"/>
            <w:left w:val="none" w:sz="0" w:space="0" w:color="auto"/>
            <w:bottom w:val="none" w:sz="0" w:space="0" w:color="auto"/>
            <w:right w:val="none" w:sz="0" w:space="0" w:color="auto"/>
          </w:divBdr>
        </w:div>
        <w:div w:id="1161698183">
          <w:marLeft w:val="1080"/>
          <w:marRight w:val="0"/>
          <w:marTop w:val="400"/>
          <w:marBottom w:val="0"/>
          <w:divBdr>
            <w:top w:val="none" w:sz="0" w:space="0" w:color="auto"/>
            <w:left w:val="none" w:sz="0" w:space="0" w:color="auto"/>
            <w:bottom w:val="none" w:sz="0" w:space="0" w:color="auto"/>
            <w:right w:val="none" w:sz="0" w:space="0" w:color="auto"/>
          </w:divBdr>
        </w:div>
        <w:div w:id="1226259555">
          <w:marLeft w:val="1080"/>
          <w:marRight w:val="0"/>
          <w:marTop w:val="400"/>
          <w:marBottom w:val="0"/>
          <w:divBdr>
            <w:top w:val="none" w:sz="0" w:space="0" w:color="auto"/>
            <w:left w:val="none" w:sz="0" w:space="0" w:color="auto"/>
            <w:bottom w:val="none" w:sz="0" w:space="0" w:color="auto"/>
            <w:right w:val="none" w:sz="0" w:space="0" w:color="auto"/>
          </w:divBdr>
        </w:div>
        <w:div w:id="1174032168">
          <w:marLeft w:val="1080"/>
          <w:marRight w:val="0"/>
          <w:marTop w:val="400"/>
          <w:marBottom w:val="0"/>
          <w:divBdr>
            <w:top w:val="none" w:sz="0" w:space="0" w:color="auto"/>
            <w:left w:val="none" w:sz="0" w:space="0" w:color="auto"/>
            <w:bottom w:val="none" w:sz="0" w:space="0" w:color="auto"/>
            <w:right w:val="none" w:sz="0" w:space="0" w:color="auto"/>
          </w:divBdr>
        </w:div>
      </w:divsChild>
    </w:div>
    <w:div w:id="1496607966">
      <w:bodyDiv w:val="1"/>
      <w:marLeft w:val="0"/>
      <w:marRight w:val="0"/>
      <w:marTop w:val="0"/>
      <w:marBottom w:val="0"/>
      <w:divBdr>
        <w:top w:val="none" w:sz="0" w:space="0" w:color="auto"/>
        <w:left w:val="none" w:sz="0" w:space="0" w:color="auto"/>
        <w:bottom w:val="none" w:sz="0" w:space="0" w:color="auto"/>
        <w:right w:val="none" w:sz="0" w:space="0" w:color="auto"/>
      </w:divBdr>
      <w:divsChild>
        <w:div w:id="739600479">
          <w:marLeft w:val="1224"/>
          <w:marRight w:val="0"/>
          <w:marTop w:val="0"/>
          <w:marBottom w:val="0"/>
          <w:divBdr>
            <w:top w:val="none" w:sz="0" w:space="0" w:color="auto"/>
            <w:left w:val="none" w:sz="0" w:space="0" w:color="auto"/>
            <w:bottom w:val="none" w:sz="0" w:space="0" w:color="auto"/>
            <w:right w:val="none" w:sz="0" w:space="0" w:color="auto"/>
          </w:divBdr>
        </w:div>
        <w:div w:id="811867088">
          <w:marLeft w:val="1224"/>
          <w:marRight w:val="0"/>
          <w:marTop w:val="0"/>
          <w:marBottom w:val="0"/>
          <w:divBdr>
            <w:top w:val="none" w:sz="0" w:space="0" w:color="auto"/>
            <w:left w:val="none" w:sz="0" w:space="0" w:color="auto"/>
            <w:bottom w:val="none" w:sz="0" w:space="0" w:color="auto"/>
            <w:right w:val="none" w:sz="0" w:space="0" w:color="auto"/>
          </w:divBdr>
        </w:div>
        <w:div w:id="45303262">
          <w:marLeft w:val="1224"/>
          <w:marRight w:val="0"/>
          <w:marTop w:val="0"/>
          <w:marBottom w:val="0"/>
          <w:divBdr>
            <w:top w:val="none" w:sz="0" w:space="0" w:color="auto"/>
            <w:left w:val="none" w:sz="0" w:space="0" w:color="auto"/>
            <w:bottom w:val="none" w:sz="0" w:space="0" w:color="auto"/>
            <w:right w:val="none" w:sz="0" w:space="0" w:color="auto"/>
          </w:divBdr>
        </w:div>
        <w:div w:id="1595553444">
          <w:marLeft w:val="1224"/>
          <w:marRight w:val="0"/>
          <w:marTop w:val="0"/>
          <w:marBottom w:val="0"/>
          <w:divBdr>
            <w:top w:val="none" w:sz="0" w:space="0" w:color="auto"/>
            <w:left w:val="none" w:sz="0" w:space="0" w:color="auto"/>
            <w:bottom w:val="none" w:sz="0" w:space="0" w:color="auto"/>
            <w:right w:val="none" w:sz="0" w:space="0" w:color="auto"/>
          </w:divBdr>
        </w:div>
        <w:div w:id="2015961229">
          <w:marLeft w:val="1224"/>
          <w:marRight w:val="0"/>
          <w:marTop w:val="0"/>
          <w:marBottom w:val="0"/>
          <w:divBdr>
            <w:top w:val="none" w:sz="0" w:space="0" w:color="auto"/>
            <w:left w:val="none" w:sz="0" w:space="0" w:color="auto"/>
            <w:bottom w:val="none" w:sz="0" w:space="0" w:color="auto"/>
            <w:right w:val="none" w:sz="0" w:space="0" w:color="auto"/>
          </w:divBdr>
        </w:div>
      </w:divsChild>
    </w:div>
    <w:div w:id="1511791544">
      <w:bodyDiv w:val="1"/>
      <w:marLeft w:val="0"/>
      <w:marRight w:val="0"/>
      <w:marTop w:val="0"/>
      <w:marBottom w:val="0"/>
      <w:divBdr>
        <w:top w:val="none" w:sz="0" w:space="0" w:color="auto"/>
        <w:left w:val="none" w:sz="0" w:space="0" w:color="auto"/>
        <w:bottom w:val="none" w:sz="0" w:space="0" w:color="auto"/>
        <w:right w:val="none" w:sz="0" w:space="0" w:color="auto"/>
      </w:divBdr>
      <w:divsChild>
        <w:div w:id="2142535178">
          <w:marLeft w:val="547"/>
          <w:marRight w:val="0"/>
          <w:marTop w:val="0"/>
          <w:marBottom w:val="0"/>
          <w:divBdr>
            <w:top w:val="none" w:sz="0" w:space="0" w:color="auto"/>
            <w:left w:val="none" w:sz="0" w:space="0" w:color="auto"/>
            <w:bottom w:val="none" w:sz="0" w:space="0" w:color="auto"/>
            <w:right w:val="none" w:sz="0" w:space="0" w:color="auto"/>
          </w:divBdr>
        </w:div>
        <w:div w:id="712652316">
          <w:marLeft w:val="547"/>
          <w:marRight w:val="0"/>
          <w:marTop w:val="0"/>
          <w:marBottom w:val="0"/>
          <w:divBdr>
            <w:top w:val="none" w:sz="0" w:space="0" w:color="auto"/>
            <w:left w:val="none" w:sz="0" w:space="0" w:color="auto"/>
            <w:bottom w:val="none" w:sz="0" w:space="0" w:color="auto"/>
            <w:right w:val="none" w:sz="0" w:space="0" w:color="auto"/>
          </w:divBdr>
        </w:div>
      </w:divsChild>
    </w:div>
    <w:div w:id="1560089464">
      <w:bodyDiv w:val="1"/>
      <w:marLeft w:val="0"/>
      <w:marRight w:val="0"/>
      <w:marTop w:val="0"/>
      <w:marBottom w:val="0"/>
      <w:divBdr>
        <w:top w:val="none" w:sz="0" w:space="0" w:color="auto"/>
        <w:left w:val="none" w:sz="0" w:space="0" w:color="auto"/>
        <w:bottom w:val="none" w:sz="0" w:space="0" w:color="auto"/>
        <w:right w:val="none" w:sz="0" w:space="0" w:color="auto"/>
      </w:divBdr>
      <w:divsChild>
        <w:div w:id="1389260513">
          <w:marLeft w:val="547"/>
          <w:marRight w:val="0"/>
          <w:marTop w:val="0"/>
          <w:marBottom w:val="0"/>
          <w:divBdr>
            <w:top w:val="none" w:sz="0" w:space="0" w:color="auto"/>
            <w:left w:val="none" w:sz="0" w:space="0" w:color="auto"/>
            <w:bottom w:val="none" w:sz="0" w:space="0" w:color="auto"/>
            <w:right w:val="none" w:sz="0" w:space="0" w:color="auto"/>
          </w:divBdr>
        </w:div>
      </w:divsChild>
    </w:div>
    <w:div w:id="1569147046">
      <w:bodyDiv w:val="1"/>
      <w:marLeft w:val="0"/>
      <w:marRight w:val="0"/>
      <w:marTop w:val="0"/>
      <w:marBottom w:val="0"/>
      <w:divBdr>
        <w:top w:val="none" w:sz="0" w:space="0" w:color="auto"/>
        <w:left w:val="none" w:sz="0" w:space="0" w:color="auto"/>
        <w:bottom w:val="none" w:sz="0" w:space="0" w:color="auto"/>
        <w:right w:val="none" w:sz="0" w:space="0" w:color="auto"/>
      </w:divBdr>
      <w:divsChild>
        <w:div w:id="1265529908">
          <w:marLeft w:val="547"/>
          <w:marRight w:val="0"/>
          <w:marTop w:val="0"/>
          <w:marBottom w:val="0"/>
          <w:divBdr>
            <w:top w:val="none" w:sz="0" w:space="0" w:color="auto"/>
            <w:left w:val="none" w:sz="0" w:space="0" w:color="auto"/>
            <w:bottom w:val="none" w:sz="0" w:space="0" w:color="auto"/>
            <w:right w:val="none" w:sz="0" w:space="0" w:color="auto"/>
          </w:divBdr>
        </w:div>
        <w:div w:id="1023748300">
          <w:marLeft w:val="547"/>
          <w:marRight w:val="0"/>
          <w:marTop w:val="0"/>
          <w:marBottom w:val="0"/>
          <w:divBdr>
            <w:top w:val="none" w:sz="0" w:space="0" w:color="auto"/>
            <w:left w:val="none" w:sz="0" w:space="0" w:color="auto"/>
            <w:bottom w:val="none" w:sz="0" w:space="0" w:color="auto"/>
            <w:right w:val="none" w:sz="0" w:space="0" w:color="auto"/>
          </w:divBdr>
        </w:div>
        <w:div w:id="1787383178">
          <w:marLeft w:val="547"/>
          <w:marRight w:val="0"/>
          <w:marTop w:val="0"/>
          <w:marBottom w:val="0"/>
          <w:divBdr>
            <w:top w:val="none" w:sz="0" w:space="0" w:color="auto"/>
            <w:left w:val="none" w:sz="0" w:space="0" w:color="auto"/>
            <w:bottom w:val="none" w:sz="0" w:space="0" w:color="auto"/>
            <w:right w:val="none" w:sz="0" w:space="0" w:color="auto"/>
          </w:divBdr>
        </w:div>
        <w:div w:id="1220630759">
          <w:marLeft w:val="547"/>
          <w:marRight w:val="0"/>
          <w:marTop w:val="0"/>
          <w:marBottom w:val="0"/>
          <w:divBdr>
            <w:top w:val="none" w:sz="0" w:space="0" w:color="auto"/>
            <w:left w:val="none" w:sz="0" w:space="0" w:color="auto"/>
            <w:bottom w:val="none" w:sz="0" w:space="0" w:color="auto"/>
            <w:right w:val="none" w:sz="0" w:space="0" w:color="auto"/>
          </w:divBdr>
        </w:div>
        <w:div w:id="1904749904">
          <w:marLeft w:val="547"/>
          <w:marRight w:val="0"/>
          <w:marTop w:val="0"/>
          <w:marBottom w:val="0"/>
          <w:divBdr>
            <w:top w:val="none" w:sz="0" w:space="0" w:color="auto"/>
            <w:left w:val="none" w:sz="0" w:space="0" w:color="auto"/>
            <w:bottom w:val="none" w:sz="0" w:space="0" w:color="auto"/>
            <w:right w:val="none" w:sz="0" w:space="0" w:color="auto"/>
          </w:divBdr>
        </w:div>
      </w:divsChild>
    </w:div>
    <w:div w:id="1574923866">
      <w:bodyDiv w:val="1"/>
      <w:marLeft w:val="0"/>
      <w:marRight w:val="0"/>
      <w:marTop w:val="0"/>
      <w:marBottom w:val="0"/>
      <w:divBdr>
        <w:top w:val="none" w:sz="0" w:space="0" w:color="auto"/>
        <w:left w:val="none" w:sz="0" w:space="0" w:color="auto"/>
        <w:bottom w:val="none" w:sz="0" w:space="0" w:color="auto"/>
        <w:right w:val="none" w:sz="0" w:space="0" w:color="auto"/>
      </w:divBdr>
    </w:div>
    <w:div w:id="1576932963">
      <w:bodyDiv w:val="1"/>
      <w:marLeft w:val="0"/>
      <w:marRight w:val="0"/>
      <w:marTop w:val="0"/>
      <w:marBottom w:val="0"/>
      <w:divBdr>
        <w:top w:val="none" w:sz="0" w:space="0" w:color="auto"/>
        <w:left w:val="none" w:sz="0" w:space="0" w:color="auto"/>
        <w:bottom w:val="none" w:sz="0" w:space="0" w:color="auto"/>
        <w:right w:val="none" w:sz="0" w:space="0" w:color="auto"/>
      </w:divBdr>
      <w:divsChild>
        <w:div w:id="1017850513">
          <w:marLeft w:val="518"/>
          <w:marRight w:val="0"/>
          <w:marTop w:val="295"/>
          <w:marBottom w:val="0"/>
          <w:divBdr>
            <w:top w:val="none" w:sz="0" w:space="0" w:color="auto"/>
            <w:left w:val="none" w:sz="0" w:space="0" w:color="auto"/>
            <w:bottom w:val="none" w:sz="0" w:space="0" w:color="auto"/>
            <w:right w:val="none" w:sz="0" w:space="0" w:color="auto"/>
          </w:divBdr>
        </w:div>
        <w:div w:id="2059282750">
          <w:marLeft w:val="518"/>
          <w:marRight w:val="0"/>
          <w:marTop w:val="295"/>
          <w:marBottom w:val="0"/>
          <w:divBdr>
            <w:top w:val="none" w:sz="0" w:space="0" w:color="auto"/>
            <w:left w:val="none" w:sz="0" w:space="0" w:color="auto"/>
            <w:bottom w:val="none" w:sz="0" w:space="0" w:color="auto"/>
            <w:right w:val="none" w:sz="0" w:space="0" w:color="auto"/>
          </w:divBdr>
        </w:div>
        <w:div w:id="929779607">
          <w:marLeft w:val="518"/>
          <w:marRight w:val="0"/>
          <w:marTop w:val="295"/>
          <w:marBottom w:val="0"/>
          <w:divBdr>
            <w:top w:val="none" w:sz="0" w:space="0" w:color="auto"/>
            <w:left w:val="none" w:sz="0" w:space="0" w:color="auto"/>
            <w:bottom w:val="none" w:sz="0" w:space="0" w:color="auto"/>
            <w:right w:val="none" w:sz="0" w:space="0" w:color="auto"/>
          </w:divBdr>
        </w:div>
        <w:div w:id="1010566092">
          <w:marLeft w:val="1354"/>
          <w:marRight w:val="0"/>
          <w:marTop w:val="295"/>
          <w:marBottom w:val="0"/>
          <w:divBdr>
            <w:top w:val="none" w:sz="0" w:space="0" w:color="auto"/>
            <w:left w:val="none" w:sz="0" w:space="0" w:color="auto"/>
            <w:bottom w:val="none" w:sz="0" w:space="0" w:color="auto"/>
            <w:right w:val="none" w:sz="0" w:space="0" w:color="auto"/>
          </w:divBdr>
        </w:div>
        <w:div w:id="1781871892">
          <w:marLeft w:val="518"/>
          <w:marRight w:val="0"/>
          <w:marTop w:val="295"/>
          <w:marBottom w:val="0"/>
          <w:divBdr>
            <w:top w:val="none" w:sz="0" w:space="0" w:color="auto"/>
            <w:left w:val="none" w:sz="0" w:space="0" w:color="auto"/>
            <w:bottom w:val="none" w:sz="0" w:space="0" w:color="auto"/>
            <w:right w:val="none" w:sz="0" w:space="0" w:color="auto"/>
          </w:divBdr>
        </w:div>
      </w:divsChild>
    </w:div>
    <w:div w:id="1599098889">
      <w:bodyDiv w:val="1"/>
      <w:marLeft w:val="0"/>
      <w:marRight w:val="0"/>
      <w:marTop w:val="0"/>
      <w:marBottom w:val="0"/>
      <w:divBdr>
        <w:top w:val="none" w:sz="0" w:space="0" w:color="auto"/>
        <w:left w:val="none" w:sz="0" w:space="0" w:color="auto"/>
        <w:bottom w:val="none" w:sz="0" w:space="0" w:color="auto"/>
        <w:right w:val="none" w:sz="0" w:space="0" w:color="auto"/>
      </w:divBdr>
    </w:div>
    <w:div w:id="1605334543">
      <w:bodyDiv w:val="1"/>
      <w:marLeft w:val="0"/>
      <w:marRight w:val="0"/>
      <w:marTop w:val="0"/>
      <w:marBottom w:val="0"/>
      <w:divBdr>
        <w:top w:val="none" w:sz="0" w:space="0" w:color="auto"/>
        <w:left w:val="none" w:sz="0" w:space="0" w:color="auto"/>
        <w:bottom w:val="none" w:sz="0" w:space="0" w:color="auto"/>
        <w:right w:val="none" w:sz="0" w:space="0" w:color="auto"/>
      </w:divBdr>
      <w:divsChild>
        <w:div w:id="1697388955">
          <w:marLeft w:val="0"/>
          <w:marRight w:val="0"/>
          <w:marTop w:val="0"/>
          <w:marBottom w:val="0"/>
          <w:divBdr>
            <w:top w:val="none" w:sz="0" w:space="0" w:color="auto"/>
            <w:left w:val="none" w:sz="0" w:space="0" w:color="auto"/>
            <w:bottom w:val="none" w:sz="0" w:space="0" w:color="auto"/>
            <w:right w:val="none" w:sz="0" w:space="0" w:color="auto"/>
          </w:divBdr>
        </w:div>
      </w:divsChild>
    </w:div>
    <w:div w:id="1641689797">
      <w:bodyDiv w:val="1"/>
      <w:marLeft w:val="0"/>
      <w:marRight w:val="0"/>
      <w:marTop w:val="0"/>
      <w:marBottom w:val="0"/>
      <w:divBdr>
        <w:top w:val="none" w:sz="0" w:space="0" w:color="auto"/>
        <w:left w:val="none" w:sz="0" w:space="0" w:color="auto"/>
        <w:bottom w:val="none" w:sz="0" w:space="0" w:color="auto"/>
        <w:right w:val="none" w:sz="0" w:space="0" w:color="auto"/>
      </w:divBdr>
    </w:div>
    <w:div w:id="1643542113">
      <w:bodyDiv w:val="1"/>
      <w:marLeft w:val="0"/>
      <w:marRight w:val="0"/>
      <w:marTop w:val="0"/>
      <w:marBottom w:val="0"/>
      <w:divBdr>
        <w:top w:val="none" w:sz="0" w:space="0" w:color="auto"/>
        <w:left w:val="none" w:sz="0" w:space="0" w:color="auto"/>
        <w:bottom w:val="none" w:sz="0" w:space="0" w:color="auto"/>
        <w:right w:val="none" w:sz="0" w:space="0" w:color="auto"/>
      </w:divBdr>
    </w:div>
    <w:div w:id="1656373297">
      <w:bodyDiv w:val="1"/>
      <w:marLeft w:val="0"/>
      <w:marRight w:val="0"/>
      <w:marTop w:val="0"/>
      <w:marBottom w:val="0"/>
      <w:divBdr>
        <w:top w:val="none" w:sz="0" w:space="0" w:color="auto"/>
        <w:left w:val="none" w:sz="0" w:space="0" w:color="auto"/>
        <w:bottom w:val="none" w:sz="0" w:space="0" w:color="auto"/>
        <w:right w:val="none" w:sz="0" w:space="0" w:color="auto"/>
      </w:divBdr>
      <w:divsChild>
        <w:div w:id="1112628314">
          <w:marLeft w:val="547"/>
          <w:marRight w:val="0"/>
          <w:marTop w:val="115"/>
          <w:marBottom w:val="0"/>
          <w:divBdr>
            <w:top w:val="none" w:sz="0" w:space="0" w:color="auto"/>
            <w:left w:val="none" w:sz="0" w:space="0" w:color="auto"/>
            <w:bottom w:val="none" w:sz="0" w:space="0" w:color="auto"/>
            <w:right w:val="none" w:sz="0" w:space="0" w:color="auto"/>
          </w:divBdr>
        </w:div>
        <w:div w:id="56973475">
          <w:marLeft w:val="547"/>
          <w:marRight w:val="0"/>
          <w:marTop w:val="115"/>
          <w:marBottom w:val="0"/>
          <w:divBdr>
            <w:top w:val="none" w:sz="0" w:space="0" w:color="auto"/>
            <w:left w:val="none" w:sz="0" w:space="0" w:color="auto"/>
            <w:bottom w:val="none" w:sz="0" w:space="0" w:color="auto"/>
            <w:right w:val="none" w:sz="0" w:space="0" w:color="auto"/>
          </w:divBdr>
        </w:div>
        <w:div w:id="1380592245">
          <w:marLeft w:val="547"/>
          <w:marRight w:val="0"/>
          <w:marTop w:val="115"/>
          <w:marBottom w:val="0"/>
          <w:divBdr>
            <w:top w:val="none" w:sz="0" w:space="0" w:color="auto"/>
            <w:left w:val="none" w:sz="0" w:space="0" w:color="auto"/>
            <w:bottom w:val="none" w:sz="0" w:space="0" w:color="auto"/>
            <w:right w:val="none" w:sz="0" w:space="0" w:color="auto"/>
          </w:divBdr>
        </w:div>
      </w:divsChild>
    </w:div>
    <w:div w:id="1673139410">
      <w:bodyDiv w:val="1"/>
      <w:marLeft w:val="0"/>
      <w:marRight w:val="0"/>
      <w:marTop w:val="0"/>
      <w:marBottom w:val="0"/>
      <w:divBdr>
        <w:top w:val="none" w:sz="0" w:space="0" w:color="auto"/>
        <w:left w:val="none" w:sz="0" w:space="0" w:color="auto"/>
        <w:bottom w:val="none" w:sz="0" w:space="0" w:color="auto"/>
        <w:right w:val="none" w:sz="0" w:space="0" w:color="auto"/>
      </w:divBdr>
      <w:divsChild>
        <w:div w:id="893615173">
          <w:marLeft w:val="720"/>
          <w:marRight w:val="0"/>
          <w:marTop w:val="400"/>
          <w:marBottom w:val="0"/>
          <w:divBdr>
            <w:top w:val="none" w:sz="0" w:space="0" w:color="auto"/>
            <w:left w:val="none" w:sz="0" w:space="0" w:color="auto"/>
            <w:bottom w:val="none" w:sz="0" w:space="0" w:color="auto"/>
            <w:right w:val="none" w:sz="0" w:space="0" w:color="auto"/>
          </w:divBdr>
        </w:div>
        <w:div w:id="1270891660">
          <w:marLeft w:val="720"/>
          <w:marRight w:val="0"/>
          <w:marTop w:val="400"/>
          <w:marBottom w:val="0"/>
          <w:divBdr>
            <w:top w:val="none" w:sz="0" w:space="0" w:color="auto"/>
            <w:left w:val="none" w:sz="0" w:space="0" w:color="auto"/>
            <w:bottom w:val="none" w:sz="0" w:space="0" w:color="auto"/>
            <w:right w:val="none" w:sz="0" w:space="0" w:color="auto"/>
          </w:divBdr>
        </w:div>
        <w:div w:id="1316378755">
          <w:marLeft w:val="720"/>
          <w:marRight w:val="0"/>
          <w:marTop w:val="400"/>
          <w:marBottom w:val="0"/>
          <w:divBdr>
            <w:top w:val="none" w:sz="0" w:space="0" w:color="auto"/>
            <w:left w:val="none" w:sz="0" w:space="0" w:color="auto"/>
            <w:bottom w:val="none" w:sz="0" w:space="0" w:color="auto"/>
            <w:right w:val="none" w:sz="0" w:space="0" w:color="auto"/>
          </w:divBdr>
        </w:div>
        <w:div w:id="1060713798">
          <w:marLeft w:val="720"/>
          <w:marRight w:val="0"/>
          <w:marTop w:val="400"/>
          <w:marBottom w:val="0"/>
          <w:divBdr>
            <w:top w:val="none" w:sz="0" w:space="0" w:color="auto"/>
            <w:left w:val="none" w:sz="0" w:space="0" w:color="auto"/>
            <w:bottom w:val="none" w:sz="0" w:space="0" w:color="auto"/>
            <w:right w:val="none" w:sz="0" w:space="0" w:color="auto"/>
          </w:divBdr>
        </w:div>
        <w:div w:id="96683181">
          <w:marLeft w:val="720"/>
          <w:marRight w:val="0"/>
          <w:marTop w:val="400"/>
          <w:marBottom w:val="0"/>
          <w:divBdr>
            <w:top w:val="none" w:sz="0" w:space="0" w:color="auto"/>
            <w:left w:val="none" w:sz="0" w:space="0" w:color="auto"/>
            <w:bottom w:val="none" w:sz="0" w:space="0" w:color="auto"/>
            <w:right w:val="none" w:sz="0" w:space="0" w:color="auto"/>
          </w:divBdr>
        </w:div>
        <w:div w:id="609051054">
          <w:marLeft w:val="2160"/>
          <w:marRight w:val="0"/>
          <w:marTop w:val="200"/>
          <w:marBottom w:val="0"/>
          <w:divBdr>
            <w:top w:val="none" w:sz="0" w:space="0" w:color="auto"/>
            <w:left w:val="none" w:sz="0" w:space="0" w:color="auto"/>
            <w:bottom w:val="none" w:sz="0" w:space="0" w:color="auto"/>
            <w:right w:val="none" w:sz="0" w:space="0" w:color="auto"/>
          </w:divBdr>
        </w:div>
      </w:divsChild>
    </w:div>
    <w:div w:id="1699507968">
      <w:bodyDiv w:val="1"/>
      <w:marLeft w:val="0"/>
      <w:marRight w:val="0"/>
      <w:marTop w:val="0"/>
      <w:marBottom w:val="0"/>
      <w:divBdr>
        <w:top w:val="none" w:sz="0" w:space="0" w:color="auto"/>
        <w:left w:val="none" w:sz="0" w:space="0" w:color="auto"/>
        <w:bottom w:val="none" w:sz="0" w:space="0" w:color="auto"/>
        <w:right w:val="none" w:sz="0" w:space="0" w:color="auto"/>
      </w:divBdr>
    </w:div>
    <w:div w:id="1706100279">
      <w:bodyDiv w:val="1"/>
      <w:marLeft w:val="0"/>
      <w:marRight w:val="0"/>
      <w:marTop w:val="0"/>
      <w:marBottom w:val="0"/>
      <w:divBdr>
        <w:top w:val="none" w:sz="0" w:space="0" w:color="auto"/>
        <w:left w:val="none" w:sz="0" w:space="0" w:color="auto"/>
        <w:bottom w:val="none" w:sz="0" w:space="0" w:color="auto"/>
        <w:right w:val="none" w:sz="0" w:space="0" w:color="auto"/>
      </w:divBdr>
    </w:div>
    <w:div w:id="1729379945">
      <w:bodyDiv w:val="1"/>
      <w:marLeft w:val="0"/>
      <w:marRight w:val="0"/>
      <w:marTop w:val="0"/>
      <w:marBottom w:val="0"/>
      <w:divBdr>
        <w:top w:val="none" w:sz="0" w:space="0" w:color="auto"/>
        <w:left w:val="none" w:sz="0" w:space="0" w:color="auto"/>
        <w:bottom w:val="none" w:sz="0" w:space="0" w:color="auto"/>
        <w:right w:val="none" w:sz="0" w:space="0" w:color="auto"/>
      </w:divBdr>
      <w:divsChild>
        <w:div w:id="1130367163">
          <w:marLeft w:val="1080"/>
          <w:marRight w:val="0"/>
          <w:marTop w:val="600"/>
          <w:marBottom w:val="300"/>
          <w:divBdr>
            <w:top w:val="none" w:sz="0" w:space="0" w:color="auto"/>
            <w:left w:val="none" w:sz="0" w:space="0" w:color="auto"/>
            <w:bottom w:val="none" w:sz="0" w:space="0" w:color="auto"/>
            <w:right w:val="none" w:sz="0" w:space="0" w:color="auto"/>
          </w:divBdr>
        </w:div>
      </w:divsChild>
    </w:div>
    <w:div w:id="1732386080">
      <w:bodyDiv w:val="1"/>
      <w:marLeft w:val="0"/>
      <w:marRight w:val="0"/>
      <w:marTop w:val="0"/>
      <w:marBottom w:val="0"/>
      <w:divBdr>
        <w:top w:val="none" w:sz="0" w:space="0" w:color="auto"/>
        <w:left w:val="none" w:sz="0" w:space="0" w:color="auto"/>
        <w:bottom w:val="none" w:sz="0" w:space="0" w:color="auto"/>
        <w:right w:val="none" w:sz="0" w:space="0" w:color="auto"/>
      </w:divBdr>
    </w:div>
    <w:div w:id="1783182081">
      <w:bodyDiv w:val="1"/>
      <w:marLeft w:val="0"/>
      <w:marRight w:val="0"/>
      <w:marTop w:val="0"/>
      <w:marBottom w:val="0"/>
      <w:divBdr>
        <w:top w:val="none" w:sz="0" w:space="0" w:color="auto"/>
        <w:left w:val="none" w:sz="0" w:space="0" w:color="auto"/>
        <w:bottom w:val="none" w:sz="0" w:space="0" w:color="auto"/>
        <w:right w:val="none" w:sz="0" w:space="0" w:color="auto"/>
      </w:divBdr>
    </w:div>
    <w:div w:id="1797915263">
      <w:bodyDiv w:val="1"/>
      <w:marLeft w:val="0"/>
      <w:marRight w:val="0"/>
      <w:marTop w:val="0"/>
      <w:marBottom w:val="0"/>
      <w:divBdr>
        <w:top w:val="none" w:sz="0" w:space="0" w:color="auto"/>
        <w:left w:val="none" w:sz="0" w:space="0" w:color="auto"/>
        <w:bottom w:val="none" w:sz="0" w:space="0" w:color="auto"/>
        <w:right w:val="none" w:sz="0" w:space="0" w:color="auto"/>
      </w:divBdr>
    </w:div>
    <w:div w:id="1820923823">
      <w:bodyDiv w:val="1"/>
      <w:marLeft w:val="0"/>
      <w:marRight w:val="0"/>
      <w:marTop w:val="0"/>
      <w:marBottom w:val="0"/>
      <w:divBdr>
        <w:top w:val="none" w:sz="0" w:space="0" w:color="auto"/>
        <w:left w:val="none" w:sz="0" w:space="0" w:color="auto"/>
        <w:bottom w:val="none" w:sz="0" w:space="0" w:color="auto"/>
        <w:right w:val="none" w:sz="0" w:space="0" w:color="auto"/>
      </w:divBdr>
      <w:divsChild>
        <w:div w:id="1638880218">
          <w:marLeft w:val="1080"/>
          <w:marRight w:val="0"/>
          <w:marTop w:val="400"/>
          <w:marBottom w:val="0"/>
          <w:divBdr>
            <w:top w:val="none" w:sz="0" w:space="0" w:color="auto"/>
            <w:left w:val="none" w:sz="0" w:space="0" w:color="auto"/>
            <w:bottom w:val="none" w:sz="0" w:space="0" w:color="auto"/>
            <w:right w:val="none" w:sz="0" w:space="0" w:color="auto"/>
          </w:divBdr>
        </w:div>
        <w:div w:id="1516728987">
          <w:marLeft w:val="1080"/>
          <w:marRight w:val="0"/>
          <w:marTop w:val="400"/>
          <w:marBottom w:val="0"/>
          <w:divBdr>
            <w:top w:val="none" w:sz="0" w:space="0" w:color="auto"/>
            <w:left w:val="none" w:sz="0" w:space="0" w:color="auto"/>
            <w:bottom w:val="none" w:sz="0" w:space="0" w:color="auto"/>
            <w:right w:val="none" w:sz="0" w:space="0" w:color="auto"/>
          </w:divBdr>
        </w:div>
        <w:div w:id="171728685">
          <w:marLeft w:val="1080"/>
          <w:marRight w:val="0"/>
          <w:marTop w:val="400"/>
          <w:marBottom w:val="0"/>
          <w:divBdr>
            <w:top w:val="none" w:sz="0" w:space="0" w:color="auto"/>
            <w:left w:val="none" w:sz="0" w:space="0" w:color="auto"/>
            <w:bottom w:val="none" w:sz="0" w:space="0" w:color="auto"/>
            <w:right w:val="none" w:sz="0" w:space="0" w:color="auto"/>
          </w:divBdr>
        </w:div>
        <w:div w:id="213737234">
          <w:marLeft w:val="2333"/>
          <w:marRight w:val="0"/>
          <w:marTop w:val="400"/>
          <w:marBottom w:val="0"/>
          <w:divBdr>
            <w:top w:val="none" w:sz="0" w:space="0" w:color="auto"/>
            <w:left w:val="none" w:sz="0" w:space="0" w:color="auto"/>
            <w:bottom w:val="none" w:sz="0" w:space="0" w:color="auto"/>
            <w:right w:val="none" w:sz="0" w:space="0" w:color="auto"/>
          </w:divBdr>
        </w:div>
        <w:div w:id="1132986379">
          <w:marLeft w:val="3600"/>
          <w:marRight w:val="0"/>
          <w:marTop w:val="400"/>
          <w:marBottom w:val="0"/>
          <w:divBdr>
            <w:top w:val="none" w:sz="0" w:space="0" w:color="auto"/>
            <w:left w:val="none" w:sz="0" w:space="0" w:color="auto"/>
            <w:bottom w:val="none" w:sz="0" w:space="0" w:color="auto"/>
            <w:right w:val="none" w:sz="0" w:space="0" w:color="auto"/>
          </w:divBdr>
        </w:div>
        <w:div w:id="1554074685">
          <w:marLeft w:val="3600"/>
          <w:marRight w:val="0"/>
          <w:marTop w:val="400"/>
          <w:marBottom w:val="0"/>
          <w:divBdr>
            <w:top w:val="none" w:sz="0" w:space="0" w:color="auto"/>
            <w:left w:val="none" w:sz="0" w:space="0" w:color="auto"/>
            <w:bottom w:val="none" w:sz="0" w:space="0" w:color="auto"/>
            <w:right w:val="none" w:sz="0" w:space="0" w:color="auto"/>
          </w:divBdr>
        </w:div>
      </w:divsChild>
    </w:div>
    <w:div w:id="1827624727">
      <w:bodyDiv w:val="1"/>
      <w:marLeft w:val="0"/>
      <w:marRight w:val="0"/>
      <w:marTop w:val="0"/>
      <w:marBottom w:val="0"/>
      <w:divBdr>
        <w:top w:val="none" w:sz="0" w:space="0" w:color="auto"/>
        <w:left w:val="none" w:sz="0" w:space="0" w:color="auto"/>
        <w:bottom w:val="none" w:sz="0" w:space="0" w:color="auto"/>
        <w:right w:val="none" w:sz="0" w:space="0" w:color="auto"/>
      </w:divBdr>
    </w:div>
    <w:div w:id="1830779993">
      <w:bodyDiv w:val="1"/>
      <w:marLeft w:val="0"/>
      <w:marRight w:val="0"/>
      <w:marTop w:val="0"/>
      <w:marBottom w:val="0"/>
      <w:divBdr>
        <w:top w:val="none" w:sz="0" w:space="0" w:color="auto"/>
        <w:left w:val="none" w:sz="0" w:space="0" w:color="auto"/>
        <w:bottom w:val="none" w:sz="0" w:space="0" w:color="auto"/>
        <w:right w:val="none" w:sz="0" w:space="0" w:color="auto"/>
      </w:divBdr>
      <w:divsChild>
        <w:div w:id="402797181">
          <w:marLeft w:val="547"/>
          <w:marRight w:val="0"/>
          <w:marTop w:val="0"/>
          <w:marBottom w:val="0"/>
          <w:divBdr>
            <w:top w:val="none" w:sz="0" w:space="0" w:color="auto"/>
            <w:left w:val="none" w:sz="0" w:space="0" w:color="auto"/>
            <w:bottom w:val="none" w:sz="0" w:space="0" w:color="auto"/>
            <w:right w:val="none" w:sz="0" w:space="0" w:color="auto"/>
          </w:divBdr>
        </w:div>
        <w:div w:id="1669553485">
          <w:marLeft w:val="547"/>
          <w:marRight w:val="0"/>
          <w:marTop w:val="0"/>
          <w:marBottom w:val="0"/>
          <w:divBdr>
            <w:top w:val="none" w:sz="0" w:space="0" w:color="auto"/>
            <w:left w:val="none" w:sz="0" w:space="0" w:color="auto"/>
            <w:bottom w:val="none" w:sz="0" w:space="0" w:color="auto"/>
            <w:right w:val="none" w:sz="0" w:space="0" w:color="auto"/>
          </w:divBdr>
        </w:div>
      </w:divsChild>
    </w:div>
    <w:div w:id="1845701977">
      <w:bodyDiv w:val="1"/>
      <w:marLeft w:val="0"/>
      <w:marRight w:val="0"/>
      <w:marTop w:val="0"/>
      <w:marBottom w:val="0"/>
      <w:divBdr>
        <w:top w:val="none" w:sz="0" w:space="0" w:color="auto"/>
        <w:left w:val="none" w:sz="0" w:space="0" w:color="auto"/>
        <w:bottom w:val="none" w:sz="0" w:space="0" w:color="auto"/>
        <w:right w:val="none" w:sz="0" w:space="0" w:color="auto"/>
      </w:divBdr>
    </w:div>
    <w:div w:id="1900090778">
      <w:bodyDiv w:val="1"/>
      <w:marLeft w:val="0"/>
      <w:marRight w:val="0"/>
      <w:marTop w:val="0"/>
      <w:marBottom w:val="0"/>
      <w:divBdr>
        <w:top w:val="none" w:sz="0" w:space="0" w:color="auto"/>
        <w:left w:val="none" w:sz="0" w:space="0" w:color="auto"/>
        <w:bottom w:val="none" w:sz="0" w:space="0" w:color="auto"/>
        <w:right w:val="none" w:sz="0" w:space="0" w:color="auto"/>
      </w:divBdr>
      <w:divsChild>
        <w:div w:id="1437169944">
          <w:marLeft w:val="893"/>
          <w:marRight w:val="0"/>
          <w:marTop w:val="0"/>
          <w:marBottom w:val="0"/>
          <w:divBdr>
            <w:top w:val="none" w:sz="0" w:space="0" w:color="auto"/>
            <w:left w:val="none" w:sz="0" w:space="0" w:color="auto"/>
            <w:bottom w:val="none" w:sz="0" w:space="0" w:color="auto"/>
            <w:right w:val="none" w:sz="0" w:space="0" w:color="auto"/>
          </w:divBdr>
        </w:div>
        <w:div w:id="1314527824">
          <w:marLeft w:val="893"/>
          <w:marRight w:val="0"/>
          <w:marTop w:val="0"/>
          <w:marBottom w:val="0"/>
          <w:divBdr>
            <w:top w:val="none" w:sz="0" w:space="0" w:color="auto"/>
            <w:left w:val="none" w:sz="0" w:space="0" w:color="auto"/>
            <w:bottom w:val="none" w:sz="0" w:space="0" w:color="auto"/>
            <w:right w:val="none" w:sz="0" w:space="0" w:color="auto"/>
          </w:divBdr>
        </w:div>
        <w:div w:id="481045533">
          <w:marLeft w:val="893"/>
          <w:marRight w:val="0"/>
          <w:marTop w:val="0"/>
          <w:marBottom w:val="0"/>
          <w:divBdr>
            <w:top w:val="none" w:sz="0" w:space="0" w:color="auto"/>
            <w:left w:val="none" w:sz="0" w:space="0" w:color="auto"/>
            <w:bottom w:val="none" w:sz="0" w:space="0" w:color="auto"/>
            <w:right w:val="none" w:sz="0" w:space="0" w:color="auto"/>
          </w:divBdr>
        </w:div>
        <w:div w:id="1848251781">
          <w:marLeft w:val="893"/>
          <w:marRight w:val="0"/>
          <w:marTop w:val="0"/>
          <w:marBottom w:val="0"/>
          <w:divBdr>
            <w:top w:val="none" w:sz="0" w:space="0" w:color="auto"/>
            <w:left w:val="none" w:sz="0" w:space="0" w:color="auto"/>
            <w:bottom w:val="none" w:sz="0" w:space="0" w:color="auto"/>
            <w:right w:val="none" w:sz="0" w:space="0" w:color="auto"/>
          </w:divBdr>
        </w:div>
        <w:div w:id="1234587540">
          <w:marLeft w:val="893"/>
          <w:marRight w:val="0"/>
          <w:marTop w:val="0"/>
          <w:marBottom w:val="0"/>
          <w:divBdr>
            <w:top w:val="none" w:sz="0" w:space="0" w:color="auto"/>
            <w:left w:val="none" w:sz="0" w:space="0" w:color="auto"/>
            <w:bottom w:val="none" w:sz="0" w:space="0" w:color="auto"/>
            <w:right w:val="none" w:sz="0" w:space="0" w:color="auto"/>
          </w:divBdr>
        </w:div>
      </w:divsChild>
    </w:div>
    <w:div w:id="1916010777">
      <w:bodyDiv w:val="1"/>
      <w:marLeft w:val="0"/>
      <w:marRight w:val="0"/>
      <w:marTop w:val="0"/>
      <w:marBottom w:val="0"/>
      <w:divBdr>
        <w:top w:val="none" w:sz="0" w:space="0" w:color="auto"/>
        <w:left w:val="none" w:sz="0" w:space="0" w:color="auto"/>
        <w:bottom w:val="none" w:sz="0" w:space="0" w:color="auto"/>
        <w:right w:val="none" w:sz="0" w:space="0" w:color="auto"/>
      </w:divBdr>
      <w:divsChild>
        <w:div w:id="1985230458">
          <w:marLeft w:val="720"/>
          <w:marRight w:val="0"/>
          <w:marTop w:val="400"/>
          <w:marBottom w:val="0"/>
          <w:divBdr>
            <w:top w:val="none" w:sz="0" w:space="0" w:color="auto"/>
            <w:left w:val="none" w:sz="0" w:space="0" w:color="auto"/>
            <w:bottom w:val="none" w:sz="0" w:space="0" w:color="auto"/>
            <w:right w:val="none" w:sz="0" w:space="0" w:color="auto"/>
          </w:divBdr>
        </w:div>
      </w:divsChild>
    </w:div>
    <w:div w:id="1931431796">
      <w:bodyDiv w:val="1"/>
      <w:marLeft w:val="0"/>
      <w:marRight w:val="0"/>
      <w:marTop w:val="0"/>
      <w:marBottom w:val="0"/>
      <w:divBdr>
        <w:top w:val="none" w:sz="0" w:space="0" w:color="auto"/>
        <w:left w:val="none" w:sz="0" w:space="0" w:color="auto"/>
        <w:bottom w:val="none" w:sz="0" w:space="0" w:color="auto"/>
        <w:right w:val="none" w:sz="0" w:space="0" w:color="auto"/>
      </w:divBdr>
    </w:div>
    <w:div w:id="1939021786">
      <w:bodyDiv w:val="1"/>
      <w:marLeft w:val="0"/>
      <w:marRight w:val="0"/>
      <w:marTop w:val="0"/>
      <w:marBottom w:val="0"/>
      <w:divBdr>
        <w:top w:val="none" w:sz="0" w:space="0" w:color="auto"/>
        <w:left w:val="none" w:sz="0" w:space="0" w:color="auto"/>
        <w:bottom w:val="none" w:sz="0" w:space="0" w:color="auto"/>
        <w:right w:val="none" w:sz="0" w:space="0" w:color="auto"/>
      </w:divBdr>
    </w:div>
    <w:div w:id="1952005499">
      <w:bodyDiv w:val="1"/>
      <w:marLeft w:val="0"/>
      <w:marRight w:val="0"/>
      <w:marTop w:val="0"/>
      <w:marBottom w:val="0"/>
      <w:divBdr>
        <w:top w:val="none" w:sz="0" w:space="0" w:color="auto"/>
        <w:left w:val="none" w:sz="0" w:space="0" w:color="auto"/>
        <w:bottom w:val="none" w:sz="0" w:space="0" w:color="auto"/>
        <w:right w:val="none" w:sz="0" w:space="0" w:color="auto"/>
      </w:divBdr>
    </w:div>
    <w:div w:id="1970893150">
      <w:bodyDiv w:val="1"/>
      <w:marLeft w:val="0"/>
      <w:marRight w:val="0"/>
      <w:marTop w:val="0"/>
      <w:marBottom w:val="0"/>
      <w:divBdr>
        <w:top w:val="none" w:sz="0" w:space="0" w:color="auto"/>
        <w:left w:val="none" w:sz="0" w:space="0" w:color="auto"/>
        <w:bottom w:val="none" w:sz="0" w:space="0" w:color="auto"/>
        <w:right w:val="none" w:sz="0" w:space="0" w:color="auto"/>
      </w:divBdr>
    </w:div>
    <w:div w:id="1990401267">
      <w:bodyDiv w:val="1"/>
      <w:marLeft w:val="0"/>
      <w:marRight w:val="0"/>
      <w:marTop w:val="0"/>
      <w:marBottom w:val="0"/>
      <w:divBdr>
        <w:top w:val="none" w:sz="0" w:space="0" w:color="auto"/>
        <w:left w:val="none" w:sz="0" w:space="0" w:color="auto"/>
        <w:bottom w:val="none" w:sz="0" w:space="0" w:color="auto"/>
        <w:right w:val="none" w:sz="0" w:space="0" w:color="auto"/>
      </w:divBdr>
      <w:divsChild>
        <w:div w:id="1689866198">
          <w:marLeft w:val="0"/>
          <w:marRight w:val="0"/>
          <w:marTop w:val="0"/>
          <w:marBottom w:val="0"/>
          <w:divBdr>
            <w:top w:val="none" w:sz="0" w:space="0" w:color="auto"/>
            <w:left w:val="none" w:sz="0" w:space="0" w:color="auto"/>
            <w:bottom w:val="none" w:sz="0" w:space="0" w:color="auto"/>
            <w:right w:val="none" w:sz="0" w:space="0" w:color="auto"/>
          </w:divBdr>
          <w:divsChild>
            <w:div w:id="421804950">
              <w:marLeft w:val="0"/>
              <w:marRight w:val="0"/>
              <w:marTop w:val="0"/>
              <w:marBottom w:val="0"/>
              <w:divBdr>
                <w:top w:val="none" w:sz="0" w:space="0" w:color="auto"/>
                <w:left w:val="none" w:sz="0" w:space="0" w:color="auto"/>
                <w:bottom w:val="none" w:sz="0" w:space="0" w:color="auto"/>
                <w:right w:val="none" w:sz="0" w:space="0" w:color="auto"/>
              </w:divBdr>
            </w:div>
            <w:div w:id="21283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6053">
      <w:bodyDiv w:val="1"/>
      <w:marLeft w:val="0"/>
      <w:marRight w:val="0"/>
      <w:marTop w:val="0"/>
      <w:marBottom w:val="0"/>
      <w:divBdr>
        <w:top w:val="none" w:sz="0" w:space="0" w:color="auto"/>
        <w:left w:val="none" w:sz="0" w:space="0" w:color="auto"/>
        <w:bottom w:val="none" w:sz="0" w:space="0" w:color="auto"/>
        <w:right w:val="none" w:sz="0" w:space="0" w:color="auto"/>
      </w:divBdr>
      <w:divsChild>
        <w:div w:id="2111124875">
          <w:marLeft w:val="547"/>
          <w:marRight w:val="0"/>
          <w:marTop w:val="0"/>
          <w:marBottom w:val="0"/>
          <w:divBdr>
            <w:top w:val="none" w:sz="0" w:space="0" w:color="auto"/>
            <w:left w:val="none" w:sz="0" w:space="0" w:color="auto"/>
            <w:bottom w:val="none" w:sz="0" w:space="0" w:color="auto"/>
            <w:right w:val="none" w:sz="0" w:space="0" w:color="auto"/>
          </w:divBdr>
        </w:div>
        <w:div w:id="872883291">
          <w:marLeft w:val="547"/>
          <w:marRight w:val="0"/>
          <w:marTop w:val="0"/>
          <w:marBottom w:val="0"/>
          <w:divBdr>
            <w:top w:val="none" w:sz="0" w:space="0" w:color="auto"/>
            <w:left w:val="none" w:sz="0" w:space="0" w:color="auto"/>
            <w:bottom w:val="none" w:sz="0" w:space="0" w:color="auto"/>
            <w:right w:val="none" w:sz="0" w:space="0" w:color="auto"/>
          </w:divBdr>
        </w:div>
        <w:div w:id="1782260382">
          <w:marLeft w:val="547"/>
          <w:marRight w:val="0"/>
          <w:marTop w:val="0"/>
          <w:marBottom w:val="0"/>
          <w:divBdr>
            <w:top w:val="none" w:sz="0" w:space="0" w:color="auto"/>
            <w:left w:val="none" w:sz="0" w:space="0" w:color="auto"/>
            <w:bottom w:val="none" w:sz="0" w:space="0" w:color="auto"/>
            <w:right w:val="none" w:sz="0" w:space="0" w:color="auto"/>
          </w:divBdr>
        </w:div>
        <w:div w:id="671107619">
          <w:marLeft w:val="547"/>
          <w:marRight w:val="0"/>
          <w:marTop w:val="0"/>
          <w:marBottom w:val="0"/>
          <w:divBdr>
            <w:top w:val="none" w:sz="0" w:space="0" w:color="auto"/>
            <w:left w:val="none" w:sz="0" w:space="0" w:color="auto"/>
            <w:bottom w:val="none" w:sz="0" w:space="0" w:color="auto"/>
            <w:right w:val="none" w:sz="0" w:space="0" w:color="auto"/>
          </w:divBdr>
        </w:div>
        <w:div w:id="1207913340">
          <w:marLeft w:val="547"/>
          <w:marRight w:val="0"/>
          <w:marTop w:val="0"/>
          <w:marBottom w:val="0"/>
          <w:divBdr>
            <w:top w:val="none" w:sz="0" w:space="0" w:color="auto"/>
            <w:left w:val="none" w:sz="0" w:space="0" w:color="auto"/>
            <w:bottom w:val="none" w:sz="0" w:space="0" w:color="auto"/>
            <w:right w:val="none" w:sz="0" w:space="0" w:color="auto"/>
          </w:divBdr>
        </w:div>
      </w:divsChild>
    </w:div>
    <w:div w:id="2020041542">
      <w:bodyDiv w:val="1"/>
      <w:marLeft w:val="0"/>
      <w:marRight w:val="0"/>
      <w:marTop w:val="0"/>
      <w:marBottom w:val="0"/>
      <w:divBdr>
        <w:top w:val="none" w:sz="0" w:space="0" w:color="auto"/>
        <w:left w:val="none" w:sz="0" w:space="0" w:color="auto"/>
        <w:bottom w:val="none" w:sz="0" w:space="0" w:color="auto"/>
        <w:right w:val="none" w:sz="0" w:space="0" w:color="auto"/>
      </w:divBdr>
      <w:divsChild>
        <w:div w:id="960460886">
          <w:marLeft w:val="547"/>
          <w:marRight w:val="0"/>
          <w:marTop w:val="96"/>
          <w:marBottom w:val="0"/>
          <w:divBdr>
            <w:top w:val="none" w:sz="0" w:space="0" w:color="auto"/>
            <w:left w:val="none" w:sz="0" w:space="0" w:color="auto"/>
            <w:bottom w:val="none" w:sz="0" w:space="0" w:color="auto"/>
            <w:right w:val="none" w:sz="0" w:space="0" w:color="auto"/>
          </w:divBdr>
        </w:div>
        <w:div w:id="1691639567">
          <w:marLeft w:val="547"/>
          <w:marRight w:val="0"/>
          <w:marTop w:val="96"/>
          <w:marBottom w:val="0"/>
          <w:divBdr>
            <w:top w:val="none" w:sz="0" w:space="0" w:color="auto"/>
            <w:left w:val="none" w:sz="0" w:space="0" w:color="auto"/>
            <w:bottom w:val="none" w:sz="0" w:space="0" w:color="auto"/>
            <w:right w:val="none" w:sz="0" w:space="0" w:color="auto"/>
          </w:divBdr>
        </w:div>
        <w:div w:id="654842201">
          <w:marLeft w:val="547"/>
          <w:marRight w:val="0"/>
          <w:marTop w:val="96"/>
          <w:marBottom w:val="0"/>
          <w:divBdr>
            <w:top w:val="none" w:sz="0" w:space="0" w:color="auto"/>
            <w:left w:val="none" w:sz="0" w:space="0" w:color="auto"/>
            <w:bottom w:val="none" w:sz="0" w:space="0" w:color="auto"/>
            <w:right w:val="none" w:sz="0" w:space="0" w:color="auto"/>
          </w:divBdr>
        </w:div>
        <w:div w:id="1140728387">
          <w:marLeft w:val="547"/>
          <w:marRight w:val="0"/>
          <w:marTop w:val="96"/>
          <w:marBottom w:val="0"/>
          <w:divBdr>
            <w:top w:val="none" w:sz="0" w:space="0" w:color="auto"/>
            <w:left w:val="none" w:sz="0" w:space="0" w:color="auto"/>
            <w:bottom w:val="none" w:sz="0" w:space="0" w:color="auto"/>
            <w:right w:val="none" w:sz="0" w:space="0" w:color="auto"/>
          </w:divBdr>
        </w:div>
      </w:divsChild>
    </w:div>
    <w:div w:id="2035811121">
      <w:bodyDiv w:val="1"/>
      <w:marLeft w:val="0"/>
      <w:marRight w:val="0"/>
      <w:marTop w:val="0"/>
      <w:marBottom w:val="0"/>
      <w:divBdr>
        <w:top w:val="none" w:sz="0" w:space="0" w:color="auto"/>
        <w:left w:val="none" w:sz="0" w:space="0" w:color="auto"/>
        <w:bottom w:val="none" w:sz="0" w:space="0" w:color="auto"/>
        <w:right w:val="none" w:sz="0" w:space="0" w:color="auto"/>
      </w:divBdr>
    </w:div>
    <w:div w:id="2039773494">
      <w:bodyDiv w:val="1"/>
      <w:marLeft w:val="0"/>
      <w:marRight w:val="0"/>
      <w:marTop w:val="0"/>
      <w:marBottom w:val="0"/>
      <w:divBdr>
        <w:top w:val="none" w:sz="0" w:space="0" w:color="auto"/>
        <w:left w:val="none" w:sz="0" w:space="0" w:color="auto"/>
        <w:bottom w:val="none" w:sz="0" w:space="0" w:color="auto"/>
        <w:right w:val="none" w:sz="0" w:space="0" w:color="auto"/>
      </w:divBdr>
      <w:divsChild>
        <w:div w:id="2025859669">
          <w:marLeft w:val="850"/>
          <w:marRight w:val="0"/>
          <w:marTop w:val="0"/>
          <w:marBottom w:val="0"/>
          <w:divBdr>
            <w:top w:val="none" w:sz="0" w:space="0" w:color="auto"/>
            <w:left w:val="none" w:sz="0" w:space="0" w:color="auto"/>
            <w:bottom w:val="none" w:sz="0" w:space="0" w:color="auto"/>
            <w:right w:val="none" w:sz="0" w:space="0" w:color="auto"/>
          </w:divBdr>
        </w:div>
        <w:div w:id="1284310092">
          <w:marLeft w:val="850"/>
          <w:marRight w:val="0"/>
          <w:marTop w:val="144"/>
          <w:marBottom w:val="0"/>
          <w:divBdr>
            <w:top w:val="none" w:sz="0" w:space="0" w:color="auto"/>
            <w:left w:val="none" w:sz="0" w:space="0" w:color="auto"/>
            <w:bottom w:val="none" w:sz="0" w:space="0" w:color="auto"/>
            <w:right w:val="none" w:sz="0" w:space="0" w:color="auto"/>
          </w:divBdr>
        </w:div>
        <w:div w:id="855120434">
          <w:marLeft w:val="850"/>
          <w:marRight w:val="0"/>
          <w:marTop w:val="144"/>
          <w:marBottom w:val="0"/>
          <w:divBdr>
            <w:top w:val="none" w:sz="0" w:space="0" w:color="auto"/>
            <w:left w:val="none" w:sz="0" w:space="0" w:color="auto"/>
            <w:bottom w:val="none" w:sz="0" w:space="0" w:color="auto"/>
            <w:right w:val="none" w:sz="0" w:space="0" w:color="auto"/>
          </w:divBdr>
        </w:div>
        <w:div w:id="2060787447">
          <w:marLeft w:val="850"/>
          <w:marRight w:val="0"/>
          <w:marTop w:val="144"/>
          <w:marBottom w:val="0"/>
          <w:divBdr>
            <w:top w:val="none" w:sz="0" w:space="0" w:color="auto"/>
            <w:left w:val="none" w:sz="0" w:space="0" w:color="auto"/>
            <w:bottom w:val="none" w:sz="0" w:space="0" w:color="auto"/>
            <w:right w:val="none" w:sz="0" w:space="0" w:color="auto"/>
          </w:divBdr>
        </w:div>
        <w:div w:id="1960329761">
          <w:marLeft w:val="850"/>
          <w:marRight w:val="0"/>
          <w:marTop w:val="144"/>
          <w:marBottom w:val="0"/>
          <w:divBdr>
            <w:top w:val="none" w:sz="0" w:space="0" w:color="auto"/>
            <w:left w:val="none" w:sz="0" w:space="0" w:color="auto"/>
            <w:bottom w:val="none" w:sz="0" w:space="0" w:color="auto"/>
            <w:right w:val="none" w:sz="0" w:space="0" w:color="auto"/>
          </w:divBdr>
        </w:div>
        <w:div w:id="1967927072">
          <w:marLeft w:val="850"/>
          <w:marRight w:val="0"/>
          <w:marTop w:val="144"/>
          <w:marBottom w:val="0"/>
          <w:divBdr>
            <w:top w:val="none" w:sz="0" w:space="0" w:color="auto"/>
            <w:left w:val="none" w:sz="0" w:space="0" w:color="auto"/>
            <w:bottom w:val="none" w:sz="0" w:space="0" w:color="auto"/>
            <w:right w:val="none" w:sz="0" w:space="0" w:color="auto"/>
          </w:divBdr>
        </w:div>
      </w:divsChild>
    </w:div>
    <w:div w:id="2049065476">
      <w:bodyDiv w:val="1"/>
      <w:marLeft w:val="0"/>
      <w:marRight w:val="0"/>
      <w:marTop w:val="0"/>
      <w:marBottom w:val="0"/>
      <w:divBdr>
        <w:top w:val="none" w:sz="0" w:space="0" w:color="auto"/>
        <w:left w:val="none" w:sz="0" w:space="0" w:color="auto"/>
        <w:bottom w:val="none" w:sz="0" w:space="0" w:color="auto"/>
        <w:right w:val="none" w:sz="0" w:space="0" w:color="auto"/>
      </w:divBdr>
      <w:divsChild>
        <w:div w:id="2116317474">
          <w:marLeft w:val="547"/>
          <w:marRight w:val="0"/>
          <w:marTop w:val="154"/>
          <w:marBottom w:val="0"/>
          <w:divBdr>
            <w:top w:val="none" w:sz="0" w:space="0" w:color="auto"/>
            <w:left w:val="none" w:sz="0" w:space="0" w:color="auto"/>
            <w:bottom w:val="none" w:sz="0" w:space="0" w:color="auto"/>
            <w:right w:val="none" w:sz="0" w:space="0" w:color="auto"/>
          </w:divBdr>
        </w:div>
        <w:div w:id="329915564">
          <w:marLeft w:val="547"/>
          <w:marRight w:val="0"/>
          <w:marTop w:val="154"/>
          <w:marBottom w:val="0"/>
          <w:divBdr>
            <w:top w:val="none" w:sz="0" w:space="0" w:color="auto"/>
            <w:left w:val="none" w:sz="0" w:space="0" w:color="auto"/>
            <w:bottom w:val="none" w:sz="0" w:space="0" w:color="auto"/>
            <w:right w:val="none" w:sz="0" w:space="0" w:color="auto"/>
          </w:divBdr>
        </w:div>
        <w:div w:id="1880631782">
          <w:marLeft w:val="547"/>
          <w:marRight w:val="0"/>
          <w:marTop w:val="154"/>
          <w:marBottom w:val="0"/>
          <w:divBdr>
            <w:top w:val="none" w:sz="0" w:space="0" w:color="auto"/>
            <w:left w:val="none" w:sz="0" w:space="0" w:color="auto"/>
            <w:bottom w:val="none" w:sz="0" w:space="0" w:color="auto"/>
            <w:right w:val="none" w:sz="0" w:space="0" w:color="auto"/>
          </w:divBdr>
        </w:div>
      </w:divsChild>
    </w:div>
    <w:div w:id="2074813220">
      <w:bodyDiv w:val="1"/>
      <w:marLeft w:val="0"/>
      <w:marRight w:val="0"/>
      <w:marTop w:val="0"/>
      <w:marBottom w:val="0"/>
      <w:divBdr>
        <w:top w:val="none" w:sz="0" w:space="0" w:color="auto"/>
        <w:left w:val="none" w:sz="0" w:space="0" w:color="auto"/>
        <w:bottom w:val="none" w:sz="0" w:space="0" w:color="auto"/>
        <w:right w:val="none" w:sz="0" w:space="0" w:color="auto"/>
      </w:divBdr>
    </w:div>
    <w:div w:id="2077824577">
      <w:bodyDiv w:val="1"/>
      <w:marLeft w:val="0"/>
      <w:marRight w:val="0"/>
      <w:marTop w:val="0"/>
      <w:marBottom w:val="0"/>
      <w:divBdr>
        <w:top w:val="none" w:sz="0" w:space="0" w:color="auto"/>
        <w:left w:val="none" w:sz="0" w:space="0" w:color="auto"/>
        <w:bottom w:val="none" w:sz="0" w:space="0" w:color="auto"/>
        <w:right w:val="none" w:sz="0" w:space="0" w:color="auto"/>
      </w:divBdr>
    </w:div>
    <w:div w:id="2079203478">
      <w:bodyDiv w:val="1"/>
      <w:marLeft w:val="0"/>
      <w:marRight w:val="0"/>
      <w:marTop w:val="0"/>
      <w:marBottom w:val="0"/>
      <w:divBdr>
        <w:top w:val="none" w:sz="0" w:space="0" w:color="auto"/>
        <w:left w:val="none" w:sz="0" w:space="0" w:color="auto"/>
        <w:bottom w:val="none" w:sz="0" w:space="0" w:color="auto"/>
        <w:right w:val="none" w:sz="0" w:space="0" w:color="auto"/>
      </w:divBdr>
      <w:divsChild>
        <w:div w:id="1485387451">
          <w:marLeft w:val="835"/>
          <w:marRight w:val="0"/>
          <w:marTop w:val="0"/>
          <w:marBottom w:val="0"/>
          <w:divBdr>
            <w:top w:val="none" w:sz="0" w:space="0" w:color="auto"/>
            <w:left w:val="none" w:sz="0" w:space="0" w:color="auto"/>
            <w:bottom w:val="none" w:sz="0" w:space="0" w:color="auto"/>
            <w:right w:val="none" w:sz="0" w:space="0" w:color="auto"/>
          </w:divBdr>
        </w:div>
        <w:div w:id="878666849">
          <w:marLeft w:val="835"/>
          <w:marRight w:val="0"/>
          <w:marTop w:val="0"/>
          <w:marBottom w:val="0"/>
          <w:divBdr>
            <w:top w:val="none" w:sz="0" w:space="0" w:color="auto"/>
            <w:left w:val="none" w:sz="0" w:space="0" w:color="auto"/>
            <w:bottom w:val="none" w:sz="0" w:space="0" w:color="auto"/>
            <w:right w:val="none" w:sz="0" w:space="0" w:color="auto"/>
          </w:divBdr>
        </w:div>
      </w:divsChild>
    </w:div>
    <w:div w:id="2082363045">
      <w:bodyDiv w:val="1"/>
      <w:marLeft w:val="0"/>
      <w:marRight w:val="0"/>
      <w:marTop w:val="0"/>
      <w:marBottom w:val="0"/>
      <w:divBdr>
        <w:top w:val="none" w:sz="0" w:space="0" w:color="auto"/>
        <w:left w:val="none" w:sz="0" w:space="0" w:color="auto"/>
        <w:bottom w:val="none" w:sz="0" w:space="0" w:color="auto"/>
        <w:right w:val="none" w:sz="0" w:space="0" w:color="auto"/>
      </w:divBdr>
      <w:divsChild>
        <w:div w:id="1281571849">
          <w:marLeft w:val="446"/>
          <w:marRight w:val="0"/>
          <w:marTop w:val="115"/>
          <w:marBottom w:val="0"/>
          <w:divBdr>
            <w:top w:val="none" w:sz="0" w:space="0" w:color="auto"/>
            <w:left w:val="none" w:sz="0" w:space="0" w:color="auto"/>
            <w:bottom w:val="none" w:sz="0" w:space="0" w:color="auto"/>
            <w:right w:val="none" w:sz="0" w:space="0" w:color="auto"/>
          </w:divBdr>
        </w:div>
        <w:div w:id="626476606">
          <w:marLeft w:val="446"/>
          <w:marRight w:val="0"/>
          <w:marTop w:val="115"/>
          <w:marBottom w:val="0"/>
          <w:divBdr>
            <w:top w:val="none" w:sz="0" w:space="0" w:color="auto"/>
            <w:left w:val="none" w:sz="0" w:space="0" w:color="auto"/>
            <w:bottom w:val="none" w:sz="0" w:space="0" w:color="auto"/>
            <w:right w:val="none" w:sz="0" w:space="0" w:color="auto"/>
          </w:divBdr>
        </w:div>
        <w:div w:id="842009217">
          <w:marLeft w:val="1166"/>
          <w:marRight w:val="0"/>
          <w:marTop w:val="115"/>
          <w:marBottom w:val="0"/>
          <w:divBdr>
            <w:top w:val="none" w:sz="0" w:space="0" w:color="auto"/>
            <w:left w:val="none" w:sz="0" w:space="0" w:color="auto"/>
            <w:bottom w:val="none" w:sz="0" w:space="0" w:color="auto"/>
            <w:right w:val="none" w:sz="0" w:space="0" w:color="auto"/>
          </w:divBdr>
        </w:div>
        <w:div w:id="438262062">
          <w:marLeft w:val="1166"/>
          <w:marRight w:val="0"/>
          <w:marTop w:val="115"/>
          <w:marBottom w:val="0"/>
          <w:divBdr>
            <w:top w:val="none" w:sz="0" w:space="0" w:color="auto"/>
            <w:left w:val="none" w:sz="0" w:space="0" w:color="auto"/>
            <w:bottom w:val="none" w:sz="0" w:space="0" w:color="auto"/>
            <w:right w:val="none" w:sz="0" w:space="0" w:color="auto"/>
          </w:divBdr>
        </w:div>
        <w:div w:id="562446817">
          <w:marLeft w:val="1166"/>
          <w:marRight w:val="0"/>
          <w:marTop w:val="115"/>
          <w:marBottom w:val="0"/>
          <w:divBdr>
            <w:top w:val="none" w:sz="0" w:space="0" w:color="auto"/>
            <w:left w:val="none" w:sz="0" w:space="0" w:color="auto"/>
            <w:bottom w:val="none" w:sz="0" w:space="0" w:color="auto"/>
            <w:right w:val="none" w:sz="0" w:space="0" w:color="auto"/>
          </w:divBdr>
        </w:div>
      </w:divsChild>
    </w:div>
    <w:div w:id="2093969732">
      <w:bodyDiv w:val="1"/>
      <w:marLeft w:val="0"/>
      <w:marRight w:val="0"/>
      <w:marTop w:val="0"/>
      <w:marBottom w:val="0"/>
      <w:divBdr>
        <w:top w:val="none" w:sz="0" w:space="0" w:color="auto"/>
        <w:left w:val="none" w:sz="0" w:space="0" w:color="auto"/>
        <w:bottom w:val="none" w:sz="0" w:space="0" w:color="auto"/>
        <w:right w:val="none" w:sz="0" w:space="0" w:color="auto"/>
      </w:divBdr>
      <w:divsChild>
        <w:div w:id="1211263353">
          <w:marLeft w:val="979"/>
          <w:marRight w:val="0"/>
          <w:marTop w:val="0"/>
          <w:marBottom w:val="0"/>
          <w:divBdr>
            <w:top w:val="none" w:sz="0" w:space="0" w:color="auto"/>
            <w:left w:val="none" w:sz="0" w:space="0" w:color="auto"/>
            <w:bottom w:val="none" w:sz="0" w:space="0" w:color="auto"/>
            <w:right w:val="none" w:sz="0" w:space="0" w:color="auto"/>
          </w:divBdr>
        </w:div>
      </w:divsChild>
    </w:div>
    <w:div w:id="2103794481">
      <w:bodyDiv w:val="1"/>
      <w:marLeft w:val="0"/>
      <w:marRight w:val="0"/>
      <w:marTop w:val="0"/>
      <w:marBottom w:val="0"/>
      <w:divBdr>
        <w:top w:val="none" w:sz="0" w:space="0" w:color="auto"/>
        <w:left w:val="none" w:sz="0" w:space="0" w:color="auto"/>
        <w:bottom w:val="none" w:sz="0" w:space="0" w:color="auto"/>
        <w:right w:val="none" w:sz="0" w:space="0" w:color="auto"/>
      </w:divBdr>
      <w:divsChild>
        <w:div w:id="609774899">
          <w:marLeft w:val="619"/>
          <w:marRight w:val="0"/>
          <w:marTop w:val="0"/>
          <w:marBottom w:val="0"/>
          <w:divBdr>
            <w:top w:val="none" w:sz="0" w:space="0" w:color="auto"/>
            <w:left w:val="none" w:sz="0" w:space="0" w:color="auto"/>
            <w:bottom w:val="none" w:sz="0" w:space="0" w:color="auto"/>
            <w:right w:val="none" w:sz="0" w:space="0" w:color="auto"/>
          </w:divBdr>
        </w:div>
        <w:div w:id="2083746080">
          <w:marLeft w:val="619"/>
          <w:marRight w:val="0"/>
          <w:marTop w:val="0"/>
          <w:marBottom w:val="0"/>
          <w:divBdr>
            <w:top w:val="none" w:sz="0" w:space="0" w:color="auto"/>
            <w:left w:val="none" w:sz="0" w:space="0" w:color="auto"/>
            <w:bottom w:val="none" w:sz="0" w:space="0" w:color="auto"/>
            <w:right w:val="none" w:sz="0" w:space="0" w:color="auto"/>
          </w:divBdr>
        </w:div>
        <w:div w:id="586764630">
          <w:marLeft w:val="1224"/>
          <w:marRight w:val="0"/>
          <w:marTop w:val="0"/>
          <w:marBottom w:val="0"/>
          <w:divBdr>
            <w:top w:val="none" w:sz="0" w:space="0" w:color="auto"/>
            <w:left w:val="none" w:sz="0" w:space="0" w:color="auto"/>
            <w:bottom w:val="none" w:sz="0" w:space="0" w:color="auto"/>
            <w:right w:val="none" w:sz="0" w:space="0" w:color="auto"/>
          </w:divBdr>
        </w:div>
        <w:div w:id="915170920">
          <w:marLeft w:val="1224"/>
          <w:marRight w:val="0"/>
          <w:marTop w:val="0"/>
          <w:marBottom w:val="0"/>
          <w:divBdr>
            <w:top w:val="none" w:sz="0" w:space="0" w:color="auto"/>
            <w:left w:val="none" w:sz="0" w:space="0" w:color="auto"/>
            <w:bottom w:val="none" w:sz="0" w:space="0" w:color="auto"/>
            <w:right w:val="none" w:sz="0" w:space="0" w:color="auto"/>
          </w:divBdr>
        </w:div>
        <w:div w:id="1221870096">
          <w:marLeft w:val="1224"/>
          <w:marRight w:val="0"/>
          <w:marTop w:val="0"/>
          <w:marBottom w:val="0"/>
          <w:divBdr>
            <w:top w:val="none" w:sz="0" w:space="0" w:color="auto"/>
            <w:left w:val="none" w:sz="0" w:space="0" w:color="auto"/>
            <w:bottom w:val="none" w:sz="0" w:space="0" w:color="auto"/>
            <w:right w:val="none" w:sz="0" w:space="0" w:color="auto"/>
          </w:divBdr>
        </w:div>
        <w:div w:id="1681393036">
          <w:marLeft w:val="1224"/>
          <w:marRight w:val="0"/>
          <w:marTop w:val="0"/>
          <w:marBottom w:val="0"/>
          <w:divBdr>
            <w:top w:val="none" w:sz="0" w:space="0" w:color="auto"/>
            <w:left w:val="none" w:sz="0" w:space="0" w:color="auto"/>
            <w:bottom w:val="none" w:sz="0" w:space="0" w:color="auto"/>
            <w:right w:val="none" w:sz="0" w:space="0" w:color="auto"/>
          </w:divBdr>
        </w:div>
        <w:div w:id="2059207894">
          <w:marLeft w:val="1224"/>
          <w:marRight w:val="0"/>
          <w:marTop w:val="0"/>
          <w:marBottom w:val="0"/>
          <w:divBdr>
            <w:top w:val="none" w:sz="0" w:space="0" w:color="auto"/>
            <w:left w:val="none" w:sz="0" w:space="0" w:color="auto"/>
            <w:bottom w:val="none" w:sz="0" w:space="0" w:color="auto"/>
            <w:right w:val="none" w:sz="0" w:space="0" w:color="auto"/>
          </w:divBdr>
        </w:div>
      </w:divsChild>
    </w:div>
    <w:div w:id="2119906094">
      <w:bodyDiv w:val="1"/>
      <w:marLeft w:val="0"/>
      <w:marRight w:val="0"/>
      <w:marTop w:val="0"/>
      <w:marBottom w:val="0"/>
      <w:divBdr>
        <w:top w:val="none" w:sz="0" w:space="0" w:color="auto"/>
        <w:left w:val="none" w:sz="0" w:space="0" w:color="auto"/>
        <w:bottom w:val="none" w:sz="0" w:space="0" w:color="auto"/>
        <w:right w:val="none" w:sz="0" w:space="0" w:color="auto"/>
      </w:divBdr>
    </w:div>
    <w:div w:id="213779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eanexpert.org/event/4089" TargetMode="External"/><Relationship Id="rId117" Type="http://schemas.openxmlformats.org/officeDocument/2006/relationships/hyperlink" Target="https://www.undrr.org/words-into-action/guide-multi-hazard-early-warning" TargetMode="External"/><Relationship Id="rId21" Type="http://schemas.openxmlformats.org/officeDocument/2006/relationships/image" Target="media/image2.png"/><Relationship Id="rId42" Type="http://schemas.openxmlformats.org/officeDocument/2006/relationships/hyperlink" Target="https://oceanexpert.org/downloadFile/58197" TargetMode="External"/><Relationship Id="rId47" Type="http://schemas.openxmlformats.org/officeDocument/2006/relationships/header" Target="header7.xml"/><Relationship Id="rId63" Type="http://schemas.openxmlformats.org/officeDocument/2006/relationships/hyperlink" Target="http://www.undrr.org/" TargetMode="External"/><Relationship Id="rId68" Type="http://schemas.openxmlformats.org/officeDocument/2006/relationships/image" Target="media/image5.png"/><Relationship Id="rId84" Type="http://schemas.openxmlformats.org/officeDocument/2006/relationships/hyperlink" Target="https://oceanexpert.org/document/14575" TargetMode="External"/><Relationship Id="rId89" Type="http://schemas.openxmlformats.org/officeDocument/2006/relationships/hyperlink" Target="https://oceanexpert.org/document/35652" TargetMode="External"/><Relationship Id="rId112" Type="http://schemas.openxmlformats.org/officeDocument/2006/relationships/hyperlink" Target="https://oceanexpert.org/document/35992" TargetMode="External"/><Relationship Id="rId133" Type="http://schemas.openxmlformats.org/officeDocument/2006/relationships/hyperlink" Target="mailto:regina.khanbekova@un.org" TargetMode="External"/><Relationship Id="rId138" Type="http://schemas.openxmlformats.org/officeDocument/2006/relationships/hyperlink" Target="mailto:charles.mccreery@noaa.gov" TargetMode="External"/><Relationship Id="rId154" Type="http://schemas.openxmlformats.org/officeDocument/2006/relationships/header" Target="header16.xml"/><Relationship Id="rId16" Type="http://schemas.openxmlformats.org/officeDocument/2006/relationships/hyperlink" Target="https://classroom.oceanteacher.org/" TargetMode="External"/><Relationship Id="rId107" Type="http://schemas.openxmlformats.org/officeDocument/2006/relationships/hyperlink" Target="https://www.google.com/url?q=https://www.undrr.org/words-into-action/guide-multi-hazard-early-warning&amp;sa=D&amp;source=docs&amp;ust=1740245811806624&amp;usg=AOvVaw2c6xSsSe6Iha1PcqfeykXz" TargetMode="External"/><Relationship Id="rId11" Type="http://schemas.openxmlformats.org/officeDocument/2006/relationships/header" Target="header3.xml"/><Relationship Id="rId32" Type="http://schemas.openxmlformats.org/officeDocument/2006/relationships/hyperlink" Target="https://oceanexpert.org/event/4561" TargetMode="External"/><Relationship Id="rId37" Type="http://schemas.openxmlformats.org/officeDocument/2006/relationships/hyperlink" Target="https://oceanexpert.org/downloadFile/58193" TargetMode="External"/><Relationship Id="rId53" Type="http://schemas.openxmlformats.org/officeDocument/2006/relationships/hyperlink" Target="https://unesdoc.unesco.org/ark:/48223/pf0000392653.locale=en" TargetMode="External"/><Relationship Id="rId58" Type="http://schemas.openxmlformats.org/officeDocument/2006/relationships/hyperlink" Target="https://tsunami.ioc.unesco.org/en/impact/eyewitness-survivors-project" TargetMode="External"/><Relationship Id="rId74" Type="http://schemas.openxmlformats.org/officeDocument/2006/relationships/footer" Target="footer2.xml"/><Relationship Id="rId79" Type="http://schemas.openxmlformats.org/officeDocument/2006/relationships/hyperlink" Target="https://oceanexpert.org/document/35494" TargetMode="External"/><Relationship Id="rId102" Type="http://schemas.openxmlformats.org/officeDocument/2006/relationships/hyperlink" Target="https://www.scielo.cl/scielo.php?script=sci_arttext&amp;pid=S0718-71062009000100011&amp;lng=en&amp;nrm=iso&amp;tlng=en" TargetMode="External"/><Relationship Id="rId123" Type="http://schemas.openxmlformats.org/officeDocument/2006/relationships/header" Target="header12.xml"/><Relationship Id="rId128" Type="http://schemas.openxmlformats.org/officeDocument/2006/relationships/hyperlink" Target="mailto:laura.kong@noaa.gov" TargetMode="External"/><Relationship Id="rId144" Type="http://schemas.openxmlformats.org/officeDocument/2006/relationships/hyperlink" Target="mailto:b.aliaga@unesco.org" TargetMode="External"/><Relationship Id="rId149"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hyperlink" Target="https://oceanexpert.org/document/35644" TargetMode="External"/><Relationship Id="rId95" Type="http://schemas.openxmlformats.org/officeDocument/2006/relationships/hyperlink" Target="https://oceanexpert.org/document/35647" TargetMode="External"/><Relationship Id="rId22" Type="http://schemas.openxmlformats.org/officeDocument/2006/relationships/hyperlink" Target="https://oceanexpert.org/document/35427" TargetMode="External"/><Relationship Id="rId27" Type="http://schemas.openxmlformats.org/officeDocument/2006/relationships/hyperlink" Target="https://oceanexpert.org/downloadFile/58179" TargetMode="External"/><Relationship Id="rId43" Type="http://schemas.openxmlformats.org/officeDocument/2006/relationships/hyperlink" Target="https://oceanexpert.org/downloadFile/58107" TargetMode="External"/><Relationship Id="rId48" Type="http://schemas.openxmlformats.org/officeDocument/2006/relationships/hyperlink" Target="https://unesdoc.unesco.org/ark:/48223/pf0000246931.locale=en" TargetMode="External"/><Relationship Id="rId64" Type="http://schemas.openxmlformats.org/officeDocument/2006/relationships/hyperlink" Target="http://www.undrr.org/" TargetMode="External"/><Relationship Id="rId69" Type="http://schemas.openxmlformats.org/officeDocument/2006/relationships/image" Target="media/image6.png"/><Relationship Id="rId113" Type="http://schemas.openxmlformats.org/officeDocument/2006/relationships/hyperlink" Target="https://oceanexpert.org/document/35689" TargetMode="External"/><Relationship Id="rId118" Type="http://schemas.openxmlformats.org/officeDocument/2006/relationships/hyperlink" Target="https://community.wmo.int/en/common-alerting-protocol" TargetMode="External"/><Relationship Id="rId134" Type="http://schemas.openxmlformats.org/officeDocument/2006/relationships/hyperlink" Target="mailto:jstander@wmo.int" TargetMode="External"/><Relationship Id="rId139" Type="http://schemas.openxmlformats.org/officeDocument/2006/relationships/hyperlink" Target="mailto:harkunti_rahayu@yahoo.com" TargetMode="External"/><Relationship Id="rId80" Type="http://schemas.openxmlformats.org/officeDocument/2006/relationships/hyperlink" Target="https://oceanexpert.org/document/35624" TargetMode="External"/><Relationship Id="rId85" Type="http://schemas.openxmlformats.org/officeDocument/2006/relationships/hyperlink" Target="https://oceanexpert.org/document/14576" TargetMode="External"/><Relationship Id="rId150" Type="http://schemas.openxmlformats.org/officeDocument/2006/relationships/header" Target="header15.xml"/><Relationship Id="rId155" Type="http://schemas.openxmlformats.org/officeDocument/2006/relationships/fontTable" Target="fontTable.xml"/><Relationship Id="rId12" Type="http://schemas.openxmlformats.org/officeDocument/2006/relationships/header" Target="header4.xml"/><Relationship Id="rId17" Type="http://schemas.openxmlformats.org/officeDocument/2006/relationships/hyperlink" Target="https://tsunami.ioc.unesco.org/en/impact/eyewitness-survivors-project" TargetMode="External"/><Relationship Id="rId25" Type="http://schemas.openxmlformats.org/officeDocument/2006/relationships/hyperlink" Target="https://oceanexpert.org/downloadFile/52535" TargetMode="External"/><Relationship Id="rId33" Type="http://schemas.openxmlformats.org/officeDocument/2006/relationships/hyperlink" Target="https://oceanexpert.org/downloadFile/52537" TargetMode="External"/><Relationship Id="rId38" Type="http://schemas.openxmlformats.org/officeDocument/2006/relationships/hyperlink" Target="https://oceanexpert.org/downloadFile/58189" TargetMode="External"/><Relationship Id="rId46" Type="http://schemas.openxmlformats.org/officeDocument/2006/relationships/footer" Target="footer1.xml"/><Relationship Id="rId59" Type="http://schemas.openxmlformats.org/officeDocument/2006/relationships/hyperlink" Target="https://www.unesco.org/en/articles/resilience-and-remembrance-20-years-after-2004-indian-ocean-tsunami" TargetMode="External"/><Relationship Id="rId67" Type="http://schemas.openxmlformats.org/officeDocument/2006/relationships/image" Target="media/image4.jpg"/><Relationship Id="rId103" Type="http://schemas.openxmlformats.org/officeDocument/2006/relationships/hyperlink" Target="https://link.springer.com/article/10.1007/s00024-019-02123-5" TargetMode="External"/><Relationship Id="rId108" Type="http://schemas.openxmlformats.org/officeDocument/2006/relationships/hyperlink" Target="https://www.google.com/url?q=https://community.wmo.int/en/common-alerting-protocol&amp;sa=D&amp;source=docs&amp;ust=1740245811807013&amp;usg=AOvVaw09q995vKMXS48eRVS3AjzH" TargetMode="External"/><Relationship Id="rId116" Type="http://schemas.openxmlformats.org/officeDocument/2006/relationships/hyperlink" Target="https://www.undrr.org/words-into-action/guide-multi-hazard-early-warning" TargetMode="External"/><Relationship Id="rId124" Type="http://schemas.openxmlformats.org/officeDocument/2006/relationships/hyperlink" Target="mailto:amreu@yahoo.com" TargetMode="External"/><Relationship Id="rId129" Type="http://schemas.openxmlformats.org/officeDocument/2006/relationships/hyperlink" Target="mailto:gerard_metayer@yahoo.fr" TargetMode="External"/><Relationship Id="rId137" Type="http://schemas.openxmlformats.org/officeDocument/2006/relationships/hyperlink" Target="mailto:padmanabham@incois.gov.in" TargetMode="External"/><Relationship Id="rId20" Type="http://schemas.openxmlformats.org/officeDocument/2006/relationships/hyperlink" Target="https://unesdoc.unesco.org/ark:/48223/pf0000246931.locale=en" TargetMode="External"/><Relationship Id="rId41" Type="http://schemas.openxmlformats.org/officeDocument/2006/relationships/hyperlink" Target="https://oceanexpert.org/downloadFile/58108" TargetMode="External"/><Relationship Id="rId54" Type="http://schemas.openxmlformats.org/officeDocument/2006/relationships/hyperlink" Target="https://unesdoc.unesco.org/ark:/48223/pf0000392712.locale=en" TargetMode="External"/><Relationship Id="rId62" Type="http://schemas.openxmlformats.org/officeDocument/2006/relationships/hyperlink" Target="https://unesdoc.unesco.org/ark:/48223/pf0000246931.locale=en" TargetMode="External"/><Relationship Id="rId70" Type="http://schemas.openxmlformats.org/officeDocument/2006/relationships/hyperlink" Target="http://www.undrr.org/" TargetMode="External"/><Relationship Id="rId75" Type="http://schemas.openxmlformats.org/officeDocument/2006/relationships/hyperlink" Target="https://oceanexpert.org/document/14575" TargetMode="External"/><Relationship Id="rId83" Type="http://schemas.openxmlformats.org/officeDocument/2006/relationships/header" Target="header10.xml"/><Relationship Id="rId88" Type="http://schemas.openxmlformats.org/officeDocument/2006/relationships/hyperlink" Target="https://oceanexpert.org/document/35657" TargetMode="External"/><Relationship Id="rId91" Type="http://schemas.openxmlformats.org/officeDocument/2006/relationships/hyperlink" Target="https://oceanexpert.org/event/4696" TargetMode="External"/><Relationship Id="rId96" Type="http://schemas.openxmlformats.org/officeDocument/2006/relationships/hyperlink" Target="https://oceanexpert.org/document/33855" TargetMode="External"/><Relationship Id="rId111" Type="http://schemas.openxmlformats.org/officeDocument/2006/relationships/hyperlink" Target="https://earlywarningsforall.org/site/early-warnings-all/early-warnings-all-dashboard" TargetMode="External"/><Relationship Id="rId132" Type="http://schemas.openxmlformats.org/officeDocument/2006/relationships/hyperlink" Target="mailto:juanjo.danobeitia@emso-eu.org" TargetMode="External"/><Relationship Id="rId140" Type="http://schemas.openxmlformats.org/officeDocument/2006/relationships/hyperlink" Target="mailto:tsato@met.kishou.go.jp" TargetMode="External"/><Relationship Id="rId145" Type="http://schemas.openxmlformats.org/officeDocument/2006/relationships/hyperlink" Target="mailto:d.chang-seng@unesco.org" TargetMode="External"/><Relationship Id="rId153" Type="http://schemas.openxmlformats.org/officeDocument/2006/relationships/hyperlink" Target="http://www.wmo.int/pages/prog/drr/projects/Thematic/MHEWS/MHEWS_e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esdoc.unesco.org/ark:/48223/pf0000392712.locale=en" TargetMode="External"/><Relationship Id="rId23" Type="http://schemas.openxmlformats.org/officeDocument/2006/relationships/hyperlink" Target="https://oceanexpert.org/event/4652" TargetMode="External"/><Relationship Id="rId28" Type="http://schemas.openxmlformats.org/officeDocument/2006/relationships/hyperlink" Target="https://oceanexpert.org/downloadFile/52534" TargetMode="External"/><Relationship Id="rId36" Type="http://schemas.openxmlformats.org/officeDocument/2006/relationships/hyperlink" Target="https://oceanexpert.org/downloadFile/58192" TargetMode="External"/><Relationship Id="rId49" Type="http://schemas.openxmlformats.org/officeDocument/2006/relationships/hyperlink" Target="https://oceanexpert.org/document/35087" TargetMode="External"/><Relationship Id="rId57" Type="http://schemas.openxmlformats.org/officeDocument/2006/relationships/hyperlink" Target="https://tsunamiday.undrr.org/gettohighground-campaign" TargetMode="External"/><Relationship Id="rId106" Type="http://schemas.openxmlformats.org/officeDocument/2006/relationships/hyperlink" Target="https://www.google.com/url?q=https://www.undrr.org/words-into-action/guide-multi-hazard-early-warning&amp;sa=D&amp;source=docs&amp;ust=1740245811807534&amp;usg=AOvVaw2h_ZP8DcRfqAy6sBkDbw58" TargetMode="External"/><Relationship Id="rId114" Type="http://schemas.openxmlformats.org/officeDocument/2006/relationships/hyperlink" Target="https://oceanexpert.org/document/14575" TargetMode="External"/><Relationship Id="rId119" Type="http://schemas.openxmlformats.org/officeDocument/2006/relationships/hyperlink" Target="https://www.tsunami.gov/?page=cap" TargetMode="External"/><Relationship Id="rId127" Type="http://schemas.openxmlformats.org/officeDocument/2006/relationships/hyperlink" Target="mailto:pattabhi@incois.gov.in" TargetMode="External"/><Relationship Id="rId10" Type="http://schemas.openxmlformats.org/officeDocument/2006/relationships/header" Target="header2.xml"/><Relationship Id="rId31" Type="http://schemas.openxmlformats.org/officeDocument/2006/relationships/hyperlink" Target="https://oceanexpert.org/downloadFile/52536" TargetMode="External"/><Relationship Id="rId44" Type="http://schemas.openxmlformats.org/officeDocument/2006/relationships/header" Target="header5.xml"/><Relationship Id="rId52" Type="http://schemas.openxmlformats.org/officeDocument/2006/relationships/hyperlink" Target="https://unesdoc.unesco.org/ark:/48223/pf0000388765.locale=en" TargetMode="External"/><Relationship Id="rId60" Type="http://schemas.openxmlformats.org/officeDocument/2006/relationships/hyperlink" Target="https://tsunamiday.undrr.org/gettohighground-campaign" TargetMode="External"/><Relationship Id="rId65" Type="http://schemas.openxmlformats.org/officeDocument/2006/relationships/header" Target="header8.xml"/><Relationship Id="rId73" Type="http://schemas.openxmlformats.org/officeDocument/2006/relationships/header" Target="header9.xml"/><Relationship Id="rId78" Type="http://schemas.openxmlformats.org/officeDocument/2006/relationships/hyperlink" Target="https://oceanexpert.org/document/35494" TargetMode="External"/><Relationship Id="rId81" Type="http://schemas.openxmlformats.org/officeDocument/2006/relationships/hyperlink" Target="https://oceanexpert.org/document/35594" TargetMode="External"/><Relationship Id="rId86" Type="http://schemas.openxmlformats.org/officeDocument/2006/relationships/hyperlink" Target="https://oceanexpert.org/document/35992" TargetMode="External"/><Relationship Id="rId94" Type="http://schemas.openxmlformats.org/officeDocument/2006/relationships/hyperlink" Target="https://oceanexpert.org/document/35694" TargetMode="External"/><Relationship Id="rId99" Type="http://schemas.openxmlformats.org/officeDocument/2006/relationships/hyperlink" Target="https://oceanexpert.org/document/35631" TargetMode="External"/><Relationship Id="rId101" Type="http://schemas.openxmlformats.org/officeDocument/2006/relationships/hyperlink" Target="https://oceanexpert.org/document/35680" TargetMode="External"/><Relationship Id="rId122" Type="http://schemas.openxmlformats.org/officeDocument/2006/relationships/header" Target="header11.xml"/><Relationship Id="rId130" Type="http://schemas.openxmlformats.org/officeDocument/2006/relationships/hyperlink" Target="mailto:nishimae@met.kishou.go.jp" TargetMode="External"/><Relationship Id="rId135" Type="http://schemas.openxmlformats.org/officeDocument/2006/relationships/hyperlink" Target="mailto:zwang@wmo.int" TargetMode="External"/><Relationship Id="rId143" Type="http://schemas.openxmlformats.org/officeDocument/2006/relationships/hyperlink" Target="mailto:yufj@nmefc.cn" TargetMode="External"/><Relationship Id="rId148" Type="http://schemas.openxmlformats.org/officeDocument/2006/relationships/header" Target="header13.xml"/><Relationship Id="rId151" Type="http://schemas.openxmlformats.org/officeDocument/2006/relationships/hyperlink" Target="http://www.wmo.int/pages/prog/drr/projects/Thematic/MHEWS/MHEWS_en.html"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unesdoc.unesco.org/ark:/48223/pf0000388765.locale=en" TargetMode="External"/><Relationship Id="rId18" Type="http://schemas.openxmlformats.org/officeDocument/2006/relationships/hyperlink" Target="https://www.unesco.org/en/articles/resilience-and-remembrance-20-years-after-2004-indian-ocean-tsunami" TargetMode="External"/><Relationship Id="rId39" Type="http://schemas.openxmlformats.org/officeDocument/2006/relationships/hyperlink" Target="https://oceanexpert.org/downloadFile/58203" TargetMode="External"/><Relationship Id="rId109" Type="http://schemas.openxmlformats.org/officeDocument/2006/relationships/hyperlink" Target="https://www.tsunami.gov/cap/documents/CAP-TSU-v1.1.pdf" TargetMode="External"/><Relationship Id="rId34" Type="http://schemas.openxmlformats.org/officeDocument/2006/relationships/hyperlink" Target="https://oceanexpert.org/downloadFile/58182" TargetMode="External"/><Relationship Id="rId50" Type="http://schemas.openxmlformats.org/officeDocument/2006/relationships/hyperlink" Target="https://unesdoc.unesco.org/ark:/48223/pf0000388765.locale=en" TargetMode="External"/><Relationship Id="rId55" Type="http://schemas.openxmlformats.org/officeDocument/2006/relationships/hyperlink" Target="https://classroom.oceanteacher.org/" TargetMode="External"/><Relationship Id="rId76" Type="http://schemas.openxmlformats.org/officeDocument/2006/relationships/hyperlink" Target="https://oceanexpert.org/document/14576" TargetMode="External"/><Relationship Id="rId97" Type="http://schemas.openxmlformats.org/officeDocument/2006/relationships/hyperlink" Target="https://oceanexpert.org/document/33580" TargetMode="External"/><Relationship Id="rId104" Type="http://schemas.openxmlformats.org/officeDocument/2006/relationships/hyperlink" Target="https://www.sciencedirect.com/science/article/abs/pii/S0012821X24003911" TargetMode="External"/><Relationship Id="rId120" Type="http://schemas.openxmlformats.org/officeDocument/2006/relationships/hyperlink" Target="https://oceanexpert.org/document/33580" TargetMode="External"/><Relationship Id="rId125" Type="http://schemas.openxmlformats.org/officeDocument/2006/relationships/hyperlink" Target="mailto:alessandro.amato@ingv.it" TargetMode="External"/><Relationship Id="rId141" Type="http://schemas.openxmlformats.org/officeDocument/2006/relationships/hyperlink" Target="mailto:elizabeth.vanacore@upr.edu" TargetMode="External"/><Relationship Id="rId146" Type="http://schemas.openxmlformats.org/officeDocument/2006/relationships/hyperlink" Target="mailto:o.necmioglu@unesco.org" TargetMode="External"/><Relationship Id="rId7" Type="http://schemas.openxmlformats.org/officeDocument/2006/relationships/endnotes" Target="endnotes.xml"/><Relationship Id="rId71" Type="http://schemas.openxmlformats.org/officeDocument/2006/relationships/hyperlink" Target="http://www.undrr.org/" TargetMode="External"/><Relationship Id="rId92" Type="http://schemas.openxmlformats.org/officeDocument/2006/relationships/hyperlink" Target="https://oceanexpert.org/document/35645" TargetMode="External"/><Relationship Id="rId2" Type="http://schemas.openxmlformats.org/officeDocument/2006/relationships/numbering" Target="numbering.xml"/><Relationship Id="rId29" Type="http://schemas.openxmlformats.org/officeDocument/2006/relationships/hyperlink" Target="https://oceanexpert.org/event/4574" TargetMode="External"/><Relationship Id="rId24" Type="http://schemas.openxmlformats.org/officeDocument/2006/relationships/hyperlink" Target="https://oceanexpert.org/downloadFile/58178" TargetMode="External"/><Relationship Id="rId40" Type="http://schemas.openxmlformats.org/officeDocument/2006/relationships/hyperlink" Target="https://oceanexpert.org/downloadFile/58209" TargetMode="External"/><Relationship Id="rId45" Type="http://schemas.openxmlformats.org/officeDocument/2006/relationships/header" Target="header6.xml"/><Relationship Id="rId66" Type="http://schemas.openxmlformats.org/officeDocument/2006/relationships/image" Target="media/image3.png"/><Relationship Id="rId87" Type="http://schemas.openxmlformats.org/officeDocument/2006/relationships/hyperlink" Target="https://oceanexpert.org/document/35690" TargetMode="External"/><Relationship Id="rId110" Type="http://schemas.openxmlformats.org/officeDocument/2006/relationships/hyperlink" Target="https://oceanexpert.org/document/35687" TargetMode="External"/><Relationship Id="rId115" Type="http://schemas.openxmlformats.org/officeDocument/2006/relationships/hyperlink" Target="https://oceanexpert.org/document/14576" TargetMode="External"/><Relationship Id="rId131" Type="http://schemas.openxmlformats.org/officeDocument/2006/relationships/hyperlink" Target="mailto:czuniga@shoa.cl" TargetMode="External"/><Relationship Id="rId136" Type="http://schemas.openxmlformats.org/officeDocument/2006/relationships/hyperlink" Target="mailto:adso@iho.int" TargetMode="External"/><Relationship Id="rId61" Type="http://schemas.openxmlformats.org/officeDocument/2006/relationships/hyperlink" Target="https://unesdoc.unesco.org/ark:/48223/pf0000246931.locale=en" TargetMode="External"/><Relationship Id="rId82" Type="http://schemas.openxmlformats.org/officeDocument/2006/relationships/hyperlink" Target="https://oceanexpert.org/document/35458" TargetMode="External"/><Relationship Id="rId152" Type="http://schemas.openxmlformats.org/officeDocument/2006/relationships/hyperlink" Target="http://www.wmo.int/pages/prog/drr/projects/Thematic/MHEWS/MHEWS_en.html" TargetMode="External"/><Relationship Id="rId19" Type="http://schemas.openxmlformats.org/officeDocument/2006/relationships/hyperlink" Target="https://tsunamiday.undrr.org/gettohighground-campaign" TargetMode="External"/><Relationship Id="rId14" Type="http://schemas.openxmlformats.org/officeDocument/2006/relationships/hyperlink" Target="https://unesdoc.unesco.org/ark:/48223/pf0000392653.locale=en" TargetMode="External"/><Relationship Id="rId30" Type="http://schemas.openxmlformats.org/officeDocument/2006/relationships/hyperlink" Target="https://oceanexpert.org/downloadFile/58188" TargetMode="External"/><Relationship Id="rId35" Type="http://schemas.openxmlformats.org/officeDocument/2006/relationships/hyperlink" Target="https://oceanexpert.org/downloadFile/58182" TargetMode="External"/><Relationship Id="rId56" Type="http://schemas.openxmlformats.org/officeDocument/2006/relationships/hyperlink" Target="https://tsunamiday.undrr.org/" TargetMode="External"/><Relationship Id="rId77" Type="http://schemas.openxmlformats.org/officeDocument/2006/relationships/image" Target="media/image7.png"/><Relationship Id="rId100" Type="http://schemas.openxmlformats.org/officeDocument/2006/relationships/hyperlink" Target="https://oceanexpert.org/document/35631" TargetMode="External"/><Relationship Id="rId105" Type="http://schemas.openxmlformats.org/officeDocument/2006/relationships/hyperlink" Target="https://pubs.geoscienceworld.org/ssa/tsr/article/4/3/172/646242/The-16-September-2023-Greenland-Megatsunami" TargetMode="External"/><Relationship Id="rId126" Type="http://schemas.openxmlformats.org/officeDocument/2006/relationships/hyperlink" Target="mailto:silviach@una.ac.cr" TargetMode="External"/><Relationship Id="rId147" Type="http://schemas.openxmlformats.org/officeDocument/2006/relationships/hyperlink" Target="mailto:sk.tummala@unesco.org" TargetMode="External"/><Relationship Id="rId8" Type="http://schemas.openxmlformats.org/officeDocument/2006/relationships/image" Target="media/image1.png"/><Relationship Id="rId51" Type="http://schemas.openxmlformats.org/officeDocument/2006/relationships/hyperlink" Target="https://oceanexpert.org/document/35627" TargetMode="External"/><Relationship Id="rId72" Type="http://schemas.openxmlformats.org/officeDocument/2006/relationships/hyperlink" Target="http://www.undrr.org/" TargetMode="External"/><Relationship Id="rId93" Type="http://schemas.openxmlformats.org/officeDocument/2006/relationships/hyperlink" Target="https://oceanexpert.org/document/35646" TargetMode="External"/><Relationship Id="rId98" Type="http://schemas.openxmlformats.org/officeDocument/2006/relationships/hyperlink" Target="https://oceanexpert.org/document/35627" TargetMode="External"/><Relationship Id="rId121" Type="http://schemas.openxmlformats.org/officeDocument/2006/relationships/hyperlink" Target="https://oceanexpert.org/document/35627" TargetMode="External"/><Relationship Id="rId142" Type="http://schemas.openxmlformats.org/officeDocument/2006/relationships/hyperlink" Target="mailto:dakui.nmefc@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0A5A9-64C0-4EE8-AFC0-8E87F1623C1D}">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23</TotalTime>
  <Pages>109</Pages>
  <Words>42952</Words>
  <Characters>236237</Characters>
  <Application>Microsoft Office Word</Application>
  <DocSecurity>0</DocSecurity>
  <Lines>1968</Lines>
  <Paragraphs>557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278632</CharactersWithSpaces>
  <SharedDoc>false</SharedDoc>
  <HLinks>
    <vt:vector size="768" baseType="variant">
      <vt:variant>
        <vt:i4>131190</vt:i4>
      </vt:variant>
      <vt:variant>
        <vt:i4>498</vt:i4>
      </vt:variant>
      <vt:variant>
        <vt:i4>0</vt:i4>
      </vt:variant>
      <vt:variant>
        <vt:i4>5</vt:i4>
      </vt:variant>
      <vt:variant>
        <vt:lpwstr>http://www.wmo.int/pages/prog/drr/projects/Thematic/MHEWS/MHEWS_en.html</vt:lpwstr>
      </vt:variant>
      <vt:variant>
        <vt:lpwstr/>
      </vt:variant>
      <vt:variant>
        <vt:i4>131190</vt:i4>
      </vt:variant>
      <vt:variant>
        <vt:i4>495</vt:i4>
      </vt:variant>
      <vt:variant>
        <vt:i4>0</vt:i4>
      </vt:variant>
      <vt:variant>
        <vt:i4>5</vt:i4>
      </vt:variant>
      <vt:variant>
        <vt:lpwstr>http://www.wmo.int/pages/prog/drr/projects/Thematic/MHEWS/MHEWS_en.html</vt:lpwstr>
      </vt:variant>
      <vt:variant>
        <vt:lpwstr/>
      </vt:variant>
      <vt:variant>
        <vt:i4>131190</vt:i4>
      </vt:variant>
      <vt:variant>
        <vt:i4>492</vt:i4>
      </vt:variant>
      <vt:variant>
        <vt:i4>0</vt:i4>
      </vt:variant>
      <vt:variant>
        <vt:i4>5</vt:i4>
      </vt:variant>
      <vt:variant>
        <vt:lpwstr>http://www.wmo.int/pages/prog/drr/projects/Thematic/MHEWS/MHEWS_en.html</vt:lpwstr>
      </vt:variant>
      <vt:variant>
        <vt:lpwstr/>
      </vt:variant>
      <vt:variant>
        <vt:i4>131190</vt:i4>
      </vt:variant>
      <vt:variant>
        <vt:i4>489</vt:i4>
      </vt:variant>
      <vt:variant>
        <vt:i4>0</vt:i4>
      </vt:variant>
      <vt:variant>
        <vt:i4>5</vt:i4>
      </vt:variant>
      <vt:variant>
        <vt:lpwstr>http://www.wmo.int/pages/prog/drr/projects/Thematic/MHEWS/MHEWS_en.html</vt:lpwstr>
      </vt:variant>
      <vt:variant>
        <vt:lpwstr/>
      </vt:variant>
      <vt:variant>
        <vt:i4>131190</vt:i4>
      </vt:variant>
      <vt:variant>
        <vt:i4>486</vt:i4>
      </vt:variant>
      <vt:variant>
        <vt:i4>0</vt:i4>
      </vt:variant>
      <vt:variant>
        <vt:i4>5</vt:i4>
      </vt:variant>
      <vt:variant>
        <vt:lpwstr>http://www.wmo.int/pages/prog/drr/projects/Thematic/MHEWS/MHEWS_en.html</vt:lpwstr>
      </vt:variant>
      <vt:variant>
        <vt:lpwstr/>
      </vt:variant>
      <vt:variant>
        <vt:i4>7405591</vt:i4>
      </vt:variant>
      <vt:variant>
        <vt:i4>483</vt:i4>
      </vt:variant>
      <vt:variant>
        <vt:i4>0</vt:i4>
      </vt:variant>
      <vt:variant>
        <vt:i4>5</vt:i4>
      </vt:variant>
      <vt:variant>
        <vt:lpwstr>mailto:sk.tummala@unesco.org</vt:lpwstr>
      </vt:variant>
      <vt:variant>
        <vt:lpwstr/>
      </vt:variant>
      <vt:variant>
        <vt:i4>5898285</vt:i4>
      </vt:variant>
      <vt:variant>
        <vt:i4>480</vt:i4>
      </vt:variant>
      <vt:variant>
        <vt:i4>0</vt:i4>
      </vt:variant>
      <vt:variant>
        <vt:i4>5</vt:i4>
      </vt:variant>
      <vt:variant>
        <vt:lpwstr>mailto:t.aarup@unesco.org</vt:lpwstr>
      </vt:variant>
      <vt:variant>
        <vt:lpwstr/>
      </vt:variant>
      <vt:variant>
        <vt:i4>2228243</vt:i4>
      </vt:variant>
      <vt:variant>
        <vt:i4>477</vt:i4>
      </vt:variant>
      <vt:variant>
        <vt:i4>0</vt:i4>
      </vt:variant>
      <vt:variant>
        <vt:i4>5</vt:i4>
      </vt:variant>
      <vt:variant>
        <vt:lpwstr>mailto:czuniga@shoa.cl</vt:lpwstr>
      </vt:variant>
      <vt:variant>
        <vt:lpwstr/>
      </vt:variant>
      <vt:variant>
        <vt:i4>2293763</vt:i4>
      </vt:variant>
      <vt:variant>
        <vt:i4>474</vt:i4>
      </vt:variant>
      <vt:variant>
        <vt:i4>0</vt:i4>
      </vt:variant>
      <vt:variant>
        <vt:i4>5</vt:i4>
      </vt:variant>
      <vt:variant>
        <vt:lpwstr>mailto:vilibic@izor.hr</vt:lpwstr>
      </vt:variant>
      <vt:variant>
        <vt:lpwstr/>
      </vt:variant>
      <vt:variant>
        <vt:i4>1507445</vt:i4>
      </vt:variant>
      <vt:variant>
        <vt:i4>471</vt:i4>
      </vt:variant>
      <vt:variant>
        <vt:i4>0</vt:i4>
      </vt:variant>
      <vt:variant>
        <vt:i4>5</vt:i4>
      </vt:variant>
      <vt:variant>
        <vt:lpwstr>mailto:jacopo.selva@ingv.it</vt:lpwstr>
      </vt:variant>
      <vt:variant>
        <vt:lpwstr/>
      </vt:variant>
      <vt:variant>
        <vt:i4>6946895</vt:i4>
      </vt:variant>
      <vt:variant>
        <vt:i4>468</vt:i4>
      </vt:variant>
      <vt:variant>
        <vt:i4>0</vt:i4>
      </vt:variant>
      <vt:variant>
        <vt:i4>5</vt:i4>
      </vt:variant>
      <vt:variant>
        <vt:lpwstr>mailto:adrienne.moseley@ga.gov.au</vt:lpwstr>
      </vt:variant>
      <vt:variant>
        <vt:lpwstr/>
      </vt:variant>
      <vt:variant>
        <vt:i4>2687001</vt:i4>
      </vt:variant>
      <vt:variant>
        <vt:i4>465</vt:i4>
      </vt:variant>
      <vt:variant>
        <vt:i4>0</vt:i4>
      </vt:variant>
      <vt:variant>
        <vt:i4>5</vt:i4>
      </vt:variant>
      <vt:variant>
        <vt:lpwstr>mailto:K.Gledhill@gns.cri.nz</vt:lpwstr>
      </vt:variant>
      <vt:variant>
        <vt:lpwstr/>
      </vt:variant>
      <vt:variant>
        <vt:i4>2818066</vt:i4>
      </vt:variant>
      <vt:variant>
        <vt:i4>462</vt:i4>
      </vt:variant>
      <vt:variant>
        <vt:i4>0</vt:i4>
      </vt:variant>
      <vt:variant>
        <vt:i4>5</vt:i4>
      </vt:variant>
      <vt:variant>
        <vt:lpwstr>mailto:b.girdwood@gns.cri.nz</vt:lpwstr>
      </vt:variant>
      <vt:variant>
        <vt:lpwstr/>
      </vt:variant>
      <vt:variant>
        <vt:i4>3735559</vt:i4>
      </vt:variant>
      <vt:variant>
        <vt:i4>459</vt:i4>
      </vt:variant>
      <vt:variant>
        <vt:i4>0</vt:i4>
      </vt:variant>
      <vt:variant>
        <vt:i4>5</vt:i4>
      </vt:variant>
      <vt:variant>
        <vt:lpwstr>mailto:clouard@ipgp.fr</vt:lpwstr>
      </vt:variant>
      <vt:variant>
        <vt:lpwstr/>
      </vt:variant>
      <vt:variant>
        <vt:i4>3932230</vt:i4>
      </vt:variant>
      <vt:variant>
        <vt:i4>456</vt:i4>
      </vt:variant>
      <vt:variant>
        <vt:i4>0</vt:i4>
      </vt:variant>
      <vt:variant>
        <vt:i4>5</vt:i4>
      </vt:variant>
      <vt:variant>
        <vt:lpwstr>mailto:stchan@hko.gov.hk</vt:lpwstr>
      </vt:variant>
      <vt:variant>
        <vt:lpwstr/>
      </vt:variant>
      <vt:variant>
        <vt:i4>5374066</vt:i4>
      </vt:variant>
      <vt:variant>
        <vt:i4>453</vt:i4>
      </vt:variant>
      <vt:variant>
        <vt:i4>0</vt:i4>
      </vt:variant>
      <vt:variant>
        <vt:i4>5</vt:i4>
      </vt:variant>
      <vt:variant>
        <vt:lpwstr>mailto:director@shoa.cl</vt:lpwstr>
      </vt:variant>
      <vt:variant>
        <vt:lpwstr/>
      </vt:variant>
      <vt:variant>
        <vt:i4>7340041</vt:i4>
      </vt:variant>
      <vt:variant>
        <vt:i4>450</vt:i4>
      </vt:variant>
      <vt:variant>
        <vt:i4>0</vt:i4>
      </vt:variant>
      <vt:variant>
        <vt:i4>5</vt:i4>
      </vt:variant>
      <vt:variant>
        <vt:lpwstr>mailto:baileyrick900@gmail.com</vt:lpwstr>
      </vt:variant>
      <vt:variant>
        <vt:lpwstr/>
      </vt:variant>
      <vt:variant>
        <vt:i4>5111850</vt:i4>
      </vt:variant>
      <vt:variant>
        <vt:i4>447</vt:i4>
      </vt:variant>
      <vt:variant>
        <vt:i4>0</vt:i4>
      </vt:variant>
      <vt:variant>
        <vt:i4>5</vt:i4>
      </vt:variant>
      <vt:variant>
        <vt:lpwstr>mailto:michael.angove@noaa.gov</vt:lpwstr>
      </vt:variant>
      <vt:variant>
        <vt:lpwstr/>
      </vt:variant>
      <vt:variant>
        <vt:i4>7405580</vt:i4>
      </vt:variant>
      <vt:variant>
        <vt:i4>444</vt:i4>
      </vt:variant>
      <vt:variant>
        <vt:i4>0</vt:i4>
      </vt:variant>
      <vt:variant>
        <vt:i4>5</vt:i4>
      </vt:variant>
      <vt:variant>
        <vt:lpwstr>mailto:elizabeth.vanacore@upr.edu</vt:lpwstr>
      </vt:variant>
      <vt:variant>
        <vt:lpwstr/>
      </vt:variant>
      <vt:variant>
        <vt:i4>3735625</vt:i4>
      </vt:variant>
      <vt:variant>
        <vt:i4>441</vt:i4>
      </vt:variant>
      <vt:variant>
        <vt:i4>0</vt:i4>
      </vt:variant>
      <vt:variant>
        <vt:i4>5</vt:i4>
      </vt:variant>
      <vt:variant>
        <vt:lpwstr>mailto:wilfried.strauch@yahoo.com</vt:lpwstr>
      </vt:variant>
      <vt:variant>
        <vt:lpwstr/>
      </vt:variant>
      <vt:variant>
        <vt:i4>4587574</vt:i4>
      </vt:variant>
      <vt:variant>
        <vt:i4>438</vt:i4>
      </vt:variant>
      <vt:variant>
        <vt:i4>0</vt:i4>
      </vt:variant>
      <vt:variant>
        <vt:i4>5</vt:i4>
      </vt:variant>
      <vt:variant>
        <vt:lpwstr>mailto:francois.schindele@gmail.com</vt:lpwstr>
      </vt:variant>
      <vt:variant>
        <vt:lpwstr/>
      </vt:variant>
      <vt:variant>
        <vt:i4>3211270</vt:i4>
      </vt:variant>
      <vt:variant>
        <vt:i4>435</vt:i4>
      </vt:variant>
      <vt:variant>
        <vt:i4>0</vt:i4>
      </vt:variant>
      <vt:variant>
        <vt:i4>5</vt:i4>
      </vt:variant>
      <vt:variant>
        <vt:lpwstr>mailto:nishimae@met.kishou.go.jp</vt:lpwstr>
      </vt:variant>
      <vt:variant>
        <vt:lpwstr/>
      </vt:variant>
      <vt:variant>
        <vt:i4>2424920</vt:i4>
      </vt:variant>
      <vt:variant>
        <vt:i4>432</vt:i4>
      </vt:variant>
      <vt:variant>
        <vt:i4>0</vt:i4>
      </vt:variant>
      <vt:variant>
        <vt:i4>5</vt:i4>
      </vt:variant>
      <vt:variant>
        <vt:lpwstr>mailto:pattabhi@incois.gov.in</vt:lpwstr>
      </vt:variant>
      <vt:variant>
        <vt:lpwstr/>
      </vt:variant>
      <vt:variant>
        <vt:i4>4915262</vt:i4>
      </vt:variant>
      <vt:variant>
        <vt:i4>429</vt:i4>
      </vt:variant>
      <vt:variant>
        <vt:i4>0</vt:i4>
      </vt:variant>
      <vt:variant>
        <vt:i4>5</vt:i4>
      </vt:variant>
      <vt:variant>
        <vt:lpwstr>mailto:fernando.carrilho@meteo.pt</vt:lpwstr>
      </vt:variant>
      <vt:variant>
        <vt:lpwstr/>
      </vt:variant>
      <vt:variant>
        <vt:i4>3735640</vt:i4>
      </vt:variant>
      <vt:variant>
        <vt:i4>426</vt:i4>
      </vt:variant>
      <vt:variant>
        <vt:i4>0</vt:i4>
      </vt:variant>
      <vt:variant>
        <vt:i4>5</vt:i4>
      </vt:variant>
      <vt:variant>
        <vt:lpwstr>mailto:charles.mccreery@noaa.gov</vt:lpwstr>
      </vt:variant>
      <vt:variant>
        <vt:lpwstr/>
      </vt:variant>
      <vt:variant>
        <vt:i4>5570599</vt:i4>
      </vt:variant>
      <vt:variant>
        <vt:i4>423</vt:i4>
      </vt:variant>
      <vt:variant>
        <vt:i4>0</vt:i4>
      </vt:variant>
      <vt:variant>
        <vt:i4>5</vt:i4>
      </vt:variant>
      <vt:variant>
        <vt:lpwstr>mailto:b.aliaga@unesco.org</vt:lpwstr>
      </vt:variant>
      <vt:variant>
        <vt:lpwstr/>
      </vt:variant>
      <vt:variant>
        <vt:i4>7995510</vt:i4>
      </vt:variant>
      <vt:variant>
        <vt:i4>420</vt:i4>
      </vt:variant>
      <vt:variant>
        <vt:i4>0</vt:i4>
      </vt:variant>
      <vt:variant>
        <vt:i4>5</vt:i4>
      </vt:variant>
      <vt:variant>
        <vt:lpwstr>mailto:irina_rafliana@hotmail.com</vt:lpwstr>
      </vt:variant>
      <vt:variant>
        <vt:lpwstr/>
      </vt:variant>
      <vt:variant>
        <vt:i4>2687001</vt:i4>
      </vt:variant>
      <vt:variant>
        <vt:i4>417</vt:i4>
      </vt:variant>
      <vt:variant>
        <vt:i4>0</vt:i4>
      </vt:variant>
      <vt:variant>
        <vt:i4>5</vt:i4>
      </vt:variant>
      <vt:variant>
        <vt:lpwstr>mailto:K.Gledhill@gns.cri.nz</vt:lpwstr>
      </vt:variant>
      <vt:variant>
        <vt:lpwstr/>
      </vt:variant>
      <vt:variant>
        <vt:i4>2818066</vt:i4>
      </vt:variant>
      <vt:variant>
        <vt:i4>414</vt:i4>
      </vt:variant>
      <vt:variant>
        <vt:i4>0</vt:i4>
      </vt:variant>
      <vt:variant>
        <vt:i4>5</vt:i4>
      </vt:variant>
      <vt:variant>
        <vt:lpwstr>mailto:b.girdwood@gns.cri.nz</vt:lpwstr>
      </vt:variant>
      <vt:variant>
        <vt:lpwstr/>
      </vt:variant>
      <vt:variant>
        <vt:i4>7798791</vt:i4>
      </vt:variant>
      <vt:variant>
        <vt:i4>411</vt:i4>
      </vt:variant>
      <vt:variant>
        <vt:i4>0</vt:i4>
      </vt:variant>
      <vt:variant>
        <vt:i4>5</vt:i4>
      </vt:variant>
      <vt:variant>
        <vt:lpwstr>mailto:silviach@una.ac.cr</vt:lpwstr>
      </vt:variant>
      <vt:variant>
        <vt:lpwstr/>
      </vt:variant>
      <vt:variant>
        <vt:i4>3538999</vt:i4>
      </vt:variant>
      <vt:variant>
        <vt:i4>408</vt:i4>
      </vt:variant>
      <vt:variant>
        <vt:i4>0</vt:i4>
      </vt:variant>
      <vt:variant>
        <vt:i4>5</vt:i4>
      </vt:variant>
      <vt:variant>
        <vt:lpwstr>mailto:Av_y@hotmail.com</vt:lpwstr>
      </vt:variant>
      <vt:variant>
        <vt:lpwstr/>
      </vt:variant>
      <vt:variant>
        <vt:i4>2490456</vt:i4>
      </vt:variant>
      <vt:variant>
        <vt:i4>405</vt:i4>
      </vt:variant>
      <vt:variant>
        <vt:i4>0</vt:i4>
      </vt:variant>
      <vt:variant>
        <vt:i4>5</vt:i4>
      </vt:variant>
      <vt:variant>
        <vt:lpwstr>mailto:christa.vonh@noaa.gov</vt:lpwstr>
      </vt:variant>
      <vt:variant>
        <vt:lpwstr/>
      </vt:variant>
      <vt:variant>
        <vt:i4>8060935</vt:i4>
      </vt:variant>
      <vt:variant>
        <vt:i4>402</vt:i4>
      </vt:variant>
      <vt:variant>
        <vt:i4>0</vt:i4>
      </vt:variant>
      <vt:variant>
        <vt:i4>5</vt:i4>
      </vt:variant>
      <vt:variant>
        <vt:lpwstr>mailto:marzia.santini@protezionecivile.it</vt:lpwstr>
      </vt:variant>
      <vt:variant>
        <vt:lpwstr/>
      </vt:variant>
      <vt:variant>
        <vt:i4>4194353</vt:i4>
      </vt:variant>
      <vt:variant>
        <vt:i4>399</vt:i4>
      </vt:variant>
      <vt:variant>
        <vt:i4>0</vt:i4>
      </vt:variant>
      <vt:variant>
        <vt:i4>5</vt:i4>
      </vt:variant>
      <vt:variant>
        <vt:lpwstr>mailto:laura.kong@noaa.gov</vt:lpwstr>
      </vt:variant>
      <vt:variant>
        <vt:lpwstr/>
      </vt:variant>
      <vt:variant>
        <vt:i4>3997790</vt:i4>
      </vt:variant>
      <vt:variant>
        <vt:i4>396</vt:i4>
      </vt:variant>
      <vt:variant>
        <vt:i4>0</vt:i4>
      </vt:variant>
      <vt:variant>
        <vt:i4>5</vt:i4>
      </vt:variant>
      <vt:variant>
        <vt:lpwstr>mailto:a.kodijat@unesco.org</vt:lpwstr>
      </vt:variant>
      <vt:variant>
        <vt:lpwstr/>
      </vt:variant>
      <vt:variant>
        <vt:i4>4456486</vt:i4>
      </vt:variant>
      <vt:variant>
        <vt:i4>393</vt:i4>
      </vt:variant>
      <vt:variant>
        <vt:i4>0</vt:i4>
      </vt:variant>
      <vt:variant>
        <vt:i4>5</vt:i4>
      </vt:variant>
      <vt:variant>
        <vt:lpwstr>mailto:a.brome@unesco.org</vt:lpwstr>
      </vt:variant>
      <vt:variant>
        <vt:lpwstr/>
      </vt:variant>
      <vt:variant>
        <vt:i4>2293803</vt:i4>
      </vt:variant>
      <vt:variant>
        <vt:i4>390</vt:i4>
      </vt:variant>
      <vt:variant>
        <vt:i4>0</vt:i4>
      </vt:variant>
      <vt:variant>
        <vt:i4>5</vt:i4>
      </vt:variant>
      <vt:variant>
        <vt:lpwstr>mailto:harkunti_rahayu@yahoo.com</vt:lpwstr>
      </vt:variant>
      <vt:variant>
        <vt:lpwstr/>
      </vt:variant>
      <vt:variant>
        <vt:i4>7405591</vt:i4>
      </vt:variant>
      <vt:variant>
        <vt:i4>387</vt:i4>
      </vt:variant>
      <vt:variant>
        <vt:i4>0</vt:i4>
      </vt:variant>
      <vt:variant>
        <vt:i4>5</vt:i4>
      </vt:variant>
      <vt:variant>
        <vt:lpwstr>mailto:sk.tummala@unesco.org</vt:lpwstr>
      </vt:variant>
      <vt:variant>
        <vt:lpwstr/>
      </vt:variant>
      <vt:variant>
        <vt:i4>3997790</vt:i4>
      </vt:variant>
      <vt:variant>
        <vt:i4>384</vt:i4>
      </vt:variant>
      <vt:variant>
        <vt:i4>0</vt:i4>
      </vt:variant>
      <vt:variant>
        <vt:i4>5</vt:i4>
      </vt:variant>
      <vt:variant>
        <vt:lpwstr>mailto:a.kodijat@unesco.org</vt:lpwstr>
      </vt:variant>
      <vt:variant>
        <vt:lpwstr/>
      </vt:variant>
      <vt:variant>
        <vt:i4>4456546</vt:i4>
      </vt:variant>
      <vt:variant>
        <vt:i4>381</vt:i4>
      </vt:variant>
      <vt:variant>
        <vt:i4>0</vt:i4>
      </vt:variant>
      <vt:variant>
        <vt:i4>5</vt:i4>
      </vt:variant>
      <vt:variant>
        <vt:lpwstr>mailto:d.chang-seng@unesco.org</vt:lpwstr>
      </vt:variant>
      <vt:variant>
        <vt:lpwstr/>
      </vt:variant>
      <vt:variant>
        <vt:i4>5570599</vt:i4>
      </vt:variant>
      <vt:variant>
        <vt:i4>378</vt:i4>
      </vt:variant>
      <vt:variant>
        <vt:i4>0</vt:i4>
      </vt:variant>
      <vt:variant>
        <vt:i4>5</vt:i4>
      </vt:variant>
      <vt:variant>
        <vt:lpwstr>mailto:b.aliaga@unesco.org</vt:lpwstr>
      </vt:variant>
      <vt:variant>
        <vt:lpwstr/>
      </vt:variant>
      <vt:variant>
        <vt:i4>5898285</vt:i4>
      </vt:variant>
      <vt:variant>
        <vt:i4>375</vt:i4>
      </vt:variant>
      <vt:variant>
        <vt:i4>0</vt:i4>
      </vt:variant>
      <vt:variant>
        <vt:i4>5</vt:i4>
      </vt:variant>
      <vt:variant>
        <vt:lpwstr>mailto:t.aarup@unesco.org</vt:lpwstr>
      </vt:variant>
      <vt:variant>
        <vt:lpwstr/>
      </vt:variant>
      <vt:variant>
        <vt:i4>3538999</vt:i4>
      </vt:variant>
      <vt:variant>
        <vt:i4>372</vt:i4>
      </vt:variant>
      <vt:variant>
        <vt:i4>0</vt:i4>
      </vt:variant>
      <vt:variant>
        <vt:i4>5</vt:i4>
      </vt:variant>
      <vt:variant>
        <vt:lpwstr>mailto:Av_y@hotmail.com</vt:lpwstr>
      </vt:variant>
      <vt:variant>
        <vt:lpwstr/>
      </vt:variant>
      <vt:variant>
        <vt:i4>7405580</vt:i4>
      </vt:variant>
      <vt:variant>
        <vt:i4>369</vt:i4>
      </vt:variant>
      <vt:variant>
        <vt:i4>0</vt:i4>
      </vt:variant>
      <vt:variant>
        <vt:i4>5</vt:i4>
      </vt:variant>
      <vt:variant>
        <vt:lpwstr>mailto:elizabeth.vanacore@upr.edu</vt:lpwstr>
      </vt:variant>
      <vt:variant>
        <vt:lpwstr/>
      </vt:variant>
      <vt:variant>
        <vt:i4>4587574</vt:i4>
      </vt:variant>
      <vt:variant>
        <vt:i4>366</vt:i4>
      </vt:variant>
      <vt:variant>
        <vt:i4>0</vt:i4>
      </vt:variant>
      <vt:variant>
        <vt:i4>5</vt:i4>
      </vt:variant>
      <vt:variant>
        <vt:lpwstr>mailto:francois.schindele@gmail.com</vt:lpwstr>
      </vt:variant>
      <vt:variant>
        <vt:lpwstr/>
      </vt:variant>
      <vt:variant>
        <vt:i4>8060935</vt:i4>
      </vt:variant>
      <vt:variant>
        <vt:i4>363</vt:i4>
      </vt:variant>
      <vt:variant>
        <vt:i4>0</vt:i4>
      </vt:variant>
      <vt:variant>
        <vt:i4>5</vt:i4>
      </vt:variant>
      <vt:variant>
        <vt:lpwstr>mailto:marzia.santini@protezionecivile.it</vt:lpwstr>
      </vt:variant>
      <vt:variant>
        <vt:lpwstr/>
      </vt:variant>
      <vt:variant>
        <vt:i4>2293803</vt:i4>
      </vt:variant>
      <vt:variant>
        <vt:i4>360</vt:i4>
      </vt:variant>
      <vt:variant>
        <vt:i4>0</vt:i4>
      </vt:variant>
      <vt:variant>
        <vt:i4>5</vt:i4>
      </vt:variant>
      <vt:variant>
        <vt:lpwstr>mailto:harkunti_rahayu@yahoo.com</vt:lpwstr>
      </vt:variant>
      <vt:variant>
        <vt:lpwstr/>
      </vt:variant>
      <vt:variant>
        <vt:i4>3211270</vt:i4>
      </vt:variant>
      <vt:variant>
        <vt:i4>357</vt:i4>
      </vt:variant>
      <vt:variant>
        <vt:i4>0</vt:i4>
      </vt:variant>
      <vt:variant>
        <vt:i4>5</vt:i4>
      </vt:variant>
      <vt:variant>
        <vt:lpwstr>mailto:nishimae@met.kishou.go.jp</vt:lpwstr>
      </vt:variant>
      <vt:variant>
        <vt:lpwstr/>
      </vt:variant>
      <vt:variant>
        <vt:i4>3014666</vt:i4>
      </vt:variant>
      <vt:variant>
        <vt:i4>354</vt:i4>
      </vt:variant>
      <vt:variant>
        <vt:i4>0</vt:i4>
      </vt:variant>
      <vt:variant>
        <vt:i4>5</vt:i4>
      </vt:variant>
      <vt:variant>
        <vt:lpwstr>mailto:leonib@un.org</vt:lpwstr>
      </vt:variant>
      <vt:variant>
        <vt:lpwstr/>
      </vt:variant>
      <vt:variant>
        <vt:i4>4194353</vt:i4>
      </vt:variant>
      <vt:variant>
        <vt:i4>351</vt:i4>
      </vt:variant>
      <vt:variant>
        <vt:i4>0</vt:i4>
      </vt:variant>
      <vt:variant>
        <vt:i4>5</vt:i4>
      </vt:variant>
      <vt:variant>
        <vt:lpwstr>mailto:laura.kong@noaa.gov</vt:lpwstr>
      </vt:variant>
      <vt:variant>
        <vt:lpwstr/>
      </vt:variant>
      <vt:variant>
        <vt:i4>2687001</vt:i4>
      </vt:variant>
      <vt:variant>
        <vt:i4>348</vt:i4>
      </vt:variant>
      <vt:variant>
        <vt:i4>0</vt:i4>
      </vt:variant>
      <vt:variant>
        <vt:i4>5</vt:i4>
      </vt:variant>
      <vt:variant>
        <vt:lpwstr>mailto:K.Gledhill@gns.cri.nz</vt:lpwstr>
      </vt:variant>
      <vt:variant>
        <vt:lpwstr/>
      </vt:variant>
      <vt:variant>
        <vt:i4>2818066</vt:i4>
      </vt:variant>
      <vt:variant>
        <vt:i4>345</vt:i4>
      </vt:variant>
      <vt:variant>
        <vt:i4>0</vt:i4>
      </vt:variant>
      <vt:variant>
        <vt:i4>5</vt:i4>
      </vt:variant>
      <vt:variant>
        <vt:lpwstr>mailto:b.girdwood@gns.cri.nz</vt:lpwstr>
      </vt:variant>
      <vt:variant>
        <vt:lpwstr/>
      </vt:variant>
      <vt:variant>
        <vt:i4>2424920</vt:i4>
      </vt:variant>
      <vt:variant>
        <vt:i4>342</vt:i4>
      </vt:variant>
      <vt:variant>
        <vt:i4>0</vt:i4>
      </vt:variant>
      <vt:variant>
        <vt:i4>5</vt:i4>
      </vt:variant>
      <vt:variant>
        <vt:lpwstr>mailto:pattabhi@incois.gov.in</vt:lpwstr>
      </vt:variant>
      <vt:variant>
        <vt:lpwstr/>
      </vt:variant>
      <vt:variant>
        <vt:i4>4915262</vt:i4>
      </vt:variant>
      <vt:variant>
        <vt:i4>339</vt:i4>
      </vt:variant>
      <vt:variant>
        <vt:i4>0</vt:i4>
      </vt:variant>
      <vt:variant>
        <vt:i4>5</vt:i4>
      </vt:variant>
      <vt:variant>
        <vt:lpwstr>mailto:fernando.carrilho@meteo.pt</vt:lpwstr>
      </vt:variant>
      <vt:variant>
        <vt:lpwstr/>
      </vt:variant>
      <vt:variant>
        <vt:i4>4456486</vt:i4>
      </vt:variant>
      <vt:variant>
        <vt:i4>336</vt:i4>
      </vt:variant>
      <vt:variant>
        <vt:i4>0</vt:i4>
      </vt:variant>
      <vt:variant>
        <vt:i4>5</vt:i4>
      </vt:variant>
      <vt:variant>
        <vt:lpwstr>mailto:a.brome@unesco.org</vt:lpwstr>
      </vt:variant>
      <vt:variant>
        <vt:lpwstr/>
      </vt:variant>
      <vt:variant>
        <vt:i4>2228243</vt:i4>
      </vt:variant>
      <vt:variant>
        <vt:i4>333</vt:i4>
      </vt:variant>
      <vt:variant>
        <vt:i4>0</vt:i4>
      </vt:variant>
      <vt:variant>
        <vt:i4>5</vt:i4>
      </vt:variant>
      <vt:variant>
        <vt:lpwstr>mailto:czuniga@shoa.cl</vt:lpwstr>
      </vt:variant>
      <vt:variant>
        <vt:lpwstr/>
      </vt:variant>
      <vt:variant>
        <vt:i4>2490456</vt:i4>
      </vt:variant>
      <vt:variant>
        <vt:i4>330</vt:i4>
      </vt:variant>
      <vt:variant>
        <vt:i4>0</vt:i4>
      </vt:variant>
      <vt:variant>
        <vt:i4>5</vt:i4>
      </vt:variant>
      <vt:variant>
        <vt:lpwstr>mailto:christa.vonh@noaa.gov</vt:lpwstr>
      </vt:variant>
      <vt:variant>
        <vt:lpwstr/>
      </vt:variant>
      <vt:variant>
        <vt:i4>7667805</vt:i4>
      </vt:variant>
      <vt:variant>
        <vt:i4>327</vt:i4>
      </vt:variant>
      <vt:variant>
        <vt:i4>0</vt:i4>
      </vt:variant>
      <vt:variant>
        <vt:i4>5</vt:i4>
      </vt:variant>
      <vt:variant>
        <vt:lpwstr>mailto:DThomas@wmo.int</vt:lpwstr>
      </vt:variant>
      <vt:variant>
        <vt:lpwstr/>
      </vt:variant>
      <vt:variant>
        <vt:i4>3735625</vt:i4>
      </vt:variant>
      <vt:variant>
        <vt:i4>324</vt:i4>
      </vt:variant>
      <vt:variant>
        <vt:i4>0</vt:i4>
      </vt:variant>
      <vt:variant>
        <vt:i4>5</vt:i4>
      </vt:variant>
      <vt:variant>
        <vt:lpwstr>mailto:wilfried.strauch@yahoo.com</vt:lpwstr>
      </vt:variant>
      <vt:variant>
        <vt:lpwstr/>
      </vt:variant>
      <vt:variant>
        <vt:i4>3735640</vt:i4>
      </vt:variant>
      <vt:variant>
        <vt:i4>321</vt:i4>
      </vt:variant>
      <vt:variant>
        <vt:i4>0</vt:i4>
      </vt:variant>
      <vt:variant>
        <vt:i4>5</vt:i4>
      </vt:variant>
      <vt:variant>
        <vt:lpwstr>mailto:charles.mccreery@noaa.gov</vt:lpwstr>
      </vt:variant>
      <vt:variant>
        <vt:lpwstr/>
      </vt:variant>
      <vt:variant>
        <vt:i4>6357075</vt:i4>
      </vt:variant>
      <vt:variant>
        <vt:i4>318</vt:i4>
      </vt:variant>
      <vt:variant>
        <vt:i4>0</vt:i4>
      </vt:variant>
      <vt:variant>
        <vt:i4>5</vt:i4>
      </vt:variant>
      <vt:variant>
        <vt:lpwstr>mailto:chonore@wmo.int</vt:lpwstr>
      </vt:variant>
      <vt:variant>
        <vt:lpwstr/>
      </vt:variant>
      <vt:variant>
        <vt:i4>7864396</vt:i4>
      </vt:variant>
      <vt:variant>
        <vt:i4>315</vt:i4>
      </vt:variant>
      <vt:variant>
        <vt:i4>0</vt:i4>
      </vt:variant>
      <vt:variant>
        <vt:i4>5</vt:i4>
      </vt:variant>
      <vt:variant>
        <vt:lpwstr>mailto:sgrimes@wmo.int</vt:lpwstr>
      </vt:variant>
      <vt:variant>
        <vt:lpwstr/>
      </vt:variant>
      <vt:variant>
        <vt:i4>3866676</vt:i4>
      </vt:variant>
      <vt:variant>
        <vt:i4>312</vt:i4>
      </vt:variant>
      <vt:variant>
        <vt:i4>0</vt:i4>
      </vt:variant>
      <vt:variant>
        <vt:i4>5</vt:i4>
      </vt:variant>
      <vt:variant>
        <vt:lpwstr>mailto:Frolov_AV@nrcki.ru</vt:lpwstr>
      </vt:variant>
      <vt:variant>
        <vt:lpwstr/>
      </vt:variant>
      <vt:variant>
        <vt:i4>7798791</vt:i4>
      </vt:variant>
      <vt:variant>
        <vt:i4>309</vt:i4>
      </vt:variant>
      <vt:variant>
        <vt:i4>0</vt:i4>
      </vt:variant>
      <vt:variant>
        <vt:i4>5</vt:i4>
      </vt:variant>
      <vt:variant>
        <vt:lpwstr>mailto:silviach@una.ac.cr</vt:lpwstr>
      </vt:variant>
      <vt:variant>
        <vt:lpwstr/>
      </vt:variant>
      <vt:variant>
        <vt:i4>5374066</vt:i4>
      </vt:variant>
      <vt:variant>
        <vt:i4>306</vt:i4>
      </vt:variant>
      <vt:variant>
        <vt:i4>0</vt:i4>
      </vt:variant>
      <vt:variant>
        <vt:i4>5</vt:i4>
      </vt:variant>
      <vt:variant>
        <vt:lpwstr>mailto:director@shoa.cl</vt:lpwstr>
      </vt:variant>
      <vt:variant>
        <vt:lpwstr/>
      </vt:variant>
      <vt:variant>
        <vt:i4>5111850</vt:i4>
      </vt:variant>
      <vt:variant>
        <vt:i4>303</vt:i4>
      </vt:variant>
      <vt:variant>
        <vt:i4>0</vt:i4>
      </vt:variant>
      <vt:variant>
        <vt:i4>5</vt:i4>
      </vt:variant>
      <vt:variant>
        <vt:lpwstr>mailto:michael.angove@noaa.gov</vt:lpwstr>
      </vt:variant>
      <vt:variant>
        <vt:lpwstr/>
      </vt:variant>
      <vt:variant>
        <vt:i4>6225969</vt:i4>
      </vt:variant>
      <vt:variant>
        <vt:i4>300</vt:i4>
      </vt:variant>
      <vt:variant>
        <vt:i4>0</vt:i4>
      </vt:variant>
      <vt:variant>
        <vt:i4>5</vt:i4>
      </vt:variant>
      <vt:variant>
        <vt:lpwstr>http://www.ioc-tsunami.org/index.php?option=com_oe&amp;task=viewDocumentRecord&amp;docID=26670</vt:lpwstr>
      </vt:variant>
      <vt:variant>
        <vt:lpwstr/>
      </vt:variant>
      <vt:variant>
        <vt:i4>5767216</vt:i4>
      </vt:variant>
      <vt:variant>
        <vt:i4>297</vt:i4>
      </vt:variant>
      <vt:variant>
        <vt:i4>0</vt:i4>
      </vt:variant>
      <vt:variant>
        <vt:i4>5</vt:i4>
      </vt:variant>
      <vt:variant>
        <vt:lpwstr>http://www.ioc-tsunami.org/index.php?option=com_oe&amp;task=viewDocumentRecord&amp;docID=26465</vt:lpwstr>
      </vt:variant>
      <vt:variant>
        <vt:lpwstr/>
      </vt:variant>
      <vt:variant>
        <vt:i4>3080234</vt:i4>
      </vt:variant>
      <vt:variant>
        <vt:i4>294</vt:i4>
      </vt:variant>
      <vt:variant>
        <vt:i4>0</vt:i4>
      </vt:variant>
      <vt:variant>
        <vt:i4>5</vt:i4>
      </vt:variant>
      <vt:variant>
        <vt:lpwstr>http://lgs.geo.unifi.it/index.php/blog/esplosione-parossistica-stromboli-3-luglio-2019</vt:lpwstr>
      </vt:variant>
      <vt:variant>
        <vt:lpwstr/>
      </vt:variant>
      <vt:variant>
        <vt:i4>4849750</vt:i4>
      </vt:variant>
      <vt:variant>
        <vt:i4>291</vt:i4>
      </vt:variant>
      <vt:variant>
        <vt:i4>0</vt:i4>
      </vt:variant>
      <vt:variant>
        <vt:i4>5</vt:i4>
      </vt:variant>
      <vt:variant>
        <vt:lpwstr>https://www.fema.gov/media-library/assets/documents/14708</vt:lpwstr>
      </vt:variant>
      <vt:variant>
        <vt:lpwstr/>
      </vt:variant>
      <vt:variant>
        <vt:i4>4849750</vt:i4>
      </vt:variant>
      <vt:variant>
        <vt:i4>288</vt:i4>
      </vt:variant>
      <vt:variant>
        <vt:i4>0</vt:i4>
      </vt:variant>
      <vt:variant>
        <vt:i4>5</vt:i4>
      </vt:variant>
      <vt:variant>
        <vt:lpwstr>https://www.fema.gov/media-library/assets/documents/14708</vt:lpwstr>
      </vt:variant>
      <vt:variant>
        <vt:lpwstr/>
      </vt:variant>
      <vt:variant>
        <vt:i4>7340104</vt:i4>
      </vt:variant>
      <vt:variant>
        <vt:i4>285</vt:i4>
      </vt:variant>
      <vt:variant>
        <vt:i4>0</vt:i4>
      </vt:variant>
      <vt:variant>
        <vt:i4>5</vt:i4>
      </vt:variant>
      <vt:variant>
        <vt:lpwstr>http://www.ioc-tsunami.org/index.php?option=com_oe&amp;task=viewEventRecord&amp;eventID=1894</vt:lpwstr>
      </vt:variant>
      <vt:variant>
        <vt:lpwstr/>
      </vt:variant>
      <vt:variant>
        <vt:i4>7929923</vt:i4>
      </vt:variant>
      <vt:variant>
        <vt:i4>282</vt:i4>
      </vt:variant>
      <vt:variant>
        <vt:i4>0</vt:i4>
      </vt:variant>
      <vt:variant>
        <vt:i4>5</vt:i4>
      </vt:variant>
      <vt:variant>
        <vt:lpwstr>http://www.ioc-tsunami.org/index.php?option=com_oe&amp;task=viewEventRecord&amp;eventID=1421</vt:lpwstr>
      </vt:variant>
      <vt:variant>
        <vt:lpwstr/>
      </vt:variant>
      <vt:variant>
        <vt:i4>1769472</vt:i4>
      </vt:variant>
      <vt:variant>
        <vt:i4>279</vt:i4>
      </vt:variant>
      <vt:variant>
        <vt:i4>0</vt:i4>
      </vt:variant>
      <vt:variant>
        <vt:i4>5</vt:i4>
      </vt:variant>
      <vt:variant>
        <vt:lpwstr>http://unesdoc.unesco.org/images/0019/001939/193913e.pdf</vt:lpwstr>
      </vt:variant>
      <vt:variant>
        <vt:lpwstr/>
      </vt:variant>
      <vt:variant>
        <vt:i4>196697</vt:i4>
      </vt:variant>
      <vt:variant>
        <vt:i4>276</vt:i4>
      </vt:variant>
      <vt:variant>
        <vt:i4>0</vt:i4>
      </vt:variant>
      <vt:variant>
        <vt:i4>5</vt:i4>
      </vt:variant>
      <vt:variant>
        <vt:lpwstr>http://www.unisdr.org/who-we-are/mandate</vt:lpwstr>
      </vt:variant>
      <vt:variant>
        <vt:lpwstr/>
      </vt:variant>
      <vt:variant>
        <vt:i4>4390989</vt:i4>
      </vt:variant>
      <vt:variant>
        <vt:i4>273</vt:i4>
      </vt:variant>
      <vt:variant>
        <vt:i4>0</vt:i4>
      </vt:variant>
      <vt:variant>
        <vt:i4>5</vt:i4>
      </vt:variant>
      <vt:variant>
        <vt:lpwstr>https://unesdoc.unesco.org/ark:/48223/pf0000150952.locale=fr</vt:lpwstr>
      </vt:variant>
      <vt:variant>
        <vt:lpwstr/>
      </vt:variant>
      <vt:variant>
        <vt:i4>7274621</vt:i4>
      </vt:variant>
      <vt:variant>
        <vt:i4>270</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267</vt:i4>
      </vt:variant>
      <vt:variant>
        <vt:i4>0</vt:i4>
      </vt:variant>
      <vt:variant>
        <vt:i4>5</vt:i4>
      </vt:variant>
      <vt:variant>
        <vt:lpwstr>https://unesdoc.unesco.org/ark:/48223/pf0000372721.locale=fr</vt:lpwstr>
      </vt:variant>
      <vt:variant>
        <vt:lpwstr/>
      </vt:variant>
      <vt:variant>
        <vt:i4>327720</vt:i4>
      </vt:variant>
      <vt:variant>
        <vt:i4>264</vt:i4>
      </vt:variant>
      <vt:variant>
        <vt:i4>0</vt:i4>
      </vt:variant>
      <vt:variant>
        <vt:i4>5</vt:i4>
      </vt:variant>
      <vt:variant>
        <vt:lpwstr>http://www.ioc-unesco.org/index.php?option=com_oe&amp;task=viewDocumentRecord&amp;docID=24911</vt:lpwstr>
      </vt:variant>
      <vt:variant>
        <vt:lpwstr/>
      </vt:variant>
      <vt:variant>
        <vt:i4>8060961</vt:i4>
      </vt:variant>
      <vt:variant>
        <vt:i4>261</vt:i4>
      </vt:variant>
      <vt:variant>
        <vt:i4>0</vt:i4>
      </vt:variant>
      <vt:variant>
        <vt:i4>5</vt:i4>
      </vt:variant>
      <vt:variant>
        <vt:lpwstr>http://www.ioc-unesco.org/tows-wg13</vt:lpwstr>
      </vt:variant>
      <vt:variant>
        <vt:lpwstr/>
      </vt:variant>
      <vt:variant>
        <vt:i4>4980810</vt:i4>
      </vt:variant>
      <vt:variant>
        <vt:i4>258</vt:i4>
      </vt:variant>
      <vt:variant>
        <vt:i4>0</vt:i4>
      </vt:variant>
      <vt:variant>
        <vt:i4>5</vt:i4>
      </vt:variant>
      <vt:variant>
        <vt:lpwstr>https://unesdoc.unesco.org/ark:/48223/pf0000372721.locale=fr</vt:lpwstr>
      </vt:variant>
      <vt:variant>
        <vt:lpwstr/>
      </vt:variant>
      <vt:variant>
        <vt:i4>327720</vt:i4>
      </vt:variant>
      <vt:variant>
        <vt:i4>255</vt:i4>
      </vt:variant>
      <vt:variant>
        <vt:i4>0</vt:i4>
      </vt:variant>
      <vt:variant>
        <vt:i4>5</vt:i4>
      </vt:variant>
      <vt:variant>
        <vt:lpwstr>http://www.ioc-unesco.org/index.php?option=com_oe&amp;task=viewDocumentRecord&amp;docID=24911</vt:lpwstr>
      </vt:variant>
      <vt:variant>
        <vt:lpwstr/>
      </vt:variant>
      <vt:variant>
        <vt:i4>7274621</vt:i4>
      </vt:variant>
      <vt:variant>
        <vt:i4>252</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249</vt:i4>
      </vt:variant>
      <vt:variant>
        <vt:i4>0</vt:i4>
      </vt:variant>
      <vt:variant>
        <vt:i4>5</vt:i4>
      </vt:variant>
      <vt:variant>
        <vt:lpwstr>https://unesdoc.unesco.org/ark:/48223/pf0000372721.locale=fr</vt:lpwstr>
      </vt:variant>
      <vt:variant>
        <vt:lpwstr/>
      </vt:variant>
      <vt:variant>
        <vt:i4>327720</vt:i4>
      </vt:variant>
      <vt:variant>
        <vt:i4>246</vt:i4>
      </vt:variant>
      <vt:variant>
        <vt:i4>0</vt:i4>
      </vt:variant>
      <vt:variant>
        <vt:i4>5</vt:i4>
      </vt:variant>
      <vt:variant>
        <vt:lpwstr>http://www.ioc-unesco.org/index.php?option=com_oe&amp;task=viewDocumentRecord&amp;docID=24911</vt:lpwstr>
      </vt:variant>
      <vt:variant>
        <vt:lpwstr/>
      </vt:variant>
      <vt:variant>
        <vt:i4>4980810</vt:i4>
      </vt:variant>
      <vt:variant>
        <vt:i4>243</vt:i4>
      </vt:variant>
      <vt:variant>
        <vt:i4>0</vt:i4>
      </vt:variant>
      <vt:variant>
        <vt:i4>5</vt:i4>
      </vt:variant>
      <vt:variant>
        <vt:lpwstr>https://unesdoc.unesco.org/ark:/48223/pf0000372721.locale=fr</vt:lpwstr>
      </vt:variant>
      <vt:variant>
        <vt:lpwstr/>
      </vt:variant>
      <vt:variant>
        <vt:i4>327720</vt:i4>
      </vt:variant>
      <vt:variant>
        <vt:i4>240</vt:i4>
      </vt:variant>
      <vt:variant>
        <vt:i4>0</vt:i4>
      </vt:variant>
      <vt:variant>
        <vt:i4>5</vt:i4>
      </vt:variant>
      <vt:variant>
        <vt:lpwstr>http://www.ioc-unesco.org/index.php?option=com_oe&amp;task=viewDocumentRecord&amp;docID=24911</vt:lpwstr>
      </vt:variant>
      <vt:variant>
        <vt:lpwstr/>
      </vt:variant>
      <vt:variant>
        <vt:i4>7274621</vt:i4>
      </vt:variant>
      <vt:variant>
        <vt:i4>237</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234</vt:i4>
      </vt:variant>
      <vt:variant>
        <vt:i4>0</vt:i4>
      </vt:variant>
      <vt:variant>
        <vt:i4>5</vt:i4>
      </vt:variant>
      <vt:variant>
        <vt:lpwstr>https://unesdoc.unesco.org/ark:/48223/pf0000372721.locale=fr</vt:lpwstr>
      </vt:variant>
      <vt:variant>
        <vt:lpwstr/>
      </vt:variant>
      <vt:variant>
        <vt:i4>327720</vt:i4>
      </vt:variant>
      <vt:variant>
        <vt:i4>231</vt:i4>
      </vt:variant>
      <vt:variant>
        <vt:i4>0</vt:i4>
      </vt:variant>
      <vt:variant>
        <vt:i4>5</vt:i4>
      </vt:variant>
      <vt:variant>
        <vt:lpwstr>http://www.ioc-unesco.org/index.php?option=com_oe&amp;task=viewDocumentRecord&amp;docID=24911</vt:lpwstr>
      </vt:variant>
      <vt:variant>
        <vt:lpwstr/>
      </vt:variant>
      <vt:variant>
        <vt:i4>1179697</vt:i4>
      </vt:variant>
      <vt:variant>
        <vt:i4>224</vt:i4>
      </vt:variant>
      <vt:variant>
        <vt:i4>0</vt:i4>
      </vt:variant>
      <vt:variant>
        <vt:i4>5</vt:i4>
      </vt:variant>
      <vt:variant>
        <vt:lpwstr/>
      </vt:variant>
      <vt:variant>
        <vt:lpwstr>_Toc37340315</vt:lpwstr>
      </vt:variant>
      <vt:variant>
        <vt:i4>1245233</vt:i4>
      </vt:variant>
      <vt:variant>
        <vt:i4>218</vt:i4>
      </vt:variant>
      <vt:variant>
        <vt:i4>0</vt:i4>
      </vt:variant>
      <vt:variant>
        <vt:i4>5</vt:i4>
      </vt:variant>
      <vt:variant>
        <vt:lpwstr/>
      </vt:variant>
      <vt:variant>
        <vt:lpwstr>_Toc37340314</vt:lpwstr>
      </vt:variant>
      <vt:variant>
        <vt:i4>1310769</vt:i4>
      </vt:variant>
      <vt:variant>
        <vt:i4>212</vt:i4>
      </vt:variant>
      <vt:variant>
        <vt:i4>0</vt:i4>
      </vt:variant>
      <vt:variant>
        <vt:i4>5</vt:i4>
      </vt:variant>
      <vt:variant>
        <vt:lpwstr/>
      </vt:variant>
      <vt:variant>
        <vt:lpwstr>_Toc37340313</vt:lpwstr>
      </vt:variant>
      <vt:variant>
        <vt:i4>1376305</vt:i4>
      </vt:variant>
      <vt:variant>
        <vt:i4>206</vt:i4>
      </vt:variant>
      <vt:variant>
        <vt:i4>0</vt:i4>
      </vt:variant>
      <vt:variant>
        <vt:i4>5</vt:i4>
      </vt:variant>
      <vt:variant>
        <vt:lpwstr/>
      </vt:variant>
      <vt:variant>
        <vt:lpwstr>_Toc37340312</vt:lpwstr>
      </vt:variant>
      <vt:variant>
        <vt:i4>1441841</vt:i4>
      </vt:variant>
      <vt:variant>
        <vt:i4>200</vt:i4>
      </vt:variant>
      <vt:variant>
        <vt:i4>0</vt:i4>
      </vt:variant>
      <vt:variant>
        <vt:i4>5</vt:i4>
      </vt:variant>
      <vt:variant>
        <vt:lpwstr/>
      </vt:variant>
      <vt:variant>
        <vt:lpwstr>_Toc37340311</vt:lpwstr>
      </vt:variant>
      <vt:variant>
        <vt:i4>1507377</vt:i4>
      </vt:variant>
      <vt:variant>
        <vt:i4>194</vt:i4>
      </vt:variant>
      <vt:variant>
        <vt:i4>0</vt:i4>
      </vt:variant>
      <vt:variant>
        <vt:i4>5</vt:i4>
      </vt:variant>
      <vt:variant>
        <vt:lpwstr/>
      </vt:variant>
      <vt:variant>
        <vt:lpwstr>_Toc37340310</vt:lpwstr>
      </vt:variant>
      <vt:variant>
        <vt:i4>1966128</vt:i4>
      </vt:variant>
      <vt:variant>
        <vt:i4>188</vt:i4>
      </vt:variant>
      <vt:variant>
        <vt:i4>0</vt:i4>
      </vt:variant>
      <vt:variant>
        <vt:i4>5</vt:i4>
      </vt:variant>
      <vt:variant>
        <vt:lpwstr/>
      </vt:variant>
      <vt:variant>
        <vt:lpwstr>_Toc37340309</vt:lpwstr>
      </vt:variant>
      <vt:variant>
        <vt:i4>2031664</vt:i4>
      </vt:variant>
      <vt:variant>
        <vt:i4>182</vt:i4>
      </vt:variant>
      <vt:variant>
        <vt:i4>0</vt:i4>
      </vt:variant>
      <vt:variant>
        <vt:i4>5</vt:i4>
      </vt:variant>
      <vt:variant>
        <vt:lpwstr/>
      </vt:variant>
      <vt:variant>
        <vt:lpwstr>_Toc37340308</vt:lpwstr>
      </vt:variant>
      <vt:variant>
        <vt:i4>1048624</vt:i4>
      </vt:variant>
      <vt:variant>
        <vt:i4>176</vt:i4>
      </vt:variant>
      <vt:variant>
        <vt:i4>0</vt:i4>
      </vt:variant>
      <vt:variant>
        <vt:i4>5</vt:i4>
      </vt:variant>
      <vt:variant>
        <vt:lpwstr/>
      </vt:variant>
      <vt:variant>
        <vt:lpwstr>_Toc37340307</vt:lpwstr>
      </vt:variant>
      <vt:variant>
        <vt:i4>1114160</vt:i4>
      </vt:variant>
      <vt:variant>
        <vt:i4>170</vt:i4>
      </vt:variant>
      <vt:variant>
        <vt:i4>0</vt:i4>
      </vt:variant>
      <vt:variant>
        <vt:i4>5</vt:i4>
      </vt:variant>
      <vt:variant>
        <vt:lpwstr/>
      </vt:variant>
      <vt:variant>
        <vt:lpwstr>_Toc37340306</vt:lpwstr>
      </vt:variant>
      <vt:variant>
        <vt:i4>1179696</vt:i4>
      </vt:variant>
      <vt:variant>
        <vt:i4>164</vt:i4>
      </vt:variant>
      <vt:variant>
        <vt:i4>0</vt:i4>
      </vt:variant>
      <vt:variant>
        <vt:i4>5</vt:i4>
      </vt:variant>
      <vt:variant>
        <vt:lpwstr/>
      </vt:variant>
      <vt:variant>
        <vt:lpwstr>_Toc37340305</vt:lpwstr>
      </vt:variant>
      <vt:variant>
        <vt:i4>1245232</vt:i4>
      </vt:variant>
      <vt:variant>
        <vt:i4>158</vt:i4>
      </vt:variant>
      <vt:variant>
        <vt:i4>0</vt:i4>
      </vt:variant>
      <vt:variant>
        <vt:i4>5</vt:i4>
      </vt:variant>
      <vt:variant>
        <vt:lpwstr/>
      </vt:variant>
      <vt:variant>
        <vt:lpwstr>_Toc37340304</vt:lpwstr>
      </vt:variant>
      <vt:variant>
        <vt:i4>1310768</vt:i4>
      </vt:variant>
      <vt:variant>
        <vt:i4>152</vt:i4>
      </vt:variant>
      <vt:variant>
        <vt:i4>0</vt:i4>
      </vt:variant>
      <vt:variant>
        <vt:i4>5</vt:i4>
      </vt:variant>
      <vt:variant>
        <vt:lpwstr/>
      </vt:variant>
      <vt:variant>
        <vt:lpwstr>_Toc37340303</vt:lpwstr>
      </vt:variant>
      <vt:variant>
        <vt:i4>1376304</vt:i4>
      </vt:variant>
      <vt:variant>
        <vt:i4>146</vt:i4>
      </vt:variant>
      <vt:variant>
        <vt:i4>0</vt:i4>
      </vt:variant>
      <vt:variant>
        <vt:i4>5</vt:i4>
      </vt:variant>
      <vt:variant>
        <vt:lpwstr/>
      </vt:variant>
      <vt:variant>
        <vt:lpwstr>_Toc37340302</vt:lpwstr>
      </vt:variant>
      <vt:variant>
        <vt:i4>1441840</vt:i4>
      </vt:variant>
      <vt:variant>
        <vt:i4>140</vt:i4>
      </vt:variant>
      <vt:variant>
        <vt:i4>0</vt:i4>
      </vt:variant>
      <vt:variant>
        <vt:i4>5</vt:i4>
      </vt:variant>
      <vt:variant>
        <vt:lpwstr/>
      </vt:variant>
      <vt:variant>
        <vt:lpwstr>_Toc37340301</vt:lpwstr>
      </vt:variant>
      <vt:variant>
        <vt:i4>1507376</vt:i4>
      </vt:variant>
      <vt:variant>
        <vt:i4>134</vt:i4>
      </vt:variant>
      <vt:variant>
        <vt:i4>0</vt:i4>
      </vt:variant>
      <vt:variant>
        <vt:i4>5</vt:i4>
      </vt:variant>
      <vt:variant>
        <vt:lpwstr/>
      </vt:variant>
      <vt:variant>
        <vt:lpwstr>_Toc37340300</vt:lpwstr>
      </vt:variant>
      <vt:variant>
        <vt:i4>2031673</vt:i4>
      </vt:variant>
      <vt:variant>
        <vt:i4>128</vt:i4>
      </vt:variant>
      <vt:variant>
        <vt:i4>0</vt:i4>
      </vt:variant>
      <vt:variant>
        <vt:i4>5</vt:i4>
      </vt:variant>
      <vt:variant>
        <vt:lpwstr/>
      </vt:variant>
      <vt:variant>
        <vt:lpwstr>_Toc37340299</vt:lpwstr>
      </vt:variant>
      <vt:variant>
        <vt:i4>1966137</vt:i4>
      </vt:variant>
      <vt:variant>
        <vt:i4>122</vt:i4>
      </vt:variant>
      <vt:variant>
        <vt:i4>0</vt:i4>
      </vt:variant>
      <vt:variant>
        <vt:i4>5</vt:i4>
      </vt:variant>
      <vt:variant>
        <vt:lpwstr/>
      </vt:variant>
      <vt:variant>
        <vt:lpwstr>_Toc37340298</vt:lpwstr>
      </vt:variant>
      <vt:variant>
        <vt:i4>1114169</vt:i4>
      </vt:variant>
      <vt:variant>
        <vt:i4>116</vt:i4>
      </vt:variant>
      <vt:variant>
        <vt:i4>0</vt:i4>
      </vt:variant>
      <vt:variant>
        <vt:i4>5</vt:i4>
      </vt:variant>
      <vt:variant>
        <vt:lpwstr/>
      </vt:variant>
      <vt:variant>
        <vt:lpwstr>_Toc37340297</vt:lpwstr>
      </vt:variant>
      <vt:variant>
        <vt:i4>1048633</vt:i4>
      </vt:variant>
      <vt:variant>
        <vt:i4>110</vt:i4>
      </vt:variant>
      <vt:variant>
        <vt:i4>0</vt:i4>
      </vt:variant>
      <vt:variant>
        <vt:i4>5</vt:i4>
      </vt:variant>
      <vt:variant>
        <vt:lpwstr/>
      </vt:variant>
      <vt:variant>
        <vt:lpwstr>_Toc37340296</vt:lpwstr>
      </vt:variant>
      <vt:variant>
        <vt:i4>1245241</vt:i4>
      </vt:variant>
      <vt:variant>
        <vt:i4>104</vt:i4>
      </vt:variant>
      <vt:variant>
        <vt:i4>0</vt:i4>
      </vt:variant>
      <vt:variant>
        <vt:i4>5</vt:i4>
      </vt:variant>
      <vt:variant>
        <vt:lpwstr/>
      </vt:variant>
      <vt:variant>
        <vt:lpwstr>_Toc37340295</vt:lpwstr>
      </vt:variant>
      <vt:variant>
        <vt:i4>1179705</vt:i4>
      </vt:variant>
      <vt:variant>
        <vt:i4>98</vt:i4>
      </vt:variant>
      <vt:variant>
        <vt:i4>0</vt:i4>
      </vt:variant>
      <vt:variant>
        <vt:i4>5</vt:i4>
      </vt:variant>
      <vt:variant>
        <vt:lpwstr/>
      </vt:variant>
      <vt:variant>
        <vt:lpwstr>_Toc37340294</vt:lpwstr>
      </vt:variant>
      <vt:variant>
        <vt:i4>1376313</vt:i4>
      </vt:variant>
      <vt:variant>
        <vt:i4>92</vt:i4>
      </vt:variant>
      <vt:variant>
        <vt:i4>0</vt:i4>
      </vt:variant>
      <vt:variant>
        <vt:i4>5</vt:i4>
      </vt:variant>
      <vt:variant>
        <vt:lpwstr/>
      </vt:variant>
      <vt:variant>
        <vt:lpwstr>_Toc37340293</vt:lpwstr>
      </vt:variant>
      <vt:variant>
        <vt:i4>1310777</vt:i4>
      </vt:variant>
      <vt:variant>
        <vt:i4>86</vt:i4>
      </vt:variant>
      <vt:variant>
        <vt:i4>0</vt:i4>
      </vt:variant>
      <vt:variant>
        <vt:i4>5</vt:i4>
      </vt:variant>
      <vt:variant>
        <vt:lpwstr/>
      </vt:variant>
      <vt:variant>
        <vt:lpwstr>_Toc37340292</vt:lpwstr>
      </vt:variant>
      <vt:variant>
        <vt:i4>1507385</vt:i4>
      </vt:variant>
      <vt:variant>
        <vt:i4>80</vt:i4>
      </vt:variant>
      <vt:variant>
        <vt:i4>0</vt:i4>
      </vt:variant>
      <vt:variant>
        <vt:i4>5</vt:i4>
      </vt:variant>
      <vt:variant>
        <vt:lpwstr/>
      </vt:variant>
      <vt:variant>
        <vt:lpwstr>_Toc37340291</vt:lpwstr>
      </vt:variant>
      <vt:variant>
        <vt:i4>1441849</vt:i4>
      </vt:variant>
      <vt:variant>
        <vt:i4>74</vt:i4>
      </vt:variant>
      <vt:variant>
        <vt:i4>0</vt:i4>
      </vt:variant>
      <vt:variant>
        <vt:i4>5</vt:i4>
      </vt:variant>
      <vt:variant>
        <vt:lpwstr/>
      </vt:variant>
      <vt:variant>
        <vt:lpwstr>_Toc37340290</vt:lpwstr>
      </vt:variant>
      <vt:variant>
        <vt:i4>2031672</vt:i4>
      </vt:variant>
      <vt:variant>
        <vt:i4>68</vt:i4>
      </vt:variant>
      <vt:variant>
        <vt:i4>0</vt:i4>
      </vt:variant>
      <vt:variant>
        <vt:i4>5</vt:i4>
      </vt:variant>
      <vt:variant>
        <vt:lpwstr/>
      </vt:variant>
      <vt:variant>
        <vt:lpwstr>_Toc37340289</vt:lpwstr>
      </vt:variant>
      <vt:variant>
        <vt:i4>1966136</vt:i4>
      </vt:variant>
      <vt:variant>
        <vt:i4>62</vt:i4>
      </vt:variant>
      <vt:variant>
        <vt:i4>0</vt:i4>
      </vt:variant>
      <vt:variant>
        <vt:i4>5</vt:i4>
      </vt:variant>
      <vt:variant>
        <vt:lpwstr/>
      </vt:variant>
      <vt:variant>
        <vt:lpwstr>_Toc37340288</vt:lpwstr>
      </vt:variant>
      <vt:variant>
        <vt:i4>1114168</vt:i4>
      </vt:variant>
      <vt:variant>
        <vt:i4>56</vt:i4>
      </vt:variant>
      <vt:variant>
        <vt:i4>0</vt:i4>
      </vt:variant>
      <vt:variant>
        <vt:i4>5</vt:i4>
      </vt:variant>
      <vt:variant>
        <vt:lpwstr/>
      </vt:variant>
      <vt:variant>
        <vt:lpwstr>_Toc37340287</vt:lpwstr>
      </vt:variant>
      <vt:variant>
        <vt:i4>1048632</vt:i4>
      </vt:variant>
      <vt:variant>
        <vt:i4>50</vt:i4>
      </vt:variant>
      <vt:variant>
        <vt:i4>0</vt:i4>
      </vt:variant>
      <vt:variant>
        <vt:i4>5</vt:i4>
      </vt:variant>
      <vt:variant>
        <vt:lpwstr/>
      </vt:variant>
      <vt:variant>
        <vt:lpwstr>_Toc37340286</vt:lpwstr>
      </vt:variant>
      <vt:variant>
        <vt:i4>1245240</vt:i4>
      </vt:variant>
      <vt:variant>
        <vt:i4>44</vt:i4>
      </vt:variant>
      <vt:variant>
        <vt:i4>0</vt:i4>
      </vt:variant>
      <vt:variant>
        <vt:i4>5</vt:i4>
      </vt:variant>
      <vt:variant>
        <vt:lpwstr/>
      </vt:variant>
      <vt:variant>
        <vt:lpwstr>_Toc37340285</vt:lpwstr>
      </vt:variant>
      <vt:variant>
        <vt:i4>1179704</vt:i4>
      </vt:variant>
      <vt:variant>
        <vt:i4>38</vt:i4>
      </vt:variant>
      <vt:variant>
        <vt:i4>0</vt:i4>
      </vt:variant>
      <vt:variant>
        <vt:i4>5</vt:i4>
      </vt:variant>
      <vt:variant>
        <vt:lpwstr/>
      </vt:variant>
      <vt:variant>
        <vt:lpwstr>_Toc37340284</vt:lpwstr>
      </vt:variant>
      <vt:variant>
        <vt:i4>1376312</vt:i4>
      </vt:variant>
      <vt:variant>
        <vt:i4>32</vt:i4>
      </vt:variant>
      <vt:variant>
        <vt:i4>0</vt:i4>
      </vt:variant>
      <vt:variant>
        <vt:i4>5</vt:i4>
      </vt:variant>
      <vt:variant>
        <vt:lpwstr/>
      </vt:variant>
      <vt:variant>
        <vt:lpwstr>_Toc37340283</vt:lpwstr>
      </vt:variant>
      <vt:variant>
        <vt:i4>1310776</vt:i4>
      </vt:variant>
      <vt:variant>
        <vt:i4>26</vt:i4>
      </vt:variant>
      <vt:variant>
        <vt:i4>0</vt:i4>
      </vt:variant>
      <vt:variant>
        <vt:i4>5</vt:i4>
      </vt:variant>
      <vt:variant>
        <vt:lpwstr/>
      </vt:variant>
      <vt:variant>
        <vt:lpwstr>_Toc37340282</vt:lpwstr>
      </vt:variant>
      <vt:variant>
        <vt:i4>1507384</vt:i4>
      </vt:variant>
      <vt:variant>
        <vt:i4>20</vt:i4>
      </vt:variant>
      <vt:variant>
        <vt:i4>0</vt:i4>
      </vt:variant>
      <vt:variant>
        <vt:i4>5</vt:i4>
      </vt:variant>
      <vt:variant>
        <vt:lpwstr/>
      </vt:variant>
      <vt:variant>
        <vt:lpwstr>_Toc37340281</vt:lpwstr>
      </vt:variant>
      <vt:variant>
        <vt:i4>1441848</vt:i4>
      </vt:variant>
      <vt:variant>
        <vt:i4>14</vt:i4>
      </vt:variant>
      <vt:variant>
        <vt:i4>0</vt:i4>
      </vt:variant>
      <vt:variant>
        <vt:i4>5</vt:i4>
      </vt:variant>
      <vt:variant>
        <vt:lpwstr/>
      </vt:variant>
      <vt:variant>
        <vt:lpwstr>_Toc37340280</vt:lpwstr>
      </vt:variant>
      <vt:variant>
        <vt:i4>2031671</vt:i4>
      </vt:variant>
      <vt:variant>
        <vt:i4>8</vt:i4>
      </vt:variant>
      <vt:variant>
        <vt:i4>0</vt:i4>
      </vt:variant>
      <vt:variant>
        <vt:i4>5</vt:i4>
      </vt:variant>
      <vt:variant>
        <vt:lpwstr/>
      </vt:variant>
      <vt:variant>
        <vt:lpwstr>_Toc37340279</vt:lpwstr>
      </vt:variant>
      <vt:variant>
        <vt:i4>1966135</vt:i4>
      </vt:variant>
      <vt:variant>
        <vt:i4>2</vt:i4>
      </vt:variant>
      <vt:variant>
        <vt:i4>0</vt:i4>
      </vt:variant>
      <vt:variant>
        <vt:i4>5</vt:i4>
      </vt:variant>
      <vt:variant>
        <vt:lpwstr/>
      </vt:variant>
      <vt:variant>
        <vt:lpwstr>_Toc37340278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Aliaga, Bernardo</dc:creator>
  <cp:keywords/>
  <cp:lastModifiedBy>Aliaga, Bernardo</cp:lastModifiedBy>
  <cp:revision>8</cp:revision>
  <dcterms:created xsi:type="dcterms:W3CDTF">2025-04-22T14:42:00Z</dcterms:created>
  <dcterms:modified xsi:type="dcterms:W3CDTF">2025-04-22T15:04:00Z</dcterms:modified>
</cp:coreProperties>
</file>