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28BC" w14:textId="77777777" w:rsidR="00A40455" w:rsidRPr="00A40455" w:rsidRDefault="00A40455" w:rsidP="00A40455">
      <w:pPr>
        <w:tabs>
          <w:tab w:val="left" w:pos="709"/>
        </w:tabs>
        <w:snapToGrid w:val="0"/>
        <w:spacing w:after="240" w:line="240" w:lineRule="auto"/>
        <w:jc w:val="both"/>
        <w:rPr>
          <w:rFonts w:ascii="Arial" w:eastAsia="Arial" w:hAnsi="Arial" w:cs="Arial"/>
          <w:snapToGrid w:val="0"/>
          <w:lang w:val="en-GB"/>
        </w:rPr>
      </w:pPr>
      <w:r w:rsidRPr="00A40455">
        <w:rPr>
          <w:rFonts w:ascii="Arial" w:eastAsia="Arial" w:hAnsi="Arial" w:cs="Arial"/>
          <w:snapToGrid w:val="0"/>
          <w:lang w:val="en-GB"/>
        </w:rPr>
        <w:t>The Eighteenth Meeting of the Working Group on Tsunamis and Other Hazards Related to Sea-Level Warning and Mitigation Systems (TOWS-WG-XVI) was held in hybrid format (in-person and online), during 24-25 February 2025 under the Chairpersonship of Mr Amr Hamouda (IOC Vice-Chair). The meeting evaluated the progress made in respect to the IOC Decision A-32/4.3.1. of the IOC Assembly at its Thirty second session (21 – 30 June 2023, Paris) and the Decision IOC EC-57/3.2.1 at its 57</w:t>
      </w:r>
      <w:r w:rsidRPr="00A40455">
        <w:rPr>
          <w:rFonts w:ascii="Arial" w:eastAsia="Arial" w:hAnsi="Arial" w:cs="Arial"/>
          <w:snapToGrid w:val="0"/>
          <w:vertAlign w:val="superscript"/>
          <w:lang w:val="en-GB"/>
        </w:rPr>
        <w:t>th</w:t>
      </w:r>
      <w:r w:rsidRPr="00A40455">
        <w:rPr>
          <w:rFonts w:ascii="Arial" w:eastAsia="Arial" w:hAnsi="Arial" w:cs="Arial"/>
          <w:snapToGrid w:val="0"/>
          <w:lang w:val="en-GB"/>
        </w:rPr>
        <w:t xml:space="preserve"> Session (25 – 28 June 2024).</w:t>
      </w:r>
    </w:p>
    <w:p w14:paraId="44E2819F" w14:textId="77777777" w:rsidR="00A40455" w:rsidRPr="00A40455" w:rsidRDefault="00A40455" w:rsidP="00A40455">
      <w:pPr>
        <w:tabs>
          <w:tab w:val="left" w:pos="709"/>
        </w:tabs>
        <w:snapToGrid w:val="0"/>
        <w:spacing w:after="240" w:line="240" w:lineRule="auto"/>
        <w:jc w:val="both"/>
        <w:rPr>
          <w:rFonts w:ascii="Arial" w:eastAsia="Arial" w:hAnsi="Arial" w:cs="Arial"/>
          <w:snapToGrid w:val="0"/>
          <w:lang w:val="en-GB"/>
        </w:rPr>
      </w:pPr>
      <w:bookmarkStart w:id="0" w:name="_gjdgxs" w:colFirst="0" w:colLast="0"/>
      <w:bookmarkStart w:id="1" w:name="_xcs51xxmizzy" w:colFirst="0" w:colLast="0"/>
      <w:bookmarkStart w:id="2" w:name="_xgf2prjzfqfr" w:colFirst="0" w:colLast="0"/>
      <w:bookmarkEnd w:id="0"/>
      <w:bookmarkEnd w:id="1"/>
      <w:bookmarkEnd w:id="2"/>
      <w:r w:rsidRPr="00A40455">
        <w:rPr>
          <w:rFonts w:ascii="Arial" w:eastAsia="Arial" w:hAnsi="Arial" w:cs="Arial"/>
          <w:b/>
          <w:snapToGrid w:val="0"/>
          <w:lang w:val="en-GB"/>
        </w:rPr>
        <w:t>The Group</w:t>
      </w:r>
      <w:r w:rsidRPr="00A40455">
        <w:rPr>
          <w:rFonts w:ascii="Arial" w:eastAsia="Arial" w:hAnsi="Arial" w:cs="Arial"/>
          <w:snapToGrid w:val="0"/>
          <w:lang w:val="en-GB"/>
        </w:rPr>
        <w:t xml:space="preserve"> </w:t>
      </w:r>
      <w:r w:rsidRPr="00A40455">
        <w:rPr>
          <w:rFonts w:ascii="Arial" w:eastAsia="Arial" w:hAnsi="Arial" w:cs="Arial"/>
          <w:b/>
          <w:snapToGrid w:val="0"/>
          <w:lang w:val="en-GB"/>
        </w:rPr>
        <w:t>reviewed</w:t>
      </w:r>
      <w:r w:rsidRPr="00A40455">
        <w:rPr>
          <w:rFonts w:ascii="Arial" w:eastAsia="Arial" w:hAnsi="Arial" w:cs="Arial"/>
          <w:snapToGrid w:val="0"/>
          <w:lang w:val="en-GB"/>
        </w:rPr>
        <w:t xml:space="preserve"> reports by the IOC Intergovernmental Coordination Groups (ICGs) as well as its own Task Team on Disaster Management and Preparedness (TT DMP) and Task Team on Tsunami Watch Operations (TT TWO).</w:t>
      </w:r>
    </w:p>
    <w:p w14:paraId="40939BFC" w14:textId="77777777" w:rsidR="00A40455" w:rsidRPr="00A40455" w:rsidRDefault="00A40455" w:rsidP="00A40455">
      <w:pPr>
        <w:tabs>
          <w:tab w:val="left" w:pos="709"/>
        </w:tabs>
        <w:snapToGrid w:val="0"/>
        <w:spacing w:after="240" w:line="240" w:lineRule="auto"/>
        <w:jc w:val="both"/>
        <w:rPr>
          <w:rFonts w:ascii="Arial" w:eastAsia="Arial" w:hAnsi="Arial" w:cs="Arial"/>
          <w:snapToGrid w:val="0"/>
          <w:lang w:val="en-GB"/>
        </w:rPr>
      </w:pPr>
      <w:r w:rsidRPr="00A40455">
        <w:rPr>
          <w:rFonts w:ascii="Arial" w:eastAsia="Arial" w:hAnsi="Arial" w:cs="Arial"/>
          <w:b/>
          <w:snapToGrid w:val="0"/>
          <w:lang w:val="en-GB"/>
        </w:rPr>
        <w:t>The Group noted</w:t>
      </w:r>
      <w:r w:rsidRPr="00A40455">
        <w:rPr>
          <w:rFonts w:ascii="Arial" w:eastAsia="Arial" w:hAnsi="Arial" w:cs="Arial"/>
          <w:snapToGrid w:val="0"/>
          <w:lang w:val="en-GB"/>
        </w:rPr>
        <w:t xml:space="preserve"> </w:t>
      </w:r>
      <w:r w:rsidRPr="00A40455">
        <w:rPr>
          <w:rFonts w:ascii="Arial" w:eastAsia="Arial" w:hAnsi="Arial" w:cs="Arial"/>
          <w:b/>
          <w:bCs/>
          <w:snapToGrid w:val="0"/>
          <w:lang w:val="en-GB"/>
        </w:rPr>
        <w:t>with appreciation</w:t>
      </w:r>
      <w:r w:rsidRPr="00A40455">
        <w:rPr>
          <w:rFonts w:ascii="Arial" w:eastAsia="Arial" w:hAnsi="Arial" w:cs="Arial"/>
          <w:snapToGrid w:val="0"/>
          <w:lang w:val="en-GB"/>
        </w:rPr>
        <w:t xml:space="preserve"> the progress made during the intersessional period, including:</w:t>
      </w:r>
    </w:p>
    <w:p w14:paraId="79D3E99C" w14:textId="77777777" w:rsidR="00A40455" w:rsidRPr="00A40455" w:rsidRDefault="00A40455" w:rsidP="00A40455">
      <w:pPr>
        <w:numPr>
          <w:ilvl w:val="0"/>
          <w:numId w:val="1"/>
        </w:numPr>
        <w:tabs>
          <w:tab w:val="left" w:pos="709"/>
        </w:tabs>
        <w:snapToGrid w:val="0"/>
        <w:spacing w:after="240" w:line="240" w:lineRule="auto"/>
        <w:ind w:left="567" w:hanging="567"/>
        <w:jc w:val="both"/>
        <w:rPr>
          <w:rFonts w:ascii="Arial" w:eastAsia="SimSun" w:hAnsi="Arial" w:cs="Arial"/>
          <w:snapToGrid w:val="0"/>
          <w:lang w:val="en-GB"/>
        </w:rPr>
      </w:pPr>
      <w:r w:rsidRPr="00A40455">
        <w:rPr>
          <w:rFonts w:ascii="Arial" w:eastAsia="SimSun" w:hAnsi="Arial" w:cs="Arial"/>
          <w:snapToGrid w:val="0"/>
          <w:lang w:val="en-GB"/>
        </w:rPr>
        <w:t xml:space="preserve">Coordination of the Wave exercises: the </w:t>
      </w:r>
      <w:proofErr w:type="spellStart"/>
      <w:r w:rsidRPr="00A40455">
        <w:rPr>
          <w:rFonts w:ascii="Arial" w:eastAsia="SimSun" w:hAnsi="Arial" w:cs="Arial"/>
          <w:snapToGrid w:val="0"/>
          <w:lang w:val="en-GB"/>
        </w:rPr>
        <w:t>PacWave</w:t>
      </w:r>
      <w:proofErr w:type="spellEnd"/>
      <w:r w:rsidRPr="00A40455">
        <w:rPr>
          <w:rFonts w:ascii="Arial" w:eastAsia="SimSun" w:hAnsi="Arial" w:cs="Arial"/>
          <w:snapToGrid w:val="0"/>
          <w:lang w:val="en-GB"/>
        </w:rPr>
        <w:t xml:space="preserve"> 24 (September to November 2024), the CARIBEWAVE 24 (21 March 2024), the </w:t>
      </w:r>
      <w:proofErr w:type="spellStart"/>
      <w:r w:rsidRPr="00A40455">
        <w:rPr>
          <w:rFonts w:ascii="Arial" w:eastAsia="SimSun" w:hAnsi="Arial" w:cs="Arial"/>
          <w:snapToGrid w:val="0"/>
          <w:lang w:val="en-GB"/>
        </w:rPr>
        <w:t>NEAMWave</w:t>
      </w:r>
      <w:proofErr w:type="spellEnd"/>
      <w:r w:rsidRPr="00A40455">
        <w:rPr>
          <w:rFonts w:ascii="Arial" w:eastAsia="SimSun" w:hAnsi="Arial" w:cs="Arial"/>
          <w:snapToGrid w:val="0"/>
          <w:lang w:val="en-GB"/>
        </w:rPr>
        <w:t xml:space="preserve"> 23 (6–7 November 2023) and the IOWave23 (4-25 October 2023</w:t>
      </w:r>
      <w:proofErr w:type="gramStart"/>
      <w:r w:rsidRPr="00A40455">
        <w:rPr>
          <w:rFonts w:ascii="Arial" w:eastAsia="SimSun" w:hAnsi="Arial" w:cs="Arial"/>
          <w:snapToGrid w:val="0"/>
          <w:lang w:val="en-GB"/>
        </w:rPr>
        <w:t>);</w:t>
      </w:r>
      <w:proofErr w:type="gramEnd"/>
    </w:p>
    <w:p w14:paraId="51B6086C" w14:textId="77777777" w:rsidR="00A40455" w:rsidRPr="00A40455" w:rsidRDefault="00A40455" w:rsidP="00A40455">
      <w:pPr>
        <w:numPr>
          <w:ilvl w:val="0"/>
          <w:numId w:val="1"/>
        </w:numPr>
        <w:tabs>
          <w:tab w:val="left" w:pos="709"/>
        </w:tabs>
        <w:snapToGrid w:val="0"/>
        <w:spacing w:after="240" w:line="240" w:lineRule="auto"/>
        <w:ind w:left="567" w:hanging="567"/>
        <w:jc w:val="both"/>
        <w:rPr>
          <w:rFonts w:ascii="Arial" w:eastAsia="SimSun" w:hAnsi="Arial" w:cs="Arial"/>
          <w:snapToGrid w:val="0"/>
          <w:lang w:val="en-GB"/>
        </w:rPr>
      </w:pPr>
      <w:r w:rsidRPr="00A40455">
        <w:rPr>
          <w:rFonts w:ascii="Arial" w:eastAsia="SimSun" w:hAnsi="Arial" w:cs="Arial"/>
          <w:snapToGrid w:val="0"/>
          <w:lang w:val="en-GB"/>
        </w:rPr>
        <w:t xml:space="preserve">ICG/NEAMTWS investigation and possible adoption of the tsunami probabilistic forecasting method by TSPs in NEAMTWS, which may represent an improvement over the method in use with the goal of quantifying uncertainty and reducing false alarms, particularly the forecasting methods that consider tsunami numerical modelling and uncertainty </w:t>
      </w:r>
      <w:proofErr w:type="gramStart"/>
      <w:r w:rsidRPr="00A40455">
        <w:rPr>
          <w:rFonts w:ascii="Arial" w:eastAsia="SimSun" w:hAnsi="Arial" w:cs="Arial"/>
          <w:snapToGrid w:val="0"/>
          <w:lang w:val="en-GB"/>
        </w:rPr>
        <w:t>quantification;</w:t>
      </w:r>
      <w:proofErr w:type="gramEnd"/>
    </w:p>
    <w:p w14:paraId="4F6DEFB9" w14:textId="77777777" w:rsidR="00A40455" w:rsidRPr="00A40455" w:rsidRDefault="00A40455" w:rsidP="00A40455">
      <w:pPr>
        <w:numPr>
          <w:ilvl w:val="0"/>
          <w:numId w:val="1"/>
        </w:numPr>
        <w:tabs>
          <w:tab w:val="left" w:pos="709"/>
        </w:tabs>
        <w:snapToGrid w:val="0"/>
        <w:spacing w:after="240" w:line="240" w:lineRule="auto"/>
        <w:ind w:left="567" w:hanging="567"/>
        <w:jc w:val="both"/>
        <w:rPr>
          <w:rFonts w:ascii="Arial" w:eastAsia="SimSun" w:hAnsi="Arial" w:cs="Arial"/>
          <w:snapToGrid w:val="0"/>
          <w:lang w:val="en-GB"/>
        </w:rPr>
      </w:pPr>
      <w:r w:rsidRPr="00A40455">
        <w:rPr>
          <w:rFonts w:ascii="Arial" w:eastAsia="SimSun" w:hAnsi="Arial" w:cs="Arial"/>
          <w:snapToGrid w:val="0"/>
          <w:lang w:val="en-GB"/>
        </w:rPr>
        <w:t xml:space="preserve">the ICG/NEAMTWS XIX agreement to adopt the threat levels according to the revised draft version of the </w:t>
      </w:r>
      <w:r w:rsidRPr="00A40455">
        <w:rPr>
          <w:rFonts w:ascii="Arial" w:eastAsia="Arial" w:hAnsi="Arial" w:cs="Arial"/>
          <w:lang w:val="en-GB"/>
        </w:rPr>
        <w:t>T</w:t>
      </w:r>
      <w:r w:rsidRPr="00A40455">
        <w:rPr>
          <w:rFonts w:ascii="Arial" w:eastAsia="Arial" w:hAnsi="Arial" w:cs="Arial"/>
          <w:i/>
          <w:iCs/>
          <w:lang w:val="en-GB"/>
        </w:rPr>
        <w:t>sunami Watch Operations. Global Service Definition Document</w:t>
      </w:r>
      <w:r w:rsidRPr="00A40455">
        <w:rPr>
          <w:rFonts w:ascii="Arial" w:eastAsia="Arial" w:hAnsi="Arial" w:cs="Arial"/>
          <w:lang w:val="en-GB"/>
        </w:rPr>
        <w:t xml:space="preserve">. </w:t>
      </w:r>
      <w:hyperlink r:id="rId8" w:history="1">
        <w:r w:rsidRPr="00A40455">
          <w:rPr>
            <w:rFonts w:ascii="Arial" w:eastAsia="Arial" w:hAnsi="Arial" w:cs="Arial"/>
            <w:color w:val="0000FF"/>
            <w:u w:val="single"/>
            <w:lang w:val="en-GB"/>
          </w:rPr>
          <w:t>IOC Technical Series No. 130</w:t>
        </w:r>
      </w:hyperlink>
      <w:r w:rsidRPr="00A40455">
        <w:rPr>
          <w:rFonts w:ascii="Arial" w:eastAsia="Arial" w:hAnsi="Arial" w:cs="Arial"/>
          <w:lang w:val="en-GB"/>
        </w:rPr>
        <w:t>. Paris: UNESCO. (English)</w:t>
      </w:r>
      <w:r w:rsidRPr="00A40455">
        <w:rPr>
          <w:rFonts w:ascii="Arial" w:eastAsia="SimSun" w:hAnsi="Arial" w:cs="Arial"/>
          <w:snapToGrid w:val="0"/>
          <w:lang w:val="en-GB"/>
        </w:rPr>
        <w:t xml:space="preserve"> and that preparation of a template for the implementation of these threat levels by the NEAMTWS </w:t>
      </w:r>
      <w:proofErr w:type="gramStart"/>
      <w:r w:rsidRPr="00A40455">
        <w:rPr>
          <w:rFonts w:ascii="Arial" w:eastAsia="SimSun" w:hAnsi="Arial" w:cs="Arial"/>
          <w:snapToGrid w:val="0"/>
          <w:lang w:val="en-GB"/>
        </w:rPr>
        <w:t>TSPs;</w:t>
      </w:r>
      <w:proofErr w:type="gramEnd"/>
    </w:p>
    <w:p w14:paraId="479279E7" w14:textId="77777777" w:rsidR="00A40455" w:rsidRPr="00A40455" w:rsidRDefault="00A40455" w:rsidP="00A40455">
      <w:pPr>
        <w:numPr>
          <w:ilvl w:val="0"/>
          <w:numId w:val="1"/>
        </w:numPr>
        <w:tabs>
          <w:tab w:val="left" w:pos="709"/>
        </w:tabs>
        <w:snapToGrid w:val="0"/>
        <w:spacing w:after="240" w:line="240" w:lineRule="auto"/>
        <w:ind w:left="567" w:hanging="567"/>
        <w:jc w:val="both"/>
        <w:rPr>
          <w:rFonts w:ascii="Arial" w:eastAsia="SimSun" w:hAnsi="Arial" w:cs="Arial"/>
          <w:snapToGrid w:val="0"/>
          <w:lang w:val="en-GB"/>
        </w:rPr>
      </w:pPr>
      <w:r w:rsidRPr="00A40455">
        <w:rPr>
          <w:rFonts w:ascii="Arial" w:eastAsia="SimSun" w:hAnsi="Arial" w:cs="Arial"/>
          <w:snapToGrid w:val="0"/>
          <w:lang w:val="en-GB"/>
        </w:rPr>
        <w:t xml:space="preserve">Dissemination of </w:t>
      </w:r>
      <w:hyperlink r:id="rId9" w:history="1">
        <w:r w:rsidRPr="00A40455">
          <w:rPr>
            <w:rFonts w:ascii="Arial" w:eastAsia="SimSun" w:hAnsi="Arial" w:cs="Arial"/>
            <w:snapToGrid w:val="0"/>
            <w:color w:val="0000FF"/>
            <w:u w:val="single"/>
            <w:lang w:val="en-GB"/>
          </w:rPr>
          <w:t>CL-3006</w:t>
        </w:r>
      </w:hyperlink>
      <w:r w:rsidRPr="00A40455">
        <w:rPr>
          <w:rFonts w:ascii="Arial" w:eastAsia="SimSun" w:hAnsi="Arial" w:cs="Arial"/>
          <w:snapToGrid w:val="0"/>
          <w:lang w:val="en-GB"/>
        </w:rPr>
        <w:t xml:space="preserve"> on “</w:t>
      </w:r>
      <w:r w:rsidRPr="00A40455">
        <w:rPr>
          <w:rFonts w:ascii="Arial" w:eastAsia="SimSun" w:hAnsi="Arial" w:cs="Arial"/>
          <w:i/>
          <w:iCs/>
          <w:snapToGrid w:val="0"/>
          <w:lang w:val="en-GB"/>
        </w:rPr>
        <w:t>Cessation of fax transmissions of tsunami information products by Tsunami Service Providers by 31 March 2025</w:t>
      </w:r>
      <w:r w:rsidRPr="00A40455">
        <w:rPr>
          <w:rFonts w:ascii="Arial" w:eastAsia="SimSun" w:hAnsi="Arial" w:cs="Arial"/>
          <w:snapToGrid w:val="0"/>
          <w:lang w:val="en-GB"/>
        </w:rPr>
        <w:t>”.</w:t>
      </w:r>
    </w:p>
    <w:p w14:paraId="595B69C2" w14:textId="77777777" w:rsidR="00A40455" w:rsidRPr="00A40455" w:rsidRDefault="00A40455" w:rsidP="00A40455">
      <w:pPr>
        <w:numPr>
          <w:ilvl w:val="0"/>
          <w:numId w:val="1"/>
        </w:numPr>
        <w:tabs>
          <w:tab w:val="left" w:pos="709"/>
        </w:tabs>
        <w:snapToGrid w:val="0"/>
        <w:spacing w:after="240" w:line="240" w:lineRule="auto"/>
        <w:ind w:left="567" w:hanging="567"/>
        <w:jc w:val="both"/>
        <w:rPr>
          <w:rFonts w:ascii="Arial" w:eastAsia="SimSun" w:hAnsi="Arial" w:cs="Arial"/>
          <w:snapToGrid w:val="0"/>
          <w:lang w:val="en-GB"/>
        </w:rPr>
      </w:pPr>
      <w:r w:rsidRPr="00A40455">
        <w:rPr>
          <w:rFonts w:ascii="Arial" w:eastAsia="SimSun" w:hAnsi="Arial" w:cs="Arial"/>
          <w:snapToGrid w:val="0"/>
          <w:lang w:val="en-GB"/>
        </w:rPr>
        <w:t xml:space="preserve">That fax transmissions of tsunami information products by Tsunami Service Providers (TSP) will end by 31 March 2025, except for those Member States who requested the continuation of this service, for which individual arrangements between the concerned Member States and respective TSP(s) will be established </w:t>
      </w:r>
      <w:proofErr w:type="gramStart"/>
      <w:r w:rsidRPr="00A40455">
        <w:rPr>
          <w:rFonts w:ascii="Arial" w:eastAsia="SimSun" w:hAnsi="Arial" w:cs="Arial"/>
          <w:snapToGrid w:val="0"/>
          <w:lang w:val="en-GB"/>
        </w:rPr>
        <w:t>bilaterally;</w:t>
      </w:r>
      <w:proofErr w:type="gramEnd"/>
    </w:p>
    <w:p w14:paraId="22F52553" w14:textId="77777777" w:rsidR="00A40455" w:rsidRPr="00A40455" w:rsidRDefault="00A40455" w:rsidP="00A40455">
      <w:pPr>
        <w:numPr>
          <w:ilvl w:val="0"/>
          <w:numId w:val="1"/>
        </w:numPr>
        <w:tabs>
          <w:tab w:val="left" w:pos="709"/>
        </w:tabs>
        <w:snapToGrid w:val="0"/>
        <w:spacing w:after="240" w:line="240" w:lineRule="auto"/>
        <w:ind w:left="567" w:hanging="567"/>
        <w:jc w:val="both"/>
        <w:rPr>
          <w:rFonts w:ascii="Arial" w:eastAsia="SimSun" w:hAnsi="Arial" w:cs="Arial"/>
          <w:snapToGrid w:val="0"/>
          <w:lang w:val="en-GB"/>
        </w:rPr>
      </w:pPr>
      <w:r w:rsidRPr="00A40455">
        <w:rPr>
          <w:rFonts w:ascii="Arial" w:eastAsia="SimSun" w:hAnsi="Arial" w:cs="Arial"/>
          <w:snapToGrid w:val="0"/>
          <w:lang w:val="en-GB"/>
        </w:rPr>
        <w:t>the continuous engagement of the TT-TWO in developing specialized TSP bulletins for the maritime community in consultation with the International Hydrographic Organisation (IHO) Sub-Committee on the World-Wide Navigational Warning Service (WWNWS-SC</w:t>
      </w:r>
      <w:proofErr w:type="gramStart"/>
      <w:r w:rsidRPr="00A40455">
        <w:rPr>
          <w:rFonts w:ascii="Arial" w:eastAsia="SimSun" w:hAnsi="Arial" w:cs="Arial"/>
          <w:snapToGrid w:val="0"/>
          <w:lang w:val="en-GB"/>
        </w:rPr>
        <w:t>);</w:t>
      </w:r>
      <w:proofErr w:type="gramEnd"/>
    </w:p>
    <w:p w14:paraId="31A59F92" w14:textId="77777777" w:rsidR="00A40455" w:rsidRPr="00A40455" w:rsidRDefault="00A40455" w:rsidP="00A40455">
      <w:pPr>
        <w:numPr>
          <w:ilvl w:val="0"/>
          <w:numId w:val="1"/>
        </w:numPr>
        <w:tabs>
          <w:tab w:val="left" w:pos="709"/>
        </w:tabs>
        <w:snapToGrid w:val="0"/>
        <w:spacing w:after="240" w:line="240" w:lineRule="auto"/>
        <w:ind w:left="567" w:hanging="567"/>
        <w:jc w:val="both"/>
        <w:rPr>
          <w:rFonts w:ascii="Arial" w:eastAsia="SimSun" w:hAnsi="Arial" w:cs="Arial"/>
          <w:snapToGrid w:val="0"/>
          <w:lang w:val="en-GB"/>
        </w:rPr>
      </w:pPr>
      <w:r w:rsidRPr="00A40455">
        <w:rPr>
          <w:rFonts w:ascii="Arial" w:eastAsia="SimSun" w:hAnsi="Arial" w:cs="Arial"/>
          <w:snapToGrid w:val="0"/>
          <w:lang w:val="en-GB"/>
        </w:rPr>
        <w:t xml:space="preserve">the trial transmission of a test message from the PTWC to the NAVAREA coordinators directly or through the NTWCs as part of PTWS Exercise Pacific Wave 2024 on 5 November </w:t>
      </w:r>
      <w:proofErr w:type="gramStart"/>
      <w:r w:rsidRPr="00A40455">
        <w:rPr>
          <w:rFonts w:ascii="Arial" w:eastAsia="SimSun" w:hAnsi="Arial" w:cs="Arial"/>
          <w:snapToGrid w:val="0"/>
          <w:lang w:val="en-GB"/>
        </w:rPr>
        <w:t>2024;</w:t>
      </w:r>
      <w:proofErr w:type="gramEnd"/>
    </w:p>
    <w:p w14:paraId="39E76347" w14:textId="77777777" w:rsidR="00A40455" w:rsidRPr="00A40455" w:rsidRDefault="00A40455" w:rsidP="00A40455">
      <w:pPr>
        <w:numPr>
          <w:ilvl w:val="0"/>
          <w:numId w:val="1"/>
        </w:numPr>
        <w:tabs>
          <w:tab w:val="left" w:pos="709"/>
        </w:tabs>
        <w:snapToGrid w:val="0"/>
        <w:spacing w:after="240" w:line="240" w:lineRule="auto"/>
        <w:ind w:left="567" w:hanging="567"/>
        <w:jc w:val="both"/>
        <w:rPr>
          <w:rFonts w:ascii="Arial" w:eastAsia="SimSun" w:hAnsi="Arial" w:cs="Arial"/>
          <w:snapToGrid w:val="0"/>
          <w:lang w:val="en-GB"/>
        </w:rPr>
      </w:pPr>
      <w:r w:rsidRPr="00A40455">
        <w:rPr>
          <w:rFonts w:ascii="Arial" w:eastAsia="SimSun" w:hAnsi="Arial" w:cs="Arial"/>
          <w:snapToGrid w:val="0"/>
          <w:lang w:val="en-GB"/>
        </w:rPr>
        <w:t xml:space="preserve">that JATWC (Australia), ITEWC (India) as TSPs of the IOTWMS have developed the required capabilities, which will be tested during the next communication tests scheduled, while CENALT (France) as TSP of NEAMTWS aims at testing a maritime product during next </w:t>
      </w:r>
      <w:proofErr w:type="spellStart"/>
      <w:r w:rsidRPr="00A40455">
        <w:rPr>
          <w:rFonts w:ascii="Arial" w:eastAsia="SimSun" w:hAnsi="Arial" w:cs="Arial"/>
          <w:snapToGrid w:val="0"/>
          <w:lang w:val="en-GB"/>
        </w:rPr>
        <w:t>NEAMWave</w:t>
      </w:r>
      <w:proofErr w:type="spellEnd"/>
      <w:r w:rsidRPr="00A40455">
        <w:rPr>
          <w:rFonts w:ascii="Arial" w:eastAsia="SimSun" w:hAnsi="Arial" w:cs="Arial"/>
          <w:snapToGrid w:val="0"/>
          <w:lang w:val="en-GB"/>
        </w:rPr>
        <w:t xml:space="preserve"> in the Atlantic </w:t>
      </w:r>
      <w:proofErr w:type="gramStart"/>
      <w:r w:rsidRPr="00A40455">
        <w:rPr>
          <w:rFonts w:ascii="Arial" w:eastAsia="SimSun" w:hAnsi="Arial" w:cs="Arial"/>
          <w:snapToGrid w:val="0"/>
          <w:lang w:val="en-GB"/>
        </w:rPr>
        <w:t>scenario;</w:t>
      </w:r>
      <w:proofErr w:type="gramEnd"/>
    </w:p>
    <w:p w14:paraId="7CD88051" w14:textId="77777777" w:rsidR="00A40455" w:rsidRPr="00A40455" w:rsidRDefault="00A40455" w:rsidP="00A40455">
      <w:pPr>
        <w:numPr>
          <w:ilvl w:val="0"/>
          <w:numId w:val="1"/>
        </w:numPr>
        <w:tabs>
          <w:tab w:val="left" w:pos="709"/>
        </w:tabs>
        <w:snapToGrid w:val="0"/>
        <w:spacing w:after="240" w:line="240" w:lineRule="auto"/>
        <w:ind w:left="567" w:hanging="567"/>
        <w:jc w:val="both"/>
        <w:rPr>
          <w:rFonts w:ascii="Arial" w:eastAsia="SimSun" w:hAnsi="Arial" w:cs="Arial"/>
          <w:snapToGrid w:val="0"/>
          <w:lang w:val="en-GB"/>
        </w:rPr>
      </w:pPr>
      <w:r w:rsidRPr="00A40455">
        <w:rPr>
          <w:rFonts w:ascii="Arial" w:eastAsia="SimSun" w:hAnsi="Arial" w:cs="Arial"/>
          <w:snapToGrid w:val="0"/>
          <w:lang w:val="en-GB"/>
        </w:rPr>
        <w:t xml:space="preserve">the ongoing project of the Atlantic CAM </w:t>
      </w:r>
      <w:r w:rsidRPr="00A40455">
        <w:rPr>
          <w:rFonts w:ascii="Arial" w:eastAsia="SimSun" w:hAnsi="Arial" w:cs="Arial"/>
          <w:snapToGrid w:val="0"/>
          <w:lang w:val="en-US"/>
        </w:rPr>
        <w:t xml:space="preserve">Science Monitoring </w:t>
      </w:r>
      <w:proofErr w:type="gramStart"/>
      <w:r w:rsidRPr="00A40455">
        <w:rPr>
          <w:rFonts w:ascii="Arial" w:eastAsia="SimSun" w:hAnsi="Arial" w:cs="Arial"/>
          <w:snapToGrid w:val="0"/>
          <w:lang w:val="en-US"/>
        </w:rPr>
        <w:t>And</w:t>
      </w:r>
      <w:proofErr w:type="gramEnd"/>
      <w:r w:rsidRPr="00A40455">
        <w:rPr>
          <w:rFonts w:ascii="Arial" w:eastAsia="SimSun" w:hAnsi="Arial" w:cs="Arial"/>
          <w:snapToGrid w:val="0"/>
          <w:lang w:val="en-US"/>
        </w:rPr>
        <w:t xml:space="preserve"> Reliable Telecommunications (</w:t>
      </w:r>
      <w:r w:rsidRPr="00A40455">
        <w:rPr>
          <w:rFonts w:ascii="Arial" w:eastAsia="SimSun" w:hAnsi="Arial" w:cs="Arial"/>
          <w:snapToGrid w:val="0"/>
          <w:lang w:val="en-GB"/>
        </w:rPr>
        <w:t xml:space="preserve">SMART) Subsea cable off Portugal, TAM </w:t>
      </w:r>
      <w:proofErr w:type="spellStart"/>
      <w:r w:rsidRPr="00A40455">
        <w:rPr>
          <w:rFonts w:ascii="Arial" w:eastAsia="SimSun" w:hAnsi="Arial" w:cs="Arial"/>
          <w:snapToGrid w:val="0"/>
          <w:lang w:val="en-GB"/>
        </w:rPr>
        <w:t>TAM</w:t>
      </w:r>
      <w:proofErr w:type="spellEnd"/>
      <w:r w:rsidRPr="00A40455">
        <w:rPr>
          <w:rFonts w:ascii="Arial" w:eastAsia="SimSun" w:hAnsi="Arial" w:cs="Arial"/>
          <w:snapToGrid w:val="0"/>
          <w:lang w:val="en-GB"/>
        </w:rPr>
        <w:t xml:space="preserve"> SMART cable between New Caledonia and Vanuatu, undersea cable installations being deployed and planned by Indonesia and India, the deployment of the Western Ionian Sea Infrastructure in 2023 in the Mediterranean. </w:t>
      </w:r>
    </w:p>
    <w:p w14:paraId="18BFA85A" w14:textId="77777777" w:rsidR="00A40455" w:rsidRPr="00A40455" w:rsidRDefault="00A40455" w:rsidP="00A40455">
      <w:pPr>
        <w:numPr>
          <w:ilvl w:val="0"/>
          <w:numId w:val="1"/>
        </w:numPr>
        <w:tabs>
          <w:tab w:val="left" w:pos="709"/>
        </w:tabs>
        <w:snapToGrid w:val="0"/>
        <w:spacing w:after="240" w:line="240" w:lineRule="auto"/>
        <w:ind w:left="567" w:hanging="567"/>
        <w:jc w:val="both"/>
        <w:rPr>
          <w:rFonts w:ascii="Arial" w:eastAsia="SimSun" w:hAnsi="Arial" w:cs="Arial"/>
          <w:snapToGrid w:val="0"/>
          <w:lang w:val="en-GB"/>
        </w:rPr>
      </w:pPr>
      <w:r w:rsidRPr="00A40455">
        <w:rPr>
          <w:rFonts w:ascii="Arial" w:eastAsia="SimSun" w:hAnsi="Arial" w:cs="Arial"/>
          <w:snapToGrid w:val="0"/>
          <w:lang w:val="en-GB"/>
        </w:rPr>
        <w:lastRenderedPageBreak/>
        <w:t xml:space="preserve">the plans for deployment of 2 tsunami buoys in the Ionian Sea during Summer </w:t>
      </w:r>
      <w:proofErr w:type="gramStart"/>
      <w:r w:rsidRPr="00A40455">
        <w:rPr>
          <w:rFonts w:ascii="Arial" w:eastAsia="SimSun" w:hAnsi="Arial" w:cs="Arial"/>
          <w:snapToGrid w:val="0"/>
          <w:lang w:val="en-GB"/>
        </w:rPr>
        <w:t>2025;</w:t>
      </w:r>
      <w:proofErr w:type="gramEnd"/>
    </w:p>
    <w:p w14:paraId="0BAA412A" w14:textId="77777777" w:rsidR="00A40455" w:rsidRPr="00A40455" w:rsidRDefault="00A40455" w:rsidP="00A40455">
      <w:pPr>
        <w:numPr>
          <w:ilvl w:val="0"/>
          <w:numId w:val="1"/>
        </w:numPr>
        <w:tabs>
          <w:tab w:val="left" w:pos="709"/>
        </w:tabs>
        <w:snapToGrid w:val="0"/>
        <w:spacing w:after="240" w:line="240" w:lineRule="auto"/>
        <w:ind w:left="567" w:hanging="567"/>
        <w:jc w:val="both"/>
        <w:rPr>
          <w:rFonts w:ascii="Arial" w:eastAsia="SimSun" w:hAnsi="Arial" w:cs="Arial"/>
          <w:snapToGrid w:val="0"/>
          <w:lang w:val="en-GB"/>
        </w:rPr>
      </w:pPr>
      <w:r w:rsidRPr="00A40455">
        <w:rPr>
          <w:rFonts w:ascii="Arial" w:eastAsia="SimSun" w:hAnsi="Arial" w:cs="Arial"/>
          <w:snapToGrid w:val="0"/>
          <w:lang w:val="en-GB"/>
        </w:rPr>
        <w:t xml:space="preserve">the number of Member States and communities joining the UNESCO-IOC Tsunami Ready Recognition Programme, with 100 communities from 34 countries already recognized, of which 15 are </w:t>
      </w:r>
      <w:proofErr w:type="gramStart"/>
      <w:r w:rsidRPr="00A40455">
        <w:rPr>
          <w:rFonts w:ascii="Arial" w:eastAsia="SimSun" w:hAnsi="Arial" w:cs="Arial"/>
          <w:snapToGrid w:val="0"/>
          <w:lang w:val="en-GB"/>
        </w:rPr>
        <w:t>SIDS;</w:t>
      </w:r>
      <w:proofErr w:type="gramEnd"/>
      <w:r w:rsidRPr="00A40455">
        <w:rPr>
          <w:rFonts w:ascii="Arial" w:eastAsia="SimSun" w:hAnsi="Arial" w:cs="Arial"/>
          <w:snapToGrid w:val="0"/>
          <w:lang w:val="en-GB"/>
        </w:rPr>
        <w:t xml:space="preserve"> </w:t>
      </w:r>
    </w:p>
    <w:p w14:paraId="1D92B224" w14:textId="77777777" w:rsidR="00A40455" w:rsidRPr="00A40455" w:rsidRDefault="00A40455" w:rsidP="00A40455">
      <w:pPr>
        <w:numPr>
          <w:ilvl w:val="0"/>
          <w:numId w:val="1"/>
        </w:numPr>
        <w:tabs>
          <w:tab w:val="left" w:pos="709"/>
        </w:tabs>
        <w:snapToGrid w:val="0"/>
        <w:spacing w:after="240" w:line="240" w:lineRule="auto"/>
        <w:ind w:left="567" w:hanging="567"/>
        <w:jc w:val="both"/>
        <w:rPr>
          <w:rFonts w:ascii="Arial" w:eastAsia="SimSun" w:hAnsi="Arial" w:cs="Arial"/>
          <w:snapToGrid w:val="0"/>
          <w:lang w:val="en-GB"/>
        </w:rPr>
      </w:pPr>
      <w:r w:rsidRPr="00A40455">
        <w:rPr>
          <w:rFonts w:ascii="Arial" w:eastAsia="SimSun" w:hAnsi="Arial" w:cs="Arial"/>
          <w:snapToGrid w:val="0"/>
          <w:lang w:val="en-GB"/>
        </w:rPr>
        <w:t xml:space="preserve">establishing the Tsunami Ready Equivalency for the PTWS by developing a draft guidance using the Tsunami Ready indicators as a </w:t>
      </w:r>
      <w:proofErr w:type="gramStart"/>
      <w:r w:rsidRPr="00A40455">
        <w:rPr>
          <w:rFonts w:ascii="Arial" w:eastAsia="SimSun" w:hAnsi="Arial" w:cs="Arial"/>
          <w:snapToGrid w:val="0"/>
          <w:lang w:val="en-GB"/>
        </w:rPr>
        <w:t>foundation;</w:t>
      </w:r>
      <w:proofErr w:type="gramEnd"/>
    </w:p>
    <w:p w14:paraId="1FC8C64D" w14:textId="77777777" w:rsidR="00A40455" w:rsidRPr="00A40455" w:rsidRDefault="00A40455" w:rsidP="00A40455">
      <w:pPr>
        <w:numPr>
          <w:ilvl w:val="0"/>
          <w:numId w:val="1"/>
        </w:numPr>
        <w:tabs>
          <w:tab w:val="left" w:pos="709"/>
        </w:tabs>
        <w:snapToGrid w:val="0"/>
        <w:spacing w:after="240" w:line="240" w:lineRule="auto"/>
        <w:ind w:left="567" w:hanging="567"/>
        <w:jc w:val="both"/>
        <w:rPr>
          <w:rFonts w:ascii="Arial" w:eastAsia="SimSun" w:hAnsi="Arial" w:cs="Arial"/>
          <w:snapToGrid w:val="0"/>
          <w:lang w:val="en-GB"/>
        </w:rPr>
      </w:pPr>
      <w:bookmarkStart w:id="3" w:name="_Hlk191327666"/>
      <w:r w:rsidRPr="00A40455">
        <w:rPr>
          <w:rFonts w:ascii="Arial" w:eastAsia="SimSun" w:hAnsi="Arial" w:cs="Arial"/>
          <w:snapToGrid w:val="0"/>
          <w:lang w:val="en-GB"/>
        </w:rPr>
        <w:t>Publication of the Report “</w:t>
      </w:r>
      <w:r w:rsidRPr="00A40455">
        <w:rPr>
          <w:rFonts w:ascii="Arial" w:eastAsia="SimSun" w:hAnsi="Arial" w:cs="Arial"/>
          <w:i/>
          <w:iCs/>
          <w:snapToGrid w:val="0"/>
          <w:lang w:val="en-GB"/>
        </w:rPr>
        <w:t>Monitoring and Warning for Tsunamis Generated by Volcanoes</w:t>
      </w:r>
      <w:r w:rsidRPr="00A40455">
        <w:rPr>
          <w:rFonts w:ascii="Arial" w:eastAsia="SimSun" w:hAnsi="Arial" w:cs="Arial"/>
          <w:snapToGrid w:val="0"/>
          <w:lang w:val="en-GB"/>
        </w:rPr>
        <w:t>. 2024. Paris, UNESCO. (</w:t>
      </w:r>
      <w:hyperlink r:id="rId10" w:history="1">
        <w:r w:rsidRPr="00A40455">
          <w:rPr>
            <w:rFonts w:ascii="Arial" w:eastAsia="SimSun" w:hAnsi="Arial" w:cs="Arial"/>
            <w:snapToGrid w:val="0"/>
            <w:color w:val="0000FF"/>
            <w:u w:val="single"/>
            <w:lang w:val="en-GB"/>
          </w:rPr>
          <w:t>IOC Technical Series No.183</w:t>
        </w:r>
      </w:hyperlink>
      <w:r w:rsidRPr="00A40455">
        <w:rPr>
          <w:rFonts w:ascii="Arial" w:eastAsia="SimSun" w:hAnsi="Arial" w:cs="Arial"/>
          <w:snapToGrid w:val="0"/>
          <w:lang w:val="en-GB"/>
        </w:rPr>
        <w:t>)</w:t>
      </w:r>
    </w:p>
    <w:p w14:paraId="746C4CCA" w14:textId="77777777" w:rsidR="00A40455" w:rsidRPr="00A40455" w:rsidRDefault="00A40455" w:rsidP="00A40455">
      <w:pPr>
        <w:numPr>
          <w:ilvl w:val="0"/>
          <w:numId w:val="1"/>
        </w:numPr>
        <w:tabs>
          <w:tab w:val="left" w:pos="709"/>
        </w:tabs>
        <w:snapToGrid w:val="0"/>
        <w:spacing w:after="240" w:line="240" w:lineRule="auto"/>
        <w:ind w:left="567" w:hanging="567"/>
        <w:jc w:val="both"/>
        <w:rPr>
          <w:rFonts w:ascii="Arial" w:eastAsia="SimSun" w:hAnsi="Arial" w:cs="Arial"/>
          <w:snapToGrid w:val="0"/>
          <w:lang w:val="en-GB"/>
        </w:rPr>
      </w:pPr>
      <w:r w:rsidRPr="00A40455">
        <w:rPr>
          <w:rFonts w:ascii="Arial" w:eastAsia="SimSun" w:hAnsi="Arial" w:cs="Arial"/>
          <w:snapToGrid w:val="0"/>
          <w:lang w:val="en-GB"/>
        </w:rPr>
        <w:t xml:space="preserve">Dissemination of </w:t>
      </w:r>
      <w:hyperlink r:id="rId11" w:history="1">
        <w:r w:rsidRPr="00A40455">
          <w:rPr>
            <w:rFonts w:ascii="Arial" w:eastAsia="SimSun" w:hAnsi="Arial" w:cs="Arial"/>
            <w:snapToGrid w:val="0"/>
            <w:color w:val="0000FF"/>
            <w:u w:val="single"/>
            <w:lang w:val="en-GB"/>
          </w:rPr>
          <w:t>CL-3029</w:t>
        </w:r>
      </w:hyperlink>
      <w:r w:rsidRPr="00A40455">
        <w:rPr>
          <w:rFonts w:ascii="Arial" w:eastAsia="SimSun" w:hAnsi="Arial" w:cs="Arial"/>
          <w:snapToGrid w:val="0"/>
          <w:lang w:val="en-GB"/>
        </w:rPr>
        <w:t xml:space="preserve"> on the “IOC report on </w:t>
      </w:r>
      <w:r w:rsidRPr="00A40455">
        <w:rPr>
          <w:rFonts w:ascii="Arial" w:eastAsia="SimSun" w:hAnsi="Arial" w:cs="Arial"/>
          <w:i/>
          <w:iCs/>
          <w:snapToGrid w:val="0"/>
          <w:lang w:val="en-GB"/>
        </w:rPr>
        <w:t>‘Monitoring and warning for tsunamis generated by volcanoes” and online webinar programme on this issue”</w:t>
      </w:r>
      <w:r w:rsidRPr="00A40455">
        <w:rPr>
          <w:rFonts w:ascii="Calibri" w:eastAsia="DengXian" w:hAnsi="Calibri" w:cs="Arial"/>
          <w:lang w:val="en-US"/>
        </w:rPr>
        <w:t xml:space="preserve"> </w:t>
      </w:r>
      <w:r w:rsidRPr="00A40455">
        <w:rPr>
          <w:rFonts w:ascii="Arial" w:eastAsia="SimSun" w:hAnsi="Arial" w:cs="Arial"/>
          <w:snapToGrid w:val="0"/>
          <w:lang w:val="en-GB"/>
        </w:rPr>
        <w:t xml:space="preserve">involving relevant Volcano Observatories and Volcanic Ash Advisory Centres (VAACs) to: </w:t>
      </w:r>
    </w:p>
    <w:p w14:paraId="79CAD2E5" w14:textId="77777777" w:rsidR="00A40455" w:rsidRPr="00A40455" w:rsidRDefault="00A40455" w:rsidP="00A40455">
      <w:pPr>
        <w:numPr>
          <w:ilvl w:val="1"/>
          <w:numId w:val="1"/>
        </w:numPr>
        <w:tabs>
          <w:tab w:val="left" w:pos="709"/>
        </w:tabs>
        <w:snapToGrid w:val="0"/>
        <w:spacing w:after="240" w:line="240" w:lineRule="auto"/>
        <w:ind w:left="993"/>
        <w:jc w:val="both"/>
        <w:rPr>
          <w:rFonts w:ascii="Arial" w:eastAsia="SimSun" w:hAnsi="Arial" w:cs="Arial"/>
          <w:snapToGrid w:val="0"/>
          <w:lang w:val="en-GB"/>
        </w:rPr>
      </w:pPr>
      <w:r w:rsidRPr="00A40455">
        <w:rPr>
          <w:rFonts w:ascii="Arial" w:eastAsia="SimSun" w:hAnsi="Arial" w:cs="Arial"/>
          <w:snapToGrid w:val="0"/>
          <w:lang w:val="en-GB"/>
        </w:rPr>
        <w:t> brief on the report on ‘</w:t>
      </w:r>
      <w:r w:rsidRPr="00A40455">
        <w:rPr>
          <w:rFonts w:ascii="Arial" w:eastAsia="SimSun" w:hAnsi="Arial" w:cs="Arial"/>
          <w:i/>
          <w:iCs/>
          <w:snapToGrid w:val="0"/>
          <w:lang w:val="en-GB"/>
        </w:rPr>
        <w:t>Monitoring and warning for tsunamis generated by volcanoes</w:t>
      </w:r>
      <w:r w:rsidRPr="00A40455">
        <w:rPr>
          <w:rFonts w:ascii="Arial" w:eastAsia="SimSun" w:hAnsi="Arial" w:cs="Arial"/>
          <w:snapToGrid w:val="0"/>
          <w:lang w:val="en-GB"/>
        </w:rPr>
        <w:t>’ (</w:t>
      </w:r>
      <w:hyperlink r:id="rId12" w:history="1">
        <w:r w:rsidRPr="00A40455">
          <w:rPr>
            <w:rFonts w:ascii="Arial" w:eastAsia="SimSun" w:hAnsi="Arial" w:cs="Arial"/>
            <w:snapToGrid w:val="0"/>
            <w:color w:val="0000FF"/>
            <w:u w:val="single"/>
            <w:lang w:val="en-GB"/>
          </w:rPr>
          <w:t>IOC Technical Series No.183</w:t>
        </w:r>
      </w:hyperlink>
      <w:r w:rsidRPr="00A40455">
        <w:rPr>
          <w:rFonts w:ascii="Arial" w:eastAsia="SimSun" w:hAnsi="Arial" w:cs="Arial"/>
          <w:snapToGrid w:val="0"/>
          <w:lang w:val="en-GB"/>
        </w:rPr>
        <w:t xml:space="preserve">) and its recommendations, </w:t>
      </w:r>
    </w:p>
    <w:p w14:paraId="7509A295" w14:textId="77777777" w:rsidR="00A40455" w:rsidRPr="00A40455" w:rsidRDefault="00A40455" w:rsidP="00A40455">
      <w:pPr>
        <w:numPr>
          <w:ilvl w:val="1"/>
          <w:numId w:val="1"/>
        </w:numPr>
        <w:tabs>
          <w:tab w:val="left" w:pos="709"/>
        </w:tabs>
        <w:snapToGrid w:val="0"/>
        <w:spacing w:after="240" w:line="240" w:lineRule="auto"/>
        <w:ind w:left="993"/>
        <w:jc w:val="both"/>
        <w:rPr>
          <w:rFonts w:ascii="Arial" w:eastAsia="SimSun" w:hAnsi="Arial" w:cs="Arial"/>
          <w:snapToGrid w:val="0"/>
          <w:lang w:val="en-GB"/>
        </w:rPr>
      </w:pPr>
      <w:r w:rsidRPr="00A40455">
        <w:rPr>
          <w:rFonts w:ascii="Arial" w:eastAsia="SimSun" w:hAnsi="Arial" w:cs="Arial"/>
          <w:snapToGrid w:val="0"/>
          <w:lang w:val="en-GB"/>
        </w:rPr>
        <w:t xml:space="preserve">highlight this hazard that may make Member States vulnerable, </w:t>
      </w:r>
    </w:p>
    <w:p w14:paraId="0DAF3707" w14:textId="77777777" w:rsidR="00A40455" w:rsidRPr="00A40455" w:rsidRDefault="00A40455" w:rsidP="00A40455">
      <w:pPr>
        <w:numPr>
          <w:ilvl w:val="1"/>
          <w:numId w:val="1"/>
        </w:numPr>
        <w:tabs>
          <w:tab w:val="left" w:pos="709"/>
        </w:tabs>
        <w:snapToGrid w:val="0"/>
        <w:spacing w:after="240" w:line="240" w:lineRule="auto"/>
        <w:ind w:left="993"/>
        <w:jc w:val="both"/>
        <w:rPr>
          <w:rFonts w:ascii="Arial" w:eastAsia="SimSun" w:hAnsi="Arial" w:cs="Arial"/>
          <w:snapToGrid w:val="0"/>
          <w:lang w:val="en-GB"/>
        </w:rPr>
      </w:pPr>
      <w:r w:rsidRPr="00A40455">
        <w:rPr>
          <w:rFonts w:ascii="Arial" w:eastAsia="SimSun" w:hAnsi="Arial" w:cs="Arial"/>
          <w:snapToGrid w:val="0"/>
          <w:lang w:val="en-GB"/>
        </w:rPr>
        <w:t xml:space="preserve">initiate the desirable partnerships between National Tsunami Warning Centres (NTWC), Volcano Observatories and Volcanic Ash Advisory </w:t>
      </w:r>
      <w:proofErr w:type="spellStart"/>
      <w:r w:rsidRPr="00A40455">
        <w:rPr>
          <w:rFonts w:ascii="Arial" w:eastAsia="SimSun" w:hAnsi="Arial" w:cs="Arial"/>
          <w:snapToGrid w:val="0"/>
          <w:lang w:val="en-GB"/>
        </w:rPr>
        <w:t>Centers</w:t>
      </w:r>
      <w:proofErr w:type="spellEnd"/>
      <w:r w:rsidRPr="00A40455">
        <w:rPr>
          <w:rFonts w:ascii="Arial" w:eastAsia="SimSun" w:hAnsi="Arial" w:cs="Arial"/>
          <w:snapToGrid w:val="0"/>
          <w:lang w:val="en-GB"/>
        </w:rPr>
        <w:t xml:space="preserve"> (VAACs), </w:t>
      </w:r>
    </w:p>
    <w:p w14:paraId="15DEB5A0" w14:textId="77777777" w:rsidR="00A40455" w:rsidRPr="00A40455" w:rsidRDefault="00A40455" w:rsidP="00A40455">
      <w:pPr>
        <w:numPr>
          <w:ilvl w:val="1"/>
          <w:numId w:val="1"/>
        </w:numPr>
        <w:tabs>
          <w:tab w:val="left" w:pos="709"/>
        </w:tabs>
        <w:snapToGrid w:val="0"/>
        <w:spacing w:after="240" w:line="240" w:lineRule="auto"/>
        <w:ind w:left="993"/>
        <w:jc w:val="both"/>
        <w:rPr>
          <w:rFonts w:ascii="Arial" w:eastAsia="SimSun" w:hAnsi="Arial" w:cs="Arial"/>
          <w:snapToGrid w:val="0"/>
          <w:lang w:val="en-GB"/>
        </w:rPr>
      </w:pPr>
      <w:r w:rsidRPr="00A40455">
        <w:rPr>
          <w:rFonts w:ascii="Arial" w:eastAsia="SimSun" w:hAnsi="Arial" w:cs="Arial"/>
          <w:snapToGrid w:val="0"/>
          <w:lang w:val="en-GB"/>
        </w:rPr>
        <w:t>initiate consideration of whether TSPs may also need to provide services where tsunami generated by volcanoes may impact Member States.</w:t>
      </w:r>
    </w:p>
    <w:p w14:paraId="1BEA89CD" w14:textId="77777777" w:rsidR="00A40455" w:rsidRPr="00A40455" w:rsidRDefault="00A40455" w:rsidP="00A40455">
      <w:pPr>
        <w:numPr>
          <w:ilvl w:val="0"/>
          <w:numId w:val="1"/>
        </w:numPr>
        <w:tabs>
          <w:tab w:val="left" w:pos="709"/>
        </w:tabs>
        <w:snapToGrid w:val="0"/>
        <w:spacing w:after="240" w:line="240" w:lineRule="auto"/>
        <w:ind w:left="567" w:hanging="567"/>
        <w:jc w:val="both"/>
        <w:rPr>
          <w:rFonts w:ascii="Arial" w:eastAsia="SimSun" w:hAnsi="Arial" w:cs="Arial"/>
          <w:snapToGrid w:val="0"/>
          <w:lang w:val="en-GB"/>
        </w:rPr>
      </w:pPr>
      <w:r w:rsidRPr="00A40455">
        <w:rPr>
          <w:rFonts w:ascii="Arial" w:eastAsia="SimSun" w:hAnsi="Arial" w:cs="Arial"/>
          <w:snapToGrid w:val="0"/>
          <w:lang w:val="en-GB"/>
        </w:rPr>
        <w:t>Publication of the Report “Meteotsunamis: definition, detection and alerting services investigation”.2025. Paris, UNESCO. (</w:t>
      </w:r>
      <w:hyperlink r:id="rId13" w:history="1">
        <w:r w:rsidRPr="00A40455">
          <w:rPr>
            <w:rFonts w:ascii="Arial" w:eastAsia="SimSun" w:hAnsi="Arial" w:cs="Arial"/>
            <w:snapToGrid w:val="0"/>
            <w:color w:val="0000FF"/>
            <w:u w:val="single"/>
            <w:lang w:val="en-GB"/>
          </w:rPr>
          <w:t>IOC Technical Series No.200)</w:t>
        </w:r>
      </w:hyperlink>
    </w:p>
    <w:p w14:paraId="0FB54CAD" w14:textId="77777777" w:rsidR="00A40455" w:rsidRPr="00A40455" w:rsidRDefault="00A40455" w:rsidP="00A40455">
      <w:pPr>
        <w:numPr>
          <w:ilvl w:val="0"/>
          <w:numId w:val="1"/>
        </w:numPr>
        <w:tabs>
          <w:tab w:val="left" w:pos="709"/>
        </w:tabs>
        <w:snapToGrid w:val="0"/>
        <w:spacing w:after="240" w:line="240" w:lineRule="auto"/>
        <w:ind w:left="567" w:hanging="567"/>
        <w:jc w:val="both"/>
        <w:rPr>
          <w:rFonts w:ascii="Arial" w:eastAsia="SimSun" w:hAnsi="Arial" w:cs="Arial"/>
          <w:snapToGrid w:val="0"/>
          <w:lang w:val="en-GB"/>
        </w:rPr>
      </w:pPr>
      <w:r w:rsidRPr="00A40455">
        <w:rPr>
          <w:rFonts w:ascii="Arial" w:eastAsia="SimSun" w:hAnsi="Arial" w:cs="Arial"/>
          <w:snapToGrid w:val="0"/>
          <w:lang w:val="en-GB"/>
        </w:rPr>
        <w:t>Publication of the Summary Statement from 2nd UNESCO-IOC Global Tsunami Symposium on Two Decades After 2004 Indian Ocean Tsunami: Reflection and Way Forward, Banda Aceh, 11–14 November 2024. Paris. UNESCO (</w:t>
      </w:r>
      <w:hyperlink r:id="rId14" w:history="1">
        <w:r w:rsidRPr="00A40455">
          <w:rPr>
            <w:rFonts w:ascii="Arial" w:eastAsia="SimSun" w:hAnsi="Arial" w:cs="Arial"/>
            <w:snapToGrid w:val="0"/>
            <w:color w:val="0000FF"/>
            <w:u w:val="single"/>
            <w:lang w:val="en-GB"/>
          </w:rPr>
          <w:t>IOC Brochure 2025-1</w:t>
        </w:r>
      </w:hyperlink>
      <w:r w:rsidRPr="00A40455">
        <w:rPr>
          <w:rFonts w:ascii="Arial" w:eastAsia="SimSun" w:hAnsi="Arial" w:cs="Arial"/>
          <w:snapToGrid w:val="0"/>
          <w:lang w:val="en-GB"/>
        </w:rPr>
        <w:t>)</w:t>
      </w:r>
    </w:p>
    <w:bookmarkEnd w:id="3"/>
    <w:p w14:paraId="394B3C19" w14:textId="77777777" w:rsidR="00A40455" w:rsidRPr="00A40455" w:rsidRDefault="00A40455" w:rsidP="00A40455">
      <w:pPr>
        <w:numPr>
          <w:ilvl w:val="0"/>
          <w:numId w:val="1"/>
        </w:numPr>
        <w:tabs>
          <w:tab w:val="left" w:pos="709"/>
        </w:tabs>
        <w:snapToGrid w:val="0"/>
        <w:spacing w:after="240" w:line="240" w:lineRule="auto"/>
        <w:ind w:left="567" w:hanging="567"/>
        <w:jc w:val="both"/>
        <w:rPr>
          <w:rFonts w:ascii="Arial" w:eastAsia="SimSun" w:hAnsi="Arial" w:cs="Arial"/>
          <w:bCs/>
          <w:snapToGrid w:val="0"/>
          <w:lang w:val="en-GB"/>
        </w:rPr>
      </w:pPr>
      <w:r w:rsidRPr="00A40455">
        <w:rPr>
          <w:rFonts w:ascii="Arial" w:eastAsia="SimSun" w:hAnsi="Arial" w:cs="Arial"/>
          <w:bCs/>
          <w:snapToGrid w:val="0"/>
          <w:lang w:val="en-GB"/>
        </w:rPr>
        <w:t xml:space="preserve">Launch of the UNESCO-IOC Tsunami Awareness and Tsunami Ready online trainings through the </w:t>
      </w:r>
      <w:hyperlink r:id="rId15" w:history="1">
        <w:r w:rsidRPr="00A40455">
          <w:rPr>
            <w:rFonts w:ascii="Arial" w:eastAsia="SimSun" w:hAnsi="Arial" w:cs="Arial"/>
            <w:bCs/>
            <w:snapToGrid w:val="0"/>
            <w:color w:val="0000FF"/>
            <w:u w:val="single"/>
            <w:lang w:val="en-GB"/>
          </w:rPr>
          <w:t>Ocean Teacher Global Academy</w:t>
        </w:r>
      </w:hyperlink>
      <w:r w:rsidRPr="00A40455">
        <w:rPr>
          <w:rFonts w:ascii="Arial" w:eastAsia="SimSun" w:hAnsi="Arial" w:cs="Arial"/>
          <w:bCs/>
          <w:snapToGrid w:val="0"/>
          <w:lang w:val="en-GB"/>
        </w:rPr>
        <w:t xml:space="preserve"> (OTGA) platform.</w:t>
      </w:r>
    </w:p>
    <w:p w14:paraId="164D6E37" w14:textId="77777777" w:rsidR="00A40455" w:rsidRPr="00A40455" w:rsidRDefault="00A40455" w:rsidP="00A40455">
      <w:pPr>
        <w:numPr>
          <w:ilvl w:val="0"/>
          <w:numId w:val="1"/>
        </w:numPr>
        <w:tabs>
          <w:tab w:val="left" w:pos="709"/>
        </w:tabs>
        <w:snapToGrid w:val="0"/>
        <w:spacing w:after="240" w:line="240" w:lineRule="auto"/>
        <w:ind w:left="567" w:hanging="567"/>
        <w:jc w:val="both"/>
        <w:rPr>
          <w:rFonts w:ascii="Arial" w:eastAsia="SimSun" w:hAnsi="Arial" w:cs="Arial"/>
          <w:bCs/>
          <w:snapToGrid w:val="0"/>
          <w:lang w:val="en-GB"/>
        </w:rPr>
      </w:pPr>
      <w:r w:rsidRPr="00A40455">
        <w:rPr>
          <w:rFonts w:ascii="Arial" w:eastAsia="SimSun" w:hAnsi="Arial" w:cs="Arial"/>
          <w:bCs/>
          <w:snapToGrid w:val="0"/>
          <w:lang w:val="en-GB"/>
        </w:rPr>
        <w:t xml:space="preserve">PTWS under the leadership of the ITIC to develop the Tsunami Warning Center Minimum Staff Competencies Training Course, which will consist of Tsunami and Earthquake Science, Tsunami Warning Center Operations, and National Training Modules, all to be enabled under the IOC’s </w:t>
      </w:r>
      <w:proofErr w:type="gramStart"/>
      <w:r w:rsidRPr="00A40455">
        <w:rPr>
          <w:rFonts w:ascii="Arial" w:eastAsia="SimSun" w:hAnsi="Arial" w:cs="Arial"/>
          <w:bCs/>
          <w:snapToGrid w:val="0"/>
          <w:lang w:val="en-GB"/>
        </w:rPr>
        <w:t>OTGA;</w:t>
      </w:r>
      <w:proofErr w:type="gramEnd"/>
    </w:p>
    <w:p w14:paraId="3389F35F" w14:textId="77777777" w:rsidR="00A40455" w:rsidRPr="00A40455" w:rsidRDefault="00A40455" w:rsidP="00A40455">
      <w:pPr>
        <w:numPr>
          <w:ilvl w:val="0"/>
          <w:numId w:val="1"/>
        </w:numPr>
        <w:tabs>
          <w:tab w:val="left" w:pos="709"/>
        </w:tabs>
        <w:snapToGrid w:val="0"/>
        <w:spacing w:after="240" w:line="240" w:lineRule="auto"/>
        <w:ind w:left="567" w:hanging="567"/>
        <w:jc w:val="both"/>
        <w:rPr>
          <w:rFonts w:ascii="Arial" w:eastAsia="SimSun" w:hAnsi="Arial" w:cs="Arial"/>
          <w:bCs/>
          <w:snapToGrid w:val="0"/>
          <w:lang w:val="en-GB"/>
        </w:rPr>
      </w:pPr>
      <w:r w:rsidRPr="00A40455">
        <w:rPr>
          <w:rFonts w:ascii="Arial" w:eastAsia="SimSun" w:hAnsi="Arial" w:cs="Arial"/>
          <w:bCs/>
          <w:snapToGrid w:val="0"/>
          <w:lang w:val="en-GB"/>
        </w:rPr>
        <w:t>the work commissioned by the IOC/TSR on a Methodological Protocol for Mapping, Identifying and Estimating Administrative Units (“communities”) eligible for the TRRP and assess the level of risk of each community in the Caribbean Basin and its wider application in other ocean basins/</w:t>
      </w:r>
      <w:proofErr w:type="gramStart"/>
      <w:r w:rsidRPr="00A40455">
        <w:rPr>
          <w:rFonts w:ascii="Arial" w:eastAsia="SimSun" w:hAnsi="Arial" w:cs="Arial"/>
          <w:bCs/>
          <w:snapToGrid w:val="0"/>
          <w:lang w:val="en-GB"/>
        </w:rPr>
        <w:t>ICGs;</w:t>
      </w:r>
      <w:proofErr w:type="gramEnd"/>
    </w:p>
    <w:p w14:paraId="4E4A509D" w14:textId="77777777" w:rsidR="00A40455" w:rsidRPr="00A40455" w:rsidRDefault="00A40455" w:rsidP="00A40455">
      <w:pPr>
        <w:numPr>
          <w:ilvl w:val="0"/>
          <w:numId w:val="1"/>
        </w:numPr>
        <w:tabs>
          <w:tab w:val="left" w:pos="709"/>
        </w:tabs>
        <w:snapToGrid w:val="0"/>
        <w:spacing w:after="240" w:line="240" w:lineRule="auto"/>
        <w:ind w:left="562" w:hanging="562"/>
        <w:jc w:val="both"/>
        <w:rPr>
          <w:rFonts w:ascii="Arial" w:eastAsia="SimSun" w:hAnsi="Arial" w:cs="Arial"/>
          <w:bCs/>
          <w:snapToGrid w:val="0"/>
          <w:lang w:val="en-US"/>
        </w:rPr>
      </w:pPr>
      <w:r w:rsidRPr="00A40455">
        <w:rPr>
          <w:rFonts w:ascii="Arial" w:eastAsia="SimSun" w:hAnsi="Arial" w:cs="Arial"/>
          <w:bCs/>
          <w:snapToGrid w:val="0"/>
          <w:lang w:val="en-US"/>
        </w:rPr>
        <w:t xml:space="preserve">Activities undertaken by the respective regions for </w:t>
      </w:r>
      <w:hyperlink r:id="rId16" w:history="1">
        <w:r w:rsidRPr="00A40455">
          <w:rPr>
            <w:rFonts w:ascii="Arial" w:eastAsia="SimSun" w:hAnsi="Arial" w:cs="Arial"/>
            <w:bCs/>
            <w:snapToGrid w:val="0"/>
            <w:color w:val="0000FF"/>
            <w:u w:val="single"/>
            <w:lang w:val="en-US"/>
          </w:rPr>
          <w:t>World Tsunami Awareness Day</w:t>
        </w:r>
      </w:hyperlink>
      <w:r w:rsidRPr="00A40455">
        <w:rPr>
          <w:rFonts w:ascii="Arial" w:eastAsia="SimSun" w:hAnsi="Arial" w:cs="Arial"/>
          <w:bCs/>
          <w:snapToGrid w:val="0"/>
          <w:lang w:val="en-US"/>
        </w:rPr>
        <w:t xml:space="preserve"> (WTAD) 2024, the strong engagement in the </w:t>
      </w:r>
      <w:hyperlink r:id="rId17" w:history="1">
        <w:r w:rsidRPr="00A40455">
          <w:rPr>
            <w:rFonts w:ascii="Arial" w:eastAsia="SimSun" w:hAnsi="Arial" w:cs="Arial"/>
            <w:bCs/>
            <w:snapToGrid w:val="0"/>
            <w:color w:val="0000FF"/>
            <w:u w:val="single"/>
            <w:lang w:val="en-US"/>
          </w:rPr>
          <w:t>#GetToHighGround</w:t>
        </w:r>
      </w:hyperlink>
      <w:r w:rsidRPr="00A40455">
        <w:rPr>
          <w:rFonts w:ascii="Arial" w:eastAsia="SimSun" w:hAnsi="Arial" w:cs="Arial"/>
          <w:bCs/>
          <w:snapToGrid w:val="0"/>
          <w:lang w:val="en-US"/>
        </w:rPr>
        <w:t xml:space="preserve"> Initiative, the </w:t>
      </w:r>
      <w:hyperlink r:id="rId18" w:history="1">
        <w:r w:rsidRPr="00A40455">
          <w:rPr>
            <w:rFonts w:ascii="Arial" w:eastAsia="SimSun" w:hAnsi="Arial" w:cs="Arial"/>
            <w:bCs/>
            <w:snapToGrid w:val="0"/>
            <w:color w:val="0000FF"/>
            <w:u w:val="single"/>
            <w:lang w:val="en-US"/>
          </w:rPr>
          <w:t>Tsunami: Sea Change for Resilience</w:t>
        </w:r>
      </w:hyperlink>
      <w:r w:rsidRPr="00A40455">
        <w:rPr>
          <w:rFonts w:ascii="Arial" w:eastAsia="SimSun" w:hAnsi="Arial" w:cs="Arial"/>
          <w:bCs/>
          <w:snapToGrid w:val="0"/>
          <w:lang w:val="en-US"/>
        </w:rPr>
        <w:t xml:space="preserve">, exhibition prepared in partnership with the United Nations Office for Disaster Risk Reduction (UNDRR) and Nautilus, featuring portraits by Matt Porteous and inspiring stories together with the historical and contemporary artworks which commemorate the 20th anniversary of the 2004 Indian Ocean Tsunami; organization of the </w:t>
      </w:r>
      <w:hyperlink r:id="rId19" w:history="1">
        <w:r w:rsidRPr="00A40455">
          <w:rPr>
            <w:rFonts w:ascii="Arial" w:eastAsia="DengXian" w:hAnsi="Arial" w:cs="Arial"/>
            <w:color w:val="0000FF"/>
            <w:u w:val="single"/>
            <w:lang w:val="en-GB"/>
          </w:rPr>
          <w:t xml:space="preserve">20th Anniversary of the 2004 Indian Ocean Tsunami Commemoration </w:t>
        </w:r>
        <w:r w:rsidRPr="00A40455">
          <w:rPr>
            <w:rFonts w:ascii="Arial" w:eastAsia="DengXian" w:hAnsi="Arial" w:cs="Arial"/>
            <w:color w:val="0000FF"/>
            <w:u w:val="single"/>
            <w:lang w:val="en-GB"/>
          </w:rPr>
          <w:lastRenderedPageBreak/>
          <w:t>Event</w:t>
        </w:r>
      </w:hyperlink>
      <w:r w:rsidRPr="00A40455">
        <w:rPr>
          <w:rFonts w:ascii="Arial" w:eastAsia="DengXian" w:hAnsi="Arial" w:cs="Arial"/>
          <w:lang w:val="en-GB"/>
        </w:rPr>
        <w:t xml:space="preserve"> at the UNESCO Headquarters on 26 November 2024 to reflect on resilience, honour those affected, and reaffirm our commitment to disaster </w:t>
      </w:r>
      <w:proofErr w:type="gramStart"/>
      <w:r w:rsidRPr="00A40455">
        <w:rPr>
          <w:rFonts w:ascii="Arial" w:eastAsia="DengXian" w:hAnsi="Arial" w:cs="Arial"/>
          <w:lang w:val="en-GB"/>
        </w:rPr>
        <w:t>preparedness;</w:t>
      </w:r>
      <w:proofErr w:type="gramEnd"/>
      <w:r w:rsidRPr="00A40455">
        <w:rPr>
          <w:rFonts w:ascii="Arial" w:eastAsia="SimSun" w:hAnsi="Arial" w:cs="Arial"/>
          <w:bCs/>
          <w:snapToGrid w:val="0"/>
          <w:lang w:val="en-US"/>
        </w:rPr>
        <w:t xml:space="preserve"> </w:t>
      </w:r>
    </w:p>
    <w:p w14:paraId="14036D5B" w14:textId="77777777" w:rsidR="00A40455" w:rsidRPr="00A40455" w:rsidRDefault="00A40455" w:rsidP="00A40455">
      <w:pPr>
        <w:numPr>
          <w:ilvl w:val="0"/>
          <w:numId w:val="1"/>
        </w:numPr>
        <w:tabs>
          <w:tab w:val="left" w:pos="709"/>
        </w:tabs>
        <w:snapToGrid w:val="0"/>
        <w:spacing w:after="240" w:line="240" w:lineRule="auto"/>
        <w:ind w:left="567" w:hanging="567"/>
        <w:jc w:val="both"/>
        <w:rPr>
          <w:rFonts w:ascii="Arial" w:eastAsia="SimSun" w:hAnsi="Arial" w:cs="Arial"/>
          <w:bCs/>
          <w:snapToGrid w:val="0"/>
          <w:lang w:val="en-US"/>
        </w:rPr>
      </w:pPr>
      <w:r w:rsidRPr="00A40455">
        <w:rPr>
          <w:rFonts w:ascii="Arial" w:eastAsia="SimSun" w:hAnsi="Arial" w:cs="Arial"/>
          <w:bCs/>
          <w:snapToGrid w:val="0"/>
          <w:lang w:val="en-US"/>
        </w:rPr>
        <w:t xml:space="preserve">in developing a comprehensive Ocean Decade Tsunami Programme Research Development and Implementation (ODTP–RDI) Performance Monitoring and Tracking Tool with clear SMART (Specific, Measurable, Achievable, Relevant, and Time-bound) indicators and </w:t>
      </w:r>
      <w:proofErr w:type="gramStart"/>
      <w:r w:rsidRPr="00A40455">
        <w:rPr>
          <w:rFonts w:ascii="Arial" w:eastAsia="SimSun" w:hAnsi="Arial" w:cs="Arial"/>
          <w:bCs/>
          <w:snapToGrid w:val="0"/>
          <w:lang w:val="en-US"/>
        </w:rPr>
        <w:t>actions;</w:t>
      </w:r>
      <w:proofErr w:type="gramEnd"/>
    </w:p>
    <w:p w14:paraId="6286F920" w14:textId="77777777" w:rsidR="00A40455" w:rsidRPr="00A40455" w:rsidRDefault="00A40455" w:rsidP="00A40455">
      <w:pPr>
        <w:numPr>
          <w:ilvl w:val="0"/>
          <w:numId w:val="1"/>
        </w:numPr>
        <w:tabs>
          <w:tab w:val="left" w:pos="709"/>
        </w:tabs>
        <w:snapToGrid w:val="0"/>
        <w:spacing w:after="240" w:line="240" w:lineRule="auto"/>
        <w:ind w:left="567" w:hanging="567"/>
        <w:jc w:val="both"/>
        <w:rPr>
          <w:rFonts w:ascii="Arial" w:eastAsia="SimSun" w:hAnsi="Arial" w:cs="Arial"/>
          <w:bCs/>
          <w:snapToGrid w:val="0"/>
          <w:lang w:val="en-US"/>
        </w:rPr>
      </w:pPr>
      <w:r w:rsidRPr="00A40455">
        <w:rPr>
          <w:rFonts w:ascii="Arial" w:eastAsia="SimSun" w:hAnsi="Arial" w:cs="Arial"/>
          <w:bCs/>
          <w:snapToGrid w:val="0"/>
          <w:lang w:val="en-US"/>
        </w:rPr>
        <w:t xml:space="preserve">the development of the Tsunami Ready </w:t>
      </w:r>
      <w:proofErr w:type="gramStart"/>
      <w:r w:rsidRPr="00A40455">
        <w:rPr>
          <w:rFonts w:ascii="Arial" w:eastAsia="SimSun" w:hAnsi="Arial" w:cs="Arial"/>
          <w:bCs/>
          <w:snapToGrid w:val="0"/>
          <w:lang w:val="en-US"/>
        </w:rPr>
        <w:t>toolkit;</w:t>
      </w:r>
      <w:proofErr w:type="gramEnd"/>
    </w:p>
    <w:p w14:paraId="6F101BE3" w14:textId="77777777" w:rsidR="00A40455" w:rsidRPr="00A40455" w:rsidRDefault="00A40455" w:rsidP="00A40455">
      <w:pPr>
        <w:tabs>
          <w:tab w:val="left" w:pos="709"/>
        </w:tabs>
        <w:snapToGrid w:val="0"/>
        <w:spacing w:after="240" w:line="240" w:lineRule="auto"/>
        <w:jc w:val="both"/>
        <w:rPr>
          <w:rFonts w:ascii="Arial" w:eastAsia="Arial" w:hAnsi="Arial" w:cs="Arial"/>
          <w:lang w:val="en-GB"/>
        </w:rPr>
      </w:pPr>
      <w:r w:rsidRPr="00A40455">
        <w:rPr>
          <w:rFonts w:ascii="Arial" w:eastAsia="Arial" w:hAnsi="Arial" w:cs="Arial"/>
          <w:b/>
          <w:bCs/>
          <w:lang w:val="en-GB"/>
        </w:rPr>
        <w:t xml:space="preserve">The Group recommended </w:t>
      </w:r>
      <w:r w:rsidRPr="00A40455">
        <w:rPr>
          <w:rFonts w:ascii="Arial" w:eastAsia="Arial" w:hAnsi="Arial" w:cs="Arial"/>
          <w:lang w:val="en-GB"/>
        </w:rPr>
        <w:t xml:space="preserve">to perform a scientific peer review on the Methodology for Estimating Eligibility for TRR and Assessment of Tsunami Risk at Community Level to ensure the indices developed are accepted as a scientifically credible methodology and endorsed by ICGs and </w:t>
      </w:r>
      <w:r w:rsidRPr="00A40455">
        <w:rPr>
          <w:rFonts w:ascii="Arial" w:eastAsia="Arial" w:hAnsi="Arial" w:cs="Arial"/>
          <w:b/>
          <w:bCs/>
          <w:lang w:val="en-GB"/>
        </w:rPr>
        <w:t>also recommended</w:t>
      </w:r>
      <w:r w:rsidRPr="00A40455">
        <w:rPr>
          <w:rFonts w:ascii="Arial" w:eastAsia="Arial" w:hAnsi="Arial" w:cs="Arial"/>
          <w:lang w:val="en-GB"/>
        </w:rPr>
        <w:t xml:space="preserve"> the secretariat to prepare an IOC Technical Series document on the Methodology for Estimating Eligibility for TRR and assessment of tsunami risk at community </w:t>
      </w:r>
      <w:proofErr w:type="gramStart"/>
      <w:r w:rsidRPr="00A40455">
        <w:rPr>
          <w:rFonts w:ascii="Arial" w:eastAsia="Arial" w:hAnsi="Arial" w:cs="Arial"/>
          <w:lang w:val="en-GB"/>
        </w:rPr>
        <w:t>level;</w:t>
      </w:r>
      <w:proofErr w:type="gramEnd"/>
    </w:p>
    <w:p w14:paraId="580AB672" w14:textId="77777777" w:rsidR="00A40455" w:rsidRPr="00A40455" w:rsidRDefault="00A40455" w:rsidP="00A40455">
      <w:pPr>
        <w:tabs>
          <w:tab w:val="left" w:pos="709"/>
        </w:tabs>
        <w:snapToGrid w:val="0"/>
        <w:spacing w:after="240" w:line="240" w:lineRule="auto"/>
        <w:jc w:val="both"/>
        <w:rPr>
          <w:rFonts w:ascii="Arial" w:eastAsia="Arial" w:hAnsi="Arial" w:cs="Arial"/>
          <w:lang w:val="en-GB"/>
        </w:rPr>
      </w:pPr>
      <w:r w:rsidRPr="00A40455">
        <w:rPr>
          <w:rFonts w:ascii="Arial" w:eastAsia="Arial" w:hAnsi="Arial" w:cs="Arial"/>
          <w:b/>
          <w:bCs/>
          <w:lang w:val="en-GB"/>
        </w:rPr>
        <w:t>The Group approved</w:t>
      </w:r>
      <w:r w:rsidRPr="00A40455">
        <w:rPr>
          <w:rFonts w:ascii="Arial" w:eastAsia="Arial" w:hAnsi="Arial" w:cs="Arial"/>
          <w:lang w:val="en-GB"/>
        </w:rPr>
        <w:t xml:space="preserve"> the </w:t>
      </w:r>
      <w:r w:rsidRPr="00A40455">
        <w:rPr>
          <w:rFonts w:ascii="Arial" w:eastAsia="Arial" w:hAnsi="Arial" w:cs="Arial"/>
          <w:i/>
          <w:iCs/>
          <w:lang w:val="en-GB"/>
        </w:rPr>
        <w:t>Tsunami Ready Toolkit</w:t>
      </w:r>
      <w:r w:rsidRPr="00A40455">
        <w:rPr>
          <w:rFonts w:ascii="Arial" w:eastAsia="Arial" w:hAnsi="Arial" w:cs="Arial"/>
          <w:lang w:val="en-GB"/>
        </w:rPr>
        <w:t>, including an updated application form, workflow and recognition procedures with sample communication templates, folder and file naming conventions certificate and signage samples, renewal procedures, community definition and guidance, to be finalized by Tsunami Information Centres (TIC) and included as appendices to the UNESCO-IOC Standard Guidelines for the Tsunami Ready Recognition Programme (IOC MG 74) or sharing with the ICGs;</w:t>
      </w:r>
    </w:p>
    <w:p w14:paraId="2E060B4E" w14:textId="77777777" w:rsidR="00A40455" w:rsidRPr="00A40455" w:rsidRDefault="00A40455" w:rsidP="00A40455">
      <w:pPr>
        <w:tabs>
          <w:tab w:val="left" w:pos="709"/>
        </w:tabs>
        <w:snapToGrid w:val="0"/>
        <w:spacing w:after="240" w:line="240" w:lineRule="auto"/>
        <w:jc w:val="both"/>
        <w:rPr>
          <w:rFonts w:ascii="Arial" w:eastAsia="Arial" w:hAnsi="Arial" w:cs="Arial"/>
          <w:lang w:val="en-GB"/>
        </w:rPr>
      </w:pPr>
      <w:r w:rsidRPr="00A40455">
        <w:rPr>
          <w:rFonts w:ascii="Arial" w:eastAsia="Arial" w:hAnsi="Arial" w:cs="Arial"/>
          <w:b/>
          <w:bCs/>
          <w:lang w:val="en-GB"/>
        </w:rPr>
        <w:t>The Group requested</w:t>
      </w:r>
      <w:r w:rsidRPr="00A40455">
        <w:rPr>
          <w:rFonts w:ascii="Arial" w:eastAsia="Arial" w:hAnsi="Arial" w:cs="Arial"/>
          <w:lang w:val="en-GB"/>
        </w:rPr>
        <w:t xml:space="preserve"> that Tsunami Information Centres (TIC) continue developing additional tools for the Tsunami Ready Toolkit, including:</w:t>
      </w:r>
    </w:p>
    <w:p w14:paraId="38EC8BA6" w14:textId="77777777" w:rsidR="00A40455" w:rsidRPr="00A40455" w:rsidRDefault="00A40455" w:rsidP="00A40455">
      <w:pPr>
        <w:numPr>
          <w:ilvl w:val="0"/>
          <w:numId w:val="30"/>
        </w:numPr>
        <w:tabs>
          <w:tab w:val="left" w:pos="709"/>
        </w:tabs>
        <w:snapToGrid w:val="0"/>
        <w:spacing w:after="240" w:line="240" w:lineRule="auto"/>
        <w:contextualSpacing/>
        <w:jc w:val="both"/>
        <w:rPr>
          <w:rFonts w:ascii="Arial" w:eastAsia="Arial" w:hAnsi="Arial" w:cs="Arial"/>
          <w:lang w:val="en-GB"/>
        </w:rPr>
      </w:pPr>
      <w:r w:rsidRPr="00A40455">
        <w:rPr>
          <w:rFonts w:ascii="Arial" w:eastAsia="Arial" w:hAnsi="Arial" w:cs="Arial"/>
          <w:lang w:val="en-GB"/>
        </w:rPr>
        <w:t>Application Form in official UN languages</w:t>
      </w:r>
    </w:p>
    <w:p w14:paraId="65B630C0" w14:textId="77777777" w:rsidR="00A40455" w:rsidRPr="00A40455" w:rsidRDefault="00A40455" w:rsidP="00A40455">
      <w:pPr>
        <w:numPr>
          <w:ilvl w:val="0"/>
          <w:numId w:val="30"/>
        </w:numPr>
        <w:tabs>
          <w:tab w:val="left" w:pos="709"/>
        </w:tabs>
        <w:snapToGrid w:val="0"/>
        <w:spacing w:after="240" w:line="240" w:lineRule="auto"/>
        <w:contextualSpacing/>
        <w:jc w:val="both"/>
        <w:rPr>
          <w:rFonts w:ascii="Arial" w:eastAsia="Arial" w:hAnsi="Arial" w:cs="Arial"/>
          <w:lang w:val="en-GB"/>
        </w:rPr>
      </w:pPr>
      <w:r w:rsidRPr="00A40455">
        <w:rPr>
          <w:rFonts w:ascii="Arial" w:eastAsia="Arial" w:hAnsi="Arial" w:cs="Arial"/>
          <w:lang w:val="en-GB"/>
        </w:rPr>
        <w:t>More efficient submission procedures</w:t>
      </w:r>
    </w:p>
    <w:p w14:paraId="1979209A" w14:textId="77777777" w:rsidR="00A40455" w:rsidRPr="00A40455" w:rsidRDefault="00A40455" w:rsidP="00A40455">
      <w:pPr>
        <w:numPr>
          <w:ilvl w:val="0"/>
          <w:numId w:val="30"/>
        </w:numPr>
        <w:tabs>
          <w:tab w:val="left" w:pos="709"/>
        </w:tabs>
        <w:snapToGrid w:val="0"/>
        <w:spacing w:after="240" w:line="240" w:lineRule="auto"/>
        <w:contextualSpacing/>
        <w:jc w:val="both"/>
        <w:rPr>
          <w:rFonts w:ascii="Arial" w:eastAsia="Arial" w:hAnsi="Arial" w:cs="Arial"/>
          <w:lang w:val="en-GB"/>
        </w:rPr>
      </w:pPr>
      <w:r w:rsidRPr="00A40455">
        <w:rPr>
          <w:rFonts w:ascii="Arial" w:eastAsia="Arial" w:hAnsi="Arial" w:cs="Arial"/>
          <w:lang w:val="en-GB"/>
        </w:rPr>
        <w:t>Tsunami Ready Training providing detailed implementation guidance</w:t>
      </w:r>
    </w:p>
    <w:p w14:paraId="56E4682B" w14:textId="77777777" w:rsidR="00A40455" w:rsidRPr="00A40455" w:rsidRDefault="00A40455" w:rsidP="00A40455">
      <w:pPr>
        <w:tabs>
          <w:tab w:val="left" w:pos="709"/>
        </w:tabs>
        <w:snapToGrid w:val="0"/>
        <w:spacing w:after="240" w:line="240" w:lineRule="auto"/>
        <w:jc w:val="both"/>
        <w:rPr>
          <w:rFonts w:ascii="Arial" w:eastAsia="SimSun" w:hAnsi="Arial" w:cs="Arial"/>
          <w:bCs/>
          <w:snapToGrid w:val="0"/>
          <w:lang w:val="en-US"/>
        </w:rPr>
      </w:pPr>
      <w:r w:rsidRPr="00A40455">
        <w:rPr>
          <w:rFonts w:ascii="Arial" w:eastAsia="Arial" w:hAnsi="Arial" w:cs="Arial"/>
          <w:b/>
          <w:bCs/>
          <w:lang w:val="en-GB"/>
        </w:rPr>
        <w:t xml:space="preserve">The Group accepted  </w:t>
      </w:r>
      <w:r w:rsidRPr="00A40455">
        <w:rPr>
          <w:rFonts w:ascii="Arial" w:eastAsia="Arial" w:hAnsi="Arial" w:cs="Arial"/>
          <w:lang w:val="en-GB"/>
        </w:rPr>
        <w:t>the invitation by UNDRR to</w:t>
      </w:r>
      <w:r w:rsidRPr="00A40455">
        <w:rPr>
          <w:rFonts w:ascii="Arial" w:eastAsia="Arial" w:hAnsi="Arial" w:cs="Arial"/>
          <w:b/>
          <w:bCs/>
          <w:lang w:val="en-GB"/>
        </w:rPr>
        <w:t xml:space="preserve"> </w:t>
      </w:r>
      <w:r w:rsidRPr="00A40455">
        <w:rPr>
          <w:rFonts w:ascii="Arial" w:eastAsia="Arial" w:hAnsi="Arial" w:cs="Arial"/>
          <w:lang w:val="en-GB"/>
        </w:rPr>
        <w:t>co-develop the  World Tsunami Awareness Day 2025 Theme connecting the Tsunami Ready Recognition Programme, the Making Cities Resilient Program and</w:t>
      </w:r>
      <w:r w:rsidRPr="00A40455">
        <w:rPr>
          <w:rFonts w:ascii="Arial" w:eastAsia="Arial" w:hAnsi="Arial" w:cs="Arial"/>
          <w:b/>
          <w:bCs/>
          <w:lang w:val="en-GB"/>
        </w:rPr>
        <w:t xml:space="preserve"> </w:t>
      </w:r>
      <w:r w:rsidRPr="00A40455">
        <w:rPr>
          <w:rFonts w:ascii="Arial" w:eastAsia="SimSun" w:hAnsi="Arial" w:cs="Arial"/>
          <w:bCs/>
          <w:snapToGrid w:val="0"/>
          <w:lang w:val="en-US"/>
        </w:rPr>
        <w:t xml:space="preserve">the </w:t>
      </w:r>
      <w:hyperlink r:id="rId20" w:history="1">
        <w:r w:rsidRPr="00A40455">
          <w:rPr>
            <w:rFonts w:ascii="Arial" w:eastAsia="SimSun" w:hAnsi="Arial" w:cs="Arial"/>
            <w:bCs/>
            <w:snapToGrid w:val="0"/>
            <w:color w:val="0000FF"/>
            <w:u w:val="single"/>
            <w:lang w:val="en-US"/>
          </w:rPr>
          <w:t>#GetToHighGround</w:t>
        </w:r>
      </w:hyperlink>
      <w:r w:rsidRPr="00A40455">
        <w:rPr>
          <w:rFonts w:ascii="Arial" w:eastAsia="SimSun" w:hAnsi="Arial" w:cs="Arial"/>
          <w:bCs/>
          <w:snapToGrid w:val="0"/>
          <w:lang w:val="en-US"/>
        </w:rPr>
        <w:t xml:space="preserve"> and </w:t>
      </w:r>
      <w:r w:rsidRPr="00A40455">
        <w:rPr>
          <w:rFonts w:ascii="Arial" w:eastAsia="SimSun" w:hAnsi="Arial" w:cs="Arial"/>
          <w:bCs/>
          <w:snapToGrid w:val="0"/>
          <w:color w:val="0000FF"/>
          <w:lang w:val="en-US"/>
        </w:rPr>
        <w:t>#TsunamiReady</w:t>
      </w:r>
      <w:r w:rsidRPr="00A40455">
        <w:rPr>
          <w:rFonts w:ascii="Arial" w:eastAsia="SimSun" w:hAnsi="Arial" w:cs="Arial"/>
          <w:bCs/>
          <w:snapToGrid w:val="0"/>
          <w:lang w:val="en-US"/>
        </w:rPr>
        <w:t xml:space="preserve"> hashtags to engage citizens on tsunami awareness;</w:t>
      </w:r>
    </w:p>
    <w:p w14:paraId="137D2A9E" w14:textId="77777777" w:rsidR="00A40455" w:rsidRPr="00A40455" w:rsidRDefault="00A40455" w:rsidP="00A40455">
      <w:pPr>
        <w:tabs>
          <w:tab w:val="left" w:pos="709"/>
        </w:tabs>
        <w:snapToGrid w:val="0"/>
        <w:spacing w:after="240" w:line="240" w:lineRule="auto"/>
        <w:jc w:val="both"/>
        <w:rPr>
          <w:rFonts w:ascii="Arial" w:eastAsia="Arial" w:hAnsi="Arial" w:cs="Arial"/>
          <w:snapToGrid w:val="0"/>
          <w:lang w:val="en-GB"/>
        </w:rPr>
      </w:pPr>
      <w:r w:rsidRPr="00A40455">
        <w:rPr>
          <w:rFonts w:ascii="Arial" w:eastAsia="Arial" w:hAnsi="Arial" w:cs="Arial"/>
          <w:b/>
          <w:bCs/>
          <w:lang w:val="en-GB"/>
        </w:rPr>
        <w:t xml:space="preserve">The Group </w:t>
      </w:r>
      <w:r w:rsidRPr="00A40455">
        <w:rPr>
          <w:rFonts w:ascii="Arial" w:eastAsia="Arial" w:hAnsi="Arial" w:cs="Arial"/>
          <w:b/>
          <w:bCs/>
          <w:snapToGrid w:val="0"/>
          <w:lang w:val="en-GB"/>
        </w:rPr>
        <w:t>appreciated</w:t>
      </w:r>
      <w:r w:rsidRPr="00A40455">
        <w:rPr>
          <w:rFonts w:ascii="Arial" w:eastAsia="Arial" w:hAnsi="Arial" w:cs="Arial"/>
          <w:snapToGrid w:val="0"/>
          <w:lang w:val="en-GB"/>
        </w:rPr>
        <w:t xml:space="preserve"> the development of Inclusive SOP and Inclusive Warning Tools for disabled children in Indonesia and the Caribbean, r</w:t>
      </w:r>
      <w:r w:rsidRPr="00A40455">
        <w:rPr>
          <w:rFonts w:ascii="Arial" w:eastAsia="Arial" w:hAnsi="Arial" w:cs="Arial"/>
          <w:b/>
          <w:bCs/>
          <w:snapToGrid w:val="0"/>
          <w:lang w:val="en-GB"/>
        </w:rPr>
        <w:t>ecommended</w:t>
      </w:r>
      <w:r w:rsidRPr="00A40455">
        <w:rPr>
          <w:rFonts w:ascii="Arial" w:eastAsia="Arial" w:hAnsi="Arial" w:cs="Arial"/>
          <w:snapToGrid w:val="0"/>
          <w:lang w:val="en-GB"/>
        </w:rPr>
        <w:t xml:space="preserve"> the Indonesian inclusive SOPs to be translated to English and </w:t>
      </w:r>
      <w:r w:rsidRPr="00A40455">
        <w:rPr>
          <w:rFonts w:ascii="Arial" w:eastAsia="Arial" w:hAnsi="Arial" w:cs="Arial"/>
          <w:b/>
          <w:bCs/>
          <w:snapToGrid w:val="0"/>
          <w:lang w:val="en-GB"/>
        </w:rPr>
        <w:t xml:space="preserve">encouraged </w:t>
      </w:r>
      <w:r w:rsidRPr="00A40455">
        <w:rPr>
          <w:rFonts w:ascii="Arial" w:eastAsia="Arial" w:hAnsi="Arial" w:cs="Arial"/>
          <w:snapToGrid w:val="0"/>
          <w:lang w:val="en-GB"/>
        </w:rPr>
        <w:t>further development of inclusive SOP as official guidelines of UNESCO IOC.</w:t>
      </w:r>
    </w:p>
    <w:p w14:paraId="43D89F94" w14:textId="77777777" w:rsidR="00A40455" w:rsidRPr="00A40455" w:rsidRDefault="00A40455" w:rsidP="00A40455">
      <w:pPr>
        <w:spacing w:after="240"/>
        <w:jc w:val="both"/>
        <w:rPr>
          <w:rFonts w:ascii="Arial" w:eastAsia="DengXian" w:hAnsi="Arial" w:cs="Arial"/>
          <w:lang w:val="en-US"/>
        </w:rPr>
      </w:pPr>
      <w:r w:rsidRPr="00A40455">
        <w:rPr>
          <w:rFonts w:ascii="Arial" w:eastAsia="Arial" w:hAnsi="Arial" w:cs="Arial"/>
          <w:b/>
          <w:bCs/>
          <w:lang w:val="en-GB"/>
        </w:rPr>
        <w:t>The group noted</w:t>
      </w:r>
      <w:r w:rsidRPr="00A40455">
        <w:rPr>
          <w:rFonts w:ascii="Arial" w:eastAsia="Arial" w:hAnsi="Arial" w:cs="Arial"/>
          <w:lang w:val="en-GB"/>
        </w:rPr>
        <w:t xml:space="preserve"> the revisions on the T</w:t>
      </w:r>
      <w:r w:rsidRPr="00A40455">
        <w:rPr>
          <w:rFonts w:ascii="Arial" w:eastAsia="Arial" w:hAnsi="Arial" w:cs="Arial"/>
          <w:i/>
          <w:iCs/>
          <w:lang w:val="en-GB"/>
        </w:rPr>
        <w:t>sunami Watch Operations. Global Service Definition Document</w:t>
      </w:r>
      <w:r w:rsidRPr="00A40455">
        <w:rPr>
          <w:rFonts w:ascii="Arial" w:eastAsia="Arial" w:hAnsi="Arial" w:cs="Arial"/>
          <w:lang w:val="en-GB"/>
        </w:rPr>
        <w:t xml:space="preserve">. </w:t>
      </w:r>
      <w:hyperlink r:id="rId21" w:history="1">
        <w:r w:rsidRPr="00A40455">
          <w:rPr>
            <w:rFonts w:ascii="Arial" w:eastAsia="Arial" w:hAnsi="Arial" w:cs="Arial"/>
            <w:color w:val="0000FF"/>
            <w:u w:val="single"/>
            <w:lang w:val="en-GB"/>
          </w:rPr>
          <w:t>IOC Technical Series No. 130</w:t>
        </w:r>
      </w:hyperlink>
      <w:r w:rsidRPr="00A40455">
        <w:rPr>
          <w:rFonts w:ascii="Arial" w:eastAsia="Arial" w:hAnsi="Arial" w:cs="Arial"/>
          <w:lang w:val="en-GB"/>
        </w:rPr>
        <w:t>. Paris: UNESCO. (English) and endorsed the publication of a revised version of the IOC Technical Series No 130, with the updates suggested by the TT-</w:t>
      </w:r>
      <w:proofErr w:type="gramStart"/>
      <w:r w:rsidRPr="00A40455">
        <w:rPr>
          <w:rFonts w:ascii="Arial" w:eastAsia="Arial" w:hAnsi="Arial" w:cs="Arial"/>
          <w:lang w:val="en-GB"/>
        </w:rPr>
        <w:t>TWO;</w:t>
      </w:r>
      <w:proofErr w:type="gramEnd"/>
    </w:p>
    <w:p w14:paraId="686EC2BC" w14:textId="77777777" w:rsidR="00A40455" w:rsidRPr="00A40455" w:rsidRDefault="00A40455" w:rsidP="00A40455">
      <w:pPr>
        <w:tabs>
          <w:tab w:val="left" w:pos="709"/>
        </w:tabs>
        <w:snapToGrid w:val="0"/>
        <w:spacing w:after="240" w:line="240" w:lineRule="auto"/>
        <w:jc w:val="both"/>
        <w:rPr>
          <w:rFonts w:ascii="Arial" w:eastAsia="SimSun" w:hAnsi="Arial" w:cs="Arial"/>
          <w:snapToGrid w:val="0"/>
          <w:lang w:val="en-GB"/>
        </w:rPr>
      </w:pPr>
      <w:r w:rsidRPr="00A40455">
        <w:rPr>
          <w:rFonts w:ascii="Arial" w:eastAsia="SimSun" w:hAnsi="Arial" w:cs="Arial"/>
          <w:b/>
          <w:bCs/>
          <w:snapToGrid w:val="0"/>
          <w:lang w:val="en-GB"/>
        </w:rPr>
        <w:t>The group expressed its strong appreciation</w:t>
      </w:r>
      <w:r w:rsidRPr="00A40455">
        <w:rPr>
          <w:rFonts w:ascii="Arial" w:eastAsia="SimSun" w:hAnsi="Arial" w:cs="Arial"/>
          <w:snapToGrid w:val="0"/>
          <w:lang w:val="en-GB"/>
        </w:rPr>
        <w:t xml:space="preserve"> to the Government of Indonesia for having successfully co-hosted and organised the 2nd UNESCO-IOC Global Tsunami Symposium on Two Decades After 2004 Indian Ocean Tsunami: Reflection and Way Forward, Banda Aceh, 11–14 November </w:t>
      </w:r>
      <w:proofErr w:type="gramStart"/>
      <w:r w:rsidRPr="00A40455">
        <w:rPr>
          <w:rFonts w:ascii="Arial" w:eastAsia="SimSun" w:hAnsi="Arial" w:cs="Arial"/>
          <w:snapToGrid w:val="0"/>
          <w:lang w:val="en-GB"/>
        </w:rPr>
        <w:t>2024;</w:t>
      </w:r>
      <w:proofErr w:type="gramEnd"/>
    </w:p>
    <w:p w14:paraId="7C319B8E" w14:textId="77777777" w:rsidR="00A40455" w:rsidRPr="00A40455" w:rsidRDefault="00A40455" w:rsidP="00A40455">
      <w:pPr>
        <w:tabs>
          <w:tab w:val="left" w:pos="709"/>
        </w:tabs>
        <w:snapToGrid w:val="0"/>
        <w:spacing w:after="240" w:line="240" w:lineRule="auto"/>
        <w:jc w:val="both"/>
        <w:rPr>
          <w:rFonts w:ascii="Arial" w:eastAsia="SimSun" w:hAnsi="Arial" w:cs="Arial"/>
          <w:snapToGrid w:val="0"/>
          <w:lang w:val="en-GB"/>
        </w:rPr>
      </w:pPr>
      <w:r w:rsidRPr="00A40455">
        <w:rPr>
          <w:rFonts w:ascii="Arial" w:eastAsia="Times New Roman" w:hAnsi="Arial" w:cs="Arial"/>
          <w:b/>
          <w:bCs/>
          <w:lang w:val="en-US"/>
        </w:rPr>
        <w:t>The Group appreciated</w:t>
      </w:r>
      <w:r w:rsidRPr="00A40455">
        <w:rPr>
          <w:rFonts w:ascii="Arial" w:eastAsia="SimSun" w:hAnsi="Arial" w:cs="Arial"/>
          <w:b/>
          <w:bCs/>
          <w:snapToGrid w:val="0"/>
          <w:lang w:val="en-GB"/>
        </w:rPr>
        <w:t xml:space="preserve"> and thanked</w:t>
      </w:r>
      <w:r w:rsidRPr="00A40455">
        <w:rPr>
          <w:rFonts w:ascii="Arial" w:eastAsia="SimSun" w:hAnsi="Arial" w:cs="Arial"/>
          <w:snapToGrid w:val="0"/>
          <w:lang w:val="en-GB"/>
        </w:rPr>
        <w:t xml:space="preserve"> Prof. Harkunti Pertiwi Rahayu, Research Center for Disaster Mitigation, Institute of Technology Bandung, Indonesia, for her outstanding leadership in coordinating and organizing the 2nd UNESCO-IOC Global Tsunami </w:t>
      </w:r>
      <w:proofErr w:type="gramStart"/>
      <w:r w:rsidRPr="00A40455">
        <w:rPr>
          <w:rFonts w:ascii="Arial" w:eastAsia="SimSun" w:hAnsi="Arial" w:cs="Arial"/>
          <w:snapToGrid w:val="0"/>
          <w:lang w:val="en-GB"/>
        </w:rPr>
        <w:t>Symposium;</w:t>
      </w:r>
      <w:proofErr w:type="gramEnd"/>
    </w:p>
    <w:p w14:paraId="1629A10E" w14:textId="77777777" w:rsidR="00A40455" w:rsidRPr="00A40455" w:rsidRDefault="00A40455" w:rsidP="00A40455">
      <w:pPr>
        <w:tabs>
          <w:tab w:val="left" w:pos="709"/>
        </w:tabs>
        <w:snapToGrid w:val="0"/>
        <w:spacing w:after="240" w:line="240" w:lineRule="auto"/>
        <w:jc w:val="both"/>
        <w:rPr>
          <w:rFonts w:ascii="Arial" w:eastAsia="SimSun" w:hAnsi="Arial" w:cs="Arial"/>
          <w:snapToGrid w:val="0"/>
          <w:lang w:val="en-GB"/>
        </w:rPr>
      </w:pPr>
    </w:p>
    <w:p w14:paraId="56146356" w14:textId="77777777" w:rsidR="00A40455" w:rsidRPr="00A40455" w:rsidRDefault="00A40455" w:rsidP="00A40455">
      <w:pPr>
        <w:tabs>
          <w:tab w:val="left" w:pos="709"/>
        </w:tabs>
        <w:snapToGrid w:val="0"/>
        <w:spacing w:after="240" w:line="240" w:lineRule="auto"/>
        <w:jc w:val="both"/>
        <w:rPr>
          <w:rFonts w:ascii="Arial" w:eastAsia="Arial" w:hAnsi="Arial" w:cs="Arial"/>
          <w:b/>
          <w:snapToGrid w:val="0"/>
          <w:lang w:val="en-GB"/>
        </w:rPr>
      </w:pPr>
      <w:r w:rsidRPr="00A40455">
        <w:rPr>
          <w:rFonts w:ascii="Arial" w:eastAsia="Arial" w:hAnsi="Arial" w:cs="Arial"/>
          <w:b/>
          <w:snapToGrid w:val="0"/>
          <w:lang w:val="en-US"/>
        </w:rPr>
        <w:lastRenderedPageBreak/>
        <w:t xml:space="preserve">The Group appreciated </w:t>
      </w:r>
      <w:r w:rsidRPr="00A40455">
        <w:rPr>
          <w:rFonts w:ascii="Arial" w:eastAsia="Arial" w:hAnsi="Arial" w:cs="Arial"/>
          <w:lang w:val="en-GB"/>
        </w:rPr>
        <w:t xml:space="preserve">the contribution of United States COMET Program to develop </w:t>
      </w:r>
      <w:proofErr w:type="spellStart"/>
      <w:r w:rsidRPr="00A40455">
        <w:rPr>
          <w:rFonts w:ascii="Arial" w:eastAsia="Arial" w:hAnsi="Arial" w:cs="Arial"/>
          <w:lang w:val="en-GB"/>
        </w:rPr>
        <w:t>MetED</w:t>
      </w:r>
      <w:proofErr w:type="spellEnd"/>
      <w:r w:rsidRPr="00A40455">
        <w:rPr>
          <w:rFonts w:ascii="Arial" w:eastAsia="Arial" w:hAnsi="Arial" w:cs="Arial"/>
          <w:lang w:val="en-GB"/>
        </w:rPr>
        <w:t xml:space="preserve"> training modules for the Tsunami Warning Center Minimum Staff Competencies Training Course, including ongoing work on updating the COMET “Tsunamis” and ‘Communicating and Understanding Tsunami Risks using IOC PTWS Tsunami Service Provider Products” </w:t>
      </w:r>
      <w:proofErr w:type="gramStart"/>
      <w:r w:rsidRPr="00A40455">
        <w:rPr>
          <w:rFonts w:ascii="Arial" w:eastAsia="Arial" w:hAnsi="Arial" w:cs="Arial"/>
          <w:lang w:val="en-GB"/>
        </w:rPr>
        <w:t>module</w:t>
      </w:r>
      <w:r w:rsidRPr="00A40455">
        <w:rPr>
          <w:rFonts w:ascii="Arial" w:eastAsia="Arial" w:hAnsi="Arial" w:cs="Arial"/>
          <w:b/>
          <w:snapToGrid w:val="0"/>
          <w:lang w:val="en-GB"/>
        </w:rPr>
        <w:t>;</w:t>
      </w:r>
      <w:proofErr w:type="gramEnd"/>
    </w:p>
    <w:p w14:paraId="6733BE7F" w14:textId="77777777" w:rsidR="00A40455" w:rsidRPr="00A40455" w:rsidRDefault="00A40455" w:rsidP="00A40455">
      <w:pPr>
        <w:tabs>
          <w:tab w:val="left" w:pos="709"/>
        </w:tabs>
        <w:snapToGrid w:val="0"/>
        <w:spacing w:after="240" w:line="240" w:lineRule="auto"/>
        <w:jc w:val="both"/>
        <w:rPr>
          <w:rFonts w:ascii="Arial" w:eastAsia="Arial" w:hAnsi="Arial" w:cs="Arial"/>
          <w:snapToGrid w:val="0"/>
          <w:lang w:val="en-GB"/>
        </w:rPr>
      </w:pPr>
      <w:r w:rsidRPr="00A40455">
        <w:rPr>
          <w:rFonts w:ascii="Arial" w:eastAsia="Arial" w:hAnsi="Arial" w:cs="Arial"/>
          <w:b/>
          <w:bCs/>
          <w:snapToGrid w:val="0"/>
          <w:lang w:val="en-GB"/>
        </w:rPr>
        <w:t>The Group</w:t>
      </w:r>
      <w:r w:rsidRPr="00A40455">
        <w:rPr>
          <w:rFonts w:ascii="Arial" w:eastAsia="Arial" w:hAnsi="Arial" w:cs="Arial"/>
          <w:snapToGrid w:val="0"/>
          <w:lang w:val="en-GB"/>
        </w:rPr>
        <w:t xml:space="preserve"> </w:t>
      </w:r>
      <w:r w:rsidRPr="00A40455">
        <w:rPr>
          <w:rFonts w:ascii="Arial" w:eastAsia="Arial" w:hAnsi="Arial" w:cs="Arial"/>
          <w:b/>
          <w:snapToGrid w:val="0"/>
          <w:lang w:val="en-GB"/>
        </w:rPr>
        <w:t xml:space="preserve">instructed </w:t>
      </w:r>
      <w:r w:rsidRPr="00A40455">
        <w:rPr>
          <w:rFonts w:ascii="Arial" w:eastAsia="Arial" w:hAnsi="Arial" w:cs="Arial"/>
          <w:bCs/>
          <w:snapToGrid w:val="0"/>
          <w:lang w:val="en-GB"/>
        </w:rPr>
        <w:t>bot</w:t>
      </w:r>
      <w:r w:rsidRPr="00A40455">
        <w:rPr>
          <w:rFonts w:ascii="Arial" w:eastAsia="Arial" w:hAnsi="Arial" w:cs="Arial"/>
          <w:snapToGrid w:val="0"/>
          <w:lang w:val="en-GB"/>
        </w:rPr>
        <w:t xml:space="preserve">h TOWS-WG Task Teams to develop a standard reporting template for all ICGs, providing granularity on the number of participants to Wave Exercises with respect to the type of activity they participated during an exercise, which would allow inter-ICG </w:t>
      </w:r>
      <w:proofErr w:type="gramStart"/>
      <w:r w:rsidRPr="00A40455">
        <w:rPr>
          <w:rFonts w:ascii="Arial" w:eastAsia="Arial" w:hAnsi="Arial" w:cs="Arial"/>
          <w:snapToGrid w:val="0"/>
          <w:lang w:val="en-GB"/>
        </w:rPr>
        <w:t>comparison;</w:t>
      </w:r>
      <w:proofErr w:type="gramEnd"/>
    </w:p>
    <w:p w14:paraId="471FE953" w14:textId="77777777" w:rsidR="00A40455" w:rsidRPr="00A40455" w:rsidRDefault="00A40455" w:rsidP="00A40455">
      <w:pPr>
        <w:tabs>
          <w:tab w:val="left" w:pos="709"/>
        </w:tabs>
        <w:snapToGrid w:val="0"/>
        <w:spacing w:after="240" w:line="240" w:lineRule="auto"/>
        <w:jc w:val="both"/>
        <w:rPr>
          <w:rFonts w:ascii="Arial" w:eastAsia="Arial" w:hAnsi="Arial" w:cs="Arial"/>
          <w:snapToGrid w:val="0"/>
          <w:lang w:val="en-GB"/>
        </w:rPr>
      </w:pPr>
      <w:r w:rsidRPr="00A40455">
        <w:rPr>
          <w:rFonts w:ascii="Arial" w:eastAsia="Arial" w:hAnsi="Arial" w:cs="Arial"/>
          <w:b/>
          <w:bCs/>
          <w:snapToGrid w:val="0"/>
          <w:lang w:val="en-GB"/>
        </w:rPr>
        <w:t xml:space="preserve">The Group further instructed </w:t>
      </w:r>
      <w:r w:rsidRPr="00A40455">
        <w:rPr>
          <w:rFonts w:ascii="Arial" w:eastAsia="Arial" w:hAnsi="Arial" w:cs="Arial"/>
          <w:snapToGrid w:val="0"/>
          <w:lang w:val="en-GB"/>
        </w:rPr>
        <w:t xml:space="preserve">both TOWS-WG Task Teams to review the IOC Tsunami Post-Event Assessment process and questionnaire (IOC/TOWS-WG-VIII/3, APPENDIX V, Morioka, Japan, 12–13 March 2015) considering its use in the past decade, and consideration of other post-event processes undertaken for smaller events that did not meet the post-event assessment </w:t>
      </w:r>
      <w:proofErr w:type="gramStart"/>
      <w:r w:rsidRPr="00A40455">
        <w:rPr>
          <w:rFonts w:ascii="Arial" w:eastAsia="Arial" w:hAnsi="Arial" w:cs="Arial"/>
          <w:snapToGrid w:val="0"/>
          <w:lang w:val="en-GB"/>
        </w:rPr>
        <w:t>threshold;</w:t>
      </w:r>
      <w:proofErr w:type="gramEnd"/>
    </w:p>
    <w:p w14:paraId="2E46F12A" w14:textId="77777777" w:rsidR="00A40455" w:rsidRPr="00A40455" w:rsidRDefault="00A40455" w:rsidP="00A40455">
      <w:pPr>
        <w:tabs>
          <w:tab w:val="left" w:pos="709"/>
        </w:tabs>
        <w:snapToGrid w:val="0"/>
        <w:spacing w:after="240" w:line="240" w:lineRule="auto"/>
        <w:jc w:val="both"/>
        <w:rPr>
          <w:rFonts w:ascii="Arial" w:eastAsia="Arial" w:hAnsi="Arial" w:cs="Arial"/>
          <w:snapToGrid w:val="0"/>
          <w:lang w:val="en-GB"/>
        </w:rPr>
      </w:pPr>
      <w:r w:rsidRPr="00A40455">
        <w:rPr>
          <w:rFonts w:ascii="Arial" w:eastAsia="Arial" w:hAnsi="Arial" w:cs="Arial"/>
          <w:b/>
          <w:bCs/>
          <w:snapToGrid w:val="0"/>
          <w:lang w:val="en-GB"/>
        </w:rPr>
        <w:t>The Group recalled</w:t>
      </w:r>
      <w:r w:rsidRPr="00A40455">
        <w:rPr>
          <w:rFonts w:ascii="Arial" w:eastAsia="Arial" w:hAnsi="Arial" w:cs="Arial"/>
          <w:snapToGrid w:val="0"/>
          <w:lang w:val="en-GB"/>
        </w:rPr>
        <w:t xml:space="preserve"> that the Common Alerting Protocol (CAP) is the international standard format for emergency alerting and public warning, designed for all hazards, which can be used for exchanging multi-hazard emergency alerts and public warnings over all kinds of information and communications </w:t>
      </w:r>
      <w:proofErr w:type="gramStart"/>
      <w:r w:rsidRPr="00A40455">
        <w:rPr>
          <w:rFonts w:ascii="Arial" w:eastAsia="Arial" w:hAnsi="Arial" w:cs="Arial"/>
          <w:snapToGrid w:val="0"/>
          <w:lang w:val="en-GB"/>
        </w:rPr>
        <w:t>technology;</w:t>
      </w:r>
      <w:proofErr w:type="gramEnd"/>
    </w:p>
    <w:p w14:paraId="729EB431" w14:textId="77777777" w:rsidR="00A40455" w:rsidRPr="00A40455" w:rsidRDefault="00A40455" w:rsidP="00A40455">
      <w:pPr>
        <w:tabs>
          <w:tab w:val="left" w:pos="709"/>
        </w:tabs>
        <w:snapToGrid w:val="0"/>
        <w:spacing w:after="240" w:line="240" w:lineRule="auto"/>
        <w:jc w:val="both"/>
        <w:rPr>
          <w:rFonts w:ascii="Arial" w:eastAsia="Arial" w:hAnsi="Arial" w:cs="Arial"/>
          <w:snapToGrid w:val="0"/>
          <w:lang w:val="en-GB"/>
        </w:rPr>
      </w:pPr>
      <w:r w:rsidRPr="00A40455">
        <w:rPr>
          <w:rFonts w:ascii="Arial" w:eastAsia="Arial" w:hAnsi="Arial" w:cs="Arial"/>
          <w:b/>
          <w:bCs/>
          <w:snapToGrid w:val="0"/>
          <w:lang w:val="en-GB"/>
        </w:rPr>
        <w:t>The Group also noted</w:t>
      </w:r>
      <w:r w:rsidRPr="00A40455">
        <w:rPr>
          <w:rFonts w:ascii="Arial" w:eastAsia="Arial" w:hAnsi="Arial" w:cs="Arial"/>
          <w:snapToGrid w:val="0"/>
          <w:lang w:val="en-GB"/>
        </w:rPr>
        <w:t xml:space="preserve"> that CAP is now widely used in EWS and 91% of the world’s population lives in a country that is implementing </w:t>
      </w:r>
      <w:proofErr w:type="gramStart"/>
      <w:r w:rsidRPr="00A40455">
        <w:rPr>
          <w:rFonts w:ascii="Arial" w:eastAsia="Arial" w:hAnsi="Arial" w:cs="Arial"/>
          <w:snapToGrid w:val="0"/>
          <w:lang w:val="en-GB"/>
        </w:rPr>
        <w:t>CAP;</w:t>
      </w:r>
      <w:proofErr w:type="gramEnd"/>
      <w:r w:rsidRPr="00A40455">
        <w:rPr>
          <w:rFonts w:ascii="Arial" w:eastAsia="Arial" w:hAnsi="Arial" w:cs="Arial"/>
          <w:snapToGrid w:val="0"/>
          <w:lang w:val="en-GB"/>
        </w:rPr>
        <w:t xml:space="preserve"> </w:t>
      </w:r>
    </w:p>
    <w:p w14:paraId="4D73B722" w14:textId="77777777" w:rsidR="00A40455" w:rsidRPr="00A40455" w:rsidRDefault="00A40455" w:rsidP="00A40455">
      <w:pPr>
        <w:tabs>
          <w:tab w:val="left" w:pos="709"/>
        </w:tabs>
        <w:snapToGrid w:val="0"/>
        <w:spacing w:after="240" w:line="240" w:lineRule="auto"/>
        <w:jc w:val="both"/>
        <w:rPr>
          <w:rFonts w:ascii="Arial" w:eastAsia="Arial" w:hAnsi="Arial" w:cs="Arial"/>
          <w:snapToGrid w:val="0"/>
          <w:lang w:val="en-GB"/>
        </w:rPr>
      </w:pPr>
      <w:r w:rsidRPr="00A40455">
        <w:rPr>
          <w:rFonts w:ascii="Arial" w:eastAsia="Arial" w:hAnsi="Arial" w:cs="Arial"/>
          <w:b/>
          <w:bCs/>
          <w:snapToGrid w:val="0"/>
          <w:lang w:val="en-GB"/>
        </w:rPr>
        <w:t>The Group recognized</w:t>
      </w:r>
      <w:r w:rsidRPr="00A40455">
        <w:rPr>
          <w:rFonts w:ascii="Arial" w:eastAsia="Arial" w:hAnsi="Arial" w:cs="Arial"/>
          <w:snapToGrid w:val="0"/>
          <w:lang w:val="en-GB"/>
        </w:rPr>
        <w:t xml:space="preserve"> that the advancement of CAP implementation globally represents a significant milestone in the Early Warnings for All (EW4All) initiative, and the fact that CAP can be considered as the bridge connecting “observations, monitoring, analysis and forecasting” to “warning dissemination and communication”, and that WMO is able to provide any assistance that may be required in this </w:t>
      </w:r>
      <w:proofErr w:type="gramStart"/>
      <w:r w:rsidRPr="00A40455">
        <w:rPr>
          <w:rFonts w:ascii="Arial" w:eastAsia="Arial" w:hAnsi="Arial" w:cs="Arial"/>
          <w:snapToGrid w:val="0"/>
          <w:lang w:val="en-GB"/>
        </w:rPr>
        <w:t>regard;</w:t>
      </w:r>
      <w:proofErr w:type="gramEnd"/>
    </w:p>
    <w:p w14:paraId="6B456C97" w14:textId="77777777" w:rsidR="00A40455" w:rsidRPr="00A40455" w:rsidRDefault="00A40455" w:rsidP="00A40455">
      <w:pPr>
        <w:tabs>
          <w:tab w:val="left" w:pos="709"/>
        </w:tabs>
        <w:snapToGrid w:val="0"/>
        <w:spacing w:after="240" w:line="240" w:lineRule="auto"/>
        <w:jc w:val="both"/>
        <w:rPr>
          <w:rFonts w:ascii="Arial" w:eastAsia="Arial" w:hAnsi="Arial" w:cs="Arial"/>
          <w:snapToGrid w:val="0"/>
          <w:lang w:val="en-GB"/>
        </w:rPr>
      </w:pPr>
      <w:r w:rsidRPr="00A40455">
        <w:rPr>
          <w:rFonts w:ascii="Arial" w:eastAsia="Arial" w:hAnsi="Arial" w:cs="Arial"/>
          <w:b/>
          <w:bCs/>
          <w:snapToGrid w:val="0"/>
          <w:lang w:val="en-GB"/>
        </w:rPr>
        <w:t>The Group further instructed</w:t>
      </w:r>
      <w:r w:rsidRPr="00A40455">
        <w:rPr>
          <w:rFonts w:ascii="Arial" w:eastAsia="Arial" w:hAnsi="Arial" w:cs="Arial"/>
          <w:snapToGrid w:val="0"/>
          <w:lang w:val="en-GB"/>
        </w:rPr>
        <w:t xml:space="preserve"> the TT-DMP to:</w:t>
      </w:r>
    </w:p>
    <w:p w14:paraId="6163C381" w14:textId="77777777" w:rsidR="00A40455" w:rsidRPr="00A40455" w:rsidRDefault="00A40455" w:rsidP="00A40455">
      <w:pPr>
        <w:numPr>
          <w:ilvl w:val="0"/>
          <w:numId w:val="24"/>
        </w:numPr>
        <w:tabs>
          <w:tab w:val="left" w:pos="709"/>
        </w:tabs>
        <w:snapToGrid w:val="0"/>
        <w:spacing w:after="240" w:line="240" w:lineRule="auto"/>
        <w:jc w:val="both"/>
        <w:rPr>
          <w:rFonts w:ascii="Arial" w:eastAsia="Arial" w:hAnsi="Arial" w:cs="Arial"/>
          <w:snapToGrid w:val="0"/>
          <w:lang w:val="en-GB"/>
        </w:rPr>
      </w:pPr>
      <w:r w:rsidRPr="00A40455">
        <w:rPr>
          <w:rFonts w:ascii="Arial" w:eastAsia="Times New Roman" w:hAnsi="Arial" w:cs="Arial"/>
          <w:lang w:val="en-US"/>
        </w:rPr>
        <w:t xml:space="preserve">Prepare a guideline for inclusive Standard Operating Procedures (SOP) building on the development of inclusive SOP and inclusive warning tools for disabled children in Indonesia and the </w:t>
      </w:r>
      <w:proofErr w:type="gramStart"/>
      <w:r w:rsidRPr="00A40455">
        <w:rPr>
          <w:rFonts w:ascii="Arial" w:eastAsia="Times New Roman" w:hAnsi="Arial" w:cs="Arial"/>
          <w:lang w:val="en-US"/>
        </w:rPr>
        <w:t>Caribbean;</w:t>
      </w:r>
      <w:proofErr w:type="gramEnd"/>
      <w:r w:rsidRPr="00A40455">
        <w:rPr>
          <w:rFonts w:ascii="Arial" w:eastAsia="Arial" w:hAnsi="Arial" w:cs="Arial"/>
          <w:snapToGrid w:val="0"/>
          <w:lang w:val="en-GB"/>
        </w:rPr>
        <w:t xml:space="preserve"> </w:t>
      </w:r>
    </w:p>
    <w:p w14:paraId="4B50265F" w14:textId="77777777" w:rsidR="00A40455" w:rsidRPr="00A40455" w:rsidRDefault="00A40455" w:rsidP="00A40455">
      <w:pPr>
        <w:numPr>
          <w:ilvl w:val="0"/>
          <w:numId w:val="24"/>
        </w:numPr>
        <w:tabs>
          <w:tab w:val="left" w:pos="709"/>
        </w:tabs>
        <w:snapToGrid w:val="0"/>
        <w:spacing w:after="240" w:line="240" w:lineRule="auto"/>
        <w:jc w:val="both"/>
        <w:rPr>
          <w:rFonts w:ascii="Arial" w:eastAsia="Times New Roman" w:hAnsi="Arial" w:cs="Arial"/>
          <w:lang w:val="en-US"/>
        </w:rPr>
      </w:pPr>
      <w:r w:rsidRPr="00A40455">
        <w:rPr>
          <w:rFonts w:ascii="Arial" w:eastAsia="Times New Roman" w:hAnsi="Arial" w:cs="Arial"/>
          <w:lang w:val="en-US"/>
        </w:rPr>
        <w:t xml:space="preserve">to organize a TT DMP meeting ahead of the TOWS TTs and TOWS WG meetings by the end of October 2025 to review actions and define agenda for the February 2026 meeting and organize, online or in person meetings to discuss focus topics addressing key agenda </w:t>
      </w:r>
      <w:proofErr w:type="gramStart"/>
      <w:r w:rsidRPr="00A40455">
        <w:rPr>
          <w:rFonts w:ascii="Arial" w:eastAsia="Times New Roman" w:hAnsi="Arial" w:cs="Arial"/>
          <w:lang w:val="en-US"/>
        </w:rPr>
        <w:t>items;</w:t>
      </w:r>
      <w:proofErr w:type="gramEnd"/>
    </w:p>
    <w:p w14:paraId="5CDCE3AD" w14:textId="77777777" w:rsidR="00A40455" w:rsidRPr="00A40455" w:rsidRDefault="00A40455" w:rsidP="00A40455">
      <w:pPr>
        <w:tabs>
          <w:tab w:val="left" w:pos="709"/>
        </w:tabs>
        <w:snapToGrid w:val="0"/>
        <w:spacing w:after="240" w:line="240" w:lineRule="auto"/>
        <w:jc w:val="both"/>
        <w:rPr>
          <w:rFonts w:ascii="Arial" w:eastAsia="Arial" w:hAnsi="Arial" w:cs="Arial"/>
          <w:snapToGrid w:val="0"/>
          <w:lang w:val="en-GB"/>
        </w:rPr>
      </w:pPr>
      <w:r w:rsidRPr="00A40455">
        <w:rPr>
          <w:rFonts w:ascii="Arial" w:eastAsia="Arial" w:hAnsi="Arial" w:cs="Arial"/>
          <w:b/>
          <w:bCs/>
          <w:snapToGrid w:val="0"/>
          <w:lang w:val="en-GB"/>
        </w:rPr>
        <w:t>The Group further instructed</w:t>
      </w:r>
      <w:r w:rsidRPr="00A40455">
        <w:rPr>
          <w:rFonts w:ascii="Arial" w:eastAsia="Arial" w:hAnsi="Arial" w:cs="Arial"/>
          <w:snapToGrid w:val="0"/>
          <w:lang w:val="en-GB"/>
        </w:rPr>
        <w:t xml:space="preserve"> the TT-TWO to:</w:t>
      </w:r>
    </w:p>
    <w:p w14:paraId="21174389" w14:textId="77777777" w:rsidR="00A40455" w:rsidRPr="00A40455" w:rsidRDefault="00A40455" w:rsidP="00A40455">
      <w:pPr>
        <w:numPr>
          <w:ilvl w:val="0"/>
          <w:numId w:val="25"/>
        </w:numPr>
        <w:tabs>
          <w:tab w:val="left" w:pos="709"/>
        </w:tabs>
        <w:snapToGrid w:val="0"/>
        <w:spacing w:after="240" w:line="240" w:lineRule="auto"/>
        <w:contextualSpacing/>
        <w:jc w:val="both"/>
        <w:rPr>
          <w:rFonts w:ascii="Arial" w:eastAsia="Arial" w:hAnsi="Arial" w:cs="Arial"/>
          <w:bCs/>
          <w:snapToGrid w:val="0"/>
          <w:lang w:val="en-IN"/>
        </w:rPr>
      </w:pPr>
      <w:r w:rsidRPr="00A40455">
        <w:rPr>
          <w:rFonts w:ascii="Arial" w:eastAsia="Arial" w:hAnsi="Arial" w:cs="Arial"/>
          <w:snapToGrid w:val="0"/>
          <w:lang w:val="en-GB"/>
        </w:rPr>
        <w:t xml:space="preserve">include tsunamis generated by the submarine and subaerial landslides in its work programme and engage with the landslide hazard and early-warning scientific and operational community to address the requirements of the first objective of the ODTP to develop the warning systems’ capability to issue actionable and timely tsunami warnings for tsunamis from all identified sources to 100 percent of coasts at </w:t>
      </w:r>
      <w:proofErr w:type="gramStart"/>
      <w:r w:rsidRPr="00A40455">
        <w:rPr>
          <w:rFonts w:ascii="Arial" w:eastAsia="Arial" w:hAnsi="Arial" w:cs="Arial"/>
          <w:snapToGrid w:val="0"/>
          <w:lang w:val="en-GB"/>
        </w:rPr>
        <w:t>risk;</w:t>
      </w:r>
      <w:proofErr w:type="gramEnd"/>
    </w:p>
    <w:p w14:paraId="14869086" w14:textId="77777777" w:rsidR="00A40455" w:rsidRPr="00A40455" w:rsidRDefault="00A40455" w:rsidP="00A40455">
      <w:pPr>
        <w:tabs>
          <w:tab w:val="left" w:pos="709"/>
        </w:tabs>
        <w:snapToGrid w:val="0"/>
        <w:spacing w:after="240" w:line="240" w:lineRule="auto"/>
        <w:ind w:left="360"/>
        <w:contextualSpacing/>
        <w:jc w:val="both"/>
        <w:rPr>
          <w:rFonts w:ascii="Arial" w:eastAsia="Arial" w:hAnsi="Arial" w:cs="Arial"/>
          <w:bCs/>
          <w:snapToGrid w:val="0"/>
          <w:lang w:val="en-IN"/>
        </w:rPr>
      </w:pPr>
    </w:p>
    <w:p w14:paraId="09632F89" w14:textId="77777777" w:rsidR="00A40455" w:rsidRPr="00A40455" w:rsidRDefault="00A40455" w:rsidP="00A40455">
      <w:pPr>
        <w:numPr>
          <w:ilvl w:val="0"/>
          <w:numId w:val="25"/>
        </w:numPr>
        <w:tabs>
          <w:tab w:val="left" w:pos="709"/>
        </w:tabs>
        <w:snapToGrid w:val="0"/>
        <w:spacing w:after="240" w:line="240" w:lineRule="auto"/>
        <w:contextualSpacing/>
        <w:jc w:val="both"/>
        <w:rPr>
          <w:rFonts w:ascii="Arial" w:eastAsia="Arial" w:hAnsi="Arial" w:cs="Arial"/>
          <w:bCs/>
          <w:snapToGrid w:val="0"/>
          <w:lang w:val="en-IN"/>
        </w:rPr>
      </w:pPr>
      <w:r w:rsidRPr="00A40455">
        <w:rPr>
          <w:rFonts w:ascii="Arial" w:eastAsia="Arial" w:hAnsi="Arial" w:cs="Arial"/>
          <w:bCs/>
          <w:snapToGrid w:val="0"/>
          <w:lang w:val="en-IN"/>
        </w:rPr>
        <w:t xml:space="preserve">investigate the status of the TSP service provisions in in the boundary of IOTWMS and PTWS that are currently outside of the framework of the IOC coordinated tsunami warning </w:t>
      </w:r>
      <w:proofErr w:type="gramStart"/>
      <w:r w:rsidRPr="00A40455">
        <w:rPr>
          <w:rFonts w:ascii="Arial" w:eastAsia="Arial" w:hAnsi="Arial" w:cs="Arial"/>
          <w:bCs/>
          <w:snapToGrid w:val="0"/>
          <w:lang w:val="en-IN"/>
        </w:rPr>
        <w:t>systems;</w:t>
      </w:r>
      <w:proofErr w:type="gramEnd"/>
    </w:p>
    <w:p w14:paraId="3D235FDB" w14:textId="77777777" w:rsidR="00A40455" w:rsidRPr="00A40455" w:rsidRDefault="00A40455" w:rsidP="00A40455">
      <w:pPr>
        <w:ind w:left="720"/>
        <w:contextualSpacing/>
        <w:rPr>
          <w:rFonts w:ascii="Arial" w:eastAsia="Arial" w:hAnsi="Arial" w:cs="Arial"/>
          <w:bCs/>
          <w:snapToGrid w:val="0"/>
          <w:lang w:val="en-IN"/>
        </w:rPr>
      </w:pPr>
    </w:p>
    <w:p w14:paraId="11211A2C" w14:textId="77777777" w:rsidR="00A40455" w:rsidRPr="00A40455" w:rsidRDefault="00A40455" w:rsidP="00A40455">
      <w:pPr>
        <w:numPr>
          <w:ilvl w:val="0"/>
          <w:numId w:val="25"/>
        </w:numPr>
        <w:tabs>
          <w:tab w:val="left" w:pos="709"/>
        </w:tabs>
        <w:snapToGrid w:val="0"/>
        <w:spacing w:after="240" w:line="240" w:lineRule="auto"/>
        <w:contextualSpacing/>
        <w:jc w:val="both"/>
        <w:rPr>
          <w:rFonts w:ascii="Arial" w:eastAsia="Arial" w:hAnsi="Arial" w:cs="Arial"/>
          <w:bCs/>
          <w:snapToGrid w:val="0"/>
          <w:lang w:val="en-IN"/>
        </w:rPr>
      </w:pPr>
      <w:r w:rsidRPr="00A40455">
        <w:rPr>
          <w:rFonts w:ascii="Arial" w:eastAsia="Arial" w:hAnsi="Arial" w:cs="Arial"/>
          <w:bCs/>
          <w:snapToGrid w:val="0"/>
          <w:lang w:val="en-IN"/>
        </w:rPr>
        <w:t xml:space="preserve">conduct and present to TOWS-WG at its next session the result of a study on which areas met the Ocean Decade Tsunami Programme (ODTP) requirement of tsunami confirmation </w:t>
      </w:r>
      <w:r w:rsidRPr="00A40455">
        <w:rPr>
          <w:rFonts w:ascii="Arial" w:eastAsia="Arial" w:hAnsi="Arial" w:cs="Arial"/>
          <w:bCs/>
          <w:snapToGrid w:val="0"/>
          <w:lang w:val="en-IN"/>
        </w:rPr>
        <w:lastRenderedPageBreak/>
        <w:t xml:space="preserve">within 10 minutes or less of origin for the most at-risk coastlines, with reference to the sea-level stations available in the IOC’s Sea Level Station Monitoring </w:t>
      </w:r>
      <w:proofErr w:type="gramStart"/>
      <w:r w:rsidRPr="00A40455">
        <w:rPr>
          <w:rFonts w:ascii="Arial" w:eastAsia="Arial" w:hAnsi="Arial" w:cs="Arial"/>
          <w:bCs/>
          <w:snapToGrid w:val="0"/>
          <w:lang w:val="en-IN"/>
        </w:rPr>
        <w:t>Facility;</w:t>
      </w:r>
      <w:proofErr w:type="gramEnd"/>
    </w:p>
    <w:p w14:paraId="3DF5B3A5" w14:textId="77777777" w:rsidR="00A40455" w:rsidRPr="00A40455" w:rsidRDefault="00A40455" w:rsidP="00A40455">
      <w:pPr>
        <w:tabs>
          <w:tab w:val="left" w:pos="709"/>
        </w:tabs>
        <w:snapToGrid w:val="0"/>
        <w:spacing w:after="240" w:line="240" w:lineRule="auto"/>
        <w:ind w:left="360"/>
        <w:contextualSpacing/>
        <w:jc w:val="both"/>
        <w:rPr>
          <w:rFonts w:ascii="Arial" w:eastAsia="Arial" w:hAnsi="Arial" w:cs="Arial"/>
          <w:bCs/>
          <w:snapToGrid w:val="0"/>
          <w:lang w:val="en-IN"/>
        </w:rPr>
      </w:pPr>
    </w:p>
    <w:p w14:paraId="15F99A7C" w14:textId="77777777" w:rsidR="00A40455" w:rsidRPr="00A40455" w:rsidRDefault="00A40455" w:rsidP="00A40455">
      <w:pPr>
        <w:numPr>
          <w:ilvl w:val="0"/>
          <w:numId w:val="25"/>
        </w:numPr>
        <w:tabs>
          <w:tab w:val="left" w:pos="709"/>
        </w:tabs>
        <w:snapToGrid w:val="0"/>
        <w:spacing w:after="240" w:line="240" w:lineRule="auto"/>
        <w:contextualSpacing/>
        <w:jc w:val="both"/>
        <w:rPr>
          <w:rFonts w:ascii="Arial" w:eastAsia="Arial" w:hAnsi="Arial" w:cs="Arial"/>
          <w:bCs/>
          <w:snapToGrid w:val="0"/>
          <w:lang w:val="en-IN"/>
        </w:rPr>
      </w:pPr>
      <w:r w:rsidRPr="00A40455">
        <w:rPr>
          <w:rFonts w:ascii="Arial" w:eastAsia="Arial" w:hAnsi="Arial" w:cs="Arial"/>
          <w:bCs/>
          <w:snapToGrid w:val="0"/>
          <w:lang w:val="en-IN"/>
        </w:rPr>
        <w:t xml:space="preserve">also include in the above study an indicative assessment on possible locations of the future sea-level station monitoring installations to ensure that this requirement is </w:t>
      </w:r>
      <w:proofErr w:type="gramStart"/>
      <w:r w:rsidRPr="00A40455">
        <w:rPr>
          <w:rFonts w:ascii="Arial" w:eastAsia="Arial" w:hAnsi="Arial" w:cs="Arial"/>
          <w:bCs/>
          <w:snapToGrid w:val="0"/>
          <w:lang w:val="en-IN"/>
        </w:rPr>
        <w:t>met;</w:t>
      </w:r>
      <w:proofErr w:type="gramEnd"/>
    </w:p>
    <w:p w14:paraId="23A83CD9" w14:textId="77777777" w:rsidR="00A40455" w:rsidRPr="00A40455" w:rsidRDefault="00A40455" w:rsidP="00A40455">
      <w:pPr>
        <w:tabs>
          <w:tab w:val="left" w:pos="709"/>
        </w:tabs>
        <w:snapToGrid w:val="0"/>
        <w:spacing w:after="240" w:line="240" w:lineRule="auto"/>
        <w:ind w:left="360"/>
        <w:contextualSpacing/>
        <w:jc w:val="both"/>
        <w:rPr>
          <w:rFonts w:ascii="Arial" w:eastAsia="Arial" w:hAnsi="Arial" w:cs="Arial"/>
          <w:bCs/>
          <w:snapToGrid w:val="0"/>
          <w:lang w:val="en-IN"/>
        </w:rPr>
      </w:pPr>
    </w:p>
    <w:p w14:paraId="08331459" w14:textId="77777777" w:rsidR="00A40455" w:rsidRPr="00A40455" w:rsidRDefault="00A40455" w:rsidP="00A40455">
      <w:pPr>
        <w:numPr>
          <w:ilvl w:val="0"/>
          <w:numId w:val="25"/>
        </w:numPr>
        <w:tabs>
          <w:tab w:val="left" w:pos="709"/>
        </w:tabs>
        <w:snapToGrid w:val="0"/>
        <w:spacing w:after="240" w:line="240" w:lineRule="auto"/>
        <w:contextualSpacing/>
        <w:jc w:val="both"/>
        <w:rPr>
          <w:rFonts w:ascii="Arial" w:eastAsia="Arial" w:hAnsi="Arial" w:cs="Arial"/>
          <w:bCs/>
          <w:snapToGrid w:val="0"/>
          <w:lang w:val="en-IN"/>
        </w:rPr>
      </w:pPr>
      <w:r w:rsidRPr="00A40455">
        <w:rPr>
          <w:rFonts w:ascii="Arial" w:eastAsia="Arial" w:hAnsi="Arial" w:cs="Arial"/>
          <w:bCs/>
          <w:snapToGrid w:val="0"/>
          <w:lang w:val="en-IN"/>
        </w:rPr>
        <w:t xml:space="preserve">develop in collaboration with the WMO a global CAP template for TSPs to facilitate dissemination of bulletins from TSPs to NTWCs, between TSPs of different basins, and for public TSP bulletins, to be presented and approved by the TOWS-WG at its next </w:t>
      </w:r>
      <w:proofErr w:type="gramStart"/>
      <w:r w:rsidRPr="00A40455">
        <w:rPr>
          <w:rFonts w:ascii="Arial" w:eastAsia="Arial" w:hAnsi="Arial" w:cs="Arial"/>
          <w:bCs/>
          <w:snapToGrid w:val="0"/>
          <w:lang w:val="en-IN"/>
        </w:rPr>
        <w:t>session;</w:t>
      </w:r>
      <w:proofErr w:type="gramEnd"/>
      <w:r w:rsidRPr="00A40455">
        <w:rPr>
          <w:rFonts w:ascii="Arial" w:eastAsia="Arial" w:hAnsi="Arial" w:cs="Arial"/>
          <w:bCs/>
          <w:snapToGrid w:val="0"/>
          <w:lang w:val="en-IN"/>
        </w:rPr>
        <w:t xml:space="preserve"> </w:t>
      </w:r>
    </w:p>
    <w:p w14:paraId="2AA040B2" w14:textId="77777777" w:rsidR="00A40455" w:rsidRPr="00A40455" w:rsidRDefault="00A40455" w:rsidP="00A40455">
      <w:pPr>
        <w:tabs>
          <w:tab w:val="left" w:pos="709"/>
        </w:tabs>
        <w:snapToGrid w:val="0"/>
        <w:spacing w:after="240" w:line="240" w:lineRule="auto"/>
        <w:jc w:val="both"/>
        <w:rPr>
          <w:rFonts w:ascii="Arial" w:eastAsia="Arial" w:hAnsi="Arial" w:cs="Arial"/>
          <w:bCs/>
          <w:snapToGrid w:val="0"/>
          <w:lang w:val="en-GB"/>
        </w:rPr>
      </w:pPr>
      <w:bookmarkStart w:id="4" w:name="_Hlk128689899"/>
      <w:r w:rsidRPr="00A40455">
        <w:rPr>
          <w:rFonts w:ascii="Arial" w:eastAsia="Arial" w:hAnsi="Arial" w:cs="Arial"/>
          <w:b/>
          <w:snapToGrid w:val="0"/>
          <w:lang w:val="en-GB"/>
        </w:rPr>
        <w:t xml:space="preserve">The Group welcomed </w:t>
      </w:r>
      <w:r w:rsidRPr="00A40455">
        <w:rPr>
          <w:rFonts w:ascii="Arial" w:eastAsia="Arial" w:hAnsi="Arial" w:cs="Arial"/>
          <w:bCs/>
          <w:snapToGrid w:val="0"/>
          <w:lang w:val="en-GB"/>
        </w:rPr>
        <w:t xml:space="preserve">the continuing collaboration with the International Union of Geodesy and Geophysics (IUGG) and </w:t>
      </w:r>
      <w:r w:rsidRPr="00A40455">
        <w:rPr>
          <w:rFonts w:ascii="Arial" w:eastAsia="Arial" w:hAnsi="Arial" w:cs="Arial"/>
          <w:b/>
          <w:snapToGrid w:val="0"/>
          <w:lang w:val="en-GB"/>
        </w:rPr>
        <w:t xml:space="preserve">appreciated </w:t>
      </w:r>
      <w:r w:rsidRPr="00A40455">
        <w:rPr>
          <w:rFonts w:ascii="Arial" w:eastAsia="Arial" w:hAnsi="Arial" w:cs="Arial"/>
          <w:bCs/>
          <w:snapToGrid w:val="0"/>
          <w:lang w:val="en-GB"/>
        </w:rPr>
        <w:t xml:space="preserve">the IUGG's contributions to tsunami science and preparedness, working with the IOC, and especially its role in the 2nd UNESCO-IOC Global Tsunami Symposium, major conferences, research on the 2022 Tonga Volcanic Eruption, and key initiatives like the UN Ocean Decade Tsunami Programme, and IOC publications on Tsunamis Generated by Volcanoes, Meteotsunamis, and the Tsunami Glossary 2025; </w:t>
      </w:r>
    </w:p>
    <w:p w14:paraId="60DEC680" w14:textId="77777777" w:rsidR="00A40455" w:rsidRPr="00A40455" w:rsidRDefault="00A40455" w:rsidP="00A40455">
      <w:pPr>
        <w:tabs>
          <w:tab w:val="left" w:pos="709"/>
        </w:tabs>
        <w:snapToGrid w:val="0"/>
        <w:spacing w:after="240" w:line="240" w:lineRule="auto"/>
        <w:jc w:val="both"/>
        <w:rPr>
          <w:rFonts w:ascii="Arial" w:eastAsia="Arial" w:hAnsi="Arial" w:cs="Arial"/>
          <w:b/>
          <w:snapToGrid w:val="0"/>
          <w:lang w:val="en-GB"/>
        </w:rPr>
      </w:pPr>
      <w:r w:rsidRPr="00A40455">
        <w:rPr>
          <w:rFonts w:ascii="Arial" w:eastAsia="Arial" w:hAnsi="Arial" w:cs="Arial"/>
          <w:b/>
          <w:snapToGrid w:val="0"/>
          <w:lang w:val="en-GB"/>
        </w:rPr>
        <w:t xml:space="preserve">The Group noted </w:t>
      </w:r>
      <w:r w:rsidRPr="00A40455">
        <w:rPr>
          <w:rFonts w:ascii="Arial" w:eastAsia="Arial" w:hAnsi="Arial" w:cs="Arial"/>
          <w:bCs/>
          <w:snapToGrid w:val="0"/>
          <w:lang w:val="en-GB"/>
        </w:rPr>
        <w:t>progress reported by the Scientific Committee of the Ocean Decade Tsunami Programme (ODTP-SC) at its 5</w:t>
      </w:r>
      <w:r w:rsidRPr="00A40455">
        <w:rPr>
          <w:rFonts w:ascii="Arial" w:eastAsia="Arial" w:hAnsi="Arial" w:cs="Arial"/>
          <w:bCs/>
          <w:snapToGrid w:val="0"/>
          <w:vertAlign w:val="superscript"/>
          <w:lang w:val="en-GB"/>
        </w:rPr>
        <w:t>th</w:t>
      </w:r>
      <w:r w:rsidRPr="00A40455">
        <w:rPr>
          <w:rFonts w:ascii="Arial" w:eastAsia="Arial" w:hAnsi="Arial" w:cs="Arial"/>
          <w:bCs/>
          <w:snapToGrid w:val="0"/>
          <w:lang w:val="en-GB"/>
        </w:rPr>
        <w:t xml:space="preserve"> session on January 16-17, 2025, and </w:t>
      </w:r>
      <w:r w:rsidRPr="00A40455">
        <w:rPr>
          <w:rFonts w:ascii="Arial" w:eastAsia="Arial" w:hAnsi="Arial" w:cs="Arial"/>
          <w:b/>
          <w:snapToGrid w:val="0"/>
          <w:lang w:val="en-GB"/>
        </w:rPr>
        <w:t>also noted</w:t>
      </w:r>
      <w:r w:rsidRPr="00A40455">
        <w:rPr>
          <w:rFonts w:ascii="Arial" w:eastAsia="Arial" w:hAnsi="Arial" w:cs="Arial"/>
          <w:bCs/>
          <w:snapToGrid w:val="0"/>
          <w:lang w:val="en-GB"/>
        </w:rPr>
        <w:t xml:space="preserve"> the proposal for hosting a first ODTP Conference for 2025 in Hyderabad, alongside the IASPO/IASPEI/IAVCEI Joint Tsunami Commission (JTC) International Tsunami Symposium (ITS), India, 12-14 Nov. 2025hosted by INCOIS;  It further noted the proposal to organise two webinars on the ODTP objectives during</w:t>
      </w:r>
      <w:r w:rsidRPr="00A40455">
        <w:rPr>
          <w:rFonts w:ascii="Arial" w:eastAsia="Arial" w:hAnsi="Arial" w:cs="Arial"/>
          <w:bCs/>
          <w:snapToGrid w:val="0"/>
          <w:lang w:val="en-US"/>
        </w:rPr>
        <w:t xml:space="preserve"> 2025;</w:t>
      </w:r>
    </w:p>
    <w:p w14:paraId="5D721489" w14:textId="77777777" w:rsidR="00A40455" w:rsidRPr="00A40455" w:rsidRDefault="00A40455" w:rsidP="00A40455">
      <w:pPr>
        <w:tabs>
          <w:tab w:val="left" w:pos="709"/>
        </w:tabs>
        <w:snapToGrid w:val="0"/>
        <w:spacing w:before="240" w:after="240" w:line="240" w:lineRule="auto"/>
        <w:jc w:val="both"/>
        <w:rPr>
          <w:rFonts w:ascii="Arial" w:eastAsia="SimSun" w:hAnsi="Arial" w:cs="Arial"/>
          <w:snapToGrid w:val="0"/>
          <w:lang w:val="en-GB"/>
        </w:rPr>
      </w:pPr>
      <w:r w:rsidRPr="00A40455">
        <w:rPr>
          <w:rFonts w:ascii="Arial" w:eastAsia="Arial" w:hAnsi="Arial" w:cs="Arial"/>
          <w:b/>
          <w:snapToGrid w:val="0"/>
          <w:lang w:val="en-GB"/>
        </w:rPr>
        <w:t>The Group recommended</w:t>
      </w:r>
      <w:r w:rsidRPr="00A40455">
        <w:rPr>
          <w:rFonts w:ascii="Arial" w:eastAsia="Arial" w:hAnsi="Arial" w:cs="Arial"/>
          <w:snapToGrid w:val="0"/>
          <w:lang w:val="en-GB"/>
        </w:rPr>
        <w:t xml:space="preserve"> the IOC Assembly at its 33</w:t>
      </w:r>
      <w:r w:rsidRPr="00A40455">
        <w:rPr>
          <w:rFonts w:ascii="Arial" w:eastAsia="Arial" w:hAnsi="Arial" w:cs="Arial"/>
          <w:snapToGrid w:val="0"/>
          <w:vertAlign w:val="superscript"/>
          <w:lang w:val="en-GB"/>
        </w:rPr>
        <w:t>rd</w:t>
      </w:r>
      <w:r w:rsidRPr="00A40455">
        <w:rPr>
          <w:rFonts w:ascii="Arial" w:eastAsia="Arial" w:hAnsi="Arial" w:cs="Arial"/>
          <w:snapToGrid w:val="0"/>
          <w:lang w:val="en-GB"/>
        </w:rPr>
        <w:t xml:space="preserve"> Session in 2025 to </w:t>
      </w:r>
      <w:r w:rsidRPr="00A40455">
        <w:rPr>
          <w:rFonts w:ascii="Arial" w:eastAsia="SimSun" w:hAnsi="Arial" w:cs="Arial"/>
          <w:b/>
          <w:bCs/>
          <w:snapToGrid w:val="0"/>
          <w:lang w:val="en-GB"/>
        </w:rPr>
        <w:t xml:space="preserve">approve </w:t>
      </w:r>
      <w:r w:rsidRPr="00A40455">
        <w:rPr>
          <w:rFonts w:ascii="Arial" w:eastAsia="SimSun" w:hAnsi="Arial" w:cs="Arial"/>
          <w:snapToGrid w:val="0"/>
          <w:lang w:val="en-GB"/>
        </w:rPr>
        <w:t>the Tsunami Ready Coalition Implementation Plan as reviewed by the ODTP-SC and the TT DMP and TT TWO including:</w:t>
      </w:r>
    </w:p>
    <w:p w14:paraId="7C8AA528" w14:textId="77777777" w:rsidR="00A40455" w:rsidRPr="00A40455" w:rsidRDefault="00A40455" w:rsidP="00A40455">
      <w:pPr>
        <w:numPr>
          <w:ilvl w:val="0"/>
          <w:numId w:val="29"/>
        </w:numPr>
        <w:tabs>
          <w:tab w:val="left" w:pos="709"/>
        </w:tabs>
        <w:snapToGrid w:val="0"/>
        <w:spacing w:before="240" w:after="240" w:line="240" w:lineRule="auto"/>
        <w:contextualSpacing/>
        <w:jc w:val="both"/>
        <w:rPr>
          <w:rFonts w:ascii="Arial" w:eastAsia="SimSun" w:hAnsi="Arial" w:cs="Arial"/>
          <w:snapToGrid w:val="0"/>
          <w:lang w:val="en-GB"/>
        </w:rPr>
      </w:pPr>
      <w:r w:rsidRPr="00A40455">
        <w:rPr>
          <w:rFonts w:ascii="Arial" w:eastAsia="SimSun" w:hAnsi="Arial" w:cs="Arial"/>
          <w:snapToGrid w:val="0"/>
          <w:lang w:val="en-GB"/>
        </w:rPr>
        <w:t>The Coalition mandate and terms of reference,</w:t>
      </w:r>
    </w:p>
    <w:p w14:paraId="6DEEE41E" w14:textId="77777777" w:rsidR="00A40455" w:rsidRPr="00A40455" w:rsidRDefault="00A40455" w:rsidP="00A40455">
      <w:pPr>
        <w:numPr>
          <w:ilvl w:val="0"/>
          <w:numId w:val="29"/>
        </w:numPr>
        <w:tabs>
          <w:tab w:val="left" w:pos="709"/>
        </w:tabs>
        <w:snapToGrid w:val="0"/>
        <w:spacing w:before="240" w:after="240" w:line="240" w:lineRule="auto"/>
        <w:contextualSpacing/>
        <w:jc w:val="both"/>
        <w:rPr>
          <w:rFonts w:ascii="Arial" w:eastAsia="SimSun" w:hAnsi="Arial" w:cs="Arial"/>
          <w:snapToGrid w:val="0"/>
          <w:lang w:val="en-GB"/>
        </w:rPr>
      </w:pPr>
      <w:r w:rsidRPr="00A40455">
        <w:rPr>
          <w:rFonts w:ascii="Arial" w:eastAsia="SimSun" w:hAnsi="Arial" w:cs="Arial"/>
          <w:snapToGrid w:val="0"/>
          <w:lang w:val="en-GB"/>
        </w:rPr>
        <w:t>The Coalition structure, and</w:t>
      </w:r>
    </w:p>
    <w:p w14:paraId="00B24505" w14:textId="77777777" w:rsidR="00A40455" w:rsidRPr="00A40455" w:rsidRDefault="00A40455" w:rsidP="00A40455">
      <w:pPr>
        <w:numPr>
          <w:ilvl w:val="0"/>
          <w:numId w:val="29"/>
        </w:numPr>
        <w:tabs>
          <w:tab w:val="left" w:pos="709"/>
        </w:tabs>
        <w:snapToGrid w:val="0"/>
        <w:spacing w:before="240" w:after="240" w:line="240" w:lineRule="auto"/>
        <w:ind w:left="714" w:hanging="357"/>
        <w:contextualSpacing/>
        <w:jc w:val="both"/>
        <w:rPr>
          <w:rFonts w:ascii="Arial" w:eastAsia="SimSun" w:hAnsi="Arial" w:cs="Arial"/>
          <w:snapToGrid w:val="0"/>
          <w:lang w:val="en-GB"/>
        </w:rPr>
      </w:pPr>
      <w:r w:rsidRPr="00A40455">
        <w:rPr>
          <w:rFonts w:ascii="Arial" w:eastAsia="SimSun" w:hAnsi="Arial" w:cs="Arial"/>
          <w:snapToGrid w:val="0"/>
          <w:lang w:val="en-GB"/>
        </w:rPr>
        <w:t>The identified key Coalition Partners.</w:t>
      </w:r>
    </w:p>
    <w:p w14:paraId="520E7681" w14:textId="77777777" w:rsidR="00A40455" w:rsidRPr="00A40455" w:rsidRDefault="00A40455" w:rsidP="00A40455">
      <w:pPr>
        <w:tabs>
          <w:tab w:val="left" w:pos="709"/>
        </w:tabs>
        <w:snapToGrid w:val="0"/>
        <w:spacing w:before="240" w:after="240" w:line="240" w:lineRule="auto"/>
        <w:jc w:val="both"/>
        <w:rPr>
          <w:rFonts w:ascii="Arial" w:eastAsia="Arial" w:hAnsi="Arial" w:cs="Arial"/>
          <w:b/>
          <w:snapToGrid w:val="0"/>
          <w:lang w:val="en-GB"/>
        </w:rPr>
      </w:pPr>
    </w:p>
    <w:p w14:paraId="0FE51AB8" w14:textId="77777777" w:rsidR="00A40455" w:rsidRPr="00A40455" w:rsidRDefault="00A40455" w:rsidP="00A40455">
      <w:pPr>
        <w:tabs>
          <w:tab w:val="left" w:pos="709"/>
        </w:tabs>
        <w:snapToGrid w:val="0"/>
        <w:spacing w:before="240" w:after="240" w:line="240" w:lineRule="auto"/>
        <w:jc w:val="both"/>
        <w:rPr>
          <w:rFonts w:ascii="Arial" w:eastAsia="Arial" w:hAnsi="Arial" w:cs="Arial"/>
          <w:snapToGrid w:val="0"/>
          <w:lang w:val="en-GB"/>
        </w:rPr>
      </w:pPr>
      <w:r w:rsidRPr="00A40455">
        <w:rPr>
          <w:rFonts w:ascii="Arial" w:eastAsia="Arial" w:hAnsi="Arial" w:cs="Arial"/>
          <w:b/>
          <w:snapToGrid w:val="0"/>
          <w:lang w:val="en-GB"/>
        </w:rPr>
        <w:t>The Group recommended</w:t>
      </w:r>
      <w:r w:rsidRPr="00A40455">
        <w:rPr>
          <w:rFonts w:ascii="Arial" w:eastAsia="Arial" w:hAnsi="Arial" w:cs="Arial"/>
          <w:snapToGrid w:val="0"/>
          <w:lang w:val="en-GB"/>
        </w:rPr>
        <w:t xml:space="preserve"> the IOC Assembly at its 33</w:t>
      </w:r>
      <w:r w:rsidRPr="00A40455">
        <w:rPr>
          <w:rFonts w:ascii="Arial" w:eastAsia="Arial" w:hAnsi="Arial" w:cs="Arial"/>
          <w:snapToGrid w:val="0"/>
          <w:vertAlign w:val="superscript"/>
          <w:lang w:val="en-GB"/>
        </w:rPr>
        <w:t>rd</w:t>
      </w:r>
      <w:r w:rsidRPr="00A40455">
        <w:rPr>
          <w:rFonts w:ascii="Arial" w:eastAsia="Arial" w:hAnsi="Arial" w:cs="Arial"/>
          <w:snapToGrid w:val="0"/>
          <w:lang w:val="en-GB"/>
        </w:rPr>
        <w:t xml:space="preserve"> session in 2025 instruct the regional ICGs:</w:t>
      </w:r>
    </w:p>
    <w:bookmarkEnd w:id="4"/>
    <w:p w14:paraId="633EBA57" w14:textId="77777777" w:rsidR="00A40455" w:rsidRPr="00A40455" w:rsidRDefault="00A40455" w:rsidP="00A40455">
      <w:pPr>
        <w:numPr>
          <w:ilvl w:val="0"/>
          <w:numId w:val="1"/>
        </w:numPr>
        <w:tabs>
          <w:tab w:val="left" w:pos="709"/>
        </w:tabs>
        <w:snapToGrid w:val="0"/>
        <w:spacing w:after="240" w:line="240" w:lineRule="auto"/>
        <w:ind w:left="567" w:hanging="567"/>
        <w:jc w:val="both"/>
        <w:rPr>
          <w:rFonts w:ascii="Arial" w:eastAsia="SimSun" w:hAnsi="Arial" w:cs="Arial"/>
          <w:snapToGrid w:val="0"/>
          <w:lang w:val="en-GB"/>
        </w:rPr>
      </w:pPr>
      <w:r w:rsidRPr="00A40455">
        <w:rPr>
          <w:rFonts w:ascii="Arial" w:eastAsia="SimSun" w:hAnsi="Arial" w:cs="Arial"/>
          <w:snapToGrid w:val="0"/>
          <w:lang w:val="en-GB"/>
        </w:rPr>
        <w:t xml:space="preserve">To develop and adopt a harmonized set of Key Performance Indicators (KPI) based on the harmonised set of Global Key Performance Indicators (GKPI), to support consistent and effective global </w:t>
      </w:r>
      <w:proofErr w:type="gramStart"/>
      <w:r w:rsidRPr="00A40455">
        <w:rPr>
          <w:rFonts w:ascii="Arial" w:eastAsia="SimSun" w:hAnsi="Arial" w:cs="Arial"/>
          <w:snapToGrid w:val="0"/>
          <w:lang w:val="en-GB"/>
        </w:rPr>
        <w:t>reporting;</w:t>
      </w:r>
      <w:proofErr w:type="gramEnd"/>
      <w:r w:rsidRPr="00A40455">
        <w:rPr>
          <w:rFonts w:ascii="Arial" w:eastAsia="SimSun" w:hAnsi="Arial" w:cs="Arial"/>
          <w:snapToGrid w:val="0"/>
          <w:lang w:val="en-GB"/>
        </w:rPr>
        <w:t xml:space="preserve"> </w:t>
      </w:r>
    </w:p>
    <w:p w14:paraId="787F8FF7" w14:textId="77777777" w:rsidR="00A40455" w:rsidRPr="00A40455" w:rsidRDefault="00A40455" w:rsidP="00A40455">
      <w:pPr>
        <w:numPr>
          <w:ilvl w:val="0"/>
          <w:numId w:val="1"/>
        </w:numPr>
        <w:tabs>
          <w:tab w:val="left" w:pos="709"/>
        </w:tabs>
        <w:snapToGrid w:val="0"/>
        <w:spacing w:after="240" w:line="240" w:lineRule="auto"/>
        <w:ind w:left="567" w:hanging="567"/>
        <w:jc w:val="both"/>
        <w:rPr>
          <w:rFonts w:ascii="Arial" w:eastAsia="SimSun" w:hAnsi="Arial" w:cs="Arial"/>
          <w:snapToGrid w:val="0"/>
          <w:lang w:val="en-GB"/>
        </w:rPr>
      </w:pPr>
      <w:r w:rsidRPr="00A40455">
        <w:rPr>
          <w:rFonts w:ascii="Arial" w:eastAsia="SimSun" w:hAnsi="Arial" w:cs="Arial"/>
          <w:snapToGrid w:val="0"/>
          <w:lang w:val="en-GB"/>
        </w:rPr>
        <w:t xml:space="preserve">Establishing arrangements among Tsunami Service Providers (TSP) within each ICG to ensure that service provision is ensured at all times for the full Area of Service of the </w:t>
      </w:r>
      <w:proofErr w:type="gramStart"/>
      <w:r w:rsidRPr="00A40455">
        <w:rPr>
          <w:rFonts w:ascii="Arial" w:eastAsia="SimSun" w:hAnsi="Arial" w:cs="Arial"/>
          <w:snapToGrid w:val="0"/>
          <w:lang w:val="en-GB"/>
        </w:rPr>
        <w:t>ICG;</w:t>
      </w:r>
      <w:proofErr w:type="gramEnd"/>
    </w:p>
    <w:p w14:paraId="50C2FA4E" w14:textId="77777777" w:rsidR="00A40455" w:rsidRPr="00A40455" w:rsidRDefault="00A40455" w:rsidP="00A40455">
      <w:pPr>
        <w:numPr>
          <w:ilvl w:val="0"/>
          <w:numId w:val="1"/>
        </w:numPr>
        <w:tabs>
          <w:tab w:val="left" w:pos="709"/>
        </w:tabs>
        <w:snapToGrid w:val="0"/>
        <w:spacing w:after="240" w:line="240" w:lineRule="auto"/>
        <w:ind w:left="567" w:hanging="567"/>
        <w:jc w:val="both"/>
        <w:rPr>
          <w:rFonts w:ascii="Arial" w:eastAsia="SimSun" w:hAnsi="Arial" w:cs="Arial"/>
          <w:snapToGrid w:val="0"/>
          <w:lang w:val="en-GB"/>
        </w:rPr>
      </w:pPr>
      <w:r w:rsidRPr="00A40455">
        <w:rPr>
          <w:rFonts w:ascii="Arial" w:eastAsia="SimSun" w:hAnsi="Arial" w:cs="Arial"/>
          <w:snapToGrid w:val="0"/>
          <w:lang w:val="en-GB"/>
        </w:rPr>
        <w:t>to develop SOPs for volcanoes with a tsunamigenic potential within their Earthquake Source Zone (ESZ</w:t>
      </w:r>
      <w:proofErr w:type="gramStart"/>
      <w:r w:rsidRPr="00A40455">
        <w:rPr>
          <w:rFonts w:ascii="Arial" w:eastAsia="SimSun" w:hAnsi="Arial" w:cs="Arial"/>
          <w:snapToGrid w:val="0"/>
          <w:lang w:val="en-GB"/>
        </w:rPr>
        <w:t>);</w:t>
      </w:r>
      <w:proofErr w:type="gramEnd"/>
      <w:r w:rsidRPr="00A40455">
        <w:rPr>
          <w:rFonts w:ascii="Arial" w:eastAsia="SimSun" w:hAnsi="Arial" w:cs="Arial"/>
          <w:snapToGrid w:val="0"/>
          <w:lang w:val="en-GB"/>
        </w:rPr>
        <w:t xml:space="preserve"> </w:t>
      </w:r>
    </w:p>
    <w:p w14:paraId="63095AAD" w14:textId="77777777" w:rsidR="00A40455" w:rsidRPr="00A40455" w:rsidRDefault="00A40455" w:rsidP="00A40455">
      <w:pPr>
        <w:numPr>
          <w:ilvl w:val="0"/>
          <w:numId w:val="1"/>
        </w:numPr>
        <w:tabs>
          <w:tab w:val="left" w:pos="709"/>
        </w:tabs>
        <w:snapToGrid w:val="0"/>
        <w:spacing w:after="240" w:line="240" w:lineRule="auto"/>
        <w:ind w:left="567" w:hanging="567"/>
        <w:jc w:val="both"/>
        <w:rPr>
          <w:rFonts w:ascii="Arial" w:eastAsia="SimSun" w:hAnsi="Arial" w:cs="Arial"/>
          <w:snapToGrid w:val="0"/>
          <w:lang w:val="en-GB"/>
        </w:rPr>
      </w:pPr>
      <w:r w:rsidRPr="00A40455">
        <w:rPr>
          <w:rFonts w:ascii="Arial" w:eastAsia="SimSun" w:hAnsi="Arial" w:cs="Arial"/>
          <w:snapToGrid w:val="0"/>
          <w:lang w:val="en-GB"/>
        </w:rPr>
        <w:t xml:space="preserve">that dissemination of the specialized TSP bulletins for the maritime community is tested in CARIBE-EWS, IOTWMS and NEAMTWS by at least one TSP either through the planned communication tests or tsunami </w:t>
      </w:r>
      <w:proofErr w:type="gramStart"/>
      <w:r w:rsidRPr="00A40455">
        <w:rPr>
          <w:rFonts w:ascii="Arial" w:eastAsia="SimSun" w:hAnsi="Arial" w:cs="Arial"/>
          <w:snapToGrid w:val="0"/>
          <w:lang w:val="en-GB"/>
        </w:rPr>
        <w:t>exercises;</w:t>
      </w:r>
      <w:proofErr w:type="gramEnd"/>
    </w:p>
    <w:p w14:paraId="78E87E9A" w14:textId="77777777" w:rsidR="00A40455" w:rsidRPr="00A40455" w:rsidRDefault="00A40455" w:rsidP="00A40455">
      <w:pPr>
        <w:numPr>
          <w:ilvl w:val="0"/>
          <w:numId w:val="1"/>
        </w:numPr>
        <w:tabs>
          <w:tab w:val="left" w:pos="709"/>
        </w:tabs>
        <w:snapToGrid w:val="0"/>
        <w:spacing w:after="240" w:line="240" w:lineRule="auto"/>
        <w:ind w:left="567" w:hanging="567"/>
        <w:jc w:val="both"/>
        <w:rPr>
          <w:rFonts w:ascii="Arial" w:eastAsia="SimSun" w:hAnsi="Arial" w:cs="Arial"/>
          <w:snapToGrid w:val="0"/>
          <w:lang w:val="en-GB"/>
        </w:rPr>
      </w:pPr>
      <w:r w:rsidRPr="00A40455">
        <w:rPr>
          <w:rFonts w:ascii="Arial" w:eastAsia="SimSun" w:hAnsi="Arial" w:cs="Arial"/>
          <w:snapToGrid w:val="0"/>
          <w:lang w:val="en-GB"/>
        </w:rPr>
        <w:t xml:space="preserve">that full operational implementation of TSP bulletins for the maritime community by at least one TSP in each ICG takes place in </w:t>
      </w:r>
      <w:proofErr w:type="gramStart"/>
      <w:r w:rsidRPr="00A40455">
        <w:rPr>
          <w:rFonts w:ascii="Arial" w:eastAsia="SimSun" w:hAnsi="Arial" w:cs="Arial"/>
          <w:snapToGrid w:val="0"/>
          <w:lang w:val="en-GB"/>
        </w:rPr>
        <w:t>2025;</w:t>
      </w:r>
      <w:proofErr w:type="gramEnd"/>
    </w:p>
    <w:p w14:paraId="0A4DDF65" w14:textId="77777777" w:rsidR="00A40455" w:rsidRPr="00A40455" w:rsidRDefault="00A40455" w:rsidP="00A40455">
      <w:pPr>
        <w:tabs>
          <w:tab w:val="left" w:pos="709"/>
        </w:tabs>
        <w:snapToGrid w:val="0"/>
        <w:spacing w:after="240" w:line="240" w:lineRule="auto"/>
        <w:jc w:val="both"/>
        <w:rPr>
          <w:rFonts w:ascii="Arial" w:eastAsia="Arial" w:hAnsi="Arial" w:cs="Arial"/>
          <w:snapToGrid w:val="0"/>
          <w:lang w:val="en-GB"/>
        </w:rPr>
      </w:pPr>
      <w:r w:rsidRPr="00A40455">
        <w:rPr>
          <w:rFonts w:ascii="Arial" w:eastAsia="Arial" w:hAnsi="Arial" w:cs="Arial"/>
          <w:b/>
          <w:snapToGrid w:val="0"/>
          <w:lang w:val="en-GB"/>
        </w:rPr>
        <w:t>The Group recommended</w:t>
      </w:r>
      <w:r w:rsidRPr="00A40455">
        <w:rPr>
          <w:rFonts w:ascii="Arial" w:eastAsia="Arial" w:hAnsi="Arial" w:cs="Arial"/>
          <w:snapToGrid w:val="0"/>
          <w:lang w:val="en-GB"/>
        </w:rPr>
        <w:t xml:space="preserve"> the IOC Assembly at its 33</w:t>
      </w:r>
      <w:r w:rsidRPr="00A40455">
        <w:rPr>
          <w:rFonts w:ascii="Arial" w:eastAsia="Arial" w:hAnsi="Arial" w:cs="Arial"/>
          <w:snapToGrid w:val="0"/>
          <w:vertAlign w:val="superscript"/>
          <w:lang w:val="en-GB"/>
        </w:rPr>
        <w:t>rd</w:t>
      </w:r>
      <w:r w:rsidRPr="00A40455">
        <w:rPr>
          <w:rFonts w:ascii="Arial" w:eastAsia="Arial" w:hAnsi="Arial" w:cs="Arial"/>
          <w:snapToGrid w:val="0"/>
          <w:lang w:val="en-GB"/>
        </w:rPr>
        <w:t xml:space="preserve"> session in 2025 recommend the regional ICGs:</w:t>
      </w:r>
    </w:p>
    <w:p w14:paraId="687FEC7F" w14:textId="77777777" w:rsidR="00A40455" w:rsidRPr="00A40455" w:rsidRDefault="00A40455" w:rsidP="00A40455">
      <w:pPr>
        <w:numPr>
          <w:ilvl w:val="0"/>
          <w:numId w:val="1"/>
        </w:numPr>
        <w:tabs>
          <w:tab w:val="left" w:pos="709"/>
        </w:tabs>
        <w:snapToGrid w:val="0"/>
        <w:spacing w:after="240" w:line="240" w:lineRule="auto"/>
        <w:ind w:left="567" w:hanging="567"/>
        <w:jc w:val="both"/>
        <w:rPr>
          <w:rFonts w:ascii="Arial" w:eastAsia="SimSun" w:hAnsi="Arial" w:cs="Arial"/>
          <w:snapToGrid w:val="0"/>
          <w:lang w:val="en-GB"/>
        </w:rPr>
      </w:pPr>
      <w:r w:rsidRPr="00A40455">
        <w:rPr>
          <w:rFonts w:ascii="Arial" w:eastAsia="SimSun" w:hAnsi="Arial" w:cs="Arial"/>
          <w:snapToGrid w:val="0"/>
          <w:lang w:val="en-GB"/>
        </w:rPr>
        <w:lastRenderedPageBreak/>
        <w:t xml:space="preserve">To create relationships between National </w:t>
      </w:r>
      <w:r w:rsidRPr="00A40455">
        <w:rPr>
          <w:rFonts w:ascii="Arial" w:eastAsia="SimSun" w:hAnsi="Arial" w:cs="Arial"/>
          <w:snapToGrid w:val="0"/>
          <w:lang w:val="en-GB"/>
        </w:rPr>
        <w:t xml:space="preserve">Meteorological and </w:t>
      </w:r>
      <w:r w:rsidRPr="00A40455">
        <w:rPr>
          <w:rFonts w:ascii="Arial" w:eastAsia="SimSun" w:hAnsi="Arial" w:cs="Arial"/>
          <w:snapToGrid w:val="0"/>
          <w:lang w:val="en-GB"/>
        </w:rPr>
        <w:t>Hydrological Services (NM</w:t>
      </w:r>
      <w:r w:rsidRPr="00A40455">
        <w:rPr>
          <w:rFonts w:ascii="Arial" w:eastAsia="SimSun" w:hAnsi="Arial" w:cs="Arial"/>
          <w:snapToGrid w:val="0"/>
          <w:lang w:val="en-GB"/>
        </w:rPr>
        <w:t>H</w:t>
      </w:r>
      <w:r w:rsidRPr="00A40455">
        <w:rPr>
          <w:rFonts w:ascii="Arial" w:eastAsia="SimSun" w:hAnsi="Arial" w:cs="Arial"/>
          <w:snapToGrid w:val="0"/>
          <w:lang w:val="en-GB"/>
        </w:rPr>
        <w:t xml:space="preserve">S) and TSPs/NTWCs in order to ensure that tsunami-specific instrumentation including </w:t>
      </w:r>
      <w:proofErr w:type="spellStart"/>
      <w:r w:rsidRPr="00A40455">
        <w:rPr>
          <w:rFonts w:ascii="Arial" w:eastAsia="SimSun" w:hAnsi="Arial" w:cs="Arial"/>
          <w:snapToGrid w:val="0"/>
          <w:lang w:val="en-GB"/>
        </w:rPr>
        <w:t>Tsunameters</w:t>
      </w:r>
      <w:proofErr w:type="spellEnd"/>
      <w:r w:rsidRPr="00A40455">
        <w:rPr>
          <w:rFonts w:ascii="Arial" w:eastAsia="SimSun" w:hAnsi="Arial" w:cs="Arial"/>
          <w:snapToGrid w:val="0"/>
          <w:lang w:val="en-GB"/>
        </w:rPr>
        <w:t>/</w:t>
      </w:r>
      <w:r w:rsidRPr="00A40455">
        <w:rPr>
          <w:rFonts w:ascii="Arial" w:eastAsia="SimSun" w:hAnsi="Arial" w:cs="Arial"/>
          <w:snapToGrid w:val="0"/>
          <w:lang w:val="en-GB"/>
        </w:rPr>
        <w:t>DART</w:t>
      </w:r>
      <w:r w:rsidRPr="00A40455">
        <w:rPr>
          <w:rFonts w:ascii="Arial" w:eastAsia="SimSun" w:hAnsi="Arial" w:cs="Arial"/>
          <w:snapToGrid w:val="0"/>
          <w:lang w:val="en-GB"/>
        </w:rPr>
        <w:t>®</w:t>
      </w:r>
      <w:r w:rsidRPr="00A40455">
        <w:rPr>
          <w:rFonts w:ascii="Arial" w:eastAsia="SimSun" w:hAnsi="Arial" w:cs="Arial"/>
          <w:snapToGrid w:val="0"/>
          <w:lang w:val="en-GB"/>
        </w:rPr>
        <w:t xml:space="preserve"> and ocean cable system</w:t>
      </w:r>
      <w:r w:rsidRPr="00A40455">
        <w:rPr>
          <w:rFonts w:ascii="Arial" w:eastAsia="SimSun" w:hAnsi="Arial" w:cs="Arial"/>
          <w:snapToGrid w:val="0"/>
          <w:lang w:val="en-GB"/>
        </w:rPr>
        <w:t>s</w:t>
      </w:r>
      <w:r w:rsidRPr="00A40455">
        <w:rPr>
          <w:rFonts w:ascii="Arial" w:eastAsia="SimSun" w:hAnsi="Arial" w:cs="Arial"/>
          <w:snapToGrid w:val="0"/>
          <w:lang w:val="en-GB"/>
        </w:rPr>
        <w:t xml:space="preserve"> are correctly monitored and utilized for detection of </w:t>
      </w:r>
      <w:proofErr w:type="gramStart"/>
      <w:r w:rsidRPr="00A40455">
        <w:rPr>
          <w:rFonts w:ascii="Arial" w:eastAsia="SimSun" w:hAnsi="Arial" w:cs="Arial"/>
          <w:snapToGrid w:val="0"/>
          <w:lang w:val="en-GB"/>
        </w:rPr>
        <w:t>meteotsunami;</w:t>
      </w:r>
      <w:proofErr w:type="gramEnd"/>
    </w:p>
    <w:p w14:paraId="0EA0B6EE" w14:textId="77777777" w:rsidR="00A40455" w:rsidRPr="00A40455" w:rsidRDefault="00A40455" w:rsidP="00A40455">
      <w:pPr>
        <w:numPr>
          <w:ilvl w:val="0"/>
          <w:numId w:val="1"/>
        </w:numPr>
        <w:tabs>
          <w:tab w:val="left" w:pos="709"/>
        </w:tabs>
        <w:snapToGrid w:val="0"/>
        <w:spacing w:after="240" w:line="240" w:lineRule="auto"/>
        <w:ind w:left="567" w:hanging="567"/>
        <w:jc w:val="both"/>
        <w:rPr>
          <w:rFonts w:ascii="Arial" w:eastAsia="SimSun" w:hAnsi="Arial" w:cs="Arial"/>
          <w:snapToGrid w:val="0"/>
          <w:lang w:val="en-GB"/>
        </w:rPr>
      </w:pPr>
      <w:r w:rsidRPr="00A40455">
        <w:rPr>
          <w:rFonts w:ascii="Arial" w:eastAsia="SimSun" w:hAnsi="Arial" w:cs="Arial"/>
          <w:snapToGrid w:val="0"/>
          <w:lang w:val="en-GB"/>
        </w:rPr>
        <w:t xml:space="preserve">continuation of the investigation and the possibility to adopt tsunami forecasting methods, including probabilistic methodologies, toward impact-based forecasting, that could also assist post-disaster response, recovery and needs assessment </w:t>
      </w:r>
      <w:proofErr w:type="gramStart"/>
      <w:r w:rsidRPr="00A40455">
        <w:rPr>
          <w:rFonts w:ascii="Arial" w:eastAsia="SimSun" w:hAnsi="Arial" w:cs="Arial"/>
          <w:snapToGrid w:val="0"/>
          <w:lang w:val="en-GB"/>
        </w:rPr>
        <w:t>processes;</w:t>
      </w:r>
      <w:proofErr w:type="gramEnd"/>
    </w:p>
    <w:p w14:paraId="4696866D" w14:textId="77777777" w:rsidR="00A40455" w:rsidRPr="00A40455" w:rsidRDefault="00A40455" w:rsidP="00A40455">
      <w:pPr>
        <w:numPr>
          <w:ilvl w:val="0"/>
          <w:numId w:val="1"/>
        </w:numPr>
        <w:tabs>
          <w:tab w:val="left" w:pos="709"/>
        </w:tabs>
        <w:snapToGrid w:val="0"/>
        <w:spacing w:after="240" w:line="240" w:lineRule="auto"/>
        <w:ind w:left="567" w:hanging="567"/>
        <w:jc w:val="both"/>
        <w:rPr>
          <w:rFonts w:ascii="Arial" w:eastAsia="SimSun" w:hAnsi="Arial" w:cs="Arial"/>
          <w:snapToGrid w:val="0"/>
          <w:lang w:val="en-GB"/>
        </w:rPr>
      </w:pPr>
      <w:r w:rsidRPr="00A40455">
        <w:rPr>
          <w:rFonts w:ascii="Arial" w:eastAsia="SimSun" w:hAnsi="Arial" w:cs="Arial"/>
          <w:snapToGrid w:val="0"/>
          <w:lang w:val="en-GB"/>
        </w:rPr>
        <w:t xml:space="preserve">to prioritize regional Tsunami Ready workshops or summits in 2025 and conduct further workshops or summits before </w:t>
      </w:r>
      <w:proofErr w:type="gramStart"/>
      <w:r w:rsidRPr="00A40455">
        <w:rPr>
          <w:rFonts w:ascii="Arial" w:eastAsia="SimSun" w:hAnsi="Arial" w:cs="Arial"/>
          <w:snapToGrid w:val="0"/>
          <w:lang w:val="en-GB"/>
        </w:rPr>
        <w:t>2030;</w:t>
      </w:r>
      <w:proofErr w:type="gramEnd"/>
    </w:p>
    <w:p w14:paraId="17AFE5C2" w14:textId="77777777" w:rsidR="00A40455" w:rsidRPr="00A40455" w:rsidRDefault="00A40455" w:rsidP="00A40455">
      <w:pPr>
        <w:tabs>
          <w:tab w:val="left" w:pos="709"/>
        </w:tabs>
        <w:snapToGrid w:val="0"/>
        <w:spacing w:after="240" w:line="240" w:lineRule="auto"/>
        <w:jc w:val="both"/>
        <w:rPr>
          <w:rFonts w:ascii="Arial" w:eastAsia="DengXian" w:hAnsi="Arial" w:cs="Arial"/>
          <w:lang w:val="en-US"/>
        </w:rPr>
      </w:pPr>
      <w:r w:rsidRPr="00A40455">
        <w:rPr>
          <w:rFonts w:ascii="Arial" w:eastAsia="SimSun" w:hAnsi="Arial" w:cs="Arial"/>
          <w:b/>
          <w:bCs/>
          <w:snapToGrid w:val="0"/>
          <w:lang w:val="en-GB"/>
        </w:rPr>
        <w:t>The Group recommended</w:t>
      </w:r>
      <w:r w:rsidRPr="00A40455">
        <w:rPr>
          <w:rFonts w:ascii="Arial" w:eastAsia="SimSun" w:hAnsi="Arial" w:cs="Arial"/>
          <w:snapToGrid w:val="0"/>
          <w:lang w:val="en-GB"/>
        </w:rPr>
        <w:t xml:space="preserve"> the IOC Assembly </w:t>
      </w:r>
      <w:bookmarkStart w:id="5" w:name="_Hlk191363767"/>
      <w:r w:rsidRPr="00A40455">
        <w:rPr>
          <w:rFonts w:ascii="Arial" w:eastAsia="SimSun" w:hAnsi="Arial" w:cs="Arial"/>
          <w:snapToGrid w:val="0"/>
          <w:lang w:val="en-GB"/>
        </w:rPr>
        <w:t>at its 33</w:t>
      </w:r>
      <w:r w:rsidRPr="00A40455">
        <w:rPr>
          <w:rFonts w:ascii="Arial" w:eastAsia="SimSun" w:hAnsi="Arial" w:cs="Arial"/>
          <w:snapToGrid w:val="0"/>
          <w:vertAlign w:val="superscript"/>
          <w:lang w:val="en-GB"/>
        </w:rPr>
        <w:t>rd</w:t>
      </w:r>
      <w:r w:rsidRPr="00A40455">
        <w:rPr>
          <w:rFonts w:ascii="Arial" w:eastAsia="SimSun" w:hAnsi="Arial" w:cs="Arial"/>
          <w:snapToGrid w:val="0"/>
          <w:lang w:val="en-GB"/>
        </w:rPr>
        <w:t xml:space="preserve"> session in 2025 </w:t>
      </w:r>
      <w:bookmarkEnd w:id="5"/>
      <w:r w:rsidRPr="00A40455">
        <w:rPr>
          <w:rFonts w:ascii="Arial" w:eastAsia="SimSun" w:hAnsi="Arial" w:cs="Arial"/>
          <w:snapToGrid w:val="0"/>
          <w:lang w:val="en-GB"/>
        </w:rPr>
        <w:t xml:space="preserve">to </w:t>
      </w:r>
      <w:r w:rsidRPr="00A40455">
        <w:rPr>
          <w:rFonts w:ascii="Arial" w:eastAsia="SimSun" w:hAnsi="Arial" w:cs="Arial"/>
          <w:b/>
          <w:bCs/>
          <w:snapToGrid w:val="0"/>
          <w:lang w:val="en-GB"/>
        </w:rPr>
        <w:t xml:space="preserve">request </w:t>
      </w:r>
      <w:r w:rsidRPr="00A40455">
        <w:rPr>
          <w:rFonts w:ascii="Arial" w:eastAsia="SimSun" w:hAnsi="Arial" w:cs="Arial"/>
          <w:snapToGrid w:val="0"/>
          <w:lang w:val="en-GB"/>
        </w:rPr>
        <w:t>the IOC</w:t>
      </w:r>
      <w:r w:rsidRPr="00A40455">
        <w:rPr>
          <w:rFonts w:ascii="Calibri" w:eastAsia="DengXian" w:hAnsi="Calibri" w:cs="Arial"/>
          <w:lang w:val="en-US"/>
        </w:rPr>
        <w:t xml:space="preserve"> </w:t>
      </w:r>
      <w:r w:rsidRPr="00A40455">
        <w:rPr>
          <w:rFonts w:ascii="Arial" w:eastAsia="SimSun" w:hAnsi="Arial" w:cs="Arial"/>
          <w:snapToGrid w:val="0"/>
          <w:lang w:val="en-GB"/>
        </w:rPr>
        <w:t>Member States to prioritize installation/deployment of additional coastal tide gauges and tsunami detection/observation systems in regions under high tsunami risk with priority areas with known coverage gaps (in alphabetical order: Aegean Sea, Caribbean Sea (West, North and South-East), Indian Ocean (East and North), North Africa, Philippine Sea, Solomon Sea, South China Sea, Timor Sea, and Yellow Sea), to ensure tsunami detection and verification as early as possible;</w:t>
      </w:r>
    </w:p>
    <w:p w14:paraId="520DF501" w14:textId="77777777" w:rsidR="00A40455" w:rsidRPr="00A40455" w:rsidRDefault="00A40455" w:rsidP="00A40455">
      <w:pPr>
        <w:tabs>
          <w:tab w:val="left" w:pos="709"/>
        </w:tabs>
        <w:snapToGrid w:val="0"/>
        <w:spacing w:after="240" w:line="240" w:lineRule="auto"/>
        <w:jc w:val="both"/>
        <w:rPr>
          <w:rFonts w:ascii="Arial" w:eastAsia="SimSun" w:hAnsi="Arial" w:cs="Arial"/>
          <w:snapToGrid w:val="0"/>
          <w:lang w:val="en-US"/>
        </w:rPr>
      </w:pPr>
      <w:bookmarkStart w:id="6" w:name="_Hlk191330080"/>
      <w:r w:rsidRPr="00A40455">
        <w:rPr>
          <w:rFonts w:ascii="Arial" w:eastAsia="SimSun" w:hAnsi="Arial" w:cs="Arial"/>
          <w:b/>
          <w:bCs/>
          <w:snapToGrid w:val="0"/>
          <w:lang w:val="en-GB"/>
        </w:rPr>
        <w:t xml:space="preserve">The Group </w:t>
      </w:r>
      <w:r w:rsidRPr="00A40455">
        <w:rPr>
          <w:rFonts w:ascii="Arial" w:eastAsia="Arial" w:hAnsi="Arial" w:cs="Arial"/>
          <w:b/>
          <w:snapToGrid w:val="0"/>
          <w:lang w:val="en-GB"/>
        </w:rPr>
        <w:t xml:space="preserve">further </w:t>
      </w:r>
      <w:r w:rsidRPr="00A40455">
        <w:rPr>
          <w:rFonts w:ascii="Arial" w:eastAsia="SimSun" w:hAnsi="Arial" w:cs="Arial"/>
          <w:b/>
          <w:bCs/>
          <w:snapToGrid w:val="0"/>
          <w:lang w:val="en-GB"/>
        </w:rPr>
        <w:t xml:space="preserve">recommended </w:t>
      </w:r>
      <w:r w:rsidRPr="00A40455">
        <w:rPr>
          <w:rFonts w:ascii="Arial" w:eastAsia="SimSun" w:hAnsi="Arial" w:cs="Arial"/>
          <w:snapToGrid w:val="0"/>
          <w:lang w:val="en-GB"/>
        </w:rPr>
        <w:t xml:space="preserve">the IOC Assembly at its 33rd session in 2025 </w:t>
      </w:r>
      <w:bookmarkEnd w:id="6"/>
      <w:r w:rsidRPr="00A40455">
        <w:rPr>
          <w:rFonts w:ascii="Arial" w:eastAsia="SimSun" w:hAnsi="Arial" w:cs="Arial"/>
          <w:snapToGrid w:val="0"/>
          <w:lang w:val="en-GB"/>
        </w:rPr>
        <w:t>to encourage</w:t>
      </w:r>
      <w:r w:rsidRPr="00A40455">
        <w:rPr>
          <w:rFonts w:ascii="Arial" w:eastAsia="SimSun" w:hAnsi="Arial" w:cs="Arial"/>
          <w:snapToGrid w:val="0"/>
          <w:lang w:val="en-US"/>
        </w:rPr>
        <w:t xml:space="preserve"> the IOC Member States to</w:t>
      </w:r>
      <w:r w:rsidRPr="00A40455">
        <w:rPr>
          <w:rFonts w:ascii="Calibri" w:eastAsia="DengXian" w:hAnsi="Calibri" w:cs="Arial"/>
          <w:lang w:val="en-US"/>
        </w:rPr>
        <w:t xml:space="preserve"> </w:t>
      </w:r>
      <w:r w:rsidRPr="00A40455">
        <w:rPr>
          <w:rFonts w:ascii="Arial" w:eastAsia="SimSun" w:hAnsi="Arial" w:cs="Arial"/>
          <w:snapToGrid w:val="0"/>
          <w:lang w:val="en-US"/>
        </w:rPr>
        <w:t xml:space="preserve">monitor the health of their sea level gauges that are used for detecting and monitoring tsunamis, to restore them as quickly as possible when they fail, add sea level gauges when possible and share their data in real time, in places identified by their ICG as gaps; </w:t>
      </w:r>
    </w:p>
    <w:p w14:paraId="7C7D03AC" w14:textId="77777777" w:rsidR="00A40455" w:rsidRPr="00A40455" w:rsidRDefault="00A40455" w:rsidP="00A40455">
      <w:pPr>
        <w:tabs>
          <w:tab w:val="left" w:pos="709"/>
        </w:tabs>
        <w:snapToGrid w:val="0"/>
        <w:spacing w:after="240" w:line="240" w:lineRule="auto"/>
        <w:jc w:val="both"/>
        <w:rPr>
          <w:rFonts w:ascii="Arial" w:eastAsia="SimSun" w:hAnsi="Arial" w:cs="Arial"/>
          <w:snapToGrid w:val="0"/>
          <w:lang w:val="en-US"/>
        </w:rPr>
      </w:pPr>
      <w:r w:rsidRPr="00A40455">
        <w:rPr>
          <w:rFonts w:ascii="Arial" w:eastAsia="SimSun" w:hAnsi="Arial" w:cs="Arial"/>
          <w:b/>
          <w:bCs/>
          <w:snapToGrid w:val="0"/>
          <w:lang w:val="en-US"/>
        </w:rPr>
        <w:t>The Group recommended</w:t>
      </w:r>
      <w:r w:rsidRPr="00A40455">
        <w:rPr>
          <w:rFonts w:ascii="Arial" w:eastAsia="SimSun" w:hAnsi="Arial" w:cs="Arial"/>
          <w:snapToGrid w:val="0"/>
          <w:lang w:val="en-US"/>
        </w:rPr>
        <w:t xml:space="preserve"> Member States to consider deployment of sea level gauges close to each identified volcano with tsunamigenic potential, with real-time continuous data transmission and 1 sec sampling - 1cm accuracy for automatic detection </w:t>
      </w:r>
      <w:proofErr w:type="gramStart"/>
      <w:r w:rsidRPr="00A40455">
        <w:rPr>
          <w:rFonts w:ascii="Arial" w:eastAsia="SimSun" w:hAnsi="Arial" w:cs="Arial"/>
          <w:snapToGrid w:val="0"/>
          <w:lang w:val="en-US"/>
        </w:rPr>
        <w:t>purposes;</w:t>
      </w:r>
      <w:proofErr w:type="gramEnd"/>
    </w:p>
    <w:p w14:paraId="6302D54B" w14:textId="77777777" w:rsidR="00A40455" w:rsidRPr="00A40455" w:rsidRDefault="00A40455" w:rsidP="00A40455">
      <w:pPr>
        <w:tabs>
          <w:tab w:val="left" w:pos="709"/>
        </w:tabs>
        <w:snapToGrid w:val="0"/>
        <w:spacing w:after="240" w:line="240" w:lineRule="auto"/>
        <w:jc w:val="both"/>
        <w:rPr>
          <w:rFonts w:ascii="Arial" w:eastAsia="SimSun" w:hAnsi="Arial" w:cs="Arial"/>
          <w:snapToGrid w:val="0"/>
          <w:lang w:val="en-US"/>
        </w:rPr>
      </w:pPr>
      <w:r w:rsidRPr="00A40455">
        <w:rPr>
          <w:rFonts w:ascii="Arial" w:eastAsia="SimSun" w:hAnsi="Arial" w:cs="Arial"/>
          <w:b/>
          <w:bCs/>
          <w:snapToGrid w:val="0"/>
          <w:lang w:val="en-US"/>
        </w:rPr>
        <w:t>The Group further recommended</w:t>
      </w:r>
      <w:r w:rsidRPr="00A40455">
        <w:rPr>
          <w:rFonts w:ascii="Arial" w:eastAsia="SimSun" w:hAnsi="Arial" w:cs="Arial"/>
          <w:snapToGrid w:val="0"/>
          <w:lang w:val="en-US"/>
        </w:rPr>
        <w:t xml:space="preserve"> Member States to invest more in offshore seismic and sea-level detection and observation instrumentation, such as </w:t>
      </w:r>
      <w:proofErr w:type="spellStart"/>
      <w:r w:rsidRPr="00A40455">
        <w:rPr>
          <w:rFonts w:ascii="Arial" w:eastAsia="SimSun" w:hAnsi="Arial" w:cs="Arial"/>
          <w:snapToGrid w:val="0"/>
          <w:lang w:val="en-US"/>
        </w:rPr>
        <w:t>Tsunameter</w:t>
      </w:r>
      <w:proofErr w:type="spellEnd"/>
      <w:r w:rsidRPr="00A40455">
        <w:rPr>
          <w:rFonts w:ascii="Arial" w:eastAsia="SimSun" w:hAnsi="Arial" w:cs="Arial"/>
          <w:snapToGrid w:val="0"/>
          <w:lang w:val="en-US"/>
        </w:rPr>
        <w:t xml:space="preserve">/DART®/GPS buoys/cabled systems (e.g. SMART Cables), where possible, with multi-hazard observational capabilities, serving the needs of earthquake seismology, meteorology and </w:t>
      </w:r>
      <w:proofErr w:type="gramStart"/>
      <w:r w:rsidRPr="00A40455">
        <w:rPr>
          <w:rFonts w:ascii="Arial" w:eastAsia="SimSun" w:hAnsi="Arial" w:cs="Arial"/>
          <w:snapToGrid w:val="0"/>
          <w:lang w:val="en-US"/>
        </w:rPr>
        <w:t>oceanography;</w:t>
      </w:r>
      <w:proofErr w:type="gramEnd"/>
    </w:p>
    <w:p w14:paraId="7EBD892A" w14:textId="77777777" w:rsidR="00A40455" w:rsidRPr="00A40455" w:rsidRDefault="00A40455" w:rsidP="00A40455">
      <w:pPr>
        <w:tabs>
          <w:tab w:val="left" w:pos="709"/>
        </w:tabs>
        <w:snapToGrid w:val="0"/>
        <w:spacing w:after="240" w:line="240" w:lineRule="auto"/>
        <w:jc w:val="both"/>
        <w:rPr>
          <w:rFonts w:ascii="Arial" w:eastAsia="SimSun" w:hAnsi="Arial" w:cs="Arial"/>
          <w:snapToGrid w:val="0"/>
          <w:lang w:val="en-US"/>
        </w:rPr>
      </w:pPr>
      <w:r w:rsidRPr="00A40455">
        <w:rPr>
          <w:rFonts w:ascii="Arial" w:eastAsia="SimSun" w:hAnsi="Arial" w:cs="Arial"/>
          <w:b/>
          <w:bCs/>
          <w:snapToGrid w:val="0"/>
          <w:lang w:val="en-US"/>
        </w:rPr>
        <w:t>The Group also recommended</w:t>
      </w:r>
      <w:r w:rsidRPr="00A40455">
        <w:rPr>
          <w:rFonts w:ascii="Arial" w:eastAsia="SimSun" w:hAnsi="Arial" w:cs="Arial"/>
          <w:snapToGrid w:val="0"/>
          <w:lang w:val="en-US"/>
        </w:rPr>
        <w:t xml:space="preserve"> Member States NTWCs to work with national and local emergency management authorities to define the criteria for and institutions in charge of issuing the </w:t>
      </w:r>
      <w:r w:rsidRPr="00A40455">
        <w:rPr>
          <w:rFonts w:ascii="Arial" w:eastAsia="SimSun" w:hAnsi="Arial" w:cs="Arial"/>
          <w:b/>
          <w:bCs/>
          <w:snapToGrid w:val="0"/>
          <w:lang w:val="en-US"/>
        </w:rPr>
        <w:t>All-Clear message</w:t>
      </w:r>
      <w:r w:rsidRPr="00A40455">
        <w:rPr>
          <w:rFonts w:ascii="Arial" w:eastAsia="SimSun" w:hAnsi="Arial" w:cs="Arial"/>
          <w:snapToGrid w:val="0"/>
          <w:lang w:val="en-US"/>
        </w:rPr>
        <w:t xml:space="preserve">, as recommended also in the </w:t>
      </w:r>
      <w:r w:rsidRPr="00A40455">
        <w:rPr>
          <w:rFonts w:ascii="Arial" w:eastAsia="Arial" w:hAnsi="Arial" w:cs="Arial"/>
          <w:lang w:val="en-GB"/>
        </w:rPr>
        <w:t>T</w:t>
      </w:r>
      <w:r w:rsidRPr="00A40455">
        <w:rPr>
          <w:rFonts w:ascii="Arial" w:eastAsia="Arial" w:hAnsi="Arial" w:cs="Arial"/>
          <w:i/>
          <w:iCs/>
          <w:lang w:val="en-GB"/>
        </w:rPr>
        <w:t>sunami Watch Operations. Global Service Definition Document</w:t>
      </w:r>
      <w:r w:rsidRPr="00A40455">
        <w:rPr>
          <w:rFonts w:ascii="Arial" w:eastAsia="Arial" w:hAnsi="Arial" w:cs="Arial"/>
          <w:lang w:val="en-GB"/>
        </w:rPr>
        <w:t xml:space="preserve">. </w:t>
      </w:r>
      <w:hyperlink r:id="rId22" w:history="1">
        <w:r w:rsidRPr="00A40455">
          <w:rPr>
            <w:rFonts w:ascii="Arial" w:eastAsia="Arial" w:hAnsi="Arial" w:cs="Arial"/>
            <w:color w:val="0000FF"/>
            <w:u w:val="single"/>
            <w:lang w:val="en-GB"/>
          </w:rPr>
          <w:t>IOC Technical Series No. 130</w:t>
        </w:r>
      </w:hyperlink>
      <w:r w:rsidRPr="00A40455">
        <w:rPr>
          <w:rFonts w:ascii="Arial" w:eastAsia="Arial" w:hAnsi="Arial" w:cs="Arial"/>
          <w:lang w:val="en-GB"/>
        </w:rPr>
        <w:t xml:space="preserve">. Paris: UNESCO. (English) and Plans and Procedures for Tsunami Warning and Emergency Management. Paris, Intergovernmental Oceanographic Commission of UNESCO 2017. (IOC Manuals and Guides No.76) and include this in the respective awareness </w:t>
      </w:r>
      <w:proofErr w:type="gramStart"/>
      <w:r w:rsidRPr="00A40455">
        <w:rPr>
          <w:rFonts w:ascii="Arial" w:eastAsia="Arial" w:hAnsi="Arial" w:cs="Arial"/>
          <w:lang w:val="en-GB"/>
        </w:rPr>
        <w:t>activities</w:t>
      </w:r>
      <w:r w:rsidRPr="00A40455">
        <w:rPr>
          <w:rFonts w:ascii="Arial" w:eastAsia="SimSun" w:hAnsi="Arial" w:cs="Arial"/>
          <w:snapToGrid w:val="0"/>
          <w:lang w:val="en-US"/>
        </w:rPr>
        <w:t>;</w:t>
      </w:r>
      <w:proofErr w:type="gramEnd"/>
      <w:r w:rsidRPr="00A40455">
        <w:rPr>
          <w:rFonts w:ascii="Arial" w:eastAsia="SimSun" w:hAnsi="Arial" w:cs="Arial"/>
          <w:snapToGrid w:val="0"/>
          <w:lang w:val="en-US"/>
        </w:rPr>
        <w:t xml:space="preserve"> </w:t>
      </w:r>
    </w:p>
    <w:p w14:paraId="4844182D" w14:textId="77777777" w:rsidR="00A40455" w:rsidRPr="00A40455" w:rsidRDefault="00A40455" w:rsidP="00A40455">
      <w:pPr>
        <w:tabs>
          <w:tab w:val="left" w:pos="709"/>
        </w:tabs>
        <w:snapToGrid w:val="0"/>
        <w:spacing w:after="240" w:line="240" w:lineRule="auto"/>
        <w:jc w:val="both"/>
        <w:rPr>
          <w:rFonts w:ascii="Arial" w:eastAsia="DengXian" w:hAnsi="Arial" w:cs="Arial"/>
          <w:lang w:val="en-US"/>
        </w:rPr>
      </w:pPr>
      <w:r w:rsidRPr="00A40455">
        <w:rPr>
          <w:rFonts w:ascii="Arial" w:eastAsia="SimSun" w:hAnsi="Arial" w:cs="Arial"/>
          <w:b/>
          <w:bCs/>
          <w:snapToGrid w:val="0"/>
          <w:lang w:val="en-GB"/>
        </w:rPr>
        <w:t xml:space="preserve">The Group </w:t>
      </w:r>
      <w:r w:rsidRPr="00A40455">
        <w:rPr>
          <w:rFonts w:ascii="Arial" w:eastAsia="Arial" w:hAnsi="Arial" w:cs="Arial"/>
          <w:b/>
          <w:snapToGrid w:val="0"/>
          <w:lang w:val="en-GB"/>
        </w:rPr>
        <w:t xml:space="preserve">further </w:t>
      </w:r>
      <w:r w:rsidRPr="00A40455">
        <w:rPr>
          <w:rFonts w:ascii="Arial" w:eastAsia="SimSun" w:hAnsi="Arial" w:cs="Arial"/>
          <w:b/>
          <w:bCs/>
          <w:snapToGrid w:val="0"/>
          <w:lang w:val="en-GB"/>
        </w:rPr>
        <w:t xml:space="preserve">recommended </w:t>
      </w:r>
      <w:r w:rsidRPr="00A40455">
        <w:rPr>
          <w:rFonts w:ascii="Arial" w:eastAsia="SimSun" w:hAnsi="Arial" w:cs="Arial"/>
          <w:snapToGrid w:val="0"/>
          <w:lang w:val="en-GB"/>
        </w:rPr>
        <w:t>the IOC Assembly at its 33</w:t>
      </w:r>
      <w:r w:rsidRPr="00A40455">
        <w:rPr>
          <w:rFonts w:ascii="Arial" w:eastAsia="SimSun" w:hAnsi="Arial" w:cs="Arial"/>
          <w:snapToGrid w:val="0"/>
          <w:vertAlign w:val="superscript"/>
          <w:lang w:val="en-GB"/>
        </w:rPr>
        <w:t>rd</w:t>
      </w:r>
      <w:r w:rsidRPr="00A40455">
        <w:rPr>
          <w:rFonts w:ascii="Arial" w:eastAsia="SimSun" w:hAnsi="Arial" w:cs="Arial"/>
          <w:snapToGrid w:val="0"/>
          <w:lang w:val="en-GB"/>
        </w:rPr>
        <w:t xml:space="preserve"> session in 2025 to encourage</w:t>
      </w:r>
      <w:r w:rsidRPr="00A40455">
        <w:rPr>
          <w:rFonts w:ascii="Arial" w:eastAsia="SimSun" w:hAnsi="Arial" w:cs="Arial"/>
          <w:snapToGrid w:val="0"/>
          <w:lang w:val="en-US"/>
        </w:rPr>
        <w:t xml:space="preserve"> Member States to provide voluntary financial contributions to the IOC special account and in-kind contributions to support the Ocean Decade Tsunami Programme, the IOC Tsunami Ready Recognition Programme and the Tsunami Ready Coalition. </w:t>
      </w:r>
    </w:p>
    <w:p w14:paraId="7760635E" w14:textId="77777777" w:rsidR="00A40455" w:rsidRPr="00A40455" w:rsidRDefault="00A40455" w:rsidP="00A40455">
      <w:pPr>
        <w:tabs>
          <w:tab w:val="left" w:pos="709"/>
        </w:tabs>
        <w:snapToGrid w:val="0"/>
        <w:spacing w:after="240" w:line="240" w:lineRule="auto"/>
        <w:jc w:val="both"/>
        <w:rPr>
          <w:rFonts w:ascii="Arial" w:eastAsia="SimSun" w:hAnsi="Arial" w:cs="Arial"/>
          <w:snapToGrid w:val="0"/>
          <w:lang w:val="en-GB"/>
        </w:rPr>
      </w:pPr>
      <w:r w:rsidRPr="00A40455">
        <w:rPr>
          <w:rFonts w:ascii="Arial" w:eastAsia="SimSun" w:hAnsi="Arial" w:cs="Arial"/>
          <w:b/>
          <w:bCs/>
          <w:snapToGrid w:val="0"/>
          <w:lang w:val="en-GB"/>
        </w:rPr>
        <w:t>The Group recommended</w:t>
      </w:r>
      <w:r w:rsidRPr="00A40455">
        <w:rPr>
          <w:rFonts w:ascii="Arial" w:eastAsia="SimSun" w:hAnsi="Arial" w:cs="Arial"/>
          <w:snapToGrid w:val="0"/>
          <w:lang w:val="en-GB"/>
        </w:rPr>
        <w:t xml:space="preserve"> the IOC Assembly at its 33</w:t>
      </w:r>
      <w:r w:rsidRPr="00A40455">
        <w:rPr>
          <w:rFonts w:ascii="Arial" w:eastAsia="SimSun" w:hAnsi="Arial" w:cs="Arial"/>
          <w:snapToGrid w:val="0"/>
          <w:vertAlign w:val="superscript"/>
          <w:lang w:val="en-GB"/>
        </w:rPr>
        <w:t>rd</w:t>
      </w:r>
      <w:r w:rsidRPr="00A40455">
        <w:rPr>
          <w:rFonts w:ascii="Arial" w:eastAsia="SimSun" w:hAnsi="Arial" w:cs="Arial"/>
          <w:snapToGrid w:val="0"/>
          <w:lang w:val="en-GB"/>
        </w:rPr>
        <w:t xml:space="preserve"> session in 2025 to </w:t>
      </w:r>
      <w:r w:rsidRPr="00A40455">
        <w:rPr>
          <w:rFonts w:ascii="Arial" w:eastAsia="SimSun" w:hAnsi="Arial" w:cs="Arial"/>
          <w:b/>
          <w:bCs/>
          <w:snapToGrid w:val="0"/>
          <w:lang w:val="en-GB"/>
        </w:rPr>
        <w:t xml:space="preserve">request </w:t>
      </w:r>
      <w:r w:rsidRPr="00A40455">
        <w:rPr>
          <w:rFonts w:ascii="Arial" w:eastAsia="SimSun" w:hAnsi="Arial" w:cs="Arial"/>
          <w:snapToGrid w:val="0"/>
          <w:lang w:val="en-GB"/>
        </w:rPr>
        <w:t>the IOC Secretariat to:</w:t>
      </w:r>
    </w:p>
    <w:p w14:paraId="47D0F200" w14:textId="77777777" w:rsidR="00A40455" w:rsidRPr="00A40455" w:rsidRDefault="00A40455" w:rsidP="00A40455">
      <w:pPr>
        <w:numPr>
          <w:ilvl w:val="0"/>
          <w:numId w:val="1"/>
        </w:numPr>
        <w:tabs>
          <w:tab w:val="left" w:pos="709"/>
        </w:tabs>
        <w:snapToGrid w:val="0"/>
        <w:spacing w:after="240" w:line="240" w:lineRule="auto"/>
        <w:ind w:left="567" w:hanging="567"/>
        <w:jc w:val="both"/>
        <w:rPr>
          <w:rFonts w:ascii="Arial" w:eastAsia="SimSun" w:hAnsi="Arial" w:cs="Arial"/>
          <w:snapToGrid w:val="0"/>
          <w:lang w:val="en-GB"/>
        </w:rPr>
      </w:pPr>
      <w:r w:rsidRPr="00A40455">
        <w:rPr>
          <w:rFonts w:ascii="Arial" w:eastAsia="SimSun" w:hAnsi="Arial" w:cs="Arial"/>
          <w:snapToGrid w:val="0"/>
          <w:lang w:val="en-GB"/>
        </w:rPr>
        <w:t xml:space="preserve">prepare a standard and improved methodology of collecting TNC/TWFP/NTWC contact information, in close collaboration with the TT-TWO and TT-DMP, and present its work at the next Joint TT-DMP and TT-TWO </w:t>
      </w:r>
      <w:proofErr w:type="gramStart"/>
      <w:r w:rsidRPr="00A40455">
        <w:rPr>
          <w:rFonts w:ascii="Arial" w:eastAsia="SimSun" w:hAnsi="Arial" w:cs="Arial"/>
          <w:snapToGrid w:val="0"/>
          <w:lang w:val="en-GB"/>
        </w:rPr>
        <w:t>Meeting;</w:t>
      </w:r>
      <w:proofErr w:type="gramEnd"/>
    </w:p>
    <w:p w14:paraId="35E0D6B9" w14:textId="77777777" w:rsidR="00A40455" w:rsidRPr="00A40455" w:rsidRDefault="00A40455" w:rsidP="00A40455">
      <w:pPr>
        <w:numPr>
          <w:ilvl w:val="0"/>
          <w:numId w:val="1"/>
        </w:numPr>
        <w:tabs>
          <w:tab w:val="left" w:pos="709"/>
        </w:tabs>
        <w:snapToGrid w:val="0"/>
        <w:spacing w:after="240" w:line="240" w:lineRule="auto"/>
        <w:ind w:left="567" w:hanging="567"/>
        <w:jc w:val="both"/>
        <w:rPr>
          <w:rFonts w:ascii="Arial" w:eastAsia="SimSun" w:hAnsi="Arial" w:cs="Arial"/>
          <w:snapToGrid w:val="0"/>
          <w:lang w:val="en-GB"/>
        </w:rPr>
      </w:pPr>
      <w:r w:rsidRPr="00A40455">
        <w:rPr>
          <w:rFonts w:ascii="Arial" w:eastAsia="SimSun" w:hAnsi="Arial" w:cs="Arial"/>
          <w:snapToGrid w:val="0"/>
          <w:lang w:val="en-GB"/>
        </w:rPr>
        <w:lastRenderedPageBreak/>
        <w:t xml:space="preserve">inform Member States on the </w:t>
      </w:r>
      <w:r w:rsidRPr="00A40455">
        <w:rPr>
          <w:rFonts w:ascii="Arial" w:eastAsia="SimSun" w:hAnsi="Arial" w:cs="Arial"/>
          <w:i/>
          <w:iCs/>
          <w:snapToGrid w:val="0"/>
          <w:lang w:val="en-GB"/>
        </w:rPr>
        <w:t>Tsunami Ready Toolkit</w:t>
      </w:r>
      <w:r w:rsidRPr="00A40455">
        <w:rPr>
          <w:rFonts w:ascii="Arial" w:eastAsia="SimSun" w:hAnsi="Arial" w:cs="Arial"/>
          <w:snapToGrid w:val="0"/>
          <w:lang w:val="en-GB"/>
        </w:rPr>
        <w:t xml:space="preserve"> availability via IOC Circular Letter to the Tsunami National Contacts, National Tsunami Ready Boards, and widely through the attaching this as an appendix of the </w:t>
      </w:r>
      <w:r w:rsidRPr="00A40455">
        <w:rPr>
          <w:rFonts w:ascii="Arial" w:eastAsia="Arial" w:hAnsi="Arial" w:cs="Arial"/>
          <w:lang w:val="en-GB"/>
        </w:rPr>
        <w:t>UNESCO-IOC Standard Guidelines for the Tsunami Ready Recognition Programme (IOC MG 74</w:t>
      </w:r>
      <w:proofErr w:type="gramStart"/>
      <w:r w:rsidRPr="00A40455">
        <w:rPr>
          <w:rFonts w:ascii="Arial" w:eastAsia="Arial" w:hAnsi="Arial" w:cs="Arial"/>
          <w:lang w:val="en-GB"/>
        </w:rPr>
        <w:t>)</w:t>
      </w:r>
      <w:r w:rsidRPr="00A40455">
        <w:rPr>
          <w:rFonts w:ascii="Arial" w:eastAsia="SimSun" w:hAnsi="Arial" w:cs="Arial"/>
          <w:snapToGrid w:val="0"/>
          <w:lang w:val="en-GB"/>
        </w:rPr>
        <w:t>;</w:t>
      </w:r>
      <w:proofErr w:type="gramEnd"/>
    </w:p>
    <w:p w14:paraId="0D9A4031" w14:textId="77777777" w:rsidR="00A40455" w:rsidRPr="00A40455" w:rsidRDefault="00A40455" w:rsidP="00A40455">
      <w:pPr>
        <w:numPr>
          <w:ilvl w:val="0"/>
          <w:numId w:val="1"/>
        </w:numPr>
        <w:tabs>
          <w:tab w:val="left" w:pos="709"/>
        </w:tabs>
        <w:snapToGrid w:val="0"/>
        <w:spacing w:after="240" w:line="240" w:lineRule="auto"/>
        <w:ind w:left="567" w:hanging="567"/>
        <w:jc w:val="both"/>
        <w:rPr>
          <w:rFonts w:ascii="Arial" w:eastAsia="SimSun" w:hAnsi="Arial" w:cs="Arial"/>
          <w:snapToGrid w:val="0"/>
          <w:lang w:val="en-GB"/>
        </w:rPr>
      </w:pPr>
      <w:r w:rsidRPr="00A40455">
        <w:rPr>
          <w:rFonts w:ascii="Arial" w:eastAsia="SimSun" w:hAnsi="Arial" w:cs="Arial"/>
          <w:snapToGrid w:val="0"/>
          <w:lang w:val="en-GB"/>
        </w:rPr>
        <w:t xml:space="preserve">disseminate to the Member States the final version of the below basic tsunami warning product/template for use by the radio amateurs, as a </w:t>
      </w:r>
      <w:proofErr w:type="gramStart"/>
      <w:r w:rsidRPr="00A40455">
        <w:rPr>
          <w:rFonts w:ascii="Arial" w:eastAsia="SimSun" w:hAnsi="Arial" w:cs="Arial"/>
          <w:snapToGrid w:val="0"/>
          <w:lang w:val="en-GB"/>
        </w:rPr>
        <w:t>guidance;</w:t>
      </w:r>
      <w:proofErr w:type="gramEnd"/>
    </w:p>
    <w:p w14:paraId="719D4820" w14:textId="77777777" w:rsidR="00A40455" w:rsidRPr="00A40455" w:rsidRDefault="00A40455" w:rsidP="00A40455">
      <w:pPr>
        <w:tabs>
          <w:tab w:val="left" w:pos="709"/>
        </w:tabs>
        <w:snapToGrid w:val="0"/>
        <w:spacing w:after="240" w:line="240" w:lineRule="auto"/>
        <w:jc w:val="right"/>
        <w:rPr>
          <w:rFonts w:ascii="Arial" w:eastAsia="SimSun" w:hAnsi="Arial" w:cs="Arial"/>
          <w:snapToGrid w:val="0"/>
          <w:lang w:val="en-GB"/>
        </w:rPr>
      </w:pPr>
      <w:r w:rsidRPr="00A40455">
        <w:rPr>
          <w:rFonts w:ascii="Arial" w:eastAsia="SimSun" w:hAnsi="Arial" w:cs="Arial"/>
          <w:noProof/>
          <w:snapToGrid w:val="0"/>
          <w:lang w:val="en-GB"/>
        </w:rPr>
        <w:drawing>
          <wp:inline distT="0" distB="0" distL="0" distR="0" wp14:anchorId="6B8435C9" wp14:editId="4A103EF4">
            <wp:extent cx="5232694" cy="557181"/>
            <wp:effectExtent l="0" t="0" r="6350" b="0"/>
            <wp:docPr id="666896947" name="Picture 1"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896947" name="Picture 1" descr="A black background with red text&#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89231" cy="563201"/>
                    </a:xfrm>
                    <a:prstGeom prst="rect">
                      <a:avLst/>
                    </a:prstGeom>
                    <a:noFill/>
                  </pic:spPr>
                </pic:pic>
              </a:graphicData>
            </a:graphic>
          </wp:inline>
        </w:drawing>
      </w:r>
    </w:p>
    <w:p w14:paraId="39E4F9E6" w14:textId="77777777" w:rsidR="00A40455" w:rsidRPr="00A40455" w:rsidRDefault="00A40455" w:rsidP="00A40455">
      <w:pPr>
        <w:numPr>
          <w:ilvl w:val="0"/>
          <w:numId w:val="1"/>
        </w:numPr>
        <w:tabs>
          <w:tab w:val="left" w:pos="709"/>
        </w:tabs>
        <w:snapToGrid w:val="0"/>
        <w:spacing w:after="240" w:line="240" w:lineRule="auto"/>
        <w:ind w:left="567" w:hanging="567"/>
        <w:jc w:val="both"/>
        <w:rPr>
          <w:rFonts w:ascii="Arial" w:eastAsia="SimSun" w:hAnsi="Arial" w:cs="Arial"/>
          <w:snapToGrid w:val="0"/>
          <w:lang w:val="en-GB"/>
        </w:rPr>
      </w:pPr>
      <w:r w:rsidRPr="00A40455">
        <w:rPr>
          <w:rFonts w:ascii="Arial" w:eastAsia="SimSun" w:hAnsi="Arial" w:cs="Arial"/>
          <w:snapToGrid w:val="0"/>
          <w:lang w:val="en-GB"/>
        </w:rPr>
        <w:t>to finalize the Tsunami Ready Coalition Implementation Plan in consultation with the Tsunami Ready Coalition Chair the Coalition Partners, 'Ambassadors' or similar namesake, and Coalition Co-</w:t>
      </w:r>
      <w:proofErr w:type="gramStart"/>
      <w:r w:rsidRPr="00A40455">
        <w:rPr>
          <w:rFonts w:ascii="Arial" w:eastAsia="SimSun" w:hAnsi="Arial" w:cs="Arial"/>
          <w:snapToGrid w:val="0"/>
          <w:lang w:val="en-GB"/>
        </w:rPr>
        <w:t>Chair</w:t>
      </w:r>
      <w:r w:rsidRPr="00A40455">
        <w:rPr>
          <w:rFonts w:ascii="Arial" w:eastAsia="Times New Roman" w:hAnsi="Arial" w:cs="Arial"/>
          <w:lang w:val="en-US"/>
        </w:rPr>
        <w:t>;</w:t>
      </w:r>
      <w:proofErr w:type="gramEnd"/>
    </w:p>
    <w:p w14:paraId="2053B337" w14:textId="77777777" w:rsidR="00A40455" w:rsidRPr="00A40455" w:rsidRDefault="00A40455" w:rsidP="00A40455">
      <w:pPr>
        <w:numPr>
          <w:ilvl w:val="0"/>
          <w:numId w:val="1"/>
        </w:numPr>
        <w:tabs>
          <w:tab w:val="left" w:pos="709"/>
        </w:tabs>
        <w:snapToGrid w:val="0"/>
        <w:spacing w:after="240" w:line="240" w:lineRule="auto"/>
        <w:ind w:left="567" w:hanging="567"/>
        <w:jc w:val="both"/>
        <w:rPr>
          <w:rFonts w:ascii="Arial" w:eastAsia="SimSun" w:hAnsi="Arial" w:cs="Arial"/>
          <w:snapToGrid w:val="0"/>
          <w:lang w:val="en-GB"/>
        </w:rPr>
      </w:pPr>
      <w:r w:rsidRPr="00A40455">
        <w:rPr>
          <w:rFonts w:ascii="Arial" w:eastAsia="SimSun" w:hAnsi="Arial" w:cs="Arial"/>
          <w:snapToGrid w:val="0"/>
          <w:lang w:val="en-GB"/>
        </w:rPr>
        <w:t xml:space="preserve">extend invitations to the proposed Coalition Partners and 'Ambassadors' or similar namesake, and a Coalition Co-chair, and urgently address needed </w:t>
      </w:r>
      <w:proofErr w:type="gramStart"/>
      <w:r w:rsidRPr="00A40455">
        <w:rPr>
          <w:rFonts w:ascii="Arial" w:eastAsia="SimSun" w:hAnsi="Arial" w:cs="Arial"/>
          <w:snapToGrid w:val="0"/>
          <w:lang w:val="en-GB"/>
        </w:rPr>
        <w:t>resources;</w:t>
      </w:r>
      <w:proofErr w:type="gramEnd"/>
      <w:r w:rsidRPr="00A40455">
        <w:rPr>
          <w:rFonts w:ascii="Arial" w:eastAsia="SimSun" w:hAnsi="Arial" w:cs="Arial"/>
          <w:snapToGrid w:val="0"/>
          <w:lang w:val="en-GB"/>
        </w:rPr>
        <w:t> </w:t>
      </w:r>
    </w:p>
    <w:p w14:paraId="460F0378" w14:textId="77777777" w:rsidR="00A40455" w:rsidRPr="00A40455" w:rsidRDefault="00A40455" w:rsidP="00A40455">
      <w:pPr>
        <w:tabs>
          <w:tab w:val="left" w:pos="709"/>
        </w:tabs>
        <w:snapToGrid w:val="0"/>
        <w:spacing w:after="240" w:line="240" w:lineRule="auto"/>
        <w:jc w:val="both"/>
        <w:rPr>
          <w:rFonts w:ascii="Arial" w:eastAsia="DengXian" w:hAnsi="Arial" w:cs="Arial"/>
          <w:lang w:val="en-US"/>
        </w:rPr>
      </w:pPr>
      <w:r w:rsidRPr="00A40455">
        <w:rPr>
          <w:rFonts w:ascii="Arial" w:eastAsia="SimSun" w:hAnsi="Arial" w:cs="Arial"/>
          <w:b/>
          <w:bCs/>
          <w:snapToGrid w:val="0"/>
          <w:lang w:val="en-GB"/>
        </w:rPr>
        <w:t>The Group recommended</w:t>
      </w:r>
      <w:r w:rsidRPr="00A40455">
        <w:rPr>
          <w:rFonts w:ascii="Arial" w:eastAsia="SimSun" w:hAnsi="Arial" w:cs="Arial"/>
          <w:snapToGrid w:val="0"/>
          <w:lang w:val="en-GB"/>
        </w:rPr>
        <w:t xml:space="preserve"> the IOC Assembly at its 33</w:t>
      </w:r>
      <w:r w:rsidRPr="00A40455">
        <w:rPr>
          <w:rFonts w:ascii="Arial" w:eastAsia="SimSun" w:hAnsi="Arial" w:cs="Arial"/>
          <w:snapToGrid w:val="0"/>
          <w:vertAlign w:val="superscript"/>
          <w:lang w:val="en-GB"/>
        </w:rPr>
        <w:t>rd</w:t>
      </w:r>
      <w:r w:rsidRPr="00A40455">
        <w:rPr>
          <w:rFonts w:ascii="Arial" w:eastAsia="SimSun" w:hAnsi="Arial" w:cs="Arial"/>
          <w:snapToGrid w:val="0"/>
          <w:lang w:val="en-GB"/>
        </w:rPr>
        <w:t xml:space="preserve"> session in 2025 to extend the tenure of the</w:t>
      </w:r>
      <w:r w:rsidRPr="00A40455">
        <w:rPr>
          <w:rFonts w:ascii="Calibri" w:eastAsia="DengXian" w:hAnsi="Calibri" w:cs="Arial"/>
          <w:lang w:val="en-US"/>
        </w:rPr>
        <w:t xml:space="preserve"> </w:t>
      </w:r>
      <w:r w:rsidRPr="00A40455">
        <w:rPr>
          <w:rFonts w:ascii="Arial" w:eastAsia="SimSun" w:hAnsi="Arial" w:cs="Arial"/>
          <w:snapToGrid w:val="0"/>
          <w:lang w:val="en-GB"/>
        </w:rPr>
        <w:t xml:space="preserve">Inter-ICG TT-DMP and TT-TWO and recommended the approval of updated Terms of Reference for the Task Team on Tsunami Disaster Management and Preparedness as included under </w:t>
      </w:r>
      <w:r w:rsidRPr="00A40455">
        <w:rPr>
          <w:rFonts w:ascii="Arial" w:eastAsia="SimSun" w:hAnsi="Arial" w:cs="Arial"/>
          <w:b/>
          <w:bCs/>
          <w:snapToGrid w:val="0"/>
          <w:lang w:val="en-GB"/>
        </w:rPr>
        <w:t xml:space="preserve">Appendix </w:t>
      </w:r>
      <w:proofErr w:type="gramStart"/>
      <w:r w:rsidRPr="00A40455">
        <w:rPr>
          <w:rFonts w:ascii="Arial" w:eastAsia="SimSun" w:hAnsi="Arial" w:cs="Arial"/>
          <w:b/>
          <w:bCs/>
          <w:snapToGrid w:val="0"/>
          <w:lang w:val="en-GB"/>
        </w:rPr>
        <w:t>1</w:t>
      </w:r>
      <w:r w:rsidRPr="00A40455">
        <w:rPr>
          <w:rFonts w:ascii="Arial" w:eastAsia="SimSun" w:hAnsi="Arial" w:cs="Arial"/>
          <w:snapToGrid w:val="0"/>
          <w:lang w:val="en-GB"/>
        </w:rPr>
        <w:t>;</w:t>
      </w:r>
      <w:proofErr w:type="gramEnd"/>
    </w:p>
    <w:p w14:paraId="4904FF2A" w14:textId="77777777" w:rsidR="00A40455" w:rsidRPr="00A40455" w:rsidRDefault="00A40455" w:rsidP="00A40455">
      <w:pPr>
        <w:tabs>
          <w:tab w:val="left" w:pos="709"/>
        </w:tabs>
        <w:snapToGrid w:val="0"/>
        <w:spacing w:after="240" w:line="240" w:lineRule="auto"/>
        <w:jc w:val="center"/>
        <w:rPr>
          <w:rFonts w:ascii="Arial" w:eastAsia="Arial" w:hAnsi="Arial" w:cs="Arial"/>
          <w:b/>
          <w:bCs/>
          <w:snapToGrid w:val="0"/>
          <w:lang w:val="en-GB"/>
        </w:rPr>
      </w:pPr>
    </w:p>
    <w:p w14:paraId="5FBDCFAA" w14:textId="77777777" w:rsidR="00A40455" w:rsidRPr="00A40455" w:rsidRDefault="00A40455" w:rsidP="00A40455">
      <w:pPr>
        <w:tabs>
          <w:tab w:val="left" w:pos="709"/>
        </w:tabs>
        <w:snapToGrid w:val="0"/>
        <w:spacing w:after="240" w:line="240" w:lineRule="auto"/>
        <w:jc w:val="center"/>
        <w:rPr>
          <w:rFonts w:ascii="Arial" w:eastAsia="Arial" w:hAnsi="Arial" w:cs="Arial"/>
          <w:b/>
          <w:bCs/>
          <w:snapToGrid w:val="0"/>
          <w:lang w:val="en-GB"/>
        </w:rPr>
      </w:pPr>
      <w:r w:rsidRPr="00A40455">
        <w:rPr>
          <w:rFonts w:ascii="Arial" w:eastAsia="Arial" w:hAnsi="Arial" w:cs="Arial"/>
          <w:b/>
          <w:bCs/>
          <w:snapToGrid w:val="0"/>
          <w:lang w:val="en-GB"/>
        </w:rPr>
        <w:t>Appendix 1</w:t>
      </w:r>
    </w:p>
    <w:p w14:paraId="0FD48BB2" w14:textId="77777777" w:rsidR="00A40455" w:rsidRPr="00A40455" w:rsidRDefault="00A40455" w:rsidP="00A40455">
      <w:pPr>
        <w:tabs>
          <w:tab w:val="left" w:pos="709"/>
        </w:tabs>
        <w:snapToGrid w:val="0"/>
        <w:spacing w:after="240" w:line="240" w:lineRule="auto"/>
        <w:jc w:val="center"/>
        <w:rPr>
          <w:rFonts w:ascii="Arial" w:eastAsia="SimSun" w:hAnsi="Arial" w:cs="Arial"/>
          <w:snapToGrid w:val="0"/>
          <w:lang w:val="en-GB"/>
        </w:rPr>
      </w:pPr>
      <w:r w:rsidRPr="00A40455">
        <w:rPr>
          <w:rFonts w:ascii="Arial" w:eastAsia="Arial" w:hAnsi="Arial" w:cs="Arial"/>
          <w:b/>
          <w:bCs/>
          <w:snapToGrid w:val="0"/>
          <w:lang w:val="en-GB"/>
        </w:rPr>
        <w:t>Revised Terms of Reference of the TT DMP</w:t>
      </w:r>
    </w:p>
    <w:p w14:paraId="67FFE475" w14:textId="77777777" w:rsidR="00A40455" w:rsidRPr="00A40455" w:rsidRDefault="00A40455" w:rsidP="00A40455">
      <w:pPr>
        <w:numPr>
          <w:ilvl w:val="0"/>
          <w:numId w:val="28"/>
        </w:numPr>
        <w:snapToGrid w:val="0"/>
        <w:spacing w:after="240" w:line="240" w:lineRule="auto"/>
        <w:jc w:val="both"/>
        <w:rPr>
          <w:rFonts w:ascii="Arial" w:eastAsia="SimSun" w:hAnsi="Arial" w:cs="Arial"/>
          <w:snapToGrid w:val="0"/>
          <w:lang w:val="en-US"/>
        </w:rPr>
      </w:pPr>
      <w:r w:rsidRPr="00A40455">
        <w:rPr>
          <w:rFonts w:ascii="Arial" w:eastAsia="SimSun" w:hAnsi="Arial" w:cs="Arial"/>
          <w:snapToGrid w:val="0"/>
          <w:lang w:val="en-ID"/>
        </w:rPr>
        <w:t>Facilitate in collaboration with key international stakeholders and organizations (such as</w:t>
      </w:r>
      <w:hyperlink r:id="rId24" w:history="1">
        <w:r w:rsidRPr="00A40455">
          <w:rPr>
            <w:rFonts w:ascii="Arial" w:eastAsia="SimSun" w:hAnsi="Arial" w:cs="Arial"/>
            <w:snapToGrid w:val="0"/>
            <w:color w:val="0000FF"/>
            <w:u w:val="single"/>
            <w:lang w:val="en-ID"/>
          </w:rPr>
          <w:t xml:space="preserve"> </w:t>
        </w:r>
      </w:hyperlink>
      <w:hyperlink r:id="rId25" w:history="1">
        <w:r w:rsidRPr="00A40455">
          <w:rPr>
            <w:rFonts w:ascii="Arial" w:eastAsia="SimSun" w:hAnsi="Arial" w:cs="Arial"/>
            <w:snapToGrid w:val="0"/>
            <w:color w:val="0000FF"/>
            <w:u w:val="single"/>
            <w:lang w:val="en-ID"/>
          </w:rPr>
          <w:t>UNDRR, IFRC, UNDP, WMO, etc</w:t>
        </w:r>
      </w:hyperlink>
      <w:r w:rsidRPr="00A40455">
        <w:rPr>
          <w:rFonts w:ascii="Arial" w:eastAsia="SimSun" w:hAnsi="Arial" w:cs="Arial"/>
          <w:snapToGrid w:val="0"/>
          <w:color w:val="0000FF"/>
          <w:u w:val="single"/>
          <w:lang w:val="en-ID"/>
        </w:rPr>
        <w:t>.</w:t>
      </w:r>
      <w:r w:rsidRPr="00A40455">
        <w:rPr>
          <w:rFonts w:ascii="Arial" w:eastAsia="SimSun" w:hAnsi="Arial" w:cs="Arial"/>
          <w:snapToGrid w:val="0"/>
          <w:lang w:val="en-ID"/>
        </w:rPr>
        <w:t>), or initiatives (such as the Tsunami Ready Coalition, Coastal Inundation Forecasting Initiative etc.) the exchange of experiences and information on  preparedness and mitigation  actions, education/awareness, and other matters related to disaster management and preparedness for tsunamis and other coastal sea level related hazards; </w:t>
      </w:r>
    </w:p>
    <w:p w14:paraId="5EEC5091" w14:textId="77777777" w:rsidR="00A40455" w:rsidRPr="00A40455" w:rsidRDefault="00A40455" w:rsidP="00A40455">
      <w:pPr>
        <w:numPr>
          <w:ilvl w:val="0"/>
          <w:numId w:val="28"/>
        </w:numPr>
        <w:snapToGrid w:val="0"/>
        <w:spacing w:after="240" w:line="240" w:lineRule="auto"/>
        <w:jc w:val="both"/>
        <w:rPr>
          <w:rFonts w:ascii="Arial" w:eastAsia="SimSun" w:hAnsi="Arial" w:cs="Arial"/>
          <w:snapToGrid w:val="0"/>
          <w:lang w:val="en-US"/>
        </w:rPr>
      </w:pPr>
      <w:r w:rsidRPr="00A40455">
        <w:rPr>
          <w:rFonts w:ascii="Arial" w:eastAsia="SimSun" w:hAnsi="Arial" w:cs="Arial"/>
          <w:snapToGrid w:val="0"/>
          <w:lang w:val="en-ID"/>
        </w:rPr>
        <w:t xml:space="preserve">Promote and facilitate the implementation of Tsunami Ready Recognition Programme, and similar initiatives, as well as related capacity development efforts, specifically targeting SIDS and </w:t>
      </w:r>
      <w:proofErr w:type="gramStart"/>
      <w:r w:rsidRPr="00A40455">
        <w:rPr>
          <w:rFonts w:ascii="Arial" w:eastAsia="SimSun" w:hAnsi="Arial" w:cs="Arial"/>
          <w:snapToGrid w:val="0"/>
          <w:lang w:val="en-ID"/>
        </w:rPr>
        <w:t>LDCs;</w:t>
      </w:r>
      <w:proofErr w:type="gramEnd"/>
    </w:p>
    <w:p w14:paraId="2ADBB261" w14:textId="77777777" w:rsidR="00A40455" w:rsidRPr="00A40455" w:rsidRDefault="00A40455" w:rsidP="00A40455">
      <w:pPr>
        <w:numPr>
          <w:ilvl w:val="0"/>
          <w:numId w:val="28"/>
        </w:numPr>
        <w:snapToGrid w:val="0"/>
        <w:spacing w:after="240" w:line="240" w:lineRule="auto"/>
        <w:jc w:val="both"/>
        <w:rPr>
          <w:rFonts w:ascii="Arial" w:eastAsia="SimSun" w:hAnsi="Arial" w:cs="Arial"/>
          <w:snapToGrid w:val="0"/>
          <w:lang w:val="en-US"/>
        </w:rPr>
      </w:pPr>
      <w:r w:rsidRPr="00A40455">
        <w:rPr>
          <w:rFonts w:ascii="Arial" w:eastAsia="SimSun" w:hAnsi="Arial" w:cs="Arial"/>
          <w:snapToGrid w:val="0"/>
          <w:lang w:val="en-ID"/>
        </w:rPr>
        <w:t xml:space="preserve"> Promote preparedness to build resilient coastal communities through education and awareness products and </w:t>
      </w:r>
      <w:proofErr w:type="gramStart"/>
      <w:r w:rsidRPr="00A40455">
        <w:rPr>
          <w:rFonts w:ascii="Arial" w:eastAsia="SimSun" w:hAnsi="Arial" w:cs="Arial"/>
          <w:snapToGrid w:val="0"/>
          <w:lang w:val="en-ID"/>
        </w:rPr>
        <w:t>campaigns;.</w:t>
      </w:r>
      <w:proofErr w:type="gramEnd"/>
    </w:p>
    <w:p w14:paraId="4956F5B3" w14:textId="77777777" w:rsidR="00A40455" w:rsidRPr="00A40455" w:rsidRDefault="00A40455" w:rsidP="00A40455">
      <w:pPr>
        <w:numPr>
          <w:ilvl w:val="0"/>
          <w:numId w:val="28"/>
        </w:numPr>
        <w:snapToGrid w:val="0"/>
        <w:spacing w:after="240" w:line="240" w:lineRule="auto"/>
        <w:jc w:val="both"/>
        <w:rPr>
          <w:rFonts w:ascii="Arial" w:eastAsia="SimSun" w:hAnsi="Arial" w:cs="Arial"/>
          <w:snapToGrid w:val="0"/>
          <w:lang w:val="en-US"/>
        </w:rPr>
      </w:pPr>
      <w:r w:rsidRPr="00A40455">
        <w:rPr>
          <w:rFonts w:ascii="Arial" w:eastAsia="SimSun" w:hAnsi="Arial" w:cs="Arial"/>
          <w:snapToGrid w:val="0"/>
          <w:lang w:val="en-ID"/>
        </w:rPr>
        <w:t xml:space="preserve"> Facilitate capacity development and training across ICGs to strengthen emergency response capabilities of Member States and their Disaster Management </w:t>
      </w:r>
      <w:proofErr w:type="gramStart"/>
      <w:r w:rsidRPr="00A40455">
        <w:rPr>
          <w:rFonts w:ascii="Arial" w:eastAsia="SimSun" w:hAnsi="Arial" w:cs="Arial"/>
          <w:snapToGrid w:val="0"/>
          <w:lang w:val="en-ID"/>
        </w:rPr>
        <w:t>Offices;</w:t>
      </w:r>
      <w:proofErr w:type="gramEnd"/>
    </w:p>
    <w:p w14:paraId="281CB24A" w14:textId="77777777" w:rsidR="00A40455" w:rsidRPr="00A40455" w:rsidRDefault="00A40455" w:rsidP="00A40455">
      <w:pPr>
        <w:numPr>
          <w:ilvl w:val="0"/>
          <w:numId w:val="28"/>
        </w:numPr>
        <w:snapToGrid w:val="0"/>
        <w:spacing w:after="240" w:line="240" w:lineRule="auto"/>
        <w:jc w:val="both"/>
        <w:rPr>
          <w:rFonts w:ascii="Arial" w:eastAsia="SimSun" w:hAnsi="Arial" w:cs="Arial"/>
          <w:snapToGrid w:val="0"/>
          <w:lang w:val="en-US"/>
        </w:rPr>
      </w:pPr>
      <w:r w:rsidRPr="00A40455">
        <w:rPr>
          <w:rFonts w:ascii="Arial" w:eastAsia="SimSun" w:hAnsi="Arial" w:cs="Arial"/>
          <w:snapToGrid w:val="0"/>
          <w:lang w:val="en-ID"/>
        </w:rPr>
        <w:t xml:space="preserve"> Promote existing and encourage the development of preparedness programmes and assessment tools, and synergies with other initiatives (e.g. resilient cities, safe schools etc) that have been successful in one regional Tsunami Warning and Mitigation Systems as </w:t>
      </w:r>
      <w:proofErr w:type="gramStart"/>
      <w:r w:rsidRPr="00A40455">
        <w:rPr>
          <w:rFonts w:ascii="Arial" w:eastAsia="SimSun" w:hAnsi="Arial" w:cs="Arial"/>
          <w:snapToGrid w:val="0"/>
          <w:lang w:val="en-ID"/>
        </w:rPr>
        <w:t>appropriate;</w:t>
      </w:r>
      <w:proofErr w:type="gramEnd"/>
    </w:p>
    <w:p w14:paraId="6FF087B0" w14:textId="77777777" w:rsidR="00A40455" w:rsidRPr="00A40455" w:rsidRDefault="00A40455" w:rsidP="00A40455">
      <w:pPr>
        <w:numPr>
          <w:ilvl w:val="0"/>
          <w:numId w:val="28"/>
        </w:numPr>
        <w:snapToGrid w:val="0"/>
        <w:spacing w:after="240" w:line="240" w:lineRule="auto"/>
        <w:jc w:val="both"/>
        <w:rPr>
          <w:rFonts w:ascii="Arial" w:eastAsia="SimSun" w:hAnsi="Arial" w:cs="Arial"/>
          <w:snapToGrid w:val="0"/>
          <w:lang w:val="en-US"/>
        </w:rPr>
      </w:pPr>
      <w:r w:rsidRPr="00A40455">
        <w:rPr>
          <w:rFonts w:ascii="Arial" w:eastAsia="SimSun" w:hAnsi="Arial" w:cs="Arial"/>
          <w:snapToGrid w:val="0"/>
          <w:lang w:val="en-ID"/>
        </w:rPr>
        <w:t xml:space="preserve"> Facilitate the coordination of the TICs of the ICGs and reinforce their ability to serve as a clearinghouse for the development of educational and preparedness products, and capacity development and </w:t>
      </w:r>
      <w:proofErr w:type="gramStart"/>
      <w:r w:rsidRPr="00A40455">
        <w:rPr>
          <w:rFonts w:ascii="Arial" w:eastAsia="SimSun" w:hAnsi="Arial" w:cs="Arial"/>
          <w:snapToGrid w:val="0"/>
          <w:lang w:val="en-ID"/>
        </w:rPr>
        <w:t>training;</w:t>
      </w:r>
      <w:proofErr w:type="gramEnd"/>
    </w:p>
    <w:p w14:paraId="79925DB9" w14:textId="77777777" w:rsidR="00A40455" w:rsidRPr="00A40455" w:rsidRDefault="00A40455" w:rsidP="00A40455">
      <w:pPr>
        <w:numPr>
          <w:ilvl w:val="0"/>
          <w:numId w:val="28"/>
        </w:numPr>
        <w:snapToGrid w:val="0"/>
        <w:spacing w:after="240" w:line="240" w:lineRule="auto"/>
        <w:jc w:val="both"/>
        <w:rPr>
          <w:rFonts w:ascii="Arial" w:eastAsia="SimSun" w:hAnsi="Arial" w:cs="Arial"/>
          <w:snapToGrid w:val="0"/>
          <w:lang w:val="en-US"/>
        </w:rPr>
      </w:pPr>
      <w:r w:rsidRPr="00A40455">
        <w:rPr>
          <w:rFonts w:ascii="Arial" w:eastAsia="SimSun" w:hAnsi="Arial" w:cs="Arial"/>
          <w:snapToGrid w:val="0"/>
          <w:lang w:val="en-ID"/>
        </w:rPr>
        <w:lastRenderedPageBreak/>
        <w:t> Report to the TOWS–WG.</w:t>
      </w:r>
    </w:p>
    <w:p w14:paraId="7F228CE5" w14:textId="77777777" w:rsidR="00A40455" w:rsidRPr="00A40455" w:rsidRDefault="00A40455" w:rsidP="00A40455">
      <w:pPr>
        <w:tabs>
          <w:tab w:val="left" w:pos="709"/>
        </w:tabs>
        <w:snapToGrid w:val="0"/>
        <w:spacing w:after="240" w:line="240" w:lineRule="auto"/>
        <w:jc w:val="both"/>
        <w:rPr>
          <w:rFonts w:ascii="Arial" w:eastAsia="SimSun" w:hAnsi="Arial" w:cs="Arial"/>
          <w:snapToGrid w:val="0"/>
          <w:lang w:val="en-US"/>
        </w:rPr>
      </w:pPr>
      <w:r w:rsidRPr="00A40455">
        <w:rPr>
          <w:rFonts w:ascii="Arial" w:eastAsia="SimSun" w:hAnsi="Arial" w:cs="Arial"/>
          <w:snapToGrid w:val="0"/>
          <w:lang w:val="en-ID"/>
        </w:rPr>
        <w:t>The representatives to the Inter-ICG Task Team on Disaster Management and Preparedness shall be nominated by their respective ICG Chairpersons. The membership shall consist of two representatives from each ICG, one of which may represent the ICG’s Tsunami Information Center. The IOC Chair will appoint the Chair of the Task Team.</w:t>
      </w:r>
    </w:p>
    <w:p w14:paraId="416C92F9" w14:textId="77777777" w:rsidR="00785E06" w:rsidRDefault="00785E06" w:rsidP="00785E06">
      <w:pPr>
        <w:tabs>
          <w:tab w:val="left" w:pos="709"/>
        </w:tabs>
        <w:snapToGrid w:val="0"/>
        <w:spacing w:after="240" w:line="240" w:lineRule="auto"/>
        <w:jc w:val="both"/>
        <w:rPr>
          <w:rFonts w:asciiTheme="minorBidi" w:eastAsia="SimSun" w:hAnsiTheme="minorBidi"/>
          <w:snapToGrid w:val="0"/>
          <w:lang w:val="en-US"/>
        </w:rPr>
      </w:pPr>
    </w:p>
    <w:p w14:paraId="77DD02E5" w14:textId="77777777" w:rsidR="00785E06" w:rsidRPr="001D1E2F" w:rsidRDefault="00785E06" w:rsidP="00785E06">
      <w:pPr>
        <w:tabs>
          <w:tab w:val="left" w:pos="709"/>
        </w:tabs>
        <w:snapToGrid w:val="0"/>
        <w:spacing w:after="240" w:line="240" w:lineRule="auto"/>
        <w:jc w:val="both"/>
        <w:rPr>
          <w:rFonts w:asciiTheme="minorBidi" w:eastAsia="Arial" w:hAnsiTheme="minorBidi"/>
          <w:snapToGrid w:val="0"/>
          <w:lang w:val="en-IN"/>
        </w:rPr>
      </w:pPr>
    </w:p>
    <w:sectPr w:rsidR="00785E06" w:rsidRPr="001D1E2F" w:rsidSect="00737EF6">
      <w:headerReference w:type="even" r:id="rId26"/>
      <w:headerReference w:type="default" r:id="rId27"/>
      <w:headerReference w:type="first" r:id="rId28"/>
      <w:pgSz w:w="11906" w:h="16838" w:code="9"/>
      <w:pgMar w:top="1418" w:right="1418" w:bottom="1418" w:left="1418" w:header="68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ABD3D" w14:textId="77777777" w:rsidR="00C92AB3" w:rsidRDefault="00C92AB3" w:rsidP="00737EF6">
      <w:pPr>
        <w:spacing w:after="0" w:line="240" w:lineRule="auto"/>
      </w:pPr>
      <w:r>
        <w:separator/>
      </w:r>
    </w:p>
  </w:endnote>
  <w:endnote w:type="continuationSeparator" w:id="0">
    <w:p w14:paraId="6CF13837" w14:textId="77777777" w:rsidR="00C92AB3" w:rsidRDefault="00C92AB3" w:rsidP="00737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Times New Roman"/>
    <w:charset w:val="00"/>
    <w:family w:val="auto"/>
    <w:pitch w:val="default"/>
  </w:font>
  <w:font w:name="Times">
    <w:panose1 w:val="02020603050405020304"/>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Segoe UI">
    <w:altName w:val="Cambria"/>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4A3F9" w14:textId="77777777" w:rsidR="00C92AB3" w:rsidRDefault="00C92AB3" w:rsidP="00737EF6">
      <w:pPr>
        <w:spacing w:after="0" w:line="240" w:lineRule="auto"/>
      </w:pPr>
      <w:r>
        <w:separator/>
      </w:r>
    </w:p>
  </w:footnote>
  <w:footnote w:type="continuationSeparator" w:id="0">
    <w:p w14:paraId="14B68B2C" w14:textId="77777777" w:rsidR="00C92AB3" w:rsidRDefault="00C92AB3" w:rsidP="00737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6DABE" w14:textId="07305EA8" w:rsidR="008D0515" w:rsidRDefault="0030792A">
    <w:pPr>
      <w:pStyle w:val="Header"/>
      <w:rPr>
        <w:rFonts w:ascii="Arial" w:hAnsi="Arial" w:cs="Arial"/>
        <w:sz w:val="20"/>
        <w:szCs w:val="20"/>
      </w:rPr>
    </w:pPr>
    <w:r>
      <w:rPr>
        <w:rFonts w:ascii="Arial" w:hAnsi="Arial" w:cs="Arial"/>
        <w:sz w:val="20"/>
        <w:szCs w:val="20"/>
      </w:rPr>
      <w:t>IOC/TOWS-WG-</w:t>
    </w:r>
    <w:r>
      <w:rPr>
        <w:rFonts w:ascii="Arial" w:hAnsi="Arial" w:cs="Arial"/>
        <w:sz w:val="20"/>
        <w:szCs w:val="20"/>
        <w:lang w:val="da-DK"/>
      </w:rPr>
      <w:t>XV</w:t>
    </w:r>
    <w:r>
      <w:rPr>
        <w:rFonts w:ascii="Arial" w:hAnsi="Arial" w:cs="Arial"/>
        <w:sz w:val="20"/>
        <w:szCs w:val="20"/>
      </w:rPr>
      <w:t>/3</w:t>
    </w:r>
  </w:p>
  <w:p w14:paraId="644266BD" w14:textId="77777777" w:rsidR="008D0515" w:rsidRPr="00385803" w:rsidRDefault="0030792A">
    <w:r>
      <w:rPr>
        <w:rFonts w:ascii="Arial" w:hAnsi="Arial" w:cs="Arial"/>
        <w:sz w:val="20"/>
        <w:szCs w:val="20"/>
      </w:rPr>
      <w:t xml:space="preserve">Annex VI </w:t>
    </w:r>
    <w:r w:rsidRPr="003034C7">
      <w:rPr>
        <w:rFonts w:ascii="Arial" w:hAnsi="Arial" w:cs="Arial"/>
        <w:lang w:val="da-DK"/>
      </w:rPr>
      <w:t>–</w:t>
    </w:r>
    <w:r>
      <w:rPr>
        <w:rFonts w:ascii="Arial" w:hAnsi="Arial" w:cs="Arial"/>
        <w:lang w:val="da-DK"/>
      </w:rPr>
      <w:t xml:space="preserve"> </w:t>
    </w:r>
    <w:r w:rsidRPr="003034C7">
      <w:rPr>
        <w:rFonts w:ascii="Arial" w:hAnsi="Arial" w:cs="Arial"/>
        <w:sz w:val="20"/>
        <w:szCs w:val="20"/>
        <w:lang w:val="da-DK"/>
      </w:rPr>
      <w:t xml:space="preserve">page </w:t>
    </w:r>
    <w:r w:rsidRPr="000565DD">
      <w:rPr>
        <w:rFonts w:ascii="Arial" w:hAnsi="Arial" w:cs="Arial"/>
        <w:sz w:val="20"/>
        <w:szCs w:val="20"/>
        <w:lang w:val="en-US"/>
      </w:rPr>
      <w:fldChar w:fldCharType="begin"/>
    </w:r>
    <w:r w:rsidRPr="000565DD">
      <w:rPr>
        <w:rFonts w:ascii="Arial" w:hAnsi="Arial" w:cs="Arial"/>
        <w:sz w:val="20"/>
        <w:szCs w:val="20"/>
        <w:lang w:val="en-US"/>
      </w:rPr>
      <w:instrText xml:space="preserve"> PAGE   \* MERGEFORMAT </w:instrText>
    </w:r>
    <w:r w:rsidRPr="000565DD">
      <w:rPr>
        <w:rFonts w:ascii="Arial" w:hAnsi="Arial" w:cs="Arial"/>
        <w:sz w:val="20"/>
        <w:szCs w:val="20"/>
        <w:lang w:val="en-US"/>
      </w:rPr>
      <w:fldChar w:fldCharType="separate"/>
    </w:r>
    <w:r>
      <w:rPr>
        <w:rFonts w:ascii="Arial" w:hAnsi="Arial" w:cs="Arial"/>
        <w:noProof/>
        <w:sz w:val="20"/>
        <w:szCs w:val="20"/>
        <w:lang w:val="en-US"/>
      </w:rPr>
      <w:t>2</w:t>
    </w:r>
    <w:r w:rsidRPr="000565DD">
      <w:rPr>
        <w:rFonts w:ascii="Arial" w:hAnsi="Arial" w:cs="Arial"/>
        <w:noProof/>
        <w:sz w:val="20"/>
        <w:szCs w:val="20"/>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6BF58" w14:textId="65ABF845" w:rsidR="008D0515" w:rsidRPr="0084325B" w:rsidRDefault="0030792A" w:rsidP="00EC419E">
    <w:pPr>
      <w:pStyle w:val="Header"/>
      <w:ind w:left="6946"/>
      <w:rPr>
        <w:rFonts w:ascii="Arial" w:hAnsi="Arial" w:cs="Arial"/>
        <w:sz w:val="20"/>
        <w:szCs w:val="20"/>
        <w:lang w:val="en-US"/>
      </w:rPr>
    </w:pPr>
    <w:r w:rsidRPr="0084325B">
      <w:rPr>
        <w:rFonts w:ascii="Arial" w:hAnsi="Arial" w:cs="Arial"/>
        <w:sz w:val="20"/>
        <w:szCs w:val="20"/>
        <w:lang w:val="en-US"/>
      </w:rPr>
      <w:t>IOC/TOWS-WG-</w:t>
    </w:r>
    <w:r w:rsidR="0084325B" w:rsidRPr="0084325B">
      <w:rPr>
        <w:rFonts w:ascii="Arial" w:hAnsi="Arial" w:cs="Arial"/>
        <w:sz w:val="20"/>
        <w:szCs w:val="20"/>
        <w:lang w:val="en-US"/>
      </w:rPr>
      <w:t>XVI</w:t>
    </w:r>
  </w:p>
  <w:p w14:paraId="73978A67" w14:textId="4B99EF38" w:rsidR="008D0515" w:rsidRPr="0084325B" w:rsidRDefault="0084325B" w:rsidP="00EC419E">
    <w:pPr>
      <w:pStyle w:val="Header"/>
      <w:ind w:left="6946"/>
      <w:rPr>
        <w:rFonts w:ascii="Arial" w:hAnsi="Arial" w:cs="Arial"/>
        <w:noProof/>
        <w:sz w:val="20"/>
        <w:szCs w:val="20"/>
        <w:lang w:val="en-US"/>
      </w:rPr>
    </w:pPr>
    <w:r w:rsidRPr="0084325B">
      <w:rPr>
        <w:rFonts w:ascii="Arial" w:hAnsi="Arial" w:cs="Arial"/>
        <w:sz w:val="20"/>
        <w:szCs w:val="20"/>
        <w:lang w:val="en-US"/>
      </w:rPr>
      <w:t>Rec</w:t>
    </w:r>
    <w:r w:rsidR="0030792A" w:rsidRPr="0084325B">
      <w:rPr>
        <w:rFonts w:ascii="Arial" w:hAnsi="Arial" w:cs="Arial"/>
        <w:sz w:val="20"/>
        <w:szCs w:val="20"/>
        <w:lang w:val="en-US"/>
      </w:rPr>
      <w:t xml:space="preserve"> – page </w:t>
    </w:r>
    <w:r w:rsidR="0030792A" w:rsidRPr="00587D5A">
      <w:rPr>
        <w:rFonts w:ascii="Arial" w:hAnsi="Arial" w:cs="Arial"/>
        <w:sz w:val="20"/>
        <w:szCs w:val="20"/>
      </w:rPr>
      <w:fldChar w:fldCharType="begin"/>
    </w:r>
    <w:r w:rsidR="0030792A" w:rsidRPr="0084325B">
      <w:rPr>
        <w:rFonts w:ascii="Arial" w:hAnsi="Arial" w:cs="Arial"/>
        <w:sz w:val="20"/>
        <w:szCs w:val="20"/>
        <w:lang w:val="en-US"/>
      </w:rPr>
      <w:instrText xml:space="preserve"> PAGE   \* MERGEFORMAT </w:instrText>
    </w:r>
    <w:r w:rsidR="0030792A" w:rsidRPr="00587D5A">
      <w:rPr>
        <w:rFonts w:ascii="Arial" w:hAnsi="Arial" w:cs="Arial"/>
        <w:sz w:val="20"/>
        <w:szCs w:val="20"/>
      </w:rPr>
      <w:fldChar w:fldCharType="separate"/>
    </w:r>
    <w:r w:rsidR="0030792A" w:rsidRPr="0084325B">
      <w:rPr>
        <w:rFonts w:ascii="Arial" w:hAnsi="Arial" w:cs="Arial"/>
        <w:noProof/>
        <w:sz w:val="20"/>
        <w:szCs w:val="20"/>
        <w:lang w:val="en-US"/>
      </w:rPr>
      <w:t>3</w:t>
    </w:r>
    <w:r w:rsidR="0030792A" w:rsidRPr="00587D5A">
      <w:rPr>
        <w:rFonts w:ascii="Arial" w:hAnsi="Arial" w:cs="Arial"/>
        <w:noProof/>
        <w:sz w:val="20"/>
        <w:szCs w:val="20"/>
      </w:rPr>
      <w:fldChar w:fldCharType="end"/>
    </w:r>
  </w:p>
  <w:p w14:paraId="17A57FF1" w14:textId="77777777" w:rsidR="008D0515" w:rsidRPr="0084325B" w:rsidRDefault="008D0515" w:rsidP="00AA4EFD">
    <w:pPr>
      <w:pStyle w:val="Header"/>
      <w:tabs>
        <w:tab w:val="left" w:pos="7088"/>
      </w:tabs>
      <w:ind w:left="7088"/>
      <w:rPr>
        <w:rFonts w:ascii="Arial" w:hAnsi="Arial" w:cs="Arial"/>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8763" w14:textId="455A6BED" w:rsidR="008D0515" w:rsidRDefault="0030792A" w:rsidP="00EC419E">
    <w:pPr>
      <w:pStyle w:val="Header"/>
      <w:ind w:left="6946"/>
      <w:rPr>
        <w:rFonts w:ascii="Arial" w:hAnsi="Arial" w:cs="Arial"/>
        <w:sz w:val="20"/>
        <w:szCs w:val="20"/>
        <w:lang w:val="en-US"/>
      </w:rPr>
    </w:pPr>
    <w:r w:rsidRPr="00737EF6">
      <w:rPr>
        <w:rFonts w:ascii="Arial" w:hAnsi="Arial" w:cs="Arial"/>
        <w:sz w:val="20"/>
        <w:szCs w:val="20"/>
        <w:lang w:val="en-US"/>
      </w:rPr>
      <w:t>IOC/TOWS-WG-</w:t>
    </w:r>
    <w:r>
      <w:rPr>
        <w:rFonts w:ascii="Arial" w:hAnsi="Arial" w:cs="Arial"/>
        <w:sz w:val="20"/>
        <w:szCs w:val="20"/>
        <w:lang w:val="en-US"/>
      </w:rPr>
      <w:t>XV</w:t>
    </w:r>
    <w:r w:rsidR="0084325B">
      <w:rPr>
        <w:rFonts w:ascii="Arial" w:hAnsi="Arial" w:cs="Arial"/>
        <w:sz w:val="20"/>
        <w:szCs w:val="20"/>
        <w:lang w:val="en-US"/>
      </w:rPr>
      <w:t>I</w:t>
    </w:r>
    <w:r w:rsidR="002D2667">
      <w:rPr>
        <w:rFonts w:ascii="Arial" w:hAnsi="Arial" w:cs="Arial"/>
        <w:sz w:val="20"/>
        <w:szCs w:val="20"/>
        <w:lang w:val="en-US"/>
      </w:rPr>
      <w:t>II</w:t>
    </w:r>
  </w:p>
  <w:p w14:paraId="3F3DA7E1" w14:textId="43130454" w:rsidR="0084325B" w:rsidRPr="00737EF6" w:rsidRDefault="0084325B" w:rsidP="00EC419E">
    <w:pPr>
      <w:pStyle w:val="Header"/>
      <w:ind w:left="6946"/>
      <w:rPr>
        <w:rFonts w:ascii="Arial" w:hAnsi="Arial" w:cs="Arial"/>
        <w:sz w:val="20"/>
        <w:szCs w:val="20"/>
        <w:lang w:val="en-US"/>
      </w:rPr>
    </w:pPr>
    <w:r>
      <w:rPr>
        <w:rFonts w:ascii="Arial" w:hAnsi="Arial" w:cs="Arial"/>
        <w:sz w:val="20"/>
        <w:szCs w:val="20"/>
        <w:lang w:val="en-US"/>
      </w:rPr>
      <w:t>Rec – page 1</w:t>
    </w:r>
  </w:p>
  <w:p w14:paraId="0426C5BF" w14:textId="0C7D3F63" w:rsidR="008D0515" w:rsidRPr="00737EF6" w:rsidRDefault="0030792A" w:rsidP="00EC419E">
    <w:pPr>
      <w:pStyle w:val="Header"/>
      <w:ind w:left="6946" w:hanging="6946"/>
      <w:rPr>
        <w:lang w:val="en-US"/>
      </w:rPr>
    </w:pPr>
    <w:r w:rsidRPr="00737EF6">
      <w:rPr>
        <w:rFonts w:ascii="Arial" w:hAnsi="Arial" w:cs="Arial"/>
        <w:sz w:val="20"/>
        <w:szCs w:val="20"/>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81209"/>
    <w:multiLevelType w:val="hybridMultilevel"/>
    <w:tmpl w:val="2B7A700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 w15:restartNumberingAfterBreak="0">
    <w:nsid w:val="17793DFB"/>
    <w:multiLevelType w:val="hybridMultilevel"/>
    <w:tmpl w:val="A680EC52"/>
    <w:lvl w:ilvl="0" w:tplc="57806148">
      <w:start w:val="2"/>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2B5744"/>
    <w:multiLevelType w:val="singleLevel"/>
    <w:tmpl w:val="4ED6F432"/>
    <w:lvl w:ilvl="0">
      <w:start w:val="1"/>
      <w:numFmt w:val="lowerLetter"/>
      <w:lvlText w:val="%1)"/>
      <w:legacy w:legacy="1" w:legacySpace="113" w:legacyIndent="567"/>
      <w:lvlJc w:val="left"/>
      <w:pPr>
        <w:ind w:left="1248" w:hanging="567"/>
      </w:pPr>
    </w:lvl>
  </w:abstractNum>
  <w:abstractNum w:abstractNumId="3" w15:restartNumberingAfterBreak="0">
    <w:nsid w:val="1D63184D"/>
    <w:multiLevelType w:val="multilevel"/>
    <w:tmpl w:val="69625774"/>
    <w:lvl w:ilvl="0">
      <w:start w:val="1"/>
      <w:numFmt w:val="lowerLetter"/>
      <w:lvlText w:val="(%1)"/>
      <w:lvlJc w:val="left"/>
      <w:pPr>
        <w:tabs>
          <w:tab w:val="num" w:pos="567"/>
        </w:tabs>
        <w:ind w:left="567" w:hanging="567"/>
      </w:pPr>
      <w:rPr>
        <w:rFonts w:hint="default"/>
      </w:rPr>
    </w:lvl>
    <w:lvl w:ilvl="1">
      <w:start w:val="2"/>
      <w:numFmt w:val="decimal"/>
      <w:lvlText w:val="%2)"/>
      <w:lvlJc w:val="left"/>
      <w:pPr>
        <w:tabs>
          <w:tab w:val="num" w:pos="1440"/>
        </w:tabs>
        <w:ind w:left="1440" w:hanging="360"/>
      </w:pPr>
      <w:rPr>
        <w:rFonts w:hint="default"/>
      </w:rPr>
    </w:lvl>
    <w:lvl w:ilvl="2">
      <w:start w:val="2"/>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26D61B7F"/>
    <w:multiLevelType w:val="hybridMultilevel"/>
    <w:tmpl w:val="3C420A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454906"/>
    <w:multiLevelType w:val="hybridMultilevel"/>
    <w:tmpl w:val="6CB86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0D3866"/>
    <w:multiLevelType w:val="hybridMultilevel"/>
    <w:tmpl w:val="57FE47EC"/>
    <w:lvl w:ilvl="0" w:tplc="332EEF7E">
      <w:start w:val="31"/>
      <w:numFmt w:val="bullet"/>
      <w:lvlText w:val="-"/>
      <w:lvlJc w:val="left"/>
      <w:pPr>
        <w:ind w:left="720" w:hanging="360"/>
      </w:pPr>
      <w:rPr>
        <w:rFonts w:ascii="Arial" w:eastAsia="SimSu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3D5B3B"/>
    <w:multiLevelType w:val="multilevel"/>
    <w:tmpl w:val="5F64E282"/>
    <w:lvl w:ilvl="0">
      <w:numFmt w:val="bullet"/>
      <w:lvlText w:val="-"/>
      <w:lvlJc w:val="left"/>
      <w:pPr>
        <w:ind w:left="1080" w:hanging="360"/>
      </w:pPr>
      <w:rPr>
        <w:rFonts w:ascii="Times New Roman" w:eastAsia="Times New Roman" w:hAnsi="Times New Roman" w:cs="Times New Roman" w:hint="default"/>
        <w:b w:val="0"/>
        <w:bCs w:val="0"/>
        <w:i w:val="0"/>
        <w:iCs w:val="0"/>
        <w:w w:val="100"/>
        <w:sz w:val="22"/>
        <w:szCs w:val="22"/>
        <w:lang w:val="en-US" w:eastAsia="en-US" w:bidi="ar-SA"/>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37FC08C2"/>
    <w:multiLevelType w:val="hybridMultilevel"/>
    <w:tmpl w:val="47469484"/>
    <w:lvl w:ilvl="0" w:tplc="F79CC190">
      <w:start w:val="1"/>
      <w:numFmt w:val="lowerRoman"/>
      <w:lvlText w:val="%1."/>
      <w:lvlJc w:val="right"/>
      <w:pPr>
        <w:tabs>
          <w:tab w:val="num" w:pos="720"/>
        </w:tabs>
        <w:ind w:left="720" w:hanging="360"/>
      </w:pPr>
    </w:lvl>
    <w:lvl w:ilvl="1" w:tplc="361052FE" w:tentative="1">
      <w:start w:val="1"/>
      <w:numFmt w:val="lowerRoman"/>
      <w:lvlText w:val="%2."/>
      <w:lvlJc w:val="right"/>
      <w:pPr>
        <w:tabs>
          <w:tab w:val="num" w:pos="1440"/>
        </w:tabs>
        <w:ind w:left="1440" w:hanging="360"/>
      </w:pPr>
    </w:lvl>
    <w:lvl w:ilvl="2" w:tplc="465EF9C8" w:tentative="1">
      <w:start w:val="1"/>
      <w:numFmt w:val="lowerRoman"/>
      <w:lvlText w:val="%3."/>
      <w:lvlJc w:val="right"/>
      <w:pPr>
        <w:tabs>
          <w:tab w:val="num" w:pos="2160"/>
        </w:tabs>
        <w:ind w:left="2160" w:hanging="360"/>
      </w:pPr>
    </w:lvl>
    <w:lvl w:ilvl="3" w:tplc="30266DD4" w:tentative="1">
      <w:start w:val="1"/>
      <w:numFmt w:val="lowerRoman"/>
      <w:lvlText w:val="%4."/>
      <w:lvlJc w:val="right"/>
      <w:pPr>
        <w:tabs>
          <w:tab w:val="num" w:pos="2880"/>
        </w:tabs>
        <w:ind w:left="2880" w:hanging="360"/>
      </w:pPr>
    </w:lvl>
    <w:lvl w:ilvl="4" w:tplc="CC6E3D8A" w:tentative="1">
      <w:start w:val="1"/>
      <w:numFmt w:val="lowerRoman"/>
      <w:lvlText w:val="%5."/>
      <w:lvlJc w:val="right"/>
      <w:pPr>
        <w:tabs>
          <w:tab w:val="num" w:pos="3600"/>
        </w:tabs>
        <w:ind w:left="3600" w:hanging="360"/>
      </w:pPr>
    </w:lvl>
    <w:lvl w:ilvl="5" w:tplc="5A666302" w:tentative="1">
      <w:start w:val="1"/>
      <w:numFmt w:val="lowerRoman"/>
      <w:lvlText w:val="%6."/>
      <w:lvlJc w:val="right"/>
      <w:pPr>
        <w:tabs>
          <w:tab w:val="num" w:pos="4320"/>
        </w:tabs>
        <w:ind w:left="4320" w:hanging="360"/>
      </w:pPr>
    </w:lvl>
    <w:lvl w:ilvl="6" w:tplc="9D2AD670" w:tentative="1">
      <w:start w:val="1"/>
      <w:numFmt w:val="lowerRoman"/>
      <w:lvlText w:val="%7."/>
      <w:lvlJc w:val="right"/>
      <w:pPr>
        <w:tabs>
          <w:tab w:val="num" w:pos="5040"/>
        </w:tabs>
        <w:ind w:left="5040" w:hanging="360"/>
      </w:pPr>
    </w:lvl>
    <w:lvl w:ilvl="7" w:tplc="37808E64" w:tentative="1">
      <w:start w:val="1"/>
      <w:numFmt w:val="lowerRoman"/>
      <w:lvlText w:val="%8."/>
      <w:lvlJc w:val="right"/>
      <w:pPr>
        <w:tabs>
          <w:tab w:val="num" w:pos="5760"/>
        </w:tabs>
        <w:ind w:left="5760" w:hanging="360"/>
      </w:pPr>
    </w:lvl>
    <w:lvl w:ilvl="8" w:tplc="39C49CF2" w:tentative="1">
      <w:start w:val="1"/>
      <w:numFmt w:val="lowerRoman"/>
      <w:lvlText w:val="%9."/>
      <w:lvlJc w:val="right"/>
      <w:pPr>
        <w:tabs>
          <w:tab w:val="num" w:pos="6480"/>
        </w:tabs>
        <w:ind w:left="6480" w:hanging="360"/>
      </w:pPr>
    </w:lvl>
  </w:abstractNum>
  <w:abstractNum w:abstractNumId="9" w15:restartNumberingAfterBreak="0">
    <w:nsid w:val="39BA63A9"/>
    <w:multiLevelType w:val="hybridMultilevel"/>
    <w:tmpl w:val="AAEA7F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12D1C85"/>
    <w:multiLevelType w:val="hybridMultilevel"/>
    <w:tmpl w:val="7FEC0E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5034502"/>
    <w:multiLevelType w:val="hybridMultilevel"/>
    <w:tmpl w:val="613811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87502A7"/>
    <w:multiLevelType w:val="hybridMultilevel"/>
    <w:tmpl w:val="51EE8688"/>
    <w:lvl w:ilvl="0" w:tplc="2B0CE24C">
      <w:start w:val="1"/>
      <w:numFmt w:val="bullet"/>
      <w:lvlText w:val="-"/>
      <w:lvlJc w:val="left"/>
      <w:pPr>
        <w:tabs>
          <w:tab w:val="num" w:pos="1080"/>
        </w:tabs>
        <w:ind w:left="1080" w:hanging="360"/>
      </w:pPr>
      <w:rPr>
        <w:rFonts w:ascii="Arial" w:eastAsia="Times New Roman" w:hAnsi="Arial" w:cs="Arial" w:hint="default"/>
      </w:rPr>
    </w:lvl>
    <w:lvl w:ilvl="1" w:tplc="FFFFFFFF" w:tentative="1">
      <w:start w:val="1"/>
      <w:numFmt w:val="lowerLetter"/>
      <w:lvlText w:val="%2)"/>
      <w:lvlJc w:val="left"/>
      <w:pPr>
        <w:tabs>
          <w:tab w:val="num" w:pos="1800"/>
        </w:tabs>
        <w:ind w:left="1800" w:hanging="360"/>
      </w:pPr>
    </w:lvl>
    <w:lvl w:ilvl="2" w:tplc="FFFFFFFF" w:tentative="1">
      <w:start w:val="1"/>
      <w:numFmt w:val="lowerLetter"/>
      <w:lvlText w:val="%3)"/>
      <w:lvlJc w:val="left"/>
      <w:pPr>
        <w:tabs>
          <w:tab w:val="num" w:pos="2520"/>
        </w:tabs>
        <w:ind w:left="2520" w:hanging="360"/>
      </w:pPr>
    </w:lvl>
    <w:lvl w:ilvl="3" w:tplc="FFFFFFFF" w:tentative="1">
      <w:start w:val="1"/>
      <w:numFmt w:val="lowerLetter"/>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Letter"/>
      <w:lvlText w:val="%6)"/>
      <w:lvlJc w:val="left"/>
      <w:pPr>
        <w:tabs>
          <w:tab w:val="num" w:pos="4680"/>
        </w:tabs>
        <w:ind w:left="4680" w:hanging="360"/>
      </w:pPr>
    </w:lvl>
    <w:lvl w:ilvl="6" w:tplc="FFFFFFFF" w:tentative="1">
      <w:start w:val="1"/>
      <w:numFmt w:val="lowerLetter"/>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Letter"/>
      <w:lvlText w:val="%9)"/>
      <w:lvlJc w:val="left"/>
      <w:pPr>
        <w:tabs>
          <w:tab w:val="num" w:pos="6840"/>
        </w:tabs>
        <w:ind w:left="6840" w:hanging="360"/>
      </w:pPr>
    </w:lvl>
  </w:abstractNum>
  <w:abstractNum w:abstractNumId="13" w15:restartNumberingAfterBreak="0">
    <w:nsid w:val="48BA3A62"/>
    <w:multiLevelType w:val="multilevel"/>
    <w:tmpl w:val="E78C9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F7702F"/>
    <w:multiLevelType w:val="hybridMultilevel"/>
    <w:tmpl w:val="37147F9A"/>
    <w:lvl w:ilvl="0" w:tplc="57806148">
      <w:start w:val="2"/>
      <w:numFmt w:val="bullet"/>
      <w:lvlText w:val="-"/>
      <w:lvlJc w:val="left"/>
      <w:pPr>
        <w:ind w:left="783" w:hanging="360"/>
      </w:pPr>
      <w:rPr>
        <w:rFonts w:ascii="Times New Roman" w:eastAsiaTheme="minorHAnsi" w:hAnsi="Times New Roman" w:cs="Times New Roman"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4D13261A"/>
    <w:multiLevelType w:val="hybridMultilevel"/>
    <w:tmpl w:val="CBF4E5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8E5292"/>
    <w:multiLevelType w:val="hybridMultilevel"/>
    <w:tmpl w:val="EF5C2F06"/>
    <w:lvl w:ilvl="0" w:tplc="6A76A9DC">
      <w:numFmt w:val="bullet"/>
      <w:lvlText w:val=""/>
      <w:lvlJc w:val="left"/>
      <w:pPr>
        <w:ind w:left="120" w:hanging="360"/>
      </w:pPr>
      <w:rPr>
        <w:rFonts w:ascii="Symbol" w:eastAsia="Symbol" w:hAnsi="Symbol" w:cs="Symbol" w:hint="default"/>
        <w:w w:val="100"/>
        <w:sz w:val="24"/>
        <w:szCs w:val="24"/>
      </w:rPr>
    </w:lvl>
    <w:lvl w:ilvl="1" w:tplc="EE945CC4">
      <w:numFmt w:val="bullet"/>
      <w:lvlText w:val="•"/>
      <w:lvlJc w:val="left"/>
      <w:pPr>
        <w:ind w:left="1034" w:hanging="360"/>
      </w:pPr>
      <w:rPr>
        <w:rFonts w:hint="default"/>
      </w:rPr>
    </w:lvl>
    <w:lvl w:ilvl="2" w:tplc="4C6AEDE2">
      <w:numFmt w:val="bullet"/>
      <w:lvlText w:val="•"/>
      <w:lvlJc w:val="left"/>
      <w:pPr>
        <w:ind w:left="1949" w:hanging="360"/>
      </w:pPr>
      <w:rPr>
        <w:rFonts w:hint="default"/>
      </w:rPr>
    </w:lvl>
    <w:lvl w:ilvl="3" w:tplc="A85C6340">
      <w:numFmt w:val="bullet"/>
      <w:lvlText w:val="•"/>
      <w:lvlJc w:val="left"/>
      <w:pPr>
        <w:ind w:left="2863" w:hanging="360"/>
      </w:pPr>
      <w:rPr>
        <w:rFonts w:hint="default"/>
      </w:rPr>
    </w:lvl>
    <w:lvl w:ilvl="4" w:tplc="FAC63890">
      <w:numFmt w:val="bullet"/>
      <w:lvlText w:val="•"/>
      <w:lvlJc w:val="left"/>
      <w:pPr>
        <w:ind w:left="3778" w:hanging="360"/>
      </w:pPr>
      <w:rPr>
        <w:rFonts w:hint="default"/>
      </w:rPr>
    </w:lvl>
    <w:lvl w:ilvl="5" w:tplc="33884088">
      <w:numFmt w:val="bullet"/>
      <w:lvlText w:val="•"/>
      <w:lvlJc w:val="left"/>
      <w:pPr>
        <w:ind w:left="4693" w:hanging="360"/>
      </w:pPr>
      <w:rPr>
        <w:rFonts w:hint="default"/>
      </w:rPr>
    </w:lvl>
    <w:lvl w:ilvl="6" w:tplc="0C92B328">
      <w:numFmt w:val="bullet"/>
      <w:lvlText w:val="•"/>
      <w:lvlJc w:val="left"/>
      <w:pPr>
        <w:ind w:left="5607" w:hanging="360"/>
      </w:pPr>
      <w:rPr>
        <w:rFonts w:hint="default"/>
      </w:rPr>
    </w:lvl>
    <w:lvl w:ilvl="7" w:tplc="ABD472FA">
      <w:numFmt w:val="bullet"/>
      <w:lvlText w:val="•"/>
      <w:lvlJc w:val="left"/>
      <w:pPr>
        <w:ind w:left="6522" w:hanging="360"/>
      </w:pPr>
      <w:rPr>
        <w:rFonts w:hint="default"/>
      </w:rPr>
    </w:lvl>
    <w:lvl w:ilvl="8" w:tplc="449450A4">
      <w:numFmt w:val="bullet"/>
      <w:lvlText w:val="•"/>
      <w:lvlJc w:val="left"/>
      <w:pPr>
        <w:ind w:left="7437" w:hanging="360"/>
      </w:pPr>
      <w:rPr>
        <w:rFonts w:hint="default"/>
      </w:rPr>
    </w:lvl>
  </w:abstractNum>
  <w:abstractNum w:abstractNumId="17" w15:restartNumberingAfterBreak="0">
    <w:nsid w:val="4FCB584B"/>
    <w:multiLevelType w:val="hybridMultilevel"/>
    <w:tmpl w:val="09427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370BA2"/>
    <w:multiLevelType w:val="hybridMultilevel"/>
    <w:tmpl w:val="F9027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0C856B9"/>
    <w:multiLevelType w:val="hybridMultilevel"/>
    <w:tmpl w:val="4F8ABAF0"/>
    <w:lvl w:ilvl="0" w:tplc="32AC4466">
      <w:start w:val="1"/>
      <w:numFmt w:val="lowerRoman"/>
      <w:lvlText w:val="(%1)"/>
      <w:lvlJc w:val="left"/>
      <w:pPr>
        <w:tabs>
          <w:tab w:val="num" w:pos="1440"/>
        </w:tabs>
        <w:ind w:left="1440" w:hanging="720"/>
      </w:pPr>
      <w:rPr>
        <w:rFonts w:ascii="Arial" w:eastAsia="Times New Roman" w:hAnsi="Arial" w:cs="Times" w:hint="default"/>
      </w:rPr>
    </w:lvl>
    <w:lvl w:ilvl="1" w:tplc="850CB132">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56D6B6C"/>
    <w:multiLevelType w:val="hybridMultilevel"/>
    <w:tmpl w:val="A8FE8248"/>
    <w:lvl w:ilvl="0" w:tplc="72AA4670">
      <w:start w:val="1"/>
      <w:numFmt w:val="bullet"/>
      <w:lvlText w:val="•"/>
      <w:lvlJc w:val="left"/>
      <w:pPr>
        <w:tabs>
          <w:tab w:val="num" w:pos="720"/>
        </w:tabs>
        <w:ind w:left="720" w:hanging="360"/>
      </w:pPr>
      <w:rPr>
        <w:rFonts w:ascii="Arial" w:hAnsi="Arial" w:hint="default"/>
      </w:rPr>
    </w:lvl>
    <w:lvl w:ilvl="1" w:tplc="83B66524" w:tentative="1">
      <w:start w:val="1"/>
      <w:numFmt w:val="bullet"/>
      <w:lvlText w:val="•"/>
      <w:lvlJc w:val="left"/>
      <w:pPr>
        <w:tabs>
          <w:tab w:val="num" w:pos="1440"/>
        </w:tabs>
        <w:ind w:left="1440" w:hanging="360"/>
      </w:pPr>
      <w:rPr>
        <w:rFonts w:ascii="Arial" w:hAnsi="Arial" w:hint="default"/>
      </w:rPr>
    </w:lvl>
    <w:lvl w:ilvl="2" w:tplc="8B72FC96" w:tentative="1">
      <w:start w:val="1"/>
      <w:numFmt w:val="bullet"/>
      <w:lvlText w:val="•"/>
      <w:lvlJc w:val="left"/>
      <w:pPr>
        <w:tabs>
          <w:tab w:val="num" w:pos="2160"/>
        </w:tabs>
        <w:ind w:left="2160" w:hanging="360"/>
      </w:pPr>
      <w:rPr>
        <w:rFonts w:ascii="Arial" w:hAnsi="Arial" w:hint="default"/>
      </w:rPr>
    </w:lvl>
    <w:lvl w:ilvl="3" w:tplc="9C96D374" w:tentative="1">
      <w:start w:val="1"/>
      <w:numFmt w:val="bullet"/>
      <w:lvlText w:val="•"/>
      <w:lvlJc w:val="left"/>
      <w:pPr>
        <w:tabs>
          <w:tab w:val="num" w:pos="2880"/>
        </w:tabs>
        <w:ind w:left="2880" w:hanging="360"/>
      </w:pPr>
      <w:rPr>
        <w:rFonts w:ascii="Arial" w:hAnsi="Arial" w:hint="default"/>
      </w:rPr>
    </w:lvl>
    <w:lvl w:ilvl="4" w:tplc="9FEA3B9E" w:tentative="1">
      <w:start w:val="1"/>
      <w:numFmt w:val="bullet"/>
      <w:lvlText w:val="•"/>
      <w:lvlJc w:val="left"/>
      <w:pPr>
        <w:tabs>
          <w:tab w:val="num" w:pos="3600"/>
        </w:tabs>
        <w:ind w:left="3600" w:hanging="360"/>
      </w:pPr>
      <w:rPr>
        <w:rFonts w:ascii="Arial" w:hAnsi="Arial" w:hint="default"/>
      </w:rPr>
    </w:lvl>
    <w:lvl w:ilvl="5" w:tplc="AB5696DC" w:tentative="1">
      <w:start w:val="1"/>
      <w:numFmt w:val="bullet"/>
      <w:lvlText w:val="•"/>
      <w:lvlJc w:val="left"/>
      <w:pPr>
        <w:tabs>
          <w:tab w:val="num" w:pos="4320"/>
        </w:tabs>
        <w:ind w:left="4320" w:hanging="360"/>
      </w:pPr>
      <w:rPr>
        <w:rFonts w:ascii="Arial" w:hAnsi="Arial" w:hint="default"/>
      </w:rPr>
    </w:lvl>
    <w:lvl w:ilvl="6" w:tplc="FE049634" w:tentative="1">
      <w:start w:val="1"/>
      <w:numFmt w:val="bullet"/>
      <w:lvlText w:val="•"/>
      <w:lvlJc w:val="left"/>
      <w:pPr>
        <w:tabs>
          <w:tab w:val="num" w:pos="5040"/>
        </w:tabs>
        <w:ind w:left="5040" w:hanging="360"/>
      </w:pPr>
      <w:rPr>
        <w:rFonts w:ascii="Arial" w:hAnsi="Arial" w:hint="default"/>
      </w:rPr>
    </w:lvl>
    <w:lvl w:ilvl="7" w:tplc="CD76DB3E" w:tentative="1">
      <w:start w:val="1"/>
      <w:numFmt w:val="bullet"/>
      <w:lvlText w:val="•"/>
      <w:lvlJc w:val="left"/>
      <w:pPr>
        <w:tabs>
          <w:tab w:val="num" w:pos="5760"/>
        </w:tabs>
        <w:ind w:left="5760" w:hanging="360"/>
      </w:pPr>
      <w:rPr>
        <w:rFonts w:ascii="Arial" w:hAnsi="Arial" w:hint="default"/>
      </w:rPr>
    </w:lvl>
    <w:lvl w:ilvl="8" w:tplc="67ACC18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90E30A9"/>
    <w:multiLevelType w:val="hybridMultilevel"/>
    <w:tmpl w:val="ED1265AE"/>
    <w:lvl w:ilvl="0" w:tplc="83689A54">
      <w:start w:val="500"/>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091BAC"/>
    <w:multiLevelType w:val="multilevel"/>
    <w:tmpl w:val="878EC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B4668B"/>
    <w:multiLevelType w:val="hybridMultilevel"/>
    <w:tmpl w:val="39E09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0" w:hanging="360"/>
      </w:pPr>
      <w:rPr>
        <w:rFonts w:ascii="Courier New" w:hAnsi="Courier New" w:cs="Courier New" w:hint="default"/>
      </w:rPr>
    </w:lvl>
    <w:lvl w:ilvl="2" w:tplc="040C0005" w:tentative="1">
      <w:start w:val="1"/>
      <w:numFmt w:val="bullet"/>
      <w:lvlText w:val=""/>
      <w:lvlJc w:val="left"/>
      <w:pPr>
        <w:ind w:left="720" w:hanging="360"/>
      </w:pPr>
      <w:rPr>
        <w:rFonts w:ascii="Wingdings" w:hAnsi="Wingdings" w:hint="default"/>
      </w:rPr>
    </w:lvl>
    <w:lvl w:ilvl="3" w:tplc="040C0001" w:tentative="1">
      <w:start w:val="1"/>
      <w:numFmt w:val="bullet"/>
      <w:lvlText w:val=""/>
      <w:lvlJc w:val="left"/>
      <w:pPr>
        <w:ind w:left="1440" w:hanging="360"/>
      </w:pPr>
      <w:rPr>
        <w:rFonts w:ascii="Symbol" w:hAnsi="Symbol" w:hint="default"/>
      </w:rPr>
    </w:lvl>
    <w:lvl w:ilvl="4" w:tplc="040C0003" w:tentative="1">
      <w:start w:val="1"/>
      <w:numFmt w:val="bullet"/>
      <w:lvlText w:val="o"/>
      <w:lvlJc w:val="left"/>
      <w:pPr>
        <w:ind w:left="2160" w:hanging="360"/>
      </w:pPr>
      <w:rPr>
        <w:rFonts w:ascii="Courier New" w:hAnsi="Courier New" w:cs="Courier New" w:hint="default"/>
      </w:rPr>
    </w:lvl>
    <w:lvl w:ilvl="5" w:tplc="040C0005" w:tentative="1">
      <w:start w:val="1"/>
      <w:numFmt w:val="bullet"/>
      <w:lvlText w:val=""/>
      <w:lvlJc w:val="left"/>
      <w:pPr>
        <w:ind w:left="2880" w:hanging="360"/>
      </w:pPr>
      <w:rPr>
        <w:rFonts w:ascii="Wingdings" w:hAnsi="Wingdings" w:hint="default"/>
      </w:rPr>
    </w:lvl>
    <w:lvl w:ilvl="6" w:tplc="040C0001" w:tentative="1">
      <w:start w:val="1"/>
      <w:numFmt w:val="bullet"/>
      <w:lvlText w:val=""/>
      <w:lvlJc w:val="left"/>
      <w:pPr>
        <w:ind w:left="3600" w:hanging="360"/>
      </w:pPr>
      <w:rPr>
        <w:rFonts w:ascii="Symbol" w:hAnsi="Symbol" w:hint="default"/>
      </w:rPr>
    </w:lvl>
    <w:lvl w:ilvl="7" w:tplc="040C0003" w:tentative="1">
      <w:start w:val="1"/>
      <w:numFmt w:val="bullet"/>
      <w:lvlText w:val="o"/>
      <w:lvlJc w:val="left"/>
      <w:pPr>
        <w:ind w:left="4320" w:hanging="360"/>
      </w:pPr>
      <w:rPr>
        <w:rFonts w:ascii="Courier New" w:hAnsi="Courier New" w:cs="Courier New" w:hint="default"/>
      </w:rPr>
    </w:lvl>
    <w:lvl w:ilvl="8" w:tplc="040C0005" w:tentative="1">
      <w:start w:val="1"/>
      <w:numFmt w:val="bullet"/>
      <w:lvlText w:val=""/>
      <w:lvlJc w:val="left"/>
      <w:pPr>
        <w:ind w:left="5040" w:hanging="360"/>
      </w:pPr>
      <w:rPr>
        <w:rFonts w:ascii="Wingdings" w:hAnsi="Wingdings" w:hint="default"/>
      </w:rPr>
    </w:lvl>
  </w:abstractNum>
  <w:abstractNum w:abstractNumId="24" w15:restartNumberingAfterBreak="0">
    <w:nsid w:val="61FD02C1"/>
    <w:multiLevelType w:val="hybridMultilevel"/>
    <w:tmpl w:val="858817E2"/>
    <w:lvl w:ilvl="0" w:tplc="57806148">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2D231D"/>
    <w:multiLevelType w:val="hybridMultilevel"/>
    <w:tmpl w:val="91E43D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D0A576E"/>
    <w:multiLevelType w:val="hybridMultilevel"/>
    <w:tmpl w:val="B0461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D20206C"/>
    <w:multiLevelType w:val="hybridMultilevel"/>
    <w:tmpl w:val="FCE45B32"/>
    <w:lvl w:ilvl="0" w:tplc="4AE2166A">
      <w:start w:val="1"/>
      <w:numFmt w:val="lowerRoman"/>
      <w:lvlText w:val="(%1)"/>
      <w:lvlJc w:val="right"/>
      <w:pPr>
        <w:ind w:left="720" w:hanging="360"/>
      </w:pPr>
      <w:rPr>
        <w:rFonts w:hint="default"/>
        <w:w w:val="99"/>
        <w:sz w:val="20"/>
        <w:szCs w:val="2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AFE3883"/>
    <w:multiLevelType w:val="hybridMultilevel"/>
    <w:tmpl w:val="82F22282"/>
    <w:lvl w:ilvl="0" w:tplc="4EC2E8EC">
      <w:start w:val="1"/>
      <w:numFmt w:val="decimal"/>
      <w:lvlText w:val="%1."/>
      <w:lvlJc w:val="left"/>
      <w:pPr>
        <w:ind w:left="480" w:hanging="360"/>
      </w:pPr>
      <w:rPr>
        <w:rFonts w:ascii="Calibri" w:eastAsia="Calibri" w:hAnsi="Calibri" w:cs="Calibri" w:hint="default"/>
        <w:b/>
        <w:bCs/>
        <w:spacing w:val="-2"/>
        <w:w w:val="100"/>
        <w:sz w:val="24"/>
        <w:szCs w:val="24"/>
      </w:rPr>
    </w:lvl>
    <w:lvl w:ilvl="1" w:tplc="587CF21E">
      <w:start w:val="1"/>
      <w:numFmt w:val="decimal"/>
      <w:lvlText w:val="%2."/>
      <w:lvlJc w:val="left"/>
      <w:pPr>
        <w:ind w:left="840" w:hanging="360"/>
      </w:pPr>
      <w:rPr>
        <w:rFonts w:ascii="Calibri" w:eastAsia="Calibri" w:hAnsi="Calibri" w:cs="Calibri" w:hint="default"/>
        <w:spacing w:val="-4"/>
        <w:w w:val="100"/>
        <w:sz w:val="24"/>
        <w:szCs w:val="24"/>
      </w:rPr>
    </w:lvl>
    <w:lvl w:ilvl="2" w:tplc="292E3EC2">
      <w:numFmt w:val="bullet"/>
      <w:lvlText w:val=""/>
      <w:lvlJc w:val="left"/>
      <w:pPr>
        <w:ind w:left="1200" w:hanging="360"/>
      </w:pPr>
      <w:rPr>
        <w:rFonts w:ascii="Symbol" w:eastAsia="Symbol" w:hAnsi="Symbol" w:cs="Symbol" w:hint="default"/>
        <w:w w:val="100"/>
        <w:sz w:val="24"/>
        <w:szCs w:val="24"/>
      </w:rPr>
    </w:lvl>
    <w:lvl w:ilvl="3" w:tplc="26480B4C">
      <w:numFmt w:val="bullet"/>
      <w:lvlText w:val="•"/>
      <w:lvlJc w:val="left"/>
      <w:pPr>
        <w:ind w:left="2208" w:hanging="360"/>
      </w:pPr>
      <w:rPr>
        <w:rFonts w:hint="default"/>
      </w:rPr>
    </w:lvl>
    <w:lvl w:ilvl="4" w:tplc="B2E45D34">
      <w:numFmt w:val="bullet"/>
      <w:lvlText w:val="•"/>
      <w:lvlJc w:val="left"/>
      <w:pPr>
        <w:ind w:left="3216" w:hanging="360"/>
      </w:pPr>
      <w:rPr>
        <w:rFonts w:hint="default"/>
      </w:rPr>
    </w:lvl>
    <w:lvl w:ilvl="5" w:tplc="096A9590">
      <w:numFmt w:val="bullet"/>
      <w:lvlText w:val="•"/>
      <w:lvlJc w:val="left"/>
      <w:pPr>
        <w:ind w:left="4224" w:hanging="360"/>
      </w:pPr>
      <w:rPr>
        <w:rFonts w:hint="default"/>
      </w:rPr>
    </w:lvl>
    <w:lvl w:ilvl="6" w:tplc="52EA341A">
      <w:numFmt w:val="bullet"/>
      <w:lvlText w:val="•"/>
      <w:lvlJc w:val="left"/>
      <w:pPr>
        <w:ind w:left="5233" w:hanging="360"/>
      </w:pPr>
      <w:rPr>
        <w:rFonts w:hint="default"/>
      </w:rPr>
    </w:lvl>
    <w:lvl w:ilvl="7" w:tplc="1004ECFA">
      <w:numFmt w:val="bullet"/>
      <w:lvlText w:val="•"/>
      <w:lvlJc w:val="left"/>
      <w:pPr>
        <w:ind w:left="6241" w:hanging="360"/>
      </w:pPr>
      <w:rPr>
        <w:rFonts w:hint="default"/>
      </w:rPr>
    </w:lvl>
    <w:lvl w:ilvl="8" w:tplc="E3829AC0">
      <w:numFmt w:val="bullet"/>
      <w:lvlText w:val="•"/>
      <w:lvlJc w:val="left"/>
      <w:pPr>
        <w:ind w:left="7249" w:hanging="360"/>
      </w:pPr>
      <w:rPr>
        <w:rFonts w:hint="default"/>
      </w:rPr>
    </w:lvl>
  </w:abstractNum>
  <w:abstractNum w:abstractNumId="29" w15:restartNumberingAfterBreak="0">
    <w:nsid w:val="7B472F11"/>
    <w:multiLevelType w:val="multilevel"/>
    <w:tmpl w:val="CAA6D6C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0" w15:restartNumberingAfterBreak="0">
    <w:nsid w:val="7E1B286F"/>
    <w:multiLevelType w:val="hybridMultilevel"/>
    <w:tmpl w:val="E99221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748639">
    <w:abstractNumId w:val="29"/>
  </w:num>
  <w:num w:numId="2" w16cid:durableId="743526439">
    <w:abstractNumId w:val="19"/>
  </w:num>
  <w:num w:numId="3" w16cid:durableId="1748846677">
    <w:abstractNumId w:val="3"/>
  </w:num>
  <w:num w:numId="4" w16cid:durableId="1695770385">
    <w:abstractNumId w:val="24"/>
  </w:num>
  <w:num w:numId="5" w16cid:durableId="25639160">
    <w:abstractNumId w:val="21"/>
  </w:num>
  <w:num w:numId="6" w16cid:durableId="1672290254">
    <w:abstractNumId w:val="2"/>
  </w:num>
  <w:num w:numId="7" w16cid:durableId="1404910789">
    <w:abstractNumId w:val="28"/>
  </w:num>
  <w:num w:numId="8" w16cid:durableId="1684092376">
    <w:abstractNumId w:val="16"/>
  </w:num>
  <w:num w:numId="9" w16cid:durableId="2012026438">
    <w:abstractNumId w:val="27"/>
  </w:num>
  <w:num w:numId="10" w16cid:durableId="1839344981">
    <w:abstractNumId w:val="22"/>
  </w:num>
  <w:num w:numId="11" w16cid:durableId="1403525914">
    <w:abstractNumId w:val="13"/>
  </w:num>
  <w:num w:numId="12" w16cid:durableId="2062750167">
    <w:abstractNumId w:val="20"/>
  </w:num>
  <w:num w:numId="13" w16cid:durableId="1291130068">
    <w:abstractNumId w:val="12"/>
  </w:num>
  <w:num w:numId="14" w16cid:durableId="1337801306">
    <w:abstractNumId w:val="4"/>
  </w:num>
  <w:num w:numId="15" w16cid:durableId="1121847030">
    <w:abstractNumId w:val="7"/>
  </w:num>
  <w:num w:numId="16" w16cid:durableId="943612068">
    <w:abstractNumId w:val="18"/>
  </w:num>
  <w:num w:numId="17" w16cid:durableId="1092315763">
    <w:abstractNumId w:val="30"/>
  </w:num>
  <w:num w:numId="18" w16cid:durableId="421880987">
    <w:abstractNumId w:val="1"/>
  </w:num>
  <w:num w:numId="19" w16cid:durableId="2130586811">
    <w:abstractNumId w:val="14"/>
  </w:num>
  <w:num w:numId="20" w16cid:durableId="1957788447">
    <w:abstractNumId w:val="5"/>
  </w:num>
  <w:num w:numId="21" w16cid:durableId="509031190">
    <w:abstractNumId w:val="0"/>
  </w:num>
  <w:num w:numId="22" w16cid:durableId="191312131">
    <w:abstractNumId w:val="26"/>
  </w:num>
  <w:num w:numId="23" w16cid:durableId="1407607989">
    <w:abstractNumId w:val="23"/>
  </w:num>
  <w:num w:numId="24" w16cid:durableId="648678715">
    <w:abstractNumId w:val="17"/>
  </w:num>
  <w:num w:numId="25" w16cid:durableId="294264088">
    <w:abstractNumId w:val="15"/>
  </w:num>
  <w:num w:numId="26" w16cid:durableId="280039461">
    <w:abstractNumId w:val="6"/>
  </w:num>
  <w:num w:numId="27" w16cid:durableId="645858698">
    <w:abstractNumId w:val="11"/>
  </w:num>
  <w:num w:numId="28" w16cid:durableId="1197087122">
    <w:abstractNumId w:val="8"/>
  </w:num>
  <w:num w:numId="29" w16cid:durableId="914124571">
    <w:abstractNumId w:val="10"/>
  </w:num>
  <w:num w:numId="30" w16cid:durableId="623774025">
    <w:abstractNumId w:val="25"/>
  </w:num>
  <w:num w:numId="31" w16cid:durableId="15542001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F6"/>
    <w:rsid w:val="00002823"/>
    <w:rsid w:val="0000305D"/>
    <w:rsid w:val="00005A92"/>
    <w:rsid w:val="0001005D"/>
    <w:rsid w:val="00010B1F"/>
    <w:rsid w:val="000111B9"/>
    <w:rsid w:val="0001590D"/>
    <w:rsid w:val="0002222F"/>
    <w:rsid w:val="00022CD3"/>
    <w:rsid w:val="00026433"/>
    <w:rsid w:val="0002652C"/>
    <w:rsid w:val="00030813"/>
    <w:rsid w:val="00030814"/>
    <w:rsid w:val="00032F0E"/>
    <w:rsid w:val="0003322F"/>
    <w:rsid w:val="00033790"/>
    <w:rsid w:val="0003485F"/>
    <w:rsid w:val="0004076A"/>
    <w:rsid w:val="00042A4C"/>
    <w:rsid w:val="00056C01"/>
    <w:rsid w:val="00060FC7"/>
    <w:rsid w:val="00066251"/>
    <w:rsid w:val="00066A91"/>
    <w:rsid w:val="00066BA4"/>
    <w:rsid w:val="00071144"/>
    <w:rsid w:val="00074905"/>
    <w:rsid w:val="0007674F"/>
    <w:rsid w:val="000853B5"/>
    <w:rsid w:val="000875B6"/>
    <w:rsid w:val="0009573D"/>
    <w:rsid w:val="000A04CF"/>
    <w:rsid w:val="000A0A6A"/>
    <w:rsid w:val="000A5AAD"/>
    <w:rsid w:val="000B274D"/>
    <w:rsid w:val="000D07FD"/>
    <w:rsid w:val="000D3BD5"/>
    <w:rsid w:val="000D7412"/>
    <w:rsid w:val="000E24B1"/>
    <w:rsid w:val="000F6C4B"/>
    <w:rsid w:val="001071D0"/>
    <w:rsid w:val="001257DF"/>
    <w:rsid w:val="00132F47"/>
    <w:rsid w:val="00140D01"/>
    <w:rsid w:val="001477A5"/>
    <w:rsid w:val="00150333"/>
    <w:rsid w:val="0015210E"/>
    <w:rsid w:val="00152B33"/>
    <w:rsid w:val="001631B3"/>
    <w:rsid w:val="00183ABF"/>
    <w:rsid w:val="0019767C"/>
    <w:rsid w:val="001A5EA2"/>
    <w:rsid w:val="001A69B3"/>
    <w:rsid w:val="001A7B53"/>
    <w:rsid w:val="001D0128"/>
    <w:rsid w:val="001D0A49"/>
    <w:rsid w:val="001D18E1"/>
    <w:rsid w:val="001D1E2F"/>
    <w:rsid w:val="001D3212"/>
    <w:rsid w:val="001D3804"/>
    <w:rsid w:val="001D43E8"/>
    <w:rsid w:val="001E5E49"/>
    <w:rsid w:val="002000D9"/>
    <w:rsid w:val="0020122E"/>
    <w:rsid w:val="00202472"/>
    <w:rsid w:val="00207BCB"/>
    <w:rsid w:val="00214AB4"/>
    <w:rsid w:val="00215384"/>
    <w:rsid w:val="00216DA9"/>
    <w:rsid w:val="002212AF"/>
    <w:rsid w:val="00223936"/>
    <w:rsid w:val="00223DCA"/>
    <w:rsid w:val="0022622E"/>
    <w:rsid w:val="00227139"/>
    <w:rsid w:val="00237FBC"/>
    <w:rsid w:val="002421F8"/>
    <w:rsid w:val="0024237C"/>
    <w:rsid w:val="00242B76"/>
    <w:rsid w:val="00244722"/>
    <w:rsid w:val="00244C70"/>
    <w:rsid w:val="00254948"/>
    <w:rsid w:val="00282EE1"/>
    <w:rsid w:val="002839D1"/>
    <w:rsid w:val="00297504"/>
    <w:rsid w:val="002A7AA2"/>
    <w:rsid w:val="002B03C6"/>
    <w:rsid w:val="002B14DA"/>
    <w:rsid w:val="002B54CC"/>
    <w:rsid w:val="002B71A8"/>
    <w:rsid w:val="002C3659"/>
    <w:rsid w:val="002C3DE1"/>
    <w:rsid w:val="002C433F"/>
    <w:rsid w:val="002D2667"/>
    <w:rsid w:val="002D377E"/>
    <w:rsid w:val="002D6796"/>
    <w:rsid w:val="002E2C72"/>
    <w:rsid w:val="003023FD"/>
    <w:rsid w:val="00303793"/>
    <w:rsid w:val="003064A7"/>
    <w:rsid w:val="0030792A"/>
    <w:rsid w:val="00310397"/>
    <w:rsid w:val="00313C4E"/>
    <w:rsid w:val="003147CD"/>
    <w:rsid w:val="0031483B"/>
    <w:rsid w:val="00314941"/>
    <w:rsid w:val="00317EEE"/>
    <w:rsid w:val="003215A5"/>
    <w:rsid w:val="0032246B"/>
    <w:rsid w:val="003230D2"/>
    <w:rsid w:val="003332AA"/>
    <w:rsid w:val="003417F2"/>
    <w:rsid w:val="003463A8"/>
    <w:rsid w:val="00347166"/>
    <w:rsid w:val="003550B2"/>
    <w:rsid w:val="00365986"/>
    <w:rsid w:val="00366138"/>
    <w:rsid w:val="0036660E"/>
    <w:rsid w:val="0037506E"/>
    <w:rsid w:val="003879B1"/>
    <w:rsid w:val="003924D7"/>
    <w:rsid w:val="00395C53"/>
    <w:rsid w:val="003A63EB"/>
    <w:rsid w:val="003A742C"/>
    <w:rsid w:val="003B0437"/>
    <w:rsid w:val="003B0FD5"/>
    <w:rsid w:val="003B165D"/>
    <w:rsid w:val="003B58F2"/>
    <w:rsid w:val="003B60D4"/>
    <w:rsid w:val="003C730A"/>
    <w:rsid w:val="003D0AE4"/>
    <w:rsid w:val="003D2E45"/>
    <w:rsid w:val="003E086B"/>
    <w:rsid w:val="003E229C"/>
    <w:rsid w:val="003E2856"/>
    <w:rsid w:val="003E63D3"/>
    <w:rsid w:val="003E729F"/>
    <w:rsid w:val="003E7B3E"/>
    <w:rsid w:val="003F13D1"/>
    <w:rsid w:val="003F36B1"/>
    <w:rsid w:val="003F415A"/>
    <w:rsid w:val="003F5720"/>
    <w:rsid w:val="004000F6"/>
    <w:rsid w:val="00400DEC"/>
    <w:rsid w:val="00405DA2"/>
    <w:rsid w:val="0041328C"/>
    <w:rsid w:val="004136D8"/>
    <w:rsid w:val="00427238"/>
    <w:rsid w:val="004409D3"/>
    <w:rsid w:val="00446127"/>
    <w:rsid w:val="00447FA7"/>
    <w:rsid w:val="00451C59"/>
    <w:rsid w:val="00457D99"/>
    <w:rsid w:val="004609B6"/>
    <w:rsid w:val="00461A32"/>
    <w:rsid w:val="00465E82"/>
    <w:rsid w:val="00467CD3"/>
    <w:rsid w:val="00472635"/>
    <w:rsid w:val="00473F4F"/>
    <w:rsid w:val="00480B1D"/>
    <w:rsid w:val="00482FF8"/>
    <w:rsid w:val="00495334"/>
    <w:rsid w:val="004A2CC6"/>
    <w:rsid w:val="004B4B32"/>
    <w:rsid w:val="004B7343"/>
    <w:rsid w:val="004C213B"/>
    <w:rsid w:val="004C350D"/>
    <w:rsid w:val="004C42DC"/>
    <w:rsid w:val="004C59BD"/>
    <w:rsid w:val="004D5D21"/>
    <w:rsid w:val="004D651E"/>
    <w:rsid w:val="004E29DA"/>
    <w:rsid w:val="004E2FF7"/>
    <w:rsid w:val="004F0469"/>
    <w:rsid w:val="004F210E"/>
    <w:rsid w:val="004F51E1"/>
    <w:rsid w:val="00500CDA"/>
    <w:rsid w:val="00500D06"/>
    <w:rsid w:val="00503C4C"/>
    <w:rsid w:val="00517FD4"/>
    <w:rsid w:val="00520A67"/>
    <w:rsid w:val="0052183A"/>
    <w:rsid w:val="005322F7"/>
    <w:rsid w:val="00544ACC"/>
    <w:rsid w:val="005478E2"/>
    <w:rsid w:val="00563642"/>
    <w:rsid w:val="00565691"/>
    <w:rsid w:val="00566E0B"/>
    <w:rsid w:val="0057307B"/>
    <w:rsid w:val="00573CC4"/>
    <w:rsid w:val="00582049"/>
    <w:rsid w:val="00582DE2"/>
    <w:rsid w:val="0058353A"/>
    <w:rsid w:val="005844BD"/>
    <w:rsid w:val="005905B7"/>
    <w:rsid w:val="005918AC"/>
    <w:rsid w:val="00595FC8"/>
    <w:rsid w:val="005A4FB1"/>
    <w:rsid w:val="005B1445"/>
    <w:rsid w:val="005B29D4"/>
    <w:rsid w:val="005B638E"/>
    <w:rsid w:val="005C26A9"/>
    <w:rsid w:val="005C6750"/>
    <w:rsid w:val="005D1483"/>
    <w:rsid w:val="005D32F0"/>
    <w:rsid w:val="005E1E5A"/>
    <w:rsid w:val="005E26FE"/>
    <w:rsid w:val="005E4AE8"/>
    <w:rsid w:val="005E5462"/>
    <w:rsid w:val="005E6306"/>
    <w:rsid w:val="005F4853"/>
    <w:rsid w:val="005F6506"/>
    <w:rsid w:val="005F737B"/>
    <w:rsid w:val="00600793"/>
    <w:rsid w:val="00602C30"/>
    <w:rsid w:val="0061151C"/>
    <w:rsid w:val="00624110"/>
    <w:rsid w:val="00625AB3"/>
    <w:rsid w:val="006263FC"/>
    <w:rsid w:val="006379A3"/>
    <w:rsid w:val="00644256"/>
    <w:rsid w:val="00645F15"/>
    <w:rsid w:val="00650F70"/>
    <w:rsid w:val="00656A48"/>
    <w:rsid w:val="00656B09"/>
    <w:rsid w:val="00675005"/>
    <w:rsid w:val="00693083"/>
    <w:rsid w:val="00693C2B"/>
    <w:rsid w:val="00694937"/>
    <w:rsid w:val="006A2495"/>
    <w:rsid w:val="006B2AD2"/>
    <w:rsid w:val="006B7550"/>
    <w:rsid w:val="006B790C"/>
    <w:rsid w:val="006C41D0"/>
    <w:rsid w:val="006E077B"/>
    <w:rsid w:val="006E0DA4"/>
    <w:rsid w:val="006E1AC9"/>
    <w:rsid w:val="006F07F3"/>
    <w:rsid w:val="006F6B18"/>
    <w:rsid w:val="00701554"/>
    <w:rsid w:val="0070187D"/>
    <w:rsid w:val="00704A5E"/>
    <w:rsid w:val="00710DF7"/>
    <w:rsid w:val="00725F62"/>
    <w:rsid w:val="007330C0"/>
    <w:rsid w:val="00735847"/>
    <w:rsid w:val="007369AF"/>
    <w:rsid w:val="00737EF6"/>
    <w:rsid w:val="007438AA"/>
    <w:rsid w:val="007769E8"/>
    <w:rsid w:val="00784C4F"/>
    <w:rsid w:val="00785E06"/>
    <w:rsid w:val="00786453"/>
    <w:rsid w:val="007A33DE"/>
    <w:rsid w:val="007A3439"/>
    <w:rsid w:val="007A6FE0"/>
    <w:rsid w:val="007C06E2"/>
    <w:rsid w:val="007C1B6D"/>
    <w:rsid w:val="007D113E"/>
    <w:rsid w:val="007D33E6"/>
    <w:rsid w:val="007E7940"/>
    <w:rsid w:val="007E7A4A"/>
    <w:rsid w:val="007F1F06"/>
    <w:rsid w:val="00800018"/>
    <w:rsid w:val="0080121F"/>
    <w:rsid w:val="00803994"/>
    <w:rsid w:val="0080798C"/>
    <w:rsid w:val="00811692"/>
    <w:rsid w:val="00811F7C"/>
    <w:rsid w:val="008140A6"/>
    <w:rsid w:val="0081446E"/>
    <w:rsid w:val="008159A3"/>
    <w:rsid w:val="0082372E"/>
    <w:rsid w:val="008253DB"/>
    <w:rsid w:val="00832750"/>
    <w:rsid w:val="00837094"/>
    <w:rsid w:val="00837324"/>
    <w:rsid w:val="00840C8E"/>
    <w:rsid w:val="0084325B"/>
    <w:rsid w:val="00843A01"/>
    <w:rsid w:val="00846B20"/>
    <w:rsid w:val="008477E5"/>
    <w:rsid w:val="00850E20"/>
    <w:rsid w:val="00851170"/>
    <w:rsid w:val="00854CC6"/>
    <w:rsid w:val="00855FFA"/>
    <w:rsid w:val="00865351"/>
    <w:rsid w:val="0087301A"/>
    <w:rsid w:val="008744B1"/>
    <w:rsid w:val="00876DA6"/>
    <w:rsid w:val="0087705D"/>
    <w:rsid w:val="00880F3B"/>
    <w:rsid w:val="00881073"/>
    <w:rsid w:val="00883A45"/>
    <w:rsid w:val="008844FE"/>
    <w:rsid w:val="008879AB"/>
    <w:rsid w:val="00891AAF"/>
    <w:rsid w:val="00895A0A"/>
    <w:rsid w:val="00897F39"/>
    <w:rsid w:val="008A087F"/>
    <w:rsid w:val="008A0B0E"/>
    <w:rsid w:val="008A2423"/>
    <w:rsid w:val="008A2DBF"/>
    <w:rsid w:val="008A3D28"/>
    <w:rsid w:val="008C1976"/>
    <w:rsid w:val="008C3FB9"/>
    <w:rsid w:val="008C421A"/>
    <w:rsid w:val="008C47C6"/>
    <w:rsid w:val="008D0515"/>
    <w:rsid w:val="008D089A"/>
    <w:rsid w:val="008E112D"/>
    <w:rsid w:val="008E19A4"/>
    <w:rsid w:val="008E286A"/>
    <w:rsid w:val="008F13E9"/>
    <w:rsid w:val="008F20CA"/>
    <w:rsid w:val="008F708A"/>
    <w:rsid w:val="00907287"/>
    <w:rsid w:val="0090735C"/>
    <w:rsid w:val="00907D51"/>
    <w:rsid w:val="0091043A"/>
    <w:rsid w:val="009203A9"/>
    <w:rsid w:val="00923923"/>
    <w:rsid w:val="009314FF"/>
    <w:rsid w:val="00931791"/>
    <w:rsid w:val="00943234"/>
    <w:rsid w:val="00944E9B"/>
    <w:rsid w:val="009453DD"/>
    <w:rsid w:val="00950341"/>
    <w:rsid w:val="009536BF"/>
    <w:rsid w:val="00954E05"/>
    <w:rsid w:val="009649A4"/>
    <w:rsid w:val="009726B1"/>
    <w:rsid w:val="00981F5F"/>
    <w:rsid w:val="00982D1F"/>
    <w:rsid w:val="0098457F"/>
    <w:rsid w:val="0098691D"/>
    <w:rsid w:val="009A5836"/>
    <w:rsid w:val="009B1E8F"/>
    <w:rsid w:val="009C0D39"/>
    <w:rsid w:val="009D7341"/>
    <w:rsid w:val="009D7C28"/>
    <w:rsid w:val="009E144C"/>
    <w:rsid w:val="009E2026"/>
    <w:rsid w:val="009E2776"/>
    <w:rsid w:val="009F17A3"/>
    <w:rsid w:val="00A075FC"/>
    <w:rsid w:val="00A100D1"/>
    <w:rsid w:val="00A12B94"/>
    <w:rsid w:val="00A23449"/>
    <w:rsid w:val="00A23A63"/>
    <w:rsid w:val="00A25188"/>
    <w:rsid w:val="00A27145"/>
    <w:rsid w:val="00A31DE0"/>
    <w:rsid w:val="00A32283"/>
    <w:rsid w:val="00A33329"/>
    <w:rsid w:val="00A40455"/>
    <w:rsid w:val="00A426B5"/>
    <w:rsid w:val="00A44BFA"/>
    <w:rsid w:val="00A517B5"/>
    <w:rsid w:val="00A647A8"/>
    <w:rsid w:val="00A6523C"/>
    <w:rsid w:val="00A711B0"/>
    <w:rsid w:val="00A71F94"/>
    <w:rsid w:val="00A73155"/>
    <w:rsid w:val="00A76878"/>
    <w:rsid w:val="00A8125F"/>
    <w:rsid w:val="00A83FB8"/>
    <w:rsid w:val="00A944B0"/>
    <w:rsid w:val="00A95A35"/>
    <w:rsid w:val="00AA2179"/>
    <w:rsid w:val="00AA2ED4"/>
    <w:rsid w:val="00AA4AFC"/>
    <w:rsid w:val="00AA733D"/>
    <w:rsid w:val="00AB203B"/>
    <w:rsid w:val="00AB3FE6"/>
    <w:rsid w:val="00AB554B"/>
    <w:rsid w:val="00AB7E73"/>
    <w:rsid w:val="00AC5316"/>
    <w:rsid w:val="00AC64BF"/>
    <w:rsid w:val="00AD270D"/>
    <w:rsid w:val="00AD5D04"/>
    <w:rsid w:val="00AE09C7"/>
    <w:rsid w:val="00AE2582"/>
    <w:rsid w:val="00AE507B"/>
    <w:rsid w:val="00AE6314"/>
    <w:rsid w:val="00AE6C85"/>
    <w:rsid w:val="00AF3E9B"/>
    <w:rsid w:val="00AF4CEE"/>
    <w:rsid w:val="00B025F1"/>
    <w:rsid w:val="00B0330A"/>
    <w:rsid w:val="00B07A2E"/>
    <w:rsid w:val="00B07EB1"/>
    <w:rsid w:val="00B15E3D"/>
    <w:rsid w:val="00B23FFB"/>
    <w:rsid w:val="00B25BA5"/>
    <w:rsid w:val="00B25BFB"/>
    <w:rsid w:val="00B401A0"/>
    <w:rsid w:val="00B41FE9"/>
    <w:rsid w:val="00B45C49"/>
    <w:rsid w:val="00B45EE0"/>
    <w:rsid w:val="00B50BD0"/>
    <w:rsid w:val="00B511FE"/>
    <w:rsid w:val="00B547ED"/>
    <w:rsid w:val="00B5486F"/>
    <w:rsid w:val="00B56EB1"/>
    <w:rsid w:val="00B655E0"/>
    <w:rsid w:val="00B65C68"/>
    <w:rsid w:val="00B71C9D"/>
    <w:rsid w:val="00B73EC6"/>
    <w:rsid w:val="00B801EA"/>
    <w:rsid w:val="00B824D4"/>
    <w:rsid w:val="00B84EA0"/>
    <w:rsid w:val="00B86BA2"/>
    <w:rsid w:val="00BA01F4"/>
    <w:rsid w:val="00BA3E77"/>
    <w:rsid w:val="00BA4777"/>
    <w:rsid w:val="00BB3C9E"/>
    <w:rsid w:val="00BB7FFA"/>
    <w:rsid w:val="00BC0D67"/>
    <w:rsid w:val="00BC1B3E"/>
    <w:rsid w:val="00BC2EB6"/>
    <w:rsid w:val="00BC618D"/>
    <w:rsid w:val="00BC750E"/>
    <w:rsid w:val="00BD19A7"/>
    <w:rsid w:val="00BD28C6"/>
    <w:rsid w:val="00BD2FE6"/>
    <w:rsid w:val="00BD6149"/>
    <w:rsid w:val="00BD7BC5"/>
    <w:rsid w:val="00BE464D"/>
    <w:rsid w:val="00BE6E0E"/>
    <w:rsid w:val="00BF4480"/>
    <w:rsid w:val="00C0120C"/>
    <w:rsid w:val="00C04AD0"/>
    <w:rsid w:val="00C12512"/>
    <w:rsid w:val="00C16CFC"/>
    <w:rsid w:val="00C21A5E"/>
    <w:rsid w:val="00C27114"/>
    <w:rsid w:val="00C34DDC"/>
    <w:rsid w:val="00C3542C"/>
    <w:rsid w:val="00C377E6"/>
    <w:rsid w:val="00C43608"/>
    <w:rsid w:val="00C54225"/>
    <w:rsid w:val="00C57A99"/>
    <w:rsid w:val="00C702AE"/>
    <w:rsid w:val="00C70DC1"/>
    <w:rsid w:val="00C77761"/>
    <w:rsid w:val="00C83011"/>
    <w:rsid w:val="00C83ED0"/>
    <w:rsid w:val="00C87659"/>
    <w:rsid w:val="00C92AB3"/>
    <w:rsid w:val="00C950E2"/>
    <w:rsid w:val="00CA47F2"/>
    <w:rsid w:val="00CA4903"/>
    <w:rsid w:val="00CA4A09"/>
    <w:rsid w:val="00CB1597"/>
    <w:rsid w:val="00CB2D4C"/>
    <w:rsid w:val="00CC015E"/>
    <w:rsid w:val="00CC6286"/>
    <w:rsid w:val="00CD17F5"/>
    <w:rsid w:val="00CD187B"/>
    <w:rsid w:val="00CD2C4C"/>
    <w:rsid w:val="00CD3D8B"/>
    <w:rsid w:val="00CD4A6F"/>
    <w:rsid w:val="00CE1624"/>
    <w:rsid w:val="00CE64F9"/>
    <w:rsid w:val="00CE6F04"/>
    <w:rsid w:val="00CF5048"/>
    <w:rsid w:val="00CF79A0"/>
    <w:rsid w:val="00D0483B"/>
    <w:rsid w:val="00D05618"/>
    <w:rsid w:val="00D11537"/>
    <w:rsid w:val="00D24228"/>
    <w:rsid w:val="00D25825"/>
    <w:rsid w:val="00D40BF3"/>
    <w:rsid w:val="00D56343"/>
    <w:rsid w:val="00D63726"/>
    <w:rsid w:val="00D641E2"/>
    <w:rsid w:val="00D67434"/>
    <w:rsid w:val="00D70F18"/>
    <w:rsid w:val="00D71A52"/>
    <w:rsid w:val="00D72049"/>
    <w:rsid w:val="00D72737"/>
    <w:rsid w:val="00D74763"/>
    <w:rsid w:val="00D779E3"/>
    <w:rsid w:val="00D80AC6"/>
    <w:rsid w:val="00D81809"/>
    <w:rsid w:val="00D83179"/>
    <w:rsid w:val="00D8395A"/>
    <w:rsid w:val="00DA2B79"/>
    <w:rsid w:val="00DB5813"/>
    <w:rsid w:val="00DB6855"/>
    <w:rsid w:val="00DC4624"/>
    <w:rsid w:val="00DC4DAA"/>
    <w:rsid w:val="00DD0CF8"/>
    <w:rsid w:val="00DF2D3F"/>
    <w:rsid w:val="00DF3447"/>
    <w:rsid w:val="00E116B4"/>
    <w:rsid w:val="00E126EF"/>
    <w:rsid w:val="00E22CAB"/>
    <w:rsid w:val="00E23153"/>
    <w:rsid w:val="00E240BA"/>
    <w:rsid w:val="00E26B06"/>
    <w:rsid w:val="00E31852"/>
    <w:rsid w:val="00E34E62"/>
    <w:rsid w:val="00E430E5"/>
    <w:rsid w:val="00E44E35"/>
    <w:rsid w:val="00E462F9"/>
    <w:rsid w:val="00E463B0"/>
    <w:rsid w:val="00E53A2D"/>
    <w:rsid w:val="00E54163"/>
    <w:rsid w:val="00E543C2"/>
    <w:rsid w:val="00E616CD"/>
    <w:rsid w:val="00E72917"/>
    <w:rsid w:val="00E75836"/>
    <w:rsid w:val="00E75E48"/>
    <w:rsid w:val="00E811B5"/>
    <w:rsid w:val="00E834EC"/>
    <w:rsid w:val="00E835FD"/>
    <w:rsid w:val="00E9512F"/>
    <w:rsid w:val="00E95596"/>
    <w:rsid w:val="00E97C18"/>
    <w:rsid w:val="00E97DF9"/>
    <w:rsid w:val="00EB1460"/>
    <w:rsid w:val="00EC0180"/>
    <w:rsid w:val="00EC1BA2"/>
    <w:rsid w:val="00EC1CB2"/>
    <w:rsid w:val="00EC2618"/>
    <w:rsid w:val="00EC27A6"/>
    <w:rsid w:val="00EC387B"/>
    <w:rsid w:val="00ED1E60"/>
    <w:rsid w:val="00ED530A"/>
    <w:rsid w:val="00EF0BC0"/>
    <w:rsid w:val="00F03326"/>
    <w:rsid w:val="00F0648E"/>
    <w:rsid w:val="00F07209"/>
    <w:rsid w:val="00F12B27"/>
    <w:rsid w:val="00F13DB3"/>
    <w:rsid w:val="00F149D9"/>
    <w:rsid w:val="00F24BED"/>
    <w:rsid w:val="00F25239"/>
    <w:rsid w:val="00F32EC2"/>
    <w:rsid w:val="00F335AC"/>
    <w:rsid w:val="00F36FAF"/>
    <w:rsid w:val="00F4215B"/>
    <w:rsid w:val="00F4267E"/>
    <w:rsid w:val="00F43319"/>
    <w:rsid w:val="00F453DD"/>
    <w:rsid w:val="00F51A51"/>
    <w:rsid w:val="00F53BE9"/>
    <w:rsid w:val="00F54237"/>
    <w:rsid w:val="00F7269D"/>
    <w:rsid w:val="00F72A18"/>
    <w:rsid w:val="00F7342F"/>
    <w:rsid w:val="00F77CE2"/>
    <w:rsid w:val="00F9054F"/>
    <w:rsid w:val="00FA29C2"/>
    <w:rsid w:val="00FB41BB"/>
    <w:rsid w:val="00FB4669"/>
    <w:rsid w:val="00FB5B39"/>
    <w:rsid w:val="00FC013A"/>
    <w:rsid w:val="00FE00A5"/>
    <w:rsid w:val="00FE0F9B"/>
    <w:rsid w:val="00FE39DC"/>
    <w:rsid w:val="00FF7B0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78128"/>
  <w15:chartTrackingRefBased/>
  <w15:docId w15:val="{AA8CC081-F65F-4954-9D96-312988C61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7EF6"/>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737EF6"/>
  </w:style>
  <w:style w:type="paragraph" w:styleId="Footer">
    <w:name w:val="footer"/>
    <w:basedOn w:val="Normal"/>
    <w:link w:val="FooterChar"/>
    <w:uiPriority w:val="99"/>
    <w:unhideWhenUsed/>
    <w:rsid w:val="00737E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7EF6"/>
  </w:style>
  <w:style w:type="paragraph" w:styleId="NormalIndent">
    <w:name w:val="Normal Indent"/>
    <w:basedOn w:val="Normal"/>
    <w:link w:val="NormalIndentChar"/>
    <w:rsid w:val="004C42DC"/>
    <w:pPr>
      <w:overflowPunct w:val="0"/>
      <w:autoSpaceDE w:val="0"/>
      <w:autoSpaceDN w:val="0"/>
      <w:adjustRightInd w:val="0"/>
      <w:spacing w:before="120" w:after="120" w:line="240" w:lineRule="auto"/>
      <w:ind w:left="708"/>
      <w:jc w:val="both"/>
      <w:textAlignment w:val="baseline"/>
    </w:pPr>
    <w:rPr>
      <w:rFonts w:ascii="Garamond" w:eastAsia="Times New Roman" w:hAnsi="Garamond" w:cs="Times New Roman"/>
      <w:sz w:val="24"/>
      <w:szCs w:val="20"/>
      <w:lang w:eastAsia="fr-FR"/>
    </w:rPr>
  </w:style>
  <w:style w:type="character" w:customStyle="1" w:styleId="NormalIndentChar">
    <w:name w:val="Normal Indent Char"/>
    <w:basedOn w:val="DefaultParagraphFont"/>
    <w:link w:val="NormalIndent"/>
    <w:rsid w:val="004C42DC"/>
    <w:rPr>
      <w:rFonts w:ascii="Garamond" w:eastAsia="Times New Roman" w:hAnsi="Garamond" w:cs="Times New Roman"/>
      <w:sz w:val="24"/>
      <w:szCs w:val="20"/>
      <w:lang w:eastAsia="fr-FR"/>
    </w:rPr>
  </w:style>
  <w:style w:type="paragraph" w:customStyle="1" w:styleId="Retraita">
    <w:name w:val="Retrait a"/>
    <w:basedOn w:val="NormalIndent"/>
    <w:rsid w:val="004C42DC"/>
    <w:pPr>
      <w:ind w:left="1248" w:hanging="567"/>
    </w:pPr>
    <w:rPr>
      <w:noProof/>
    </w:rPr>
  </w:style>
  <w:style w:type="character" w:customStyle="1" w:styleId="apple-converted-space">
    <w:name w:val="apple-converted-space"/>
    <w:basedOn w:val="DefaultParagraphFont"/>
    <w:rsid w:val="008E112D"/>
  </w:style>
  <w:style w:type="character" w:styleId="Hyperlink">
    <w:name w:val="Hyperlink"/>
    <w:basedOn w:val="DefaultParagraphFont"/>
    <w:uiPriority w:val="99"/>
    <w:unhideWhenUsed/>
    <w:rsid w:val="008E112D"/>
    <w:rPr>
      <w:color w:val="0000FF"/>
      <w:u w:val="single"/>
    </w:rPr>
  </w:style>
  <w:style w:type="character" w:styleId="CommentReference">
    <w:name w:val="annotation reference"/>
    <w:basedOn w:val="DefaultParagraphFont"/>
    <w:uiPriority w:val="99"/>
    <w:semiHidden/>
    <w:unhideWhenUsed/>
    <w:rsid w:val="00C70DC1"/>
    <w:rPr>
      <w:sz w:val="16"/>
      <w:szCs w:val="16"/>
    </w:rPr>
  </w:style>
  <w:style w:type="paragraph" w:styleId="CommentText">
    <w:name w:val="annotation text"/>
    <w:basedOn w:val="Normal"/>
    <w:link w:val="CommentTextChar"/>
    <w:uiPriority w:val="99"/>
    <w:semiHidden/>
    <w:unhideWhenUsed/>
    <w:rsid w:val="00C70DC1"/>
    <w:pPr>
      <w:spacing w:line="240" w:lineRule="auto"/>
    </w:pPr>
    <w:rPr>
      <w:sz w:val="20"/>
      <w:szCs w:val="20"/>
    </w:rPr>
  </w:style>
  <w:style w:type="character" w:customStyle="1" w:styleId="CommentTextChar">
    <w:name w:val="Comment Text Char"/>
    <w:basedOn w:val="DefaultParagraphFont"/>
    <w:link w:val="CommentText"/>
    <w:uiPriority w:val="99"/>
    <w:semiHidden/>
    <w:rsid w:val="00C70DC1"/>
    <w:rPr>
      <w:sz w:val="20"/>
      <w:szCs w:val="20"/>
    </w:rPr>
  </w:style>
  <w:style w:type="paragraph" w:styleId="CommentSubject">
    <w:name w:val="annotation subject"/>
    <w:basedOn w:val="CommentText"/>
    <w:next w:val="CommentText"/>
    <w:link w:val="CommentSubjectChar"/>
    <w:uiPriority w:val="99"/>
    <w:semiHidden/>
    <w:unhideWhenUsed/>
    <w:rsid w:val="00C70DC1"/>
    <w:rPr>
      <w:b/>
      <w:bCs/>
    </w:rPr>
  </w:style>
  <w:style w:type="character" w:customStyle="1" w:styleId="CommentSubjectChar">
    <w:name w:val="Comment Subject Char"/>
    <w:basedOn w:val="CommentTextChar"/>
    <w:link w:val="CommentSubject"/>
    <w:uiPriority w:val="99"/>
    <w:semiHidden/>
    <w:rsid w:val="00C70DC1"/>
    <w:rPr>
      <w:b/>
      <w:bCs/>
      <w:sz w:val="20"/>
      <w:szCs w:val="20"/>
    </w:rPr>
  </w:style>
  <w:style w:type="character" w:styleId="UnresolvedMention">
    <w:name w:val="Unresolved Mention"/>
    <w:basedOn w:val="DefaultParagraphFont"/>
    <w:uiPriority w:val="99"/>
    <w:semiHidden/>
    <w:unhideWhenUsed/>
    <w:rsid w:val="00244722"/>
    <w:rPr>
      <w:color w:val="605E5C"/>
      <w:shd w:val="clear" w:color="auto" w:fill="E1DFDD"/>
    </w:rPr>
  </w:style>
  <w:style w:type="paragraph" w:styleId="ListParagraph">
    <w:name w:val="List Paragraph"/>
    <w:basedOn w:val="Normal"/>
    <w:uiPriority w:val="34"/>
    <w:qFormat/>
    <w:rsid w:val="00244722"/>
    <w:pPr>
      <w:ind w:left="720"/>
      <w:contextualSpacing/>
    </w:pPr>
  </w:style>
  <w:style w:type="paragraph" w:styleId="BalloonText">
    <w:name w:val="Balloon Text"/>
    <w:basedOn w:val="Normal"/>
    <w:link w:val="BalloonTextChar"/>
    <w:uiPriority w:val="99"/>
    <w:semiHidden/>
    <w:unhideWhenUsed/>
    <w:rsid w:val="00CF50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048"/>
    <w:rPr>
      <w:rFonts w:ascii="Segoe UI" w:hAnsi="Segoe UI" w:cs="Segoe UI"/>
      <w:sz w:val="18"/>
      <w:szCs w:val="18"/>
    </w:rPr>
  </w:style>
  <w:style w:type="paragraph" w:styleId="Revision">
    <w:name w:val="Revision"/>
    <w:hidden/>
    <w:uiPriority w:val="99"/>
    <w:semiHidden/>
    <w:rsid w:val="0084325B"/>
    <w:pPr>
      <w:spacing w:after="0" w:line="240" w:lineRule="auto"/>
    </w:pPr>
  </w:style>
  <w:style w:type="paragraph" w:customStyle="1" w:styleId="Default">
    <w:name w:val="Default"/>
    <w:rsid w:val="00B5486F"/>
    <w:pPr>
      <w:autoSpaceDE w:val="0"/>
      <w:autoSpaceDN w:val="0"/>
      <w:adjustRightInd w:val="0"/>
      <w:spacing w:after="0" w:line="240" w:lineRule="auto"/>
    </w:pPr>
    <w:rPr>
      <w:rFonts w:ascii="Arial" w:hAnsi="Arial" w:cs="Arial"/>
      <w:color w:val="000000"/>
      <w:sz w:val="24"/>
      <w:szCs w:val="24"/>
      <w:lang w:val="en-US"/>
    </w:rPr>
  </w:style>
  <w:style w:type="character" w:styleId="FollowedHyperlink">
    <w:name w:val="FollowedHyperlink"/>
    <w:basedOn w:val="DefaultParagraphFont"/>
    <w:uiPriority w:val="99"/>
    <w:semiHidden/>
    <w:unhideWhenUsed/>
    <w:rsid w:val="00A12B94"/>
    <w:rPr>
      <w:color w:val="954F72" w:themeColor="followedHyperlink"/>
      <w:u w:val="single"/>
    </w:rPr>
  </w:style>
  <w:style w:type="paragraph" w:styleId="NormalWeb">
    <w:name w:val="Normal (Web)"/>
    <w:basedOn w:val="Normal"/>
    <w:uiPriority w:val="99"/>
    <w:semiHidden/>
    <w:unhideWhenUsed/>
    <w:rsid w:val="00A31DE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05183">
      <w:bodyDiv w:val="1"/>
      <w:marLeft w:val="0"/>
      <w:marRight w:val="0"/>
      <w:marTop w:val="0"/>
      <w:marBottom w:val="0"/>
      <w:divBdr>
        <w:top w:val="none" w:sz="0" w:space="0" w:color="auto"/>
        <w:left w:val="none" w:sz="0" w:space="0" w:color="auto"/>
        <w:bottom w:val="none" w:sz="0" w:space="0" w:color="auto"/>
        <w:right w:val="none" w:sz="0" w:space="0" w:color="auto"/>
      </w:divBdr>
    </w:div>
    <w:div w:id="218250567">
      <w:bodyDiv w:val="1"/>
      <w:marLeft w:val="0"/>
      <w:marRight w:val="0"/>
      <w:marTop w:val="0"/>
      <w:marBottom w:val="0"/>
      <w:divBdr>
        <w:top w:val="none" w:sz="0" w:space="0" w:color="auto"/>
        <w:left w:val="none" w:sz="0" w:space="0" w:color="auto"/>
        <w:bottom w:val="none" w:sz="0" w:space="0" w:color="auto"/>
        <w:right w:val="none" w:sz="0" w:space="0" w:color="auto"/>
      </w:divBdr>
    </w:div>
    <w:div w:id="341855418">
      <w:bodyDiv w:val="1"/>
      <w:marLeft w:val="0"/>
      <w:marRight w:val="0"/>
      <w:marTop w:val="0"/>
      <w:marBottom w:val="0"/>
      <w:divBdr>
        <w:top w:val="none" w:sz="0" w:space="0" w:color="auto"/>
        <w:left w:val="none" w:sz="0" w:space="0" w:color="auto"/>
        <w:bottom w:val="none" w:sz="0" w:space="0" w:color="auto"/>
        <w:right w:val="none" w:sz="0" w:space="0" w:color="auto"/>
      </w:divBdr>
    </w:div>
    <w:div w:id="345324084">
      <w:bodyDiv w:val="1"/>
      <w:marLeft w:val="0"/>
      <w:marRight w:val="0"/>
      <w:marTop w:val="0"/>
      <w:marBottom w:val="0"/>
      <w:divBdr>
        <w:top w:val="none" w:sz="0" w:space="0" w:color="auto"/>
        <w:left w:val="none" w:sz="0" w:space="0" w:color="auto"/>
        <w:bottom w:val="none" w:sz="0" w:space="0" w:color="auto"/>
        <w:right w:val="none" w:sz="0" w:space="0" w:color="auto"/>
      </w:divBdr>
    </w:div>
    <w:div w:id="530388188">
      <w:bodyDiv w:val="1"/>
      <w:marLeft w:val="0"/>
      <w:marRight w:val="0"/>
      <w:marTop w:val="0"/>
      <w:marBottom w:val="0"/>
      <w:divBdr>
        <w:top w:val="none" w:sz="0" w:space="0" w:color="auto"/>
        <w:left w:val="none" w:sz="0" w:space="0" w:color="auto"/>
        <w:bottom w:val="none" w:sz="0" w:space="0" w:color="auto"/>
        <w:right w:val="none" w:sz="0" w:space="0" w:color="auto"/>
      </w:divBdr>
    </w:div>
    <w:div w:id="530654965">
      <w:bodyDiv w:val="1"/>
      <w:marLeft w:val="0"/>
      <w:marRight w:val="0"/>
      <w:marTop w:val="0"/>
      <w:marBottom w:val="0"/>
      <w:divBdr>
        <w:top w:val="none" w:sz="0" w:space="0" w:color="auto"/>
        <w:left w:val="none" w:sz="0" w:space="0" w:color="auto"/>
        <w:bottom w:val="none" w:sz="0" w:space="0" w:color="auto"/>
        <w:right w:val="none" w:sz="0" w:space="0" w:color="auto"/>
      </w:divBdr>
    </w:div>
    <w:div w:id="617680608">
      <w:bodyDiv w:val="1"/>
      <w:marLeft w:val="0"/>
      <w:marRight w:val="0"/>
      <w:marTop w:val="0"/>
      <w:marBottom w:val="0"/>
      <w:divBdr>
        <w:top w:val="none" w:sz="0" w:space="0" w:color="auto"/>
        <w:left w:val="none" w:sz="0" w:space="0" w:color="auto"/>
        <w:bottom w:val="none" w:sz="0" w:space="0" w:color="auto"/>
        <w:right w:val="none" w:sz="0" w:space="0" w:color="auto"/>
      </w:divBdr>
    </w:div>
    <w:div w:id="623275255">
      <w:bodyDiv w:val="1"/>
      <w:marLeft w:val="0"/>
      <w:marRight w:val="0"/>
      <w:marTop w:val="0"/>
      <w:marBottom w:val="0"/>
      <w:divBdr>
        <w:top w:val="none" w:sz="0" w:space="0" w:color="auto"/>
        <w:left w:val="none" w:sz="0" w:space="0" w:color="auto"/>
        <w:bottom w:val="none" w:sz="0" w:space="0" w:color="auto"/>
        <w:right w:val="none" w:sz="0" w:space="0" w:color="auto"/>
      </w:divBdr>
    </w:div>
    <w:div w:id="775445558">
      <w:bodyDiv w:val="1"/>
      <w:marLeft w:val="0"/>
      <w:marRight w:val="0"/>
      <w:marTop w:val="0"/>
      <w:marBottom w:val="0"/>
      <w:divBdr>
        <w:top w:val="none" w:sz="0" w:space="0" w:color="auto"/>
        <w:left w:val="none" w:sz="0" w:space="0" w:color="auto"/>
        <w:bottom w:val="none" w:sz="0" w:space="0" w:color="auto"/>
        <w:right w:val="none" w:sz="0" w:space="0" w:color="auto"/>
      </w:divBdr>
    </w:div>
    <w:div w:id="868879318">
      <w:bodyDiv w:val="1"/>
      <w:marLeft w:val="0"/>
      <w:marRight w:val="0"/>
      <w:marTop w:val="0"/>
      <w:marBottom w:val="0"/>
      <w:divBdr>
        <w:top w:val="none" w:sz="0" w:space="0" w:color="auto"/>
        <w:left w:val="none" w:sz="0" w:space="0" w:color="auto"/>
        <w:bottom w:val="none" w:sz="0" w:space="0" w:color="auto"/>
        <w:right w:val="none" w:sz="0" w:space="0" w:color="auto"/>
      </w:divBdr>
    </w:div>
    <w:div w:id="991374927">
      <w:bodyDiv w:val="1"/>
      <w:marLeft w:val="0"/>
      <w:marRight w:val="0"/>
      <w:marTop w:val="0"/>
      <w:marBottom w:val="0"/>
      <w:divBdr>
        <w:top w:val="none" w:sz="0" w:space="0" w:color="auto"/>
        <w:left w:val="none" w:sz="0" w:space="0" w:color="auto"/>
        <w:bottom w:val="none" w:sz="0" w:space="0" w:color="auto"/>
        <w:right w:val="none" w:sz="0" w:space="0" w:color="auto"/>
      </w:divBdr>
    </w:div>
    <w:div w:id="1285162516">
      <w:bodyDiv w:val="1"/>
      <w:marLeft w:val="0"/>
      <w:marRight w:val="0"/>
      <w:marTop w:val="0"/>
      <w:marBottom w:val="0"/>
      <w:divBdr>
        <w:top w:val="none" w:sz="0" w:space="0" w:color="auto"/>
        <w:left w:val="none" w:sz="0" w:space="0" w:color="auto"/>
        <w:bottom w:val="none" w:sz="0" w:space="0" w:color="auto"/>
        <w:right w:val="none" w:sz="0" w:space="0" w:color="auto"/>
      </w:divBdr>
    </w:div>
    <w:div w:id="1626155232">
      <w:bodyDiv w:val="1"/>
      <w:marLeft w:val="0"/>
      <w:marRight w:val="0"/>
      <w:marTop w:val="0"/>
      <w:marBottom w:val="0"/>
      <w:divBdr>
        <w:top w:val="none" w:sz="0" w:space="0" w:color="auto"/>
        <w:left w:val="none" w:sz="0" w:space="0" w:color="auto"/>
        <w:bottom w:val="none" w:sz="0" w:space="0" w:color="auto"/>
        <w:right w:val="none" w:sz="0" w:space="0" w:color="auto"/>
      </w:divBdr>
    </w:div>
    <w:div w:id="1662078842">
      <w:bodyDiv w:val="1"/>
      <w:marLeft w:val="0"/>
      <w:marRight w:val="0"/>
      <w:marTop w:val="0"/>
      <w:marBottom w:val="0"/>
      <w:divBdr>
        <w:top w:val="none" w:sz="0" w:space="0" w:color="auto"/>
        <w:left w:val="none" w:sz="0" w:space="0" w:color="auto"/>
        <w:bottom w:val="none" w:sz="0" w:space="0" w:color="auto"/>
        <w:right w:val="none" w:sz="0" w:space="0" w:color="auto"/>
      </w:divBdr>
    </w:div>
    <w:div w:id="1761368663">
      <w:bodyDiv w:val="1"/>
      <w:marLeft w:val="0"/>
      <w:marRight w:val="0"/>
      <w:marTop w:val="0"/>
      <w:marBottom w:val="0"/>
      <w:divBdr>
        <w:top w:val="none" w:sz="0" w:space="0" w:color="auto"/>
        <w:left w:val="none" w:sz="0" w:space="0" w:color="auto"/>
        <w:bottom w:val="none" w:sz="0" w:space="0" w:color="auto"/>
        <w:right w:val="none" w:sz="0" w:space="0" w:color="auto"/>
      </w:divBdr>
      <w:divsChild>
        <w:div w:id="841431954">
          <w:marLeft w:val="490"/>
          <w:marRight w:val="0"/>
          <w:marTop w:val="120"/>
          <w:marBottom w:val="0"/>
          <w:divBdr>
            <w:top w:val="none" w:sz="0" w:space="0" w:color="auto"/>
            <w:left w:val="none" w:sz="0" w:space="0" w:color="auto"/>
            <w:bottom w:val="none" w:sz="0" w:space="0" w:color="auto"/>
            <w:right w:val="none" w:sz="0" w:space="0" w:color="auto"/>
          </w:divBdr>
        </w:div>
      </w:divsChild>
    </w:div>
    <w:div w:id="1936667832">
      <w:bodyDiv w:val="1"/>
      <w:marLeft w:val="0"/>
      <w:marRight w:val="0"/>
      <w:marTop w:val="0"/>
      <w:marBottom w:val="0"/>
      <w:divBdr>
        <w:top w:val="none" w:sz="0" w:space="0" w:color="auto"/>
        <w:left w:val="none" w:sz="0" w:space="0" w:color="auto"/>
        <w:bottom w:val="none" w:sz="0" w:space="0" w:color="auto"/>
        <w:right w:val="none" w:sz="0" w:space="0" w:color="auto"/>
      </w:divBdr>
    </w:div>
    <w:div w:id="2035571192">
      <w:bodyDiv w:val="1"/>
      <w:marLeft w:val="0"/>
      <w:marRight w:val="0"/>
      <w:marTop w:val="0"/>
      <w:marBottom w:val="0"/>
      <w:divBdr>
        <w:top w:val="none" w:sz="0" w:space="0" w:color="auto"/>
        <w:left w:val="none" w:sz="0" w:space="0" w:color="auto"/>
        <w:bottom w:val="none" w:sz="0" w:space="0" w:color="auto"/>
        <w:right w:val="none" w:sz="0" w:space="0" w:color="auto"/>
      </w:divBdr>
      <w:divsChild>
        <w:div w:id="629895890">
          <w:marLeft w:val="634"/>
          <w:marRight w:val="0"/>
          <w:marTop w:val="120"/>
          <w:marBottom w:val="0"/>
          <w:divBdr>
            <w:top w:val="none" w:sz="0" w:space="0" w:color="auto"/>
            <w:left w:val="none" w:sz="0" w:space="0" w:color="auto"/>
            <w:bottom w:val="none" w:sz="0" w:space="0" w:color="auto"/>
            <w:right w:val="none" w:sz="0" w:space="0" w:color="auto"/>
          </w:divBdr>
        </w:div>
        <w:div w:id="1536968283">
          <w:marLeft w:val="634"/>
          <w:marRight w:val="0"/>
          <w:marTop w:val="120"/>
          <w:marBottom w:val="0"/>
          <w:divBdr>
            <w:top w:val="none" w:sz="0" w:space="0" w:color="auto"/>
            <w:left w:val="none" w:sz="0" w:space="0" w:color="auto"/>
            <w:bottom w:val="none" w:sz="0" w:space="0" w:color="auto"/>
            <w:right w:val="none" w:sz="0" w:space="0" w:color="auto"/>
          </w:divBdr>
        </w:div>
        <w:div w:id="614018345">
          <w:marLeft w:val="634"/>
          <w:marRight w:val="0"/>
          <w:marTop w:val="120"/>
          <w:marBottom w:val="0"/>
          <w:divBdr>
            <w:top w:val="none" w:sz="0" w:space="0" w:color="auto"/>
            <w:left w:val="none" w:sz="0" w:space="0" w:color="auto"/>
            <w:bottom w:val="none" w:sz="0" w:space="0" w:color="auto"/>
            <w:right w:val="none" w:sz="0" w:space="0" w:color="auto"/>
          </w:divBdr>
        </w:div>
        <w:div w:id="1488283124">
          <w:marLeft w:val="634"/>
          <w:marRight w:val="0"/>
          <w:marTop w:val="120"/>
          <w:marBottom w:val="0"/>
          <w:divBdr>
            <w:top w:val="none" w:sz="0" w:space="0" w:color="auto"/>
            <w:left w:val="none" w:sz="0" w:space="0" w:color="auto"/>
            <w:bottom w:val="none" w:sz="0" w:space="0" w:color="auto"/>
            <w:right w:val="none" w:sz="0" w:space="0" w:color="auto"/>
          </w:divBdr>
        </w:div>
        <w:div w:id="1600213926">
          <w:marLeft w:val="634"/>
          <w:marRight w:val="0"/>
          <w:marTop w:val="120"/>
          <w:marBottom w:val="0"/>
          <w:divBdr>
            <w:top w:val="none" w:sz="0" w:space="0" w:color="auto"/>
            <w:left w:val="none" w:sz="0" w:space="0" w:color="auto"/>
            <w:bottom w:val="none" w:sz="0" w:space="0" w:color="auto"/>
            <w:right w:val="none" w:sz="0" w:space="0" w:color="auto"/>
          </w:divBdr>
        </w:div>
        <w:div w:id="2078243704">
          <w:marLeft w:val="634"/>
          <w:marRight w:val="0"/>
          <w:marTop w:val="120"/>
          <w:marBottom w:val="0"/>
          <w:divBdr>
            <w:top w:val="none" w:sz="0" w:space="0" w:color="auto"/>
            <w:left w:val="none" w:sz="0" w:space="0" w:color="auto"/>
            <w:bottom w:val="none" w:sz="0" w:space="0" w:color="auto"/>
            <w:right w:val="none" w:sz="0" w:space="0" w:color="auto"/>
          </w:divBdr>
        </w:div>
        <w:div w:id="81413191">
          <w:marLeft w:val="634"/>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246931.locale=en" TargetMode="External"/><Relationship Id="rId13" Type="http://schemas.openxmlformats.org/officeDocument/2006/relationships/hyperlink" Target="https://unesdoc.unesco.org/ark:/48223/pf0000392653.locale=en" TargetMode="External"/><Relationship Id="rId18" Type="http://schemas.openxmlformats.org/officeDocument/2006/relationships/hyperlink" Target="https://tsunami.ioc.unesco.org/en/impact/eyewitness-survivors-project"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unesdoc.unesco.org/ark:/48223/pf0000246931.locale=en" TargetMode="External"/><Relationship Id="rId7" Type="http://schemas.openxmlformats.org/officeDocument/2006/relationships/endnotes" Target="endnotes.xml"/><Relationship Id="rId12" Type="http://schemas.openxmlformats.org/officeDocument/2006/relationships/hyperlink" Target="https://unesdoc.unesco.org/ark:/48223/pf0000388765.locale=en" TargetMode="External"/><Relationship Id="rId17" Type="http://schemas.openxmlformats.org/officeDocument/2006/relationships/hyperlink" Target="https://tsunamiday.undrr.org/gettohighground-campaign" TargetMode="External"/><Relationship Id="rId25" Type="http://schemas.openxmlformats.org/officeDocument/2006/relationships/hyperlink" Target="http://www.undrr.org/" TargetMode="External"/><Relationship Id="rId2" Type="http://schemas.openxmlformats.org/officeDocument/2006/relationships/numbering" Target="numbering.xml"/><Relationship Id="rId16" Type="http://schemas.openxmlformats.org/officeDocument/2006/relationships/hyperlink" Target="https://tsunamiday.undrr.org/" TargetMode="External"/><Relationship Id="rId20" Type="http://schemas.openxmlformats.org/officeDocument/2006/relationships/hyperlink" Target="https://tsunamiday.undrr.org/gettohighground-campaig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35627" TargetMode="External"/><Relationship Id="rId24" Type="http://schemas.openxmlformats.org/officeDocument/2006/relationships/hyperlink" Target="http://www.undrr.org/" TargetMode="External"/><Relationship Id="rId5" Type="http://schemas.openxmlformats.org/officeDocument/2006/relationships/webSettings" Target="webSettings.xml"/><Relationship Id="rId15" Type="http://schemas.openxmlformats.org/officeDocument/2006/relationships/hyperlink" Target="https://classroom.oceanteacher.org/" TargetMode="External"/><Relationship Id="rId23" Type="http://schemas.openxmlformats.org/officeDocument/2006/relationships/image" Target="media/image1.png"/><Relationship Id="rId28" Type="http://schemas.openxmlformats.org/officeDocument/2006/relationships/header" Target="header3.xml"/><Relationship Id="rId10" Type="http://schemas.openxmlformats.org/officeDocument/2006/relationships/hyperlink" Target="https://unesdoc.unesco.org/ark:/48223/pf0000388765.locale=en" TargetMode="External"/><Relationship Id="rId19" Type="http://schemas.openxmlformats.org/officeDocument/2006/relationships/hyperlink" Target="https://www.unesco.org/en/articles/resilience-and-remembrance-20-years-after-2004-indian-ocean-tsunami" TargetMode="External"/><Relationship Id="rId4" Type="http://schemas.openxmlformats.org/officeDocument/2006/relationships/settings" Target="settings.xml"/><Relationship Id="rId9" Type="http://schemas.openxmlformats.org/officeDocument/2006/relationships/hyperlink" Target="https://oceanexpert.org/document/35087" TargetMode="External"/><Relationship Id="rId14" Type="http://schemas.openxmlformats.org/officeDocument/2006/relationships/hyperlink" Target="https://unesdoc.unesco.org/ark:/48223/pf0000392712.locale=en" TargetMode="External"/><Relationship Id="rId22" Type="http://schemas.openxmlformats.org/officeDocument/2006/relationships/hyperlink" Target="https://unesdoc.unesco.org/ark:/48223/pf0000246931.locale=en"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92FD7-D190-4D6E-B43B-EB843F461E14}">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8</Pages>
  <Words>3502</Words>
  <Characters>19266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Aliaga, Bernardo</dc:creator>
  <cp:keywords/>
  <dc:description/>
  <cp:lastModifiedBy>Aliaga, Bernardo</cp:lastModifiedBy>
  <cp:revision>3</cp:revision>
  <cp:lastPrinted>2022-02-25T11:07:00Z</cp:lastPrinted>
  <dcterms:created xsi:type="dcterms:W3CDTF">2025-04-08T12:00:00Z</dcterms:created>
  <dcterms:modified xsi:type="dcterms:W3CDTF">2025-04-08T12:08:00Z</dcterms:modified>
</cp:coreProperties>
</file>