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9D676" w14:textId="77777777" w:rsidR="000F6E11" w:rsidRDefault="00000000" w:rsidP="00F72564">
      <w:pPr>
        <w:spacing w:line="276" w:lineRule="auto"/>
        <w:jc w:val="center"/>
        <w:rPr>
          <w:rFonts w:ascii="Arial" w:eastAsia="Arial" w:hAnsi="Arial" w:cs="Arial"/>
          <w:b/>
        </w:rPr>
      </w:pPr>
      <w:r>
        <w:rPr>
          <w:rFonts w:ascii="Arial" w:eastAsia="Arial" w:hAnsi="Arial" w:cs="Arial"/>
          <w:b/>
        </w:rPr>
        <w:t xml:space="preserve">ICG/PTWS Working Group 3 on Disaster Risk Management and Preparedness </w:t>
      </w:r>
    </w:p>
    <w:p w14:paraId="29C55D43" w14:textId="77777777" w:rsidR="000F6E11" w:rsidRDefault="00000000" w:rsidP="00F72564">
      <w:pPr>
        <w:spacing w:line="276" w:lineRule="auto"/>
        <w:jc w:val="center"/>
        <w:rPr>
          <w:rFonts w:ascii="Arial" w:eastAsia="Arial" w:hAnsi="Arial" w:cs="Arial"/>
          <w:b/>
        </w:rPr>
      </w:pPr>
      <w:r>
        <w:rPr>
          <w:rFonts w:ascii="Arial" w:eastAsia="Arial" w:hAnsi="Arial" w:cs="Arial"/>
          <w:b/>
        </w:rPr>
        <w:t>Task Team Tsunami Ready</w:t>
      </w:r>
    </w:p>
    <w:p w14:paraId="13979880" w14:textId="77777777" w:rsidR="000F6E11" w:rsidRDefault="00000000" w:rsidP="00F72564">
      <w:pPr>
        <w:spacing w:line="276" w:lineRule="auto"/>
        <w:jc w:val="center"/>
        <w:rPr>
          <w:rFonts w:ascii="Arial" w:eastAsia="Arial" w:hAnsi="Arial" w:cs="Arial"/>
          <w:b/>
        </w:rPr>
      </w:pPr>
      <w:r>
        <w:rPr>
          <w:rFonts w:ascii="Arial" w:eastAsia="Arial" w:hAnsi="Arial" w:cs="Arial"/>
          <w:b/>
        </w:rPr>
        <w:t>Report to the ICG/PTWS-XXXI</w:t>
      </w:r>
    </w:p>
    <w:p w14:paraId="39C23314" w14:textId="77777777" w:rsidR="000F6E11" w:rsidRDefault="00000000" w:rsidP="00F72564">
      <w:pPr>
        <w:spacing w:line="276" w:lineRule="auto"/>
        <w:jc w:val="center"/>
        <w:rPr>
          <w:rFonts w:ascii="Arial" w:eastAsia="Arial" w:hAnsi="Arial" w:cs="Arial"/>
          <w:b/>
        </w:rPr>
      </w:pPr>
      <w:r>
        <w:rPr>
          <w:rFonts w:ascii="Arial" w:eastAsia="Arial" w:hAnsi="Arial" w:cs="Arial"/>
          <w:b/>
        </w:rPr>
        <w:t>April 2025</w:t>
      </w:r>
    </w:p>
    <w:p w14:paraId="6A2E522A" w14:textId="77777777" w:rsidR="00F72564" w:rsidRDefault="00F72564" w:rsidP="00F72564">
      <w:pPr>
        <w:spacing w:line="276" w:lineRule="auto"/>
        <w:jc w:val="center"/>
        <w:rPr>
          <w:rFonts w:ascii="Arial" w:eastAsia="Arial" w:hAnsi="Arial" w:cs="Arial"/>
          <w:b/>
        </w:rPr>
      </w:pPr>
    </w:p>
    <w:p w14:paraId="0E13158A" w14:textId="77777777" w:rsidR="00F72564" w:rsidRPr="003B4638" w:rsidRDefault="00F72564" w:rsidP="00F72564">
      <w:pPr>
        <w:tabs>
          <w:tab w:val="left" w:pos="1260"/>
        </w:tabs>
        <w:spacing w:line="276" w:lineRule="auto"/>
        <w:rPr>
          <w:rFonts w:ascii="Arial" w:eastAsia="Arial" w:hAnsi="Arial" w:cs="Arial"/>
          <w:bCs/>
          <w:sz w:val="22"/>
          <w:szCs w:val="22"/>
        </w:rPr>
      </w:pPr>
      <w:r w:rsidRPr="003B4638">
        <w:rPr>
          <w:rFonts w:ascii="Arial" w:eastAsia="Arial" w:hAnsi="Arial" w:cs="Arial"/>
          <w:b/>
          <w:sz w:val="22"/>
          <w:szCs w:val="22"/>
        </w:rPr>
        <w:t>C</w:t>
      </w:r>
      <w:r w:rsidR="003B4638">
        <w:rPr>
          <w:rFonts w:ascii="Arial" w:eastAsia="Arial" w:hAnsi="Arial" w:cs="Arial"/>
          <w:b/>
          <w:sz w:val="22"/>
          <w:szCs w:val="22"/>
        </w:rPr>
        <w:t>o</w:t>
      </w:r>
      <w:r w:rsidRPr="003B4638">
        <w:rPr>
          <w:rFonts w:ascii="Arial" w:eastAsia="Arial" w:hAnsi="Arial" w:cs="Arial"/>
          <w:b/>
          <w:sz w:val="22"/>
          <w:szCs w:val="22"/>
        </w:rPr>
        <w:t xml:space="preserve">-Chairs:  </w:t>
      </w:r>
      <w:r w:rsidRPr="003B4638">
        <w:rPr>
          <w:rFonts w:ascii="Arial" w:eastAsia="Arial" w:hAnsi="Arial" w:cs="Arial"/>
          <w:b/>
          <w:sz w:val="22"/>
          <w:szCs w:val="22"/>
        </w:rPr>
        <w:tab/>
      </w:r>
      <w:r w:rsidRPr="003B4638">
        <w:rPr>
          <w:rFonts w:ascii="Arial" w:eastAsia="Arial" w:hAnsi="Arial" w:cs="Arial"/>
          <w:bCs/>
          <w:sz w:val="22"/>
          <w:szCs w:val="22"/>
        </w:rPr>
        <w:t>Laura Kong, International Tsunami Information Centre</w:t>
      </w:r>
    </w:p>
    <w:p w14:paraId="38F8EE6A" w14:textId="4B280592" w:rsidR="002869FB" w:rsidRDefault="00F72564" w:rsidP="00067C8C">
      <w:pPr>
        <w:tabs>
          <w:tab w:val="left" w:pos="1260"/>
        </w:tabs>
        <w:spacing w:line="276" w:lineRule="auto"/>
        <w:ind w:right="-424"/>
        <w:rPr>
          <w:rFonts w:ascii="Arial" w:eastAsia="Arial" w:hAnsi="Arial" w:cs="Arial"/>
          <w:bCs/>
          <w:sz w:val="22"/>
          <w:szCs w:val="22"/>
        </w:rPr>
      </w:pPr>
      <w:r w:rsidRPr="003B4638">
        <w:rPr>
          <w:rFonts w:ascii="Arial" w:eastAsia="Arial" w:hAnsi="Arial" w:cs="Arial"/>
          <w:bCs/>
          <w:sz w:val="22"/>
          <w:szCs w:val="22"/>
        </w:rPr>
        <w:tab/>
        <w:t>Ashleigh Fromont, New Zealand National Emergency Management Agency</w:t>
      </w:r>
    </w:p>
    <w:p w14:paraId="40DF271C" w14:textId="77777777" w:rsidR="002869FB" w:rsidRDefault="002869FB">
      <w:pPr>
        <w:spacing w:before="240" w:after="240" w:line="259" w:lineRule="auto"/>
        <w:rPr>
          <w:rFonts w:ascii="Arial" w:eastAsia="Arial" w:hAnsi="Arial" w:cs="Arial"/>
          <w:bCs/>
          <w:sz w:val="22"/>
          <w:szCs w:val="22"/>
        </w:rPr>
      </w:pPr>
      <w:r>
        <w:rPr>
          <w:rFonts w:ascii="Arial" w:eastAsia="Arial" w:hAnsi="Arial" w:cs="Arial"/>
          <w:bCs/>
          <w:sz w:val="22"/>
          <w:szCs w:val="22"/>
        </w:rPr>
        <w:t xml:space="preserve">This Report covers the intersessional period between the ICG/PTWS-XXX (September 2023) and ICG/PTWS-XXXI (April 2025).  The topics to be covered will be </w:t>
      </w:r>
    </w:p>
    <w:p w14:paraId="4BEC2567" w14:textId="77777777" w:rsidR="002869FB" w:rsidRDefault="002869FB" w:rsidP="002869FB">
      <w:pPr>
        <w:spacing w:line="259" w:lineRule="auto"/>
        <w:ind w:left="360" w:hanging="360"/>
        <w:rPr>
          <w:rFonts w:ascii="Arial" w:eastAsia="Arial" w:hAnsi="Arial" w:cs="Arial"/>
          <w:bCs/>
          <w:sz w:val="22"/>
          <w:szCs w:val="22"/>
        </w:rPr>
      </w:pPr>
      <w:r>
        <w:rPr>
          <w:rFonts w:ascii="Arial" w:eastAsia="Arial" w:hAnsi="Arial" w:cs="Arial"/>
          <w:bCs/>
          <w:sz w:val="22"/>
          <w:szCs w:val="22"/>
        </w:rPr>
        <w:t xml:space="preserve">1. </w:t>
      </w:r>
      <w:r>
        <w:rPr>
          <w:rFonts w:ascii="Arial" w:eastAsia="Arial" w:hAnsi="Arial" w:cs="Arial"/>
          <w:bCs/>
          <w:sz w:val="22"/>
          <w:szCs w:val="22"/>
        </w:rPr>
        <w:tab/>
        <w:t>Progress of Tsunami Ready Recognition in the Pacific</w:t>
      </w:r>
    </w:p>
    <w:p w14:paraId="3D63BE27" w14:textId="77777777" w:rsidR="002869FB" w:rsidRDefault="002869FB" w:rsidP="002869FB">
      <w:pPr>
        <w:spacing w:line="259" w:lineRule="auto"/>
        <w:ind w:left="360" w:hanging="360"/>
        <w:rPr>
          <w:rFonts w:ascii="Arial" w:eastAsia="Arial" w:hAnsi="Arial" w:cs="Arial"/>
          <w:bCs/>
          <w:sz w:val="22"/>
          <w:szCs w:val="22"/>
        </w:rPr>
      </w:pPr>
      <w:r>
        <w:rPr>
          <w:rFonts w:ascii="Arial" w:eastAsia="Arial" w:hAnsi="Arial" w:cs="Arial"/>
          <w:bCs/>
          <w:sz w:val="22"/>
          <w:szCs w:val="22"/>
        </w:rPr>
        <w:t xml:space="preserve">2. </w:t>
      </w:r>
      <w:r>
        <w:rPr>
          <w:rFonts w:ascii="Arial" w:eastAsia="Arial" w:hAnsi="Arial" w:cs="Arial"/>
          <w:bCs/>
          <w:sz w:val="22"/>
          <w:szCs w:val="22"/>
        </w:rPr>
        <w:tab/>
        <w:t>PTWS Tsunami Ready Equivalency Approach</w:t>
      </w:r>
    </w:p>
    <w:p w14:paraId="3682C0ED" w14:textId="77777777" w:rsidR="002869FB" w:rsidRDefault="002869FB" w:rsidP="002869FB">
      <w:pPr>
        <w:spacing w:line="259" w:lineRule="auto"/>
        <w:ind w:left="360" w:hanging="360"/>
        <w:rPr>
          <w:rFonts w:ascii="Arial" w:eastAsia="Arial" w:hAnsi="Arial" w:cs="Arial"/>
          <w:bCs/>
          <w:sz w:val="22"/>
          <w:szCs w:val="22"/>
        </w:rPr>
      </w:pPr>
      <w:r>
        <w:rPr>
          <w:rFonts w:ascii="Arial" w:eastAsia="Arial" w:hAnsi="Arial" w:cs="Arial"/>
          <w:bCs/>
          <w:sz w:val="22"/>
          <w:szCs w:val="22"/>
        </w:rPr>
        <w:t xml:space="preserve">3. </w:t>
      </w:r>
      <w:r>
        <w:rPr>
          <w:rFonts w:ascii="Arial" w:eastAsia="Arial" w:hAnsi="Arial" w:cs="Arial"/>
          <w:bCs/>
          <w:sz w:val="22"/>
          <w:szCs w:val="22"/>
        </w:rPr>
        <w:tab/>
        <w:t>Task Team Tsunami Ready Governance</w:t>
      </w:r>
    </w:p>
    <w:p w14:paraId="51300702" w14:textId="77777777" w:rsidR="002869FB" w:rsidRDefault="002869FB" w:rsidP="002869FB">
      <w:pPr>
        <w:spacing w:line="259" w:lineRule="auto"/>
        <w:rPr>
          <w:rFonts w:ascii="Arial" w:eastAsia="Arial" w:hAnsi="Arial" w:cs="Arial"/>
          <w:bCs/>
          <w:sz w:val="22"/>
          <w:szCs w:val="22"/>
        </w:rPr>
      </w:pPr>
    </w:p>
    <w:p w14:paraId="3A89B96F" w14:textId="77777777" w:rsidR="002869FB" w:rsidRDefault="002869FB" w:rsidP="002869FB">
      <w:pPr>
        <w:spacing w:line="259" w:lineRule="auto"/>
        <w:rPr>
          <w:rFonts w:ascii="Arial" w:eastAsia="Arial" w:hAnsi="Arial" w:cs="Arial"/>
          <w:bCs/>
          <w:sz w:val="22"/>
          <w:szCs w:val="22"/>
        </w:rPr>
      </w:pPr>
      <w:r>
        <w:rPr>
          <w:rFonts w:ascii="Arial" w:eastAsia="Arial" w:hAnsi="Arial" w:cs="Arial"/>
          <w:bCs/>
          <w:sz w:val="22"/>
          <w:szCs w:val="22"/>
        </w:rPr>
        <w:t xml:space="preserve">The Task Team was established by the ICG/PTWS-XXX.1 with the following Terms of Reference.  </w:t>
      </w:r>
    </w:p>
    <w:p w14:paraId="509BABC5" w14:textId="77777777" w:rsidR="000F6E11" w:rsidRPr="003B4638" w:rsidRDefault="00000000">
      <w:pPr>
        <w:spacing w:before="240" w:after="240" w:line="259" w:lineRule="auto"/>
        <w:rPr>
          <w:rFonts w:ascii="Arial" w:eastAsia="Arial" w:hAnsi="Arial" w:cs="Arial"/>
          <w:b/>
          <w:sz w:val="22"/>
          <w:szCs w:val="22"/>
          <w:u w:val="single"/>
        </w:rPr>
      </w:pPr>
      <w:r w:rsidRPr="003B4638">
        <w:rPr>
          <w:rFonts w:ascii="Arial" w:eastAsia="Arial" w:hAnsi="Arial" w:cs="Arial"/>
          <w:b/>
          <w:sz w:val="22"/>
          <w:szCs w:val="22"/>
          <w:u w:val="single"/>
        </w:rPr>
        <w:t>WG3 Task Team Tsunami Ready Terms of Reference</w:t>
      </w:r>
    </w:p>
    <w:p w14:paraId="7F19733D"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Develop formal PTWS guidelines following the 'Tsunami Ready Equivalency Approach’ for recognition of tsunami readiness of communities not implementing the IOC Tsunami Ready Recognition Programme, </w:t>
      </w:r>
    </w:p>
    <w:p w14:paraId="0E66E0BA"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Monitor Tsunami Ready campaigns and outcomes, and report results, </w:t>
      </w:r>
    </w:p>
    <w:p w14:paraId="1BC7F2E6"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Ensure the advocacy for Tsunami Ready is aligned with other PTWS and IOC documents, </w:t>
      </w:r>
    </w:p>
    <w:p w14:paraId="60BE254A"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Advise on the Tsunami Ready workflow as it pertains to the PTWS and regions, </w:t>
      </w:r>
    </w:p>
    <w:p w14:paraId="79A96983"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Support ITIC in its efforts to facilitate the implementation of Tsunami Ready in PTWS Member States, </w:t>
      </w:r>
    </w:p>
    <w:p w14:paraId="7341BA6D"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Support ITIC’s efforts to develop standardized training supporting Tsunami Ready under the framework of OTGA, such as through feedback on content and helping to test trainings before officially deployed, </w:t>
      </w:r>
    </w:p>
    <w:p w14:paraId="3B99E0E8"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Help to identify sources of funding in support of the implementation of Tsunami Ready, </w:t>
      </w:r>
    </w:p>
    <w:p w14:paraId="1956011F"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Report progress on encouraging the standard text in the UNESCO-IOC Tsunami Ready signage for vertical evacuation, such as “Go to the designated building for vertical evacuation”, </w:t>
      </w:r>
    </w:p>
    <w:p w14:paraId="1375B7C3" w14:textId="77777777" w:rsidR="000F6E11" w:rsidRDefault="00000000">
      <w:pPr>
        <w:numPr>
          <w:ilvl w:val="0"/>
          <w:numId w:val="4"/>
        </w:numPr>
        <w:spacing w:before="240" w:after="240" w:line="259" w:lineRule="auto"/>
        <w:rPr>
          <w:rFonts w:ascii="Arial" w:eastAsia="Arial" w:hAnsi="Arial" w:cs="Arial"/>
          <w:sz w:val="22"/>
          <w:szCs w:val="22"/>
        </w:rPr>
      </w:pPr>
      <w:r>
        <w:rPr>
          <w:rFonts w:ascii="Arial" w:eastAsia="Arial" w:hAnsi="Arial" w:cs="Arial"/>
          <w:sz w:val="22"/>
          <w:szCs w:val="22"/>
        </w:rPr>
        <w:t xml:space="preserve">Report progress toward informing the public on the validity of the recognition, to be indicated on Tsunami Ready signage and on the certificate under the UNESCO-IOC Tsunami Ready logo. </w:t>
      </w:r>
    </w:p>
    <w:p w14:paraId="261781D8" w14:textId="77777777" w:rsidR="002869FB" w:rsidRDefault="002869FB">
      <w:pPr>
        <w:rPr>
          <w:rFonts w:ascii="Arial" w:eastAsia="Arial" w:hAnsi="Arial" w:cs="Arial"/>
          <w:bCs/>
          <w:sz w:val="22"/>
          <w:szCs w:val="22"/>
        </w:rPr>
      </w:pPr>
    </w:p>
    <w:p w14:paraId="6EDCF250" w14:textId="77777777" w:rsidR="002869FB" w:rsidRDefault="002869FB">
      <w:pPr>
        <w:rPr>
          <w:rFonts w:ascii="Arial" w:eastAsia="Arial" w:hAnsi="Arial" w:cs="Arial"/>
          <w:bCs/>
          <w:sz w:val="22"/>
          <w:szCs w:val="22"/>
        </w:rPr>
      </w:pPr>
    </w:p>
    <w:p w14:paraId="2D48E5C5" w14:textId="77777777" w:rsidR="002869FB" w:rsidRDefault="002869FB">
      <w:pPr>
        <w:rPr>
          <w:rFonts w:ascii="Arial" w:eastAsia="Arial" w:hAnsi="Arial" w:cs="Arial"/>
          <w:bCs/>
          <w:sz w:val="22"/>
          <w:szCs w:val="22"/>
        </w:rPr>
      </w:pPr>
    </w:p>
    <w:p w14:paraId="60A37009" w14:textId="77777777" w:rsidR="002869FB" w:rsidRDefault="002869FB">
      <w:pPr>
        <w:rPr>
          <w:rFonts w:ascii="Arial" w:eastAsia="Arial" w:hAnsi="Arial" w:cs="Arial"/>
          <w:bCs/>
          <w:sz w:val="22"/>
          <w:szCs w:val="22"/>
        </w:rPr>
      </w:pPr>
    </w:p>
    <w:p w14:paraId="790DEF52" w14:textId="77777777" w:rsidR="000F6E11" w:rsidRPr="00805489" w:rsidRDefault="002869FB">
      <w:pPr>
        <w:rPr>
          <w:rFonts w:ascii="Arial" w:eastAsia="Arial" w:hAnsi="Arial" w:cs="Arial"/>
          <w:bCs/>
          <w:sz w:val="22"/>
          <w:szCs w:val="22"/>
        </w:rPr>
      </w:pPr>
      <w:r w:rsidRPr="00805489">
        <w:rPr>
          <w:rFonts w:ascii="Arial" w:eastAsia="Arial" w:hAnsi="Arial" w:cs="Arial"/>
          <w:bCs/>
          <w:sz w:val="22"/>
          <w:szCs w:val="22"/>
        </w:rPr>
        <w:lastRenderedPageBreak/>
        <w:t>In addition, ICG/PTWS-XXX.5 also</w:t>
      </w:r>
    </w:p>
    <w:p w14:paraId="26A305C4" w14:textId="77777777" w:rsidR="002869FB" w:rsidRPr="00805489" w:rsidRDefault="002869FB" w:rsidP="002869FB">
      <w:pPr>
        <w:numPr>
          <w:ilvl w:val="0"/>
          <w:numId w:val="11"/>
        </w:numPr>
        <w:spacing w:before="240" w:after="240" w:line="259" w:lineRule="auto"/>
        <w:rPr>
          <w:rFonts w:ascii="Arial" w:eastAsia="Arial" w:hAnsi="Arial" w:cs="Arial"/>
          <w:sz w:val="22"/>
          <w:szCs w:val="22"/>
        </w:rPr>
      </w:pPr>
      <w:r w:rsidRPr="00805489">
        <w:rPr>
          <w:rFonts w:ascii="Arial" w:eastAsia="Arial" w:hAnsi="Arial" w:cs="Arial"/>
          <w:sz w:val="22"/>
          <w:szCs w:val="22"/>
        </w:rPr>
        <w:t>Encouraged member states to continue to share outcomes and progression towards “100% Tsunami Ready Goal” with WG3, including communities already considered compliant through national standards</w:t>
      </w:r>
    </w:p>
    <w:p w14:paraId="5720F61C" w14:textId="77777777" w:rsidR="002869FB" w:rsidRPr="00805489" w:rsidRDefault="002869FB" w:rsidP="002869FB">
      <w:pPr>
        <w:numPr>
          <w:ilvl w:val="0"/>
          <w:numId w:val="11"/>
        </w:numPr>
        <w:spacing w:before="240" w:after="240" w:line="259" w:lineRule="auto"/>
        <w:rPr>
          <w:rFonts w:ascii="Arial" w:eastAsia="Arial" w:hAnsi="Arial" w:cs="Arial"/>
          <w:sz w:val="22"/>
          <w:szCs w:val="22"/>
        </w:rPr>
      </w:pPr>
      <w:r w:rsidRPr="00805489">
        <w:rPr>
          <w:rFonts w:ascii="Arial" w:eastAsia="Arial" w:hAnsi="Arial" w:cs="Arial"/>
          <w:sz w:val="22"/>
          <w:szCs w:val="22"/>
        </w:rPr>
        <w:t>Mandated the ITIC to continue to facilitate implementation and data collection regarding                TR in the PTWS</w:t>
      </w:r>
    </w:p>
    <w:p w14:paraId="268E7C12" w14:textId="77777777" w:rsidR="002869FB" w:rsidRPr="00805489" w:rsidRDefault="002869FB" w:rsidP="002869FB">
      <w:pPr>
        <w:numPr>
          <w:ilvl w:val="0"/>
          <w:numId w:val="11"/>
        </w:numPr>
        <w:spacing w:before="240" w:after="240" w:line="259" w:lineRule="auto"/>
        <w:rPr>
          <w:rFonts w:ascii="Arial" w:eastAsia="Arial" w:hAnsi="Arial" w:cs="Arial"/>
          <w:sz w:val="22"/>
          <w:szCs w:val="22"/>
        </w:rPr>
      </w:pPr>
      <w:r w:rsidRPr="00805489">
        <w:rPr>
          <w:rFonts w:ascii="Arial" w:eastAsia="Arial" w:hAnsi="Arial" w:cs="Arial"/>
          <w:sz w:val="22"/>
          <w:szCs w:val="22"/>
        </w:rPr>
        <w:t xml:space="preserve">Noted &amp; </w:t>
      </w:r>
      <w:r w:rsidR="00805489">
        <w:rPr>
          <w:rFonts w:ascii="Arial" w:eastAsia="Arial" w:hAnsi="Arial" w:cs="Arial"/>
          <w:sz w:val="22"/>
          <w:szCs w:val="22"/>
        </w:rPr>
        <w:t>e</w:t>
      </w:r>
      <w:r w:rsidRPr="00805489">
        <w:rPr>
          <w:rFonts w:ascii="Arial" w:eastAsia="Arial" w:hAnsi="Arial" w:cs="Arial"/>
          <w:sz w:val="22"/>
          <w:szCs w:val="22"/>
        </w:rPr>
        <w:t>ndorsed the proposed Tsunami Ready Equivalency Approach that seeks to enable reporting of tsunami preparedness in a manner compatible with the UNESCO/IOC Tsunami Ready Recognition Programme</w:t>
      </w:r>
    </w:p>
    <w:p w14:paraId="433A8798" w14:textId="77777777" w:rsidR="002869FB" w:rsidRPr="00805489" w:rsidRDefault="002869FB" w:rsidP="002869FB">
      <w:pPr>
        <w:numPr>
          <w:ilvl w:val="0"/>
          <w:numId w:val="11"/>
        </w:numPr>
        <w:spacing w:before="240" w:after="240" w:line="259" w:lineRule="auto"/>
        <w:rPr>
          <w:rFonts w:ascii="Arial" w:eastAsia="Arial" w:hAnsi="Arial" w:cs="Arial"/>
          <w:sz w:val="22"/>
          <w:szCs w:val="22"/>
        </w:rPr>
      </w:pPr>
      <w:r w:rsidRPr="00805489">
        <w:rPr>
          <w:rFonts w:ascii="Arial" w:eastAsia="Arial" w:hAnsi="Arial" w:cs="Arial"/>
          <w:sz w:val="22"/>
          <w:szCs w:val="22"/>
        </w:rPr>
        <w:t xml:space="preserve">Recommends the TT TR to develop formal guidance for the application of this approach, in consultation with the Regional Working Groups.  </w:t>
      </w:r>
    </w:p>
    <w:p w14:paraId="3770AFE1" w14:textId="77777777" w:rsidR="002869FB" w:rsidRDefault="002869FB">
      <w:pPr>
        <w:rPr>
          <w:rFonts w:ascii="Arial" w:eastAsia="Arial" w:hAnsi="Arial" w:cs="Arial"/>
          <w:bCs/>
          <w:sz w:val="22"/>
          <w:szCs w:val="22"/>
        </w:rPr>
      </w:pPr>
    </w:p>
    <w:p w14:paraId="79182686" w14:textId="77777777" w:rsidR="000F6E11" w:rsidRDefault="003B4638">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1.</w:t>
      </w:r>
      <w:r>
        <w:rPr>
          <w:rFonts w:ascii="Arial" w:eastAsia="Arial" w:hAnsi="Arial" w:cs="Arial"/>
          <w:b/>
          <w:color w:val="000000"/>
          <w:sz w:val="22"/>
          <w:szCs w:val="22"/>
          <w:u w:val="single"/>
        </w:rPr>
        <w:tab/>
        <w:t>Progress of Tsunami Ready Recognition in the Pacific</w:t>
      </w:r>
    </w:p>
    <w:p w14:paraId="2E8AD014" w14:textId="77777777" w:rsidR="000F6E11" w:rsidRDefault="000F6E11">
      <w:pPr>
        <w:rPr>
          <w:rFonts w:ascii="Arial" w:eastAsia="Arial" w:hAnsi="Arial" w:cs="Arial"/>
          <w:sz w:val="22"/>
          <w:szCs w:val="22"/>
        </w:rPr>
      </w:pPr>
    </w:p>
    <w:p w14:paraId="1E5D4A3D" w14:textId="77777777" w:rsidR="000F6E11" w:rsidRDefault="00000000">
      <w:pPr>
        <w:rPr>
          <w:rFonts w:ascii="Arial" w:eastAsia="Arial" w:hAnsi="Arial" w:cs="Arial"/>
          <w:sz w:val="22"/>
          <w:szCs w:val="22"/>
        </w:rPr>
      </w:pPr>
      <w:r>
        <w:rPr>
          <w:rFonts w:ascii="Arial" w:eastAsia="Arial" w:hAnsi="Arial" w:cs="Arial"/>
          <w:sz w:val="22"/>
          <w:szCs w:val="22"/>
        </w:rPr>
        <w:t>The Task Team through the lead of ITIC, continues to promote the implementation and outcomes of Tsunami Ready, and reporting the results to the ICG/PTWS and the TOWS-WG.  Please refer to the ITIC report for an overview of Tsunami Ready training and support efforts led by ITIC.</w:t>
      </w:r>
    </w:p>
    <w:p w14:paraId="7BF5B7C2" w14:textId="77777777" w:rsidR="000F6E11" w:rsidRDefault="000F6E11">
      <w:pPr>
        <w:rPr>
          <w:rFonts w:ascii="Arial" w:eastAsia="Arial" w:hAnsi="Arial" w:cs="Arial"/>
          <w:sz w:val="22"/>
          <w:szCs w:val="22"/>
        </w:rPr>
      </w:pPr>
    </w:p>
    <w:p w14:paraId="1C97971F" w14:textId="77777777" w:rsidR="000F6E11" w:rsidRDefault="00000000">
      <w:pPr>
        <w:rPr>
          <w:rFonts w:ascii="Arial" w:eastAsia="Arial" w:hAnsi="Arial" w:cs="Arial"/>
          <w:sz w:val="22"/>
          <w:szCs w:val="22"/>
        </w:rPr>
      </w:pPr>
      <w:r>
        <w:rPr>
          <w:rFonts w:ascii="Arial" w:eastAsia="Arial" w:hAnsi="Arial" w:cs="Arial"/>
          <w:sz w:val="22"/>
          <w:szCs w:val="22"/>
        </w:rPr>
        <w:t xml:space="preserve">There is a new web page for the UNESCO IOC Tsunami Ready website, now hosted by IOC - </w:t>
      </w:r>
      <w:hyperlink r:id="rId7">
        <w:r>
          <w:rPr>
            <w:rFonts w:ascii="Arial" w:eastAsia="Arial" w:hAnsi="Arial" w:cs="Arial"/>
            <w:color w:val="467886"/>
            <w:sz w:val="22"/>
            <w:szCs w:val="22"/>
            <w:u w:val="single"/>
          </w:rPr>
          <w:t>https://tsunami.ioc.unesco.org/en/tsunami-ready</w:t>
        </w:r>
      </w:hyperlink>
      <w:r>
        <w:rPr>
          <w:rFonts w:ascii="Arial" w:eastAsia="Arial" w:hAnsi="Arial" w:cs="Arial"/>
          <w:sz w:val="22"/>
          <w:szCs w:val="22"/>
        </w:rPr>
        <w:t>.</w:t>
      </w:r>
      <w:r w:rsidR="00F72564">
        <w:rPr>
          <w:rFonts w:ascii="Arial" w:eastAsia="Arial" w:hAnsi="Arial" w:cs="Arial"/>
          <w:sz w:val="22"/>
          <w:szCs w:val="22"/>
        </w:rPr>
        <w:t xml:space="preserve">  The easy-to-remember URL is </w:t>
      </w:r>
      <w:hyperlink r:id="rId8" w:history="1">
        <w:r w:rsidR="00F72564" w:rsidRPr="00F72564">
          <w:rPr>
            <w:rStyle w:val="Hyperlink"/>
            <w:rFonts w:ascii="Arial" w:eastAsia="Arial" w:hAnsi="Arial" w:cs="Arial"/>
            <w:sz w:val="22"/>
            <w:szCs w:val="22"/>
          </w:rPr>
          <w:t>tsunamiready.org</w:t>
        </w:r>
      </w:hyperlink>
      <w:r w:rsidR="00F72564">
        <w:rPr>
          <w:rFonts w:ascii="Arial" w:eastAsia="Arial" w:hAnsi="Arial" w:cs="Arial"/>
          <w:sz w:val="22"/>
          <w:szCs w:val="22"/>
        </w:rPr>
        <w:t xml:space="preserve">  The web pages</w:t>
      </w:r>
      <w:r>
        <w:rPr>
          <w:rFonts w:ascii="Arial" w:eastAsia="Arial" w:hAnsi="Arial" w:cs="Arial"/>
          <w:sz w:val="22"/>
          <w:szCs w:val="22"/>
        </w:rPr>
        <w:t xml:space="preserve"> include links to guidelines and the application process, latest Tsunami Ready Recognition Programme updates and news, and a map viewer with information of recognized communities globally (</w:t>
      </w:r>
      <w:hyperlink r:id="rId9" w:history="1">
        <w:r w:rsidRPr="00F72564">
          <w:rPr>
            <w:rStyle w:val="Hyperlink"/>
            <w:rFonts w:ascii="Arial" w:eastAsia="Arial" w:hAnsi="Arial" w:cs="Arial"/>
            <w:sz w:val="22"/>
            <w:szCs w:val="22"/>
          </w:rPr>
          <w:t>https://tsunamireadyviewer.ioc-tsunami.org/</w:t>
        </w:r>
      </w:hyperlink>
      <w:r>
        <w:rPr>
          <w:rFonts w:ascii="Arial" w:eastAsia="Arial" w:hAnsi="Arial" w:cs="Arial"/>
          <w:sz w:val="22"/>
          <w:szCs w:val="22"/>
        </w:rPr>
        <w:t xml:space="preserve">). </w:t>
      </w:r>
    </w:p>
    <w:p w14:paraId="7E8D4DA9" w14:textId="77777777" w:rsidR="000F6E11" w:rsidRDefault="000F6E11">
      <w:pPr>
        <w:rPr>
          <w:rFonts w:ascii="Arial" w:eastAsia="Arial" w:hAnsi="Arial" w:cs="Arial"/>
          <w:sz w:val="22"/>
          <w:szCs w:val="22"/>
        </w:rPr>
      </w:pPr>
    </w:p>
    <w:p w14:paraId="0DE93E97" w14:textId="77777777" w:rsidR="003B4638" w:rsidRPr="003B4638" w:rsidRDefault="003B4638">
      <w:pPr>
        <w:rPr>
          <w:rFonts w:ascii="Arial" w:eastAsia="Arial" w:hAnsi="Arial" w:cs="Arial"/>
          <w:b/>
          <w:bCs/>
          <w:sz w:val="22"/>
          <w:szCs w:val="22"/>
          <w:u w:val="single"/>
        </w:rPr>
      </w:pPr>
      <w:r>
        <w:rPr>
          <w:rFonts w:ascii="Arial" w:eastAsia="Arial" w:hAnsi="Arial" w:cs="Arial"/>
          <w:b/>
          <w:bCs/>
          <w:sz w:val="22"/>
          <w:szCs w:val="22"/>
          <w:u w:val="single"/>
        </w:rPr>
        <w:t>1.1</w:t>
      </w:r>
      <w:r>
        <w:rPr>
          <w:rFonts w:ascii="Arial" w:eastAsia="Arial" w:hAnsi="Arial" w:cs="Arial"/>
          <w:b/>
          <w:bCs/>
          <w:sz w:val="22"/>
          <w:szCs w:val="22"/>
          <w:u w:val="single"/>
        </w:rPr>
        <w:tab/>
      </w:r>
      <w:r w:rsidR="00F72564" w:rsidRPr="003B4638">
        <w:rPr>
          <w:rFonts w:ascii="Arial" w:eastAsia="Arial" w:hAnsi="Arial" w:cs="Arial"/>
          <w:b/>
          <w:bCs/>
          <w:sz w:val="22"/>
          <w:szCs w:val="22"/>
          <w:u w:val="single"/>
        </w:rPr>
        <w:t>Global Tsunami Ready Communities Information</w:t>
      </w:r>
    </w:p>
    <w:p w14:paraId="4812D370" w14:textId="77777777" w:rsidR="003B4638" w:rsidRDefault="003B4638">
      <w:pPr>
        <w:rPr>
          <w:rFonts w:ascii="Arial" w:eastAsia="Arial" w:hAnsi="Arial" w:cs="Arial"/>
          <w:b/>
          <w:bCs/>
          <w:sz w:val="22"/>
          <w:szCs w:val="22"/>
        </w:rPr>
      </w:pPr>
    </w:p>
    <w:p w14:paraId="15464C74" w14:textId="77777777" w:rsidR="003B4638" w:rsidRDefault="003B4638" w:rsidP="003B4638">
      <w:pPr>
        <w:rPr>
          <w:rFonts w:ascii="Arial" w:eastAsia="Arial" w:hAnsi="Arial" w:cs="Arial"/>
          <w:sz w:val="22"/>
          <w:szCs w:val="22"/>
        </w:rPr>
      </w:pPr>
      <w:r>
        <w:rPr>
          <w:rFonts w:ascii="Arial" w:eastAsia="Arial" w:hAnsi="Arial" w:cs="Arial"/>
          <w:sz w:val="22"/>
          <w:szCs w:val="22"/>
        </w:rPr>
        <w:t xml:space="preserve">As of February 2025, 100 communities in 34 member states, of which 15 are SIDS countries, have been recognized as Tsunami Ready. </w:t>
      </w:r>
    </w:p>
    <w:p w14:paraId="44EFACAC" w14:textId="77777777" w:rsidR="003B4638" w:rsidRPr="00F72564" w:rsidRDefault="003B4638">
      <w:pPr>
        <w:rPr>
          <w:rFonts w:ascii="Arial" w:eastAsia="Arial" w:hAnsi="Arial" w:cs="Arial"/>
          <w:b/>
          <w:bCs/>
          <w:sz w:val="22"/>
          <w:szCs w:val="22"/>
        </w:rPr>
      </w:pPr>
    </w:p>
    <w:p w14:paraId="39C0149B" w14:textId="77777777" w:rsidR="00F72564" w:rsidRDefault="00F72564">
      <w:pPr>
        <w:rPr>
          <w:rFonts w:ascii="Arial" w:eastAsia="Arial" w:hAnsi="Arial" w:cs="Arial"/>
          <w:sz w:val="22"/>
          <w:szCs w:val="22"/>
        </w:rPr>
      </w:pPr>
    </w:p>
    <w:p w14:paraId="18E35B26" w14:textId="77777777" w:rsidR="00F72564" w:rsidRDefault="003B4638">
      <w:pP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4595DAB6" wp14:editId="20F44140">
            <wp:extent cx="5731510" cy="3223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52C764D" w14:textId="77777777" w:rsidR="00F72564" w:rsidRDefault="00F72564">
      <w:pPr>
        <w:rPr>
          <w:rFonts w:ascii="Arial" w:eastAsia="Arial" w:hAnsi="Arial" w:cs="Arial"/>
          <w:sz w:val="22"/>
          <w:szCs w:val="22"/>
        </w:rPr>
      </w:pPr>
    </w:p>
    <w:p w14:paraId="75C35C55" w14:textId="77777777" w:rsidR="00F72564" w:rsidRDefault="003B4638" w:rsidP="003B4638">
      <w:pPr>
        <w:jc w:val="center"/>
        <w:rPr>
          <w:rFonts w:ascii="Arial" w:eastAsia="Arial" w:hAnsi="Arial" w:cs="Arial"/>
          <w:sz w:val="22"/>
          <w:szCs w:val="22"/>
        </w:rPr>
      </w:pPr>
      <w:r>
        <w:rPr>
          <w:rFonts w:ascii="Arial" w:eastAsia="Arial" w:hAnsi="Arial" w:cs="Arial"/>
          <w:noProof/>
          <w:sz w:val="22"/>
          <w:szCs w:val="22"/>
        </w:rPr>
        <w:drawing>
          <wp:inline distT="0" distB="0" distL="0" distR="0" wp14:anchorId="5577F284" wp14:editId="759F899E">
            <wp:extent cx="5237018" cy="294575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6526" cy="2951098"/>
                    </a:xfrm>
                    <a:prstGeom prst="rect">
                      <a:avLst/>
                    </a:prstGeom>
                  </pic:spPr>
                </pic:pic>
              </a:graphicData>
            </a:graphic>
          </wp:inline>
        </w:drawing>
      </w:r>
    </w:p>
    <w:p w14:paraId="62BA2C74" w14:textId="77777777" w:rsidR="003B4638" w:rsidRDefault="003B4638">
      <w:pPr>
        <w:rPr>
          <w:rFonts w:ascii="Arial" w:eastAsia="Arial" w:hAnsi="Arial" w:cs="Arial"/>
          <w:b/>
          <w:bCs/>
          <w:sz w:val="22"/>
          <w:szCs w:val="22"/>
        </w:rPr>
      </w:pPr>
    </w:p>
    <w:p w14:paraId="1B48367C" w14:textId="77777777" w:rsidR="00F72564" w:rsidRPr="003B4638" w:rsidRDefault="003B4638">
      <w:pPr>
        <w:rPr>
          <w:rFonts w:ascii="Arial" w:eastAsia="Arial" w:hAnsi="Arial" w:cs="Arial"/>
          <w:b/>
          <w:bCs/>
          <w:sz w:val="22"/>
          <w:szCs w:val="22"/>
          <w:u w:val="single"/>
        </w:rPr>
      </w:pPr>
      <w:r>
        <w:rPr>
          <w:rFonts w:ascii="Arial" w:eastAsia="Arial" w:hAnsi="Arial" w:cs="Arial"/>
          <w:b/>
          <w:bCs/>
          <w:sz w:val="22"/>
          <w:szCs w:val="22"/>
          <w:u w:val="single"/>
        </w:rPr>
        <w:t>1.2</w:t>
      </w:r>
      <w:r>
        <w:rPr>
          <w:rFonts w:ascii="Arial" w:eastAsia="Arial" w:hAnsi="Arial" w:cs="Arial"/>
          <w:b/>
          <w:bCs/>
          <w:sz w:val="22"/>
          <w:szCs w:val="22"/>
          <w:u w:val="single"/>
        </w:rPr>
        <w:tab/>
      </w:r>
      <w:r w:rsidR="00F72564" w:rsidRPr="003B4638">
        <w:rPr>
          <w:rFonts w:ascii="Arial" w:eastAsia="Arial" w:hAnsi="Arial" w:cs="Arial"/>
          <w:b/>
          <w:bCs/>
          <w:sz w:val="22"/>
          <w:szCs w:val="22"/>
          <w:u w:val="single"/>
        </w:rPr>
        <w:t>Pacific Tsunami Ready Communities Information</w:t>
      </w:r>
    </w:p>
    <w:p w14:paraId="3C5EEC71" w14:textId="77777777" w:rsidR="00F72564" w:rsidRDefault="00F72564">
      <w:pPr>
        <w:rPr>
          <w:rFonts w:ascii="Arial" w:eastAsia="Arial" w:hAnsi="Arial" w:cs="Arial"/>
          <w:sz w:val="22"/>
          <w:szCs w:val="22"/>
        </w:rPr>
      </w:pPr>
    </w:p>
    <w:p w14:paraId="20A18A23" w14:textId="77777777" w:rsidR="000F6E11" w:rsidRDefault="00000000">
      <w:pPr>
        <w:rPr>
          <w:rFonts w:ascii="Arial" w:eastAsia="Arial" w:hAnsi="Arial" w:cs="Arial"/>
          <w:sz w:val="22"/>
          <w:szCs w:val="22"/>
        </w:rPr>
      </w:pPr>
      <w:r>
        <w:rPr>
          <w:rFonts w:ascii="Arial" w:eastAsia="Arial" w:hAnsi="Arial" w:cs="Arial"/>
          <w:sz w:val="22"/>
          <w:szCs w:val="22"/>
        </w:rPr>
        <w:t xml:space="preserve">As of February 2025, 23 communities in 10 member states have been recognized as Tsunami Ready. </w:t>
      </w:r>
    </w:p>
    <w:p w14:paraId="703D2772" w14:textId="77777777" w:rsidR="000F6E11" w:rsidRDefault="000F6E11">
      <w:pPr>
        <w:rPr>
          <w:rFonts w:ascii="Arial" w:eastAsia="Arial" w:hAnsi="Arial" w:cs="Arial"/>
          <w:sz w:val="22"/>
          <w:szCs w:val="22"/>
        </w:rPr>
      </w:pPr>
    </w:p>
    <w:tbl>
      <w:tblPr>
        <w:tblStyle w:val="a"/>
        <w:tblW w:w="9209"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771"/>
        <w:gridCol w:w="3438"/>
      </w:tblGrid>
      <w:tr w:rsidR="000F6E11" w14:paraId="7F274C9C" w14:textId="77777777" w:rsidTr="000F6E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71" w:type="dxa"/>
            <w:shd w:val="clear" w:color="auto" w:fill="3A3A3A"/>
            <w:vAlign w:val="center"/>
          </w:tcPr>
          <w:p w14:paraId="751F2C3C" w14:textId="77777777" w:rsidR="000F6E11" w:rsidRDefault="00000000">
            <w:pPr>
              <w:rPr>
                <w:rFonts w:ascii="Arial" w:eastAsia="Arial" w:hAnsi="Arial" w:cs="Arial"/>
                <w:sz w:val="22"/>
                <w:szCs w:val="22"/>
              </w:rPr>
            </w:pPr>
            <w:r>
              <w:rPr>
                <w:rFonts w:ascii="Arial" w:eastAsia="Arial" w:hAnsi="Arial" w:cs="Arial"/>
                <w:sz w:val="22"/>
                <w:szCs w:val="22"/>
              </w:rPr>
              <w:t>Status</w:t>
            </w:r>
          </w:p>
        </w:tc>
        <w:tc>
          <w:tcPr>
            <w:tcW w:w="3438" w:type="dxa"/>
            <w:shd w:val="clear" w:color="auto" w:fill="3A3A3A"/>
            <w:vAlign w:val="center"/>
          </w:tcPr>
          <w:p w14:paraId="47F0E252" w14:textId="77777777" w:rsidR="000F6E11"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Number of Communities</w:t>
            </w:r>
          </w:p>
        </w:tc>
      </w:tr>
      <w:tr w:rsidR="000F6E11" w14:paraId="656EA00A" w14:textId="77777777" w:rsidTr="000F6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1" w:type="dxa"/>
          </w:tcPr>
          <w:p w14:paraId="21B3014C" w14:textId="77777777" w:rsidR="000F6E11" w:rsidRDefault="00000000">
            <w:pPr>
              <w:rPr>
                <w:rFonts w:ascii="Arial" w:eastAsia="Arial" w:hAnsi="Arial" w:cs="Arial"/>
                <w:sz w:val="22"/>
                <w:szCs w:val="22"/>
              </w:rPr>
            </w:pPr>
            <w:r>
              <w:rPr>
                <w:rFonts w:ascii="Arial" w:eastAsia="Arial" w:hAnsi="Arial" w:cs="Arial"/>
                <w:b w:val="0"/>
                <w:sz w:val="22"/>
                <w:szCs w:val="22"/>
              </w:rPr>
              <w:t>Active Tsunami Ready Recognition</w:t>
            </w:r>
          </w:p>
        </w:tc>
        <w:tc>
          <w:tcPr>
            <w:tcW w:w="3438" w:type="dxa"/>
          </w:tcPr>
          <w:p w14:paraId="6B458790" w14:textId="77777777" w:rsidR="000F6E11"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15</w:t>
            </w:r>
          </w:p>
        </w:tc>
      </w:tr>
      <w:tr w:rsidR="000F6E11" w14:paraId="5B647E61" w14:textId="77777777" w:rsidTr="000F6E11">
        <w:tc>
          <w:tcPr>
            <w:cnfStyle w:val="001000000000" w:firstRow="0" w:lastRow="0" w:firstColumn="1" w:lastColumn="0" w:oddVBand="0" w:evenVBand="0" w:oddHBand="0" w:evenHBand="0" w:firstRowFirstColumn="0" w:firstRowLastColumn="0" w:lastRowFirstColumn="0" w:lastRowLastColumn="0"/>
            <w:tcW w:w="5771" w:type="dxa"/>
          </w:tcPr>
          <w:p w14:paraId="5FFE7BDE" w14:textId="77777777" w:rsidR="000F6E11" w:rsidRDefault="00000000">
            <w:pPr>
              <w:rPr>
                <w:rFonts w:ascii="Arial" w:eastAsia="Arial" w:hAnsi="Arial" w:cs="Arial"/>
                <w:sz w:val="22"/>
                <w:szCs w:val="22"/>
              </w:rPr>
            </w:pPr>
            <w:r>
              <w:rPr>
                <w:rFonts w:ascii="Arial" w:eastAsia="Arial" w:hAnsi="Arial" w:cs="Arial"/>
                <w:b w:val="0"/>
                <w:sz w:val="22"/>
                <w:szCs w:val="22"/>
              </w:rPr>
              <w:t>Tsunami Ready Planned</w:t>
            </w:r>
          </w:p>
        </w:tc>
        <w:tc>
          <w:tcPr>
            <w:tcW w:w="3438" w:type="dxa"/>
          </w:tcPr>
          <w:p w14:paraId="40E2E47E" w14:textId="77777777" w:rsidR="000F6E11"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4</w:t>
            </w:r>
          </w:p>
        </w:tc>
      </w:tr>
      <w:tr w:rsidR="000F6E11" w14:paraId="732DA307" w14:textId="77777777" w:rsidTr="000F6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1" w:type="dxa"/>
          </w:tcPr>
          <w:p w14:paraId="39512974" w14:textId="77777777" w:rsidR="000F6E11" w:rsidRDefault="00000000">
            <w:pPr>
              <w:rPr>
                <w:rFonts w:ascii="Arial" w:eastAsia="Arial" w:hAnsi="Arial" w:cs="Arial"/>
                <w:sz w:val="22"/>
                <w:szCs w:val="22"/>
              </w:rPr>
            </w:pPr>
            <w:r>
              <w:rPr>
                <w:rFonts w:ascii="Arial" w:eastAsia="Arial" w:hAnsi="Arial" w:cs="Arial"/>
                <w:b w:val="0"/>
                <w:sz w:val="22"/>
                <w:szCs w:val="22"/>
              </w:rPr>
              <w:t>Tsunami Ready process underway</w:t>
            </w:r>
          </w:p>
        </w:tc>
        <w:tc>
          <w:tcPr>
            <w:tcW w:w="3438" w:type="dxa"/>
          </w:tcPr>
          <w:p w14:paraId="79B0154A" w14:textId="77777777" w:rsidR="000F6E11"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2</w:t>
            </w:r>
          </w:p>
        </w:tc>
      </w:tr>
      <w:tr w:rsidR="000F6E11" w14:paraId="4DD0AEB4" w14:textId="77777777" w:rsidTr="000F6E11">
        <w:tc>
          <w:tcPr>
            <w:cnfStyle w:val="001000000000" w:firstRow="0" w:lastRow="0" w:firstColumn="1" w:lastColumn="0" w:oddVBand="0" w:evenVBand="0" w:oddHBand="0" w:evenHBand="0" w:firstRowFirstColumn="0" w:firstRowLastColumn="0" w:lastRowFirstColumn="0" w:lastRowLastColumn="0"/>
            <w:tcW w:w="5771" w:type="dxa"/>
          </w:tcPr>
          <w:p w14:paraId="38D43A28" w14:textId="77777777" w:rsidR="000F6E11" w:rsidRDefault="00000000">
            <w:pPr>
              <w:rPr>
                <w:rFonts w:ascii="Arial" w:eastAsia="Arial" w:hAnsi="Arial" w:cs="Arial"/>
                <w:sz w:val="22"/>
                <w:szCs w:val="22"/>
              </w:rPr>
            </w:pPr>
            <w:r>
              <w:rPr>
                <w:rFonts w:ascii="Arial" w:eastAsia="Arial" w:hAnsi="Arial" w:cs="Arial"/>
                <w:b w:val="0"/>
                <w:sz w:val="22"/>
                <w:szCs w:val="22"/>
              </w:rPr>
              <w:t>Interested in undertaking Tsunami Ready</w:t>
            </w:r>
          </w:p>
        </w:tc>
        <w:tc>
          <w:tcPr>
            <w:tcW w:w="3438" w:type="dxa"/>
          </w:tcPr>
          <w:p w14:paraId="40C7D8B0" w14:textId="77777777" w:rsidR="000F6E11"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2</w:t>
            </w:r>
          </w:p>
        </w:tc>
      </w:tr>
      <w:tr w:rsidR="000F6E11" w14:paraId="39F0542D" w14:textId="77777777" w:rsidTr="000F6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1" w:type="dxa"/>
          </w:tcPr>
          <w:p w14:paraId="59CB1644" w14:textId="77777777" w:rsidR="000F6E11" w:rsidRDefault="00000000">
            <w:pPr>
              <w:rPr>
                <w:rFonts w:ascii="Arial" w:eastAsia="Arial" w:hAnsi="Arial" w:cs="Arial"/>
                <w:sz w:val="22"/>
                <w:szCs w:val="22"/>
              </w:rPr>
            </w:pPr>
            <w:r>
              <w:rPr>
                <w:rFonts w:ascii="Arial" w:eastAsia="Arial" w:hAnsi="Arial" w:cs="Arial"/>
                <w:b w:val="0"/>
                <w:sz w:val="22"/>
                <w:szCs w:val="22"/>
              </w:rPr>
              <w:t>Tsunami Ready Renewal Delayed</w:t>
            </w:r>
          </w:p>
        </w:tc>
        <w:tc>
          <w:tcPr>
            <w:tcW w:w="3438" w:type="dxa"/>
          </w:tcPr>
          <w:p w14:paraId="5F22179A" w14:textId="77777777" w:rsidR="000F6E11"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8</w:t>
            </w:r>
          </w:p>
        </w:tc>
      </w:tr>
    </w:tbl>
    <w:p w14:paraId="53DA0508" w14:textId="77777777" w:rsidR="000F6E11" w:rsidRDefault="000F6E11">
      <w:pPr>
        <w:rPr>
          <w:rFonts w:ascii="Arial" w:eastAsia="Arial" w:hAnsi="Arial" w:cs="Arial"/>
          <w:sz w:val="22"/>
          <w:szCs w:val="22"/>
        </w:rPr>
      </w:pPr>
    </w:p>
    <w:p w14:paraId="6DFFF712" w14:textId="77777777" w:rsidR="000F6E11" w:rsidRDefault="000F6E11">
      <w:pPr>
        <w:rPr>
          <w:rFonts w:ascii="Arial" w:eastAsia="Arial" w:hAnsi="Arial" w:cs="Arial"/>
          <w:sz w:val="22"/>
          <w:szCs w:val="22"/>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938"/>
      </w:tblGrid>
      <w:tr w:rsidR="000F6E11" w14:paraId="7498ACDD" w14:textId="77777777">
        <w:trPr>
          <w:trHeight w:val="513"/>
        </w:trPr>
        <w:tc>
          <w:tcPr>
            <w:tcW w:w="1418" w:type="dxa"/>
            <w:shd w:val="clear" w:color="auto" w:fill="3A3A3A"/>
            <w:tcMar>
              <w:top w:w="72" w:type="dxa"/>
              <w:left w:w="144" w:type="dxa"/>
              <w:bottom w:w="72" w:type="dxa"/>
              <w:right w:w="144" w:type="dxa"/>
            </w:tcMar>
            <w:vAlign w:val="center"/>
          </w:tcPr>
          <w:p w14:paraId="0FB64E5A" w14:textId="77777777" w:rsidR="000F6E11" w:rsidRDefault="00000000">
            <w:pPr>
              <w:rPr>
                <w:rFonts w:ascii="Arial" w:eastAsia="Arial" w:hAnsi="Arial" w:cs="Arial"/>
                <w:color w:val="FFFFFF"/>
                <w:sz w:val="22"/>
                <w:szCs w:val="22"/>
              </w:rPr>
            </w:pPr>
            <w:r>
              <w:rPr>
                <w:rFonts w:ascii="Arial" w:eastAsia="Arial" w:hAnsi="Arial" w:cs="Arial"/>
                <w:b/>
                <w:color w:val="FFFFFF"/>
                <w:sz w:val="22"/>
                <w:szCs w:val="22"/>
              </w:rPr>
              <w:lastRenderedPageBreak/>
              <w:t>Year</w:t>
            </w:r>
          </w:p>
        </w:tc>
        <w:tc>
          <w:tcPr>
            <w:tcW w:w="7938" w:type="dxa"/>
            <w:shd w:val="clear" w:color="auto" w:fill="3A3A3A"/>
            <w:tcMar>
              <w:top w:w="72" w:type="dxa"/>
              <w:left w:w="144" w:type="dxa"/>
              <w:bottom w:w="72" w:type="dxa"/>
              <w:right w:w="144" w:type="dxa"/>
            </w:tcMar>
            <w:vAlign w:val="center"/>
          </w:tcPr>
          <w:p w14:paraId="5FE879E2" w14:textId="77777777" w:rsidR="000F6E11" w:rsidRDefault="00000000">
            <w:pPr>
              <w:rPr>
                <w:rFonts w:ascii="Arial" w:eastAsia="Arial" w:hAnsi="Arial" w:cs="Arial"/>
                <w:color w:val="FFFFFF"/>
                <w:sz w:val="22"/>
                <w:szCs w:val="22"/>
              </w:rPr>
            </w:pPr>
            <w:r>
              <w:rPr>
                <w:rFonts w:ascii="Arial" w:eastAsia="Arial" w:hAnsi="Arial" w:cs="Arial"/>
                <w:b/>
                <w:color w:val="FFFFFF"/>
                <w:sz w:val="22"/>
                <w:szCs w:val="22"/>
              </w:rPr>
              <w:t>Tsunami Ready Recognition or Renewal</w:t>
            </w:r>
          </w:p>
        </w:tc>
      </w:tr>
      <w:tr w:rsidR="000F6E11" w14:paraId="379E73FA" w14:textId="77777777">
        <w:trPr>
          <w:trHeight w:val="513"/>
        </w:trPr>
        <w:tc>
          <w:tcPr>
            <w:tcW w:w="1418" w:type="dxa"/>
            <w:shd w:val="clear" w:color="auto" w:fill="auto"/>
            <w:tcMar>
              <w:top w:w="72" w:type="dxa"/>
              <w:left w:w="144" w:type="dxa"/>
              <w:bottom w:w="72" w:type="dxa"/>
              <w:right w:w="144" w:type="dxa"/>
            </w:tcMar>
          </w:tcPr>
          <w:p w14:paraId="202C8B5B" w14:textId="77777777" w:rsidR="000F6E11" w:rsidRDefault="00000000">
            <w:pPr>
              <w:rPr>
                <w:rFonts w:ascii="Arial" w:eastAsia="Arial" w:hAnsi="Arial" w:cs="Arial"/>
                <w:sz w:val="22"/>
                <w:szCs w:val="22"/>
              </w:rPr>
            </w:pPr>
            <w:r>
              <w:rPr>
                <w:rFonts w:ascii="Arial" w:eastAsia="Arial" w:hAnsi="Arial" w:cs="Arial"/>
                <w:sz w:val="22"/>
                <w:szCs w:val="22"/>
              </w:rPr>
              <w:t xml:space="preserve">2017 </w:t>
            </w:r>
          </w:p>
        </w:tc>
        <w:tc>
          <w:tcPr>
            <w:tcW w:w="7938" w:type="dxa"/>
            <w:shd w:val="clear" w:color="auto" w:fill="auto"/>
            <w:tcMar>
              <w:top w:w="72" w:type="dxa"/>
              <w:left w:w="144" w:type="dxa"/>
              <w:bottom w:w="72" w:type="dxa"/>
              <w:right w:w="144" w:type="dxa"/>
            </w:tcMar>
          </w:tcPr>
          <w:p w14:paraId="67EAD947" w14:textId="77777777" w:rsidR="000F6E11" w:rsidRDefault="00000000">
            <w:pPr>
              <w:rPr>
                <w:rFonts w:ascii="Arial" w:eastAsia="Arial" w:hAnsi="Arial" w:cs="Arial"/>
                <w:sz w:val="22"/>
                <w:szCs w:val="22"/>
              </w:rPr>
            </w:pPr>
            <w:r>
              <w:rPr>
                <w:rFonts w:ascii="Arial" w:eastAsia="Arial" w:hAnsi="Arial" w:cs="Arial"/>
                <w:b/>
                <w:sz w:val="22"/>
                <w:szCs w:val="22"/>
              </w:rPr>
              <w:t xml:space="preserve">Costa Rica </w:t>
            </w:r>
            <w:r>
              <w:rPr>
                <w:rFonts w:ascii="Arial" w:eastAsia="Arial" w:hAnsi="Arial" w:cs="Arial"/>
                <w:sz w:val="22"/>
                <w:szCs w:val="22"/>
              </w:rPr>
              <w:t xml:space="preserve">(Ostional), </w:t>
            </w:r>
            <w:r>
              <w:rPr>
                <w:rFonts w:ascii="Arial" w:eastAsia="Arial" w:hAnsi="Arial" w:cs="Arial"/>
                <w:b/>
                <w:sz w:val="22"/>
                <w:szCs w:val="22"/>
              </w:rPr>
              <w:t xml:space="preserve">Honduras </w:t>
            </w:r>
            <w:r>
              <w:rPr>
                <w:rFonts w:ascii="Arial" w:eastAsia="Arial" w:hAnsi="Arial" w:cs="Arial"/>
                <w:sz w:val="22"/>
                <w:szCs w:val="22"/>
              </w:rPr>
              <w:t xml:space="preserve">(Cedeno), </w:t>
            </w:r>
            <w:r>
              <w:rPr>
                <w:rFonts w:ascii="Arial" w:eastAsia="Arial" w:hAnsi="Arial" w:cs="Arial"/>
                <w:b/>
                <w:sz w:val="22"/>
                <w:szCs w:val="22"/>
              </w:rPr>
              <w:t>Samoa</w:t>
            </w:r>
            <w:r>
              <w:rPr>
                <w:rFonts w:ascii="Arial" w:eastAsia="Arial" w:hAnsi="Arial" w:cs="Arial"/>
                <w:sz w:val="22"/>
                <w:szCs w:val="22"/>
              </w:rPr>
              <w:t xml:space="preserve"> (Savaia Lefaga)</w:t>
            </w:r>
          </w:p>
        </w:tc>
      </w:tr>
      <w:tr w:rsidR="000F6E11" w14:paraId="0C00D300" w14:textId="77777777">
        <w:trPr>
          <w:trHeight w:val="513"/>
        </w:trPr>
        <w:tc>
          <w:tcPr>
            <w:tcW w:w="1418" w:type="dxa"/>
            <w:shd w:val="clear" w:color="auto" w:fill="auto"/>
            <w:tcMar>
              <w:top w:w="72" w:type="dxa"/>
              <w:left w:w="144" w:type="dxa"/>
              <w:bottom w:w="72" w:type="dxa"/>
              <w:right w:w="144" w:type="dxa"/>
            </w:tcMar>
          </w:tcPr>
          <w:p w14:paraId="54D408F9" w14:textId="77777777" w:rsidR="000F6E11" w:rsidRDefault="00000000">
            <w:pPr>
              <w:rPr>
                <w:rFonts w:ascii="Arial" w:eastAsia="Arial" w:hAnsi="Arial" w:cs="Arial"/>
                <w:sz w:val="22"/>
                <w:szCs w:val="22"/>
              </w:rPr>
            </w:pPr>
            <w:r>
              <w:rPr>
                <w:rFonts w:ascii="Arial" w:eastAsia="Arial" w:hAnsi="Arial" w:cs="Arial"/>
                <w:sz w:val="22"/>
                <w:szCs w:val="22"/>
              </w:rPr>
              <w:t xml:space="preserve">2019 </w:t>
            </w:r>
          </w:p>
        </w:tc>
        <w:tc>
          <w:tcPr>
            <w:tcW w:w="7938" w:type="dxa"/>
            <w:shd w:val="clear" w:color="auto" w:fill="auto"/>
            <w:tcMar>
              <w:top w:w="72" w:type="dxa"/>
              <w:left w:w="144" w:type="dxa"/>
              <w:bottom w:w="72" w:type="dxa"/>
              <w:right w:w="144" w:type="dxa"/>
            </w:tcMar>
          </w:tcPr>
          <w:p w14:paraId="6569196A" w14:textId="77777777" w:rsidR="000F6E11" w:rsidRDefault="00000000">
            <w:pPr>
              <w:rPr>
                <w:rFonts w:ascii="Arial" w:eastAsia="Arial" w:hAnsi="Arial" w:cs="Arial"/>
                <w:sz w:val="22"/>
                <w:szCs w:val="22"/>
              </w:rPr>
            </w:pPr>
            <w:r>
              <w:rPr>
                <w:rFonts w:ascii="Arial" w:eastAsia="Arial" w:hAnsi="Arial" w:cs="Arial"/>
                <w:b/>
                <w:sz w:val="22"/>
                <w:szCs w:val="22"/>
              </w:rPr>
              <w:t xml:space="preserve">Costa Rica </w:t>
            </w:r>
            <w:r>
              <w:rPr>
                <w:rFonts w:ascii="Arial" w:eastAsia="Arial" w:hAnsi="Arial" w:cs="Arial"/>
                <w:sz w:val="22"/>
                <w:szCs w:val="22"/>
              </w:rPr>
              <w:t xml:space="preserve">(Playa El Coco), </w:t>
            </w:r>
            <w:r>
              <w:rPr>
                <w:rFonts w:ascii="Arial" w:eastAsia="Arial" w:hAnsi="Arial" w:cs="Arial"/>
                <w:b/>
                <w:sz w:val="22"/>
                <w:szCs w:val="22"/>
              </w:rPr>
              <w:t xml:space="preserve">El Salvador </w:t>
            </w:r>
            <w:r>
              <w:rPr>
                <w:rFonts w:ascii="Arial" w:eastAsia="Arial" w:hAnsi="Arial" w:cs="Arial"/>
                <w:sz w:val="22"/>
                <w:szCs w:val="22"/>
              </w:rPr>
              <w:t xml:space="preserve">(Tamanique, La Libertad ) </w:t>
            </w:r>
            <w:r>
              <w:rPr>
                <w:rFonts w:ascii="Arial" w:eastAsia="Arial" w:hAnsi="Arial" w:cs="Arial"/>
                <w:b/>
                <w:sz w:val="22"/>
                <w:szCs w:val="22"/>
              </w:rPr>
              <w:t>Guatemala</w:t>
            </w:r>
            <w:r>
              <w:rPr>
                <w:rFonts w:ascii="Arial" w:eastAsia="Arial" w:hAnsi="Arial" w:cs="Arial"/>
                <w:sz w:val="22"/>
                <w:szCs w:val="22"/>
              </w:rPr>
              <w:t xml:space="preserve"> (Sipacate, San Jose Port)</w:t>
            </w:r>
          </w:p>
        </w:tc>
      </w:tr>
      <w:tr w:rsidR="000F6E11" w14:paraId="36A8BECD" w14:textId="77777777">
        <w:trPr>
          <w:trHeight w:val="513"/>
        </w:trPr>
        <w:tc>
          <w:tcPr>
            <w:tcW w:w="1418" w:type="dxa"/>
            <w:shd w:val="clear" w:color="auto" w:fill="auto"/>
            <w:tcMar>
              <w:top w:w="72" w:type="dxa"/>
              <w:left w:w="144" w:type="dxa"/>
              <w:bottom w:w="72" w:type="dxa"/>
              <w:right w:w="144" w:type="dxa"/>
            </w:tcMar>
          </w:tcPr>
          <w:p w14:paraId="16AB5229" w14:textId="77777777" w:rsidR="000F6E11" w:rsidRDefault="00000000">
            <w:pPr>
              <w:rPr>
                <w:rFonts w:ascii="Arial" w:eastAsia="Arial" w:hAnsi="Arial" w:cs="Arial"/>
                <w:sz w:val="22"/>
                <w:szCs w:val="22"/>
              </w:rPr>
            </w:pPr>
            <w:r>
              <w:rPr>
                <w:rFonts w:ascii="Arial" w:eastAsia="Arial" w:hAnsi="Arial" w:cs="Arial"/>
                <w:sz w:val="22"/>
                <w:szCs w:val="22"/>
              </w:rPr>
              <w:t>2020</w:t>
            </w:r>
          </w:p>
        </w:tc>
        <w:tc>
          <w:tcPr>
            <w:tcW w:w="7938" w:type="dxa"/>
            <w:shd w:val="clear" w:color="auto" w:fill="auto"/>
            <w:tcMar>
              <w:top w:w="72" w:type="dxa"/>
              <w:left w:w="144" w:type="dxa"/>
              <w:bottom w:w="72" w:type="dxa"/>
              <w:right w:w="144" w:type="dxa"/>
            </w:tcMar>
          </w:tcPr>
          <w:p w14:paraId="457BBA59" w14:textId="77777777" w:rsidR="000F6E11" w:rsidRDefault="000F6E11">
            <w:pPr>
              <w:rPr>
                <w:rFonts w:ascii="Arial" w:eastAsia="Arial" w:hAnsi="Arial" w:cs="Arial"/>
                <w:sz w:val="22"/>
                <w:szCs w:val="22"/>
              </w:rPr>
            </w:pPr>
          </w:p>
        </w:tc>
      </w:tr>
      <w:tr w:rsidR="000F6E11" w14:paraId="45054D56" w14:textId="77777777">
        <w:trPr>
          <w:trHeight w:val="513"/>
        </w:trPr>
        <w:tc>
          <w:tcPr>
            <w:tcW w:w="1418" w:type="dxa"/>
            <w:shd w:val="clear" w:color="auto" w:fill="auto"/>
            <w:tcMar>
              <w:top w:w="72" w:type="dxa"/>
              <w:left w:w="144" w:type="dxa"/>
              <w:bottom w:w="72" w:type="dxa"/>
              <w:right w:w="144" w:type="dxa"/>
            </w:tcMar>
          </w:tcPr>
          <w:p w14:paraId="02AC897B" w14:textId="77777777" w:rsidR="000F6E11" w:rsidRDefault="00000000">
            <w:pPr>
              <w:rPr>
                <w:rFonts w:ascii="Arial" w:eastAsia="Arial" w:hAnsi="Arial" w:cs="Arial"/>
                <w:sz w:val="22"/>
                <w:szCs w:val="22"/>
              </w:rPr>
            </w:pPr>
            <w:r>
              <w:rPr>
                <w:rFonts w:ascii="Arial" w:eastAsia="Arial" w:hAnsi="Arial" w:cs="Arial"/>
                <w:sz w:val="22"/>
                <w:szCs w:val="22"/>
              </w:rPr>
              <w:t>2021</w:t>
            </w:r>
          </w:p>
        </w:tc>
        <w:tc>
          <w:tcPr>
            <w:tcW w:w="7938" w:type="dxa"/>
            <w:shd w:val="clear" w:color="auto" w:fill="auto"/>
            <w:tcMar>
              <w:top w:w="72" w:type="dxa"/>
              <w:left w:w="144" w:type="dxa"/>
              <w:bottom w:w="72" w:type="dxa"/>
              <w:right w:w="144" w:type="dxa"/>
            </w:tcMar>
          </w:tcPr>
          <w:p w14:paraId="3022E058" w14:textId="77777777" w:rsidR="000F6E11" w:rsidRDefault="00000000">
            <w:pPr>
              <w:rPr>
                <w:rFonts w:ascii="Arial" w:eastAsia="Arial" w:hAnsi="Arial" w:cs="Arial"/>
                <w:sz w:val="22"/>
                <w:szCs w:val="22"/>
              </w:rPr>
            </w:pPr>
            <w:r>
              <w:rPr>
                <w:rFonts w:ascii="Arial" w:eastAsia="Arial" w:hAnsi="Arial" w:cs="Arial"/>
                <w:b/>
                <w:sz w:val="22"/>
                <w:szCs w:val="22"/>
              </w:rPr>
              <w:t xml:space="preserve">Costa Rica </w:t>
            </w:r>
            <w:r>
              <w:rPr>
                <w:rFonts w:ascii="Arial" w:eastAsia="Arial" w:hAnsi="Arial" w:cs="Arial"/>
                <w:sz w:val="22"/>
                <w:szCs w:val="22"/>
              </w:rPr>
              <w:t>(Samara, Tamarindo, Uvita-Bahía)</w:t>
            </w:r>
          </w:p>
        </w:tc>
      </w:tr>
      <w:tr w:rsidR="000F6E11" w14:paraId="2CB8F407" w14:textId="77777777">
        <w:trPr>
          <w:trHeight w:val="513"/>
        </w:trPr>
        <w:tc>
          <w:tcPr>
            <w:tcW w:w="1418" w:type="dxa"/>
            <w:shd w:val="clear" w:color="auto" w:fill="auto"/>
            <w:tcMar>
              <w:top w:w="72" w:type="dxa"/>
              <w:left w:w="144" w:type="dxa"/>
              <w:bottom w:w="72" w:type="dxa"/>
              <w:right w:w="144" w:type="dxa"/>
            </w:tcMar>
          </w:tcPr>
          <w:p w14:paraId="7774C404" w14:textId="77777777" w:rsidR="000F6E11" w:rsidRDefault="00000000">
            <w:pPr>
              <w:rPr>
                <w:rFonts w:ascii="Arial" w:eastAsia="Arial" w:hAnsi="Arial" w:cs="Arial"/>
                <w:sz w:val="22"/>
                <w:szCs w:val="22"/>
              </w:rPr>
            </w:pPr>
            <w:r>
              <w:rPr>
                <w:rFonts w:ascii="Arial" w:eastAsia="Arial" w:hAnsi="Arial" w:cs="Arial"/>
                <w:sz w:val="22"/>
                <w:szCs w:val="22"/>
              </w:rPr>
              <w:t>2022</w:t>
            </w:r>
          </w:p>
        </w:tc>
        <w:tc>
          <w:tcPr>
            <w:tcW w:w="7938" w:type="dxa"/>
            <w:shd w:val="clear" w:color="auto" w:fill="auto"/>
            <w:tcMar>
              <w:top w:w="72" w:type="dxa"/>
              <w:left w:w="144" w:type="dxa"/>
              <w:bottom w:w="72" w:type="dxa"/>
              <w:right w:w="144" w:type="dxa"/>
            </w:tcMar>
          </w:tcPr>
          <w:p w14:paraId="5590BD3F" w14:textId="77777777" w:rsidR="000F6E11" w:rsidRDefault="00000000">
            <w:pPr>
              <w:rPr>
                <w:rFonts w:ascii="Arial" w:eastAsia="Arial" w:hAnsi="Arial" w:cs="Arial"/>
                <w:sz w:val="22"/>
                <w:szCs w:val="22"/>
              </w:rPr>
            </w:pPr>
            <w:r>
              <w:rPr>
                <w:rFonts w:ascii="Arial" w:eastAsia="Arial" w:hAnsi="Arial" w:cs="Arial"/>
                <w:b/>
                <w:sz w:val="22"/>
                <w:szCs w:val="22"/>
              </w:rPr>
              <w:t xml:space="preserve">Costa Rica </w:t>
            </w:r>
            <w:r>
              <w:rPr>
                <w:rFonts w:ascii="Arial" w:eastAsia="Arial" w:hAnsi="Arial" w:cs="Arial"/>
                <w:sz w:val="22"/>
                <w:szCs w:val="22"/>
              </w:rPr>
              <w:t>(Quepos Municipality ,Playa Hermosa, Tivives, Puerto Jiménez, Dominical, Dominicalito y Barú)</w:t>
            </w:r>
          </w:p>
        </w:tc>
      </w:tr>
      <w:tr w:rsidR="000F6E11" w14:paraId="5BB28F0B" w14:textId="77777777">
        <w:trPr>
          <w:trHeight w:val="513"/>
        </w:trPr>
        <w:tc>
          <w:tcPr>
            <w:tcW w:w="1418" w:type="dxa"/>
            <w:shd w:val="clear" w:color="auto" w:fill="auto"/>
            <w:tcMar>
              <w:top w:w="72" w:type="dxa"/>
              <w:left w:w="144" w:type="dxa"/>
              <w:bottom w:w="72" w:type="dxa"/>
              <w:right w:w="144" w:type="dxa"/>
            </w:tcMar>
          </w:tcPr>
          <w:p w14:paraId="4E7677B9" w14:textId="77777777" w:rsidR="000F6E11" w:rsidRDefault="00000000">
            <w:pPr>
              <w:rPr>
                <w:rFonts w:ascii="Arial" w:eastAsia="Arial" w:hAnsi="Arial" w:cs="Arial"/>
                <w:sz w:val="22"/>
                <w:szCs w:val="22"/>
              </w:rPr>
            </w:pPr>
            <w:r>
              <w:rPr>
                <w:rFonts w:ascii="Arial" w:eastAsia="Arial" w:hAnsi="Arial" w:cs="Arial"/>
                <w:sz w:val="22"/>
                <w:szCs w:val="22"/>
              </w:rPr>
              <w:t>2023</w:t>
            </w:r>
          </w:p>
        </w:tc>
        <w:tc>
          <w:tcPr>
            <w:tcW w:w="7938" w:type="dxa"/>
            <w:shd w:val="clear" w:color="auto" w:fill="auto"/>
            <w:tcMar>
              <w:top w:w="72" w:type="dxa"/>
              <w:left w:w="144" w:type="dxa"/>
              <w:bottom w:w="72" w:type="dxa"/>
              <w:right w:w="144" w:type="dxa"/>
            </w:tcMar>
          </w:tcPr>
          <w:p w14:paraId="31DBE37A" w14:textId="77777777" w:rsidR="000F6E11" w:rsidRDefault="00000000">
            <w:pPr>
              <w:jc w:val="both"/>
              <w:rPr>
                <w:rFonts w:ascii="Arial" w:eastAsia="Arial" w:hAnsi="Arial" w:cs="Arial"/>
                <w:sz w:val="22"/>
                <w:szCs w:val="22"/>
              </w:rPr>
            </w:pPr>
            <w:r>
              <w:rPr>
                <w:rFonts w:ascii="Arial" w:eastAsia="Arial" w:hAnsi="Arial" w:cs="Arial"/>
                <w:b/>
                <w:sz w:val="22"/>
                <w:szCs w:val="22"/>
              </w:rPr>
              <w:t>Fiji</w:t>
            </w:r>
            <w:r>
              <w:rPr>
                <w:rFonts w:ascii="Arial" w:eastAsia="Arial" w:hAnsi="Arial" w:cs="Arial"/>
                <w:sz w:val="22"/>
                <w:szCs w:val="22"/>
              </w:rPr>
              <w:t xml:space="preserve"> (Navuevu, Sila)</w:t>
            </w:r>
          </w:p>
        </w:tc>
      </w:tr>
      <w:tr w:rsidR="000F6E11" w14:paraId="13DEF62E" w14:textId="77777777">
        <w:trPr>
          <w:trHeight w:val="513"/>
        </w:trPr>
        <w:tc>
          <w:tcPr>
            <w:tcW w:w="1418" w:type="dxa"/>
            <w:shd w:val="clear" w:color="auto" w:fill="auto"/>
            <w:tcMar>
              <w:top w:w="72" w:type="dxa"/>
              <w:left w:w="144" w:type="dxa"/>
              <w:bottom w:w="72" w:type="dxa"/>
              <w:right w:w="144" w:type="dxa"/>
            </w:tcMar>
          </w:tcPr>
          <w:p w14:paraId="6C267D06" w14:textId="77777777" w:rsidR="000F6E11" w:rsidRDefault="00000000">
            <w:pPr>
              <w:rPr>
                <w:rFonts w:ascii="Arial" w:eastAsia="Arial" w:hAnsi="Arial" w:cs="Arial"/>
                <w:sz w:val="22"/>
                <w:szCs w:val="22"/>
              </w:rPr>
            </w:pPr>
            <w:r>
              <w:rPr>
                <w:rFonts w:ascii="Arial" w:eastAsia="Arial" w:hAnsi="Arial" w:cs="Arial"/>
                <w:sz w:val="22"/>
                <w:szCs w:val="22"/>
              </w:rPr>
              <w:t>2024</w:t>
            </w:r>
          </w:p>
        </w:tc>
        <w:tc>
          <w:tcPr>
            <w:tcW w:w="7938" w:type="dxa"/>
            <w:shd w:val="clear" w:color="auto" w:fill="auto"/>
            <w:tcMar>
              <w:top w:w="72" w:type="dxa"/>
              <w:left w:w="144" w:type="dxa"/>
              <w:bottom w:w="72" w:type="dxa"/>
              <w:right w:w="144" w:type="dxa"/>
            </w:tcMar>
          </w:tcPr>
          <w:p w14:paraId="1B973BD4" w14:textId="6EE2AEB4" w:rsidR="000F6E11" w:rsidRDefault="00000000">
            <w:pPr>
              <w:rPr>
                <w:rFonts w:ascii="Arial" w:eastAsia="Arial" w:hAnsi="Arial" w:cs="Arial"/>
                <w:sz w:val="22"/>
                <w:szCs w:val="22"/>
              </w:rPr>
            </w:pPr>
            <w:r>
              <w:rPr>
                <w:rFonts w:ascii="Arial" w:eastAsia="Arial" w:hAnsi="Arial" w:cs="Arial"/>
                <w:b/>
                <w:sz w:val="22"/>
                <w:szCs w:val="22"/>
              </w:rPr>
              <w:t>Ecuador*</w:t>
            </w:r>
            <w:r>
              <w:rPr>
                <w:rFonts w:ascii="Arial" w:eastAsia="Arial" w:hAnsi="Arial" w:cs="Arial"/>
                <w:sz w:val="22"/>
                <w:szCs w:val="22"/>
              </w:rPr>
              <w:t xml:space="preserve"> (Puerto Baquerizo Moreno), </w:t>
            </w:r>
            <w:r>
              <w:rPr>
                <w:rFonts w:ascii="Arial" w:eastAsia="Arial" w:hAnsi="Arial" w:cs="Arial"/>
                <w:b/>
                <w:sz w:val="22"/>
                <w:szCs w:val="22"/>
              </w:rPr>
              <w:t xml:space="preserve">Federated States of Micronesia </w:t>
            </w:r>
            <w:r>
              <w:rPr>
                <w:rFonts w:ascii="Arial" w:eastAsia="Arial" w:hAnsi="Arial" w:cs="Arial"/>
                <w:sz w:val="22"/>
                <w:szCs w:val="22"/>
              </w:rPr>
              <w:t xml:space="preserve">(Chuuk, Pohnpei), </w:t>
            </w:r>
            <w:r>
              <w:rPr>
                <w:rFonts w:ascii="Arial" w:eastAsia="Arial" w:hAnsi="Arial" w:cs="Arial"/>
                <w:b/>
                <w:sz w:val="22"/>
                <w:szCs w:val="22"/>
              </w:rPr>
              <w:t xml:space="preserve">Marshall Islands </w:t>
            </w:r>
            <w:r>
              <w:rPr>
                <w:rFonts w:ascii="Arial" w:eastAsia="Arial" w:hAnsi="Arial" w:cs="Arial"/>
                <w:sz w:val="22"/>
                <w:szCs w:val="22"/>
              </w:rPr>
              <w:t xml:space="preserve">(Majuro), </w:t>
            </w:r>
            <w:r>
              <w:rPr>
                <w:rFonts w:ascii="Arial" w:eastAsia="Arial" w:hAnsi="Arial" w:cs="Arial"/>
                <w:b/>
                <w:sz w:val="22"/>
                <w:szCs w:val="22"/>
              </w:rPr>
              <w:t>Palau</w:t>
            </w:r>
            <w:r>
              <w:rPr>
                <w:rFonts w:ascii="Arial" w:eastAsia="Arial" w:hAnsi="Arial" w:cs="Arial"/>
                <w:sz w:val="22"/>
                <w:szCs w:val="22"/>
              </w:rPr>
              <w:t xml:space="preserve"> (Palau)</w:t>
            </w:r>
          </w:p>
        </w:tc>
      </w:tr>
      <w:tr w:rsidR="000F6E11" w14:paraId="19A998E2" w14:textId="77777777">
        <w:trPr>
          <w:trHeight w:val="513"/>
        </w:trPr>
        <w:tc>
          <w:tcPr>
            <w:tcW w:w="1418" w:type="dxa"/>
            <w:shd w:val="clear" w:color="auto" w:fill="auto"/>
            <w:tcMar>
              <w:top w:w="72" w:type="dxa"/>
              <w:left w:w="144" w:type="dxa"/>
              <w:bottom w:w="72" w:type="dxa"/>
              <w:right w:w="144" w:type="dxa"/>
            </w:tcMar>
          </w:tcPr>
          <w:p w14:paraId="6B970518" w14:textId="77777777" w:rsidR="000F6E11" w:rsidRDefault="00000000">
            <w:pPr>
              <w:rPr>
                <w:rFonts w:ascii="Arial" w:eastAsia="Arial" w:hAnsi="Arial" w:cs="Arial"/>
                <w:sz w:val="22"/>
                <w:szCs w:val="22"/>
              </w:rPr>
            </w:pPr>
            <w:r>
              <w:rPr>
                <w:rFonts w:ascii="Arial" w:eastAsia="Arial" w:hAnsi="Arial" w:cs="Arial"/>
                <w:sz w:val="22"/>
                <w:szCs w:val="22"/>
              </w:rPr>
              <w:t>Underway / Planned</w:t>
            </w:r>
          </w:p>
        </w:tc>
        <w:tc>
          <w:tcPr>
            <w:tcW w:w="7938" w:type="dxa"/>
            <w:shd w:val="clear" w:color="auto" w:fill="auto"/>
            <w:tcMar>
              <w:top w:w="72" w:type="dxa"/>
              <w:left w:w="144" w:type="dxa"/>
              <w:bottom w:w="72" w:type="dxa"/>
              <w:right w:w="144" w:type="dxa"/>
            </w:tcMar>
          </w:tcPr>
          <w:p w14:paraId="1BAB6760" w14:textId="5726BAE4" w:rsidR="000F6E11" w:rsidRDefault="00000000">
            <w:pPr>
              <w:rPr>
                <w:rFonts w:ascii="Arial" w:eastAsia="Arial" w:hAnsi="Arial" w:cs="Arial"/>
                <w:sz w:val="22"/>
                <w:szCs w:val="22"/>
              </w:rPr>
            </w:pPr>
            <w:r>
              <w:rPr>
                <w:rFonts w:ascii="Arial" w:eastAsia="Arial" w:hAnsi="Arial" w:cs="Arial"/>
                <w:sz w:val="22"/>
                <w:szCs w:val="22"/>
              </w:rPr>
              <w:t>Ecuador* (Puerto Villamil</w:t>
            </w:r>
            <w:r w:rsidR="00067C8C">
              <w:rPr>
                <w:rFonts w:ascii="Arial" w:eastAsia="Arial" w:hAnsi="Arial" w:cs="Arial"/>
                <w:sz w:val="22"/>
                <w:szCs w:val="22"/>
              </w:rPr>
              <w:t xml:space="preserve">, </w:t>
            </w:r>
            <w:r w:rsidR="00067C8C" w:rsidRPr="00067C8C">
              <w:rPr>
                <w:rFonts w:ascii="Arial" w:eastAsia="Arial" w:hAnsi="Arial" w:cs="Arial"/>
                <w:sz w:val="22"/>
                <w:szCs w:val="22"/>
              </w:rPr>
              <w:t>Puerto Ayora</w:t>
            </w:r>
            <w:r w:rsidRPr="00067C8C">
              <w:rPr>
                <w:rFonts w:ascii="Arial" w:eastAsia="Arial" w:hAnsi="Arial" w:cs="Arial"/>
                <w:sz w:val="22"/>
                <w:szCs w:val="22"/>
              </w:rPr>
              <w:t>), Federated</w:t>
            </w:r>
            <w:r>
              <w:rPr>
                <w:rFonts w:ascii="Arial" w:eastAsia="Arial" w:hAnsi="Arial" w:cs="Arial"/>
                <w:sz w:val="22"/>
                <w:szCs w:val="22"/>
              </w:rPr>
              <w:t xml:space="preserve"> States of Micronesia (Kosrae, Yap), Nicaragua, Panama (Puerto Armuelles), Solomon Islands (Honiara, Western Provinces), Tonga, Vanuatu (Port Vila, Luganville, Aneiysym), Vietnam, Costa Rica, El Salvador</w:t>
            </w:r>
          </w:p>
        </w:tc>
      </w:tr>
    </w:tbl>
    <w:p w14:paraId="1A5AC2C3" w14:textId="77777777" w:rsidR="000F6E11" w:rsidRDefault="00000000">
      <w:pPr>
        <w:spacing w:before="240" w:after="240"/>
        <w:rPr>
          <w:rFonts w:ascii="Arial" w:eastAsia="Arial" w:hAnsi="Arial" w:cs="Arial"/>
          <w:color w:val="111111"/>
          <w:sz w:val="20"/>
          <w:szCs w:val="20"/>
        </w:rPr>
      </w:pPr>
      <w:r>
        <w:rPr>
          <w:rFonts w:ascii="Arial" w:eastAsia="Arial" w:hAnsi="Arial" w:cs="Arial"/>
          <w:sz w:val="20"/>
          <w:szCs w:val="20"/>
        </w:rPr>
        <w:t>*</w:t>
      </w:r>
      <w:r>
        <w:rPr>
          <w:rFonts w:ascii="Arial" w:eastAsia="Arial" w:hAnsi="Arial" w:cs="Arial"/>
          <w:color w:val="111111"/>
          <w:sz w:val="20"/>
          <w:szCs w:val="20"/>
        </w:rPr>
        <w:t>The effort to achieve Tsunami Ready cities in Ecuador has been supported by the Permanent Commission of the South Pacific -CPPS.</w:t>
      </w:r>
    </w:p>
    <w:p w14:paraId="26EE7035" w14:textId="77777777" w:rsidR="000F6E11" w:rsidRDefault="00000000">
      <w:pPr>
        <w:spacing w:before="240" w:after="240"/>
        <w:rPr>
          <w:rFonts w:ascii="Arial" w:eastAsia="Arial" w:hAnsi="Arial" w:cs="Arial"/>
          <w:sz w:val="22"/>
          <w:szCs w:val="22"/>
        </w:rPr>
      </w:pPr>
      <w:r>
        <w:rPr>
          <w:rFonts w:ascii="Arial" w:eastAsia="Arial" w:hAnsi="Arial" w:cs="Arial"/>
          <w:sz w:val="22"/>
          <w:szCs w:val="22"/>
        </w:rPr>
        <w:t xml:space="preserve">There are some challenges with reporting the progress of implementation of the Tsunami Ready Recognition Programme (or equivalent) in ICG/PTWS, beyond the Tsunami Ready viewer. Member States are encouraged to share progress with Working Group 3, however, there is no mechanism to do so. </w:t>
      </w:r>
    </w:p>
    <w:p w14:paraId="24537207" w14:textId="77777777" w:rsidR="000F6E11" w:rsidRDefault="00000000">
      <w:pPr>
        <w:spacing w:before="240" w:after="240"/>
        <w:rPr>
          <w:rFonts w:ascii="Arial" w:eastAsia="Arial" w:hAnsi="Arial" w:cs="Arial"/>
          <w:sz w:val="22"/>
          <w:szCs w:val="22"/>
        </w:rPr>
      </w:pPr>
      <w:r>
        <w:rPr>
          <w:rFonts w:ascii="Arial" w:eastAsia="Arial" w:hAnsi="Arial" w:cs="Arial"/>
          <w:sz w:val="22"/>
          <w:szCs w:val="22"/>
        </w:rPr>
        <w:t>The Task Team considers that there is a need for a regular ICG/PTWS Tsunami Ready survey. This would support monitoring and reporting on Tsunami Ready across the Pacific, and also ensure that Task Team Tsunami Ready activities are representative of the whole Pacific needs. Questions would be to the effect of:</w:t>
      </w:r>
    </w:p>
    <w:p w14:paraId="304A490A" w14:textId="77777777" w:rsidR="000F6E11" w:rsidRDefault="00000000">
      <w:pPr>
        <w:spacing w:before="240" w:after="240"/>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Intent &amp; progress with implementing the Tsunami Ready Recognition Programme</w:t>
      </w:r>
    </w:p>
    <w:p w14:paraId="2CE0DDF3" w14:textId="77777777" w:rsidR="000F6E11" w:rsidRDefault="00000000">
      <w:pPr>
        <w:spacing w:before="240" w:after="240"/>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Barriers and challenges with Tsunami Ready Recognition implementation</w:t>
      </w:r>
    </w:p>
    <w:p w14:paraId="49AF7A89" w14:textId="77777777" w:rsidR="000F6E11" w:rsidRDefault="00000000">
      <w:pPr>
        <w:spacing w:before="240" w:after="240"/>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Whether there is a national programme instead of Tsunami Ready</w:t>
      </w:r>
    </w:p>
    <w:p w14:paraId="6BFCA9A4" w14:textId="77777777" w:rsidR="002869FB" w:rsidRDefault="00000000">
      <w:pPr>
        <w:spacing w:before="240" w:after="240"/>
        <w:rPr>
          <w:rFonts w:ascii="Arial" w:eastAsia="Arial" w:hAnsi="Arial" w:cs="Arial"/>
          <w:sz w:val="22"/>
          <w:szCs w:val="22"/>
        </w:rPr>
      </w:pPr>
      <w:r>
        <w:rPr>
          <w:rFonts w:ascii="Arial" w:eastAsia="Arial" w:hAnsi="Arial" w:cs="Arial"/>
          <w:sz w:val="22"/>
          <w:szCs w:val="22"/>
        </w:rPr>
        <w:t>With the PTWS Capacity Assessment now intended to take place before the next ICG, the Task Team proposes that this will be sufficient, and to avoid survey fatigue, but to make consideration of a regular survey following this.</w:t>
      </w:r>
    </w:p>
    <w:p w14:paraId="5704EA8B" w14:textId="77777777" w:rsidR="002869FB" w:rsidRDefault="002869FB">
      <w:pPr>
        <w:spacing w:before="240" w:after="240"/>
        <w:rPr>
          <w:rFonts w:ascii="Arial" w:eastAsia="Arial" w:hAnsi="Arial" w:cs="Arial"/>
          <w:sz w:val="22"/>
          <w:szCs w:val="22"/>
        </w:rPr>
      </w:pPr>
    </w:p>
    <w:p w14:paraId="72A6BAF9" w14:textId="77777777" w:rsidR="002869FB" w:rsidRDefault="002869FB">
      <w:pPr>
        <w:spacing w:before="240" w:after="240"/>
        <w:rPr>
          <w:rFonts w:ascii="Arial" w:eastAsia="Arial" w:hAnsi="Arial" w:cs="Arial"/>
          <w:sz w:val="22"/>
          <w:szCs w:val="22"/>
        </w:rPr>
      </w:pPr>
    </w:p>
    <w:p w14:paraId="015FD28E" w14:textId="77777777" w:rsidR="002869FB" w:rsidRDefault="002869FB">
      <w:pPr>
        <w:spacing w:before="240" w:after="240"/>
        <w:rPr>
          <w:rFonts w:ascii="Arial" w:eastAsia="Arial" w:hAnsi="Arial" w:cs="Arial"/>
          <w:sz w:val="22"/>
          <w:szCs w:val="22"/>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0F6E11" w14:paraId="490EB17D" w14:textId="77777777">
        <w:tc>
          <w:tcPr>
            <w:tcW w:w="9026" w:type="dxa"/>
            <w:shd w:val="clear" w:color="auto" w:fill="auto"/>
            <w:tcMar>
              <w:top w:w="100" w:type="dxa"/>
              <w:left w:w="100" w:type="dxa"/>
              <w:bottom w:w="100" w:type="dxa"/>
              <w:right w:w="100" w:type="dxa"/>
            </w:tcMar>
          </w:tcPr>
          <w:p w14:paraId="541D3ADF" w14:textId="77777777" w:rsidR="000F6E11" w:rsidRDefault="00000000">
            <w:pPr>
              <w:rPr>
                <w:rFonts w:ascii="Arial" w:eastAsia="Arial" w:hAnsi="Arial" w:cs="Arial"/>
                <w:sz w:val="22"/>
                <w:szCs w:val="22"/>
              </w:rPr>
            </w:pPr>
            <w:r>
              <w:rPr>
                <w:rFonts w:ascii="Arial" w:eastAsia="Arial" w:hAnsi="Arial" w:cs="Arial"/>
                <w:sz w:val="22"/>
                <w:szCs w:val="22"/>
              </w:rPr>
              <w:lastRenderedPageBreak/>
              <w:t>The WG3 Task Team Tsunami Ready recommends that the ICG/PTWS:</w:t>
            </w:r>
          </w:p>
          <w:p w14:paraId="00685A14" w14:textId="77777777" w:rsidR="000F6E11" w:rsidRDefault="000F6E11">
            <w:pPr>
              <w:rPr>
                <w:rFonts w:ascii="Arial" w:eastAsia="Arial" w:hAnsi="Arial" w:cs="Arial"/>
                <w:b/>
                <w:sz w:val="22"/>
                <w:szCs w:val="22"/>
              </w:rPr>
            </w:pPr>
          </w:p>
          <w:p w14:paraId="3E5460C5" w14:textId="77777777" w:rsidR="000F6E11" w:rsidRDefault="00000000">
            <w:pPr>
              <w:rPr>
                <w:rFonts w:ascii="Arial" w:eastAsia="Arial" w:hAnsi="Arial" w:cs="Arial"/>
                <w:sz w:val="22"/>
                <w:szCs w:val="22"/>
              </w:rPr>
            </w:pPr>
            <w:r>
              <w:rPr>
                <w:rFonts w:ascii="Arial" w:eastAsia="Arial" w:hAnsi="Arial" w:cs="Arial"/>
                <w:b/>
                <w:sz w:val="22"/>
                <w:szCs w:val="22"/>
              </w:rPr>
              <w:t>Notes with appreciation</w:t>
            </w:r>
            <w:r>
              <w:rPr>
                <w:rFonts w:ascii="Arial" w:eastAsia="Arial" w:hAnsi="Arial" w:cs="Arial"/>
                <w:sz w:val="22"/>
                <w:szCs w:val="22"/>
              </w:rPr>
              <w:t xml:space="preserve"> the significant role that the International Tsunami Information Centre plays in the facilitation, promotion and application of the Tsunami Ready Recognition Programme across the PTWS. </w:t>
            </w:r>
          </w:p>
          <w:p w14:paraId="4611458D" w14:textId="77777777" w:rsidR="000F6E11" w:rsidRDefault="000F6E11">
            <w:pPr>
              <w:rPr>
                <w:rFonts w:ascii="Arial" w:eastAsia="Arial" w:hAnsi="Arial" w:cs="Arial"/>
                <w:sz w:val="22"/>
                <w:szCs w:val="22"/>
              </w:rPr>
            </w:pPr>
          </w:p>
          <w:p w14:paraId="1FA60E3D" w14:textId="77777777" w:rsidR="000F6E11" w:rsidRDefault="00000000">
            <w:pPr>
              <w:rPr>
                <w:rFonts w:ascii="Arial" w:eastAsia="Arial" w:hAnsi="Arial" w:cs="Arial"/>
                <w:sz w:val="22"/>
                <w:szCs w:val="22"/>
              </w:rPr>
            </w:pPr>
            <w:r>
              <w:rPr>
                <w:rFonts w:ascii="Arial" w:eastAsia="Arial" w:hAnsi="Arial" w:cs="Arial"/>
                <w:b/>
                <w:sz w:val="22"/>
                <w:szCs w:val="22"/>
              </w:rPr>
              <w:t xml:space="preserve">Notes </w:t>
            </w:r>
            <w:r>
              <w:rPr>
                <w:rFonts w:ascii="Arial" w:eastAsia="Arial" w:hAnsi="Arial" w:cs="Arial"/>
                <w:sz w:val="22"/>
                <w:szCs w:val="22"/>
              </w:rPr>
              <w:t xml:space="preserve">the challenge in reporting the progress of Tsunami Ready for the PTWS, in particular interest and planning of the programme that may not have been communicated to ITIC or the IOC, </w:t>
            </w:r>
          </w:p>
          <w:p w14:paraId="407CEFBC" w14:textId="77777777" w:rsidR="000F6E11" w:rsidRDefault="000F6E11">
            <w:pPr>
              <w:spacing w:after="46"/>
              <w:rPr>
                <w:rFonts w:ascii="Arial" w:eastAsia="Arial" w:hAnsi="Arial" w:cs="Arial"/>
                <w:sz w:val="22"/>
                <w:szCs w:val="22"/>
              </w:rPr>
            </w:pPr>
          </w:p>
          <w:p w14:paraId="1405D445" w14:textId="77777777" w:rsidR="000F6E11" w:rsidRDefault="00000000">
            <w:pPr>
              <w:spacing w:after="46"/>
              <w:rPr>
                <w:rFonts w:ascii="Arial" w:eastAsia="Arial" w:hAnsi="Arial" w:cs="Arial"/>
                <w:sz w:val="22"/>
                <w:szCs w:val="22"/>
              </w:rPr>
            </w:pPr>
            <w:r>
              <w:rPr>
                <w:rFonts w:ascii="Arial" w:eastAsia="Arial" w:hAnsi="Arial" w:cs="Arial"/>
                <w:b/>
                <w:sz w:val="22"/>
                <w:szCs w:val="22"/>
              </w:rPr>
              <w:t xml:space="preserve">Requests </w:t>
            </w:r>
            <w:r>
              <w:rPr>
                <w:rFonts w:ascii="Arial" w:eastAsia="Arial" w:hAnsi="Arial" w:cs="Arial"/>
                <w:sz w:val="22"/>
                <w:szCs w:val="22"/>
              </w:rPr>
              <w:t xml:space="preserve">the WG Task Team Tsunami Ready continue to investigate the implementation of a Tsunami Ready survey for the PTWS for implementation prior to the ICG/PTWS-XXXII, to support reporting at that Session.  </w:t>
            </w:r>
          </w:p>
          <w:p w14:paraId="3EAD0DCB" w14:textId="77777777" w:rsidR="000F6E11" w:rsidRDefault="000F6E11">
            <w:pPr>
              <w:rPr>
                <w:rFonts w:ascii="Arial" w:eastAsia="Arial" w:hAnsi="Arial" w:cs="Arial"/>
                <w:b/>
                <w:sz w:val="22"/>
                <w:szCs w:val="22"/>
              </w:rPr>
            </w:pPr>
          </w:p>
          <w:p w14:paraId="0FF6FD77" w14:textId="77777777" w:rsidR="000F6E11" w:rsidRDefault="00000000">
            <w:pPr>
              <w:rPr>
                <w:rFonts w:ascii="Arial" w:eastAsia="Arial" w:hAnsi="Arial" w:cs="Arial"/>
                <w:sz w:val="22"/>
                <w:szCs w:val="22"/>
              </w:rPr>
            </w:pPr>
            <w:r>
              <w:rPr>
                <w:rFonts w:ascii="Arial" w:eastAsia="Arial" w:hAnsi="Arial" w:cs="Arial"/>
                <w:b/>
                <w:sz w:val="22"/>
                <w:szCs w:val="22"/>
              </w:rPr>
              <w:t>Encourages</w:t>
            </w:r>
            <w:r>
              <w:rPr>
                <w:rFonts w:ascii="Arial" w:eastAsia="Arial" w:hAnsi="Arial" w:cs="Arial"/>
                <w:sz w:val="22"/>
                <w:szCs w:val="22"/>
              </w:rPr>
              <w:t xml:space="preserve"> member states to continue to share outcomes and progression towards ‘100% Tsunami Ready’ with Working Group Three. </w:t>
            </w:r>
          </w:p>
          <w:p w14:paraId="1166741B" w14:textId="77777777" w:rsidR="000F6E11" w:rsidRDefault="000F6E11">
            <w:pPr>
              <w:rPr>
                <w:rFonts w:ascii="Arial" w:eastAsia="Arial" w:hAnsi="Arial" w:cs="Arial"/>
                <w:sz w:val="22"/>
                <w:szCs w:val="22"/>
              </w:rPr>
            </w:pPr>
          </w:p>
          <w:p w14:paraId="2280FA4A" w14:textId="77777777" w:rsidR="000F6E11" w:rsidRDefault="00000000">
            <w:pPr>
              <w:spacing w:after="46"/>
              <w:rPr>
                <w:rFonts w:ascii="Arial" w:eastAsia="Arial" w:hAnsi="Arial" w:cs="Arial"/>
                <w:sz w:val="22"/>
                <w:szCs w:val="22"/>
              </w:rPr>
            </w:pPr>
            <w:r>
              <w:rPr>
                <w:rFonts w:ascii="Arial" w:eastAsia="Arial" w:hAnsi="Arial" w:cs="Arial"/>
                <w:b/>
                <w:sz w:val="22"/>
                <w:szCs w:val="22"/>
              </w:rPr>
              <w:t>Mandates</w:t>
            </w:r>
            <w:r>
              <w:rPr>
                <w:rFonts w:ascii="Arial" w:eastAsia="Arial" w:hAnsi="Arial" w:cs="Arial"/>
                <w:sz w:val="22"/>
                <w:szCs w:val="22"/>
              </w:rPr>
              <w:t xml:space="preserve"> the International Tsunami Information Centre (ITIC) to continue to facilitate implementation and data collation regarding Tsunami Ready progress in the PTWS.</w:t>
            </w:r>
          </w:p>
        </w:tc>
      </w:tr>
    </w:tbl>
    <w:p w14:paraId="53BBE29F" w14:textId="77777777" w:rsidR="000F6E11" w:rsidRDefault="000F6E11">
      <w:pPr>
        <w:spacing w:after="46"/>
        <w:rPr>
          <w:rFonts w:ascii="Arial" w:eastAsia="Arial" w:hAnsi="Arial" w:cs="Arial"/>
          <w:sz w:val="22"/>
          <w:szCs w:val="22"/>
        </w:rPr>
      </w:pPr>
    </w:p>
    <w:p w14:paraId="69F1E246" w14:textId="77777777" w:rsidR="000F6E11" w:rsidRDefault="000F6E11">
      <w:pPr>
        <w:rPr>
          <w:rFonts w:ascii="Arial" w:eastAsia="Arial" w:hAnsi="Arial" w:cs="Arial"/>
          <w:b/>
          <w:sz w:val="22"/>
          <w:szCs w:val="22"/>
          <w:u w:val="single"/>
        </w:rPr>
      </w:pPr>
    </w:p>
    <w:p w14:paraId="7F828293" w14:textId="77777777" w:rsidR="000F6E11" w:rsidRDefault="003B4638">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1.3</w:t>
      </w:r>
      <w:r>
        <w:rPr>
          <w:rFonts w:ascii="Arial" w:eastAsia="Arial" w:hAnsi="Arial" w:cs="Arial"/>
          <w:b/>
          <w:color w:val="000000"/>
          <w:sz w:val="22"/>
          <w:szCs w:val="22"/>
          <w:u w:val="single"/>
        </w:rPr>
        <w:tab/>
        <w:t xml:space="preserve">Challenges to Tsunami Ready Implementation </w:t>
      </w:r>
    </w:p>
    <w:p w14:paraId="4CD837DD" w14:textId="77777777" w:rsidR="000F6E11" w:rsidRDefault="000F6E11">
      <w:pPr>
        <w:rPr>
          <w:rFonts w:ascii="Arial" w:eastAsia="Arial" w:hAnsi="Arial" w:cs="Arial"/>
          <w:b/>
          <w:sz w:val="22"/>
          <w:szCs w:val="22"/>
          <w:u w:val="single"/>
        </w:rPr>
      </w:pPr>
    </w:p>
    <w:p w14:paraId="1DE3F9DF" w14:textId="77777777" w:rsidR="000F6E11" w:rsidRDefault="00000000">
      <w:pPr>
        <w:spacing w:before="120" w:after="120"/>
        <w:ind w:right="57"/>
        <w:rPr>
          <w:rFonts w:ascii="Arial" w:eastAsia="Arial" w:hAnsi="Arial" w:cs="Arial"/>
          <w:sz w:val="22"/>
          <w:szCs w:val="22"/>
        </w:rPr>
      </w:pPr>
      <w:r>
        <w:rPr>
          <w:rFonts w:ascii="Arial" w:eastAsia="Arial" w:hAnsi="Arial" w:cs="Arial"/>
          <w:sz w:val="22"/>
          <w:szCs w:val="22"/>
        </w:rPr>
        <w:t>The Task Team met in July 2024 with representation from other ICGs and discussed implementation challenges in the Pacific and globally for the TRRP. Similar discussion was had at the 2025 meeting of the TOWS TT-DMP, and is expected to inform future work of the TT-DMP.</w:t>
      </w:r>
    </w:p>
    <w:p w14:paraId="4DF598A8" w14:textId="77777777" w:rsidR="000F6E11" w:rsidRDefault="000F6E11">
      <w:pPr>
        <w:rPr>
          <w:rFonts w:ascii="Arial" w:eastAsia="Arial" w:hAnsi="Arial" w:cs="Arial"/>
          <w:sz w:val="22"/>
          <w:szCs w:val="22"/>
        </w:rPr>
      </w:pPr>
    </w:p>
    <w:p w14:paraId="61EE4B28" w14:textId="77777777" w:rsidR="000F6E11" w:rsidRDefault="00000000">
      <w:pPr>
        <w:rPr>
          <w:rFonts w:ascii="Arial" w:eastAsia="Arial" w:hAnsi="Arial" w:cs="Arial"/>
          <w:sz w:val="22"/>
          <w:szCs w:val="22"/>
        </w:rPr>
      </w:pPr>
      <w:r>
        <w:rPr>
          <w:rFonts w:ascii="Arial" w:eastAsia="Arial" w:hAnsi="Arial" w:cs="Arial"/>
          <w:sz w:val="22"/>
          <w:szCs w:val="22"/>
        </w:rPr>
        <w:t xml:space="preserve">Key challenges reported across the ICGs include: </w:t>
      </w:r>
    </w:p>
    <w:p w14:paraId="0DC62D7A" w14:textId="77777777" w:rsidR="000F6E11" w:rsidRDefault="00000000">
      <w:pPr>
        <w:numPr>
          <w:ilvl w:val="0"/>
          <w:numId w:val="5"/>
        </w:numPr>
        <w:pBdr>
          <w:top w:val="nil"/>
          <w:left w:val="nil"/>
          <w:bottom w:val="nil"/>
          <w:right w:val="nil"/>
          <w:between w:val="nil"/>
        </w:pBdr>
        <w:spacing w:before="120" w:after="120"/>
        <w:ind w:left="714" w:right="57" w:hanging="357"/>
        <w:rPr>
          <w:color w:val="000000"/>
          <w:sz w:val="22"/>
          <w:szCs w:val="22"/>
        </w:rPr>
      </w:pPr>
      <w:r>
        <w:rPr>
          <w:rFonts w:ascii="Arial" w:eastAsia="Arial" w:hAnsi="Arial" w:cs="Arial"/>
          <w:color w:val="000000"/>
          <w:sz w:val="22"/>
          <w:szCs w:val="22"/>
        </w:rPr>
        <w:t>Hazard assessment, especially inundation modelling and GIS capacity</w:t>
      </w:r>
    </w:p>
    <w:p w14:paraId="06CB6309" w14:textId="77777777" w:rsidR="000F6E11" w:rsidRDefault="00000000">
      <w:pPr>
        <w:numPr>
          <w:ilvl w:val="0"/>
          <w:numId w:val="5"/>
        </w:numPr>
        <w:pBdr>
          <w:top w:val="nil"/>
          <w:left w:val="nil"/>
          <w:bottom w:val="nil"/>
          <w:right w:val="nil"/>
          <w:between w:val="nil"/>
        </w:pBdr>
        <w:spacing w:before="120" w:after="120"/>
        <w:ind w:left="714" w:right="57" w:hanging="357"/>
        <w:rPr>
          <w:color w:val="000000"/>
          <w:sz w:val="22"/>
          <w:szCs w:val="22"/>
        </w:rPr>
      </w:pPr>
      <w:r>
        <w:rPr>
          <w:rFonts w:ascii="Arial" w:eastAsia="Arial" w:hAnsi="Arial" w:cs="Arial"/>
          <w:color w:val="000000"/>
          <w:sz w:val="22"/>
          <w:szCs w:val="22"/>
        </w:rPr>
        <w:t xml:space="preserve">A cumbersome / time consuming application process </w:t>
      </w:r>
    </w:p>
    <w:p w14:paraId="43A30F36" w14:textId="77777777" w:rsidR="000F6E11" w:rsidRDefault="00000000">
      <w:pPr>
        <w:numPr>
          <w:ilvl w:val="0"/>
          <w:numId w:val="5"/>
        </w:numPr>
        <w:pBdr>
          <w:top w:val="nil"/>
          <w:left w:val="nil"/>
          <w:bottom w:val="nil"/>
          <w:right w:val="nil"/>
          <w:between w:val="nil"/>
        </w:pBdr>
        <w:spacing w:before="120" w:after="120"/>
        <w:ind w:left="714" w:right="57" w:hanging="357"/>
        <w:rPr>
          <w:color w:val="000000"/>
          <w:sz w:val="22"/>
          <w:szCs w:val="22"/>
        </w:rPr>
      </w:pPr>
      <w:r>
        <w:rPr>
          <w:rFonts w:ascii="Arial" w:eastAsia="Arial" w:hAnsi="Arial" w:cs="Arial"/>
          <w:color w:val="000000"/>
          <w:sz w:val="22"/>
          <w:szCs w:val="22"/>
        </w:rPr>
        <w:t>Challenges in the definition of community, in that they should not be too small as that uses high levels of administration to roll out across a country but must also be meaningful (not too large)</w:t>
      </w:r>
    </w:p>
    <w:p w14:paraId="618B5445" w14:textId="77777777" w:rsidR="000F6E11" w:rsidRDefault="00000000">
      <w:pPr>
        <w:numPr>
          <w:ilvl w:val="0"/>
          <w:numId w:val="5"/>
        </w:numPr>
        <w:pBdr>
          <w:top w:val="nil"/>
          <w:left w:val="nil"/>
          <w:bottom w:val="nil"/>
          <w:right w:val="nil"/>
          <w:between w:val="nil"/>
        </w:pBdr>
        <w:spacing w:before="120" w:after="120"/>
        <w:ind w:left="714" w:right="57" w:hanging="357"/>
        <w:rPr>
          <w:color w:val="000000"/>
          <w:sz w:val="22"/>
          <w:szCs w:val="22"/>
        </w:rPr>
      </w:pPr>
      <w:r>
        <w:rPr>
          <w:rFonts w:ascii="Arial" w:eastAsia="Arial" w:hAnsi="Arial" w:cs="Arial"/>
          <w:color w:val="000000"/>
          <w:sz w:val="22"/>
          <w:szCs w:val="22"/>
        </w:rPr>
        <w:t>Sustainability in effort, expertise and funding</w:t>
      </w:r>
    </w:p>
    <w:p w14:paraId="392CCA1C" w14:textId="77777777" w:rsidR="000F6E11" w:rsidRDefault="00000000">
      <w:pPr>
        <w:numPr>
          <w:ilvl w:val="0"/>
          <w:numId w:val="5"/>
        </w:numPr>
        <w:pBdr>
          <w:top w:val="nil"/>
          <w:left w:val="nil"/>
          <w:bottom w:val="nil"/>
          <w:right w:val="nil"/>
          <w:between w:val="nil"/>
        </w:pBdr>
        <w:spacing w:before="120" w:after="120"/>
        <w:ind w:left="714" w:right="57" w:hanging="357"/>
        <w:rPr>
          <w:color w:val="000000"/>
          <w:sz w:val="22"/>
          <w:szCs w:val="22"/>
        </w:rPr>
      </w:pPr>
      <w:r>
        <w:rPr>
          <w:rFonts w:ascii="Arial" w:eastAsia="Arial" w:hAnsi="Arial" w:cs="Arial"/>
          <w:color w:val="000000"/>
          <w:sz w:val="22"/>
          <w:szCs w:val="22"/>
        </w:rPr>
        <w:t>Awareness &amp; education both in community and government</w:t>
      </w:r>
    </w:p>
    <w:p w14:paraId="0652755C" w14:textId="77777777" w:rsidR="000F6E11" w:rsidRDefault="000F6E11">
      <w:pPr>
        <w:rPr>
          <w:rFonts w:ascii="Arial" w:eastAsia="Arial" w:hAnsi="Arial" w:cs="Arial"/>
          <w:sz w:val="22"/>
          <w:szCs w:val="22"/>
        </w:rPr>
      </w:pPr>
    </w:p>
    <w:p w14:paraId="246CEE17" w14:textId="77777777" w:rsidR="000F6E11" w:rsidRDefault="00000000">
      <w:pPr>
        <w:rPr>
          <w:rFonts w:ascii="Arial" w:eastAsia="Arial" w:hAnsi="Arial" w:cs="Arial"/>
          <w:sz w:val="22"/>
          <w:szCs w:val="22"/>
        </w:rPr>
      </w:pPr>
      <w:bookmarkStart w:id="0" w:name="_8trldd923dyi" w:colFirst="0" w:colLast="0"/>
      <w:bookmarkEnd w:id="0"/>
      <w:r>
        <w:rPr>
          <w:rFonts w:ascii="Arial" w:eastAsia="Arial" w:hAnsi="Arial" w:cs="Arial"/>
          <w:sz w:val="22"/>
          <w:szCs w:val="22"/>
        </w:rPr>
        <w:t>The lack of inundation modelling presents real difficulties to tsunami preparedness, and Tsunami Ready Recognition.</w:t>
      </w:r>
    </w:p>
    <w:p w14:paraId="01F6AD85" w14:textId="77777777" w:rsidR="000F6E11" w:rsidRDefault="00000000">
      <w:pPr>
        <w:rPr>
          <w:rFonts w:ascii="Arial" w:eastAsia="Arial" w:hAnsi="Arial" w:cs="Arial"/>
          <w:sz w:val="22"/>
          <w:szCs w:val="22"/>
        </w:rPr>
      </w:pPr>
      <w:r>
        <w:rPr>
          <w:rFonts w:ascii="Arial" w:eastAsia="Arial" w:hAnsi="Arial" w:cs="Arial"/>
          <w:sz w:val="22"/>
          <w:szCs w:val="22"/>
        </w:rPr>
        <w:t> </w:t>
      </w:r>
    </w:p>
    <w:p w14:paraId="6F6B6D87" w14:textId="77777777" w:rsidR="000F6E11" w:rsidRDefault="00000000">
      <w:pPr>
        <w:rPr>
          <w:rFonts w:ascii="Arial" w:eastAsia="Arial" w:hAnsi="Arial" w:cs="Arial"/>
          <w:sz w:val="22"/>
          <w:szCs w:val="22"/>
        </w:rPr>
      </w:pPr>
      <w:r>
        <w:rPr>
          <w:rFonts w:ascii="Arial" w:eastAsia="Arial" w:hAnsi="Arial" w:cs="Arial"/>
          <w:sz w:val="22"/>
          <w:szCs w:val="22"/>
        </w:rPr>
        <w:t>Accurate inundation modelling requires the availability of high-resolution bathymetry and topography, which often isn't available at every location, or is very expensive to obtain.  Advances in satellite-derived bathymetry which, when chart survey data is also available, can be used for inundation modelling. When not available, other options are being considered, including taking offshore wave amplitudes from PTHA tools and extrapolating to the coast using accepted scaling procedures.</w:t>
      </w:r>
    </w:p>
    <w:p w14:paraId="0755C651" w14:textId="77777777" w:rsidR="000F6E11" w:rsidRDefault="000F6E11">
      <w:pPr>
        <w:rPr>
          <w:rFonts w:ascii="Arial" w:eastAsia="Arial" w:hAnsi="Arial" w:cs="Arial"/>
          <w:sz w:val="22"/>
          <w:szCs w:val="22"/>
        </w:rPr>
      </w:pPr>
    </w:p>
    <w:p w14:paraId="00A5B59F" w14:textId="77777777" w:rsidR="002869FB" w:rsidRDefault="002869FB">
      <w:pPr>
        <w:rPr>
          <w:rFonts w:ascii="Arial" w:eastAsia="Arial" w:hAnsi="Arial" w:cs="Arial"/>
          <w:sz w:val="22"/>
          <w:szCs w:val="22"/>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0F6E11" w14:paraId="4BD4ECF7" w14:textId="77777777">
        <w:tc>
          <w:tcPr>
            <w:tcW w:w="9026" w:type="dxa"/>
            <w:shd w:val="clear" w:color="auto" w:fill="auto"/>
            <w:tcMar>
              <w:top w:w="100" w:type="dxa"/>
              <w:left w:w="100" w:type="dxa"/>
              <w:bottom w:w="100" w:type="dxa"/>
              <w:right w:w="100" w:type="dxa"/>
            </w:tcMar>
          </w:tcPr>
          <w:p w14:paraId="70353DF8" w14:textId="77777777" w:rsidR="000F6E11" w:rsidRDefault="00000000">
            <w:pPr>
              <w:rPr>
                <w:rFonts w:ascii="Arial" w:eastAsia="Arial" w:hAnsi="Arial" w:cs="Arial"/>
                <w:sz w:val="22"/>
                <w:szCs w:val="22"/>
              </w:rPr>
            </w:pPr>
            <w:r>
              <w:rPr>
                <w:rFonts w:ascii="Arial" w:eastAsia="Arial" w:hAnsi="Arial" w:cs="Arial"/>
                <w:sz w:val="22"/>
                <w:szCs w:val="22"/>
              </w:rPr>
              <w:lastRenderedPageBreak/>
              <w:t>The WG3 Task Team Tsunami Ready recommends that the ICG/PTWS:</w:t>
            </w:r>
          </w:p>
          <w:p w14:paraId="45974F8D" w14:textId="77777777" w:rsidR="000F6E11" w:rsidRDefault="00000000">
            <w:pPr>
              <w:spacing w:before="240" w:after="240"/>
              <w:rPr>
                <w:rFonts w:ascii="Arial" w:eastAsia="Arial" w:hAnsi="Arial" w:cs="Arial"/>
                <w:sz w:val="22"/>
                <w:szCs w:val="22"/>
              </w:rPr>
            </w:pPr>
            <w:r>
              <w:rPr>
                <w:rFonts w:ascii="Arial" w:eastAsia="Arial" w:hAnsi="Arial" w:cs="Arial"/>
                <w:b/>
                <w:sz w:val="22"/>
                <w:szCs w:val="22"/>
              </w:rPr>
              <w:t xml:space="preserve">Notes </w:t>
            </w:r>
            <w:r>
              <w:rPr>
                <w:rFonts w:ascii="Arial" w:eastAsia="Arial" w:hAnsi="Arial" w:cs="Arial"/>
                <w:sz w:val="22"/>
                <w:szCs w:val="22"/>
              </w:rPr>
              <w:t>the barrier that the lack of availability of high-resolution bathymetry and topography for inundation modelling presents to tsunami preparedness and Tsunami Ready Recognition,</w:t>
            </w:r>
          </w:p>
          <w:p w14:paraId="58D3AE5C" w14:textId="77777777" w:rsidR="000F6E11" w:rsidRDefault="00000000">
            <w:pPr>
              <w:spacing w:before="240" w:after="240"/>
              <w:rPr>
                <w:rFonts w:ascii="Arial" w:eastAsia="Arial" w:hAnsi="Arial" w:cs="Arial"/>
                <w:sz w:val="22"/>
                <w:szCs w:val="22"/>
              </w:rPr>
            </w:pPr>
            <w:r>
              <w:rPr>
                <w:rFonts w:ascii="Arial" w:eastAsia="Arial" w:hAnsi="Arial" w:cs="Arial"/>
                <w:b/>
                <w:sz w:val="22"/>
                <w:szCs w:val="22"/>
              </w:rPr>
              <w:t xml:space="preserve">Requests </w:t>
            </w:r>
            <w:r>
              <w:rPr>
                <w:rFonts w:ascii="Arial" w:eastAsia="Arial" w:hAnsi="Arial" w:cs="Arial"/>
                <w:sz w:val="22"/>
                <w:szCs w:val="22"/>
              </w:rPr>
              <w:t xml:space="preserve">Working Group One to consider the collation of existing or creation of new guidance on techniques for inundation modelling where high-resolution bathymetry and topography isn’t available. </w:t>
            </w:r>
          </w:p>
        </w:tc>
      </w:tr>
    </w:tbl>
    <w:p w14:paraId="4293AF00" w14:textId="77777777" w:rsidR="000F6E11" w:rsidRDefault="000F6E11">
      <w:pPr>
        <w:rPr>
          <w:rFonts w:ascii="Arial" w:eastAsia="Arial" w:hAnsi="Arial" w:cs="Arial"/>
          <w:b/>
          <w:sz w:val="22"/>
          <w:szCs w:val="22"/>
          <w:u w:val="single"/>
        </w:rPr>
      </w:pPr>
    </w:p>
    <w:p w14:paraId="36AD62B9" w14:textId="77777777" w:rsidR="000F6E11" w:rsidRDefault="003B4638">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1.4</w:t>
      </w:r>
      <w:r>
        <w:rPr>
          <w:rFonts w:ascii="Arial" w:eastAsia="Arial" w:hAnsi="Arial" w:cs="Arial"/>
          <w:b/>
          <w:color w:val="000000"/>
          <w:sz w:val="22"/>
          <w:szCs w:val="22"/>
          <w:u w:val="single"/>
        </w:rPr>
        <w:tab/>
        <w:t>Global Tsunami Ready Coordination</w:t>
      </w:r>
    </w:p>
    <w:p w14:paraId="34B1373D" w14:textId="77777777" w:rsidR="000F6E11" w:rsidRDefault="000F6E11">
      <w:pPr>
        <w:rPr>
          <w:rFonts w:ascii="Arial" w:eastAsia="Arial" w:hAnsi="Arial" w:cs="Arial"/>
          <w:b/>
          <w:sz w:val="22"/>
          <w:szCs w:val="22"/>
          <w:u w:val="single"/>
        </w:rPr>
      </w:pPr>
    </w:p>
    <w:p w14:paraId="0DA0E572" w14:textId="77777777" w:rsidR="000F6E11" w:rsidRDefault="00000000">
      <w:pPr>
        <w:rPr>
          <w:rFonts w:ascii="Arial" w:eastAsia="Arial" w:hAnsi="Arial" w:cs="Arial"/>
          <w:sz w:val="22"/>
          <w:szCs w:val="22"/>
        </w:rPr>
      </w:pPr>
      <w:r>
        <w:rPr>
          <w:rFonts w:ascii="Arial" w:eastAsia="Arial" w:hAnsi="Arial" w:cs="Arial"/>
          <w:sz w:val="22"/>
          <w:szCs w:val="22"/>
        </w:rPr>
        <w:t xml:space="preserve">The Tsunami Ready Recognition Programme and its implementation was robustly discussed at the meeting of the TOWS Task Team for Disaster Management and Preparedness.  At the meeting, PTWS representatives shared progress on implementation in the Pacific, the key challenges highlighted earlier in this report, and progress on the development of the equivalency guidance. </w:t>
      </w:r>
    </w:p>
    <w:p w14:paraId="708F086C" w14:textId="77777777" w:rsidR="000F6E11" w:rsidRDefault="000F6E11">
      <w:pPr>
        <w:rPr>
          <w:rFonts w:ascii="Arial" w:eastAsia="Arial" w:hAnsi="Arial" w:cs="Arial"/>
          <w:sz w:val="22"/>
          <w:szCs w:val="22"/>
        </w:rPr>
      </w:pPr>
    </w:p>
    <w:p w14:paraId="3A431869" w14:textId="77777777" w:rsidR="000F6E11" w:rsidRDefault="00000000">
      <w:pPr>
        <w:rPr>
          <w:rFonts w:ascii="Arial" w:eastAsia="Arial" w:hAnsi="Arial" w:cs="Arial"/>
          <w:sz w:val="22"/>
          <w:szCs w:val="22"/>
        </w:rPr>
      </w:pPr>
      <w:r>
        <w:rPr>
          <w:rFonts w:ascii="Arial" w:eastAsia="Arial" w:hAnsi="Arial" w:cs="Arial"/>
          <w:sz w:val="22"/>
          <w:szCs w:val="22"/>
        </w:rPr>
        <w:t xml:space="preserve">The Task Team Tsunami Ready notes that there are a number of global efforts underway to support the implementation of Tsunami Ready that will require promotion, alignment and support in the Pacific, not least the continued coordination and sharing of experiences through TOWS TT-DMP. </w:t>
      </w:r>
    </w:p>
    <w:p w14:paraId="3B0C53AE" w14:textId="77777777" w:rsidR="000F6E11" w:rsidRDefault="000F6E11">
      <w:pPr>
        <w:rPr>
          <w:rFonts w:ascii="Arial" w:eastAsia="Arial" w:hAnsi="Arial" w:cs="Arial"/>
          <w:sz w:val="22"/>
          <w:szCs w:val="22"/>
        </w:rPr>
      </w:pPr>
    </w:p>
    <w:p w14:paraId="62F30463" w14:textId="77777777" w:rsidR="000F6E11" w:rsidRPr="003B4638" w:rsidRDefault="003B4638">
      <w:pPr>
        <w:rPr>
          <w:rFonts w:ascii="Arial" w:eastAsia="Arial" w:hAnsi="Arial" w:cs="Arial"/>
          <w:b/>
          <w:bCs/>
          <w:sz w:val="22"/>
          <w:szCs w:val="22"/>
        </w:rPr>
      </w:pPr>
      <w:r>
        <w:rPr>
          <w:rFonts w:ascii="Arial" w:eastAsia="Arial" w:hAnsi="Arial" w:cs="Arial"/>
          <w:b/>
          <w:bCs/>
          <w:sz w:val="22"/>
          <w:szCs w:val="22"/>
        </w:rPr>
        <w:t>1.4.1</w:t>
      </w:r>
      <w:r>
        <w:rPr>
          <w:rFonts w:ascii="Arial" w:eastAsia="Arial" w:hAnsi="Arial" w:cs="Arial"/>
          <w:b/>
          <w:bCs/>
          <w:sz w:val="22"/>
          <w:szCs w:val="22"/>
        </w:rPr>
        <w:tab/>
      </w:r>
      <w:r w:rsidRPr="003B4638">
        <w:rPr>
          <w:rFonts w:ascii="Arial" w:eastAsia="Arial" w:hAnsi="Arial" w:cs="Arial"/>
          <w:b/>
          <w:bCs/>
          <w:sz w:val="22"/>
          <w:szCs w:val="22"/>
        </w:rPr>
        <w:t>Tsunami Ready Toolkit</w:t>
      </w:r>
    </w:p>
    <w:p w14:paraId="1FFC436D" w14:textId="77777777" w:rsidR="000F6E11" w:rsidRPr="003B4638" w:rsidRDefault="000F6E11">
      <w:pPr>
        <w:rPr>
          <w:rFonts w:ascii="Arial" w:eastAsia="Arial" w:hAnsi="Arial" w:cs="Arial"/>
          <w:sz w:val="22"/>
          <w:szCs w:val="22"/>
          <w:u w:val="single"/>
        </w:rPr>
      </w:pPr>
    </w:p>
    <w:p w14:paraId="2BB370EF" w14:textId="77777777" w:rsidR="000F6E11" w:rsidRPr="003B4638" w:rsidRDefault="00000000">
      <w:pPr>
        <w:spacing w:after="160" w:line="278" w:lineRule="auto"/>
        <w:jc w:val="both"/>
        <w:rPr>
          <w:rFonts w:ascii="Arial" w:eastAsia="Aptos" w:hAnsi="Arial" w:cs="Arial"/>
          <w:sz w:val="22"/>
          <w:szCs w:val="22"/>
        </w:rPr>
      </w:pPr>
      <w:r w:rsidRPr="003B4638">
        <w:rPr>
          <w:rFonts w:ascii="Arial" w:eastAsia="Aptos" w:hAnsi="Arial" w:cs="Arial"/>
          <w:sz w:val="22"/>
          <w:szCs w:val="22"/>
        </w:rPr>
        <w:t>The TICs have developed several toolkits for further consideration by the TOWS-WG XVII:</w:t>
      </w:r>
    </w:p>
    <w:p w14:paraId="1E004D7A" w14:textId="77777777" w:rsidR="000F6E11" w:rsidRPr="003B4638" w:rsidRDefault="00000000">
      <w:pPr>
        <w:numPr>
          <w:ilvl w:val="0"/>
          <w:numId w:val="8"/>
        </w:numPr>
        <w:spacing w:line="278" w:lineRule="auto"/>
        <w:rPr>
          <w:rFonts w:ascii="Arial" w:eastAsia="Aptos" w:hAnsi="Arial" w:cs="Arial"/>
          <w:sz w:val="22"/>
          <w:szCs w:val="22"/>
        </w:rPr>
      </w:pPr>
      <w:r w:rsidRPr="003B4638">
        <w:rPr>
          <w:rFonts w:ascii="Arial" w:eastAsia="Aptos" w:hAnsi="Arial" w:cs="Arial"/>
          <w:sz w:val="22"/>
          <w:szCs w:val="22"/>
        </w:rPr>
        <w:t>Definition and Guidance for Tsunami Ready Communities</w:t>
      </w:r>
    </w:p>
    <w:p w14:paraId="0CA91432" w14:textId="77777777" w:rsidR="000F6E11" w:rsidRPr="003B4638" w:rsidRDefault="00000000">
      <w:pPr>
        <w:numPr>
          <w:ilvl w:val="0"/>
          <w:numId w:val="8"/>
        </w:numPr>
        <w:spacing w:line="278" w:lineRule="auto"/>
        <w:rPr>
          <w:rFonts w:ascii="Arial" w:eastAsia="Aptos" w:hAnsi="Arial" w:cs="Arial"/>
          <w:sz w:val="22"/>
          <w:szCs w:val="22"/>
        </w:rPr>
      </w:pPr>
      <w:r w:rsidRPr="003B4638">
        <w:rPr>
          <w:rFonts w:ascii="Arial" w:eastAsia="Aptos" w:hAnsi="Arial" w:cs="Arial"/>
          <w:sz w:val="22"/>
          <w:szCs w:val="22"/>
        </w:rPr>
        <w:t>Tsunami Ready Training Tools under the OTGA, covering:</w:t>
      </w:r>
    </w:p>
    <w:p w14:paraId="4D787198" w14:textId="77777777" w:rsidR="000F6E11" w:rsidRPr="003B4638" w:rsidRDefault="00000000">
      <w:pPr>
        <w:numPr>
          <w:ilvl w:val="0"/>
          <w:numId w:val="1"/>
        </w:numPr>
        <w:spacing w:line="278" w:lineRule="auto"/>
        <w:ind w:left="1440"/>
        <w:rPr>
          <w:rFonts w:ascii="Arial" w:eastAsia="Aptos" w:hAnsi="Arial" w:cs="Arial"/>
          <w:sz w:val="22"/>
          <w:szCs w:val="22"/>
        </w:rPr>
      </w:pPr>
      <w:r w:rsidRPr="003B4638">
        <w:rPr>
          <w:rFonts w:ascii="Arial" w:eastAsia="Aptos" w:hAnsi="Arial" w:cs="Arial"/>
          <w:sz w:val="22"/>
          <w:szCs w:val="22"/>
        </w:rPr>
        <w:t>Tsunami Awareness</w:t>
      </w:r>
    </w:p>
    <w:p w14:paraId="20AAAD3C" w14:textId="77777777" w:rsidR="000F6E11" w:rsidRPr="003B4638" w:rsidRDefault="00000000">
      <w:pPr>
        <w:numPr>
          <w:ilvl w:val="0"/>
          <w:numId w:val="1"/>
        </w:numPr>
        <w:spacing w:line="278" w:lineRule="auto"/>
        <w:ind w:left="1440"/>
        <w:rPr>
          <w:rFonts w:ascii="Arial" w:eastAsia="Aptos" w:hAnsi="Arial" w:cs="Arial"/>
          <w:sz w:val="22"/>
          <w:szCs w:val="22"/>
        </w:rPr>
      </w:pPr>
      <w:r w:rsidRPr="003B4638">
        <w:rPr>
          <w:rFonts w:ascii="Arial" w:eastAsia="Aptos" w:hAnsi="Arial" w:cs="Arial"/>
          <w:sz w:val="22"/>
          <w:szCs w:val="22"/>
        </w:rPr>
        <w:t>Tsunami Ready</w:t>
      </w:r>
    </w:p>
    <w:p w14:paraId="4EC4A88B" w14:textId="77777777" w:rsidR="000F6E11" w:rsidRPr="003B4638" w:rsidRDefault="00000000">
      <w:pPr>
        <w:numPr>
          <w:ilvl w:val="0"/>
          <w:numId w:val="8"/>
        </w:numPr>
        <w:spacing w:line="278" w:lineRule="auto"/>
        <w:rPr>
          <w:rFonts w:ascii="Arial" w:eastAsia="Aptos" w:hAnsi="Arial" w:cs="Arial"/>
          <w:sz w:val="22"/>
          <w:szCs w:val="22"/>
        </w:rPr>
      </w:pPr>
      <w:r w:rsidRPr="003B4638">
        <w:rPr>
          <w:rFonts w:ascii="Arial" w:eastAsia="Aptos" w:hAnsi="Arial" w:cs="Arial"/>
          <w:sz w:val="22"/>
          <w:szCs w:val="22"/>
        </w:rPr>
        <w:t>Toolkits for Tsunami Ready Application, including:</w:t>
      </w:r>
    </w:p>
    <w:p w14:paraId="6982BCDA"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Application Form</w:t>
      </w:r>
    </w:p>
    <w:p w14:paraId="5793E7A9"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Submission procedures and recognition workflow ( need for automated tool)</w:t>
      </w:r>
    </w:p>
    <w:p w14:paraId="602B30E2"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File naming and file types (file metadata)</w:t>
      </w:r>
    </w:p>
    <w:p w14:paraId="73FF3CEB"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Implementation communications (sample letters and templates), including:</w:t>
      </w:r>
    </w:p>
    <w:p w14:paraId="21D0F603"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Letter of Intent</w:t>
      </w:r>
    </w:p>
    <w:p w14:paraId="687AA7A1"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NTRB/RTRB establishment</w:t>
      </w:r>
    </w:p>
    <w:p w14:paraId="447DC3D3"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Application submission</w:t>
      </w:r>
    </w:p>
    <w:p w14:paraId="27CE448E"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IOC acknowledgement</w:t>
      </w:r>
    </w:p>
    <w:p w14:paraId="2F28B954"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Recognition and Appreciation Certificate names</w:t>
      </w:r>
    </w:p>
    <w:p w14:paraId="485A98C4"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Community summary for the web page</w:t>
      </w:r>
    </w:p>
    <w:p w14:paraId="56A37B75"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Recognition and Appreciation Certificates – sample templates</w:t>
      </w:r>
    </w:p>
    <w:p w14:paraId="58C412B1"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Recognition Ceremony – sample agenda</w:t>
      </w:r>
    </w:p>
    <w:p w14:paraId="750DEC4F" w14:textId="77777777" w:rsidR="000F6E11" w:rsidRPr="003B4638" w:rsidRDefault="00000000">
      <w:pPr>
        <w:numPr>
          <w:ilvl w:val="0"/>
          <w:numId w:val="2"/>
        </w:numPr>
        <w:spacing w:line="278" w:lineRule="auto"/>
        <w:rPr>
          <w:rFonts w:ascii="Arial" w:eastAsia="Aptos" w:hAnsi="Arial" w:cs="Arial"/>
          <w:sz w:val="22"/>
          <w:szCs w:val="22"/>
        </w:rPr>
      </w:pPr>
      <w:r w:rsidRPr="003B4638">
        <w:rPr>
          <w:rFonts w:ascii="Arial" w:eastAsia="Aptos" w:hAnsi="Arial" w:cs="Arial"/>
          <w:sz w:val="22"/>
          <w:szCs w:val="22"/>
        </w:rPr>
        <w:t>Recognition Sign – examples with accompanying safety messages</w:t>
      </w:r>
    </w:p>
    <w:p w14:paraId="322F9500" w14:textId="77777777" w:rsidR="000F6E11" w:rsidRPr="003B4638" w:rsidRDefault="00000000">
      <w:pPr>
        <w:numPr>
          <w:ilvl w:val="0"/>
          <w:numId w:val="2"/>
        </w:numPr>
        <w:spacing w:after="160" w:line="278" w:lineRule="auto"/>
        <w:rPr>
          <w:rFonts w:ascii="Arial" w:eastAsia="Aptos" w:hAnsi="Arial" w:cs="Arial"/>
          <w:sz w:val="22"/>
          <w:szCs w:val="22"/>
        </w:rPr>
      </w:pPr>
      <w:r w:rsidRPr="003B4638">
        <w:rPr>
          <w:rFonts w:ascii="Arial" w:eastAsia="Aptos" w:hAnsi="Arial" w:cs="Arial"/>
          <w:sz w:val="22"/>
          <w:szCs w:val="22"/>
        </w:rPr>
        <w:t>Renewal Process</w:t>
      </w:r>
    </w:p>
    <w:p w14:paraId="6673F60B" w14:textId="77777777" w:rsidR="000F6E11" w:rsidRPr="003B4638" w:rsidRDefault="00000000">
      <w:pPr>
        <w:spacing w:after="160" w:line="278" w:lineRule="auto"/>
        <w:jc w:val="both"/>
        <w:rPr>
          <w:rFonts w:ascii="Arial" w:eastAsia="Aptos" w:hAnsi="Arial" w:cs="Arial"/>
          <w:sz w:val="22"/>
          <w:szCs w:val="22"/>
        </w:rPr>
      </w:pPr>
      <w:r w:rsidRPr="003B4638">
        <w:rPr>
          <w:rFonts w:ascii="Arial" w:eastAsia="Aptos" w:hAnsi="Arial" w:cs="Arial"/>
          <w:sz w:val="22"/>
          <w:szCs w:val="22"/>
        </w:rPr>
        <w:t xml:space="preserve">Two self-paced training courses are now available in OTGA: Tsunami Awareness and Tsunami Ready.  In order to take the Tsunami Ready course, it is required to take and pass </w:t>
      </w:r>
      <w:r w:rsidRPr="003B4638">
        <w:rPr>
          <w:rFonts w:ascii="Arial" w:eastAsia="Aptos" w:hAnsi="Arial" w:cs="Arial"/>
          <w:sz w:val="22"/>
          <w:szCs w:val="22"/>
        </w:rPr>
        <w:lastRenderedPageBreak/>
        <w:t>the Tsunami Awareness course.  The Tsunami Ready course is recommended for primary stakeholders that will be involved in implementing Tsunami Ready.</w:t>
      </w:r>
    </w:p>
    <w:p w14:paraId="09B2E40F" w14:textId="77777777" w:rsidR="000F6E11" w:rsidRPr="003B4638" w:rsidRDefault="00000000">
      <w:pPr>
        <w:spacing w:before="240" w:line="276" w:lineRule="auto"/>
        <w:jc w:val="both"/>
        <w:rPr>
          <w:rFonts w:ascii="Arial" w:eastAsia="Aptos" w:hAnsi="Arial" w:cs="Arial"/>
          <w:sz w:val="22"/>
          <w:szCs w:val="22"/>
        </w:rPr>
      </w:pPr>
      <w:r w:rsidRPr="003B4638">
        <w:rPr>
          <w:rFonts w:ascii="Arial" w:eastAsia="Aptos" w:hAnsi="Arial" w:cs="Arial"/>
          <w:sz w:val="22"/>
          <w:szCs w:val="22"/>
        </w:rPr>
        <w:t>The toolkit will also provide samples and templates, such as for letters of Intent, NTRB/RTRB establishment, application submission, and IOC acknowledgement of recognition, to facilitate the application process.</w:t>
      </w:r>
    </w:p>
    <w:p w14:paraId="2EE3C1AE" w14:textId="77777777" w:rsidR="000F6E11" w:rsidRPr="003B4638" w:rsidRDefault="00000000">
      <w:pPr>
        <w:spacing w:before="240" w:line="276" w:lineRule="auto"/>
        <w:jc w:val="both"/>
        <w:rPr>
          <w:rFonts w:ascii="Arial" w:eastAsia="Aptos" w:hAnsi="Arial" w:cs="Arial"/>
          <w:sz w:val="22"/>
          <w:szCs w:val="22"/>
        </w:rPr>
      </w:pPr>
      <w:r w:rsidRPr="003B4638">
        <w:rPr>
          <w:rFonts w:ascii="Arial" w:eastAsia="Aptos" w:hAnsi="Arial" w:cs="Arial"/>
          <w:sz w:val="22"/>
          <w:szCs w:val="22"/>
        </w:rPr>
        <w:t>A standard format for the folder and file naming for the application of the TRRP has been developed and will be added as the appendix to the MG74.</w:t>
      </w:r>
    </w:p>
    <w:p w14:paraId="728A0CD2" w14:textId="77777777" w:rsidR="000F6E11" w:rsidRDefault="000F6E11">
      <w:pPr>
        <w:spacing w:after="160" w:line="278" w:lineRule="auto"/>
        <w:jc w:val="both"/>
        <w:rPr>
          <w:rFonts w:ascii="Arial" w:eastAsia="Arial" w:hAnsi="Arial" w:cs="Arial"/>
          <w:sz w:val="22"/>
          <w:szCs w:val="22"/>
          <w:u w:val="single"/>
        </w:rPr>
      </w:pPr>
    </w:p>
    <w:p w14:paraId="351AC19C" w14:textId="77777777" w:rsidR="000F6E11" w:rsidRPr="003B4638" w:rsidRDefault="003B4638">
      <w:pPr>
        <w:rPr>
          <w:rFonts w:ascii="Arial" w:eastAsia="Arial" w:hAnsi="Arial" w:cs="Arial"/>
          <w:b/>
          <w:bCs/>
          <w:color w:val="000000"/>
          <w:sz w:val="22"/>
          <w:szCs w:val="22"/>
          <w:u w:val="single"/>
        </w:rPr>
      </w:pPr>
      <w:r>
        <w:rPr>
          <w:rFonts w:ascii="Arial" w:eastAsia="Arial" w:hAnsi="Arial" w:cs="Arial"/>
          <w:b/>
          <w:bCs/>
          <w:color w:val="000000"/>
          <w:sz w:val="22"/>
          <w:szCs w:val="22"/>
          <w:u w:val="single"/>
        </w:rPr>
        <w:t>1.4.2</w:t>
      </w:r>
      <w:r>
        <w:rPr>
          <w:rFonts w:ascii="Arial" w:eastAsia="Arial" w:hAnsi="Arial" w:cs="Arial"/>
          <w:b/>
          <w:bCs/>
          <w:color w:val="000000"/>
          <w:sz w:val="22"/>
          <w:szCs w:val="22"/>
          <w:u w:val="single"/>
        </w:rPr>
        <w:tab/>
      </w:r>
      <w:r w:rsidRPr="003B4638">
        <w:rPr>
          <w:rFonts w:ascii="Arial" w:eastAsia="Arial" w:hAnsi="Arial" w:cs="Arial"/>
          <w:b/>
          <w:bCs/>
          <w:color w:val="000000"/>
          <w:sz w:val="22"/>
          <w:szCs w:val="22"/>
          <w:u w:val="single"/>
        </w:rPr>
        <w:t>Tsunami Ready Coalition</w:t>
      </w:r>
    </w:p>
    <w:p w14:paraId="5E82581C" w14:textId="77777777" w:rsidR="003B4638" w:rsidRPr="003B4638" w:rsidRDefault="003B4638">
      <w:pPr>
        <w:rPr>
          <w:rFonts w:ascii="Arial" w:eastAsia="Arial" w:hAnsi="Arial" w:cs="Arial"/>
          <w:color w:val="000000"/>
          <w:sz w:val="22"/>
          <w:szCs w:val="22"/>
        </w:rPr>
      </w:pPr>
    </w:p>
    <w:p w14:paraId="6F6E78E3"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xml:space="preserve">As part of the ODTP governance structure, a special Coalition for Tsunami Ready (TRC) was established.  The present Chair of the Tsunami Ready Coalition is Dr. Laura Kong, ITIC Director.  </w:t>
      </w:r>
    </w:p>
    <w:p w14:paraId="7C208EA7"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w:t>
      </w:r>
    </w:p>
    <w:p w14:paraId="080D95FB" w14:textId="1A544F55"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xml:space="preserve">During the </w:t>
      </w:r>
      <w:r w:rsidRPr="00067C8C">
        <w:rPr>
          <w:rFonts w:ascii="Arial" w:eastAsia="Arial" w:hAnsi="Arial" w:cs="Arial"/>
          <w:sz w:val="22"/>
          <w:szCs w:val="22"/>
          <w:lang w:val="en-NZ"/>
        </w:rPr>
        <w:t>PTWS intersessional</w:t>
      </w:r>
      <w:r w:rsidRPr="00067C8C">
        <w:rPr>
          <w:rFonts w:ascii="Arial" w:eastAsia="Arial" w:hAnsi="Arial" w:cs="Arial"/>
          <w:sz w:val="22"/>
          <w:szCs w:val="22"/>
          <w:lang w:val="en-NZ"/>
        </w:rPr>
        <w:t xml:space="preserve"> period, the TRC Chair, in consultation with the IOC TRS and supported by a technical consultant with extensive PTWS experience, prepared the Tsunami Ready Coalition Implementation Plan (TRC-IP).  The draft TRC-IP was presented to the ODTP-Steering Committee in January 2025 and to the TOWS-WG TT-DMP in February 2025 for comments.  The final version was then presented to the TOWS-WG-XVIII </w:t>
      </w:r>
      <w:r w:rsidRPr="00067C8C">
        <w:rPr>
          <w:rFonts w:ascii="Arial" w:eastAsia="Arial" w:hAnsi="Arial" w:cs="Arial"/>
          <w:sz w:val="22"/>
          <w:szCs w:val="22"/>
          <w:lang w:val="en-NZ"/>
        </w:rPr>
        <w:t>in February</w:t>
      </w:r>
      <w:r w:rsidRPr="00067C8C">
        <w:rPr>
          <w:rFonts w:ascii="Arial" w:eastAsia="Arial" w:hAnsi="Arial" w:cs="Arial"/>
          <w:sz w:val="22"/>
          <w:szCs w:val="22"/>
          <w:lang w:val="en-NZ"/>
        </w:rPr>
        <w:t xml:space="preserve"> 2025, and approved. </w:t>
      </w:r>
    </w:p>
    <w:p w14:paraId="0C3F74A9"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w:t>
      </w:r>
    </w:p>
    <w:p w14:paraId="796B2CE4"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The mandate for the Tsunami Ready Coalition, derived from the IOC Executive Council (IOC Decision A-31/3.4.1), the TOWS-WG-XV decisions and earlier TOWS Task Team on Disaster Management input, and the ODTP Implementation Plan (IOC Technical Series 180), and approved by the TOWS-WG-XVIII (February 2025) is as follows:</w:t>
      </w:r>
    </w:p>
    <w:p w14:paraId="1FA61B32"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w:t>
      </w:r>
    </w:p>
    <w:p w14:paraId="426E0416"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The Tsunami Ready Coalition is a collaboration between global, regional, and national stakeholders to advance and sustain the UNESCO-IOC Tsunami Ready Recognition Programme (TRRP), with a specific view on the UN Ocean Decade Tsunami Programme aim of 100% of communities at risk of tsunami are prepared for and resilient to tsunamis by 2030.</w:t>
      </w:r>
    </w:p>
    <w:p w14:paraId="119F9F4E"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 </w:t>
      </w:r>
    </w:p>
    <w:p w14:paraId="33AF289C" w14:textId="77777777" w:rsidR="00067C8C" w:rsidRPr="00067C8C" w:rsidRDefault="00067C8C" w:rsidP="00067C8C">
      <w:pPr>
        <w:spacing w:line="276" w:lineRule="auto"/>
        <w:ind w:right="120"/>
        <w:jc w:val="both"/>
        <w:rPr>
          <w:rFonts w:ascii="Arial" w:eastAsia="Arial" w:hAnsi="Arial" w:cs="Arial"/>
          <w:sz w:val="22"/>
          <w:szCs w:val="22"/>
          <w:lang w:val="en-NZ"/>
        </w:rPr>
      </w:pPr>
      <w:r w:rsidRPr="00067C8C">
        <w:rPr>
          <w:rFonts w:ascii="Arial" w:eastAsia="Arial" w:hAnsi="Arial" w:cs="Arial"/>
          <w:sz w:val="22"/>
          <w:szCs w:val="22"/>
          <w:lang w:val="en-NZ"/>
        </w:rPr>
        <w:t>Details on the progress of the TRC are provided in the PTWS-XXXI Report of the WG 3 </w:t>
      </w:r>
    </w:p>
    <w:p w14:paraId="05863E34" w14:textId="77777777" w:rsidR="003B4638" w:rsidRDefault="003B4638">
      <w:pPr>
        <w:spacing w:line="276" w:lineRule="auto"/>
        <w:ind w:right="120"/>
        <w:jc w:val="both"/>
        <w:rPr>
          <w:rFonts w:ascii="Arial" w:eastAsia="Arial" w:hAnsi="Arial" w:cs="Arial"/>
          <w:sz w:val="22"/>
          <w:szCs w:val="22"/>
        </w:rPr>
      </w:pPr>
    </w:p>
    <w:p w14:paraId="0A0D153B" w14:textId="77777777" w:rsidR="000F6E11" w:rsidRDefault="003B4638">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2.</w:t>
      </w:r>
      <w:r>
        <w:rPr>
          <w:rFonts w:ascii="Arial" w:eastAsia="Arial" w:hAnsi="Arial" w:cs="Arial"/>
          <w:b/>
          <w:color w:val="000000"/>
          <w:sz w:val="22"/>
          <w:szCs w:val="22"/>
          <w:u w:val="single"/>
        </w:rPr>
        <w:tab/>
        <w:t xml:space="preserve">PTWS Tsunami Ready Equivalency Approach </w:t>
      </w:r>
    </w:p>
    <w:p w14:paraId="32F41EB9" w14:textId="77777777" w:rsidR="000F6E11" w:rsidRDefault="000F6E11">
      <w:pPr>
        <w:rPr>
          <w:rFonts w:ascii="Arial" w:eastAsia="Arial" w:hAnsi="Arial" w:cs="Arial"/>
          <w:b/>
          <w:color w:val="000000"/>
          <w:sz w:val="22"/>
          <w:szCs w:val="22"/>
          <w:u w:val="single"/>
        </w:rPr>
      </w:pPr>
    </w:p>
    <w:p w14:paraId="5A4B7214" w14:textId="77777777" w:rsidR="00E713FF" w:rsidRDefault="00E713FF">
      <w:pPr>
        <w:rPr>
          <w:rFonts w:ascii="Arial" w:eastAsia="Arial" w:hAnsi="Arial" w:cs="Arial"/>
          <w:color w:val="000000"/>
          <w:sz w:val="22"/>
          <w:szCs w:val="22"/>
        </w:rPr>
      </w:pPr>
      <w:r>
        <w:rPr>
          <w:rFonts w:ascii="Arial" w:eastAsia="Arial" w:hAnsi="Arial" w:cs="Arial"/>
          <w:color w:val="000000"/>
          <w:sz w:val="22"/>
          <w:szCs w:val="22"/>
        </w:rPr>
        <w:t>The PTWS Tsunami Ready Equivalency Guidelines (draft March 2025) is available at the ICG/PTWS-XXXI Meeting Site.</w:t>
      </w:r>
    </w:p>
    <w:p w14:paraId="1B643F10" w14:textId="77777777" w:rsidR="00E713FF" w:rsidRDefault="00E713FF">
      <w:pPr>
        <w:rPr>
          <w:rFonts w:ascii="Arial" w:eastAsia="Arial" w:hAnsi="Arial" w:cs="Arial"/>
          <w:color w:val="000000"/>
          <w:sz w:val="22"/>
          <w:szCs w:val="22"/>
        </w:rPr>
      </w:pPr>
    </w:p>
    <w:p w14:paraId="6FD3FB76" w14:textId="77777777" w:rsidR="000F6E11" w:rsidRDefault="00000000">
      <w:pPr>
        <w:rPr>
          <w:rFonts w:ascii="Arial" w:eastAsia="Arial" w:hAnsi="Arial" w:cs="Arial"/>
          <w:color w:val="000000"/>
          <w:sz w:val="22"/>
          <w:szCs w:val="22"/>
        </w:rPr>
      </w:pPr>
      <w:r>
        <w:rPr>
          <w:rFonts w:ascii="Arial" w:eastAsia="Arial" w:hAnsi="Arial" w:cs="Arial"/>
          <w:color w:val="000000"/>
          <w:sz w:val="22"/>
          <w:szCs w:val="22"/>
        </w:rPr>
        <w:t>At ICG/PTWS-XXX, the ICG directed WG3 to develop formal guidance for ICG/PTWS on the application of the proposed Tsunami Ready Equivalency Approach, led by WG3 TT on Tsunami Ready, in consultation with Regional Working Groups.</w:t>
      </w:r>
    </w:p>
    <w:p w14:paraId="3262D5FA" w14:textId="77777777" w:rsidR="000F6E11" w:rsidRDefault="000F6E11">
      <w:pPr>
        <w:rPr>
          <w:rFonts w:ascii="Arial" w:eastAsia="Arial" w:hAnsi="Arial" w:cs="Arial"/>
          <w:color w:val="000000"/>
          <w:sz w:val="22"/>
          <w:szCs w:val="22"/>
        </w:rPr>
      </w:pPr>
    </w:p>
    <w:p w14:paraId="14B7B842" w14:textId="77777777" w:rsidR="000F6E11" w:rsidRDefault="00000000">
      <w:pPr>
        <w:rPr>
          <w:rFonts w:ascii="Arial" w:eastAsia="Arial" w:hAnsi="Arial" w:cs="Arial"/>
          <w:i/>
          <w:sz w:val="22"/>
          <w:szCs w:val="22"/>
        </w:rPr>
      </w:pPr>
      <w:r>
        <w:rPr>
          <w:rFonts w:ascii="Arial" w:eastAsia="Arial" w:hAnsi="Arial" w:cs="Arial"/>
          <w:sz w:val="22"/>
          <w:szCs w:val="22"/>
        </w:rPr>
        <w:t>In recollection, the purpose of the equivalency is to support reporting to the UN Ocean Decade Tsunami Programme goal of “</w:t>
      </w:r>
      <w:r>
        <w:rPr>
          <w:rFonts w:ascii="Arial" w:eastAsia="Arial" w:hAnsi="Arial" w:cs="Arial"/>
          <w:i/>
          <w:sz w:val="22"/>
          <w:szCs w:val="22"/>
        </w:rPr>
        <w:t>100% of communities at risk of tsunami prepared for and resilient to tsunamis by 2030 through the implementation of the UNESCO/IOC Tsunami Ready Recognition Programme and other initiatives.”</w:t>
      </w:r>
    </w:p>
    <w:p w14:paraId="672466AF" w14:textId="77777777" w:rsidR="000F6E11" w:rsidRDefault="000F6E11">
      <w:pPr>
        <w:rPr>
          <w:rFonts w:ascii="Arial" w:eastAsia="Arial" w:hAnsi="Arial" w:cs="Arial"/>
          <w:i/>
          <w:sz w:val="22"/>
          <w:szCs w:val="22"/>
        </w:rPr>
      </w:pPr>
    </w:p>
    <w:p w14:paraId="7A8435F1" w14:textId="77777777" w:rsidR="000F6E11" w:rsidRDefault="00000000">
      <w:pPr>
        <w:rPr>
          <w:rFonts w:ascii="Arial" w:eastAsia="Arial" w:hAnsi="Arial" w:cs="Arial"/>
          <w:sz w:val="22"/>
          <w:szCs w:val="22"/>
        </w:rPr>
      </w:pPr>
      <w:r>
        <w:rPr>
          <w:rFonts w:ascii="Arial" w:eastAsia="Arial" w:hAnsi="Arial" w:cs="Arial"/>
          <w:sz w:val="22"/>
          <w:szCs w:val="22"/>
        </w:rPr>
        <w:t xml:space="preserve">For the proposed ‘equivalency’ concept, the 12 indicators of the Tsunami Ready Recognition Programme are taken as the definition of </w:t>
      </w:r>
      <w:r>
        <w:rPr>
          <w:rFonts w:ascii="Arial" w:eastAsia="Arial" w:hAnsi="Arial" w:cs="Arial"/>
          <w:b/>
          <w:sz w:val="22"/>
          <w:szCs w:val="22"/>
        </w:rPr>
        <w:t>‘prepared and resilient’</w:t>
      </w:r>
      <w:r>
        <w:rPr>
          <w:rFonts w:ascii="Arial" w:eastAsia="Arial" w:hAnsi="Arial" w:cs="Arial"/>
          <w:sz w:val="22"/>
          <w:szCs w:val="22"/>
        </w:rPr>
        <w:t xml:space="preserve">. The practical goal is to ensure that </w:t>
      </w:r>
      <w:r>
        <w:rPr>
          <w:rFonts w:ascii="Arial" w:eastAsia="Arial" w:hAnsi="Arial" w:cs="Arial"/>
          <w:b/>
          <w:sz w:val="22"/>
          <w:szCs w:val="22"/>
        </w:rPr>
        <w:t xml:space="preserve">every country can contribute </w:t>
      </w:r>
      <w:r>
        <w:rPr>
          <w:rFonts w:ascii="Arial" w:eastAsia="Arial" w:hAnsi="Arial" w:cs="Arial"/>
          <w:sz w:val="22"/>
          <w:szCs w:val="22"/>
        </w:rPr>
        <w:t xml:space="preserve">to progress reporting for the UN Ocean Decade Goal. This process </w:t>
      </w:r>
      <w:r>
        <w:rPr>
          <w:rFonts w:ascii="Arial" w:eastAsia="Arial" w:hAnsi="Arial" w:cs="Arial"/>
          <w:b/>
          <w:sz w:val="22"/>
          <w:szCs w:val="22"/>
        </w:rPr>
        <w:t>does not require application</w:t>
      </w:r>
      <w:r>
        <w:rPr>
          <w:rFonts w:ascii="Arial" w:eastAsia="Arial" w:hAnsi="Arial" w:cs="Arial"/>
          <w:sz w:val="22"/>
          <w:szCs w:val="22"/>
        </w:rPr>
        <w:t xml:space="preserve"> to IOC/UNESCO for formal TRRP recognition but will support ICG reporting. </w:t>
      </w:r>
    </w:p>
    <w:p w14:paraId="3D164DBF" w14:textId="77777777" w:rsidR="000F6E11" w:rsidRDefault="000F6E11">
      <w:pPr>
        <w:rPr>
          <w:rFonts w:ascii="Arial" w:eastAsia="Arial" w:hAnsi="Arial" w:cs="Arial"/>
          <w:sz w:val="22"/>
          <w:szCs w:val="22"/>
        </w:rPr>
      </w:pPr>
    </w:p>
    <w:p w14:paraId="1BB16125" w14:textId="77777777" w:rsidR="000F6E11" w:rsidRDefault="00000000">
      <w:pPr>
        <w:rPr>
          <w:rFonts w:ascii="Arial" w:eastAsia="Arial" w:hAnsi="Arial" w:cs="Arial"/>
          <w:sz w:val="22"/>
          <w:szCs w:val="22"/>
        </w:rPr>
      </w:pPr>
      <w:r>
        <w:rPr>
          <w:rFonts w:ascii="Arial" w:eastAsia="Arial" w:hAnsi="Arial" w:cs="Arial"/>
          <w:sz w:val="22"/>
          <w:szCs w:val="22"/>
        </w:rPr>
        <w:t xml:space="preserve">The Task Team sought feedback from the PTWS Steering Committee and Regional Working Groups as part of the development process. It was presented to TOWS TT-DMP in February 2025 with no substantial comments received. </w:t>
      </w:r>
    </w:p>
    <w:p w14:paraId="7EE88A3A" w14:textId="77777777" w:rsidR="000F6E11" w:rsidRDefault="000F6E11">
      <w:pPr>
        <w:rPr>
          <w:rFonts w:ascii="Arial" w:eastAsia="Arial" w:hAnsi="Arial" w:cs="Arial"/>
          <w:sz w:val="22"/>
          <w:szCs w:val="22"/>
        </w:rPr>
      </w:pPr>
    </w:p>
    <w:p w14:paraId="3A0BBF58" w14:textId="77777777" w:rsidR="000F6E11" w:rsidRDefault="00000000">
      <w:pPr>
        <w:rPr>
          <w:rFonts w:ascii="Arial" w:eastAsia="Arial" w:hAnsi="Arial" w:cs="Arial"/>
          <w:sz w:val="22"/>
          <w:szCs w:val="22"/>
        </w:rPr>
      </w:pPr>
      <w:r>
        <w:rPr>
          <w:rFonts w:ascii="Arial" w:eastAsia="Arial" w:hAnsi="Arial" w:cs="Arial"/>
          <w:sz w:val="22"/>
          <w:szCs w:val="22"/>
        </w:rPr>
        <w:t>The approach has been simplified to three steps:</w:t>
      </w:r>
    </w:p>
    <w:p w14:paraId="6FB85893" w14:textId="77777777" w:rsidR="000F6E11" w:rsidRDefault="00000000">
      <w:pPr>
        <w:numPr>
          <w:ilvl w:val="0"/>
          <w:numId w:val="7"/>
        </w:numPr>
        <w:pBdr>
          <w:top w:val="nil"/>
          <w:left w:val="nil"/>
          <w:bottom w:val="nil"/>
          <w:right w:val="nil"/>
          <w:between w:val="nil"/>
        </w:pBdr>
        <w:spacing w:before="280" w:after="120"/>
        <w:ind w:left="357" w:hanging="357"/>
        <w:rPr>
          <w:rFonts w:ascii="Arial" w:eastAsia="Arial" w:hAnsi="Arial" w:cs="Arial"/>
          <w:b/>
          <w:color w:val="000000"/>
          <w:sz w:val="22"/>
          <w:szCs w:val="22"/>
        </w:rPr>
      </w:pPr>
      <w:r>
        <w:rPr>
          <w:rFonts w:ascii="Arial" w:eastAsia="Arial" w:hAnsi="Arial" w:cs="Arial"/>
          <w:b/>
          <w:color w:val="000000"/>
          <w:sz w:val="22"/>
          <w:szCs w:val="22"/>
        </w:rPr>
        <w:t>Identify / establish national governance</w:t>
      </w:r>
    </w:p>
    <w:p w14:paraId="0E2AF5CB" w14:textId="77777777" w:rsidR="000F6E11" w:rsidRDefault="00000000">
      <w:pPr>
        <w:spacing w:before="280" w:after="120"/>
        <w:rPr>
          <w:rFonts w:ascii="Arial" w:eastAsia="Arial" w:hAnsi="Arial" w:cs="Arial"/>
          <w:sz w:val="22"/>
          <w:szCs w:val="22"/>
        </w:rPr>
      </w:pPr>
      <w:r>
        <w:rPr>
          <w:rFonts w:ascii="Arial" w:eastAsia="Arial" w:hAnsi="Arial" w:cs="Arial"/>
          <w:sz w:val="22"/>
          <w:szCs w:val="22"/>
        </w:rPr>
        <w:t>National governance should be in place in order to provide oversight of this process.  In many cases an existing governance body may be able to be identified for this purpose to avoid duplication, or a bespoke National Tsunami Ready Board could be established. </w:t>
      </w:r>
    </w:p>
    <w:p w14:paraId="21241FED" w14:textId="77777777" w:rsidR="000F6E11" w:rsidRDefault="00000000">
      <w:pPr>
        <w:spacing w:before="280" w:after="120"/>
        <w:rPr>
          <w:rFonts w:ascii="Arial" w:eastAsia="Arial" w:hAnsi="Arial" w:cs="Arial"/>
          <w:sz w:val="22"/>
          <w:szCs w:val="22"/>
        </w:rPr>
      </w:pPr>
      <w:r>
        <w:rPr>
          <w:rFonts w:ascii="Arial" w:eastAsia="Arial" w:hAnsi="Arial" w:cs="Arial"/>
          <w:sz w:val="22"/>
          <w:szCs w:val="22"/>
        </w:rPr>
        <w:t>The functions of this governance group will be to:</w:t>
      </w:r>
    </w:p>
    <w:p w14:paraId="01E97CE6" w14:textId="77777777" w:rsidR="000F6E11" w:rsidRDefault="00000000">
      <w:pPr>
        <w:numPr>
          <w:ilvl w:val="0"/>
          <w:numId w:val="3"/>
        </w:numPr>
        <w:pBdr>
          <w:top w:val="nil"/>
          <w:left w:val="nil"/>
          <w:bottom w:val="nil"/>
          <w:right w:val="nil"/>
          <w:between w:val="nil"/>
        </w:pBdr>
        <w:spacing w:before="280"/>
        <w:rPr>
          <w:color w:val="000000"/>
          <w:sz w:val="22"/>
          <w:szCs w:val="22"/>
        </w:rPr>
      </w:pPr>
      <w:r>
        <w:rPr>
          <w:rFonts w:ascii="Arial" w:eastAsia="Arial" w:hAnsi="Arial" w:cs="Arial"/>
          <w:color w:val="000000"/>
          <w:sz w:val="22"/>
          <w:szCs w:val="22"/>
        </w:rPr>
        <w:t>Provide expert interpretation of the tsunami ready indicators in the country's own context </w:t>
      </w:r>
    </w:p>
    <w:p w14:paraId="75694710" w14:textId="77777777" w:rsidR="000F6E11" w:rsidRDefault="00000000">
      <w:pPr>
        <w:numPr>
          <w:ilvl w:val="0"/>
          <w:numId w:val="3"/>
        </w:numPr>
        <w:pBdr>
          <w:top w:val="nil"/>
          <w:left w:val="nil"/>
          <w:bottom w:val="nil"/>
          <w:right w:val="nil"/>
          <w:between w:val="nil"/>
        </w:pBdr>
        <w:rPr>
          <w:color w:val="000000"/>
          <w:sz w:val="22"/>
          <w:szCs w:val="22"/>
        </w:rPr>
      </w:pPr>
      <w:r>
        <w:rPr>
          <w:rFonts w:ascii="Arial" w:eastAsia="Arial" w:hAnsi="Arial" w:cs="Arial"/>
          <w:color w:val="000000"/>
          <w:sz w:val="22"/>
          <w:szCs w:val="22"/>
        </w:rPr>
        <w:t>Provide expert commentary on the definition of community in the country’s own context </w:t>
      </w:r>
    </w:p>
    <w:p w14:paraId="62D823E7" w14:textId="77777777" w:rsidR="000F6E11" w:rsidRDefault="00000000">
      <w:pPr>
        <w:numPr>
          <w:ilvl w:val="0"/>
          <w:numId w:val="3"/>
        </w:numPr>
        <w:pBdr>
          <w:top w:val="nil"/>
          <w:left w:val="nil"/>
          <w:bottom w:val="nil"/>
          <w:right w:val="nil"/>
          <w:between w:val="nil"/>
        </w:pBdr>
        <w:spacing w:after="120"/>
        <w:rPr>
          <w:color w:val="000000"/>
          <w:sz w:val="22"/>
          <w:szCs w:val="22"/>
        </w:rPr>
      </w:pPr>
      <w:r>
        <w:rPr>
          <w:rFonts w:ascii="Arial" w:eastAsia="Arial" w:hAnsi="Arial" w:cs="Arial"/>
          <w:color w:val="000000"/>
          <w:sz w:val="22"/>
          <w:szCs w:val="22"/>
        </w:rPr>
        <w:t>Approve the implementation of this equivalency process </w:t>
      </w:r>
    </w:p>
    <w:p w14:paraId="18E645D6" w14:textId="77777777" w:rsidR="000F6E11" w:rsidRDefault="00000000">
      <w:pPr>
        <w:spacing w:before="280" w:after="120"/>
        <w:rPr>
          <w:rFonts w:ascii="Arial" w:eastAsia="Arial" w:hAnsi="Arial" w:cs="Arial"/>
          <w:sz w:val="22"/>
          <w:szCs w:val="22"/>
        </w:rPr>
      </w:pPr>
      <w:r>
        <w:rPr>
          <w:rFonts w:ascii="Arial" w:eastAsia="Arial" w:hAnsi="Arial" w:cs="Arial"/>
          <w:sz w:val="22"/>
          <w:szCs w:val="22"/>
        </w:rPr>
        <w:t>Should formal Tsunami Ready Recognition appropriately wish to be pursued by any individual community, this governance structure may be able to be utilized for the recognition process as per IOC MG 74. </w:t>
      </w:r>
    </w:p>
    <w:p w14:paraId="5511F251" w14:textId="77777777" w:rsidR="000F6E11" w:rsidRDefault="00000000">
      <w:pPr>
        <w:numPr>
          <w:ilvl w:val="0"/>
          <w:numId w:val="7"/>
        </w:numPr>
        <w:pBdr>
          <w:top w:val="nil"/>
          <w:left w:val="nil"/>
          <w:bottom w:val="nil"/>
          <w:right w:val="nil"/>
          <w:between w:val="nil"/>
        </w:pBdr>
        <w:spacing w:before="280" w:after="120"/>
        <w:rPr>
          <w:rFonts w:ascii="Arial" w:eastAsia="Arial" w:hAnsi="Arial" w:cs="Arial"/>
          <w:b/>
          <w:color w:val="000000"/>
          <w:sz w:val="22"/>
          <w:szCs w:val="22"/>
        </w:rPr>
      </w:pPr>
      <w:r>
        <w:rPr>
          <w:rFonts w:ascii="Arial" w:eastAsia="Arial" w:hAnsi="Arial" w:cs="Arial"/>
          <w:b/>
          <w:color w:val="000000"/>
          <w:sz w:val="22"/>
          <w:szCs w:val="22"/>
        </w:rPr>
        <w:t>Assess tsunami preparedness and resiliency in a manner similar to the Tsunami Ready Recognition Programme</w:t>
      </w:r>
    </w:p>
    <w:p w14:paraId="2C89E385" w14:textId="77777777" w:rsidR="000F6E11" w:rsidRDefault="00000000">
      <w:pPr>
        <w:rPr>
          <w:rFonts w:ascii="Arial" w:eastAsia="Arial" w:hAnsi="Arial" w:cs="Arial"/>
          <w:sz w:val="22"/>
          <w:szCs w:val="22"/>
        </w:rPr>
      </w:pPr>
      <w:r>
        <w:rPr>
          <w:rFonts w:ascii="Arial" w:eastAsia="Arial" w:hAnsi="Arial" w:cs="Arial"/>
          <w:sz w:val="22"/>
          <w:szCs w:val="22"/>
        </w:rPr>
        <w:t>A cross-referencing guide is provided in the documentation, which is intended to be broad enough for multiple contexts, while remaining a high standard of tsunami preparedness. This is based on the checklist included in the Tsunami Ready Recognition Programme.</w:t>
      </w:r>
    </w:p>
    <w:p w14:paraId="40EA33D7" w14:textId="77777777" w:rsidR="000F6E11" w:rsidRDefault="000F6E11">
      <w:pPr>
        <w:rPr>
          <w:rFonts w:ascii="Arial" w:eastAsia="Arial" w:hAnsi="Arial" w:cs="Arial"/>
          <w:sz w:val="22"/>
          <w:szCs w:val="22"/>
        </w:rPr>
      </w:pPr>
    </w:p>
    <w:p w14:paraId="73D3A6BA" w14:textId="77777777" w:rsidR="000F6E11" w:rsidRDefault="00000000">
      <w:pPr>
        <w:rPr>
          <w:rFonts w:ascii="Arial" w:eastAsia="Arial" w:hAnsi="Arial" w:cs="Arial"/>
          <w:sz w:val="22"/>
          <w:szCs w:val="22"/>
        </w:rPr>
      </w:pPr>
      <w:r>
        <w:rPr>
          <w:rFonts w:ascii="Arial" w:eastAsia="Arial" w:hAnsi="Arial" w:cs="Arial"/>
          <w:sz w:val="22"/>
          <w:szCs w:val="22"/>
        </w:rPr>
        <w:t xml:space="preserve">This process is a self-assessment, and countries are encouraged to apply it accordingly to the principles of the equivalency process. This should be supported by the established governance mechanism, and completed at least once every four years, in alignment with the Tsunami Ready Recognition Programme renewal timeframe. </w:t>
      </w:r>
    </w:p>
    <w:p w14:paraId="19B035CB" w14:textId="77777777" w:rsidR="000F6E11" w:rsidRDefault="00000000">
      <w:pPr>
        <w:numPr>
          <w:ilvl w:val="0"/>
          <w:numId w:val="7"/>
        </w:numPr>
        <w:pBdr>
          <w:top w:val="nil"/>
          <w:left w:val="nil"/>
          <w:bottom w:val="nil"/>
          <w:right w:val="nil"/>
          <w:between w:val="nil"/>
        </w:pBdr>
        <w:spacing w:before="280" w:after="120"/>
        <w:ind w:left="357" w:hanging="357"/>
        <w:rPr>
          <w:rFonts w:ascii="Arial" w:eastAsia="Arial" w:hAnsi="Arial" w:cs="Arial"/>
          <w:b/>
          <w:color w:val="000000"/>
          <w:sz w:val="22"/>
          <w:szCs w:val="22"/>
        </w:rPr>
      </w:pPr>
      <w:r>
        <w:rPr>
          <w:rFonts w:ascii="Arial" w:eastAsia="Arial" w:hAnsi="Arial" w:cs="Arial"/>
          <w:b/>
          <w:color w:val="000000"/>
          <w:sz w:val="22"/>
          <w:szCs w:val="22"/>
        </w:rPr>
        <w:t>Report progress on the U</w:t>
      </w:r>
      <w:r>
        <w:rPr>
          <w:rFonts w:ascii="Arial" w:eastAsia="Arial" w:hAnsi="Arial" w:cs="Arial"/>
          <w:b/>
          <w:sz w:val="22"/>
          <w:szCs w:val="22"/>
        </w:rPr>
        <w:t>N Ocean Decade (UNOD)</w:t>
      </w:r>
      <w:r>
        <w:rPr>
          <w:rFonts w:ascii="Arial" w:eastAsia="Arial" w:hAnsi="Arial" w:cs="Arial"/>
          <w:b/>
          <w:color w:val="000000"/>
          <w:sz w:val="22"/>
          <w:szCs w:val="22"/>
        </w:rPr>
        <w:t xml:space="preserve"> Goal to the ICG/PTWS.</w:t>
      </w:r>
    </w:p>
    <w:p w14:paraId="180C68EB" w14:textId="77777777" w:rsidR="000F6E11" w:rsidRDefault="00000000">
      <w:pPr>
        <w:spacing w:before="280" w:after="120"/>
        <w:rPr>
          <w:rFonts w:ascii="Arial" w:eastAsia="Arial" w:hAnsi="Arial" w:cs="Arial"/>
          <w:sz w:val="22"/>
          <w:szCs w:val="22"/>
        </w:rPr>
      </w:pPr>
      <w:r>
        <w:rPr>
          <w:rFonts w:ascii="Arial" w:eastAsia="Arial" w:hAnsi="Arial" w:cs="Arial"/>
          <w:sz w:val="22"/>
          <w:szCs w:val="22"/>
        </w:rPr>
        <w:t>This is proposed to be integrated with PTWS national reporting and KPIs and communicated in terms of percentage of communities. While this is not consistent with the current manner of reporting for Tsunami Ready (which is the number of communities) this manner is aligned with the language of the UNOD goal and will better support eventual reporting and reflection on progress in the future. This was reinforced by discussions at the February meeting of TOWS TT-DMP.</w:t>
      </w:r>
    </w:p>
    <w:p w14:paraId="2F21AD61" w14:textId="77777777" w:rsidR="00E713FF" w:rsidRDefault="00000000">
      <w:pPr>
        <w:spacing w:before="280" w:after="120"/>
        <w:rPr>
          <w:rFonts w:ascii="Arial" w:eastAsia="Arial" w:hAnsi="Arial" w:cs="Arial"/>
          <w:sz w:val="22"/>
          <w:szCs w:val="22"/>
        </w:rPr>
      </w:pPr>
      <w:r>
        <w:rPr>
          <w:rFonts w:ascii="Arial" w:eastAsia="Arial" w:hAnsi="Arial" w:cs="Arial"/>
          <w:sz w:val="22"/>
          <w:szCs w:val="22"/>
        </w:rPr>
        <w:lastRenderedPageBreak/>
        <w:t xml:space="preserve">It is the view of the Task Team that this guidance needs pilot implementation to test the feasibility of the approach and usability of the guidance. Results from this could be used to inform a final version. </w:t>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0F6E11" w14:paraId="658F74D5" w14:textId="77777777">
        <w:tc>
          <w:tcPr>
            <w:tcW w:w="9026" w:type="dxa"/>
            <w:shd w:val="clear" w:color="auto" w:fill="auto"/>
            <w:tcMar>
              <w:top w:w="100" w:type="dxa"/>
              <w:left w:w="100" w:type="dxa"/>
              <w:bottom w:w="100" w:type="dxa"/>
              <w:right w:w="100" w:type="dxa"/>
            </w:tcMar>
          </w:tcPr>
          <w:p w14:paraId="3A0529F2" w14:textId="77777777" w:rsidR="000F6E11" w:rsidRDefault="00000000">
            <w:pPr>
              <w:spacing w:before="280" w:after="120"/>
              <w:rPr>
                <w:rFonts w:ascii="Arial" w:eastAsia="Arial" w:hAnsi="Arial" w:cs="Arial"/>
                <w:sz w:val="22"/>
                <w:szCs w:val="22"/>
              </w:rPr>
            </w:pPr>
            <w:r>
              <w:rPr>
                <w:rFonts w:ascii="Arial" w:eastAsia="Arial" w:hAnsi="Arial" w:cs="Arial"/>
                <w:sz w:val="22"/>
                <w:szCs w:val="22"/>
              </w:rPr>
              <w:t>The WG3 Task Team Tsunami Ready recommends that the ICG/PTWS:</w:t>
            </w:r>
          </w:p>
          <w:p w14:paraId="7326FC3B" w14:textId="77777777"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Recalling </w:t>
            </w:r>
            <w:r>
              <w:rPr>
                <w:rFonts w:ascii="Arial" w:eastAsia="Arial" w:hAnsi="Arial" w:cs="Arial"/>
                <w:sz w:val="22"/>
                <w:szCs w:val="22"/>
              </w:rPr>
              <w:t>the ICG/PTWS-XXIX.1 recommendation for WG3 to explore ways to recognize communities that choose not to implement the UNESCO IOC Tsunami Ready Recognition Programme as compliant with the Tsunami Ready Indicators,</w:t>
            </w:r>
          </w:p>
          <w:p w14:paraId="39A7630A" w14:textId="1FBD19A8"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Recalling </w:t>
            </w:r>
            <w:r>
              <w:rPr>
                <w:rFonts w:ascii="Arial" w:eastAsia="Arial" w:hAnsi="Arial" w:cs="Arial"/>
                <w:sz w:val="22"/>
                <w:szCs w:val="22"/>
              </w:rPr>
              <w:t>the proposed Tsunami Ready Equivalency Approach shared at the Thirt</w:t>
            </w:r>
            <w:r w:rsidR="00067C8C">
              <w:rPr>
                <w:rFonts w:ascii="Arial" w:eastAsia="Arial" w:hAnsi="Arial" w:cs="Arial"/>
                <w:sz w:val="22"/>
                <w:szCs w:val="22"/>
              </w:rPr>
              <w:t>ieth</w:t>
            </w:r>
            <w:r>
              <w:rPr>
                <w:rFonts w:ascii="Arial" w:eastAsia="Arial" w:hAnsi="Arial" w:cs="Arial"/>
                <w:sz w:val="22"/>
                <w:szCs w:val="22"/>
              </w:rPr>
              <w:t xml:space="preserve"> session of the ICG/PTWS by Working Group Three, and the establishment of the Task Team Tsunami Ready under PTWS Working Group Three during this Session,</w:t>
            </w:r>
          </w:p>
          <w:p w14:paraId="658F36FF" w14:textId="77777777"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Recalling further </w:t>
            </w:r>
            <w:r>
              <w:rPr>
                <w:rFonts w:ascii="Arial" w:eastAsia="Arial" w:hAnsi="Arial" w:cs="Arial"/>
                <w:sz w:val="22"/>
                <w:szCs w:val="22"/>
              </w:rPr>
              <w:t>the ICG/PTWS-XXX.5 recommendation that WG3 develop formal guidance for ICG/PTWS on the application of the proposed Tsunami Ready Equivalency Approach, led by WG3 Task Team Tsunami Ready, in consultation with Regional Working Groups</w:t>
            </w:r>
          </w:p>
          <w:p w14:paraId="423DAF9A" w14:textId="77777777"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Noting </w:t>
            </w:r>
            <w:r>
              <w:rPr>
                <w:rFonts w:ascii="Arial" w:eastAsia="Arial" w:hAnsi="Arial" w:cs="Arial"/>
                <w:sz w:val="22"/>
                <w:szCs w:val="22"/>
              </w:rPr>
              <w:t>the TOWS WG-XVII (2024) appreciation of the progress made by ICG/PTWS concerning exploring mechanisms of how to include national tsunami preparedness and readiness programmes and initiatives in the UN Ocean Decade Programme, and that Tsunami Ready Equivalency Approach framed under other similar initiatives seeks to enable reporting on tsunami preparedness in a manner compatible with the TRRP, using existing national frameworks and requirements.</w:t>
            </w:r>
          </w:p>
          <w:p w14:paraId="53866E0D" w14:textId="77777777"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Noting </w:t>
            </w:r>
            <w:r>
              <w:rPr>
                <w:rFonts w:ascii="Arial" w:eastAsia="Arial" w:hAnsi="Arial" w:cs="Arial"/>
                <w:sz w:val="22"/>
                <w:szCs w:val="22"/>
              </w:rPr>
              <w:t>the progress made in the intersessional period on the development of a Guideline for the PTWS Tsunami Ready Equivalency Framework by ICG/PTWS WG3 TT Tsunami Ready,</w:t>
            </w:r>
            <w:r w:rsidR="00F72564">
              <w:rPr>
                <w:rFonts w:ascii="Arial" w:eastAsia="Arial" w:hAnsi="Arial" w:cs="Arial"/>
                <w:sz w:val="22"/>
                <w:szCs w:val="22"/>
              </w:rPr>
              <w:t xml:space="preserve"> under the leadership of the New Zealand National Emergency Management Agency and the International Tsunami Information Centre,</w:t>
            </w:r>
          </w:p>
          <w:p w14:paraId="6738D105" w14:textId="77777777" w:rsidR="000F6E11" w:rsidRDefault="00000000">
            <w:pPr>
              <w:spacing w:before="280" w:after="120"/>
              <w:rPr>
                <w:rFonts w:ascii="Arial" w:eastAsia="Arial" w:hAnsi="Arial" w:cs="Arial"/>
                <w:sz w:val="22"/>
                <w:szCs w:val="22"/>
              </w:rPr>
            </w:pPr>
            <w:r>
              <w:rPr>
                <w:rFonts w:ascii="Arial" w:eastAsia="Arial" w:hAnsi="Arial" w:cs="Arial"/>
                <w:b/>
                <w:sz w:val="22"/>
                <w:szCs w:val="22"/>
              </w:rPr>
              <w:t xml:space="preserve">Encourages </w:t>
            </w:r>
            <w:r>
              <w:rPr>
                <w:rFonts w:ascii="Arial" w:eastAsia="Arial" w:hAnsi="Arial" w:cs="Arial"/>
                <w:sz w:val="22"/>
                <w:szCs w:val="22"/>
              </w:rPr>
              <w:t>Member States to consider working with the ICG/PTWS WG3 TT Tsunami Ready to contribute to a pilot of the PTWS Tsunami Ready Equivalency Guidance, in order to report back on the feasibility and usability of the approach,</w:t>
            </w:r>
          </w:p>
          <w:p w14:paraId="09B7A707" w14:textId="77777777" w:rsidR="000F6E11" w:rsidRPr="002869FB" w:rsidRDefault="00000000" w:rsidP="002869FB">
            <w:pPr>
              <w:spacing w:before="280" w:after="120"/>
              <w:rPr>
                <w:rFonts w:ascii="Arial" w:eastAsia="Arial" w:hAnsi="Arial" w:cs="Arial"/>
                <w:b/>
                <w:sz w:val="22"/>
                <w:szCs w:val="22"/>
              </w:rPr>
            </w:pPr>
            <w:r>
              <w:rPr>
                <w:rFonts w:ascii="Arial" w:eastAsia="Arial" w:hAnsi="Arial" w:cs="Arial"/>
                <w:b/>
                <w:sz w:val="22"/>
                <w:szCs w:val="22"/>
              </w:rPr>
              <w:t xml:space="preserve">Recommends the ICG/PTWS WG3 TT TR </w:t>
            </w:r>
            <w:r>
              <w:rPr>
                <w:rFonts w:ascii="Arial" w:eastAsia="Arial" w:hAnsi="Arial" w:cs="Arial"/>
                <w:sz w:val="22"/>
                <w:szCs w:val="22"/>
              </w:rPr>
              <w:t>to utilize the results of pilot applications to finalize guidance for approval at the Thirty-second Session of the ICG/PTWS.</w:t>
            </w:r>
          </w:p>
        </w:tc>
      </w:tr>
    </w:tbl>
    <w:p w14:paraId="058EDF55" w14:textId="77777777" w:rsidR="00067C8C" w:rsidRDefault="00067C8C">
      <w:pPr>
        <w:pBdr>
          <w:top w:val="nil"/>
          <w:left w:val="nil"/>
          <w:bottom w:val="nil"/>
          <w:right w:val="nil"/>
          <w:between w:val="nil"/>
        </w:pBdr>
        <w:rPr>
          <w:rFonts w:ascii="Arial" w:eastAsia="Arial" w:hAnsi="Arial" w:cs="Arial"/>
          <w:b/>
          <w:color w:val="000000"/>
          <w:sz w:val="22"/>
          <w:szCs w:val="22"/>
          <w:u w:val="single"/>
        </w:rPr>
      </w:pPr>
    </w:p>
    <w:p w14:paraId="4B81FF8C" w14:textId="7E5B09AB" w:rsidR="000F6E11" w:rsidRDefault="003B4638">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3.</w:t>
      </w:r>
      <w:r>
        <w:rPr>
          <w:rFonts w:ascii="Arial" w:eastAsia="Arial" w:hAnsi="Arial" w:cs="Arial"/>
          <w:b/>
          <w:color w:val="000000"/>
          <w:sz w:val="22"/>
          <w:szCs w:val="22"/>
          <w:u w:val="single"/>
        </w:rPr>
        <w:tab/>
        <w:t>Governance of Tsunami Ready in the PTWS.</w:t>
      </w:r>
    </w:p>
    <w:p w14:paraId="5535747A" w14:textId="77777777" w:rsidR="000F6E11" w:rsidRDefault="000F6E11">
      <w:pPr>
        <w:rPr>
          <w:rFonts w:ascii="Arial" w:eastAsia="Arial" w:hAnsi="Arial" w:cs="Arial"/>
          <w:sz w:val="22"/>
          <w:szCs w:val="22"/>
        </w:rPr>
      </w:pPr>
    </w:p>
    <w:p w14:paraId="7EC24542" w14:textId="77777777" w:rsidR="000F6E11" w:rsidRDefault="00000000">
      <w:pPr>
        <w:rPr>
          <w:rFonts w:ascii="Arial" w:eastAsia="Arial" w:hAnsi="Arial" w:cs="Arial"/>
          <w:sz w:val="22"/>
          <w:szCs w:val="22"/>
        </w:rPr>
      </w:pPr>
      <w:r>
        <w:rPr>
          <w:rFonts w:ascii="Arial" w:eastAsia="Arial" w:hAnsi="Arial" w:cs="Arial"/>
          <w:sz w:val="22"/>
          <w:szCs w:val="22"/>
        </w:rPr>
        <w:t xml:space="preserve">The establishment of a Tsunami Ready Task Team at ICG/PTWS-XXX has worked well to consolidate and focus efforts to support Tsunami Ready in the PTWS, and also provided a clear engagement point for cross-ICG discussion. </w:t>
      </w:r>
    </w:p>
    <w:p w14:paraId="7DE7E61D" w14:textId="77777777" w:rsidR="000F6E11" w:rsidRDefault="000F6E11">
      <w:pPr>
        <w:rPr>
          <w:rFonts w:ascii="Arial" w:eastAsia="Arial" w:hAnsi="Arial" w:cs="Arial"/>
          <w:b/>
          <w:sz w:val="22"/>
          <w:szCs w:val="22"/>
          <w:u w:val="single"/>
        </w:rPr>
      </w:pPr>
    </w:p>
    <w:p w14:paraId="4473F187" w14:textId="77777777" w:rsidR="000F6E11" w:rsidRDefault="00000000">
      <w:pPr>
        <w:rPr>
          <w:rFonts w:ascii="Arial" w:eastAsia="Arial" w:hAnsi="Arial" w:cs="Arial"/>
          <w:sz w:val="22"/>
          <w:szCs w:val="22"/>
        </w:rPr>
      </w:pPr>
      <w:r>
        <w:rPr>
          <w:rFonts w:ascii="Arial" w:eastAsia="Arial" w:hAnsi="Arial" w:cs="Arial"/>
          <w:sz w:val="22"/>
          <w:szCs w:val="22"/>
        </w:rPr>
        <w:t xml:space="preserve">The Task Team for this intersessional period has had representation from Chile, China, Ecuador, France, Japan, Malaysia, New Zealand and the USA, and met several times in 2024 to progress activities. </w:t>
      </w:r>
    </w:p>
    <w:p w14:paraId="2F059FC9" w14:textId="77777777" w:rsidR="000F6E11" w:rsidRDefault="000F6E11">
      <w:pPr>
        <w:rPr>
          <w:rFonts w:ascii="Arial" w:eastAsia="Arial" w:hAnsi="Arial" w:cs="Arial"/>
          <w:sz w:val="22"/>
          <w:szCs w:val="22"/>
        </w:rPr>
      </w:pPr>
    </w:p>
    <w:p w14:paraId="7443AAA8" w14:textId="77777777" w:rsidR="00067C8C" w:rsidRDefault="00067C8C">
      <w:pPr>
        <w:rPr>
          <w:rFonts w:ascii="Arial" w:eastAsia="Arial" w:hAnsi="Arial" w:cs="Arial"/>
          <w:sz w:val="22"/>
          <w:szCs w:val="22"/>
        </w:rPr>
      </w:pPr>
    </w:p>
    <w:p w14:paraId="352AEF38" w14:textId="77777777" w:rsidR="00067C8C" w:rsidRDefault="00067C8C">
      <w:pPr>
        <w:rPr>
          <w:rFonts w:ascii="Arial" w:eastAsia="Arial" w:hAnsi="Arial" w:cs="Arial"/>
          <w:sz w:val="22"/>
          <w:szCs w:val="22"/>
        </w:rPr>
      </w:pPr>
    </w:p>
    <w:p w14:paraId="05CFB066" w14:textId="77777777" w:rsidR="000F6E11" w:rsidRDefault="000F6E11">
      <w:pPr>
        <w:rPr>
          <w:rFonts w:ascii="Arial" w:eastAsia="Arial" w:hAnsi="Arial" w:cs="Arial"/>
          <w:sz w:val="22"/>
          <w:szCs w:val="22"/>
        </w:rPr>
      </w:pP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0F6E11" w14:paraId="0F265A79" w14:textId="77777777">
        <w:tc>
          <w:tcPr>
            <w:tcW w:w="9026" w:type="dxa"/>
            <w:shd w:val="clear" w:color="auto" w:fill="auto"/>
            <w:tcMar>
              <w:top w:w="100" w:type="dxa"/>
              <w:left w:w="100" w:type="dxa"/>
              <w:bottom w:w="100" w:type="dxa"/>
              <w:right w:w="100" w:type="dxa"/>
            </w:tcMar>
          </w:tcPr>
          <w:p w14:paraId="0BAEEC62" w14:textId="77777777" w:rsidR="000F6E11" w:rsidRDefault="00000000">
            <w:pPr>
              <w:rPr>
                <w:rFonts w:ascii="Arial" w:eastAsia="Arial" w:hAnsi="Arial" w:cs="Arial"/>
                <w:sz w:val="22"/>
                <w:szCs w:val="22"/>
              </w:rPr>
            </w:pPr>
            <w:r>
              <w:rPr>
                <w:rFonts w:ascii="Arial" w:eastAsia="Arial" w:hAnsi="Arial" w:cs="Arial"/>
                <w:sz w:val="22"/>
                <w:szCs w:val="22"/>
              </w:rPr>
              <w:lastRenderedPageBreak/>
              <w:t>The WG3 Task Team Tsunami Ready recommends that the ICG/PTWS:</w:t>
            </w:r>
          </w:p>
          <w:p w14:paraId="50AF2F56" w14:textId="77777777" w:rsidR="000F6E11" w:rsidRDefault="000F6E11">
            <w:pPr>
              <w:rPr>
                <w:rFonts w:ascii="Arial" w:eastAsia="Arial" w:hAnsi="Arial" w:cs="Arial"/>
                <w:sz w:val="22"/>
                <w:szCs w:val="22"/>
              </w:rPr>
            </w:pPr>
          </w:p>
          <w:p w14:paraId="6BB7D7DF" w14:textId="77777777" w:rsidR="000F6E11" w:rsidRDefault="00000000">
            <w:pPr>
              <w:rPr>
                <w:rFonts w:ascii="Arial" w:eastAsia="Arial" w:hAnsi="Arial" w:cs="Arial"/>
                <w:sz w:val="22"/>
                <w:szCs w:val="22"/>
              </w:rPr>
            </w:pPr>
            <w:r>
              <w:rPr>
                <w:rFonts w:ascii="Arial" w:eastAsia="Arial" w:hAnsi="Arial" w:cs="Arial"/>
                <w:b/>
                <w:sz w:val="22"/>
                <w:szCs w:val="22"/>
              </w:rPr>
              <w:t xml:space="preserve">Continues </w:t>
            </w:r>
            <w:r>
              <w:rPr>
                <w:rFonts w:ascii="Arial" w:eastAsia="Arial" w:hAnsi="Arial" w:cs="Arial"/>
                <w:sz w:val="22"/>
                <w:szCs w:val="22"/>
              </w:rPr>
              <w:t>the WG3 Task Team Tsunami Ready with revised terms of reference:</w:t>
            </w:r>
          </w:p>
          <w:p w14:paraId="06E179DB" w14:textId="77777777" w:rsidR="000F6E11" w:rsidRDefault="000F6E11">
            <w:pPr>
              <w:rPr>
                <w:rFonts w:ascii="Arial" w:eastAsia="Arial" w:hAnsi="Arial" w:cs="Arial"/>
                <w:sz w:val="22"/>
                <w:szCs w:val="22"/>
              </w:rPr>
            </w:pPr>
          </w:p>
          <w:p w14:paraId="130C7325" w14:textId="77777777" w:rsidR="000F6E11" w:rsidRDefault="00000000">
            <w:pPr>
              <w:numPr>
                <w:ilvl w:val="0"/>
                <w:numId w:val="6"/>
              </w:numPr>
              <w:rPr>
                <w:rFonts w:ascii="Arial" w:eastAsia="Arial" w:hAnsi="Arial" w:cs="Arial"/>
                <w:sz w:val="22"/>
                <w:szCs w:val="22"/>
              </w:rPr>
            </w:pPr>
            <w:r>
              <w:rPr>
                <w:rFonts w:ascii="Arial" w:eastAsia="Arial" w:hAnsi="Arial" w:cs="Arial"/>
                <w:color w:val="FF0000"/>
                <w:sz w:val="22"/>
                <w:szCs w:val="22"/>
              </w:rPr>
              <w:t xml:space="preserve">Support the continued development and piloting of </w:t>
            </w:r>
            <w:r>
              <w:rPr>
                <w:rFonts w:ascii="Arial" w:eastAsia="Arial" w:hAnsi="Arial" w:cs="Arial"/>
                <w:sz w:val="22"/>
                <w:szCs w:val="22"/>
              </w:rPr>
              <w:t xml:space="preserve">PTWS guidelines following the 'Tsunami Ready Equivalency Approach’ for recognition of tsunami readiness of communities not implementing the IOC Tsunami Ready Recognition Programme, </w:t>
            </w:r>
          </w:p>
          <w:p w14:paraId="5FAA08D6" w14:textId="77777777" w:rsidR="000F6E11"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 xml:space="preserve">Monitor Tsunami Ready campaigns and outcomes, and report results, </w:t>
            </w:r>
          </w:p>
          <w:p w14:paraId="1921F500" w14:textId="77777777" w:rsidR="000F6E11"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 xml:space="preserve">Ensure the advocacy for Tsunami Ready is aligned with other PTWS and IOC documents, </w:t>
            </w:r>
          </w:p>
          <w:p w14:paraId="46C0D31F" w14:textId="28C2925D" w:rsidR="000F6E11" w:rsidRDefault="00000000">
            <w:pPr>
              <w:numPr>
                <w:ilvl w:val="0"/>
                <w:numId w:val="6"/>
              </w:numPr>
              <w:spacing w:before="240" w:after="240" w:line="259" w:lineRule="auto"/>
              <w:rPr>
                <w:rFonts w:ascii="Arial" w:eastAsia="Arial" w:hAnsi="Arial" w:cs="Arial"/>
                <w:sz w:val="20"/>
                <w:szCs w:val="20"/>
              </w:rPr>
            </w:pPr>
            <w:r>
              <w:rPr>
                <w:rFonts w:ascii="Arial" w:eastAsia="Arial" w:hAnsi="Arial" w:cs="Arial"/>
                <w:sz w:val="22"/>
                <w:szCs w:val="22"/>
              </w:rPr>
              <w:t>In collaboration with TOWS TT DMP</w:t>
            </w:r>
            <w:r w:rsidR="00067C8C">
              <w:rPr>
                <w:rFonts w:ascii="Arial" w:eastAsia="Arial" w:hAnsi="Arial" w:cs="Arial"/>
                <w:sz w:val="22"/>
                <w:szCs w:val="22"/>
              </w:rPr>
              <w:t xml:space="preserve">, </w:t>
            </w:r>
            <w:r w:rsidR="00067C8C" w:rsidRPr="00067C8C">
              <w:rPr>
                <w:rFonts w:ascii="Arial" w:eastAsia="Arial" w:hAnsi="Arial" w:cs="Arial"/>
                <w:color w:val="FF0000"/>
                <w:sz w:val="22"/>
                <w:szCs w:val="22"/>
              </w:rPr>
              <w:t>through the PTWS WG3</w:t>
            </w:r>
            <w:r w:rsidR="00067C8C">
              <w:rPr>
                <w:rFonts w:ascii="Arial" w:eastAsia="Arial" w:hAnsi="Arial" w:cs="Arial"/>
                <w:sz w:val="22"/>
                <w:szCs w:val="22"/>
              </w:rPr>
              <w:t>,</w:t>
            </w:r>
            <w:r>
              <w:rPr>
                <w:rFonts w:ascii="Arial" w:eastAsia="Arial" w:hAnsi="Arial" w:cs="Arial"/>
                <w:sz w:val="22"/>
                <w:szCs w:val="22"/>
              </w:rPr>
              <w:t xml:space="preserve"> support the exchange of experiences and information on Tsunami Ready implementation globally.</w:t>
            </w:r>
          </w:p>
          <w:p w14:paraId="6E702918" w14:textId="77777777" w:rsidR="000F6E11"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 xml:space="preserve">Advise on the Tsunami Ready workflow as it pertains to the PTWS and regions, </w:t>
            </w:r>
          </w:p>
          <w:p w14:paraId="5FE57FF1" w14:textId="77777777" w:rsidR="000F6E11"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 xml:space="preserve">Support ITIC in its efforts to facilitate the implementation of Tsunami Ready in PTWS Member States, </w:t>
            </w:r>
          </w:p>
          <w:p w14:paraId="026A3511" w14:textId="77777777" w:rsidR="000F6E11"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 xml:space="preserve">Support ITIC’s efforts to develop standardized training supporting Tsunami Ready under the framework of OTGA, such as through feedback on content and helping to test trainings before officially deployed, </w:t>
            </w:r>
          </w:p>
          <w:p w14:paraId="028F2F70" w14:textId="77777777" w:rsidR="00067C8C" w:rsidRDefault="00000000">
            <w:pPr>
              <w:numPr>
                <w:ilvl w:val="0"/>
                <w:numId w:val="6"/>
              </w:numPr>
              <w:spacing w:before="240" w:after="240" w:line="259" w:lineRule="auto"/>
              <w:rPr>
                <w:rFonts w:ascii="Arial" w:eastAsia="Arial" w:hAnsi="Arial" w:cs="Arial"/>
                <w:sz w:val="22"/>
                <w:szCs w:val="22"/>
              </w:rPr>
            </w:pPr>
            <w:r>
              <w:rPr>
                <w:rFonts w:ascii="Arial" w:eastAsia="Arial" w:hAnsi="Arial" w:cs="Arial"/>
                <w:sz w:val="22"/>
                <w:szCs w:val="22"/>
              </w:rPr>
              <w:t>Help to identify sources of funding in support of the implementation of Tsunami Ready,</w:t>
            </w:r>
          </w:p>
          <w:p w14:paraId="3F8291F6" w14:textId="1E13F2EC" w:rsidR="000F6E11" w:rsidRDefault="00067C8C">
            <w:pPr>
              <w:numPr>
                <w:ilvl w:val="0"/>
                <w:numId w:val="6"/>
              </w:numPr>
              <w:spacing w:before="240" w:after="240" w:line="259" w:lineRule="auto"/>
              <w:rPr>
                <w:rFonts w:ascii="Arial" w:eastAsia="Arial" w:hAnsi="Arial" w:cs="Arial"/>
                <w:sz w:val="22"/>
                <w:szCs w:val="22"/>
              </w:rPr>
            </w:pPr>
            <w:r w:rsidRPr="00067C8C">
              <w:rPr>
                <w:rFonts w:ascii="Arial" w:eastAsia="Arial" w:hAnsi="Arial" w:cs="Arial"/>
                <w:color w:val="FF0000"/>
                <w:sz w:val="22"/>
                <w:szCs w:val="22"/>
              </w:rPr>
              <w:t>Report its activities and outcomes to the PTWS WG 3, for sharing with the PTWS, TOWS WG, and globally</w:t>
            </w:r>
            <w:r>
              <w:rPr>
                <w:rFonts w:ascii="Arial" w:eastAsia="Arial" w:hAnsi="Arial" w:cs="Arial"/>
                <w:color w:val="FF0000"/>
                <w:sz w:val="22"/>
                <w:szCs w:val="22"/>
              </w:rPr>
              <w:t>.</w:t>
            </w:r>
            <w:r w:rsidR="00000000" w:rsidRPr="00067C8C">
              <w:rPr>
                <w:rFonts w:ascii="Arial" w:eastAsia="Arial" w:hAnsi="Arial" w:cs="Arial"/>
                <w:color w:val="FF0000"/>
                <w:sz w:val="22"/>
                <w:szCs w:val="22"/>
              </w:rPr>
              <w:t xml:space="preserve"> </w:t>
            </w:r>
          </w:p>
        </w:tc>
      </w:tr>
    </w:tbl>
    <w:p w14:paraId="4D697EBE" w14:textId="77777777" w:rsidR="000F6E11" w:rsidRDefault="000F6E11">
      <w:pPr>
        <w:spacing w:before="240" w:after="240" w:line="259" w:lineRule="auto"/>
        <w:rPr>
          <w:rFonts w:ascii="Arial" w:eastAsia="Arial" w:hAnsi="Arial" w:cs="Arial"/>
          <w:sz w:val="22"/>
          <w:szCs w:val="22"/>
        </w:rPr>
      </w:pPr>
    </w:p>
    <w:p w14:paraId="63300DFF" w14:textId="77777777" w:rsidR="000F6E11" w:rsidRDefault="000F6E11">
      <w:pPr>
        <w:rPr>
          <w:rFonts w:ascii="Arial" w:eastAsia="Arial" w:hAnsi="Arial" w:cs="Arial"/>
          <w:sz w:val="22"/>
          <w:szCs w:val="22"/>
          <w:u w:val="single"/>
        </w:rPr>
      </w:pPr>
    </w:p>
    <w:sectPr w:rsidR="000F6E11">
      <w:footerReference w:type="even"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6EB3" w14:textId="77777777" w:rsidR="00314EC1" w:rsidRDefault="00314EC1" w:rsidP="002869FB">
      <w:r>
        <w:separator/>
      </w:r>
    </w:p>
  </w:endnote>
  <w:endnote w:type="continuationSeparator" w:id="0">
    <w:p w14:paraId="7917878A" w14:textId="77777777" w:rsidR="00314EC1" w:rsidRDefault="00314EC1" w:rsidP="0028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1646215"/>
      <w:docPartObj>
        <w:docPartGallery w:val="Page Numbers (Bottom of Page)"/>
        <w:docPartUnique/>
      </w:docPartObj>
    </w:sdtPr>
    <w:sdtContent>
      <w:p w14:paraId="5F1DB153" w14:textId="77777777" w:rsidR="002869FB" w:rsidRDefault="002869FB" w:rsidP="005659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128AEAC" w14:textId="77777777" w:rsidR="002869FB" w:rsidRDefault="00286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1388607906"/>
      <w:docPartObj>
        <w:docPartGallery w:val="Page Numbers (Bottom of Page)"/>
        <w:docPartUnique/>
      </w:docPartObj>
    </w:sdtPr>
    <w:sdtContent>
      <w:p w14:paraId="029955C2" w14:textId="77777777" w:rsidR="002869FB" w:rsidRPr="002869FB" w:rsidRDefault="002869FB" w:rsidP="005659EE">
        <w:pPr>
          <w:pStyle w:val="Footer"/>
          <w:framePr w:wrap="none" w:vAnchor="text" w:hAnchor="margin" w:xAlign="center" w:y="1"/>
          <w:rPr>
            <w:rStyle w:val="PageNumber"/>
            <w:rFonts w:ascii="Arial" w:hAnsi="Arial" w:cs="Arial"/>
            <w:sz w:val="22"/>
            <w:szCs w:val="22"/>
          </w:rPr>
        </w:pPr>
        <w:r w:rsidRPr="002869FB">
          <w:rPr>
            <w:rStyle w:val="PageNumber"/>
            <w:rFonts w:ascii="Arial" w:hAnsi="Arial" w:cs="Arial"/>
            <w:sz w:val="22"/>
            <w:szCs w:val="22"/>
          </w:rPr>
          <w:fldChar w:fldCharType="begin"/>
        </w:r>
        <w:r w:rsidRPr="002869FB">
          <w:rPr>
            <w:rStyle w:val="PageNumber"/>
            <w:rFonts w:ascii="Arial" w:hAnsi="Arial" w:cs="Arial"/>
            <w:sz w:val="22"/>
            <w:szCs w:val="22"/>
          </w:rPr>
          <w:instrText xml:space="preserve"> PAGE </w:instrText>
        </w:r>
        <w:r w:rsidRPr="002869FB">
          <w:rPr>
            <w:rStyle w:val="PageNumber"/>
            <w:rFonts w:ascii="Arial" w:hAnsi="Arial" w:cs="Arial"/>
            <w:sz w:val="22"/>
            <w:szCs w:val="22"/>
          </w:rPr>
          <w:fldChar w:fldCharType="separate"/>
        </w:r>
        <w:r w:rsidRPr="002869FB">
          <w:rPr>
            <w:rStyle w:val="PageNumber"/>
            <w:rFonts w:ascii="Arial" w:hAnsi="Arial" w:cs="Arial"/>
            <w:noProof/>
            <w:sz w:val="22"/>
            <w:szCs w:val="22"/>
          </w:rPr>
          <w:t>1</w:t>
        </w:r>
        <w:r w:rsidRPr="002869FB">
          <w:rPr>
            <w:rStyle w:val="PageNumber"/>
            <w:rFonts w:ascii="Arial" w:hAnsi="Arial" w:cs="Arial"/>
            <w:sz w:val="22"/>
            <w:szCs w:val="22"/>
          </w:rPr>
          <w:fldChar w:fldCharType="end"/>
        </w:r>
      </w:p>
    </w:sdtContent>
  </w:sdt>
  <w:p w14:paraId="4F7B9EA2" w14:textId="77777777" w:rsidR="002869FB" w:rsidRDefault="00286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C9DB0" w14:textId="77777777" w:rsidR="00314EC1" w:rsidRDefault="00314EC1" w:rsidP="002869FB">
      <w:r>
        <w:separator/>
      </w:r>
    </w:p>
  </w:footnote>
  <w:footnote w:type="continuationSeparator" w:id="0">
    <w:p w14:paraId="3D1AF31B" w14:textId="77777777" w:rsidR="00314EC1" w:rsidRDefault="00314EC1" w:rsidP="00286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47099"/>
    <w:multiLevelType w:val="multilevel"/>
    <w:tmpl w:val="F6B66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DC5D56"/>
    <w:multiLevelType w:val="multilevel"/>
    <w:tmpl w:val="04B8648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4"/>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921451D"/>
    <w:multiLevelType w:val="hybridMultilevel"/>
    <w:tmpl w:val="676C0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0616CE"/>
    <w:multiLevelType w:val="multilevel"/>
    <w:tmpl w:val="11F678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6F4258"/>
    <w:multiLevelType w:val="multilevel"/>
    <w:tmpl w:val="D8B0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34063B"/>
    <w:multiLevelType w:val="hybridMultilevel"/>
    <w:tmpl w:val="81BEFBB4"/>
    <w:lvl w:ilvl="0" w:tplc="EE607576">
      <w:start w:val="1"/>
      <w:numFmt w:val="bullet"/>
      <w:lvlText w:val="•"/>
      <w:lvlJc w:val="left"/>
      <w:pPr>
        <w:tabs>
          <w:tab w:val="num" w:pos="720"/>
        </w:tabs>
        <w:ind w:left="720" w:hanging="360"/>
      </w:pPr>
      <w:rPr>
        <w:rFonts w:ascii="Arial" w:hAnsi="Arial" w:hint="default"/>
      </w:rPr>
    </w:lvl>
    <w:lvl w:ilvl="1" w:tplc="D1842B48" w:tentative="1">
      <w:start w:val="1"/>
      <w:numFmt w:val="bullet"/>
      <w:lvlText w:val="•"/>
      <w:lvlJc w:val="left"/>
      <w:pPr>
        <w:tabs>
          <w:tab w:val="num" w:pos="1440"/>
        </w:tabs>
        <w:ind w:left="1440" w:hanging="360"/>
      </w:pPr>
      <w:rPr>
        <w:rFonts w:ascii="Arial" w:hAnsi="Arial" w:hint="default"/>
      </w:rPr>
    </w:lvl>
    <w:lvl w:ilvl="2" w:tplc="E1BA25EA" w:tentative="1">
      <w:start w:val="1"/>
      <w:numFmt w:val="bullet"/>
      <w:lvlText w:val="•"/>
      <w:lvlJc w:val="left"/>
      <w:pPr>
        <w:tabs>
          <w:tab w:val="num" w:pos="2160"/>
        </w:tabs>
        <w:ind w:left="2160" w:hanging="360"/>
      </w:pPr>
      <w:rPr>
        <w:rFonts w:ascii="Arial" w:hAnsi="Arial" w:hint="default"/>
      </w:rPr>
    </w:lvl>
    <w:lvl w:ilvl="3" w:tplc="DC52DAA4" w:tentative="1">
      <w:start w:val="1"/>
      <w:numFmt w:val="bullet"/>
      <w:lvlText w:val="•"/>
      <w:lvlJc w:val="left"/>
      <w:pPr>
        <w:tabs>
          <w:tab w:val="num" w:pos="2880"/>
        </w:tabs>
        <w:ind w:left="2880" w:hanging="360"/>
      </w:pPr>
      <w:rPr>
        <w:rFonts w:ascii="Arial" w:hAnsi="Arial" w:hint="default"/>
      </w:rPr>
    </w:lvl>
    <w:lvl w:ilvl="4" w:tplc="529C8CC0" w:tentative="1">
      <w:start w:val="1"/>
      <w:numFmt w:val="bullet"/>
      <w:lvlText w:val="•"/>
      <w:lvlJc w:val="left"/>
      <w:pPr>
        <w:tabs>
          <w:tab w:val="num" w:pos="3600"/>
        </w:tabs>
        <w:ind w:left="3600" w:hanging="360"/>
      </w:pPr>
      <w:rPr>
        <w:rFonts w:ascii="Arial" w:hAnsi="Arial" w:hint="default"/>
      </w:rPr>
    </w:lvl>
    <w:lvl w:ilvl="5" w:tplc="2292887C" w:tentative="1">
      <w:start w:val="1"/>
      <w:numFmt w:val="bullet"/>
      <w:lvlText w:val="•"/>
      <w:lvlJc w:val="left"/>
      <w:pPr>
        <w:tabs>
          <w:tab w:val="num" w:pos="4320"/>
        </w:tabs>
        <w:ind w:left="4320" w:hanging="360"/>
      </w:pPr>
      <w:rPr>
        <w:rFonts w:ascii="Arial" w:hAnsi="Arial" w:hint="default"/>
      </w:rPr>
    </w:lvl>
    <w:lvl w:ilvl="6" w:tplc="966058B2" w:tentative="1">
      <w:start w:val="1"/>
      <w:numFmt w:val="bullet"/>
      <w:lvlText w:val="•"/>
      <w:lvlJc w:val="left"/>
      <w:pPr>
        <w:tabs>
          <w:tab w:val="num" w:pos="5040"/>
        </w:tabs>
        <w:ind w:left="5040" w:hanging="360"/>
      </w:pPr>
      <w:rPr>
        <w:rFonts w:ascii="Arial" w:hAnsi="Arial" w:hint="default"/>
      </w:rPr>
    </w:lvl>
    <w:lvl w:ilvl="7" w:tplc="0C16257E" w:tentative="1">
      <w:start w:val="1"/>
      <w:numFmt w:val="bullet"/>
      <w:lvlText w:val="•"/>
      <w:lvlJc w:val="left"/>
      <w:pPr>
        <w:tabs>
          <w:tab w:val="num" w:pos="5760"/>
        </w:tabs>
        <w:ind w:left="5760" w:hanging="360"/>
      </w:pPr>
      <w:rPr>
        <w:rFonts w:ascii="Arial" w:hAnsi="Arial" w:hint="default"/>
      </w:rPr>
    </w:lvl>
    <w:lvl w:ilvl="8" w:tplc="CFB281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027C5D"/>
    <w:multiLevelType w:val="multilevel"/>
    <w:tmpl w:val="B5982E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D094865"/>
    <w:multiLevelType w:val="multilevel"/>
    <w:tmpl w:val="ABE85114"/>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4"/>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6E075527"/>
    <w:multiLevelType w:val="multilevel"/>
    <w:tmpl w:val="15B422D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4"/>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6F0601BF"/>
    <w:multiLevelType w:val="multilevel"/>
    <w:tmpl w:val="6FF6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515BB3"/>
    <w:multiLevelType w:val="multilevel"/>
    <w:tmpl w:val="76808C9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4"/>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394864112">
    <w:abstractNumId w:val="6"/>
  </w:num>
  <w:num w:numId="2" w16cid:durableId="1973709806">
    <w:abstractNumId w:val="3"/>
  </w:num>
  <w:num w:numId="3" w16cid:durableId="2122871847">
    <w:abstractNumId w:val="9"/>
  </w:num>
  <w:num w:numId="4" w16cid:durableId="1564874332">
    <w:abstractNumId w:val="8"/>
  </w:num>
  <w:num w:numId="5" w16cid:durableId="776219525">
    <w:abstractNumId w:val="4"/>
  </w:num>
  <w:num w:numId="6" w16cid:durableId="1154687487">
    <w:abstractNumId w:val="10"/>
  </w:num>
  <w:num w:numId="7" w16cid:durableId="97142703">
    <w:abstractNumId w:val="1"/>
  </w:num>
  <w:num w:numId="8" w16cid:durableId="1680082039">
    <w:abstractNumId w:val="0"/>
  </w:num>
  <w:num w:numId="9" w16cid:durableId="302849643">
    <w:abstractNumId w:val="5"/>
  </w:num>
  <w:num w:numId="10" w16cid:durableId="269826612">
    <w:abstractNumId w:val="2"/>
  </w:num>
  <w:num w:numId="11" w16cid:durableId="34887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11"/>
    <w:rsid w:val="00067C8C"/>
    <w:rsid w:val="000F6E11"/>
    <w:rsid w:val="002869FB"/>
    <w:rsid w:val="00314EC1"/>
    <w:rsid w:val="003B4638"/>
    <w:rsid w:val="00805489"/>
    <w:rsid w:val="00D7332B"/>
    <w:rsid w:val="00E14FC7"/>
    <w:rsid w:val="00E713FF"/>
    <w:rsid w:val="00F7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76260"/>
  <w15:docId w15:val="{AED144FB-A0F6-C147-B2D4-C59A51AB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72564"/>
    <w:rPr>
      <w:color w:val="0000FF" w:themeColor="hyperlink"/>
      <w:u w:val="single"/>
    </w:rPr>
  </w:style>
  <w:style w:type="character" w:styleId="UnresolvedMention">
    <w:name w:val="Unresolved Mention"/>
    <w:basedOn w:val="DefaultParagraphFont"/>
    <w:uiPriority w:val="99"/>
    <w:semiHidden/>
    <w:unhideWhenUsed/>
    <w:rsid w:val="00F72564"/>
    <w:rPr>
      <w:color w:val="605E5C"/>
      <w:shd w:val="clear" w:color="auto" w:fill="E1DFDD"/>
    </w:rPr>
  </w:style>
  <w:style w:type="paragraph" w:styleId="ListParagraph">
    <w:name w:val="List Paragraph"/>
    <w:basedOn w:val="Normal"/>
    <w:uiPriority w:val="34"/>
    <w:qFormat/>
    <w:rsid w:val="002869FB"/>
    <w:pPr>
      <w:ind w:left="720"/>
      <w:contextualSpacing/>
    </w:pPr>
  </w:style>
  <w:style w:type="paragraph" w:styleId="Footer">
    <w:name w:val="footer"/>
    <w:basedOn w:val="Normal"/>
    <w:link w:val="FooterChar"/>
    <w:uiPriority w:val="99"/>
    <w:unhideWhenUsed/>
    <w:rsid w:val="002869FB"/>
    <w:pPr>
      <w:tabs>
        <w:tab w:val="center" w:pos="4680"/>
        <w:tab w:val="right" w:pos="9360"/>
      </w:tabs>
    </w:pPr>
  </w:style>
  <w:style w:type="character" w:customStyle="1" w:styleId="FooterChar">
    <w:name w:val="Footer Char"/>
    <w:basedOn w:val="DefaultParagraphFont"/>
    <w:link w:val="Footer"/>
    <w:uiPriority w:val="99"/>
    <w:rsid w:val="002869FB"/>
  </w:style>
  <w:style w:type="character" w:styleId="PageNumber">
    <w:name w:val="page number"/>
    <w:basedOn w:val="DefaultParagraphFont"/>
    <w:uiPriority w:val="99"/>
    <w:semiHidden/>
    <w:unhideWhenUsed/>
    <w:rsid w:val="002869FB"/>
  </w:style>
  <w:style w:type="paragraph" w:styleId="Header">
    <w:name w:val="header"/>
    <w:basedOn w:val="Normal"/>
    <w:link w:val="HeaderChar"/>
    <w:uiPriority w:val="99"/>
    <w:unhideWhenUsed/>
    <w:rsid w:val="002869FB"/>
    <w:pPr>
      <w:tabs>
        <w:tab w:val="center" w:pos="4680"/>
        <w:tab w:val="right" w:pos="9360"/>
      </w:tabs>
    </w:pPr>
  </w:style>
  <w:style w:type="character" w:customStyle="1" w:styleId="HeaderChar">
    <w:name w:val="Header Char"/>
    <w:basedOn w:val="DefaultParagraphFont"/>
    <w:link w:val="Header"/>
    <w:uiPriority w:val="99"/>
    <w:rsid w:val="00286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778">
      <w:bodyDiv w:val="1"/>
      <w:marLeft w:val="0"/>
      <w:marRight w:val="0"/>
      <w:marTop w:val="0"/>
      <w:marBottom w:val="0"/>
      <w:divBdr>
        <w:top w:val="none" w:sz="0" w:space="0" w:color="auto"/>
        <w:left w:val="none" w:sz="0" w:space="0" w:color="auto"/>
        <w:bottom w:val="none" w:sz="0" w:space="0" w:color="auto"/>
        <w:right w:val="none" w:sz="0" w:space="0" w:color="auto"/>
      </w:divBdr>
    </w:div>
    <w:div w:id="325280719">
      <w:bodyDiv w:val="1"/>
      <w:marLeft w:val="0"/>
      <w:marRight w:val="0"/>
      <w:marTop w:val="0"/>
      <w:marBottom w:val="0"/>
      <w:divBdr>
        <w:top w:val="none" w:sz="0" w:space="0" w:color="auto"/>
        <w:left w:val="none" w:sz="0" w:space="0" w:color="auto"/>
        <w:bottom w:val="none" w:sz="0" w:space="0" w:color="auto"/>
        <w:right w:val="none" w:sz="0" w:space="0" w:color="auto"/>
      </w:divBdr>
    </w:div>
    <w:div w:id="347098176">
      <w:bodyDiv w:val="1"/>
      <w:marLeft w:val="0"/>
      <w:marRight w:val="0"/>
      <w:marTop w:val="0"/>
      <w:marBottom w:val="0"/>
      <w:divBdr>
        <w:top w:val="none" w:sz="0" w:space="0" w:color="auto"/>
        <w:left w:val="none" w:sz="0" w:space="0" w:color="auto"/>
        <w:bottom w:val="none" w:sz="0" w:space="0" w:color="auto"/>
        <w:right w:val="none" w:sz="0" w:space="0" w:color="auto"/>
      </w:divBdr>
    </w:div>
    <w:div w:id="364907228">
      <w:bodyDiv w:val="1"/>
      <w:marLeft w:val="0"/>
      <w:marRight w:val="0"/>
      <w:marTop w:val="0"/>
      <w:marBottom w:val="0"/>
      <w:divBdr>
        <w:top w:val="none" w:sz="0" w:space="0" w:color="auto"/>
        <w:left w:val="none" w:sz="0" w:space="0" w:color="auto"/>
        <w:bottom w:val="none" w:sz="0" w:space="0" w:color="auto"/>
        <w:right w:val="none" w:sz="0" w:space="0" w:color="auto"/>
      </w:divBdr>
    </w:div>
    <w:div w:id="1039086350">
      <w:bodyDiv w:val="1"/>
      <w:marLeft w:val="0"/>
      <w:marRight w:val="0"/>
      <w:marTop w:val="0"/>
      <w:marBottom w:val="0"/>
      <w:divBdr>
        <w:top w:val="none" w:sz="0" w:space="0" w:color="auto"/>
        <w:left w:val="none" w:sz="0" w:space="0" w:color="auto"/>
        <w:bottom w:val="none" w:sz="0" w:space="0" w:color="auto"/>
        <w:right w:val="none" w:sz="0" w:space="0" w:color="auto"/>
      </w:divBdr>
      <w:divsChild>
        <w:div w:id="1830515556">
          <w:marLeft w:val="446"/>
          <w:marRight w:val="0"/>
          <w:marTop w:val="100"/>
          <w:marBottom w:val="120"/>
          <w:divBdr>
            <w:top w:val="none" w:sz="0" w:space="0" w:color="auto"/>
            <w:left w:val="none" w:sz="0" w:space="0" w:color="auto"/>
            <w:bottom w:val="none" w:sz="0" w:space="0" w:color="auto"/>
            <w:right w:val="none" w:sz="0" w:space="0" w:color="auto"/>
          </w:divBdr>
        </w:div>
        <w:div w:id="1070080073">
          <w:marLeft w:val="446"/>
          <w:marRight w:val="0"/>
          <w:marTop w:val="100"/>
          <w:marBottom w:val="120"/>
          <w:divBdr>
            <w:top w:val="none" w:sz="0" w:space="0" w:color="auto"/>
            <w:left w:val="none" w:sz="0" w:space="0" w:color="auto"/>
            <w:bottom w:val="none" w:sz="0" w:space="0" w:color="auto"/>
            <w:right w:val="none" w:sz="0" w:space="0" w:color="auto"/>
          </w:divBdr>
        </w:div>
        <w:div w:id="452484989">
          <w:marLeft w:val="446"/>
          <w:marRight w:val="0"/>
          <w:marTop w:val="100"/>
          <w:marBottom w:val="120"/>
          <w:divBdr>
            <w:top w:val="none" w:sz="0" w:space="0" w:color="auto"/>
            <w:left w:val="none" w:sz="0" w:space="0" w:color="auto"/>
            <w:bottom w:val="none" w:sz="0" w:space="0" w:color="auto"/>
            <w:right w:val="none" w:sz="0" w:space="0" w:color="auto"/>
          </w:divBdr>
        </w:div>
        <w:div w:id="719523466">
          <w:marLeft w:val="446"/>
          <w:marRight w:val="0"/>
          <w:marTop w:val="10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tsunamiready.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sunami.ioc.unesco.org/en/tsunami-read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sunamireadyviewer.ioc-tsunam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2950</Words>
  <Characters>16820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Fromont [NEMA]</dc:creator>
  <cp:lastModifiedBy>Ashleigh Fromont [NEMA]</cp:lastModifiedBy>
  <cp:revision>2</cp:revision>
  <cp:lastPrinted>2025-04-05T15:21:00Z</cp:lastPrinted>
  <dcterms:created xsi:type="dcterms:W3CDTF">2025-04-07T00:48:00Z</dcterms:created>
  <dcterms:modified xsi:type="dcterms:W3CDTF">2025-04-07T00:48:00Z</dcterms:modified>
</cp:coreProperties>
</file>