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D58C" w14:textId="2DD9F3EF" w:rsidR="00434254" w:rsidRPr="00ED6189" w:rsidRDefault="00434254" w:rsidP="00434254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  <w:tab w:val="left" w:pos="9000"/>
        </w:tabs>
        <w:ind w:right="-108"/>
        <w:rPr>
          <w:rFonts w:ascii="Times New Roman" w:eastAsia="Calibri" w:hAnsi="Times New Roman" w:cs="Times New Roman"/>
          <w:b/>
          <w:lang w:val="en-US"/>
        </w:rPr>
      </w:pPr>
      <w:bookmarkStart w:id="0" w:name="_Toc336535022"/>
      <w:r w:rsidRPr="00ED6189">
        <w:rPr>
          <w:rFonts w:ascii="Times New Roman" w:eastAsia="Calibri" w:hAnsi="Times New Roman" w:cs="Times New Roman"/>
          <w:b/>
          <w:lang w:val="en-US"/>
        </w:rPr>
        <w:t>Restricted distribution</w:t>
      </w:r>
      <w:r w:rsidRPr="00ED6189">
        <w:rPr>
          <w:rFonts w:ascii="Times New Roman" w:eastAsia="Calibri" w:hAnsi="Times New Roman" w:cs="Times New Roman"/>
          <w:b/>
          <w:lang w:val="en-US"/>
        </w:rPr>
        <w:tab/>
      </w:r>
      <w:r w:rsidRPr="00ED6189">
        <w:rPr>
          <w:rFonts w:ascii="Times New Roman" w:eastAsia="Calibri" w:hAnsi="Times New Roman" w:cs="Times New Roman"/>
          <w:b/>
          <w:lang w:val="en-US"/>
        </w:rPr>
        <w:tab/>
      </w:r>
      <w:r w:rsidRPr="00ED6189">
        <w:rPr>
          <w:rFonts w:ascii="Times New Roman" w:eastAsia="Calibri" w:hAnsi="Times New Roman" w:cs="Times New Roman"/>
          <w:b/>
          <w:lang w:val="en-US"/>
        </w:rPr>
        <w:tab/>
      </w:r>
      <w:r w:rsidRPr="00ED6189">
        <w:rPr>
          <w:rFonts w:ascii="Times New Roman" w:eastAsia="Calibri" w:hAnsi="Times New Roman" w:cs="Times New Roman"/>
          <w:b/>
          <w:lang w:val="en-US"/>
        </w:rPr>
        <w:tab/>
      </w:r>
      <w:r>
        <w:rPr>
          <w:rFonts w:ascii="Times New Roman" w:eastAsia="Calibri" w:hAnsi="Times New Roman" w:cs="Times New Roman"/>
          <w:b/>
          <w:lang w:val="en-US"/>
        </w:rPr>
        <w:t xml:space="preserve">   </w:t>
      </w:r>
      <w:r w:rsidRPr="00ED6189">
        <w:rPr>
          <w:rFonts w:ascii="Times New Roman" w:eastAsia="Calibri" w:hAnsi="Times New Roman" w:cs="Times New Roman"/>
          <w:b/>
          <w:lang w:val="en-US"/>
        </w:rPr>
        <w:tab/>
        <w:t xml:space="preserve">       </w:t>
      </w:r>
      <w:r>
        <w:rPr>
          <w:rFonts w:ascii="Times New Roman" w:eastAsia="Calibri" w:hAnsi="Times New Roman" w:cs="Times New Roman"/>
          <w:b/>
          <w:lang w:val="en-US"/>
        </w:rPr>
        <w:t xml:space="preserve">  </w:t>
      </w:r>
      <w:r w:rsidRPr="00ED6189">
        <w:rPr>
          <w:rFonts w:ascii="Times New Roman" w:eastAsia="Calibri" w:hAnsi="Times New Roman" w:cs="Times New Roman"/>
          <w:b/>
          <w:lang w:val="en-US"/>
        </w:rPr>
        <w:t xml:space="preserve"> IOC-FAO/IPHAB</w:t>
      </w:r>
      <w:r>
        <w:rPr>
          <w:rFonts w:ascii="Times New Roman" w:eastAsia="Calibri" w:hAnsi="Times New Roman" w:cs="Times New Roman"/>
          <w:b/>
          <w:lang w:val="en-US"/>
        </w:rPr>
        <w:t>-</w:t>
      </w:r>
      <w:r w:rsidRPr="00ED6189">
        <w:rPr>
          <w:rFonts w:ascii="Times New Roman" w:eastAsia="Calibri" w:hAnsi="Times New Roman" w:cs="Times New Roman"/>
          <w:b/>
          <w:lang w:val="en-US"/>
        </w:rPr>
        <w:t>XV</w:t>
      </w:r>
      <w:r w:rsidR="008846F8">
        <w:rPr>
          <w:rFonts w:ascii="Times New Roman" w:eastAsia="Calibri" w:hAnsi="Times New Roman" w:cs="Times New Roman"/>
          <w:b/>
          <w:lang w:val="en-US"/>
        </w:rPr>
        <w:t>I</w:t>
      </w:r>
      <w:r w:rsidRPr="00ED6189">
        <w:rPr>
          <w:rFonts w:ascii="Times New Roman" w:eastAsia="Calibri" w:hAnsi="Times New Roman" w:cs="Times New Roman"/>
          <w:b/>
          <w:lang w:val="en-US"/>
        </w:rPr>
        <w:t>I/Inf.</w:t>
      </w:r>
      <w:r w:rsidR="004F5E83">
        <w:rPr>
          <w:rFonts w:ascii="Times New Roman" w:eastAsia="Calibri" w:hAnsi="Times New Roman" w:cs="Times New Roman"/>
          <w:b/>
          <w:lang w:val="en-US"/>
        </w:rPr>
        <w:t>1</w:t>
      </w:r>
      <w:r>
        <w:rPr>
          <w:rFonts w:ascii="Times New Roman" w:eastAsia="Calibri" w:hAnsi="Times New Roman" w:cs="Times New Roman"/>
          <w:b/>
          <w:lang w:val="en-US"/>
        </w:rPr>
        <w:t>3</w:t>
      </w:r>
    </w:p>
    <w:p w14:paraId="59AF2A15" w14:textId="3F51B899" w:rsidR="00434254" w:rsidRPr="00ED6189" w:rsidRDefault="00434254" w:rsidP="00434254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  <w:tab w:val="left" w:pos="9000"/>
        </w:tabs>
        <w:spacing w:after="160" w:line="259" w:lineRule="auto"/>
        <w:ind w:right="-108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ED6189">
        <w:rPr>
          <w:rFonts w:ascii="Times New Roman" w:eastAsia="Calibri" w:hAnsi="Times New Roman" w:cs="Times New Roman"/>
          <w:b/>
          <w:lang w:val="en-US"/>
        </w:rPr>
        <w:tab/>
      </w:r>
      <w:r w:rsidRPr="00ED6189">
        <w:rPr>
          <w:rFonts w:ascii="Times New Roman" w:eastAsia="Calibri" w:hAnsi="Times New Roman" w:cs="Times New Roman"/>
          <w:b/>
          <w:lang w:val="en-US"/>
        </w:rPr>
        <w:tab/>
      </w:r>
      <w:r w:rsidRPr="00ED6189">
        <w:rPr>
          <w:rFonts w:ascii="Times New Roman" w:eastAsia="Calibri" w:hAnsi="Times New Roman" w:cs="Times New Roman"/>
          <w:b/>
          <w:lang w:val="en-US"/>
        </w:rPr>
        <w:tab/>
      </w:r>
      <w:r w:rsidRPr="00ED6189">
        <w:rPr>
          <w:rFonts w:ascii="Times New Roman" w:eastAsia="Calibri" w:hAnsi="Times New Roman" w:cs="Times New Roman"/>
          <w:b/>
          <w:lang w:val="en-US"/>
        </w:rPr>
        <w:tab/>
        <w:t xml:space="preserve">                    </w:t>
      </w:r>
      <w:r w:rsidRPr="00ED6189">
        <w:rPr>
          <w:rFonts w:ascii="Times New Roman" w:eastAsia="Calibri" w:hAnsi="Times New Roman" w:cs="Times New Roman"/>
          <w:b/>
          <w:lang w:val="en-US"/>
        </w:rPr>
        <w:tab/>
        <w:t xml:space="preserve"> </w:t>
      </w:r>
      <w:r w:rsidRPr="00ED618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Paris, </w:t>
      </w:r>
      <w:r w:rsidR="009F778A">
        <w:rPr>
          <w:rFonts w:ascii="Times New Roman" w:eastAsia="Calibri" w:hAnsi="Times New Roman" w:cs="Times New Roman"/>
          <w:sz w:val="20"/>
          <w:szCs w:val="20"/>
          <w:lang w:val="en-US"/>
        </w:rPr>
        <w:t>4</w:t>
      </w:r>
      <w:r w:rsidRPr="00ED618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March </w:t>
      </w:r>
      <w:r w:rsidR="009F778A">
        <w:rPr>
          <w:rFonts w:ascii="Times New Roman" w:eastAsia="Calibri" w:hAnsi="Times New Roman" w:cs="Times New Roman"/>
          <w:sz w:val="20"/>
          <w:szCs w:val="20"/>
          <w:lang w:val="en-US"/>
        </w:rPr>
        <w:t>2025</w:t>
      </w:r>
    </w:p>
    <w:p w14:paraId="2FEE59BF" w14:textId="77777777" w:rsidR="00434254" w:rsidRPr="00ED6189" w:rsidRDefault="00434254" w:rsidP="00434254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  <w:tab w:val="left" w:pos="9000"/>
        </w:tabs>
        <w:spacing w:after="160" w:line="259" w:lineRule="auto"/>
        <w:ind w:right="-108"/>
        <w:jc w:val="right"/>
        <w:rPr>
          <w:rFonts w:ascii="Times New Roman" w:eastAsia="Calibri" w:hAnsi="Times New Roman" w:cs="Times New Roman"/>
          <w:lang w:val="en-US"/>
        </w:rPr>
      </w:pPr>
      <w:r w:rsidRPr="00ED618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English only </w:t>
      </w:r>
    </w:p>
    <w:p w14:paraId="65F5C05D" w14:textId="77777777" w:rsidR="00434254" w:rsidRPr="00ED6189" w:rsidRDefault="00434254" w:rsidP="00434254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rPr>
          <w:rFonts w:ascii="Times New Roman" w:eastAsia="Calibri" w:hAnsi="Times New Roman" w:cs="Times New Roman"/>
          <w:lang w:val="en-US"/>
        </w:rPr>
      </w:pPr>
    </w:p>
    <w:p w14:paraId="1FE190AB" w14:textId="77777777" w:rsidR="00434254" w:rsidRPr="00ED6189" w:rsidRDefault="00434254" w:rsidP="00434254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rPr>
          <w:rFonts w:ascii="Times New Roman" w:eastAsia="Calibri" w:hAnsi="Times New Roman" w:cs="Times New Roman"/>
          <w:lang w:val="en-US"/>
        </w:rPr>
      </w:pPr>
    </w:p>
    <w:p w14:paraId="2B77C4A4" w14:textId="77777777" w:rsidR="00434254" w:rsidRPr="00ED6189" w:rsidRDefault="00434254" w:rsidP="00434254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rPr>
          <w:rFonts w:ascii="Times New Roman" w:eastAsia="Calibri" w:hAnsi="Times New Roman" w:cs="Times New Roman"/>
          <w:lang w:val="en-US"/>
        </w:rPr>
      </w:pPr>
    </w:p>
    <w:p w14:paraId="2CBF9D39" w14:textId="347F5F5B" w:rsidR="00434254" w:rsidRPr="00ED6189" w:rsidRDefault="00434254" w:rsidP="00434254">
      <w:pPr>
        <w:tabs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ED6189">
        <w:rPr>
          <w:rFonts w:ascii="Times New Roman" w:eastAsia="Calibri" w:hAnsi="Times New Roman" w:cs="Times New Roman"/>
          <w:b/>
          <w:sz w:val="32"/>
          <w:szCs w:val="32"/>
          <w:lang w:val="en-US"/>
        </w:rPr>
        <w:t>S</w:t>
      </w:r>
      <w:r w:rsidR="004F5E83">
        <w:rPr>
          <w:rFonts w:ascii="Times New Roman" w:eastAsia="Calibri" w:hAnsi="Times New Roman" w:cs="Times New Roman"/>
          <w:b/>
          <w:sz w:val="32"/>
          <w:szCs w:val="32"/>
          <w:lang w:val="en-US"/>
        </w:rPr>
        <w:t>eventeenth</w:t>
      </w:r>
      <w:r w:rsidRPr="00ED6189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Session of the IOC-FAO Intergovernmental Panel</w:t>
      </w:r>
    </w:p>
    <w:p w14:paraId="4DFF5EC9" w14:textId="77777777" w:rsidR="00434254" w:rsidRPr="00ED6189" w:rsidRDefault="00434254" w:rsidP="00434254">
      <w:pPr>
        <w:tabs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ED6189">
        <w:rPr>
          <w:rFonts w:ascii="Times New Roman" w:eastAsia="Calibri" w:hAnsi="Times New Roman" w:cs="Times New Roman"/>
          <w:b/>
          <w:sz w:val="32"/>
          <w:szCs w:val="32"/>
          <w:lang w:val="en-US"/>
        </w:rPr>
        <w:t>on Harmful Algal Blooms</w:t>
      </w:r>
    </w:p>
    <w:p w14:paraId="58E41F02" w14:textId="3AFF7C0F" w:rsidR="00434254" w:rsidRPr="00ED6189" w:rsidRDefault="00BA6D85" w:rsidP="00434254">
      <w:pPr>
        <w:tabs>
          <w:tab w:val="left" w:pos="710"/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jc w:val="center"/>
        <w:outlineLvl w:val="0"/>
        <w:rPr>
          <w:rFonts w:ascii="Times New Roman" w:eastAsia="Calibri" w:hAnsi="Times New Roman" w:cs="Times New Roman"/>
          <w:szCs w:val="24"/>
          <w:lang w:val="en-US"/>
        </w:rPr>
      </w:pPr>
      <w:r>
        <w:rPr>
          <w:rFonts w:ascii="Times New Roman" w:eastAsia="Calibri" w:hAnsi="Times New Roman" w:cs="Times New Roman"/>
          <w:szCs w:val="24"/>
          <w:lang w:val="en-US"/>
        </w:rPr>
        <w:t>Paris</w:t>
      </w:r>
      <w:r w:rsidR="00434254" w:rsidRPr="00ED6189">
        <w:rPr>
          <w:rFonts w:ascii="Times New Roman" w:eastAsia="Calibri" w:hAnsi="Times New Roman" w:cs="Times New Roman"/>
          <w:szCs w:val="24"/>
          <w:lang w:val="en-US"/>
        </w:rPr>
        <w:t xml:space="preserve">, </w:t>
      </w:r>
      <w:r>
        <w:rPr>
          <w:rFonts w:ascii="Times New Roman" w:eastAsia="Calibri" w:hAnsi="Times New Roman" w:cs="Times New Roman"/>
          <w:szCs w:val="24"/>
          <w:lang w:val="en-US"/>
        </w:rPr>
        <w:t>18</w:t>
      </w:r>
      <w:r w:rsidR="00434254" w:rsidRPr="00ED6189">
        <w:rPr>
          <w:rFonts w:ascii="Times New Roman" w:eastAsia="Calibri" w:hAnsi="Times New Roman" w:cs="Times New Roman"/>
          <w:szCs w:val="24"/>
          <w:lang w:val="en-US"/>
        </w:rPr>
        <w:t>-</w:t>
      </w:r>
      <w:r>
        <w:rPr>
          <w:rFonts w:ascii="Times New Roman" w:eastAsia="Calibri" w:hAnsi="Times New Roman" w:cs="Times New Roman"/>
          <w:szCs w:val="24"/>
          <w:lang w:val="en-US"/>
        </w:rPr>
        <w:t>20</w:t>
      </w:r>
      <w:r w:rsidR="00434254" w:rsidRPr="00ED6189">
        <w:rPr>
          <w:rFonts w:ascii="Times New Roman" w:eastAsia="Calibri" w:hAnsi="Times New Roman" w:cs="Times New Roman"/>
          <w:szCs w:val="24"/>
          <w:lang w:val="en-US"/>
        </w:rPr>
        <w:t xml:space="preserve"> March </w:t>
      </w:r>
      <w:r>
        <w:rPr>
          <w:rFonts w:ascii="Times New Roman" w:eastAsia="Calibri" w:hAnsi="Times New Roman" w:cs="Times New Roman"/>
          <w:szCs w:val="24"/>
          <w:lang w:val="en-US"/>
        </w:rPr>
        <w:t>2025</w:t>
      </w:r>
    </w:p>
    <w:p w14:paraId="42866F56" w14:textId="77777777" w:rsidR="00434254" w:rsidRPr="00ED6189" w:rsidRDefault="00434254" w:rsidP="00434254">
      <w:pPr>
        <w:tabs>
          <w:tab w:val="left" w:pos="710"/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jc w:val="center"/>
        <w:outlineLvl w:val="0"/>
        <w:rPr>
          <w:rFonts w:ascii="Times New Roman" w:eastAsia="Calibri" w:hAnsi="Times New Roman" w:cs="Times New Roman"/>
          <w:szCs w:val="24"/>
          <w:lang w:val="en-US"/>
        </w:rPr>
      </w:pPr>
    </w:p>
    <w:p w14:paraId="3A6A0764" w14:textId="29ECEF56" w:rsidR="00434254" w:rsidRPr="00ED6189" w:rsidRDefault="00434254" w:rsidP="00434254">
      <w:pPr>
        <w:tabs>
          <w:tab w:val="left" w:pos="710"/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outlineLvl w:val="0"/>
        <w:rPr>
          <w:rFonts w:ascii="Times New Roman" w:eastAsia="Calibri" w:hAnsi="Times New Roman" w:cs="Times New Roman"/>
          <w:szCs w:val="24"/>
          <w:u w:val="single"/>
          <w:lang w:val="en-US"/>
        </w:rPr>
      </w:pPr>
      <w:r w:rsidRPr="00ED6189">
        <w:rPr>
          <w:rFonts w:ascii="Times New Roman" w:eastAsia="Calibri" w:hAnsi="Times New Roman" w:cs="Times New Roman"/>
          <w:szCs w:val="24"/>
          <w:u w:val="single"/>
          <w:lang w:val="en-US"/>
        </w:rPr>
        <w:t>Item 4.</w:t>
      </w:r>
      <w:r w:rsidR="00E96878">
        <w:rPr>
          <w:rFonts w:ascii="Times New Roman" w:eastAsia="Calibri" w:hAnsi="Times New Roman" w:cs="Times New Roman"/>
          <w:szCs w:val="24"/>
          <w:u w:val="single"/>
          <w:lang w:val="en-US"/>
        </w:rPr>
        <w:t>4</w:t>
      </w:r>
      <w:r w:rsidRPr="00ED6189">
        <w:rPr>
          <w:rFonts w:ascii="Times New Roman" w:eastAsia="Calibri" w:hAnsi="Times New Roman" w:cs="Times New Roman"/>
          <w:szCs w:val="24"/>
          <w:u w:val="single"/>
          <w:lang w:val="en-US"/>
        </w:rPr>
        <w:t>.</w:t>
      </w:r>
      <w:r>
        <w:rPr>
          <w:rFonts w:ascii="Times New Roman" w:eastAsia="Calibri" w:hAnsi="Times New Roman" w:cs="Times New Roman"/>
          <w:szCs w:val="24"/>
          <w:u w:val="single"/>
          <w:lang w:val="en-US"/>
        </w:rPr>
        <w:t xml:space="preserve">6 </w:t>
      </w:r>
      <w:r w:rsidRPr="00ED6189">
        <w:rPr>
          <w:rFonts w:ascii="Times New Roman" w:eastAsia="Calibri" w:hAnsi="Times New Roman" w:cs="Times New Roman"/>
          <w:szCs w:val="24"/>
          <w:u w:val="single"/>
          <w:lang w:val="en-US"/>
        </w:rPr>
        <w:t xml:space="preserve">of the Provisional Agenda </w:t>
      </w:r>
    </w:p>
    <w:p w14:paraId="10AA564E" w14:textId="77777777" w:rsidR="00434254" w:rsidRPr="00ED6189" w:rsidRDefault="00434254" w:rsidP="00434254">
      <w:pPr>
        <w:tabs>
          <w:tab w:val="left" w:pos="710"/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outlineLvl w:val="0"/>
        <w:rPr>
          <w:rFonts w:ascii="Times New Roman" w:eastAsia="Calibri" w:hAnsi="Times New Roman" w:cs="Times New Roman"/>
          <w:sz w:val="20"/>
          <w:u w:val="single"/>
          <w:lang w:val="en-US"/>
        </w:rPr>
      </w:pPr>
    </w:p>
    <w:p w14:paraId="71BDB30B" w14:textId="77777777" w:rsidR="00434254" w:rsidRPr="00ED6189" w:rsidRDefault="00434254" w:rsidP="00434254">
      <w:pPr>
        <w:tabs>
          <w:tab w:val="left" w:pos="710"/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outlineLvl w:val="0"/>
        <w:rPr>
          <w:rFonts w:ascii="Times New Roman" w:eastAsia="Calibri" w:hAnsi="Times New Roman" w:cs="Times New Roman"/>
          <w:sz w:val="20"/>
          <w:u w:val="single"/>
          <w:lang w:val="en-US"/>
        </w:rPr>
      </w:pPr>
    </w:p>
    <w:p w14:paraId="158A9C7E" w14:textId="77777777" w:rsidR="00434254" w:rsidRPr="00ED6189" w:rsidRDefault="00434254" w:rsidP="00434254">
      <w:pPr>
        <w:tabs>
          <w:tab w:val="left" w:pos="710"/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outlineLvl w:val="0"/>
        <w:rPr>
          <w:rFonts w:ascii="Times New Roman" w:eastAsia="Calibri" w:hAnsi="Times New Roman" w:cs="Times New Roman"/>
          <w:sz w:val="20"/>
          <w:u w:val="single"/>
          <w:lang w:val="en-US"/>
        </w:rPr>
      </w:pPr>
    </w:p>
    <w:p w14:paraId="01A24C0B" w14:textId="77777777" w:rsidR="00434254" w:rsidRPr="00ED6189" w:rsidRDefault="00434254" w:rsidP="00434254">
      <w:pPr>
        <w:tabs>
          <w:tab w:val="left" w:pos="710"/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outlineLvl w:val="0"/>
        <w:rPr>
          <w:rFonts w:ascii="Times New Roman" w:eastAsia="Calibri" w:hAnsi="Times New Roman" w:cs="Times New Roman"/>
          <w:sz w:val="20"/>
          <w:u w:val="single"/>
          <w:lang w:val="en-US"/>
        </w:rPr>
      </w:pPr>
    </w:p>
    <w:p w14:paraId="4A4BF34C" w14:textId="77777777" w:rsidR="00434254" w:rsidRPr="00ED6189" w:rsidRDefault="00434254" w:rsidP="0043425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D618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REPORT OF THE IPHAB TASK TEAM ON </w:t>
      </w:r>
      <w:r w:rsidRPr="00FA470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ALGAL TAXONOMY</w:t>
      </w:r>
    </w:p>
    <w:p w14:paraId="5EC19861" w14:textId="77777777" w:rsidR="00434254" w:rsidRPr="00ED6189" w:rsidRDefault="00434254" w:rsidP="00434254">
      <w:pPr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D3A5B46" w14:textId="43FFAA83" w:rsidR="00434254" w:rsidRDefault="00434254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FCC7322" w14:textId="77C89193" w:rsidR="00434254" w:rsidRDefault="00434254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 w:type="page"/>
      </w:r>
    </w:p>
    <w:p w14:paraId="63871C0D" w14:textId="37154355" w:rsidR="00F85419" w:rsidRPr="00EB2CB3" w:rsidRDefault="00F85419" w:rsidP="00F85419">
      <w:pPr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B2C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The report is structured accordi</w:t>
      </w:r>
      <w:r w:rsidR="0035512E" w:rsidRPr="00EB2C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ng to the decision</w:t>
      </w:r>
      <w:r w:rsidR="00C70DEC" w:rsidRPr="00EB2C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="0035512E" w:rsidRPr="00EB2C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taken in 2024</w:t>
      </w:r>
      <w:r w:rsidRPr="00EB2C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reproduced below:</w:t>
      </w:r>
    </w:p>
    <w:p w14:paraId="514BF976" w14:textId="77777777" w:rsidR="00F85419" w:rsidRPr="00EB2CB3" w:rsidRDefault="00F85419" w:rsidP="00F85419">
      <w:pPr>
        <w:jc w:val="both"/>
        <w:rPr>
          <w:rFonts w:ascii="Times New Roman" w:hAnsi="Times New Roman" w:cs="Times New Roman"/>
          <w:b/>
          <w:color w:val="808080"/>
          <w:sz w:val="24"/>
          <w:szCs w:val="24"/>
          <w:lang w:val="en-US"/>
        </w:rPr>
      </w:pPr>
    </w:p>
    <w:p w14:paraId="6AADFC6E" w14:textId="4823F3CD" w:rsidR="00F85419" w:rsidRPr="00EB2CB3" w:rsidRDefault="00F85419" w:rsidP="00F8541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B2CB3">
        <w:rPr>
          <w:rFonts w:ascii="Times New Roman" w:hAnsi="Times New Roman" w:cs="Times New Roman"/>
          <w:sz w:val="24"/>
          <w:szCs w:val="24"/>
          <w:lang w:val="en-US"/>
        </w:rPr>
        <w:t>W</w:t>
      </w:r>
      <w:proofErr w:type="spellStart"/>
      <w:r w:rsidRPr="00EB2CB3">
        <w:rPr>
          <w:rFonts w:ascii="Times New Roman" w:hAnsi="Times New Roman" w:cs="Times New Roman"/>
          <w:sz w:val="24"/>
          <w:szCs w:val="24"/>
          <w:lang w:val="en-GB"/>
        </w:rPr>
        <w:t>ith</w:t>
      </w:r>
      <w:proofErr w:type="spellEnd"/>
      <w:r w:rsidRPr="00EB2CB3">
        <w:rPr>
          <w:rFonts w:ascii="Times New Roman" w:hAnsi="Times New Roman" w:cs="Times New Roman"/>
          <w:sz w:val="24"/>
          <w:szCs w:val="24"/>
          <w:lang w:val="en-GB"/>
        </w:rPr>
        <w:t xml:space="preserve"> reference to following terms of reference:</w:t>
      </w:r>
    </w:p>
    <w:p w14:paraId="264CE6A7" w14:textId="77777777" w:rsidR="008517C0" w:rsidRPr="00EB2CB3" w:rsidRDefault="008517C0" w:rsidP="00F8541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FB9FCA0" w14:textId="651095C2" w:rsidR="00B020AA" w:rsidRPr="00EB2CB3" w:rsidRDefault="00B020AA" w:rsidP="00B020AA">
      <w:pPr>
        <w:numPr>
          <w:ilvl w:val="0"/>
          <w:numId w:val="1"/>
        </w:numPr>
        <w:snapToGri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2CB3">
        <w:rPr>
          <w:rFonts w:ascii="Times New Roman" w:hAnsi="Times New Roman" w:cs="Times New Roman"/>
          <w:sz w:val="24"/>
          <w:szCs w:val="24"/>
          <w:lang w:val="en-US"/>
        </w:rPr>
        <w:t xml:space="preserve">verify the Reference List and </w:t>
      </w:r>
      <w:r w:rsidR="0035512E" w:rsidRPr="00EB2CB3">
        <w:rPr>
          <w:rFonts w:ascii="Times New Roman" w:hAnsi="Times New Roman" w:cs="Times New Roman"/>
          <w:sz w:val="24"/>
          <w:szCs w:val="24"/>
          <w:lang w:val="en-US"/>
        </w:rPr>
        <w:t>modify as required, continuing the inclusion of toxic cyanobacteria</w:t>
      </w:r>
      <w:r w:rsidRPr="00EB2CB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0440DD3A" w14:textId="76BB9770" w:rsidR="008517C0" w:rsidRPr="00EB2CB3" w:rsidRDefault="00B5447D" w:rsidP="000B153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B2CB3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="008517C0"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he list </w:t>
      </w:r>
      <w:r w:rsidR="00D353F0"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is </w:t>
      </w:r>
      <w:r w:rsidR="00537059"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continuously </w:t>
      </w:r>
      <w:r w:rsidR="00D353F0"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>being</w:t>
      </w:r>
      <w:r w:rsidR="008517C0"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 updated, </w:t>
      </w:r>
      <w:r w:rsidR="00D353F0"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and </w:t>
      </w:r>
      <w:r w:rsidR="009E32B5"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>species recently found to produce toxins (e</w:t>
      </w:r>
      <w:r w:rsidR="008517C0"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.g., </w:t>
      </w:r>
      <w:proofErr w:type="spellStart"/>
      <w:r w:rsidR="0035512E" w:rsidRPr="00EB2CB3">
        <w:rPr>
          <w:rFonts w:ascii="Times New Roman" w:hAnsi="Times New Roman" w:cs="Times New Roman"/>
          <w:i/>
          <w:color w:val="000000"/>
          <w:sz w:val="24"/>
          <w:szCs w:val="24"/>
          <w:lang w:val="en-IE"/>
        </w:rPr>
        <w:t>Gonyaulax</w:t>
      </w:r>
      <w:proofErr w:type="spellEnd"/>
      <w:r w:rsidR="0035512E" w:rsidRPr="00EB2CB3">
        <w:rPr>
          <w:rFonts w:ascii="Times New Roman" w:hAnsi="Times New Roman" w:cs="Times New Roman"/>
          <w:i/>
          <w:color w:val="000000"/>
          <w:sz w:val="24"/>
          <w:szCs w:val="24"/>
          <w:lang w:val="en-IE"/>
        </w:rPr>
        <w:t xml:space="preserve"> </w:t>
      </w:r>
      <w:proofErr w:type="spellStart"/>
      <w:r w:rsidR="0035512E" w:rsidRPr="00EB2CB3">
        <w:rPr>
          <w:rFonts w:ascii="Times New Roman" w:hAnsi="Times New Roman" w:cs="Times New Roman"/>
          <w:i/>
          <w:color w:val="000000"/>
          <w:sz w:val="24"/>
          <w:szCs w:val="24"/>
          <w:lang w:val="en-IE"/>
        </w:rPr>
        <w:t>montresoriae</w:t>
      </w:r>
      <w:proofErr w:type="spellEnd"/>
      <w:r w:rsidR="006F3285" w:rsidRPr="00EB2CB3">
        <w:rPr>
          <w:rFonts w:ascii="Times New Roman" w:hAnsi="Times New Roman" w:cs="Times New Roman"/>
          <w:i/>
          <w:color w:val="000000"/>
          <w:sz w:val="24"/>
          <w:szCs w:val="24"/>
          <w:lang w:val="en-IE"/>
        </w:rPr>
        <w:t>, Pseudo-</w:t>
      </w:r>
      <w:proofErr w:type="spellStart"/>
      <w:r w:rsidR="006F3285" w:rsidRPr="00EB2CB3">
        <w:rPr>
          <w:rFonts w:ascii="Times New Roman" w:hAnsi="Times New Roman" w:cs="Times New Roman"/>
          <w:i/>
          <w:color w:val="000000"/>
          <w:sz w:val="24"/>
          <w:szCs w:val="24"/>
          <w:lang w:val="en-IE"/>
        </w:rPr>
        <w:t>nitzschia</w:t>
      </w:r>
      <w:proofErr w:type="spellEnd"/>
      <w:r w:rsidR="006F3285" w:rsidRPr="00EB2CB3">
        <w:rPr>
          <w:rFonts w:ascii="Times New Roman" w:hAnsi="Times New Roman" w:cs="Times New Roman"/>
          <w:i/>
          <w:color w:val="000000"/>
          <w:sz w:val="24"/>
          <w:szCs w:val="24"/>
          <w:lang w:val="en-IE"/>
        </w:rPr>
        <w:t xml:space="preserve"> </w:t>
      </w:r>
      <w:proofErr w:type="spellStart"/>
      <w:r w:rsidR="006F3285" w:rsidRPr="00EB2CB3">
        <w:rPr>
          <w:rFonts w:ascii="Times New Roman" w:hAnsi="Times New Roman" w:cs="Times New Roman"/>
          <w:i/>
          <w:color w:val="000000"/>
          <w:sz w:val="24"/>
          <w:szCs w:val="24"/>
          <w:lang w:val="en-IE"/>
        </w:rPr>
        <w:t>punctionis</w:t>
      </w:r>
      <w:proofErr w:type="spellEnd"/>
      <w:r w:rsidR="009E32B5"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>)</w:t>
      </w:r>
      <w:r w:rsidR="00D353F0"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 have been added</w:t>
      </w:r>
      <w:r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>.</w:t>
      </w:r>
      <w:r w:rsidR="009E32B5"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 </w:t>
      </w:r>
      <w:r w:rsidR="0056722D" w:rsidRPr="00EB2CB3">
        <w:rPr>
          <w:rFonts w:asciiTheme="majorBidi" w:hAnsiTheme="majorBidi" w:cstheme="majorBidi"/>
          <w:sz w:val="24"/>
          <w:szCs w:val="24"/>
          <w:lang w:val="en-US"/>
        </w:rPr>
        <w:t xml:space="preserve">The list presently includes 124 dinoflagellates, 43 marine cyanobacteria, 31 diatoms, 8 haptophytes, 5 raphidophytes, and 3 dictyochophytes. More toxic cyanobacteria has been </w:t>
      </w:r>
      <w:proofErr w:type="gramStart"/>
      <w:r w:rsidR="0056722D" w:rsidRPr="00EB2CB3">
        <w:rPr>
          <w:rFonts w:asciiTheme="majorBidi" w:hAnsiTheme="majorBidi" w:cstheme="majorBidi"/>
          <w:sz w:val="24"/>
          <w:szCs w:val="24"/>
          <w:lang w:val="en-US"/>
        </w:rPr>
        <w:t>included</w:t>
      </w:r>
      <w:proofErr w:type="gramEnd"/>
      <w:r w:rsidR="0056722D" w:rsidRPr="00EB2CB3">
        <w:rPr>
          <w:rFonts w:asciiTheme="majorBidi" w:hAnsiTheme="majorBidi" w:cstheme="majorBidi"/>
          <w:sz w:val="24"/>
          <w:szCs w:val="24"/>
          <w:lang w:val="en-US"/>
        </w:rPr>
        <w:t xml:space="preserve"> and t</w:t>
      </w:r>
      <w:r w:rsidR="00537059"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he inclusion of </w:t>
      </w:r>
      <w:r w:rsid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more </w:t>
      </w:r>
      <w:r w:rsidR="00537059"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cyanobacteria is in progress with the </w:t>
      </w:r>
      <w:r w:rsid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>addition</w:t>
      </w:r>
      <w:r w:rsidR="00537059"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 of another cyanobact</w:t>
      </w:r>
      <w:r w:rsid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>er</w:t>
      </w:r>
      <w:r w:rsidR="00537059"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>ial editor.</w:t>
      </w:r>
    </w:p>
    <w:p w14:paraId="51B41509" w14:textId="52D57EB1" w:rsidR="009E32B5" w:rsidRPr="00EB2CB3" w:rsidRDefault="00DF30BC" w:rsidP="00B020AA">
      <w:pPr>
        <w:numPr>
          <w:ilvl w:val="0"/>
          <w:numId w:val="1"/>
        </w:numPr>
        <w:snapToGri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2CB3">
        <w:rPr>
          <w:rFonts w:ascii="Times New Roman" w:hAnsi="Times New Roman" w:cs="Times New Roman"/>
          <w:sz w:val="24"/>
          <w:szCs w:val="24"/>
          <w:lang w:val="en-IE"/>
        </w:rPr>
        <w:t>in</w:t>
      </w:r>
      <w:proofErr w:type="spellStart"/>
      <w:r w:rsidRPr="00EB2CB3">
        <w:rPr>
          <w:rFonts w:ascii="Times New Roman" w:hAnsi="Times New Roman" w:cs="Times New Roman"/>
          <w:sz w:val="24"/>
          <w:szCs w:val="24"/>
          <w:lang w:val="en-US"/>
        </w:rPr>
        <w:t>clude</w:t>
      </w:r>
      <w:proofErr w:type="spellEnd"/>
      <w:r w:rsidRPr="00EB2C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B2CB3">
        <w:rPr>
          <w:rFonts w:asciiTheme="minorBidi" w:eastAsia="Times New Roman" w:hAnsiTheme="minorBidi"/>
          <w:color w:val="000000"/>
          <w:sz w:val="24"/>
          <w:szCs w:val="24"/>
          <w:lang w:val="en-US"/>
        </w:rPr>
        <w:t xml:space="preserve">morphological information of each species and </w:t>
      </w:r>
      <w:r w:rsidRPr="00EB2CB3">
        <w:rPr>
          <w:rFonts w:asciiTheme="minorBidi" w:hAnsiTheme="minorBidi"/>
          <w:sz w:val="24"/>
          <w:szCs w:val="24"/>
          <w:lang w:val="en-US"/>
        </w:rPr>
        <w:t>the level of technique required to identify them, information on resting stages,</w:t>
      </w:r>
      <w:r w:rsidRPr="00EB2CB3">
        <w:rPr>
          <w:rFonts w:asciiTheme="minorBidi" w:eastAsia="Times New Roman" w:hAnsiTheme="minorBidi"/>
          <w:color w:val="000000"/>
          <w:sz w:val="24"/>
          <w:szCs w:val="24"/>
          <w:lang w:val="en-US"/>
        </w:rPr>
        <w:t xml:space="preserve"> and links to selected verified DNA sequences existing in GenBank obtained at or near the type locality,</w:t>
      </w:r>
    </w:p>
    <w:p w14:paraId="1EE4B646" w14:textId="7126534D" w:rsidR="00DF30BC" w:rsidRPr="00EB2CB3" w:rsidRDefault="00DF30BC" w:rsidP="00E551D8">
      <w:pPr>
        <w:pStyle w:val="ListParagraph"/>
        <w:numPr>
          <w:ilvl w:val="0"/>
          <w:numId w:val="2"/>
        </w:numPr>
        <w:snapToGri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IE"/>
        </w:rPr>
      </w:pPr>
      <w:r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Resting stages like cysts have been included for most, if not all, the toxic species. Information on morphology, </w:t>
      </w:r>
      <w:proofErr w:type="spellStart"/>
      <w:r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>tehniques</w:t>
      </w:r>
      <w:proofErr w:type="spellEnd"/>
      <w:r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 for identification and links to verified sequences is ongoing.</w:t>
      </w:r>
      <w:r w:rsidR="00C70DEC"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 </w:t>
      </w:r>
      <w:r w:rsidR="0056722D" w:rsidRPr="00EB2CB3">
        <w:rPr>
          <w:rFonts w:asciiTheme="majorBidi" w:hAnsiTheme="majorBidi" w:cstheme="majorBidi"/>
          <w:sz w:val="24"/>
          <w:szCs w:val="24"/>
          <w:lang w:val="en-US"/>
        </w:rPr>
        <w:t xml:space="preserve">Several species in the list have been updated regarding morphological details relevant to identification and images, and we aim to update more species. </w:t>
      </w:r>
      <w:r w:rsidR="00C70DEC"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>The process of</w:t>
      </w:r>
      <w:r w:rsidR="00C70DEC" w:rsidRPr="00EB2C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including verified molecular references (</w:t>
      </w:r>
      <w:proofErr w:type="spellStart"/>
      <w:r w:rsidR="00C70DEC" w:rsidRPr="00EB2CB3">
        <w:rPr>
          <w:rFonts w:ascii="Times New Roman" w:hAnsi="Times New Roman" w:cs="Times New Roman"/>
          <w:color w:val="000000"/>
          <w:sz w:val="24"/>
          <w:szCs w:val="24"/>
          <w:lang w:val="en-US"/>
        </w:rPr>
        <w:t>Genbank</w:t>
      </w:r>
      <w:proofErr w:type="spellEnd"/>
      <w:r w:rsidR="00C70DEC" w:rsidRPr="00EB2C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numbers) preferably from type localities or nearby will continue. Updating with </w:t>
      </w:r>
      <w:r w:rsidR="00C70DEC" w:rsidRPr="00EB2CB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verified molecular data</w:t>
      </w:r>
      <w:r w:rsidR="00C70DEC" w:rsidRPr="00EB2CB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C70DEC" w:rsidRPr="00EB2C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increasingly needed, not only for identification of cryptic and </w:t>
      </w:r>
      <w:proofErr w:type="spellStart"/>
      <w:r w:rsidR="00C70DEC" w:rsidRPr="00EB2CB3">
        <w:rPr>
          <w:rFonts w:ascii="Times New Roman" w:hAnsi="Times New Roman" w:cs="Times New Roman"/>
          <w:color w:val="000000"/>
          <w:sz w:val="24"/>
          <w:szCs w:val="24"/>
          <w:lang w:val="en-US"/>
        </w:rPr>
        <w:t>pseudocryptic</w:t>
      </w:r>
      <w:proofErr w:type="spellEnd"/>
      <w:r w:rsidR="00C70DEC" w:rsidRPr="00EB2C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species, but also for the growing number of environmental molecular analyses</w:t>
      </w:r>
      <w:r w:rsidR="0056722D" w:rsidRPr="00EB2C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6722D" w:rsidRPr="00EB2CB3">
        <w:rPr>
          <w:rFonts w:asciiTheme="majorBidi" w:hAnsiTheme="majorBidi" w:cstheme="majorBidi"/>
          <w:sz w:val="24"/>
          <w:szCs w:val="24"/>
          <w:lang w:val="en-US"/>
        </w:rPr>
        <w:t xml:space="preserve">for monitoring and research, and </w:t>
      </w:r>
      <w:r w:rsidR="00492993">
        <w:rPr>
          <w:rFonts w:asciiTheme="majorBidi" w:hAnsiTheme="majorBidi" w:cstheme="majorBidi"/>
          <w:sz w:val="24"/>
          <w:szCs w:val="24"/>
          <w:lang w:val="en-US"/>
        </w:rPr>
        <w:t xml:space="preserve">because </w:t>
      </w:r>
      <w:r w:rsidR="0056722D" w:rsidRPr="00EB2CB3">
        <w:rPr>
          <w:rFonts w:asciiTheme="majorBidi" w:hAnsiTheme="majorBidi" w:cstheme="majorBidi"/>
          <w:sz w:val="24"/>
          <w:szCs w:val="24"/>
          <w:lang w:val="en-US"/>
        </w:rPr>
        <w:t xml:space="preserve">information in databases like </w:t>
      </w:r>
      <w:proofErr w:type="spellStart"/>
      <w:r w:rsidR="0056722D" w:rsidRPr="00EB2CB3">
        <w:rPr>
          <w:rFonts w:asciiTheme="majorBidi" w:hAnsiTheme="majorBidi" w:cstheme="majorBidi"/>
          <w:sz w:val="24"/>
          <w:szCs w:val="24"/>
          <w:lang w:val="en-US"/>
        </w:rPr>
        <w:t>Genbank</w:t>
      </w:r>
      <w:proofErr w:type="spellEnd"/>
      <w:r w:rsidR="0056722D" w:rsidRPr="00EB2CB3">
        <w:rPr>
          <w:rFonts w:asciiTheme="majorBidi" w:hAnsiTheme="majorBidi" w:cstheme="majorBidi"/>
          <w:sz w:val="24"/>
          <w:szCs w:val="24"/>
          <w:lang w:val="en-US"/>
        </w:rPr>
        <w:t xml:space="preserve"> includes old/wrong information.</w:t>
      </w:r>
    </w:p>
    <w:p w14:paraId="457F27A1" w14:textId="3CA55D85" w:rsidR="009E32B5" w:rsidRPr="00EB2CB3" w:rsidRDefault="0075570D" w:rsidP="00B020AA">
      <w:pPr>
        <w:numPr>
          <w:ilvl w:val="0"/>
          <w:numId w:val="1"/>
        </w:numPr>
        <w:snapToGri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2CB3">
        <w:rPr>
          <w:rFonts w:asciiTheme="minorBidi" w:hAnsiTheme="minorBidi"/>
          <w:sz w:val="24"/>
          <w:szCs w:val="24"/>
          <w:lang w:val="en-US"/>
        </w:rPr>
        <w:t>produce a grey list for species for which documentation for toxicity is lacking or doubtful,</w:t>
      </w:r>
      <w:r w:rsidRPr="00EB2C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D56D968" w14:textId="77FFC64E" w:rsidR="009E32B5" w:rsidRPr="00EB2CB3" w:rsidRDefault="0056722D" w:rsidP="0056722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B2CB3">
        <w:rPr>
          <w:rFonts w:asciiTheme="majorBidi" w:hAnsiTheme="majorBidi" w:cstheme="majorBidi"/>
          <w:sz w:val="24"/>
          <w:szCs w:val="24"/>
          <w:lang w:val="en-US"/>
        </w:rPr>
        <w:t xml:space="preserve">A </w:t>
      </w:r>
      <w:r w:rsidRPr="00EB2CB3">
        <w:rPr>
          <w:rFonts w:asciiTheme="majorBidi" w:hAnsiTheme="majorBidi" w:cstheme="majorBidi"/>
          <w:b/>
          <w:sz w:val="24"/>
          <w:szCs w:val="24"/>
          <w:lang w:val="en-US"/>
        </w:rPr>
        <w:t>grey list</w:t>
      </w:r>
      <w:r w:rsidRPr="00EB2CB3">
        <w:rPr>
          <w:rFonts w:asciiTheme="majorBidi" w:hAnsiTheme="majorBidi" w:cstheme="majorBidi"/>
          <w:sz w:val="24"/>
          <w:szCs w:val="24"/>
          <w:lang w:val="en-US"/>
        </w:rPr>
        <w:t xml:space="preserve"> of species for which documentation of toxicity is doubtful or lacking comprising four species </w:t>
      </w:r>
      <w:r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>is available on the website</w:t>
      </w:r>
      <w:r w:rsidRPr="00EB2CB3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A678643" w14:textId="77777777" w:rsidR="0056722D" w:rsidRPr="00EB2CB3" w:rsidRDefault="0056722D" w:rsidP="0056722D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DFC5028" w14:textId="699182D4" w:rsidR="00B020AA" w:rsidRPr="00EB2CB3" w:rsidRDefault="0075570D" w:rsidP="00B020AA">
      <w:pPr>
        <w:numPr>
          <w:ilvl w:val="0"/>
          <w:numId w:val="1"/>
        </w:numPr>
        <w:snapToGri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2CB3">
        <w:rPr>
          <w:rFonts w:ascii="Times New Roman" w:hAnsi="Times New Roman" w:cs="Times New Roman"/>
          <w:sz w:val="24"/>
          <w:szCs w:val="24"/>
          <w:lang w:val="en-US"/>
        </w:rPr>
        <w:t xml:space="preserve">develop </w:t>
      </w:r>
      <w:r w:rsidRPr="00EB2CB3">
        <w:rPr>
          <w:rFonts w:asciiTheme="minorBidi" w:hAnsiTheme="minorBidi"/>
          <w:sz w:val="24"/>
          <w:szCs w:val="24"/>
          <w:lang w:val="en-US"/>
        </w:rPr>
        <w:t xml:space="preserve">lists of a) harmful but non-toxic species causing damages or killing of marine fauna and b) harmful but non-toxic species producing high biomass blooms, </w:t>
      </w:r>
      <w:proofErr w:type="spellStart"/>
      <w:r w:rsidRPr="00EB2CB3">
        <w:rPr>
          <w:rFonts w:asciiTheme="minorBidi" w:hAnsiTheme="minorBidi"/>
          <w:sz w:val="24"/>
          <w:szCs w:val="24"/>
          <w:lang w:val="en-US"/>
        </w:rPr>
        <w:t>mucilages</w:t>
      </w:r>
      <w:proofErr w:type="spellEnd"/>
      <w:r w:rsidRPr="00EB2CB3">
        <w:rPr>
          <w:rFonts w:asciiTheme="minorBidi" w:hAnsiTheme="minorBidi"/>
          <w:sz w:val="24"/>
          <w:szCs w:val="24"/>
          <w:lang w:val="en-US"/>
        </w:rPr>
        <w:t>, foams and discolorations with impacts on human activities in the coastal zone (e.g. tourism, fisheries, recreation, and desalination plants)</w:t>
      </w:r>
      <w:r w:rsidR="00B020AA" w:rsidRPr="00EB2CB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B2CB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4E136C02" w14:textId="41905CFF" w:rsidR="00B5447D" w:rsidRPr="00EB2CB3" w:rsidRDefault="00C70931" w:rsidP="00B5447D">
      <w:pPr>
        <w:pStyle w:val="ListParagraph"/>
        <w:numPr>
          <w:ilvl w:val="0"/>
          <w:numId w:val="2"/>
        </w:numPr>
        <w:snapToGri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IE"/>
        </w:rPr>
      </w:pPr>
      <w:r w:rsidRPr="00EB2C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list of harmful but non-toxic species causing damage to or killing marina fauna is now available on the website, </w:t>
      </w:r>
      <w:r w:rsidR="00880D4B" w:rsidRPr="00EB2CB3">
        <w:rPr>
          <w:rFonts w:ascii="Times New Roman" w:hAnsi="Times New Roman" w:cs="Times New Roman"/>
          <w:color w:val="000000"/>
          <w:sz w:val="24"/>
          <w:szCs w:val="24"/>
          <w:lang w:val="en-US"/>
        </w:rPr>
        <w:t>including</w:t>
      </w:r>
      <w:r w:rsidRPr="00EB2C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55 species</w:t>
      </w:r>
      <w:r w:rsidR="00C70DEC" w:rsidRPr="00EB2C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examples of events</w:t>
      </w:r>
      <w:r w:rsidRPr="00EB2C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880D4B" w:rsidRPr="00EB2CB3">
        <w:rPr>
          <w:rFonts w:ascii="Times New Roman" w:hAnsi="Times New Roman" w:cs="Times New Roman"/>
          <w:color w:val="000000"/>
          <w:sz w:val="24"/>
          <w:szCs w:val="24"/>
          <w:lang w:val="en-US"/>
        </w:rPr>
        <w:t>A list of harmful non-toxic species causing other kinds of problems is in process.</w:t>
      </w:r>
    </w:p>
    <w:p w14:paraId="2DAA804A" w14:textId="77777777" w:rsidR="00DF30BC" w:rsidRPr="00EB2CB3" w:rsidRDefault="00DF30BC" w:rsidP="00DF30BC">
      <w:pPr>
        <w:numPr>
          <w:ilvl w:val="0"/>
          <w:numId w:val="1"/>
        </w:numPr>
        <w:snapToGri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2CB3">
        <w:rPr>
          <w:rFonts w:ascii="Times New Roman" w:hAnsi="Times New Roman" w:cs="Times New Roman"/>
          <w:sz w:val="24"/>
          <w:szCs w:val="24"/>
          <w:lang w:val="en-US"/>
        </w:rPr>
        <w:t xml:space="preserve">each year issue a summary in </w:t>
      </w:r>
      <w:r w:rsidRPr="00EB2CB3">
        <w:rPr>
          <w:rFonts w:ascii="Times New Roman" w:hAnsi="Times New Roman" w:cs="Times New Roman"/>
          <w:i/>
          <w:sz w:val="24"/>
          <w:szCs w:val="24"/>
          <w:lang w:val="en-US"/>
        </w:rPr>
        <w:t>Harmful Algae News</w:t>
      </w:r>
      <w:r w:rsidRPr="00EB2CB3">
        <w:rPr>
          <w:rFonts w:ascii="Times New Roman" w:hAnsi="Times New Roman" w:cs="Times New Roman"/>
          <w:sz w:val="24"/>
          <w:szCs w:val="24"/>
          <w:lang w:val="en-US"/>
        </w:rPr>
        <w:t xml:space="preserve"> detailing the taxonomic changes to the Reference List,</w:t>
      </w:r>
    </w:p>
    <w:p w14:paraId="010861BE" w14:textId="5F05B40D" w:rsidR="00DF30BC" w:rsidRPr="00EB2CB3" w:rsidRDefault="00DF30BC" w:rsidP="0056722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IE"/>
        </w:rPr>
      </w:pPr>
      <w:r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A </w:t>
      </w:r>
      <w:r w:rsidR="00880D4B"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>summary of the work by the task team</w:t>
      </w:r>
      <w:r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 entitled </w:t>
      </w:r>
      <w:r w:rsidRPr="00EB2C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“</w:t>
      </w:r>
      <w:r w:rsidR="0056722D" w:rsidRPr="00EB2CB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New toxic species - and what about their names? – news from the IOC-UNESCO Task Team on Algal Taxonomy</w:t>
      </w:r>
      <w:r w:rsidR="0056722D" w:rsidRPr="00EB2C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“ by the taxonomic editors was published in Harmful Algal News in October 2024 (</w:t>
      </w:r>
      <w:proofErr w:type="spellStart"/>
      <w:r w:rsidR="0056722D" w:rsidRPr="00EB2C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doi</w:t>
      </w:r>
      <w:proofErr w:type="spellEnd"/>
      <w:r w:rsidR="0056722D" w:rsidRPr="00EB2C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="00A416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10.5281/zenodo.14363544)</w:t>
      </w:r>
      <w:r w:rsidR="0056722D" w:rsidRPr="00EB2C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</w:t>
      </w:r>
      <w:r w:rsidR="0056722D" w:rsidRPr="00EB2C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EB2C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 input is planned once a year, next time around October 2025.</w:t>
      </w:r>
    </w:p>
    <w:p w14:paraId="1CD05C20" w14:textId="6296E4A8" w:rsidR="009E32B5" w:rsidRPr="00EB2CB3" w:rsidRDefault="00880D4B" w:rsidP="00E80D58">
      <w:pPr>
        <w:numPr>
          <w:ilvl w:val="0"/>
          <w:numId w:val="1"/>
        </w:numPr>
        <w:snapToGri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B2CB3">
        <w:rPr>
          <w:rFonts w:asciiTheme="minorBidi" w:hAnsiTheme="minorBidi"/>
          <w:sz w:val="24"/>
          <w:szCs w:val="24"/>
          <w:lang w:val="en-US"/>
        </w:rPr>
        <w:lastRenderedPageBreak/>
        <w:t xml:space="preserve">invite the scientific community to contribute to keeping the Reference List </w:t>
      </w:r>
      <w:r w:rsidR="00BD5246" w:rsidRPr="00EB2CB3">
        <w:rPr>
          <w:rFonts w:asciiTheme="minorBidi" w:hAnsiTheme="minorBidi"/>
          <w:sz w:val="24"/>
          <w:szCs w:val="24"/>
          <w:lang w:val="en-US"/>
        </w:rPr>
        <w:t>updated</w:t>
      </w:r>
      <w:r w:rsidR="00B020AA" w:rsidRPr="00EB2C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1670C992" w14:textId="78D9356E" w:rsidR="00B5447D" w:rsidRPr="00EB2CB3" w:rsidRDefault="009E32B5" w:rsidP="00B5447D">
      <w:pPr>
        <w:pStyle w:val="ListParagraph"/>
        <w:numPr>
          <w:ilvl w:val="0"/>
          <w:numId w:val="2"/>
        </w:numPr>
        <w:snapToGrid w:val="0"/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B2C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5447D"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>The</w:t>
      </w:r>
      <w:r w:rsidR="00DF4E2A"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>re is an invitation in the cover page of the list. Also at the ICHA 2023 in Japan</w:t>
      </w:r>
      <w:r w:rsidR="00A416B6">
        <w:rPr>
          <w:rFonts w:ascii="Times New Roman" w:hAnsi="Times New Roman" w:cs="Times New Roman"/>
          <w:color w:val="000000"/>
          <w:sz w:val="24"/>
          <w:szCs w:val="24"/>
          <w:lang w:val="en-IE"/>
        </w:rPr>
        <w:t>,</w:t>
      </w:r>
      <w:r w:rsidR="00DF4E2A"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 everybody was encouraged to contribute.</w:t>
      </w:r>
      <w:r w:rsidR="00B5447D"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 </w:t>
      </w:r>
    </w:p>
    <w:p w14:paraId="7DFEEE46" w14:textId="732C931D" w:rsidR="00611E2D" w:rsidRPr="00EB2CB3" w:rsidRDefault="00470729" w:rsidP="00E80D58">
      <w:pPr>
        <w:numPr>
          <w:ilvl w:val="0"/>
          <w:numId w:val="1"/>
        </w:numPr>
        <w:snapToGri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2CB3">
        <w:rPr>
          <w:rFonts w:ascii="Times New Roman" w:hAnsi="Times New Roman" w:cs="Times New Roman"/>
          <w:sz w:val="24"/>
          <w:szCs w:val="24"/>
          <w:lang w:val="en-US"/>
        </w:rPr>
        <w:t xml:space="preserve">Work in </w:t>
      </w:r>
      <w:r w:rsidRPr="00EB2CB3">
        <w:rPr>
          <w:rFonts w:asciiTheme="minorBidi" w:hAnsiTheme="minorBidi"/>
          <w:sz w:val="24"/>
          <w:szCs w:val="24"/>
          <w:lang w:val="en-US"/>
        </w:rPr>
        <w:t xml:space="preserve">coordination with the Task Team on Biotoxins Monitoring, Management and Regulations to intercalibrate and interlink the information on toxigenic species, </w:t>
      </w:r>
    </w:p>
    <w:p w14:paraId="38416275" w14:textId="4DE7729A" w:rsidR="00611E2D" w:rsidRPr="00EB2CB3" w:rsidRDefault="00611E2D" w:rsidP="00E80D58">
      <w:pPr>
        <w:pStyle w:val="ListParagraph"/>
        <w:numPr>
          <w:ilvl w:val="0"/>
          <w:numId w:val="2"/>
        </w:numPr>
        <w:snapToGrid w:val="0"/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2C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70729"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>This is a task, which will have to be completed in the next period. It is high up on our agenda.</w:t>
      </w:r>
      <w:r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 xml:space="preserve"> </w:t>
      </w:r>
    </w:p>
    <w:p w14:paraId="3F6AFDFE" w14:textId="7F1B8234" w:rsidR="00611E2D" w:rsidRPr="00EB2CB3" w:rsidRDefault="00343924" w:rsidP="00611E2D">
      <w:pPr>
        <w:numPr>
          <w:ilvl w:val="0"/>
          <w:numId w:val="1"/>
        </w:numPr>
        <w:snapToGri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70729" w:rsidRPr="00EB2CB3">
        <w:rPr>
          <w:rFonts w:ascii="Times New Roman" w:hAnsi="Times New Roman" w:cs="Times New Roman"/>
          <w:sz w:val="24"/>
          <w:szCs w:val="24"/>
          <w:lang w:val="en-US"/>
        </w:rPr>
        <w:t>uggest themes for round-table discussions and other activities at the International Conference on Harmful Algae (ICHA); give presentation(s) at each ICHA conference, detailing recent changes in the taxonomy of harmful algal species, and in the information included in the Reference List,</w:t>
      </w:r>
    </w:p>
    <w:p w14:paraId="13D25D97" w14:textId="5A5B1EAE" w:rsidR="00470729" w:rsidRPr="00EB2CB3" w:rsidRDefault="00343924" w:rsidP="003439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B2CB3">
        <w:rPr>
          <w:rFonts w:asciiTheme="majorBidi" w:hAnsiTheme="majorBidi" w:cstheme="majorBidi"/>
          <w:sz w:val="24"/>
          <w:szCs w:val="24"/>
          <w:lang w:val="en-US"/>
        </w:rPr>
        <w:t xml:space="preserve">A presentation </w:t>
      </w:r>
      <w:r w:rsidR="004C271A" w:rsidRPr="00EB2CB3">
        <w:rPr>
          <w:rFonts w:asciiTheme="majorBidi" w:hAnsiTheme="majorBidi" w:cstheme="majorBidi"/>
          <w:sz w:val="24"/>
          <w:szCs w:val="24"/>
          <w:lang w:val="en-US"/>
        </w:rPr>
        <w:t xml:space="preserve">of activities by the task team </w:t>
      </w:r>
      <w:r w:rsidRPr="00EB2CB3">
        <w:rPr>
          <w:rFonts w:asciiTheme="majorBidi" w:hAnsiTheme="majorBidi" w:cstheme="majorBidi"/>
          <w:sz w:val="24"/>
          <w:szCs w:val="24"/>
          <w:lang w:val="en-US"/>
        </w:rPr>
        <w:t xml:space="preserve">was </w:t>
      </w:r>
      <w:r w:rsidRPr="00A416B6">
        <w:rPr>
          <w:rFonts w:asciiTheme="majorBidi" w:hAnsiTheme="majorBidi" w:cstheme="majorBidi"/>
          <w:sz w:val="24"/>
          <w:szCs w:val="24"/>
          <w:lang w:val="en-US"/>
        </w:rPr>
        <w:t>given at the ICHA conference in</w:t>
      </w:r>
      <w:r w:rsidRPr="00EB2CB3">
        <w:rPr>
          <w:rFonts w:asciiTheme="majorBidi" w:hAnsiTheme="majorBidi" w:cstheme="majorBidi"/>
          <w:sz w:val="24"/>
          <w:szCs w:val="24"/>
          <w:lang w:val="en-US"/>
        </w:rPr>
        <w:t xml:space="preserve"> Japan in 2023, and a presentation is planned for the ICHA conference in late 2025 in Chile</w:t>
      </w:r>
    </w:p>
    <w:p w14:paraId="3196F994" w14:textId="77777777" w:rsidR="00343924" w:rsidRPr="00EB2CB3" w:rsidRDefault="00343924" w:rsidP="00343924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69ECACD" w14:textId="5B2AC7B3" w:rsidR="00611E2D" w:rsidRPr="00EB2CB3" w:rsidRDefault="00343924" w:rsidP="00611E2D">
      <w:pPr>
        <w:numPr>
          <w:ilvl w:val="0"/>
          <w:numId w:val="1"/>
        </w:numPr>
        <w:snapToGrid w:val="0"/>
        <w:spacing w:after="12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EB2CB3">
        <w:rPr>
          <w:rFonts w:ascii="Times New Roman" w:hAnsi="Times New Roman" w:cs="Times New Roman"/>
          <w:sz w:val="24"/>
          <w:szCs w:val="24"/>
          <w:lang w:val="en-US"/>
        </w:rPr>
        <w:t xml:space="preserve">identify </w:t>
      </w:r>
      <w:r w:rsidRPr="00EB2CB3">
        <w:rPr>
          <w:rFonts w:asciiTheme="minorBidi" w:hAnsiTheme="minorBidi"/>
          <w:sz w:val="24"/>
          <w:szCs w:val="24"/>
          <w:lang w:val="en-US"/>
        </w:rPr>
        <w:t>editors within or external to the Task Team who will be responsible for validating, completing and updating the Reference List, including descriptions and illustrations showing diagnostic features of each species</w:t>
      </w:r>
      <w:r w:rsidR="00611E2D" w:rsidRPr="00EB2CB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133C050F" w14:textId="2FA33834" w:rsidR="004C271A" w:rsidRPr="00EB2CB3" w:rsidRDefault="006D234B" w:rsidP="0056722D">
      <w:pPr>
        <w:numPr>
          <w:ilvl w:val="0"/>
          <w:numId w:val="7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C271A" w:rsidRPr="00EB2CB3">
        <w:rPr>
          <w:rFonts w:ascii="Times New Roman" w:hAnsi="Times New Roman" w:cs="Times New Roman"/>
          <w:sz w:val="24"/>
          <w:szCs w:val="24"/>
          <w:lang w:val="en-US"/>
        </w:rPr>
        <w:t xml:space="preserve"> editors of the Reference List are working on validating, completing and updating the list. </w:t>
      </w:r>
      <w:r w:rsidR="0056722D" w:rsidRPr="00EB2CB3">
        <w:rPr>
          <w:rFonts w:asciiTheme="majorBidi" w:hAnsiTheme="majorBidi" w:cstheme="majorBidi"/>
          <w:sz w:val="24"/>
          <w:szCs w:val="24"/>
          <w:lang w:val="en-US"/>
        </w:rPr>
        <w:t xml:space="preserve">The team has been expanded </w:t>
      </w:r>
      <w:r w:rsidR="0056722D" w:rsidRPr="006D234B">
        <w:rPr>
          <w:rFonts w:asciiTheme="majorBidi" w:hAnsiTheme="majorBidi" w:cstheme="majorBidi"/>
          <w:sz w:val="24"/>
          <w:szCs w:val="24"/>
          <w:lang w:val="en-US"/>
        </w:rPr>
        <w:t xml:space="preserve">by one new member (Cecile Bernard, France) to increase the efforts on toxic cyanobacteria. There is in general a shortage of taxonomists and we foresee problems replacing people in the group. </w:t>
      </w:r>
      <w:r w:rsidR="0056722D" w:rsidRPr="006D234B">
        <w:rPr>
          <w:rFonts w:asciiTheme="majorBidi" w:hAnsiTheme="majorBidi" w:cstheme="majorBidi"/>
          <w:bCs/>
          <w:sz w:val="24"/>
          <w:szCs w:val="24"/>
          <w:lang w:val="en-US"/>
        </w:rPr>
        <w:t xml:space="preserve">The next generation of taxonomists </w:t>
      </w:r>
      <w:r w:rsidR="0056722D" w:rsidRPr="006D234B">
        <w:rPr>
          <w:rFonts w:asciiTheme="majorBidi" w:hAnsiTheme="majorBidi" w:cstheme="majorBidi"/>
          <w:sz w:val="24"/>
          <w:szCs w:val="24"/>
          <w:lang w:val="en-US"/>
        </w:rPr>
        <w:t>should be encouraged and trained</w:t>
      </w:r>
      <w:r w:rsidR="0056722D" w:rsidRPr="006D234B"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</w:p>
    <w:p w14:paraId="1BE5CEF0" w14:textId="436B9FF4" w:rsidR="00611E2D" w:rsidRPr="00EB2CB3" w:rsidRDefault="004C271A" w:rsidP="00611E2D">
      <w:pPr>
        <w:numPr>
          <w:ilvl w:val="0"/>
          <w:numId w:val="1"/>
        </w:numPr>
        <w:snapToGri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2CB3">
        <w:rPr>
          <w:rFonts w:ascii="Times New Roman" w:hAnsi="Times New Roman" w:cs="Times New Roman"/>
          <w:sz w:val="24"/>
          <w:szCs w:val="24"/>
          <w:lang w:val="en-US"/>
        </w:rPr>
        <w:t xml:space="preserve">convene </w:t>
      </w:r>
      <w:r w:rsidRPr="00EB2CB3">
        <w:rPr>
          <w:rFonts w:asciiTheme="minorBidi" w:hAnsiTheme="minorBidi"/>
          <w:sz w:val="24"/>
          <w:szCs w:val="24"/>
          <w:lang w:val="en-US"/>
        </w:rPr>
        <w:t xml:space="preserve">online meetings with Reference List Editors, TT members and a representative from WoRMS approximately every third month have to discuss issues related to the </w:t>
      </w:r>
      <w:r w:rsidR="00611E2D" w:rsidRPr="00EB2CB3">
        <w:rPr>
          <w:rFonts w:ascii="Times New Roman" w:hAnsi="Times New Roman" w:cs="Times New Roman"/>
          <w:sz w:val="24"/>
          <w:szCs w:val="24"/>
          <w:lang w:val="en-US"/>
        </w:rPr>
        <w:t xml:space="preserve">species, </w:t>
      </w:r>
    </w:p>
    <w:p w14:paraId="03EDF920" w14:textId="461F4FCA" w:rsidR="0056722D" w:rsidRPr="00EB2CB3" w:rsidRDefault="0056722D" w:rsidP="0056722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B2CB3">
        <w:rPr>
          <w:rFonts w:asciiTheme="majorBidi" w:hAnsiTheme="majorBidi" w:cstheme="majorBidi"/>
          <w:sz w:val="24"/>
          <w:szCs w:val="24"/>
          <w:lang w:val="en-US"/>
        </w:rPr>
        <w:t xml:space="preserve">The taxonomy task team had three online meetings for the past year </w:t>
      </w:r>
      <w:r w:rsidRPr="00EB2CB3">
        <w:rPr>
          <w:rFonts w:ascii="Times New Roman" w:hAnsi="Times New Roman" w:cs="Times New Roman"/>
          <w:color w:val="000000"/>
          <w:sz w:val="24"/>
          <w:szCs w:val="24"/>
          <w:lang w:val="en-IE"/>
        </w:rPr>
        <w:t>with editors and a representative from WoRMS</w:t>
      </w:r>
      <w:r w:rsidRPr="00EB2CB3">
        <w:rPr>
          <w:rFonts w:asciiTheme="majorBidi" w:hAnsiTheme="majorBidi" w:cstheme="majorBidi"/>
          <w:sz w:val="24"/>
          <w:szCs w:val="24"/>
          <w:lang w:val="en-US"/>
        </w:rPr>
        <w:t>, where updates, taxonomic problems and the expansion of the list among other relevant matters were discussed.</w:t>
      </w:r>
    </w:p>
    <w:p w14:paraId="7470CC58" w14:textId="14DF3BA8" w:rsidR="00611E2D" w:rsidRPr="00EB2CB3" w:rsidRDefault="00611E2D" w:rsidP="006D234B">
      <w:pPr>
        <w:pStyle w:val="ListParagraph"/>
        <w:snapToGri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0DF831" w14:textId="576C883D" w:rsidR="004C271A" w:rsidRPr="00EB2CB3" w:rsidRDefault="004C271A" w:rsidP="004C271A">
      <w:pPr>
        <w:pStyle w:val="ListParagraph"/>
        <w:numPr>
          <w:ilvl w:val="0"/>
          <w:numId w:val="1"/>
        </w:numPr>
        <w:tabs>
          <w:tab w:val="left" w:pos="567"/>
        </w:tabs>
        <w:snapToGri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B2CB3">
        <w:rPr>
          <w:rFonts w:ascii="Times New Roman" w:hAnsi="Times New Roman" w:cs="Times New Roman"/>
          <w:sz w:val="24"/>
          <w:szCs w:val="24"/>
          <w:lang w:val="en-US"/>
        </w:rPr>
        <w:t xml:space="preserve">contribute </w:t>
      </w:r>
      <w:r w:rsidRPr="00EB2CB3">
        <w:rPr>
          <w:rFonts w:asciiTheme="minorBidi" w:hAnsiTheme="minorBidi"/>
          <w:sz w:val="24"/>
          <w:szCs w:val="24"/>
          <w:lang w:val="en-US"/>
        </w:rPr>
        <w:t>to the development of HAIS,</w:t>
      </w:r>
    </w:p>
    <w:p w14:paraId="72686C3B" w14:textId="331D3A72" w:rsidR="00611E2D" w:rsidRPr="00EB2CB3" w:rsidRDefault="00611E2D" w:rsidP="00AC6703">
      <w:pPr>
        <w:snapToGri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IE"/>
        </w:rPr>
      </w:pPr>
      <w:r w:rsidRPr="00EB2CB3">
        <w:rPr>
          <w:rFonts w:ascii="Times New Roman" w:hAnsi="Times New Roman" w:cs="Times New Roman"/>
          <w:b/>
          <w:sz w:val="24"/>
          <w:szCs w:val="24"/>
          <w:lang w:val="en-US"/>
        </w:rPr>
        <w:t>The Task Team</w:t>
      </w:r>
      <w:r w:rsidRPr="00EB2CB3">
        <w:rPr>
          <w:rFonts w:ascii="Times New Roman" w:hAnsi="Times New Roman" w:cs="Times New Roman"/>
          <w:sz w:val="24"/>
          <w:szCs w:val="24"/>
          <w:lang w:val="en-US"/>
        </w:rPr>
        <w:t xml:space="preserve"> has been modified and comprises N. Lundholm (Denmark) Chair, M. Iwataki (Japan), A. Zingone (Italy), </w:t>
      </w:r>
      <w:r w:rsidR="004C271A" w:rsidRPr="00EB2CB3">
        <w:rPr>
          <w:rFonts w:ascii="Times New Roman" w:hAnsi="Times New Roman" w:cs="Times New Roman"/>
          <w:sz w:val="24"/>
          <w:szCs w:val="24"/>
          <w:lang w:val="en-US"/>
        </w:rPr>
        <w:t xml:space="preserve">C. Bernard (France), </w:t>
      </w:r>
      <w:r w:rsidRPr="00EB2CB3">
        <w:rPr>
          <w:rFonts w:ascii="Times New Roman" w:hAnsi="Times New Roman" w:cs="Times New Roman"/>
          <w:sz w:val="24"/>
          <w:szCs w:val="24"/>
          <w:lang w:val="en-US"/>
        </w:rPr>
        <w:t>C. Churro (Portugal), K. Mertens (France), J. Larsen (Denmark), M. Hoppenrath (Germany), L. Escalera (Spain), Ø. Moestrup (Denmark)</w:t>
      </w:r>
      <w:r w:rsidR="001B2A90" w:rsidRPr="00EB2CB3">
        <w:rPr>
          <w:rFonts w:ascii="Times New Roman" w:hAnsi="Times New Roman" w:cs="Times New Roman"/>
          <w:sz w:val="24"/>
          <w:szCs w:val="24"/>
          <w:lang w:val="en-US"/>
        </w:rPr>
        <w:t>, R. Salas (Ireland), U. Tillmann (Germany), S. Murray (Australia)</w:t>
      </w:r>
      <w:r w:rsidRPr="00EB2CB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B0D0002" w14:textId="23AFFA2F" w:rsidR="00611E2D" w:rsidRPr="00EB2CB3" w:rsidRDefault="00611E2D" w:rsidP="00611E2D">
      <w:pPr>
        <w:snapToGri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B2CB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Identified challenges for the Task Team in the future</w:t>
      </w:r>
      <w:r w:rsidR="006D234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</w:p>
    <w:p w14:paraId="2CC607D9" w14:textId="77A6C288" w:rsidR="00611E2D" w:rsidRPr="00EB2CB3" w:rsidRDefault="00611E2D" w:rsidP="00611E2D">
      <w:pPr>
        <w:snapToGri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B2CB3">
        <w:rPr>
          <w:rFonts w:ascii="Times New Roman" w:hAnsi="Times New Roman" w:cs="Times New Roman"/>
          <w:color w:val="000000"/>
          <w:sz w:val="24"/>
          <w:szCs w:val="24"/>
          <w:lang w:val="en-US"/>
        </w:rPr>
        <w:t>Maintaining and updating the list relies on</w:t>
      </w:r>
      <w:r w:rsidRPr="00EB2CB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voluntary work only.</w:t>
      </w:r>
      <w:r w:rsidRPr="00EB2C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  An update with morphological and molecular input has been </w:t>
      </w:r>
      <w:proofErr w:type="gramStart"/>
      <w:r w:rsidRPr="00EB2CB3">
        <w:rPr>
          <w:rFonts w:ascii="Times New Roman" w:hAnsi="Times New Roman" w:cs="Times New Roman"/>
          <w:color w:val="000000"/>
          <w:sz w:val="24"/>
          <w:szCs w:val="24"/>
          <w:lang w:val="en-US"/>
        </w:rPr>
        <w:t>initiated, but</w:t>
      </w:r>
      <w:proofErr w:type="gramEnd"/>
      <w:r w:rsidRPr="00EB2C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requires a major effort and would benefit tremendously from </w:t>
      </w:r>
      <w:r w:rsidRPr="00EB2CB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additional</w:t>
      </w:r>
      <w:r w:rsidRPr="00EB2C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B2CB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resources</w:t>
      </w:r>
      <w:r w:rsidRPr="00EB2CB3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520E075" w14:textId="77777777" w:rsidR="0056722D" w:rsidRPr="00EB2CB3" w:rsidRDefault="0056722D" w:rsidP="005672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B2CB3">
        <w:rPr>
          <w:rFonts w:asciiTheme="majorBidi" w:hAnsiTheme="majorBidi" w:cstheme="majorBidi"/>
          <w:sz w:val="24"/>
          <w:szCs w:val="24"/>
          <w:lang w:val="en-US"/>
        </w:rPr>
        <w:t xml:space="preserve">There is a need for </w:t>
      </w:r>
      <w:r w:rsidRPr="00EB2CB3">
        <w:rPr>
          <w:rFonts w:asciiTheme="majorBidi" w:hAnsiTheme="majorBidi" w:cstheme="majorBidi"/>
          <w:b/>
          <w:sz w:val="24"/>
          <w:szCs w:val="24"/>
          <w:lang w:val="en-US"/>
        </w:rPr>
        <w:t>support</w:t>
      </w:r>
      <w:r w:rsidRPr="00EB2CB3">
        <w:rPr>
          <w:rFonts w:asciiTheme="majorBidi" w:hAnsiTheme="majorBidi" w:cstheme="majorBidi"/>
          <w:sz w:val="24"/>
          <w:szCs w:val="24"/>
          <w:lang w:val="en-US"/>
        </w:rPr>
        <w:t xml:space="preserve"> for having an onsite task team meeting with attendance of Worms to discuss how to ensure the list in the future, how best to improve the website, links to the </w:t>
      </w:r>
      <w:r w:rsidRPr="00EB2CB3">
        <w:rPr>
          <w:rFonts w:asciiTheme="majorBidi" w:hAnsiTheme="majorBidi" w:cstheme="majorBidi"/>
          <w:sz w:val="24"/>
          <w:szCs w:val="24"/>
          <w:lang w:val="en-US"/>
        </w:rPr>
        <w:lastRenderedPageBreak/>
        <w:t>Toxin website, how to deal with the freshwater cyanobacteria, and for sharing the best ways to work on the list with technical input from the Worms team.</w:t>
      </w:r>
    </w:p>
    <w:p w14:paraId="5381C9A0" w14:textId="77777777" w:rsidR="0056722D" w:rsidRPr="00EB2CB3" w:rsidRDefault="0056722D" w:rsidP="00611E2D">
      <w:pPr>
        <w:snapToGri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F967E84" w14:textId="1DC02142" w:rsidR="00B5447D" w:rsidRPr="00EB2CB3" w:rsidRDefault="00611E2D" w:rsidP="00057136">
      <w:pPr>
        <w:snapToGri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2CB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Next generation of taxonomists </w:t>
      </w:r>
      <w:r w:rsidRPr="00EB2C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should be trained. Taxonomic expertise is disappearing in </w:t>
      </w:r>
      <w:r w:rsidR="004C271A" w:rsidRPr="00EB2CB3">
        <w:rPr>
          <w:rFonts w:ascii="Times New Roman" w:hAnsi="Times New Roman" w:cs="Times New Roman"/>
          <w:color w:val="000000"/>
          <w:sz w:val="24"/>
          <w:szCs w:val="24"/>
          <w:lang w:val="en-US"/>
        </w:rPr>
        <w:t>many</w:t>
      </w:r>
      <w:r w:rsidRPr="00EB2C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parts of the world – can we maintain a reasonable number of experts on the different taxonomic groups of toxigenic microalgal species?</w:t>
      </w:r>
      <w:r w:rsidR="004C271A" w:rsidRPr="00EB2C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We think that a more </w:t>
      </w:r>
      <w:r w:rsidR="006D234B">
        <w:rPr>
          <w:rFonts w:ascii="Times New Roman" w:hAnsi="Times New Roman" w:cs="Times New Roman"/>
          <w:color w:val="000000"/>
          <w:sz w:val="24"/>
          <w:szCs w:val="24"/>
          <w:lang w:val="en-US"/>
        </w:rPr>
        <w:t>general focus on taxonomy as a s</w:t>
      </w:r>
      <w:r w:rsidR="004C271A" w:rsidRPr="00EB2CB3">
        <w:rPr>
          <w:rFonts w:ascii="Times New Roman" w:hAnsi="Times New Roman" w:cs="Times New Roman"/>
          <w:color w:val="000000"/>
          <w:sz w:val="24"/>
          <w:szCs w:val="24"/>
          <w:lang w:val="en-US"/>
        </w:rPr>
        <w:t>cience is needed.</w:t>
      </w:r>
    </w:p>
    <w:p w14:paraId="6BA13FCF" w14:textId="2419CBEE" w:rsidR="00B5447D" w:rsidRPr="00EB2CB3" w:rsidRDefault="00B5447D" w:rsidP="00E80D58">
      <w:pPr>
        <w:snapToGri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B13A50" w14:textId="0616C22B" w:rsidR="00B5447D" w:rsidRPr="00EB2CB3" w:rsidRDefault="00B5447D" w:rsidP="00E80D58">
      <w:pPr>
        <w:snapToGri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bookmarkEnd w:id="0"/>
    <w:p w14:paraId="49033E23" w14:textId="77777777" w:rsidR="00816F4D" w:rsidRPr="00EB2CB3" w:rsidRDefault="00816F4D" w:rsidP="00E80D58">
      <w:pPr>
        <w:snapToGri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IE"/>
        </w:rPr>
      </w:pPr>
    </w:p>
    <w:sectPr w:rsidR="00816F4D" w:rsidRPr="00EB2C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1555"/>
    <w:multiLevelType w:val="hybridMultilevel"/>
    <w:tmpl w:val="A8F676C0"/>
    <w:lvl w:ilvl="0" w:tplc="45A05706">
      <w:start w:val="1"/>
      <w:numFmt w:val="lowerRoman"/>
      <w:lvlText w:val="(%1)"/>
      <w:lvlJc w:val="left"/>
      <w:pPr>
        <w:tabs>
          <w:tab w:val="num" w:pos="180"/>
        </w:tabs>
        <w:ind w:left="180" w:hanging="18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5864ED"/>
    <w:multiLevelType w:val="hybridMultilevel"/>
    <w:tmpl w:val="3E90903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253D1"/>
    <w:multiLevelType w:val="hybridMultilevel"/>
    <w:tmpl w:val="8A623920"/>
    <w:lvl w:ilvl="0" w:tplc="D82CBF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DEE6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7839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88BB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74666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DECE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58C9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D836C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6EB2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805F4"/>
    <w:multiLevelType w:val="hybridMultilevel"/>
    <w:tmpl w:val="48E29448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B03B6"/>
    <w:multiLevelType w:val="hybridMultilevel"/>
    <w:tmpl w:val="F4D2D1F0"/>
    <w:lvl w:ilvl="0" w:tplc="7BE445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63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5C15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090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624A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1074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20FA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F8AB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0EED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1649B"/>
    <w:multiLevelType w:val="hybridMultilevel"/>
    <w:tmpl w:val="95A8E2D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01197"/>
    <w:multiLevelType w:val="hybridMultilevel"/>
    <w:tmpl w:val="E47A998C"/>
    <w:lvl w:ilvl="0" w:tplc="FE5803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8043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AE3C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DA17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AC14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A421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291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C07E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0C84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869916">
    <w:abstractNumId w:val="0"/>
  </w:num>
  <w:num w:numId="2" w16cid:durableId="141428474">
    <w:abstractNumId w:val="1"/>
  </w:num>
  <w:num w:numId="3" w16cid:durableId="107285258">
    <w:abstractNumId w:val="4"/>
  </w:num>
  <w:num w:numId="4" w16cid:durableId="2118329896">
    <w:abstractNumId w:val="6"/>
  </w:num>
  <w:num w:numId="5" w16cid:durableId="76904999">
    <w:abstractNumId w:val="2"/>
  </w:num>
  <w:num w:numId="6" w16cid:durableId="646016201">
    <w:abstractNumId w:val="3"/>
  </w:num>
  <w:num w:numId="7" w16cid:durableId="207762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F81"/>
    <w:rsid w:val="00057136"/>
    <w:rsid w:val="0006377D"/>
    <w:rsid w:val="000D1CC1"/>
    <w:rsid w:val="00183C02"/>
    <w:rsid w:val="00193BCC"/>
    <w:rsid w:val="001B2A90"/>
    <w:rsid w:val="001E3628"/>
    <w:rsid w:val="001F5C7A"/>
    <w:rsid w:val="00225C01"/>
    <w:rsid w:val="00312BF1"/>
    <w:rsid w:val="00343924"/>
    <w:rsid w:val="00353C10"/>
    <w:rsid w:val="0035512E"/>
    <w:rsid w:val="00430E71"/>
    <w:rsid w:val="00434254"/>
    <w:rsid w:val="00470729"/>
    <w:rsid w:val="00492993"/>
    <w:rsid w:val="004C271A"/>
    <w:rsid w:val="004F0A6B"/>
    <w:rsid w:val="004F5E83"/>
    <w:rsid w:val="00537059"/>
    <w:rsid w:val="0056722D"/>
    <w:rsid w:val="00591168"/>
    <w:rsid w:val="00611E2D"/>
    <w:rsid w:val="006A176C"/>
    <w:rsid w:val="006D0363"/>
    <w:rsid w:val="006D234B"/>
    <w:rsid w:val="006E00E3"/>
    <w:rsid w:val="006F3285"/>
    <w:rsid w:val="00743BA2"/>
    <w:rsid w:val="00744FBA"/>
    <w:rsid w:val="00752E3F"/>
    <w:rsid w:val="0075570D"/>
    <w:rsid w:val="007809C3"/>
    <w:rsid w:val="007B2AAF"/>
    <w:rsid w:val="00816F4D"/>
    <w:rsid w:val="008517C0"/>
    <w:rsid w:val="00880D4B"/>
    <w:rsid w:val="008846F8"/>
    <w:rsid w:val="009E32B5"/>
    <w:rsid w:val="009E7D92"/>
    <w:rsid w:val="009F778A"/>
    <w:rsid w:val="00A416B6"/>
    <w:rsid w:val="00AC6703"/>
    <w:rsid w:val="00AE2F81"/>
    <w:rsid w:val="00B020AA"/>
    <w:rsid w:val="00B5447D"/>
    <w:rsid w:val="00BA6D85"/>
    <w:rsid w:val="00BD5246"/>
    <w:rsid w:val="00C70931"/>
    <w:rsid w:val="00C70DEC"/>
    <w:rsid w:val="00D353F0"/>
    <w:rsid w:val="00DF1F25"/>
    <w:rsid w:val="00DF30BC"/>
    <w:rsid w:val="00DF4E2A"/>
    <w:rsid w:val="00E037AC"/>
    <w:rsid w:val="00E427B7"/>
    <w:rsid w:val="00E80D58"/>
    <w:rsid w:val="00E96878"/>
    <w:rsid w:val="00EB2CB3"/>
    <w:rsid w:val="00ED645C"/>
    <w:rsid w:val="00F4758D"/>
    <w:rsid w:val="00F85419"/>
    <w:rsid w:val="00FC74D9"/>
    <w:rsid w:val="00F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382B3"/>
  <w15:chartTrackingRefBased/>
  <w15:docId w15:val="{EDD7254A-612A-4402-AE80-0D356321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F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2F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6F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0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03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03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3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4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1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6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3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Lundholm</dc:creator>
  <cp:keywords/>
  <dc:description/>
  <cp:lastModifiedBy>Sun, Yun</cp:lastModifiedBy>
  <cp:revision>35</cp:revision>
  <cp:lastPrinted>2025-02-03T10:32:00Z</cp:lastPrinted>
  <dcterms:created xsi:type="dcterms:W3CDTF">2025-02-04T09:49:00Z</dcterms:created>
  <dcterms:modified xsi:type="dcterms:W3CDTF">2025-03-04T14:19:00Z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