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3715B" w14:textId="1869DC52" w:rsidR="00E2361D" w:rsidRPr="00BB4C8C" w:rsidRDefault="00E2361D" w:rsidP="00E2361D">
      <w:r w:rsidRPr="00BB4C8C">
        <w:t xml:space="preserve">Limited distribution                                         </w:t>
      </w:r>
      <w:r w:rsidRPr="00BB4C8C">
        <w:tab/>
      </w:r>
      <w:r w:rsidRPr="00BB4C8C">
        <w:tab/>
      </w:r>
      <w:r w:rsidRPr="00BB4C8C">
        <w:tab/>
        <w:t xml:space="preserve">        </w:t>
      </w:r>
      <w:r>
        <w:t xml:space="preserve"> </w:t>
      </w:r>
      <w:bookmarkStart w:id="0" w:name="OLE_LINK6"/>
      <w:r w:rsidRPr="00BB4C8C">
        <w:t>IOC/IODE-28/2</w:t>
      </w:r>
      <w:r>
        <w:t xml:space="preserve"> add.</w:t>
      </w:r>
      <w:bookmarkEnd w:id="0"/>
    </w:p>
    <w:p w14:paraId="2D60A639" w14:textId="77777777" w:rsidR="00E2361D" w:rsidRPr="00BB4C8C" w:rsidRDefault="00E2361D" w:rsidP="00E2361D">
      <w:pPr>
        <w:jc w:val="right"/>
      </w:pPr>
      <w:r w:rsidRPr="00BB4C8C">
        <w:t xml:space="preserve">Oostende, </w:t>
      </w:r>
      <w:r>
        <w:t>27 February</w:t>
      </w:r>
      <w:r w:rsidRPr="00BB4C8C">
        <w:t xml:space="preserve"> 202</w:t>
      </w:r>
      <w:r>
        <w:t>5</w:t>
      </w:r>
    </w:p>
    <w:p w14:paraId="6FD59D57" w14:textId="77777777" w:rsidR="00E2361D" w:rsidRPr="00BB4C8C" w:rsidRDefault="00E2361D" w:rsidP="00E2361D">
      <w:pPr>
        <w:jc w:val="right"/>
      </w:pPr>
      <w:r w:rsidRPr="00BB4C8C">
        <w:t>Original: English</w:t>
      </w:r>
    </w:p>
    <w:p w14:paraId="7101FB21" w14:textId="77777777" w:rsidR="00E2361D" w:rsidRPr="00BB4C8C" w:rsidRDefault="00E2361D" w:rsidP="00E2361D">
      <w:pPr>
        <w:jc w:val="center"/>
        <w:rPr>
          <w:b/>
        </w:rPr>
      </w:pPr>
    </w:p>
    <w:p w14:paraId="740C09CF" w14:textId="77777777" w:rsidR="00E2361D" w:rsidRPr="00BB4C8C" w:rsidRDefault="00E2361D" w:rsidP="00E2361D">
      <w:pPr>
        <w:jc w:val="center"/>
        <w:rPr>
          <w:b/>
        </w:rPr>
      </w:pPr>
      <w:r w:rsidRPr="00BB4C8C">
        <w:rPr>
          <w:b/>
        </w:rPr>
        <w:t xml:space="preserve"> </w:t>
      </w:r>
    </w:p>
    <w:p w14:paraId="0CE14EE7" w14:textId="77777777" w:rsidR="00E2361D" w:rsidRPr="00BB4C8C" w:rsidRDefault="00E2361D" w:rsidP="00E2361D">
      <w:pPr>
        <w:jc w:val="center"/>
        <w:rPr>
          <w:b/>
        </w:rPr>
      </w:pPr>
      <w:r w:rsidRPr="00BB4C8C">
        <w:rPr>
          <w:b/>
        </w:rPr>
        <w:t>INTERGOVERNMENTAL OCEANOGRAPHIC COMMISSION</w:t>
      </w:r>
    </w:p>
    <w:p w14:paraId="3A9C9B68" w14:textId="77777777" w:rsidR="00E2361D" w:rsidRPr="00BB4C8C" w:rsidRDefault="00E2361D" w:rsidP="00E2361D">
      <w:pPr>
        <w:jc w:val="center"/>
        <w:rPr>
          <w:b/>
        </w:rPr>
      </w:pPr>
      <w:r w:rsidRPr="00BB4C8C">
        <w:rPr>
          <w:b/>
        </w:rPr>
        <w:t>(of UNESCO)</w:t>
      </w:r>
    </w:p>
    <w:p w14:paraId="2502B40F" w14:textId="77777777" w:rsidR="00E2361D" w:rsidRPr="00BB4C8C" w:rsidRDefault="00E2361D" w:rsidP="00E2361D">
      <w:pPr>
        <w:jc w:val="center"/>
      </w:pPr>
      <w:r w:rsidRPr="00BB4C8C">
        <w:t xml:space="preserve"> </w:t>
      </w:r>
    </w:p>
    <w:p w14:paraId="73C25DAA" w14:textId="77777777" w:rsidR="00E2361D" w:rsidRPr="00BB4C8C" w:rsidRDefault="00E2361D" w:rsidP="00E2361D">
      <w:pPr>
        <w:spacing w:after="200"/>
        <w:jc w:val="center"/>
        <w:rPr>
          <w:b/>
        </w:rPr>
      </w:pPr>
      <w:r w:rsidRPr="00BB4C8C">
        <w:rPr>
          <w:b/>
        </w:rPr>
        <w:t>Twenty-eighth Session of the IOC Committee on International Oceanographic Data and Information Exchange (IODE-28)</w:t>
      </w:r>
    </w:p>
    <w:p w14:paraId="02904822" w14:textId="77777777" w:rsidR="00E2361D" w:rsidRPr="00BB4C8C" w:rsidRDefault="00E2361D" w:rsidP="00E2361D">
      <w:pPr>
        <w:spacing w:after="200"/>
        <w:jc w:val="center"/>
        <w:rPr>
          <w:b/>
        </w:rPr>
      </w:pPr>
      <w:r w:rsidRPr="00BB4C8C">
        <w:rPr>
          <w:b/>
        </w:rPr>
        <w:t>12-14 March 2025</w:t>
      </w:r>
    </w:p>
    <w:p w14:paraId="742C001D" w14:textId="77777777" w:rsidR="00E2361D" w:rsidRPr="00BB4C8C" w:rsidRDefault="00E2361D" w:rsidP="00E2361D">
      <w:pPr>
        <w:jc w:val="center"/>
        <w:rPr>
          <w:b/>
          <w:sz w:val="36"/>
          <w:szCs w:val="36"/>
        </w:rPr>
      </w:pPr>
      <w:r w:rsidRPr="00BB4C8C">
        <w:rPr>
          <w:b/>
          <w:sz w:val="36"/>
          <w:szCs w:val="36"/>
        </w:rPr>
        <w:t>Action Paper</w:t>
      </w:r>
    </w:p>
    <w:p w14:paraId="570D487B" w14:textId="2C478DC3" w:rsidR="00E2361D" w:rsidRPr="00BB4C8C" w:rsidRDefault="00E2361D" w:rsidP="00E2361D">
      <w:pPr>
        <w:jc w:val="center"/>
        <w:rPr>
          <w:b/>
          <w:sz w:val="36"/>
          <w:szCs w:val="36"/>
        </w:rPr>
      </w:pPr>
      <w:r>
        <w:rPr>
          <w:b/>
          <w:sz w:val="36"/>
          <w:szCs w:val="36"/>
        </w:rPr>
        <w:t>Addendum</w:t>
      </w:r>
      <w:r>
        <w:rPr>
          <w:b/>
          <w:sz w:val="36"/>
          <w:szCs w:val="36"/>
        </w:rPr>
        <w:t xml:space="preserve"> (agenda item 6.2.5)</w:t>
      </w:r>
    </w:p>
    <w:p w14:paraId="33A26F53" w14:textId="77777777" w:rsidR="0058187D" w:rsidRDefault="0058187D"/>
    <w:p w14:paraId="4F8C1296" w14:textId="2FFD65DF" w:rsidR="00E2361D" w:rsidRDefault="00E2361D">
      <w:r>
        <w:t>This addendum is being provided to allow Committee members to review the proposed Recommendation 6.2.5</w:t>
      </w:r>
    </w:p>
    <w:p w14:paraId="016357CA" w14:textId="77777777" w:rsidR="00E2361D" w:rsidRDefault="00E2361D"/>
    <w:p w14:paraId="4F70064D" w14:textId="77777777" w:rsidR="00E2361D" w:rsidRPr="005A4B6A" w:rsidRDefault="00E2361D" w:rsidP="00E2361D">
      <w:pPr>
        <w:pStyle w:val="Heading3"/>
      </w:pPr>
      <w:bookmarkStart w:id="1" w:name="_Toc191470788"/>
      <w:r w:rsidRPr="005A4B6A">
        <w:t>6.2.5</w:t>
      </w:r>
      <w:r w:rsidRPr="005A4B6A">
        <w:tab/>
      </w:r>
      <w:r w:rsidRPr="00912085">
        <w:t>ADVANCING OCEAN DATA SHARING FOR SUSTAINABLE DEVELOPMENT IN AREAS WITHIN NATIONAL JURISDICTION</w:t>
      </w:r>
      <w:bookmarkEnd w:id="1"/>
    </w:p>
    <w:p w14:paraId="17AE8F6B" w14:textId="77777777" w:rsidR="00E2361D" w:rsidRPr="004E5317" w:rsidRDefault="00E2361D" w:rsidP="00E2361D">
      <w:pPr>
        <w:numPr>
          <w:ilvl w:val="0"/>
          <w:numId w:val="8"/>
        </w:numPr>
        <w:pBdr>
          <w:top w:val="nil"/>
          <w:left w:val="nil"/>
          <w:bottom w:val="nil"/>
          <w:right w:val="nil"/>
          <w:between w:val="nil"/>
        </w:pBdr>
        <w:rPr>
          <w:color w:val="000000"/>
        </w:rPr>
      </w:pPr>
      <w:r>
        <w:rPr>
          <w:color w:val="000000"/>
        </w:rPr>
        <w:t xml:space="preserve">This agenda item was introduced by </w:t>
      </w:r>
      <w:r w:rsidRPr="005A4B6A">
        <w:rPr>
          <w:b/>
          <w:bCs/>
          <w:color w:val="000000"/>
        </w:rPr>
        <w:t>Mr Adam Leadbetter</w:t>
      </w:r>
      <w:r>
        <w:rPr>
          <w:color w:val="000000"/>
        </w:rPr>
        <w:t>, Lead of the DCO for Data Sharing. He explained that t</w:t>
      </w:r>
      <w:r w:rsidRPr="004E5317">
        <w:rPr>
          <w:color w:val="000000"/>
        </w:rPr>
        <w:t xml:space="preserve">he DCO-ODS is working closely with the </w:t>
      </w:r>
      <w:r>
        <w:rPr>
          <w:color w:val="000000"/>
        </w:rPr>
        <w:t xml:space="preserve">UN Ocean Decade’s </w:t>
      </w:r>
      <w:r w:rsidRPr="004E5317">
        <w:rPr>
          <w:color w:val="000000"/>
        </w:rPr>
        <w:t xml:space="preserve">Corporate Data Group to promote ocean data sharing </w:t>
      </w:r>
      <w:r>
        <w:rPr>
          <w:color w:val="000000"/>
        </w:rPr>
        <w:t xml:space="preserve">from private industry </w:t>
      </w:r>
      <w:r w:rsidRPr="004E5317">
        <w:rPr>
          <w:color w:val="000000"/>
        </w:rPr>
        <w:t xml:space="preserve">where data has traditionally been siloed and inaccessible. </w:t>
      </w:r>
      <w:r>
        <w:rPr>
          <w:color w:val="000000"/>
        </w:rPr>
        <w:t>He then introduced the proposed</w:t>
      </w:r>
      <w:r w:rsidRPr="004E5317">
        <w:rPr>
          <w:color w:val="000000"/>
        </w:rPr>
        <w:t xml:space="preserve"> Recommendation IODE-</w:t>
      </w:r>
      <w:r>
        <w:rPr>
          <w:color w:val="000000"/>
        </w:rPr>
        <w:t>28/</w:t>
      </w:r>
      <w:r w:rsidRPr="004E5317">
        <w:rPr>
          <w:color w:val="000000"/>
        </w:rPr>
        <w:t>6.2</w:t>
      </w:r>
      <w:r>
        <w:rPr>
          <w:color w:val="000000"/>
        </w:rPr>
        <w:t>.6 that was</w:t>
      </w:r>
      <w:r w:rsidRPr="004E5317">
        <w:rPr>
          <w:color w:val="000000"/>
        </w:rPr>
        <w:t xml:space="preserve"> developed with the Corporate Data Group to further the use of the IOC Data Policy and Terms of Use </w:t>
      </w:r>
      <w:r>
        <w:rPr>
          <w:color w:val="000000"/>
        </w:rPr>
        <w:t xml:space="preserve">(2023) </w:t>
      </w:r>
      <w:r w:rsidRPr="004E5317">
        <w:rPr>
          <w:color w:val="000000"/>
        </w:rPr>
        <w:t>particularly in the licensing and permitting of commercial activity which generates data within national jurisdiction.</w:t>
      </w:r>
    </w:p>
    <w:p w14:paraId="1EC0AE60" w14:textId="77777777" w:rsidR="00E2361D" w:rsidRDefault="00E2361D" w:rsidP="00E2361D">
      <w:pPr>
        <w:numPr>
          <w:ilvl w:val="0"/>
          <w:numId w:val="8"/>
        </w:numPr>
        <w:pBdr>
          <w:top w:val="nil"/>
          <w:left w:val="nil"/>
          <w:bottom w:val="nil"/>
          <w:right w:val="nil"/>
          <w:between w:val="nil"/>
        </w:pBdr>
        <w:rPr>
          <w:color w:val="000000"/>
        </w:rPr>
      </w:pPr>
      <w:r w:rsidRPr="004E5317">
        <w:rPr>
          <w:color w:val="000000"/>
        </w:rPr>
        <w:t>Mr. Leadbetter noted that Recommendation IODE-</w:t>
      </w:r>
      <w:r>
        <w:rPr>
          <w:color w:val="000000"/>
        </w:rPr>
        <w:t>28/</w:t>
      </w:r>
      <w:r w:rsidRPr="004E5317">
        <w:rPr>
          <w:color w:val="000000"/>
        </w:rPr>
        <w:t>6.2</w:t>
      </w:r>
      <w:r>
        <w:rPr>
          <w:color w:val="000000"/>
        </w:rPr>
        <w:t>.5</w:t>
      </w:r>
      <w:r w:rsidRPr="004E5317">
        <w:rPr>
          <w:color w:val="000000"/>
        </w:rPr>
        <w:t xml:space="preserve"> includes the establishment of an Intersessional Working Group to support and promote the implementation of Recommendation </w:t>
      </w:r>
      <w:r>
        <w:rPr>
          <w:color w:val="000000"/>
        </w:rPr>
        <w:t>IODE-28/</w:t>
      </w:r>
      <w:r w:rsidRPr="004E5317">
        <w:rPr>
          <w:color w:val="000000"/>
        </w:rPr>
        <w:t>6.2</w:t>
      </w:r>
      <w:r>
        <w:rPr>
          <w:color w:val="000000"/>
        </w:rPr>
        <w:t>.5</w:t>
      </w:r>
      <w:r w:rsidRPr="004E5317">
        <w:rPr>
          <w:color w:val="000000"/>
        </w:rPr>
        <w:t xml:space="preserve"> and called on the committee for volunteers to be members of this working group.</w:t>
      </w:r>
    </w:p>
    <w:p w14:paraId="60EE5CAF" w14:textId="77777777" w:rsidR="00E2361D" w:rsidRPr="004E5317" w:rsidRDefault="00E2361D" w:rsidP="00E2361D">
      <w:pPr>
        <w:numPr>
          <w:ilvl w:val="0"/>
          <w:numId w:val="8"/>
        </w:numPr>
        <w:pBdr>
          <w:top w:val="nil"/>
          <w:left w:val="nil"/>
          <w:bottom w:val="nil"/>
          <w:right w:val="nil"/>
          <w:between w:val="nil"/>
        </w:pBdr>
        <w:rPr>
          <w:color w:val="000000"/>
        </w:rPr>
      </w:pPr>
      <w:r w:rsidRPr="004E5317">
        <w:rPr>
          <w:highlight w:val="yellow"/>
        </w:rPr>
        <w:t xml:space="preserve">Proposed: </w:t>
      </w:r>
      <w:r w:rsidRPr="004E5317">
        <w:rPr>
          <w:b/>
          <w:highlight w:val="yellow"/>
        </w:rPr>
        <w:t xml:space="preserve">The Committee adopted </w:t>
      </w:r>
      <w:r w:rsidRPr="004E5317">
        <w:rPr>
          <w:b/>
          <w:highlight w:val="yellow"/>
          <w:u w:val="single"/>
        </w:rPr>
        <w:t>Recommendation IODE-28/6.2.5</w:t>
      </w:r>
    </w:p>
    <w:p w14:paraId="33668E2D" w14:textId="77777777" w:rsidR="00E2361D" w:rsidRDefault="00E2361D" w:rsidP="00E2361D">
      <w:pPr>
        <w:jc w:val="center"/>
        <w:rPr>
          <w:b/>
        </w:rPr>
      </w:pPr>
    </w:p>
    <w:p w14:paraId="00691DB5" w14:textId="77777777" w:rsidR="00E2361D" w:rsidRPr="004A3215" w:rsidRDefault="00E2361D" w:rsidP="00E2361D">
      <w:pPr>
        <w:jc w:val="center"/>
        <w:rPr>
          <w:b/>
          <w:u w:val="single"/>
        </w:rPr>
      </w:pPr>
      <w:bookmarkStart w:id="2" w:name="rec625"/>
      <w:r w:rsidRPr="004A3215">
        <w:rPr>
          <w:b/>
          <w:u w:val="single"/>
        </w:rPr>
        <w:t>Recommendation IODE-28/</w:t>
      </w:r>
      <w:r>
        <w:rPr>
          <w:b/>
          <w:u w:val="single"/>
        </w:rPr>
        <w:t>6.2.5</w:t>
      </w:r>
      <w:bookmarkEnd w:id="2"/>
    </w:p>
    <w:p w14:paraId="5BA5558F" w14:textId="77777777" w:rsidR="00E2361D" w:rsidRPr="005A4B6A" w:rsidRDefault="00E2361D" w:rsidP="00E2361D">
      <w:pPr>
        <w:pBdr>
          <w:top w:val="nil"/>
          <w:left w:val="nil"/>
          <w:bottom w:val="nil"/>
          <w:right w:val="nil"/>
          <w:between w:val="nil"/>
        </w:pBdr>
        <w:ind w:left="284"/>
        <w:jc w:val="center"/>
        <w:rPr>
          <w:b/>
          <w:bCs/>
          <w:color w:val="000000"/>
        </w:rPr>
      </w:pPr>
      <w:r w:rsidRPr="005A4B6A">
        <w:rPr>
          <w:b/>
          <w:bCs/>
          <w:color w:val="000000"/>
        </w:rPr>
        <w:t>Advancing Ocean Data Sharing for Sustainable Development in areas within national jurisdiction</w:t>
      </w:r>
    </w:p>
    <w:p w14:paraId="70D0409D" w14:textId="77777777" w:rsidR="00E2361D" w:rsidRPr="005A4B6A" w:rsidRDefault="00E2361D" w:rsidP="00E2361D">
      <w:pPr>
        <w:pBdr>
          <w:top w:val="nil"/>
          <w:left w:val="nil"/>
          <w:bottom w:val="nil"/>
          <w:right w:val="nil"/>
          <w:between w:val="nil"/>
        </w:pBdr>
        <w:ind w:left="284"/>
        <w:rPr>
          <w:b/>
          <w:bCs/>
          <w:color w:val="000000"/>
        </w:rPr>
      </w:pPr>
      <w:r>
        <w:rPr>
          <w:color w:val="000000"/>
        </w:rPr>
        <w:t>T</w:t>
      </w:r>
      <w:r w:rsidRPr="005A4B6A">
        <w:rPr>
          <w:color w:val="000000"/>
        </w:rPr>
        <w:t>he IODE Committee:</w:t>
      </w:r>
    </w:p>
    <w:p w14:paraId="004BC452" w14:textId="77777777" w:rsidR="00E2361D" w:rsidRPr="005A4B6A" w:rsidRDefault="00E2361D" w:rsidP="00E2361D">
      <w:pPr>
        <w:pBdr>
          <w:top w:val="nil"/>
          <w:left w:val="nil"/>
          <w:bottom w:val="nil"/>
          <w:right w:val="nil"/>
          <w:between w:val="nil"/>
        </w:pBdr>
        <w:ind w:left="284"/>
        <w:rPr>
          <w:color w:val="000000"/>
        </w:rPr>
      </w:pPr>
      <w:r w:rsidRPr="005A4B6A">
        <w:rPr>
          <w:b/>
          <w:bCs/>
          <w:i/>
          <w:iCs/>
          <w:color w:val="000000"/>
        </w:rPr>
        <w:t>Recalling</w:t>
      </w:r>
      <w:r w:rsidRPr="005A4B6A">
        <w:rPr>
          <w:color w:val="000000"/>
        </w:rPr>
        <w:t xml:space="preserve"> </w:t>
      </w:r>
    </w:p>
    <w:p w14:paraId="75B725DF" w14:textId="77777777" w:rsidR="00E2361D" w:rsidRPr="005A4B6A" w:rsidRDefault="00E2361D" w:rsidP="00E2361D">
      <w:pPr>
        <w:numPr>
          <w:ilvl w:val="0"/>
          <w:numId w:val="9"/>
        </w:numPr>
        <w:pBdr>
          <w:top w:val="nil"/>
          <w:left w:val="nil"/>
          <w:bottom w:val="nil"/>
          <w:right w:val="nil"/>
          <w:between w:val="nil"/>
        </w:pBdr>
        <w:rPr>
          <w:color w:val="000000"/>
        </w:rPr>
      </w:pPr>
      <w:r w:rsidRPr="005A4B6A">
        <w:rPr>
          <w:color w:val="000000"/>
        </w:rPr>
        <w:t>that the IOC Data Policy and Terms of use was published in 2023 and recommends the findable, accessible, interoperable and reusable sharing of ocean metadata, data and products with minimally restrictive and voluntary common use licenses,</w:t>
      </w:r>
    </w:p>
    <w:p w14:paraId="0E34E30A" w14:textId="77777777" w:rsidR="00E2361D" w:rsidRPr="005A4B6A" w:rsidRDefault="00E2361D" w:rsidP="00E2361D">
      <w:pPr>
        <w:numPr>
          <w:ilvl w:val="0"/>
          <w:numId w:val="9"/>
        </w:numPr>
        <w:pBdr>
          <w:top w:val="nil"/>
          <w:left w:val="nil"/>
          <w:bottom w:val="nil"/>
          <w:right w:val="nil"/>
          <w:between w:val="nil"/>
        </w:pBdr>
        <w:rPr>
          <w:color w:val="000000"/>
        </w:rPr>
      </w:pPr>
      <w:r w:rsidRPr="005A4B6A">
        <w:rPr>
          <w:color w:val="000000"/>
        </w:rPr>
        <w:lastRenderedPageBreak/>
        <w:t>the importance of sustainable ocean management as emphasized in the Implementation Plan of the United Nations Decade of Ocean Science for Sustainable Development (2021-2030) endorsed at the 75th United Nations General Assembly in 2020,</w:t>
      </w:r>
    </w:p>
    <w:p w14:paraId="1DF69E46" w14:textId="77777777" w:rsidR="00E2361D" w:rsidRPr="005A4B6A" w:rsidRDefault="00E2361D" w:rsidP="00E2361D">
      <w:pPr>
        <w:pBdr>
          <w:top w:val="nil"/>
          <w:left w:val="nil"/>
          <w:bottom w:val="nil"/>
          <w:right w:val="nil"/>
          <w:between w:val="nil"/>
        </w:pBdr>
        <w:ind w:left="284"/>
        <w:rPr>
          <w:color w:val="000000"/>
        </w:rPr>
      </w:pPr>
      <w:r w:rsidRPr="005A4B6A">
        <w:rPr>
          <w:b/>
          <w:bCs/>
          <w:i/>
          <w:iCs/>
          <w:color w:val="000000"/>
        </w:rPr>
        <w:t>Recognising</w:t>
      </w:r>
      <w:r w:rsidRPr="005A4B6A">
        <w:rPr>
          <w:color w:val="000000"/>
        </w:rPr>
        <w:t xml:space="preserve"> that:</w:t>
      </w:r>
    </w:p>
    <w:p w14:paraId="19229A48" w14:textId="77777777" w:rsidR="00E2361D" w:rsidRPr="005A4B6A" w:rsidRDefault="00E2361D" w:rsidP="00E2361D">
      <w:pPr>
        <w:numPr>
          <w:ilvl w:val="0"/>
          <w:numId w:val="10"/>
        </w:numPr>
        <w:pBdr>
          <w:top w:val="nil"/>
          <w:left w:val="nil"/>
          <w:bottom w:val="nil"/>
          <w:right w:val="nil"/>
          <w:between w:val="nil"/>
        </w:pBdr>
        <w:rPr>
          <w:color w:val="000000"/>
        </w:rPr>
      </w:pPr>
      <w:r w:rsidRPr="005A4B6A">
        <w:rPr>
          <w:color w:val="000000"/>
        </w:rPr>
        <w:t>there is a critical role for data in supporting and allowing science-based decision-making, including effective marine spatial planning,</w:t>
      </w:r>
    </w:p>
    <w:p w14:paraId="5F856E22" w14:textId="77777777" w:rsidR="00E2361D" w:rsidRPr="005A4B6A" w:rsidRDefault="00E2361D" w:rsidP="00E2361D">
      <w:pPr>
        <w:numPr>
          <w:ilvl w:val="0"/>
          <w:numId w:val="10"/>
        </w:numPr>
        <w:pBdr>
          <w:top w:val="nil"/>
          <w:left w:val="nil"/>
          <w:bottom w:val="nil"/>
          <w:right w:val="nil"/>
          <w:between w:val="nil"/>
        </w:pBdr>
        <w:rPr>
          <w:color w:val="000000"/>
        </w:rPr>
      </w:pPr>
      <w:r w:rsidRPr="005A4B6A">
        <w:rPr>
          <w:color w:val="000000"/>
        </w:rPr>
        <w:t xml:space="preserve">the need for sharing ocean-data is also </w:t>
      </w:r>
      <w:proofErr w:type="gramStart"/>
      <w:r w:rsidRPr="005A4B6A">
        <w:rPr>
          <w:color w:val="000000"/>
        </w:rPr>
        <w:t>recognised  within</w:t>
      </w:r>
      <w:proofErr w:type="gramEnd"/>
      <w:r w:rsidRPr="005A4B6A">
        <w:rPr>
          <w:color w:val="000000"/>
        </w:rPr>
        <w:t xml:space="preserve"> the United Nations Convention on the Law of the Sea (Part XIII) and Agreement under the United Nations Convention on the Law of the Sea on the Conservation and Sustainable Use of Marine Biological Diversity of Areas beyond National Jurisdiction (Part II, V, VI),</w:t>
      </w:r>
    </w:p>
    <w:p w14:paraId="1CDEEE1D" w14:textId="77777777" w:rsidR="00E2361D" w:rsidRPr="005A4B6A" w:rsidRDefault="00E2361D" w:rsidP="00E2361D">
      <w:pPr>
        <w:numPr>
          <w:ilvl w:val="0"/>
          <w:numId w:val="10"/>
        </w:numPr>
        <w:pBdr>
          <w:top w:val="nil"/>
          <w:left w:val="nil"/>
          <w:bottom w:val="nil"/>
          <w:right w:val="nil"/>
          <w:between w:val="nil"/>
        </w:pBdr>
        <w:rPr>
          <w:color w:val="000000"/>
        </w:rPr>
      </w:pPr>
      <w:r w:rsidRPr="005A4B6A">
        <w:rPr>
          <w:color w:val="000000"/>
        </w:rPr>
        <w:t>the private sector holds and is actively collecting a vast reservoir of valuable ocean data, acquired through commercial activities in support of marine resource management, offshore energy exploration and development, marine infrastructure development and monitoring, and scientific research in every ocean basin,</w:t>
      </w:r>
    </w:p>
    <w:p w14:paraId="2F618742" w14:textId="77777777" w:rsidR="00E2361D" w:rsidRPr="005A4B6A" w:rsidRDefault="00E2361D" w:rsidP="00E2361D">
      <w:pPr>
        <w:numPr>
          <w:ilvl w:val="0"/>
          <w:numId w:val="10"/>
        </w:numPr>
        <w:pBdr>
          <w:top w:val="nil"/>
          <w:left w:val="nil"/>
          <w:bottom w:val="nil"/>
          <w:right w:val="nil"/>
          <w:between w:val="nil"/>
        </w:pBdr>
        <w:rPr>
          <w:color w:val="000000"/>
        </w:rPr>
      </w:pPr>
      <w:r w:rsidRPr="005A4B6A">
        <w:rPr>
          <w:color w:val="000000"/>
        </w:rPr>
        <w:t>the sharing of data collected by private sector bodies offers the possibility of immense benefits to science, policy makers, and the private corporations themselves,</w:t>
      </w:r>
    </w:p>
    <w:p w14:paraId="4B8EB5B5" w14:textId="77777777" w:rsidR="00E2361D" w:rsidRPr="005A4B6A" w:rsidRDefault="00E2361D" w:rsidP="00E2361D">
      <w:pPr>
        <w:numPr>
          <w:ilvl w:val="0"/>
          <w:numId w:val="10"/>
        </w:numPr>
        <w:pBdr>
          <w:top w:val="nil"/>
          <w:left w:val="nil"/>
          <w:bottom w:val="nil"/>
          <w:right w:val="nil"/>
          <w:between w:val="nil"/>
        </w:pBdr>
        <w:rPr>
          <w:color w:val="000000"/>
        </w:rPr>
      </w:pPr>
      <w:r w:rsidRPr="005A4B6A">
        <w:rPr>
          <w:color w:val="000000"/>
        </w:rPr>
        <w:t>only a fraction of ocean-related data from private sector industries is shared publicly,</w:t>
      </w:r>
    </w:p>
    <w:p w14:paraId="3CDDCC94" w14:textId="77777777" w:rsidR="00E2361D" w:rsidRPr="005A4B6A" w:rsidRDefault="00E2361D" w:rsidP="00E2361D">
      <w:pPr>
        <w:pBdr>
          <w:top w:val="nil"/>
          <w:left w:val="nil"/>
          <w:bottom w:val="nil"/>
          <w:right w:val="nil"/>
          <w:between w:val="nil"/>
        </w:pBdr>
        <w:ind w:left="284"/>
        <w:rPr>
          <w:color w:val="000000"/>
        </w:rPr>
      </w:pPr>
      <w:r w:rsidRPr="005A4B6A">
        <w:rPr>
          <w:b/>
          <w:bCs/>
          <w:i/>
          <w:iCs/>
          <w:color w:val="000000"/>
        </w:rPr>
        <w:t>Noting</w:t>
      </w:r>
      <w:r w:rsidRPr="005A4B6A">
        <w:rPr>
          <w:color w:val="000000"/>
        </w:rPr>
        <w:t xml:space="preserve"> that the sharing of these data collected by private industry using the IOC Data Policy and Terms of use would dramatically increase the volumes of data available for monitoring, understanding and modelling the ocean advancing scientific research and improving data-driven decision making in sustainable ocean management,</w:t>
      </w:r>
    </w:p>
    <w:p w14:paraId="23FE0BDB" w14:textId="77777777" w:rsidR="00E2361D" w:rsidRPr="005A4B6A" w:rsidRDefault="00E2361D" w:rsidP="00E2361D">
      <w:pPr>
        <w:pBdr>
          <w:top w:val="nil"/>
          <w:left w:val="nil"/>
          <w:bottom w:val="nil"/>
          <w:right w:val="nil"/>
          <w:between w:val="nil"/>
        </w:pBdr>
        <w:ind w:left="284"/>
        <w:rPr>
          <w:color w:val="000000"/>
        </w:rPr>
      </w:pPr>
      <w:r w:rsidRPr="005A4B6A">
        <w:rPr>
          <w:b/>
          <w:bCs/>
          <w:color w:val="000000"/>
        </w:rPr>
        <w:t>Encourages</w:t>
      </w:r>
      <w:r w:rsidRPr="005A4B6A">
        <w:rPr>
          <w:color w:val="000000"/>
        </w:rPr>
        <w:t xml:space="preserve"> Member States to support the implementation of the IOC Data Policy and Terms of Use for the sharing of data for all-ocean related data collection, both publicly and privately funded, in their territorial waters and exclusive economic </w:t>
      </w:r>
      <w:proofErr w:type="gramStart"/>
      <w:r w:rsidRPr="005A4B6A">
        <w:rPr>
          <w:color w:val="000000"/>
        </w:rPr>
        <w:t>zones</w:t>
      </w:r>
      <w:r>
        <w:rPr>
          <w:color w:val="000000"/>
        </w:rPr>
        <w:t>;</w:t>
      </w:r>
      <w:proofErr w:type="gramEnd"/>
    </w:p>
    <w:p w14:paraId="64198BFA" w14:textId="77777777" w:rsidR="00E2361D" w:rsidRPr="005A4B6A" w:rsidRDefault="00E2361D" w:rsidP="00E2361D">
      <w:pPr>
        <w:pBdr>
          <w:top w:val="nil"/>
          <w:left w:val="nil"/>
          <w:bottom w:val="nil"/>
          <w:right w:val="nil"/>
          <w:between w:val="nil"/>
        </w:pBdr>
        <w:ind w:left="284"/>
        <w:rPr>
          <w:color w:val="000000"/>
        </w:rPr>
      </w:pPr>
      <w:r w:rsidRPr="005A4B6A">
        <w:rPr>
          <w:b/>
          <w:bCs/>
          <w:color w:val="000000"/>
        </w:rPr>
        <w:t>Call</w:t>
      </w:r>
      <w:r>
        <w:rPr>
          <w:b/>
          <w:bCs/>
          <w:color w:val="000000"/>
        </w:rPr>
        <w:t>s</w:t>
      </w:r>
      <w:r w:rsidRPr="005A4B6A">
        <w:rPr>
          <w:b/>
          <w:bCs/>
          <w:color w:val="000000"/>
        </w:rPr>
        <w:t xml:space="preserve"> upon</w:t>
      </w:r>
      <w:r w:rsidRPr="005A4B6A">
        <w:rPr>
          <w:color w:val="000000"/>
        </w:rPr>
        <w:t xml:space="preserve"> Member States to recognise </w:t>
      </w:r>
      <w:r>
        <w:rPr>
          <w:color w:val="000000"/>
        </w:rPr>
        <w:t xml:space="preserve">that </w:t>
      </w:r>
      <w:r w:rsidRPr="005A4B6A">
        <w:rPr>
          <w:color w:val="000000"/>
        </w:rPr>
        <w:t xml:space="preserve">data sharing practices will strengthen the collective ability of all to meet the goals of the UN Ocean Decade and to address UN Sustainable Development Goal </w:t>
      </w:r>
      <w:proofErr w:type="gramStart"/>
      <w:r w:rsidRPr="005A4B6A">
        <w:rPr>
          <w:color w:val="000000"/>
        </w:rPr>
        <w:t>14</w:t>
      </w:r>
      <w:r>
        <w:rPr>
          <w:color w:val="000000"/>
        </w:rPr>
        <w:t>;</w:t>
      </w:r>
      <w:proofErr w:type="gramEnd"/>
    </w:p>
    <w:p w14:paraId="431BD13C" w14:textId="77777777" w:rsidR="00E2361D" w:rsidRPr="005A4B6A" w:rsidRDefault="00E2361D" w:rsidP="00E2361D">
      <w:pPr>
        <w:pBdr>
          <w:top w:val="nil"/>
          <w:left w:val="nil"/>
          <w:bottom w:val="nil"/>
          <w:right w:val="nil"/>
          <w:between w:val="nil"/>
        </w:pBdr>
        <w:ind w:left="284"/>
        <w:rPr>
          <w:color w:val="000000"/>
        </w:rPr>
      </w:pPr>
      <w:r w:rsidRPr="005A4B6A">
        <w:rPr>
          <w:b/>
          <w:bCs/>
          <w:color w:val="000000"/>
        </w:rPr>
        <w:t xml:space="preserve">Urges </w:t>
      </w:r>
      <w:r w:rsidRPr="005A4B6A">
        <w:rPr>
          <w:color w:val="000000"/>
        </w:rPr>
        <w:t xml:space="preserve">Member States to collaborate with industry, research and data infrastructure stakeholders to standardise ocean data sharing practices through the establishment of national data-sharing policies, regulations and permissions for all ocean-related activities conducted within their territorial waters and Exclusive Economic Zones, including through the inclusion of the provisions of the IOC Data Policy and Terms of Use in licensing and permitting within their </w:t>
      </w:r>
      <w:proofErr w:type="gramStart"/>
      <w:r w:rsidRPr="005A4B6A">
        <w:rPr>
          <w:color w:val="000000"/>
        </w:rPr>
        <w:t>jurisdictions</w:t>
      </w:r>
      <w:r>
        <w:rPr>
          <w:color w:val="000000"/>
        </w:rPr>
        <w:t>;</w:t>
      </w:r>
      <w:proofErr w:type="gramEnd"/>
    </w:p>
    <w:p w14:paraId="1D36B55A" w14:textId="77777777" w:rsidR="00E2361D" w:rsidRPr="005A4B6A" w:rsidRDefault="00E2361D" w:rsidP="00E2361D">
      <w:pPr>
        <w:pBdr>
          <w:top w:val="nil"/>
          <w:left w:val="nil"/>
          <w:bottom w:val="nil"/>
          <w:right w:val="nil"/>
          <w:between w:val="nil"/>
        </w:pBdr>
        <w:ind w:left="284"/>
        <w:rPr>
          <w:color w:val="000000"/>
        </w:rPr>
      </w:pPr>
      <w:r w:rsidRPr="005A4B6A">
        <w:rPr>
          <w:b/>
          <w:bCs/>
          <w:color w:val="000000"/>
        </w:rPr>
        <w:t>Affirms</w:t>
      </w:r>
      <w:r w:rsidRPr="005A4B6A">
        <w:rPr>
          <w:color w:val="000000"/>
        </w:rPr>
        <w:t xml:space="preserve"> that sustainable ocean management requires unlocking the large volume of ocean data collected and held by private industry for collective benefit to scientific research, policy making and industry </w:t>
      </w:r>
      <w:proofErr w:type="gramStart"/>
      <w:r w:rsidRPr="005A4B6A">
        <w:rPr>
          <w:color w:val="000000"/>
        </w:rPr>
        <w:t>operations</w:t>
      </w:r>
      <w:r>
        <w:rPr>
          <w:color w:val="000000"/>
        </w:rPr>
        <w:t>;</w:t>
      </w:r>
      <w:proofErr w:type="gramEnd"/>
    </w:p>
    <w:p w14:paraId="56D80D45" w14:textId="77777777" w:rsidR="00E2361D" w:rsidRDefault="00E2361D" w:rsidP="00E2361D">
      <w:pPr>
        <w:pBdr>
          <w:top w:val="nil"/>
          <w:left w:val="nil"/>
          <w:bottom w:val="nil"/>
          <w:right w:val="nil"/>
          <w:between w:val="nil"/>
        </w:pBdr>
        <w:ind w:left="284"/>
        <w:rPr>
          <w:color w:val="000000"/>
        </w:rPr>
      </w:pPr>
      <w:r w:rsidRPr="005A4B6A">
        <w:rPr>
          <w:b/>
          <w:bCs/>
          <w:color w:val="000000"/>
        </w:rPr>
        <w:t>Instructs</w:t>
      </w:r>
      <w:r w:rsidRPr="005A4B6A">
        <w:rPr>
          <w:color w:val="000000"/>
        </w:rPr>
        <w:t xml:space="preserve"> the co-chairs of IODE, in close cooperation with the Decade Coordination Office for Ocean Data Sharing and the UN Ocean Decade’s Corporate Data Group, to present this recommendation for adoption by the 33rd session of the IOC Assembly as part of the IODE-</w:t>
      </w:r>
      <w:r>
        <w:rPr>
          <w:color w:val="000000"/>
        </w:rPr>
        <w:t>28 recommendation</w:t>
      </w:r>
      <w:r w:rsidRPr="005A4B6A">
        <w:rPr>
          <w:color w:val="000000"/>
        </w:rPr>
        <w:t>.</w:t>
      </w:r>
    </w:p>
    <w:p w14:paraId="3981E629" w14:textId="77777777" w:rsidR="00E2361D" w:rsidRDefault="00E2361D" w:rsidP="00E2361D">
      <w:pPr>
        <w:pBdr>
          <w:top w:val="nil"/>
          <w:left w:val="nil"/>
          <w:bottom w:val="nil"/>
          <w:right w:val="nil"/>
          <w:between w:val="nil"/>
        </w:pBdr>
        <w:ind w:left="284"/>
        <w:rPr>
          <w:color w:val="000000"/>
        </w:rPr>
      </w:pPr>
      <w:r w:rsidRPr="004E5317">
        <w:rPr>
          <w:b/>
          <w:bCs/>
          <w:color w:val="000000"/>
        </w:rPr>
        <w:t>Decides</w:t>
      </w:r>
      <w:r>
        <w:rPr>
          <w:color w:val="000000"/>
        </w:rPr>
        <w:t xml:space="preserve"> to</w:t>
      </w:r>
      <w:r w:rsidRPr="004E5317">
        <w:rPr>
          <w:color w:val="000000"/>
        </w:rPr>
        <w:t xml:space="preserve"> establish an inter-sessional working group to facilitate and promote implementation of this recommendation</w:t>
      </w:r>
      <w:r>
        <w:rPr>
          <w:color w:val="000000"/>
        </w:rPr>
        <w:t>, with terms of reference as attached in Annex to this Recommendation</w:t>
      </w:r>
      <w:r w:rsidRPr="004E5317">
        <w:rPr>
          <w:color w:val="000000"/>
        </w:rPr>
        <w:t>.</w:t>
      </w:r>
    </w:p>
    <w:p w14:paraId="5F566FB1" w14:textId="77777777" w:rsidR="00E2361D" w:rsidRDefault="00E2361D" w:rsidP="00E2361D">
      <w:pPr>
        <w:pBdr>
          <w:top w:val="nil"/>
          <w:left w:val="nil"/>
          <w:bottom w:val="nil"/>
          <w:right w:val="nil"/>
          <w:between w:val="nil"/>
        </w:pBdr>
        <w:ind w:left="284"/>
        <w:rPr>
          <w:color w:val="000000"/>
        </w:rPr>
      </w:pPr>
    </w:p>
    <w:p w14:paraId="4FCE96F4" w14:textId="77777777" w:rsidR="00E2361D" w:rsidRDefault="00E2361D" w:rsidP="00E2361D">
      <w:pPr>
        <w:pBdr>
          <w:top w:val="nil"/>
          <w:left w:val="nil"/>
          <w:bottom w:val="nil"/>
          <w:right w:val="nil"/>
          <w:between w:val="nil"/>
        </w:pBdr>
        <w:ind w:left="284"/>
        <w:rPr>
          <w:color w:val="000000"/>
        </w:rPr>
      </w:pPr>
    </w:p>
    <w:p w14:paraId="6861D822" w14:textId="77777777" w:rsidR="00E2361D" w:rsidRPr="004E5317" w:rsidRDefault="00E2361D" w:rsidP="00E2361D">
      <w:pPr>
        <w:pBdr>
          <w:top w:val="nil"/>
          <w:left w:val="nil"/>
          <w:bottom w:val="nil"/>
          <w:right w:val="nil"/>
          <w:between w:val="nil"/>
        </w:pBdr>
        <w:ind w:left="284"/>
        <w:rPr>
          <w:color w:val="000000"/>
        </w:rPr>
      </w:pPr>
    </w:p>
    <w:p w14:paraId="4767816B" w14:textId="77777777" w:rsidR="00E2361D" w:rsidRPr="004E5317" w:rsidRDefault="00E2361D" w:rsidP="00E2361D">
      <w:pPr>
        <w:pBdr>
          <w:top w:val="nil"/>
          <w:left w:val="nil"/>
          <w:bottom w:val="nil"/>
          <w:right w:val="nil"/>
          <w:between w:val="nil"/>
        </w:pBdr>
        <w:ind w:left="284"/>
        <w:jc w:val="center"/>
        <w:rPr>
          <w:color w:val="000000"/>
        </w:rPr>
      </w:pPr>
      <w:r w:rsidRPr="004E5317">
        <w:rPr>
          <w:color w:val="000000"/>
        </w:rPr>
        <w:lastRenderedPageBreak/>
        <w:t xml:space="preserve">Annex to IODE Recommendation </w:t>
      </w:r>
      <w:r>
        <w:rPr>
          <w:color w:val="000000"/>
        </w:rPr>
        <w:t>IODE-28/</w:t>
      </w:r>
      <w:r w:rsidRPr="004E5317">
        <w:rPr>
          <w:color w:val="000000"/>
        </w:rPr>
        <w:t>6.2</w:t>
      </w:r>
      <w:r>
        <w:rPr>
          <w:color w:val="000000"/>
        </w:rPr>
        <w:t>.5</w:t>
      </w:r>
    </w:p>
    <w:p w14:paraId="68DCCD7F" w14:textId="77777777" w:rsidR="00E2361D" w:rsidRPr="004E5317" w:rsidRDefault="00E2361D" w:rsidP="00E2361D">
      <w:pPr>
        <w:pBdr>
          <w:top w:val="nil"/>
          <w:left w:val="nil"/>
          <w:bottom w:val="nil"/>
          <w:right w:val="nil"/>
          <w:between w:val="nil"/>
        </w:pBdr>
        <w:ind w:left="284"/>
        <w:jc w:val="center"/>
        <w:rPr>
          <w:b/>
          <w:bCs/>
          <w:color w:val="000000"/>
        </w:rPr>
      </w:pPr>
      <w:r w:rsidRPr="004E5317">
        <w:rPr>
          <w:b/>
          <w:bCs/>
          <w:color w:val="000000"/>
        </w:rPr>
        <w:t>Terms of Reference of the IODE Inter-sessional Working Group on the Advancing Ocean Data Sharing for Sustainable Development in areas within national jurisdiction (IWG-DSNJ)</w:t>
      </w:r>
    </w:p>
    <w:p w14:paraId="79C462FD" w14:textId="77777777" w:rsidR="00E2361D" w:rsidRPr="004E5317" w:rsidRDefault="00E2361D" w:rsidP="00E2361D">
      <w:pPr>
        <w:pBdr>
          <w:top w:val="nil"/>
          <w:left w:val="nil"/>
          <w:bottom w:val="nil"/>
          <w:right w:val="nil"/>
          <w:between w:val="nil"/>
        </w:pBdr>
        <w:ind w:left="284"/>
        <w:rPr>
          <w:b/>
          <w:bCs/>
          <w:color w:val="000000"/>
        </w:rPr>
      </w:pPr>
      <w:r w:rsidRPr="004E5317">
        <w:rPr>
          <w:b/>
          <w:bCs/>
          <w:color w:val="000000"/>
        </w:rPr>
        <w:t>Objectives:</w:t>
      </w:r>
    </w:p>
    <w:p w14:paraId="7E168CA7" w14:textId="77777777" w:rsidR="00E2361D" w:rsidRPr="004E5317" w:rsidRDefault="00E2361D" w:rsidP="00E2361D">
      <w:pPr>
        <w:numPr>
          <w:ilvl w:val="0"/>
          <w:numId w:val="11"/>
        </w:numPr>
        <w:pBdr>
          <w:top w:val="nil"/>
          <w:left w:val="nil"/>
          <w:bottom w:val="nil"/>
          <w:right w:val="nil"/>
          <w:between w:val="nil"/>
        </w:pBdr>
        <w:rPr>
          <w:color w:val="000000"/>
        </w:rPr>
      </w:pPr>
      <w:r w:rsidRPr="004E5317">
        <w:rPr>
          <w:color w:val="000000"/>
        </w:rPr>
        <w:t xml:space="preserve">Engage with and encourage the implementation by Member States of IODE Recommendation </w:t>
      </w:r>
      <w:r>
        <w:rPr>
          <w:color w:val="000000"/>
        </w:rPr>
        <w:t>IODE-28/</w:t>
      </w:r>
      <w:r w:rsidRPr="004E5317">
        <w:rPr>
          <w:color w:val="000000"/>
        </w:rPr>
        <w:t>6.2</w:t>
      </w:r>
      <w:r>
        <w:rPr>
          <w:color w:val="000000"/>
        </w:rPr>
        <w:t>.5</w:t>
      </w:r>
      <w:r w:rsidRPr="004E5317">
        <w:rPr>
          <w:color w:val="000000"/>
        </w:rPr>
        <w:t xml:space="preserve"> through providing practical advice and developing case studies,</w:t>
      </w:r>
    </w:p>
    <w:p w14:paraId="421ECF8A" w14:textId="77777777" w:rsidR="00E2361D" w:rsidRPr="004E5317" w:rsidRDefault="00E2361D" w:rsidP="00E2361D">
      <w:pPr>
        <w:numPr>
          <w:ilvl w:val="0"/>
          <w:numId w:val="11"/>
        </w:numPr>
        <w:pBdr>
          <w:top w:val="nil"/>
          <w:left w:val="nil"/>
          <w:bottom w:val="nil"/>
          <w:right w:val="nil"/>
          <w:between w:val="nil"/>
        </w:pBdr>
        <w:rPr>
          <w:color w:val="000000"/>
        </w:rPr>
      </w:pPr>
      <w:r w:rsidRPr="004E5317">
        <w:rPr>
          <w:color w:val="000000"/>
        </w:rPr>
        <w:t xml:space="preserve">Document the implementation of the IOC Data Policy and Terms of Use as outlined in the recommendation, </w:t>
      </w:r>
    </w:p>
    <w:p w14:paraId="330CB820" w14:textId="77777777" w:rsidR="00E2361D" w:rsidRPr="004E5317" w:rsidRDefault="00E2361D" w:rsidP="00E2361D">
      <w:pPr>
        <w:numPr>
          <w:ilvl w:val="0"/>
          <w:numId w:val="11"/>
        </w:numPr>
        <w:pBdr>
          <w:top w:val="nil"/>
          <w:left w:val="nil"/>
          <w:bottom w:val="nil"/>
          <w:right w:val="nil"/>
          <w:between w:val="nil"/>
        </w:pBdr>
        <w:rPr>
          <w:color w:val="000000"/>
        </w:rPr>
      </w:pPr>
      <w:r w:rsidRPr="004E5317">
        <w:rPr>
          <w:color w:val="000000"/>
        </w:rPr>
        <w:t>Disseminate best practices of inclusion of ocean data sharing practices in national data-sharing policies, regulations and permissions for all ocean-related activities conducted within their territorial waters and Exclusive Economic Zones</w:t>
      </w:r>
      <w:r>
        <w:rPr>
          <w:color w:val="000000"/>
        </w:rPr>
        <w:t>,</w:t>
      </w:r>
    </w:p>
    <w:p w14:paraId="0A00790C" w14:textId="77777777" w:rsidR="00E2361D" w:rsidRPr="004E5317" w:rsidRDefault="00E2361D" w:rsidP="00E2361D">
      <w:pPr>
        <w:numPr>
          <w:ilvl w:val="0"/>
          <w:numId w:val="11"/>
        </w:numPr>
        <w:pBdr>
          <w:top w:val="nil"/>
          <w:left w:val="nil"/>
          <w:bottom w:val="nil"/>
          <w:right w:val="nil"/>
          <w:between w:val="nil"/>
        </w:pBdr>
        <w:rPr>
          <w:color w:val="000000"/>
        </w:rPr>
      </w:pPr>
      <w:r w:rsidRPr="004E5317">
        <w:rPr>
          <w:color w:val="000000"/>
        </w:rPr>
        <w:t xml:space="preserve">Report progress on the adoption by member states of the recommendation to the </w:t>
      </w:r>
      <w:r>
        <w:rPr>
          <w:color w:val="000000"/>
        </w:rPr>
        <w:t>29</w:t>
      </w:r>
      <w:r w:rsidRPr="004E5317">
        <w:rPr>
          <w:color w:val="000000"/>
        </w:rPr>
        <w:t>th session of the IODE Committee</w:t>
      </w:r>
      <w:r>
        <w:rPr>
          <w:color w:val="000000"/>
        </w:rPr>
        <w:t>.</w:t>
      </w:r>
    </w:p>
    <w:p w14:paraId="4F307788" w14:textId="77777777" w:rsidR="00E2361D" w:rsidRPr="004E5317" w:rsidRDefault="00E2361D" w:rsidP="00E2361D">
      <w:pPr>
        <w:pBdr>
          <w:top w:val="nil"/>
          <w:left w:val="nil"/>
          <w:bottom w:val="nil"/>
          <w:right w:val="nil"/>
          <w:between w:val="nil"/>
        </w:pBdr>
        <w:ind w:left="284"/>
        <w:rPr>
          <w:color w:val="000000"/>
        </w:rPr>
      </w:pPr>
      <w:r w:rsidRPr="004E5317">
        <w:rPr>
          <w:b/>
          <w:bCs/>
          <w:color w:val="000000"/>
        </w:rPr>
        <w:t>Modalities:</w:t>
      </w:r>
      <w:r w:rsidRPr="004E5317">
        <w:rPr>
          <w:color w:val="000000"/>
        </w:rPr>
        <w:t xml:space="preserve"> The IWG will normally conduct its business through entirely electronic means. Should any face-to-face meetings be deemed necessary, participation will be optional with alternative arrangements for electronic participation and in-person participation will be entirely self-funded. </w:t>
      </w:r>
    </w:p>
    <w:p w14:paraId="116682C3" w14:textId="77777777" w:rsidR="00E2361D" w:rsidRPr="004E5317" w:rsidRDefault="00E2361D" w:rsidP="00E2361D">
      <w:pPr>
        <w:pBdr>
          <w:top w:val="nil"/>
          <w:left w:val="nil"/>
          <w:bottom w:val="nil"/>
          <w:right w:val="nil"/>
          <w:between w:val="nil"/>
        </w:pBdr>
        <w:ind w:left="284"/>
        <w:rPr>
          <w:color w:val="000000"/>
        </w:rPr>
      </w:pPr>
      <w:r w:rsidRPr="004E5317">
        <w:rPr>
          <w:color w:val="000000"/>
        </w:rPr>
        <w:t>Expected meeting frequency will be at least once per month or as required by ongoing actions.</w:t>
      </w:r>
    </w:p>
    <w:p w14:paraId="24B32AF7" w14:textId="77777777" w:rsidR="00E2361D" w:rsidRPr="004E5317" w:rsidRDefault="00E2361D" w:rsidP="00E2361D">
      <w:pPr>
        <w:pBdr>
          <w:top w:val="nil"/>
          <w:left w:val="nil"/>
          <w:bottom w:val="nil"/>
          <w:right w:val="nil"/>
          <w:between w:val="nil"/>
        </w:pBdr>
        <w:ind w:left="284"/>
        <w:rPr>
          <w:i/>
          <w:iCs/>
          <w:color w:val="000000"/>
        </w:rPr>
      </w:pPr>
      <w:r w:rsidRPr="004E5317">
        <w:rPr>
          <w:color w:val="000000"/>
        </w:rPr>
        <w:t>The IWG will operate its own secretarial tasks.</w:t>
      </w:r>
    </w:p>
    <w:p w14:paraId="0883FB15" w14:textId="77777777" w:rsidR="00E2361D" w:rsidRPr="004E5317" w:rsidRDefault="00E2361D" w:rsidP="00E2361D">
      <w:pPr>
        <w:pBdr>
          <w:top w:val="nil"/>
          <w:left w:val="nil"/>
          <w:bottom w:val="nil"/>
          <w:right w:val="nil"/>
          <w:between w:val="nil"/>
        </w:pBdr>
        <w:ind w:left="284"/>
        <w:rPr>
          <w:color w:val="000000"/>
        </w:rPr>
      </w:pPr>
      <w:r w:rsidRPr="004E5317">
        <w:rPr>
          <w:b/>
          <w:bCs/>
          <w:color w:val="000000"/>
        </w:rPr>
        <w:t>Membership:</w:t>
      </w:r>
      <w:r w:rsidRPr="004E5317">
        <w:rPr>
          <w:color w:val="000000"/>
        </w:rPr>
        <w:t xml:space="preserve"> Initial membership will be composed of</w:t>
      </w:r>
    </w:p>
    <w:p w14:paraId="4A4414B1" w14:textId="77777777" w:rsidR="00E2361D" w:rsidRPr="004E5317" w:rsidRDefault="00E2361D" w:rsidP="00E2361D">
      <w:pPr>
        <w:numPr>
          <w:ilvl w:val="0"/>
          <w:numId w:val="12"/>
        </w:numPr>
        <w:pBdr>
          <w:top w:val="nil"/>
          <w:left w:val="nil"/>
          <w:bottom w:val="nil"/>
          <w:right w:val="nil"/>
          <w:between w:val="nil"/>
        </w:pBdr>
        <w:rPr>
          <w:color w:val="000000"/>
        </w:rPr>
      </w:pPr>
      <w:r w:rsidRPr="004E5317">
        <w:rPr>
          <w:color w:val="000000"/>
        </w:rPr>
        <w:t xml:space="preserve">One of the IODE co-chairs, </w:t>
      </w:r>
      <w:r>
        <w:rPr>
          <w:color w:val="000000"/>
        </w:rPr>
        <w:t>and/</w:t>
      </w:r>
      <w:r w:rsidRPr="004E5317">
        <w:rPr>
          <w:color w:val="000000"/>
        </w:rPr>
        <w:t>or a representative of the IODE secretariat</w:t>
      </w:r>
    </w:p>
    <w:p w14:paraId="30DAAFC1" w14:textId="77777777" w:rsidR="00E2361D" w:rsidRPr="004E5317" w:rsidRDefault="00E2361D" w:rsidP="00E2361D">
      <w:pPr>
        <w:numPr>
          <w:ilvl w:val="0"/>
          <w:numId w:val="12"/>
        </w:numPr>
        <w:pBdr>
          <w:top w:val="nil"/>
          <w:left w:val="nil"/>
          <w:bottom w:val="nil"/>
          <w:right w:val="nil"/>
          <w:between w:val="nil"/>
        </w:pBdr>
        <w:rPr>
          <w:color w:val="000000"/>
        </w:rPr>
      </w:pPr>
      <w:r w:rsidRPr="004E5317">
        <w:rPr>
          <w:color w:val="000000"/>
        </w:rPr>
        <w:t>Mr. Peter Burger representing the Decade Coordination Unit and the UN Ocean Decade’s Corporate Data Group</w:t>
      </w:r>
    </w:p>
    <w:p w14:paraId="509556B4" w14:textId="77777777" w:rsidR="00E2361D" w:rsidRPr="004E5317" w:rsidRDefault="00E2361D" w:rsidP="00E2361D">
      <w:pPr>
        <w:numPr>
          <w:ilvl w:val="0"/>
          <w:numId w:val="12"/>
        </w:numPr>
        <w:pBdr>
          <w:top w:val="nil"/>
          <w:left w:val="nil"/>
          <w:bottom w:val="nil"/>
          <w:right w:val="nil"/>
          <w:between w:val="nil"/>
        </w:pBdr>
        <w:rPr>
          <w:color w:val="000000"/>
        </w:rPr>
      </w:pPr>
      <w:r w:rsidRPr="004E5317">
        <w:rPr>
          <w:color w:val="000000"/>
        </w:rPr>
        <w:t>Mr. Adam Leadbetter representing the Decade Coordination Unit for Ocean Data Sharing</w:t>
      </w:r>
    </w:p>
    <w:p w14:paraId="0C2C1E32" w14:textId="77777777" w:rsidR="00E2361D" w:rsidRPr="004E5317" w:rsidRDefault="00E2361D" w:rsidP="00E2361D">
      <w:pPr>
        <w:numPr>
          <w:ilvl w:val="0"/>
          <w:numId w:val="12"/>
        </w:numPr>
        <w:pBdr>
          <w:top w:val="nil"/>
          <w:left w:val="nil"/>
          <w:bottom w:val="nil"/>
          <w:right w:val="nil"/>
          <w:between w:val="nil"/>
        </w:pBdr>
        <w:rPr>
          <w:color w:val="000000"/>
        </w:rPr>
      </w:pPr>
      <w:r w:rsidRPr="004E5317">
        <w:rPr>
          <w:i/>
          <w:iCs/>
          <w:color w:val="000000"/>
        </w:rPr>
        <w:t>Other membership to be called for at IODE</w:t>
      </w:r>
      <w:r>
        <w:rPr>
          <w:i/>
          <w:iCs/>
          <w:color w:val="000000"/>
        </w:rPr>
        <w:t xml:space="preserve">-28 </w:t>
      </w:r>
      <w:r w:rsidRPr="004E5317">
        <w:rPr>
          <w:i/>
          <w:iCs/>
          <w:color w:val="000000"/>
        </w:rPr>
        <w:t>from member states</w:t>
      </w:r>
      <w:r w:rsidRPr="004E5317">
        <w:rPr>
          <w:color w:val="000000"/>
        </w:rPr>
        <w:t>…</w:t>
      </w:r>
    </w:p>
    <w:p w14:paraId="4C7FA8A8" w14:textId="77777777" w:rsidR="00E2361D" w:rsidRDefault="00E2361D"/>
    <w:sectPr w:rsidR="00E2361D" w:rsidSect="00E2361D">
      <w:headerReference w:type="even" r:id="rId7"/>
      <w:head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EB638" w14:textId="77777777" w:rsidR="001D3F53" w:rsidRDefault="001D3F53" w:rsidP="00E2361D">
      <w:pPr>
        <w:spacing w:before="0"/>
      </w:pPr>
      <w:r>
        <w:separator/>
      </w:r>
    </w:p>
  </w:endnote>
  <w:endnote w:type="continuationSeparator" w:id="0">
    <w:p w14:paraId="01E27663" w14:textId="77777777" w:rsidR="001D3F53" w:rsidRDefault="001D3F53" w:rsidP="00E2361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4EDDB" w14:textId="77777777" w:rsidR="001D3F53" w:rsidRDefault="001D3F53" w:rsidP="00E2361D">
      <w:pPr>
        <w:spacing w:before="0"/>
      </w:pPr>
      <w:r>
        <w:separator/>
      </w:r>
    </w:p>
  </w:footnote>
  <w:footnote w:type="continuationSeparator" w:id="0">
    <w:p w14:paraId="1169C8C5" w14:textId="77777777" w:rsidR="001D3F53" w:rsidRDefault="001D3F53" w:rsidP="00E2361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9035F" w14:textId="0B0FF6E8" w:rsidR="00E2361D" w:rsidRDefault="00E2361D">
    <w:pPr>
      <w:pStyle w:val="Header"/>
    </w:pPr>
    <w:bookmarkStart w:id="3" w:name="OLE_LINK7"/>
    <w:bookmarkStart w:id="4" w:name="OLE_LINK8"/>
    <w:r w:rsidRPr="00BB4C8C">
      <w:t>IOC/IODE-28/2</w:t>
    </w:r>
    <w:r>
      <w:t xml:space="preserve"> add.</w:t>
    </w:r>
  </w:p>
  <w:p w14:paraId="2985AB59" w14:textId="225FE27D" w:rsidR="00E2361D" w:rsidRDefault="00E2361D">
    <w:pPr>
      <w:pStyle w:val="Header"/>
    </w:pPr>
    <w:r>
      <w:t>Page 2</w:t>
    </w:r>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846FC" w14:textId="537AD543" w:rsidR="00E2361D" w:rsidRDefault="00E2361D" w:rsidP="00E2361D">
    <w:pPr>
      <w:pStyle w:val="Header"/>
      <w:jc w:val="right"/>
    </w:pPr>
    <w:r>
      <w:tab/>
    </w:r>
    <w:r>
      <w:tab/>
      <w:t>IOC</w:t>
    </w:r>
    <w:r w:rsidRPr="00BB4C8C">
      <w:t>/IODE-28/2</w:t>
    </w:r>
    <w:r>
      <w:t xml:space="preserve"> add.</w:t>
    </w:r>
  </w:p>
  <w:p w14:paraId="61C93F5C" w14:textId="0127C245" w:rsidR="00E2361D" w:rsidRDefault="00E2361D" w:rsidP="00E2361D">
    <w:pPr>
      <w:pStyle w:val="Header"/>
      <w:ind w:left="7200"/>
      <w:jc w:val="right"/>
    </w:pPr>
    <w:r>
      <w:t>Page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4B4"/>
    <w:multiLevelType w:val="hybridMultilevel"/>
    <w:tmpl w:val="B2C233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0B509A"/>
    <w:multiLevelType w:val="hybridMultilevel"/>
    <w:tmpl w:val="4ABA324A"/>
    <w:lvl w:ilvl="0" w:tplc="0000001F">
      <w:start w:val="1"/>
      <w:numFmt w:val="lowerRoman"/>
      <w:lvlText w:val="(%1)"/>
      <w:lvlJc w:val="left"/>
      <w:pPr>
        <w:ind w:left="720" w:hanging="360"/>
      </w:pPr>
      <w:rPr>
        <w:rFonts w:cs="Arial" w:hint="default"/>
        <w:b w:val="0"/>
        <w:i/>
        <w:sz w:val="22"/>
        <w:lang w:val="en-G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F13440"/>
    <w:multiLevelType w:val="multilevel"/>
    <w:tmpl w:val="8DE4D9D8"/>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21E23AB"/>
    <w:multiLevelType w:val="multilevel"/>
    <w:tmpl w:val="57B413E8"/>
    <w:lvl w:ilvl="0">
      <w:start w:val="1"/>
      <w:numFmt w:val="decimal"/>
      <w:lvlText w:val="%1."/>
      <w:lvlJc w:val="right"/>
      <w:pPr>
        <w:ind w:left="227" w:hanging="227"/>
      </w:pPr>
      <w:rPr>
        <w:rFonts w:ascii="Arial" w:eastAsia="Arial" w:hAnsi="Arial" w:cs="Arial"/>
        <w:b w:val="0"/>
        <w:i/>
        <w:sz w:val="22"/>
        <w:szCs w:val="22"/>
      </w:rPr>
    </w:lvl>
    <w:lvl w:ilvl="1">
      <w:start w:val="1"/>
      <w:numFmt w:val="decimal"/>
      <w:lvlText w:val="%1.%2."/>
      <w:lvlJc w:val="right"/>
      <w:pPr>
        <w:ind w:left="1440" w:hanging="360"/>
      </w:p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4" w15:restartNumberingAfterBreak="0">
    <w:nsid w:val="38D5036B"/>
    <w:multiLevelType w:val="hybridMultilevel"/>
    <w:tmpl w:val="9F10D0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33D12B7"/>
    <w:multiLevelType w:val="hybridMultilevel"/>
    <w:tmpl w:val="351CE7F6"/>
    <w:lvl w:ilvl="0" w:tplc="89700AC0">
      <w:start w:val="1"/>
      <w:numFmt w:val="decimal"/>
      <w:lvlText w:val="%1"/>
      <w:lvlJc w:val="left"/>
      <w:pPr>
        <w:ind w:left="1440" w:hanging="360"/>
      </w:pPr>
      <w:rPr>
        <w:rFonts w:ascii="Arial" w:hAnsi="Arial" w:hint="default"/>
        <w:b w:val="0"/>
        <w:i/>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2602BB"/>
    <w:multiLevelType w:val="hybridMultilevel"/>
    <w:tmpl w:val="CC88FF60"/>
    <w:lvl w:ilvl="0" w:tplc="9892C34E">
      <w:start w:val="1"/>
      <w:numFmt w:val="decimal"/>
      <w:lvlText w:val="%1"/>
      <w:lvlJc w:val="left"/>
      <w:pPr>
        <w:ind w:left="-65" w:hanging="360"/>
      </w:pPr>
      <w:rPr>
        <w:rFonts w:ascii="Arial" w:hAnsi="Arial" w:hint="default"/>
        <w:b w:val="0"/>
        <w:i/>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7A10F3"/>
    <w:multiLevelType w:val="hybridMultilevel"/>
    <w:tmpl w:val="52945DF0"/>
    <w:lvl w:ilvl="0" w:tplc="4CF00B9A">
      <w:start w:val="1"/>
      <w:numFmt w:val="decimal"/>
      <w:pStyle w:val="paranumber"/>
      <w:lvlText w:val="%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1E5E6D"/>
    <w:multiLevelType w:val="multilevel"/>
    <w:tmpl w:val="F404C03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653A357F"/>
    <w:multiLevelType w:val="hybridMultilevel"/>
    <w:tmpl w:val="F8C662B0"/>
    <w:lvl w:ilvl="0" w:tplc="0000001F">
      <w:start w:val="1"/>
      <w:numFmt w:val="lowerRoman"/>
      <w:lvlText w:val="(%1)"/>
      <w:lvlJc w:val="left"/>
      <w:pPr>
        <w:ind w:left="720" w:hanging="360"/>
      </w:pPr>
      <w:rPr>
        <w:rFonts w:cs="Arial" w:hint="default"/>
        <w:lang w:val="en-G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6668303">
    <w:abstractNumId w:val="7"/>
  </w:num>
  <w:num w:numId="2" w16cid:durableId="2122264708">
    <w:abstractNumId w:val="5"/>
  </w:num>
  <w:num w:numId="3" w16cid:durableId="1514998423">
    <w:abstractNumId w:val="6"/>
  </w:num>
  <w:num w:numId="4" w16cid:durableId="2046438599">
    <w:abstractNumId w:val="6"/>
  </w:num>
  <w:num w:numId="5" w16cid:durableId="1475176800">
    <w:abstractNumId w:val="6"/>
  </w:num>
  <w:num w:numId="6" w16cid:durableId="1757750106">
    <w:abstractNumId w:val="2"/>
  </w:num>
  <w:num w:numId="7" w16cid:durableId="1546328838">
    <w:abstractNumId w:val="8"/>
  </w:num>
  <w:num w:numId="8" w16cid:durableId="1633906654">
    <w:abstractNumId w:val="3"/>
  </w:num>
  <w:num w:numId="9" w16cid:durableId="2069916362">
    <w:abstractNumId w:val="1"/>
  </w:num>
  <w:num w:numId="10" w16cid:durableId="364215110">
    <w:abstractNumId w:val="9"/>
  </w:num>
  <w:num w:numId="11" w16cid:durableId="1578436663">
    <w:abstractNumId w:val="0"/>
  </w:num>
  <w:num w:numId="12" w16cid:durableId="2066181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61D"/>
    <w:rsid w:val="0007152C"/>
    <w:rsid w:val="0019490C"/>
    <w:rsid w:val="001A00EE"/>
    <w:rsid w:val="001D3F53"/>
    <w:rsid w:val="0022413A"/>
    <w:rsid w:val="00252753"/>
    <w:rsid w:val="004C6F91"/>
    <w:rsid w:val="005655E3"/>
    <w:rsid w:val="005722D7"/>
    <w:rsid w:val="0058187D"/>
    <w:rsid w:val="005844EA"/>
    <w:rsid w:val="007B6FFD"/>
    <w:rsid w:val="00D326CB"/>
    <w:rsid w:val="00E2361D"/>
    <w:rsid w:val="00EE668A"/>
    <w:rsid w:val="00F86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9EBD4"/>
  <w15:chartTrackingRefBased/>
  <w15:docId w15:val="{77569AFA-ED9D-A74C-898E-631C3A6D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61D"/>
    <w:pPr>
      <w:spacing w:before="120"/>
      <w:jc w:val="both"/>
    </w:pPr>
    <w:rPr>
      <w:rFonts w:ascii="Arial" w:eastAsia="Arial" w:hAnsi="Arial" w:cs="Arial"/>
      <w:kern w:val="0"/>
      <w:sz w:val="22"/>
      <w:szCs w:val="22"/>
      <w:lang w:eastAsia="en-GB"/>
      <w14:ligatures w14:val="none"/>
    </w:rPr>
  </w:style>
  <w:style w:type="paragraph" w:styleId="Heading1">
    <w:name w:val="heading 1"/>
    <w:basedOn w:val="Normal"/>
    <w:next w:val="Normal"/>
    <w:link w:val="Heading1Char"/>
    <w:autoRedefine/>
    <w:uiPriority w:val="9"/>
    <w:qFormat/>
    <w:rsid w:val="00F86A96"/>
    <w:pPr>
      <w:keepNext/>
      <w:keepLines/>
      <w:spacing w:before="400" w:after="120" w:line="276" w:lineRule="auto"/>
      <w:ind w:left="1134" w:hanging="850"/>
      <w:outlineLvl w:val="0"/>
    </w:pPr>
    <w:rPr>
      <w:b/>
      <w:sz w:val="36"/>
      <w:szCs w:val="36"/>
    </w:rPr>
  </w:style>
  <w:style w:type="paragraph" w:styleId="Heading2">
    <w:name w:val="heading 2"/>
    <w:basedOn w:val="Normal"/>
    <w:next w:val="Normal"/>
    <w:link w:val="Heading2Char"/>
    <w:autoRedefine/>
    <w:uiPriority w:val="9"/>
    <w:unhideWhenUsed/>
    <w:qFormat/>
    <w:rsid w:val="00F86A96"/>
    <w:pPr>
      <w:keepNext/>
      <w:keepLines/>
      <w:spacing w:before="360" w:after="120" w:line="276" w:lineRule="auto"/>
      <w:ind w:left="1134"/>
      <w:outlineLvl w:val="1"/>
    </w:pPr>
    <w:rPr>
      <w:b/>
      <w:sz w:val="28"/>
      <w:szCs w:val="28"/>
    </w:rPr>
  </w:style>
  <w:style w:type="paragraph" w:styleId="Heading3">
    <w:name w:val="heading 3"/>
    <w:basedOn w:val="Normal"/>
    <w:next w:val="Normal"/>
    <w:link w:val="Heading3Char"/>
    <w:uiPriority w:val="9"/>
    <w:unhideWhenUsed/>
    <w:qFormat/>
    <w:rsid w:val="00E2361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61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2361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2361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361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361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361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ber">
    <w:name w:val="paranumber"/>
    <w:basedOn w:val="Normal"/>
    <w:autoRedefine/>
    <w:qFormat/>
    <w:rsid w:val="00D326CB"/>
    <w:pPr>
      <w:numPr>
        <w:numId w:val="1"/>
      </w:numPr>
      <w:tabs>
        <w:tab w:val="left" w:pos="709"/>
      </w:tabs>
      <w:spacing w:after="240"/>
      <w:ind w:left="0" w:firstLine="0"/>
    </w:pPr>
    <w:rPr>
      <w:lang w:eastAsia="ja-JP" w:bidi="en-US"/>
    </w:rPr>
  </w:style>
  <w:style w:type="paragraph" w:styleId="ListParagraph">
    <w:name w:val="List Paragraph"/>
    <w:basedOn w:val="Normal"/>
    <w:link w:val="ListParagraphChar"/>
    <w:autoRedefine/>
    <w:uiPriority w:val="34"/>
    <w:qFormat/>
    <w:rsid w:val="00D326CB"/>
    <w:pPr>
      <w:numPr>
        <w:numId w:val="6"/>
      </w:numPr>
      <w:tabs>
        <w:tab w:val="clear" w:pos="720"/>
        <w:tab w:val="left" w:pos="709"/>
      </w:tabs>
      <w:spacing w:after="240"/>
      <w:ind w:left="426" w:hanging="851"/>
      <w:contextualSpacing/>
    </w:pPr>
  </w:style>
  <w:style w:type="character" w:customStyle="1" w:styleId="ListParagraphChar">
    <w:name w:val="List Paragraph Char"/>
    <w:link w:val="ListParagraph"/>
    <w:uiPriority w:val="34"/>
    <w:locked/>
    <w:rsid w:val="00D326CB"/>
    <w:rPr>
      <w:rFonts w:ascii="Arial" w:eastAsia="Times New Roman" w:hAnsi="Arial" w:cs="Times New Roman"/>
      <w:sz w:val="22"/>
      <w:lang w:eastAsia="en-GB"/>
    </w:rPr>
  </w:style>
  <w:style w:type="character" w:customStyle="1" w:styleId="Heading1Char">
    <w:name w:val="Heading 1 Char"/>
    <w:basedOn w:val="DefaultParagraphFont"/>
    <w:link w:val="Heading1"/>
    <w:uiPriority w:val="9"/>
    <w:rsid w:val="00F86A96"/>
    <w:rPr>
      <w:rFonts w:ascii="Arial" w:eastAsia="Arial" w:hAnsi="Arial" w:cs="Arial"/>
      <w:b/>
      <w:kern w:val="0"/>
      <w:sz w:val="36"/>
      <w:szCs w:val="36"/>
      <w:lang w:eastAsia="en-GB"/>
      <w14:ligatures w14:val="none"/>
    </w:rPr>
  </w:style>
  <w:style w:type="paragraph" w:customStyle="1" w:styleId="Normal1">
    <w:name w:val="Normal1"/>
    <w:autoRedefine/>
    <w:qFormat/>
    <w:rsid w:val="0019490C"/>
    <w:pPr>
      <w:spacing w:line="276" w:lineRule="auto"/>
      <w:contextualSpacing/>
    </w:pPr>
    <w:rPr>
      <w:rFonts w:ascii="Arial" w:eastAsia="Arial" w:hAnsi="Arial" w:cs="Arial"/>
      <w:color w:val="000000"/>
      <w:kern w:val="0"/>
      <w:sz w:val="22"/>
      <w:lang w:val="en-US" w:eastAsia="ja-JP"/>
      <w14:ligatures w14:val="none"/>
    </w:rPr>
  </w:style>
  <w:style w:type="character" w:customStyle="1" w:styleId="Heading2Char">
    <w:name w:val="Heading 2 Char"/>
    <w:basedOn w:val="DefaultParagraphFont"/>
    <w:link w:val="Heading2"/>
    <w:uiPriority w:val="9"/>
    <w:rsid w:val="00F86A96"/>
    <w:rPr>
      <w:rFonts w:ascii="Arial" w:eastAsia="Arial" w:hAnsi="Arial" w:cs="Arial"/>
      <w:b/>
      <w:kern w:val="0"/>
      <w:sz w:val="28"/>
      <w:szCs w:val="28"/>
      <w:lang w:eastAsia="en-GB"/>
      <w14:ligatures w14:val="none"/>
    </w:rPr>
  </w:style>
  <w:style w:type="character" w:customStyle="1" w:styleId="Heading3Char">
    <w:name w:val="Heading 3 Char"/>
    <w:basedOn w:val="DefaultParagraphFont"/>
    <w:link w:val="Heading3"/>
    <w:uiPriority w:val="9"/>
    <w:rsid w:val="00E2361D"/>
    <w:rPr>
      <w:rFonts w:eastAsiaTheme="majorEastAsia" w:cstheme="majorBidi"/>
      <w:color w:val="0F4761" w:themeColor="accent1" w:themeShade="BF"/>
      <w:kern w:val="0"/>
      <w:sz w:val="28"/>
      <w:szCs w:val="28"/>
      <w:lang w:eastAsia="en-GB"/>
      <w14:ligatures w14:val="none"/>
    </w:rPr>
  </w:style>
  <w:style w:type="character" w:customStyle="1" w:styleId="Heading4Char">
    <w:name w:val="Heading 4 Char"/>
    <w:basedOn w:val="DefaultParagraphFont"/>
    <w:link w:val="Heading4"/>
    <w:uiPriority w:val="9"/>
    <w:semiHidden/>
    <w:rsid w:val="00E2361D"/>
    <w:rPr>
      <w:rFonts w:eastAsiaTheme="majorEastAsia" w:cstheme="majorBidi"/>
      <w:i/>
      <w:iCs/>
      <w:color w:val="0F4761" w:themeColor="accent1" w:themeShade="BF"/>
      <w:kern w:val="0"/>
      <w:sz w:val="22"/>
      <w:lang w:eastAsia="en-GB"/>
      <w14:ligatures w14:val="none"/>
    </w:rPr>
  </w:style>
  <w:style w:type="character" w:customStyle="1" w:styleId="Heading5Char">
    <w:name w:val="Heading 5 Char"/>
    <w:basedOn w:val="DefaultParagraphFont"/>
    <w:link w:val="Heading5"/>
    <w:uiPriority w:val="9"/>
    <w:semiHidden/>
    <w:rsid w:val="00E2361D"/>
    <w:rPr>
      <w:rFonts w:eastAsiaTheme="majorEastAsia" w:cstheme="majorBidi"/>
      <w:color w:val="0F4761" w:themeColor="accent1" w:themeShade="BF"/>
      <w:kern w:val="0"/>
      <w:sz w:val="22"/>
      <w:lang w:eastAsia="en-GB"/>
      <w14:ligatures w14:val="none"/>
    </w:rPr>
  </w:style>
  <w:style w:type="character" w:customStyle="1" w:styleId="Heading6Char">
    <w:name w:val="Heading 6 Char"/>
    <w:basedOn w:val="DefaultParagraphFont"/>
    <w:link w:val="Heading6"/>
    <w:uiPriority w:val="9"/>
    <w:semiHidden/>
    <w:rsid w:val="00E2361D"/>
    <w:rPr>
      <w:rFonts w:eastAsiaTheme="majorEastAsia" w:cstheme="majorBidi"/>
      <w:i/>
      <w:iCs/>
      <w:color w:val="595959" w:themeColor="text1" w:themeTint="A6"/>
      <w:kern w:val="0"/>
      <w:sz w:val="22"/>
      <w:lang w:eastAsia="en-GB"/>
      <w14:ligatures w14:val="none"/>
    </w:rPr>
  </w:style>
  <w:style w:type="character" w:customStyle="1" w:styleId="Heading7Char">
    <w:name w:val="Heading 7 Char"/>
    <w:basedOn w:val="DefaultParagraphFont"/>
    <w:link w:val="Heading7"/>
    <w:uiPriority w:val="9"/>
    <w:semiHidden/>
    <w:rsid w:val="00E2361D"/>
    <w:rPr>
      <w:rFonts w:eastAsiaTheme="majorEastAsia" w:cstheme="majorBidi"/>
      <w:color w:val="595959" w:themeColor="text1" w:themeTint="A6"/>
      <w:kern w:val="0"/>
      <w:sz w:val="22"/>
      <w:lang w:eastAsia="en-GB"/>
      <w14:ligatures w14:val="none"/>
    </w:rPr>
  </w:style>
  <w:style w:type="character" w:customStyle="1" w:styleId="Heading8Char">
    <w:name w:val="Heading 8 Char"/>
    <w:basedOn w:val="DefaultParagraphFont"/>
    <w:link w:val="Heading8"/>
    <w:uiPriority w:val="9"/>
    <w:semiHidden/>
    <w:rsid w:val="00E2361D"/>
    <w:rPr>
      <w:rFonts w:eastAsiaTheme="majorEastAsia" w:cstheme="majorBidi"/>
      <w:i/>
      <w:iCs/>
      <w:color w:val="272727" w:themeColor="text1" w:themeTint="D8"/>
      <w:kern w:val="0"/>
      <w:sz w:val="22"/>
      <w:lang w:eastAsia="en-GB"/>
      <w14:ligatures w14:val="none"/>
    </w:rPr>
  </w:style>
  <w:style w:type="character" w:customStyle="1" w:styleId="Heading9Char">
    <w:name w:val="Heading 9 Char"/>
    <w:basedOn w:val="DefaultParagraphFont"/>
    <w:link w:val="Heading9"/>
    <w:uiPriority w:val="9"/>
    <w:semiHidden/>
    <w:rsid w:val="00E2361D"/>
    <w:rPr>
      <w:rFonts w:eastAsiaTheme="majorEastAsia" w:cstheme="majorBidi"/>
      <w:color w:val="272727" w:themeColor="text1" w:themeTint="D8"/>
      <w:kern w:val="0"/>
      <w:sz w:val="22"/>
      <w:lang w:eastAsia="en-GB"/>
      <w14:ligatures w14:val="none"/>
    </w:rPr>
  </w:style>
  <w:style w:type="paragraph" w:styleId="Title">
    <w:name w:val="Title"/>
    <w:basedOn w:val="Normal"/>
    <w:next w:val="Normal"/>
    <w:link w:val="TitleChar"/>
    <w:uiPriority w:val="10"/>
    <w:qFormat/>
    <w:rsid w:val="00E236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61D"/>
    <w:rPr>
      <w:rFonts w:asciiTheme="majorHAnsi" w:eastAsiaTheme="majorEastAsia" w:hAnsiTheme="majorHAnsi" w:cstheme="majorBidi"/>
      <w:spacing w:val="-10"/>
      <w:kern w:val="28"/>
      <w:sz w:val="56"/>
      <w:szCs w:val="56"/>
      <w:lang w:eastAsia="en-GB"/>
      <w14:ligatures w14:val="none"/>
    </w:rPr>
  </w:style>
  <w:style w:type="paragraph" w:styleId="Subtitle">
    <w:name w:val="Subtitle"/>
    <w:basedOn w:val="Normal"/>
    <w:next w:val="Normal"/>
    <w:link w:val="SubtitleChar"/>
    <w:uiPriority w:val="11"/>
    <w:qFormat/>
    <w:rsid w:val="00E2361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61D"/>
    <w:rPr>
      <w:rFonts w:eastAsiaTheme="majorEastAsia" w:cstheme="majorBidi"/>
      <w:color w:val="595959" w:themeColor="text1" w:themeTint="A6"/>
      <w:spacing w:val="15"/>
      <w:kern w:val="0"/>
      <w:sz w:val="28"/>
      <w:szCs w:val="28"/>
      <w:lang w:eastAsia="en-GB"/>
      <w14:ligatures w14:val="none"/>
    </w:rPr>
  </w:style>
  <w:style w:type="paragraph" w:styleId="Quote">
    <w:name w:val="Quote"/>
    <w:basedOn w:val="Normal"/>
    <w:next w:val="Normal"/>
    <w:link w:val="QuoteChar"/>
    <w:uiPriority w:val="29"/>
    <w:qFormat/>
    <w:rsid w:val="00E236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61D"/>
    <w:rPr>
      <w:rFonts w:ascii="Arial" w:hAnsi="Arial" w:cs="Times New Roman"/>
      <w:i/>
      <w:iCs/>
      <w:color w:val="404040" w:themeColor="text1" w:themeTint="BF"/>
      <w:kern w:val="0"/>
      <w:sz w:val="22"/>
      <w:lang w:eastAsia="en-GB"/>
      <w14:ligatures w14:val="none"/>
    </w:rPr>
  </w:style>
  <w:style w:type="character" w:styleId="IntenseEmphasis">
    <w:name w:val="Intense Emphasis"/>
    <w:basedOn w:val="DefaultParagraphFont"/>
    <w:uiPriority w:val="21"/>
    <w:qFormat/>
    <w:rsid w:val="00E2361D"/>
    <w:rPr>
      <w:i/>
      <w:iCs/>
      <w:color w:val="0F4761" w:themeColor="accent1" w:themeShade="BF"/>
    </w:rPr>
  </w:style>
  <w:style w:type="paragraph" w:styleId="IntenseQuote">
    <w:name w:val="Intense Quote"/>
    <w:basedOn w:val="Normal"/>
    <w:next w:val="Normal"/>
    <w:link w:val="IntenseQuoteChar"/>
    <w:uiPriority w:val="30"/>
    <w:qFormat/>
    <w:rsid w:val="00E23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61D"/>
    <w:rPr>
      <w:rFonts w:ascii="Arial" w:hAnsi="Arial" w:cs="Times New Roman"/>
      <w:i/>
      <w:iCs/>
      <w:color w:val="0F4761" w:themeColor="accent1" w:themeShade="BF"/>
      <w:kern w:val="0"/>
      <w:sz w:val="22"/>
      <w:lang w:eastAsia="en-GB"/>
      <w14:ligatures w14:val="none"/>
    </w:rPr>
  </w:style>
  <w:style w:type="character" w:styleId="IntenseReference">
    <w:name w:val="Intense Reference"/>
    <w:basedOn w:val="DefaultParagraphFont"/>
    <w:uiPriority w:val="32"/>
    <w:qFormat/>
    <w:rsid w:val="00E2361D"/>
    <w:rPr>
      <w:b/>
      <w:bCs/>
      <w:smallCaps/>
      <w:color w:val="0F4761" w:themeColor="accent1" w:themeShade="BF"/>
      <w:spacing w:val="5"/>
    </w:rPr>
  </w:style>
  <w:style w:type="paragraph" w:styleId="Header">
    <w:name w:val="header"/>
    <w:basedOn w:val="Normal"/>
    <w:link w:val="HeaderChar"/>
    <w:uiPriority w:val="99"/>
    <w:unhideWhenUsed/>
    <w:rsid w:val="00E2361D"/>
    <w:pPr>
      <w:tabs>
        <w:tab w:val="center" w:pos="4513"/>
        <w:tab w:val="right" w:pos="9026"/>
      </w:tabs>
      <w:spacing w:before="0"/>
    </w:pPr>
  </w:style>
  <w:style w:type="character" w:customStyle="1" w:styleId="HeaderChar">
    <w:name w:val="Header Char"/>
    <w:basedOn w:val="DefaultParagraphFont"/>
    <w:link w:val="Header"/>
    <w:uiPriority w:val="99"/>
    <w:rsid w:val="00E2361D"/>
    <w:rPr>
      <w:rFonts w:ascii="Arial" w:eastAsia="Arial" w:hAnsi="Arial" w:cs="Arial"/>
      <w:kern w:val="0"/>
      <w:sz w:val="22"/>
      <w:szCs w:val="22"/>
      <w:lang w:eastAsia="en-GB"/>
      <w14:ligatures w14:val="none"/>
    </w:rPr>
  </w:style>
  <w:style w:type="paragraph" w:styleId="Footer">
    <w:name w:val="footer"/>
    <w:basedOn w:val="Normal"/>
    <w:link w:val="FooterChar"/>
    <w:uiPriority w:val="99"/>
    <w:unhideWhenUsed/>
    <w:rsid w:val="00E2361D"/>
    <w:pPr>
      <w:tabs>
        <w:tab w:val="center" w:pos="4513"/>
        <w:tab w:val="right" w:pos="9026"/>
      </w:tabs>
      <w:spacing w:before="0"/>
    </w:pPr>
  </w:style>
  <w:style w:type="character" w:customStyle="1" w:styleId="FooterChar">
    <w:name w:val="Footer Char"/>
    <w:basedOn w:val="DefaultParagraphFont"/>
    <w:link w:val="Footer"/>
    <w:uiPriority w:val="99"/>
    <w:rsid w:val="00E2361D"/>
    <w:rPr>
      <w:rFonts w:ascii="Arial" w:eastAsia="Arial" w:hAnsi="Arial" w:cs="Arial"/>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3</Pages>
  <Words>1067</Words>
  <Characters>5735</Characters>
  <Application>Microsoft Office Word</Application>
  <DocSecurity>0</DocSecurity>
  <Lines>229</Lines>
  <Paragraphs>151</Paragraphs>
  <ScaleCrop>false</ScaleCrop>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Pissierssens, Peter</dc:creator>
  <cp:keywords/>
  <dc:description/>
  <cp:lastModifiedBy>Pissierssens, Peter</cp:lastModifiedBy>
  <cp:revision>1</cp:revision>
  <dcterms:created xsi:type="dcterms:W3CDTF">2025-02-26T15:51:00Z</dcterms:created>
  <dcterms:modified xsi:type="dcterms:W3CDTF">2025-02-26T15:56:00Z</dcterms:modified>
</cp:coreProperties>
</file>