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91" w:rsidRDefault="00EE467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Arial"/>
          <w:b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/>
          <w:snapToGrid w:val="0"/>
          <w:sz w:val="24"/>
          <w:szCs w:val="24"/>
          <w:lang w:val="en-GB" w:eastAsia="zh-CN"/>
        </w:rPr>
        <w:t>INTERGOVERNMENTAL OCEANOGRAPHIC COMMISSION</w:t>
      </w:r>
      <w:r w:rsidRPr="00526FC0"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 </w:t>
      </w:r>
      <w:r w:rsidRPr="00526FC0">
        <w:rPr>
          <w:rFonts w:ascii="Arial" w:eastAsia="SimSun" w:hAnsi="Arial" w:cs="Arial"/>
          <w:b/>
          <w:snapToGrid w:val="0"/>
          <w:sz w:val="24"/>
          <w:szCs w:val="24"/>
          <w:lang w:val="en-GB" w:eastAsia="zh-CN"/>
        </w:rPr>
        <w:t>(of UNESCO)</w:t>
      </w:r>
    </w:p>
    <w:p w:rsidR="00425F91" w:rsidRDefault="00425F91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</w:pPr>
    </w:p>
    <w:p w:rsidR="00425F91" w:rsidRDefault="00EE467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  <w:t xml:space="preserve">Steering Committee Meeting </w:t>
      </w:r>
    </w:p>
    <w:p w:rsidR="00425F91" w:rsidRDefault="00EE467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</w:pPr>
      <w:proofErr w:type="gramStart"/>
      <w:r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  <w:t>of</w:t>
      </w:r>
      <w:proofErr w:type="gramEnd"/>
      <w:r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  <w:t xml:space="preserve"> the Intergovernmental Coordination Group </w:t>
      </w:r>
    </w:p>
    <w:p w:rsidR="00425F91" w:rsidRDefault="00EE4670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</w:pPr>
      <w:proofErr w:type="gramStart"/>
      <w:r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  <w:t>for</w:t>
      </w:r>
      <w:proofErr w:type="gramEnd"/>
      <w:r>
        <w:rPr>
          <w:rFonts w:ascii="Arial" w:eastAsia="SimSun" w:hAnsi="Arial" w:cs="Arial"/>
          <w:b/>
          <w:bCs/>
          <w:snapToGrid w:val="0"/>
          <w:sz w:val="24"/>
          <w:szCs w:val="24"/>
          <w:lang w:val="en-GB" w:eastAsia="zh-CN"/>
        </w:rPr>
        <w:t xml:space="preserve"> the Pacific Tsunami Warning and Mitigation System (ICG/PTWS)</w:t>
      </w:r>
    </w:p>
    <w:p w:rsidR="00425F91" w:rsidRDefault="00425F91" w:rsidP="00526FC0">
      <w:pPr>
        <w:keepNext/>
        <w:keepLines/>
        <w:tabs>
          <w:tab w:val="left" w:pos="567"/>
        </w:tabs>
        <w:snapToGrid w:val="0"/>
        <w:spacing w:after="240" w:line="240" w:lineRule="auto"/>
        <w:jc w:val="both"/>
        <w:outlineLvl w:val="2"/>
        <w:rPr>
          <w:rFonts w:ascii="Arial" w:eastAsia="Times New Roman" w:hAnsi="Arial" w:cs="Arial"/>
          <w:b/>
          <w:bCs/>
          <w:i/>
          <w:snapToGrid w:val="0"/>
          <w:sz w:val="24"/>
          <w:szCs w:val="24"/>
          <w:lang w:val="en-GB"/>
        </w:rPr>
      </w:pPr>
    </w:p>
    <w:p w:rsidR="00425F91" w:rsidRDefault="00EE4670" w:rsidP="00526FC0">
      <w:pPr>
        <w:keepNext/>
        <w:keepLines/>
        <w:tabs>
          <w:tab w:val="left" w:pos="567"/>
        </w:tabs>
        <w:snapToGrid w:val="0"/>
        <w:spacing w:after="240" w:line="240" w:lineRule="atLeast"/>
        <w:jc w:val="center"/>
        <w:outlineLvl w:val="2"/>
        <w:rPr>
          <w:rFonts w:ascii="Arial" w:eastAsia="ＭＳ 明朝" w:hAnsi="Arial" w:cs="Arial"/>
          <w:b/>
          <w:bCs/>
          <w:i/>
          <w:snapToGrid w:val="0"/>
          <w:sz w:val="24"/>
          <w:szCs w:val="24"/>
          <w:lang w:val="en-US" w:eastAsia="ja-JP"/>
        </w:rPr>
      </w:pPr>
      <w:r>
        <w:rPr>
          <w:rFonts w:ascii="Arial" w:eastAsia="ＭＳ 明朝" w:hAnsi="Arial" w:cs="Arial" w:hint="eastAsia"/>
          <w:b/>
          <w:bCs/>
          <w:i/>
          <w:snapToGrid w:val="0"/>
          <w:sz w:val="24"/>
          <w:szCs w:val="24"/>
          <w:lang w:val="en-US" w:eastAsia="ja-JP"/>
        </w:rPr>
        <w:t>NOAA Facility at Pier 38, 18 - 19 September 2024</w:t>
      </w:r>
    </w:p>
    <w:p w:rsidR="00425F91" w:rsidRDefault="00EE4670" w:rsidP="00526FC0">
      <w:pPr>
        <w:keepNext/>
        <w:keepLines/>
        <w:tabs>
          <w:tab w:val="left" w:pos="567"/>
        </w:tabs>
        <w:snapToGrid w:val="0"/>
        <w:spacing w:after="240" w:line="240" w:lineRule="atLeast"/>
        <w:jc w:val="center"/>
        <w:outlineLvl w:val="2"/>
        <w:rPr>
          <w:rFonts w:ascii="Arial" w:eastAsia="Times New Roman" w:hAnsi="Arial" w:cs="Arial"/>
          <w:b/>
          <w:bCs/>
          <w:i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i/>
          <w:snapToGrid w:val="0"/>
          <w:sz w:val="24"/>
          <w:szCs w:val="24"/>
          <w:lang w:val="en-GB"/>
        </w:rPr>
        <w:t>Double Tree by Hilton Alana Waikiki Beach, 20 September 2024</w:t>
      </w:r>
    </w:p>
    <w:p w:rsidR="00425F91" w:rsidRDefault="00EE4670">
      <w:pPr>
        <w:keepNext/>
        <w:keepLines/>
        <w:tabs>
          <w:tab w:val="left" w:pos="567"/>
        </w:tabs>
        <w:snapToGrid w:val="0"/>
        <w:spacing w:after="240" w:line="240" w:lineRule="auto"/>
        <w:ind w:left="720" w:hanging="720"/>
        <w:jc w:val="center"/>
        <w:outlineLvl w:val="2"/>
        <w:rPr>
          <w:rFonts w:ascii="Arial" w:eastAsia="Times New Roman" w:hAnsi="Arial" w:cs="Arial"/>
          <w:b/>
          <w:bCs/>
          <w:i/>
          <w:snapToGrid w:val="0"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i/>
          <w:snapToGrid w:val="0"/>
          <w:sz w:val="24"/>
          <w:szCs w:val="24"/>
          <w:lang w:val="en-GB"/>
        </w:rPr>
        <w:t>PROVISIONAL AGENDA (V</w:t>
      </w:r>
      <w:r>
        <w:rPr>
          <w:rFonts w:ascii="Arial" w:eastAsia="ＭＳ 明朝" w:hAnsi="Arial" w:cs="Arial" w:hint="eastAsia"/>
          <w:b/>
          <w:bCs/>
          <w:i/>
          <w:snapToGrid w:val="0"/>
          <w:sz w:val="24"/>
          <w:szCs w:val="24"/>
          <w:lang w:val="en-US" w:eastAsia="ja-JP"/>
        </w:rPr>
        <w:t>7</w:t>
      </w:r>
      <w:r>
        <w:rPr>
          <w:rFonts w:ascii="Arial" w:eastAsia="Times New Roman" w:hAnsi="Arial" w:cs="Arial"/>
          <w:b/>
          <w:bCs/>
          <w:i/>
          <w:snapToGrid w:val="0"/>
          <w:sz w:val="24"/>
          <w:szCs w:val="24"/>
          <w:lang w:val="en-GB"/>
        </w:rPr>
        <w:t>)</w:t>
      </w:r>
    </w:p>
    <w:p w:rsidR="00425F91" w:rsidRDefault="00425F91">
      <w:pPr>
        <w:keepNext/>
        <w:keepLines/>
        <w:tabs>
          <w:tab w:val="left" w:pos="567"/>
        </w:tabs>
        <w:snapToGrid w:val="0"/>
        <w:spacing w:after="240" w:line="240" w:lineRule="auto"/>
        <w:outlineLvl w:val="2"/>
        <w:rPr>
          <w:rFonts w:ascii="Arial" w:eastAsia="Times New Roman" w:hAnsi="Arial" w:cs="Arial"/>
          <w:b/>
          <w:bCs/>
          <w:i/>
          <w:snapToGrid w:val="0"/>
          <w:sz w:val="24"/>
          <w:szCs w:val="24"/>
          <w:lang w:val="en-GB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1.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 xml:space="preserve">Welcome and Opening </w:t>
      </w:r>
    </w:p>
    <w:p w:rsidR="0050177C" w:rsidRDefault="0050177C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2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Adoption of Agenda</w:t>
      </w:r>
    </w:p>
    <w:p w:rsidR="0050177C" w:rsidRDefault="0050177C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3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</w:r>
      <w:r>
        <w:rPr>
          <w:rFonts w:ascii="Arial" w:hAnsi="Arial" w:cs="Arial"/>
          <w:sz w:val="24"/>
          <w:szCs w:val="24"/>
        </w:rPr>
        <w:t>Review of Action Items from the ICG/PTWS</w:t>
      </w:r>
      <w:r>
        <w:rPr>
          <w:rFonts w:ascii="Arial" w:eastAsia="游明朝" w:hAnsi="Arial" w:cs="Arial"/>
          <w:sz w:val="24"/>
          <w:szCs w:val="24"/>
          <w:lang w:eastAsia="ja-JP"/>
        </w:rPr>
        <w:t>-</w:t>
      </w:r>
      <w:r>
        <w:rPr>
          <w:rFonts w:ascii="Arial" w:hAnsi="Arial" w:cs="Arial"/>
          <w:sz w:val="24"/>
          <w:szCs w:val="24"/>
        </w:rPr>
        <w:t>XXX session</w:t>
      </w:r>
    </w:p>
    <w:p w:rsidR="0050177C" w:rsidRDefault="0050177C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4.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Chair’s Report on the TOWS-WG XVII session and the IOC 57</w:t>
      </w:r>
      <w:r>
        <w:rPr>
          <w:rFonts w:ascii="Arial" w:eastAsia="SimSun" w:hAnsi="Arial" w:cs="Arial"/>
          <w:bCs/>
          <w:snapToGrid w:val="0"/>
          <w:sz w:val="24"/>
          <w:szCs w:val="24"/>
          <w:vertAlign w:val="superscript"/>
          <w:lang w:val="en-GB" w:eastAsia="zh-CN"/>
        </w:rPr>
        <w:t>th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 EC</w:t>
      </w:r>
    </w:p>
    <w:p w:rsidR="0050177C" w:rsidRDefault="0050177C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5.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</w:r>
      <w:r>
        <w:rPr>
          <w:rFonts w:ascii="Arial" w:hAnsi="Arial" w:cs="Arial"/>
          <w:sz w:val="24"/>
          <w:szCs w:val="24"/>
        </w:rPr>
        <w:t>Report of Tsunami Service Providers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5.1 PTWC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5.2 NWPTAC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5.3 SCSTAC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5.4 CATAC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>6.</w:t>
      </w:r>
      <w:r>
        <w:rPr>
          <w:rFonts w:ascii="Arial" w:eastAsia="游明朝" w:hAnsi="Arial" w:cs="Arial" w:hint="eastAsia"/>
          <w:bCs/>
          <w:snapToGrid w:val="0"/>
          <w:sz w:val="24"/>
          <w:szCs w:val="24"/>
          <w:lang w:val="en-GB" w:eastAsia="ja-JP"/>
        </w:rPr>
        <w:t xml:space="preserve"> </w:t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 xml:space="preserve">Report of the ITIC </w:t>
      </w:r>
    </w:p>
    <w:p w:rsidR="0050177C" w:rsidRDefault="0050177C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7.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Report of WGs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7.1 Working Group 1 - Understanding Tsunami Risk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   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7.2 Working Group 2 - Tsunami Detection, Warning and Dissemination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   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7.3 Working Group 3 - Disaster Risk Management and Preparedness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ind w:left="1020" w:hangingChars="425" w:hanging="1020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   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7.4 Regional Working Group on Tsunami Warning and Mitigation System on the Central American Pacific Coast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ind w:left="1020" w:hangingChars="425" w:hanging="1020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   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7.5 Regional Working Group on Tsunami Warning and Mitigation System in the South East Pacific Region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ind w:left="1020" w:hangingChars="425" w:hanging="1020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   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7.6 Regional Working Group on Tsunami Warning and Mitigation System in the South China Sea Region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ind w:left="1020" w:hangingChars="425" w:hanging="1020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   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7.7 Pacific Island Countries and Territories Regional Working Group on Tsunami Warning and Mitigation System</w:t>
      </w:r>
    </w:p>
    <w:p w:rsidR="00425F91" w:rsidRDefault="00425F91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 w:hint="eastAsia"/>
          <w:bCs/>
          <w:snapToGrid w:val="0"/>
          <w:sz w:val="24"/>
          <w:szCs w:val="24"/>
          <w:lang w:val="en-GB" w:eastAsia="ja-JP"/>
        </w:rPr>
        <w:t xml:space="preserve">8. </w:t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 w:hint="eastAsia"/>
          <w:bCs/>
          <w:snapToGrid w:val="0"/>
          <w:sz w:val="24"/>
          <w:szCs w:val="24"/>
          <w:lang w:val="en-GB" w:eastAsia="ja-JP"/>
        </w:rPr>
        <w:t>Policy Matters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lastRenderedPageBreak/>
        <w:tab/>
      </w:r>
      <w:r>
        <w:rPr>
          <w:rFonts w:ascii="Arial" w:eastAsia="游明朝" w:hAnsi="Arial" w:cs="Arial" w:hint="eastAsia"/>
          <w:bCs/>
          <w:snapToGrid w:val="0"/>
          <w:sz w:val="24"/>
          <w:szCs w:val="24"/>
          <w:lang w:val="en-GB" w:eastAsia="ja-JP"/>
        </w:rPr>
        <w:t>8.1. Tsunami Detection, Warning</w:t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 xml:space="preserve"> and Dissemination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>8.1.1. Sea Level Observations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 xml:space="preserve">8.1.2.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SMART Cable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 xml:space="preserve">8.1.3. </w:t>
      </w:r>
      <w:proofErr w:type="spellStart"/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>SoP</w:t>
      </w:r>
      <w:proofErr w:type="spellEnd"/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 xml:space="preserve"> of Tsunami Generated by Volcanoes and </w:t>
      </w:r>
      <w:proofErr w:type="spellStart"/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>Meteo</w:t>
      </w:r>
      <w:proofErr w:type="spellEnd"/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>-tsunami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>8.1.4. Common</w:t>
      </w:r>
      <w:r>
        <w:rPr>
          <w:rFonts w:ascii="Arial" w:eastAsia="游明朝" w:hAnsi="Arial" w:cs="Arial" w:hint="eastAsia"/>
          <w:bCs/>
          <w:snapToGrid w:val="0"/>
          <w:sz w:val="24"/>
          <w:szCs w:val="24"/>
          <w:lang w:val="en-GB" w:eastAsia="ja-JP"/>
        </w:rPr>
        <w:t xml:space="preserve"> </w:t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>Format for Tsunami Products from TSPs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>8.1.</w:t>
      </w:r>
      <w:r>
        <w:rPr>
          <w:rFonts w:ascii="Arial" w:eastAsia="游明朝" w:hAnsi="Arial" w:cs="Arial" w:hint="eastAsia"/>
          <w:bCs/>
          <w:snapToGrid w:val="0"/>
          <w:sz w:val="24"/>
          <w:szCs w:val="24"/>
          <w:lang w:val="en-GB" w:eastAsia="ja-JP"/>
        </w:rPr>
        <w:t>5</w:t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>. Expansion of the ICG/PTWS ESZ</w:t>
      </w:r>
    </w:p>
    <w:p w:rsidR="00425F91" w:rsidRDefault="00425F91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>8.2. Tsunami Disaster Preparedness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 xml:space="preserve">8.2.1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Tsunami Ready Recognition Program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 xml:space="preserve">8.2.2. </w:t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>Minimum NTWC Competency Framework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>8.2.3. Pacific Wave 2024</w:t>
      </w:r>
    </w:p>
    <w:p w:rsidR="00425F91" w:rsidRDefault="00425F91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>8.3. Tsunami Service Providers’ Products and Messages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8.3.1. Users’ Guide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>8.3.2. Cease Telefax Transmission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>8.3.3. Tsunami Threat Message of the PTWC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ind w:left="708" w:hangingChars="295" w:hanging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</w: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 xml:space="preserve">8.3.4. </w:t>
      </w:r>
      <w:r>
        <w:rPr>
          <w:rFonts w:ascii="Arial" w:hAnsi="Arial" w:cs="Arial"/>
          <w:sz w:val="24"/>
          <w:szCs w:val="24"/>
          <w:lang w:val="en-US"/>
        </w:rPr>
        <w:t>Termination of Notification of Regular Communication Test from TSPs by Circular Letter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ind w:left="708" w:hangingChars="295" w:hanging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8.3.5. Provision of special tsunami maritime safety products </w:t>
      </w:r>
      <w:r>
        <w:rPr>
          <w:rFonts w:ascii="Arial" w:eastAsia="游明朝" w:hAnsi="Arial" w:cs="Arial" w:hint="eastAsia"/>
          <w:sz w:val="24"/>
          <w:szCs w:val="24"/>
          <w:lang w:val="en-US" w:eastAsia="ja-JP"/>
        </w:rPr>
        <w:t>to</w:t>
      </w:r>
      <w:r>
        <w:rPr>
          <w:rFonts w:ascii="Arial" w:hAnsi="Arial" w:cs="Arial"/>
          <w:sz w:val="24"/>
          <w:szCs w:val="24"/>
          <w:lang w:val="en-US"/>
        </w:rPr>
        <w:t xml:space="preserve"> the NAVAREA coordinators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ind w:left="708" w:hangingChars="295" w:hanging="708"/>
        <w:rPr>
          <w:rFonts w:ascii="Arial" w:eastAsia="游明朝" w:hAnsi="Arial" w:cs="Arial"/>
          <w:sz w:val="24"/>
          <w:szCs w:val="24"/>
          <w:lang w:val="en-US" w:eastAsia="ja-JP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eastAsia="游明朝" w:hAnsi="Arial" w:cs="Arial" w:hint="eastAsia"/>
          <w:sz w:val="24"/>
          <w:szCs w:val="24"/>
          <w:lang w:val="en-US" w:eastAsia="ja-JP"/>
        </w:rPr>
        <w:t>8.3.6. Status of the CATAC</w:t>
      </w:r>
    </w:p>
    <w:p w:rsidR="00425F91" w:rsidRDefault="00425F91">
      <w:pPr>
        <w:tabs>
          <w:tab w:val="left" w:pos="567"/>
        </w:tabs>
        <w:snapToGrid w:val="0"/>
        <w:spacing w:before="120" w:after="120" w:line="240" w:lineRule="auto"/>
        <w:ind w:left="708" w:hangingChars="295" w:hanging="708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  <w:tab/>
        <w:t xml:space="preserve">8.4.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UN Ocean Decade Tsunami Program</w:t>
      </w:r>
    </w:p>
    <w:p w:rsidR="00425F91" w:rsidRDefault="00425F91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8.5. 2nd Tsunami Global Symposium</w:t>
      </w:r>
    </w:p>
    <w:p w:rsidR="00425F91" w:rsidRDefault="00425F91">
      <w:pPr>
        <w:tabs>
          <w:tab w:val="left" w:pos="567"/>
        </w:tabs>
        <w:snapToGrid w:val="0"/>
        <w:spacing w:before="120" w:after="120" w:line="240" w:lineRule="auto"/>
        <w:rPr>
          <w:rFonts w:ascii="Arial" w:eastAsia="游明朝" w:hAnsi="Arial" w:cs="Arial"/>
          <w:bCs/>
          <w:snapToGrid w:val="0"/>
          <w:sz w:val="24"/>
          <w:szCs w:val="24"/>
          <w:lang w:val="en-GB" w:eastAsia="ja-JP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9.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UNESCAP Capacity Assessment Project</w:t>
      </w:r>
    </w:p>
    <w:p w:rsidR="00425F91" w:rsidRDefault="00425F91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10. ICG/PTWS-XXXI Session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 xml:space="preserve">10.1. Expected Date of the ICG/PTWS-XXXI session 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 xml:space="preserve">10.2. Draft Agenda of the ICG/PTWS-XXXI session </w:t>
      </w:r>
    </w:p>
    <w:p w:rsidR="00425F91" w:rsidRDefault="00EE4670">
      <w:p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ab/>
        <w:t>10.3. ICG/PTWS 60 year anniversary workshop</w:t>
      </w:r>
    </w:p>
    <w:p w:rsidR="00425F91" w:rsidRDefault="00425F91">
      <w:pPr>
        <w:tabs>
          <w:tab w:val="left" w:pos="567"/>
        </w:tabs>
        <w:snapToGrid w:val="0"/>
        <w:spacing w:before="120" w:after="120" w:line="240" w:lineRule="auto"/>
        <w:rPr>
          <w:rFonts w:ascii="Arial" w:eastAsia="ＭＳ 明朝" w:hAnsi="Arial" w:cs="Arial"/>
          <w:bCs/>
          <w:snapToGrid w:val="0"/>
          <w:sz w:val="24"/>
          <w:szCs w:val="24"/>
          <w:lang w:val="en-US" w:eastAsia="ja-JP"/>
        </w:rPr>
      </w:pPr>
    </w:p>
    <w:p w:rsidR="00425F91" w:rsidRDefault="00EE4670" w:rsidP="00526FC0">
      <w:pPr>
        <w:numPr>
          <w:ilvl w:val="0"/>
          <w:numId w:val="1"/>
        </w:numPr>
        <w:tabs>
          <w:tab w:val="left" w:pos="567"/>
        </w:tabs>
        <w:snapToGrid w:val="0"/>
        <w:spacing w:before="120" w:after="120" w:line="240" w:lineRule="auto"/>
        <w:rPr>
          <w:rFonts w:ascii="Arial" w:eastAsia="ＭＳ 明朝" w:hAnsi="Arial" w:cs="Arial"/>
          <w:bCs/>
          <w:snapToGrid w:val="0"/>
          <w:sz w:val="24"/>
          <w:szCs w:val="24"/>
          <w:lang w:val="en-US" w:eastAsia="ja-JP"/>
        </w:rPr>
      </w:pPr>
      <w:r>
        <w:rPr>
          <w:rFonts w:ascii="Arial" w:eastAsia="ＭＳ 明朝" w:hAnsi="Arial" w:cs="Arial" w:hint="eastAsia"/>
          <w:bCs/>
          <w:snapToGrid w:val="0"/>
          <w:sz w:val="24"/>
          <w:szCs w:val="24"/>
          <w:lang w:val="en-US" w:eastAsia="ja-JP"/>
        </w:rPr>
        <w:t xml:space="preserve"> </w:t>
      </w: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 xml:space="preserve">Any Other </w:t>
      </w:r>
      <w:r w:rsidR="00634221"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Business</w:t>
      </w:r>
    </w:p>
    <w:p w:rsidR="00425F91" w:rsidRDefault="00425F91" w:rsidP="00526FC0">
      <w:pPr>
        <w:numPr>
          <w:ilvl w:val="255"/>
          <w:numId w:val="0"/>
        </w:numPr>
        <w:tabs>
          <w:tab w:val="left" w:pos="567"/>
        </w:tabs>
        <w:snapToGrid w:val="0"/>
        <w:spacing w:before="120" w:after="120" w:line="240" w:lineRule="auto"/>
        <w:rPr>
          <w:rFonts w:ascii="Arial" w:eastAsia="ＭＳ 明朝" w:hAnsi="Arial" w:cs="Arial"/>
          <w:bCs/>
          <w:snapToGrid w:val="0"/>
          <w:sz w:val="24"/>
          <w:szCs w:val="24"/>
          <w:lang w:val="en-US" w:eastAsia="ja-JP"/>
        </w:rPr>
      </w:pPr>
    </w:p>
    <w:p w:rsidR="00425F91" w:rsidRDefault="00EE4670" w:rsidP="00526FC0">
      <w:pPr>
        <w:numPr>
          <w:ilvl w:val="0"/>
          <w:numId w:val="1"/>
        </w:numPr>
        <w:tabs>
          <w:tab w:val="left" w:pos="567"/>
        </w:tabs>
        <w:snapToGrid w:val="0"/>
        <w:spacing w:before="120" w:after="120" w:line="240" w:lineRule="auto"/>
        <w:rPr>
          <w:rFonts w:ascii="Arial" w:eastAsia="ＭＳ 明朝" w:hAnsi="Arial" w:cs="Arial"/>
          <w:bCs/>
          <w:snapToGrid w:val="0"/>
          <w:sz w:val="24"/>
          <w:szCs w:val="24"/>
          <w:lang w:val="en-US" w:eastAsia="ja-JP"/>
        </w:rPr>
      </w:pPr>
      <w:r>
        <w:rPr>
          <w:rFonts w:ascii="Arial" w:eastAsia="ＭＳ 明朝" w:hAnsi="Arial" w:cs="Arial" w:hint="eastAsia"/>
          <w:bCs/>
          <w:snapToGrid w:val="0"/>
          <w:sz w:val="24"/>
          <w:szCs w:val="24"/>
          <w:lang w:val="en-US" w:eastAsia="ja-JP"/>
        </w:rPr>
        <w:t>Special Lecture</w:t>
      </w:r>
    </w:p>
    <w:p w:rsidR="00425F91" w:rsidRDefault="00EE4670" w:rsidP="00526FC0">
      <w:pPr>
        <w:numPr>
          <w:ilvl w:val="255"/>
          <w:numId w:val="0"/>
        </w:numPr>
        <w:tabs>
          <w:tab w:val="left" w:pos="567"/>
        </w:tabs>
        <w:snapToGrid w:val="0"/>
        <w:spacing w:before="120" w:after="120" w:line="240" w:lineRule="auto"/>
        <w:rPr>
          <w:rFonts w:ascii="Arial" w:eastAsia="ＭＳ 明朝" w:hAnsi="Arial" w:cs="Arial"/>
          <w:bCs/>
          <w:snapToGrid w:val="0"/>
          <w:sz w:val="24"/>
          <w:szCs w:val="24"/>
          <w:lang w:val="en-US" w:eastAsia="ja-JP"/>
        </w:rPr>
      </w:pPr>
      <w:r>
        <w:rPr>
          <w:rFonts w:ascii="Arial" w:eastAsia="ＭＳ 明朝" w:hAnsi="Arial" w:cs="Arial" w:hint="eastAsia"/>
          <w:bCs/>
          <w:snapToGrid w:val="0"/>
          <w:sz w:val="24"/>
          <w:szCs w:val="24"/>
          <w:lang w:val="en-US" w:eastAsia="ja-JP"/>
        </w:rPr>
        <w:tab/>
      </w:r>
      <w:proofErr w:type="spellStart"/>
      <w:r>
        <w:rPr>
          <w:rFonts w:ascii="Arial" w:eastAsia="ＭＳ 明朝" w:hAnsi="Arial" w:cs="Arial" w:hint="eastAsia"/>
          <w:bCs/>
          <w:snapToGrid w:val="0"/>
          <w:sz w:val="24"/>
          <w:szCs w:val="24"/>
          <w:lang w:val="en-US" w:eastAsia="ja-JP"/>
        </w:rPr>
        <w:t>Nankai</w:t>
      </w:r>
      <w:proofErr w:type="spellEnd"/>
      <w:r>
        <w:rPr>
          <w:rFonts w:ascii="Arial" w:eastAsia="ＭＳ 明朝" w:hAnsi="Arial" w:cs="Arial" w:hint="eastAsia"/>
          <w:bCs/>
          <w:snapToGrid w:val="0"/>
          <w:sz w:val="24"/>
          <w:szCs w:val="24"/>
          <w:lang w:val="en-US" w:eastAsia="ja-JP"/>
        </w:rPr>
        <w:t xml:space="preserve"> Trough Earthquake Information presented by the JMA</w:t>
      </w:r>
    </w:p>
    <w:p w:rsidR="00425F91" w:rsidRDefault="00EE4670" w:rsidP="00526FC0">
      <w:pPr>
        <w:numPr>
          <w:ilvl w:val="255"/>
          <w:numId w:val="0"/>
        </w:numPr>
        <w:tabs>
          <w:tab w:val="left" w:pos="567"/>
        </w:tabs>
        <w:snapToGrid w:val="0"/>
        <w:spacing w:before="120" w:after="120" w:line="240" w:lineRule="auto"/>
        <w:rPr>
          <w:rFonts w:ascii="Arial" w:eastAsia="ＭＳ 明朝" w:hAnsi="Arial" w:cs="Arial"/>
          <w:bCs/>
          <w:snapToGrid w:val="0"/>
          <w:sz w:val="24"/>
          <w:szCs w:val="24"/>
          <w:lang w:val="en-US" w:eastAsia="ja-JP"/>
        </w:rPr>
      </w:pPr>
      <w:r>
        <w:rPr>
          <w:rFonts w:ascii="Arial" w:eastAsia="ＭＳ 明朝" w:hAnsi="Arial" w:cs="Arial" w:hint="eastAsia"/>
          <w:bCs/>
          <w:snapToGrid w:val="0"/>
          <w:sz w:val="24"/>
          <w:szCs w:val="24"/>
          <w:lang w:val="en-US" w:eastAsia="ja-JP"/>
        </w:rPr>
        <w:t xml:space="preserve"> </w:t>
      </w:r>
    </w:p>
    <w:p w:rsidR="00425F91" w:rsidRPr="005317FE" w:rsidRDefault="00EE4670" w:rsidP="0050177C">
      <w:pPr>
        <w:numPr>
          <w:ilvl w:val="0"/>
          <w:numId w:val="1"/>
        </w:numPr>
        <w:tabs>
          <w:tab w:val="left" w:pos="567"/>
        </w:tabs>
        <w:snapToGrid w:val="0"/>
        <w:spacing w:before="120" w:after="120" w:line="240" w:lineRule="auto"/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</w:pPr>
      <w:r>
        <w:rPr>
          <w:rFonts w:ascii="Arial" w:eastAsia="SimSun" w:hAnsi="Arial" w:cs="Arial"/>
          <w:bCs/>
          <w:snapToGrid w:val="0"/>
          <w:sz w:val="24"/>
          <w:szCs w:val="24"/>
          <w:lang w:val="en-GB" w:eastAsia="zh-CN"/>
        </w:rPr>
        <w:t>Closing</w:t>
      </w:r>
      <w:bookmarkStart w:id="0" w:name="_GoBack"/>
      <w:bookmarkEnd w:id="0"/>
    </w:p>
    <w:sectPr w:rsidR="00425F91" w:rsidRPr="005317FE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4A" w:rsidRDefault="00145C4A">
      <w:pPr>
        <w:spacing w:after="0" w:line="240" w:lineRule="auto"/>
      </w:pPr>
      <w:r>
        <w:separator/>
      </w:r>
    </w:p>
  </w:endnote>
  <w:endnote w:type="continuationSeparator" w:id="0">
    <w:p w:rsidR="00145C4A" w:rsidRDefault="0014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Lucida Sans Unicode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4A" w:rsidRDefault="00145C4A">
      <w:pPr>
        <w:spacing w:after="0" w:line="240" w:lineRule="auto"/>
      </w:pPr>
      <w:r>
        <w:separator/>
      </w:r>
    </w:p>
  </w:footnote>
  <w:footnote w:type="continuationSeparator" w:id="0">
    <w:p w:rsidR="00145C4A" w:rsidRDefault="0014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F91" w:rsidRDefault="00425F91">
    <w:pPr>
      <w:pStyle w:val="ab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EB7688"/>
    <w:multiLevelType w:val="multilevel"/>
    <w:tmpl w:val="8AEB7688"/>
    <w:lvl w:ilvl="0">
      <w:start w:val="1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567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67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67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567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67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markup="0"/>
  <w:defaultTabStop w:val="720"/>
  <w:hyphenationZone w:val="425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30"/>
    <w:rsid w:val="0000429B"/>
    <w:rsid w:val="0004407B"/>
    <w:rsid w:val="0005054F"/>
    <w:rsid w:val="00064139"/>
    <w:rsid w:val="00087353"/>
    <w:rsid w:val="000A47EA"/>
    <w:rsid w:val="000B7968"/>
    <w:rsid w:val="000D78CD"/>
    <w:rsid w:val="000E21C1"/>
    <w:rsid w:val="00114F62"/>
    <w:rsid w:val="00132905"/>
    <w:rsid w:val="00133DB5"/>
    <w:rsid w:val="00145C4A"/>
    <w:rsid w:val="0015746A"/>
    <w:rsid w:val="00167E99"/>
    <w:rsid w:val="00173E9A"/>
    <w:rsid w:val="001807F0"/>
    <w:rsid w:val="0018561D"/>
    <w:rsid w:val="0019278C"/>
    <w:rsid w:val="001B55E3"/>
    <w:rsid w:val="001E26A1"/>
    <w:rsid w:val="001F1563"/>
    <w:rsid w:val="00205BF4"/>
    <w:rsid w:val="0022213D"/>
    <w:rsid w:val="00225DAF"/>
    <w:rsid w:val="002357C5"/>
    <w:rsid w:val="002615BD"/>
    <w:rsid w:val="002670ED"/>
    <w:rsid w:val="00281BBB"/>
    <w:rsid w:val="002A7F06"/>
    <w:rsid w:val="002B3374"/>
    <w:rsid w:val="002B74CF"/>
    <w:rsid w:val="002F72C8"/>
    <w:rsid w:val="00303717"/>
    <w:rsid w:val="0031286F"/>
    <w:rsid w:val="00332CD3"/>
    <w:rsid w:val="00377D67"/>
    <w:rsid w:val="003A2DE3"/>
    <w:rsid w:val="003A6E53"/>
    <w:rsid w:val="003E08F5"/>
    <w:rsid w:val="003F6055"/>
    <w:rsid w:val="00416D7A"/>
    <w:rsid w:val="004251FB"/>
    <w:rsid w:val="00425F91"/>
    <w:rsid w:val="00431358"/>
    <w:rsid w:val="00436926"/>
    <w:rsid w:val="00444D5A"/>
    <w:rsid w:val="00447A8D"/>
    <w:rsid w:val="00452F17"/>
    <w:rsid w:val="0046562B"/>
    <w:rsid w:val="00474C53"/>
    <w:rsid w:val="00494C32"/>
    <w:rsid w:val="0050177C"/>
    <w:rsid w:val="005044AC"/>
    <w:rsid w:val="00522FCC"/>
    <w:rsid w:val="00526D0D"/>
    <w:rsid w:val="00526FC0"/>
    <w:rsid w:val="005317FE"/>
    <w:rsid w:val="00553733"/>
    <w:rsid w:val="00556E86"/>
    <w:rsid w:val="00571A19"/>
    <w:rsid w:val="0059426B"/>
    <w:rsid w:val="005A1B65"/>
    <w:rsid w:val="005B2AF2"/>
    <w:rsid w:val="005B41FC"/>
    <w:rsid w:val="005E41D5"/>
    <w:rsid w:val="005F13DA"/>
    <w:rsid w:val="005F6093"/>
    <w:rsid w:val="00601AE9"/>
    <w:rsid w:val="006329C9"/>
    <w:rsid w:val="00634221"/>
    <w:rsid w:val="00636E3C"/>
    <w:rsid w:val="00665884"/>
    <w:rsid w:val="00674C65"/>
    <w:rsid w:val="0068481E"/>
    <w:rsid w:val="006D1253"/>
    <w:rsid w:val="0070650A"/>
    <w:rsid w:val="00706B55"/>
    <w:rsid w:val="00717040"/>
    <w:rsid w:val="007214D1"/>
    <w:rsid w:val="007339D7"/>
    <w:rsid w:val="007359A0"/>
    <w:rsid w:val="007446CD"/>
    <w:rsid w:val="00777C2C"/>
    <w:rsid w:val="0079053C"/>
    <w:rsid w:val="008067B5"/>
    <w:rsid w:val="00832474"/>
    <w:rsid w:val="0084740E"/>
    <w:rsid w:val="00871C80"/>
    <w:rsid w:val="00875DE4"/>
    <w:rsid w:val="00893AF2"/>
    <w:rsid w:val="008D2DC9"/>
    <w:rsid w:val="00930F78"/>
    <w:rsid w:val="009449D5"/>
    <w:rsid w:val="009540DC"/>
    <w:rsid w:val="00982BFB"/>
    <w:rsid w:val="009946E5"/>
    <w:rsid w:val="009950DF"/>
    <w:rsid w:val="009C7213"/>
    <w:rsid w:val="009D51A3"/>
    <w:rsid w:val="009D7EEC"/>
    <w:rsid w:val="00A06255"/>
    <w:rsid w:val="00A23848"/>
    <w:rsid w:val="00A51909"/>
    <w:rsid w:val="00A806D6"/>
    <w:rsid w:val="00AC095F"/>
    <w:rsid w:val="00AC1B38"/>
    <w:rsid w:val="00AC3D55"/>
    <w:rsid w:val="00B268AA"/>
    <w:rsid w:val="00B26B9A"/>
    <w:rsid w:val="00B31533"/>
    <w:rsid w:val="00B34855"/>
    <w:rsid w:val="00B74D54"/>
    <w:rsid w:val="00BC376E"/>
    <w:rsid w:val="00C0098A"/>
    <w:rsid w:val="00C42C6B"/>
    <w:rsid w:val="00C635E6"/>
    <w:rsid w:val="00C7511B"/>
    <w:rsid w:val="00CA0D9C"/>
    <w:rsid w:val="00CA0F2B"/>
    <w:rsid w:val="00CB2F33"/>
    <w:rsid w:val="00CC0516"/>
    <w:rsid w:val="00CC56B8"/>
    <w:rsid w:val="00CF4712"/>
    <w:rsid w:val="00D13578"/>
    <w:rsid w:val="00D2304A"/>
    <w:rsid w:val="00D231FF"/>
    <w:rsid w:val="00D2524E"/>
    <w:rsid w:val="00D31189"/>
    <w:rsid w:val="00D46E7C"/>
    <w:rsid w:val="00D57BD4"/>
    <w:rsid w:val="00DA1A38"/>
    <w:rsid w:val="00DA4CA8"/>
    <w:rsid w:val="00DC6282"/>
    <w:rsid w:val="00DE6024"/>
    <w:rsid w:val="00E10EB9"/>
    <w:rsid w:val="00E120A3"/>
    <w:rsid w:val="00E22372"/>
    <w:rsid w:val="00E26318"/>
    <w:rsid w:val="00E360EA"/>
    <w:rsid w:val="00E65F32"/>
    <w:rsid w:val="00E665AF"/>
    <w:rsid w:val="00E67AB6"/>
    <w:rsid w:val="00E75430"/>
    <w:rsid w:val="00E841DD"/>
    <w:rsid w:val="00EA5F63"/>
    <w:rsid w:val="00EB38B6"/>
    <w:rsid w:val="00EC710B"/>
    <w:rsid w:val="00EE4670"/>
    <w:rsid w:val="00EF602F"/>
    <w:rsid w:val="00F11687"/>
    <w:rsid w:val="00F54D21"/>
    <w:rsid w:val="00F61ACF"/>
    <w:rsid w:val="00F63CD2"/>
    <w:rsid w:val="00FD3948"/>
    <w:rsid w:val="00FE14C5"/>
    <w:rsid w:val="00FF66DE"/>
    <w:rsid w:val="29F742E1"/>
    <w:rsid w:val="5A10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C16777"/>
  <w15:docId w15:val="{34CD49FE-9B08-413D-9F48-194BBD8E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annotation text"/>
    <w:basedOn w:val="a"/>
    <w:link w:val="a6"/>
    <w:uiPriority w:val="99"/>
    <w:semiHidden/>
    <w:unhideWhenUsed/>
    <w:qFormat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ac">
    <w:name w:val="ヘッダー (文字)"/>
    <w:basedOn w:val="a0"/>
    <w:link w:val="ab"/>
    <w:uiPriority w:val="99"/>
    <w:rPr>
      <w:rFonts w:eastAsiaTheme="minorHAnsi"/>
      <w:lang w:val="fr-FR" w:eastAsia="en-US"/>
    </w:rPr>
  </w:style>
  <w:style w:type="character" w:customStyle="1" w:styleId="a4">
    <w:name w:val="フッター (文字)"/>
    <w:basedOn w:val="a0"/>
    <w:link w:val="a3"/>
    <w:uiPriority w:val="99"/>
    <w:qFormat/>
    <w:rPr>
      <w:rFonts w:eastAsiaTheme="minorHAnsi"/>
      <w:lang w:val="fr-FR"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1">
    <w:name w:val="変更箇所1"/>
    <w:hidden/>
    <w:uiPriority w:val="99"/>
    <w:semiHidden/>
    <w:rPr>
      <w:rFonts w:eastAsiaTheme="minorHAnsi"/>
      <w:sz w:val="22"/>
      <w:szCs w:val="22"/>
      <w:lang w:val="fr-FR" w:eastAsia="en-US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  <w:lang w:val="fr-FR" w:eastAsia="en-US"/>
    </w:rPr>
  </w:style>
  <w:style w:type="character" w:customStyle="1" w:styleId="a6">
    <w:name w:val="コメント文字列 (文字)"/>
    <w:basedOn w:val="a0"/>
    <w:link w:val="a5"/>
    <w:uiPriority w:val="99"/>
    <w:semiHidden/>
    <w:rPr>
      <w:rFonts w:eastAsiaTheme="minorHAnsi"/>
      <w:lang w:val="fr-FR" w:eastAsia="en-US"/>
    </w:rPr>
  </w:style>
  <w:style w:type="character" w:customStyle="1" w:styleId="a8">
    <w:name w:val="コメント内容 (文字)"/>
    <w:basedOn w:val="a6"/>
    <w:link w:val="a7"/>
    <w:uiPriority w:val="99"/>
    <w:semiHidden/>
    <w:rPr>
      <w:rFonts w:eastAsiaTheme="minorHAnsi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6</vt:i4>
      </vt:variant>
    </vt:vector>
  </HeadingPairs>
  <TitlesOfParts>
    <vt:vector size="7" baseType="lpstr">
      <vt:lpstr/>
      <vt:lpstr>        </vt:lpstr>
      <vt:lpstr>        </vt:lpstr>
      <vt:lpstr>        NOAA Facility at Pier 38, 18 - 19 September 2024</vt:lpstr>
      <vt:lpstr>        Double Tree by Hilton Alana Waikiki Beach, 20 September 2024</vt:lpstr>
      <vt:lpstr>        PROVISIONAL AGENDA (V7)</vt:lpstr>
      <vt:lpstr>        </vt:lpstr>
    </vt:vector>
  </TitlesOfParts>
  <Company>気象庁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Tiffay, Celine</dc:creator>
  <cp:lastModifiedBy>Nishimae</cp:lastModifiedBy>
  <cp:revision>8</cp:revision>
  <cp:lastPrinted>2024-08-19T04:18:00Z</cp:lastPrinted>
  <dcterms:created xsi:type="dcterms:W3CDTF">2024-08-08T05:48:00Z</dcterms:created>
  <dcterms:modified xsi:type="dcterms:W3CDTF">2024-08-19T04:18:00Z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