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77E6E" w14:textId="4B60A542" w:rsidR="009172D6" w:rsidRPr="009172D6" w:rsidRDefault="009172D6" w:rsidP="00BE32D8">
      <w:pPr>
        <w:rPr>
          <w:rFonts w:ascii="Arial" w:hAnsi="Arial" w:cs="Arial"/>
          <w:sz w:val="22"/>
          <w:szCs w:val="22"/>
        </w:rPr>
      </w:pPr>
    </w:p>
    <w:p w14:paraId="55B0C166" w14:textId="1F64A00C" w:rsidR="009172D6" w:rsidRPr="009172D6" w:rsidRDefault="009172D6" w:rsidP="00BE32D8">
      <w:pPr>
        <w:rPr>
          <w:rFonts w:ascii="Arial" w:hAnsi="Arial" w:cs="Arial"/>
          <w:sz w:val="22"/>
          <w:szCs w:val="22"/>
        </w:rPr>
      </w:pPr>
    </w:p>
    <w:p w14:paraId="725CA1B5" w14:textId="66B4832E" w:rsidR="009172D6" w:rsidRPr="009172D6" w:rsidRDefault="009172D6" w:rsidP="00BE32D8">
      <w:pPr>
        <w:rPr>
          <w:rFonts w:ascii="Arial" w:hAnsi="Arial" w:cs="Arial"/>
          <w:sz w:val="22"/>
          <w:szCs w:val="22"/>
        </w:rPr>
      </w:pPr>
    </w:p>
    <w:p w14:paraId="3619613D" w14:textId="06B43FB9" w:rsidR="009172D6" w:rsidRPr="009172D6" w:rsidRDefault="009172D6" w:rsidP="00BE32D8">
      <w:pPr>
        <w:rPr>
          <w:rFonts w:ascii="Arial" w:hAnsi="Arial" w:cs="Arial"/>
          <w:sz w:val="22"/>
          <w:szCs w:val="22"/>
        </w:rPr>
      </w:pPr>
    </w:p>
    <w:p w14:paraId="4BFD5886" w14:textId="5139EEFC" w:rsidR="009172D6" w:rsidRPr="009172D6" w:rsidRDefault="009172D6" w:rsidP="00BE32D8">
      <w:pPr>
        <w:rPr>
          <w:rFonts w:ascii="Arial" w:hAnsi="Arial" w:cs="Arial"/>
          <w:sz w:val="22"/>
          <w:szCs w:val="22"/>
        </w:rPr>
      </w:pPr>
    </w:p>
    <w:p w14:paraId="36921F60" w14:textId="77777777" w:rsidR="009172D6" w:rsidRPr="009172D6" w:rsidRDefault="009172D6" w:rsidP="00BE32D8">
      <w:pPr>
        <w:rPr>
          <w:rFonts w:ascii="Arial" w:hAnsi="Arial" w:cs="Arial"/>
          <w:sz w:val="22"/>
          <w:szCs w:val="22"/>
        </w:rPr>
      </w:pPr>
    </w:p>
    <w:p w14:paraId="39342496" w14:textId="77777777" w:rsidR="009172D6" w:rsidRPr="009172D6" w:rsidRDefault="009172D6" w:rsidP="00BE32D8">
      <w:pPr>
        <w:rPr>
          <w:rFonts w:ascii="Arial" w:hAnsi="Arial" w:cs="Arial"/>
          <w:sz w:val="22"/>
          <w:szCs w:val="22"/>
        </w:rPr>
      </w:pPr>
    </w:p>
    <w:p w14:paraId="4101997B" w14:textId="367FEDAB" w:rsidR="00830E3E" w:rsidRPr="00E157FA" w:rsidRDefault="00E157FA" w:rsidP="009172D6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E157FA">
        <w:rPr>
          <w:rFonts w:ascii="Arial" w:hAnsi="Arial" w:cs="Arial"/>
          <w:sz w:val="22"/>
          <w:szCs w:val="22"/>
          <w:shd w:val="clear" w:color="auto" w:fill="FFFFFF"/>
          <w:lang w:val="ru-RU"/>
        </w:rPr>
        <w:t>Резолюция, принятая Исполнительным советом МОК на его 57-й сессии</w:t>
      </w:r>
      <w:r w:rsidR="006E7070" w:rsidRPr="00E157FA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830E3E" w:rsidRPr="00E85A59">
        <w:rPr>
          <w:rFonts w:ascii="Arial" w:hAnsi="Arial" w:cs="Arial"/>
          <w:sz w:val="22"/>
          <w:szCs w:val="22"/>
        </w:rPr>
        <w:fldChar w:fldCharType="begin"/>
      </w:r>
      <w:r w:rsidR="00830E3E" w:rsidRPr="00E157FA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="00830E3E" w:rsidRPr="006E7070">
        <w:rPr>
          <w:rFonts w:ascii="Arial" w:hAnsi="Arial" w:cs="Arial"/>
          <w:sz w:val="22"/>
          <w:szCs w:val="22"/>
          <w:lang w:val="es-ES"/>
        </w:rPr>
        <w:instrText>ASK</w:instrText>
      </w:r>
      <w:r w:rsidR="00830E3E" w:rsidRPr="00E157FA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="00830E3E" w:rsidRPr="006E7070">
        <w:rPr>
          <w:rFonts w:ascii="Arial" w:hAnsi="Arial" w:cs="Arial"/>
          <w:sz w:val="22"/>
          <w:szCs w:val="22"/>
          <w:lang w:val="es-ES"/>
        </w:rPr>
        <w:instrText>ResNo</w:instrText>
      </w:r>
      <w:r w:rsidR="00830E3E" w:rsidRPr="00E157FA">
        <w:rPr>
          <w:rFonts w:ascii="Arial" w:hAnsi="Arial" w:cs="Arial"/>
          <w:sz w:val="22"/>
          <w:szCs w:val="22"/>
          <w:lang w:val="ru-RU"/>
        </w:rPr>
        <w:instrText xml:space="preserve"> "</w:instrText>
      </w:r>
      <w:r w:rsidR="00830E3E" w:rsidRPr="006E7070">
        <w:rPr>
          <w:rFonts w:ascii="Arial" w:hAnsi="Arial" w:cs="Arial"/>
          <w:sz w:val="22"/>
          <w:szCs w:val="22"/>
          <w:lang w:val="es-ES"/>
        </w:rPr>
        <w:instrText>Please</w:instrText>
      </w:r>
      <w:r w:rsidR="00830E3E" w:rsidRPr="00E157FA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="00830E3E" w:rsidRPr="006E7070">
        <w:rPr>
          <w:rFonts w:ascii="Arial" w:hAnsi="Arial" w:cs="Arial"/>
          <w:sz w:val="22"/>
          <w:szCs w:val="22"/>
          <w:lang w:val="es-ES"/>
        </w:rPr>
        <w:instrText>enter</w:instrText>
      </w:r>
      <w:r w:rsidR="00830E3E" w:rsidRPr="00E157FA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="00830E3E" w:rsidRPr="006E7070">
        <w:rPr>
          <w:rFonts w:ascii="Arial" w:hAnsi="Arial" w:cs="Arial"/>
          <w:sz w:val="22"/>
          <w:szCs w:val="22"/>
          <w:lang w:val="es-ES"/>
        </w:rPr>
        <w:instrText>resolution</w:instrText>
      </w:r>
      <w:r w:rsidR="00830E3E" w:rsidRPr="00E157FA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="00830E3E" w:rsidRPr="006E7070">
        <w:rPr>
          <w:rFonts w:ascii="Arial" w:hAnsi="Arial" w:cs="Arial"/>
          <w:sz w:val="22"/>
          <w:szCs w:val="22"/>
          <w:lang w:val="es-ES"/>
        </w:rPr>
        <w:instrText>number</w:instrText>
      </w:r>
      <w:r w:rsidR="00830E3E" w:rsidRPr="00E157FA">
        <w:rPr>
          <w:rFonts w:ascii="Arial" w:hAnsi="Arial" w:cs="Arial"/>
          <w:sz w:val="22"/>
          <w:szCs w:val="22"/>
          <w:lang w:val="ru-RU"/>
        </w:rPr>
        <w:instrText xml:space="preserve">" \* </w:instrText>
      </w:r>
      <w:r w:rsidR="00830E3E" w:rsidRPr="006E7070">
        <w:rPr>
          <w:rFonts w:ascii="Arial" w:hAnsi="Arial" w:cs="Arial"/>
          <w:sz w:val="22"/>
          <w:szCs w:val="22"/>
          <w:lang w:val="es-ES"/>
        </w:rPr>
        <w:instrText>MERGEFORMAT</w:instrText>
      </w:r>
      <w:r w:rsidR="00830E3E" w:rsidRPr="00E157FA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="00830E3E" w:rsidRPr="00E85A59">
        <w:rPr>
          <w:rFonts w:ascii="Arial" w:hAnsi="Arial" w:cs="Arial"/>
          <w:sz w:val="22"/>
          <w:szCs w:val="22"/>
        </w:rPr>
        <w:fldChar w:fldCharType="separate"/>
      </w:r>
      <w:bookmarkStart w:id="0" w:name="ResNo"/>
      <w:r w:rsidR="00375B17" w:rsidRPr="00E157FA">
        <w:rPr>
          <w:rFonts w:ascii="Arial" w:hAnsi="Arial" w:cs="Arial"/>
          <w:sz w:val="22"/>
          <w:szCs w:val="22"/>
          <w:lang w:val="ru-RU"/>
        </w:rPr>
        <w:t>(</w:t>
      </w:r>
      <w:r w:rsidR="00375B17" w:rsidRPr="006E7070">
        <w:rPr>
          <w:rFonts w:ascii="Arial" w:hAnsi="Arial" w:cs="Arial"/>
          <w:sz w:val="22"/>
          <w:szCs w:val="22"/>
          <w:lang w:val="es-ES"/>
        </w:rPr>
        <w:t>A</w:t>
      </w:r>
      <w:r w:rsidR="00375B17" w:rsidRPr="00E157FA">
        <w:rPr>
          <w:rFonts w:ascii="Arial" w:hAnsi="Arial" w:cs="Arial"/>
          <w:sz w:val="22"/>
          <w:szCs w:val="22"/>
          <w:lang w:val="ru-RU"/>
        </w:rPr>
        <w:t>)</w:t>
      </w:r>
      <w:bookmarkEnd w:id="0"/>
      <w:r w:rsidR="00830E3E" w:rsidRPr="00E85A59">
        <w:rPr>
          <w:rFonts w:ascii="Arial" w:hAnsi="Arial" w:cs="Arial"/>
          <w:sz w:val="22"/>
          <w:szCs w:val="22"/>
        </w:rPr>
        <w:fldChar w:fldCharType="end"/>
      </w:r>
    </w:p>
    <w:p w14:paraId="231FE9C5" w14:textId="26244E3C" w:rsidR="009172D6" w:rsidRPr="00E157FA" w:rsidRDefault="009172D6" w:rsidP="00BE32D8">
      <w:pPr>
        <w:jc w:val="center"/>
        <w:rPr>
          <w:rFonts w:ascii="Arial" w:hAnsi="Arial" w:cs="Arial"/>
          <w:sz w:val="22"/>
          <w:szCs w:val="22"/>
          <w:u w:val="single"/>
          <w:lang w:val="ru-RU"/>
        </w:rPr>
      </w:pPr>
    </w:p>
    <w:p w14:paraId="5BCC6A82" w14:textId="671DFCA3" w:rsidR="009172D6" w:rsidRPr="00E157FA" w:rsidRDefault="00E157FA" w:rsidP="000065F9">
      <w:pPr>
        <w:spacing w:after="480"/>
        <w:jc w:val="center"/>
        <w:rPr>
          <w:rFonts w:ascii="Arial" w:hAnsi="Arial" w:cs="Arial"/>
          <w:sz w:val="22"/>
          <w:szCs w:val="22"/>
          <w:lang w:val="ru-RU"/>
        </w:rPr>
      </w:pPr>
      <w:r w:rsidRPr="00E157FA">
        <w:rPr>
          <w:rFonts w:ascii="Arial" w:hAnsi="Arial" w:cs="Arial"/>
          <w:sz w:val="22"/>
          <w:szCs w:val="22"/>
          <w:lang w:val="ru-RU"/>
        </w:rPr>
        <w:t xml:space="preserve">Париж, </w:t>
      </w:r>
      <w:proofErr w:type="gramStart"/>
      <w:r w:rsidRPr="00E157FA">
        <w:rPr>
          <w:rFonts w:ascii="Arial" w:hAnsi="Arial" w:cs="Arial"/>
          <w:sz w:val="22"/>
          <w:szCs w:val="22"/>
          <w:lang w:val="ru-RU"/>
        </w:rPr>
        <w:t>25-28</w:t>
      </w:r>
      <w:proofErr w:type="gramEnd"/>
      <w:r w:rsidRPr="00E157FA">
        <w:rPr>
          <w:rFonts w:ascii="Arial" w:hAnsi="Arial" w:cs="Arial"/>
          <w:sz w:val="22"/>
          <w:szCs w:val="22"/>
          <w:lang w:val="ru-RU"/>
        </w:rPr>
        <w:t xml:space="preserve"> июня 2024 г.</w:t>
      </w:r>
    </w:p>
    <w:p w14:paraId="3EB52708" w14:textId="55E58806" w:rsidR="00284F88" w:rsidRPr="00E157FA" w:rsidRDefault="00E157FA" w:rsidP="00284F88">
      <w:pPr>
        <w:pStyle w:val="Heading1"/>
        <w:tabs>
          <w:tab w:val="center" w:pos="4542"/>
          <w:tab w:val="left" w:pos="5955"/>
        </w:tabs>
        <w:snapToGrid w:val="0"/>
        <w:spacing w:before="0" w:after="240"/>
        <w:jc w:val="center"/>
        <w:rPr>
          <w:rFonts w:ascii="Arial" w:hAnsi="Arial" w:cs="Arial"/>
          <w:color w:val="auto"/>
          <w:sz w:val="24"/>
          <w:szCs w:val="24"/>
          <w:u w:val="single"/>
          <w:lang w:val="ru-RU"/>
        </w:rPr>
      </w:pPr>
      <w:r w:rsidRPr="00E157FA">
        <w:rPr>
          <w:rFonts w:asciiTheme="minorBidi" w:hAnsiTheme="minorBidi" w:cstheme="minorBidi"/>
          <w:color w:val="auto"/>
          <w:sz w:val="22"/>
          <w:szCs w:val="22"/>
          <w:u w:val="single"/>
          <w:lang w:val="ru-RU"/>
        </w:rPr>
        <w:t xml:space="preserve">Резолюция МОК </w:t>
      </w:r>
      <w:r w:rsidRPr="00E157FA">
        <w:rPr>
          <w:rFonts w:asciiTheme="minorBidi" w:hAnsiTheme="minorBidi" w:cstheme="minorBidi"/>
          <w:color w:val="auto"/>
          <w:sz w:val="22"/>
          <w:szCs w:val="22"/>
          <w:u w:val="single"/>
          <w:lang w:val="es-ES"/>
        </w:rPr>
        <w:t>EC</w:t>
      </w:r>
      <w:r w:rsidRPr="00E157FA">
        <w:rPr>
          <w:rFonts w:asciiTheme="minorBidi" w:hAnsiTheme="minorBidi" w:cstheme="minorBidi"/>
          <w:color w:val="auto"/>
          <w:sz w:val="22"/>
          <w:szCs w:val="22"/>
          <w:u w:val="single"/>
          <w:lang w:val="ru-RU"/>
        </w:rPr>
        <w:t>-57/2</w:t>
      </w:r>
    </w:p>
    <w:p w14:paraId="3783ED3E" w14:textId="26C6A379" w:rsidR="001F48BF" w:rsidRPr="00E157FA" w:rsidRDefault="00E157FA" w:rsidP="00E157FA">
      <w:pPr>
        <w:tabs>
          <w:tab w:val="left" w:pos="2694"/>
        </w:tabs>
        <w:spacing w:after="240"/>
        <w:jc w:val="center"/>
        <w:rPr>
          <w:rFonts w:asciiTheme="minorBidi" w:eastAsia="Calibri" w:hAnsiTheme="minorBidi" w:cstheme="minorBidi"/>
          <w:b/>
          <w:bCs/>
          <w:sz w:val="22"/>
          <w:szCs w:val="22"/>
          <w:lang w:val="ru-RU"/>
        </w:rPr>
      </w:pPr>
      <w:r w:rsidRPr="00E157FA">
        <w:rPr>
          <w:rFonts w:asciiTheme="minorBidi" w:hAnsiTheme="minorBidi" w:cstheme="minorBidi"/>
          <w:b/>
          <w:bCs/>
          <w:sz w:val="22"/>
          <w:szCs w:val="22"/>
          <w:lang w:val="ru-RU"/>
        </w:rPr>
        <w:t>Аспекты деятельности Комиссии, касающиеся управления и подготовки программы и бюджета</w:t>
      </w:r>
    </w:p>
    <w:p w14:paraId="7A3A57DD" w14:textId="18A3CBAB" w:rsidR="0044178C" w:rsidRPr="006E7070" w:rsidRDefault="00E157FA" w:rsidP="0044178C">
      <w:pPr>
        <w:pStyle w:val="ListParagraph"/>
        <w:spacing w:after="240"/>
        <w:ind w:left="567" w:hanging="567"/>
        <w:contextualSpacing w:val="0"/>
        <w:rPr>
          <w:rFonts w:cs="Arial"/>
          <w:bCs/>
          <w:color w:val="000000"/>
          <w:szCs w:val="22"/>
          <w:lang w:val="es-ES"/>
        </w:rPr>
      </w:pPr>
      <w:r w:rsidRPr="00E05DB3">
        <w:rPr>
          <w:rFonts w:cs="Arial"/>
          <w:szCs w:val="22"/>
          <w:lang w:val="ru-RU"/>
        </w:rPr>
        <w:t>Исполнительный совет,</w:t>
      </w:r>
    </w:p>
    <w:p w14:paraId="5C14090F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рассмотрев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 документы:</w:t>
      </w:r>
    </w:p>
    <w:p w14:paraId="07AC731F" w14:textId="77777777" w:rsidR="00E157FA" w:rsidRPr="00E05DB3" w:rsidRDefault="00E157FA" w:rsidP="00E157FA">
      <w:pPr>
        <w:pStyle w:val="b"/>
        <w:numPr>
          <w:ilvl w:val="0"/>
          <w:numId w:val="24"/>
        </w:numPr>
        <w:tabs>
          <w:tab w:val="clear" w:pos="1134"/>
        </w:tabs>
        <w:ind w:left="1134" w:hanging="567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sz w:val="22"/>
          <w:szCs w:val="22"/>
          <w:lang w:val="ru-RU"/>
        </w:rPr>
        <w:t>IOC/EC-57/3.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1.Doc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>(2) – Доклад об исполнении бюджета на 2022-2023 гг. (документ 41 С/5) по состоянию на 31 декабря 2023 г.,</w:t>
      </w:r>
    </w:p>
    <w:p w14:paraId="7DC92A99" w14:textId="77777777" w:rsidR="00E157FA" w:rsidRPr="00E05DB3" w:rsidRDefault="00E157FA" w:rsidP="00E157FA">
      <w:pPr>
        <w:pStyle w:val="b"/>
        <w:numPr>
          <w:ilvl w:val="0"/>
          <w:numId w:val="24"/>
        </w:numPr>
        <w:tabs>
          <w:tab w:val="clear" w:pos="1134"/>
        </w:tabs>
        <w:ind w:left="1134" w:hanging="567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sz w:val="22"/>
          <w:szCs w:val="22"/>
          <w:lang w:val="ru-RU"/>
        </w:rPr>
        <w:t>IOC/EC-57/3.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1.Doc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>(3) – Финансовое положение специального счета МОК по состоянию на конец 2023 г. и прогноз на 2024-2025 гг.,</w:t>
      </w:r>
    </w:p>
    <w:p w14:paraId="29743495" w14:textId="77777777" w:rsidR="00E157FA" w:rsidRPr="00E05DB3" w:rsidRDefault="00E157FA" w:rsidP="00E157FA">
      <w:pPr>
        <w:pStyle w:val="b"/>
        <w:numPr>
          <w:ilvl w:val="0"/>
          <w:numId w:val="24"/>
        </w:numPr>
        <w:tabs>
          <w:tab w:val="clear" w:pos="1134"/>
        </w:tabs>
        <w:ind w:left="1134" w:hanging="567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sz w:val="22"/>
          <w:szCs w:val="22"/>
          <w:lang w:val="ru-RU"/>
        </w:rPr>
        <w:t>IOC/EC-57/3.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1.Doc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>(4) – Процесс консультаций по теме «МОК и будущее Мирового океана: устойчивое осуществление и расширение деятельности МОК»,</w:t>
      </w:r>
    </w:p>
    <w:p w14:paraId="6A11FB7D" w14:textId="77777777" w:rsidR="00E157FA" w:rsidRPr="00E05DB3" w:rsidRDefault="00E157FA" w:rsidP="00E157FA">
      <w:pPr>
        <w:pStyle w:val="b"/>
        <w:numPr>
          <w:ilvl w:val="0"/>
          <w:numId w:val="24"/>
        </w:numPr>
        <w:tabs>
          <w:tab w:val="clear" w:pos="1134"/>
        </w:tabs>
        <w:ind w:left="1134" w:hanging="567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sz w:val="22"/>
          <w:szCs w:val="22"/>
          <w:lang w:val="ru-RU"/>
        </w:rPr>
        <w:t>IOC/EC-57/5.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1.Doc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>(1) – Пересмотренные программа и бюджет на 2024-2025 гг. (документ 42 С/5) и предварительные предложения на 2026-2029 гг. (проект документа 43 С/5)</w:t>
      </w:r>
      <w:bookmarkStart w:id="1" w:name="_Hlk137637641"/>
      <w:bookmarkEnd w:id="1"/>
      <w:r w:rsidRPr="00E05DB3">
        <w:rPr>
          <w:rFonts w:ascii="Arial" w:hAnsi="Arial" w:cs="Arial"/>
          <w:sz w:val="22"/>
          <w:szCs w:val="22"/>
          <w:lang w:val="ru-RU"/>
        </w:rPr>
        <w:t>,</w:t>
      </w:r>
    </w:p>
    <w:p w14:paraId="4EE9CF90" w14:textId="77777777" w:rsidR="00E157FA" w:rsidRPr="00E05DB3" w:rsidRDefault="00E157FA" w:rsidP="00E157FA">
      <w:pPr>
        <w:pStyle w:val="b"/>
        <w:numPr>
          <w:ilvl w:val="0"/>
          <w:numId w:val="24"/>
        </w:numPr>
        <w:tabs>
          <w:tab w:val="clear" w:pos="1134"/>
        </w:tabs>
        <w:ind w:left="1134" w:hanging="567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sz w:val="22"/>
          <w:szCs w:val="22"/>
          <w:lang w:val="ru-RU"/>
        </w:rPr>
        <w:t>IOC/EC-57/5.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2.Doc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>(1) – План действий в связи с проведенной IOS оценкой стратегического позиционирования МОК: обновленная информация об осуществлении,</w:t>
      </w:r>
    </w:p>
    <w:p w14:paraId="7ACCA964" w14:textId="77777777" w:rsidR="00E157FA" w:rsidRPr="00E05DB3" w:rsidRDefault="00E157FA" w:rsidP="00E157FA">
      <w:pPr>
        <w:pStyle w:val="b"/>
        <w:numPr>
          <w:ilvl w:val="0"/>
          <w:numId w:val="24"/>
        </w:numPr>
        <w:tabs>
          <w:tab w:val="clear" w:pos="1134"/>
        </w:tabs>
        <w:ind w:left="1134" w:hanging="567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sz w:val="22"/>
          <w:szCs w:val="22"/>
          <w:lang w:val="ru-RU"/>
        </w:rPr>
        <w:t>IOC/ЕС-57/5.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2.Doc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>(2) – Доклад председателя межсессионной финансовой консультативной группы (межсессионный период с января по июнь 2024 г.),</w:t>
      </w:r>
    </w:p>
    <w:p w14:paraId="188B589E" w14:textId="77777777" w:rsidR="00E157FA" w:rsidRPr="00E05DB3" w:rsidRDefault="00E157FA" w:rsidP="00E157FA">
      <w:pPr>
        <w:pStyle w:val="b"/>
        <w:numPr>
          <w:ilvl w:val="0"/>
          <w:numId w:val="24"/>
        </w:numPr>
        <w:tabs>
          <w:tab w:val="clear" w:pos="1134"/>
        </w:tabs>
        <w:ind w:left="1134" w:hanging="567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sz w:val="22"/>
          <w:szCs w:val="22"/>
          <w:lang w:val="ru-RU"/>
        </w:rPr>
        <w:t>IOC/EC-57/5.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3.Doc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>(1) – Проект руководящих принципов подготовки и участия государств-членов в проводимых раз в два года выборах Председателя и заместителей Председателя МОК (должностных лиц Комиссии) и государств – членов Исполнительного совета,</w:t>
      </w:r>
    </w:p>
    <w:p w14:paraId="34D35F78" w14:textId="77777777" w:rsidR="00E157FA" w:rsidRPr="00E05DB3" w:rsidRDefault="00E157FA" w:rsidP="00E157FA">
      <w:pPr>
        <w:pStyle w:val="ListParagraph"/>
        <w:spacing w:after="120"/>
        <w:ind w:left="0"/>
        <w:contextualSpacing w:val="0"/>
        <w:jc w:val="center"/>
        <w:rPr>
          <w:rFonts w:cs="Arial"/>
          <w:szCs w:val="22"/>
          <w:lang w:val="ru-RU"/>
        </w:rPr>
      </w:pPr>
      <w:r w:rsidRPr="00E05DB3">
        <w:rPr>
          <w:rFonts w:cs="Arial"/>
          <w:b/>
          <w:bCs/>
          <w:szCs w:val="22"/>
          <w:lang w:val="ru-RU"/>
        </w:rPr>
        <w:t>Часть I.</w:t>
      </w:r>
      <w:r w:rsidRPr="00E05DB3">
        <w:rPr>
          <w:rFonts w:cs="Arial"/>
          <w:szCs w:val="22"/>
          <w:lang w:val="ru-RU"/>
        </w:rPr>
        <w:t xml:space="preserve"> </w:t>
      </w:r>
    </w:p>
    <w:p w14:paraId="2C024FAB" w14:textId="77777777" w:rsidR="00E157FA" w:rsidRPr="00E05DB3" w:rsidRDefault="00E157FA" w:rsidP="00E157FA">
      <w:pPr>
        <w:pStyle w:val="b"/>
        <w:tabs>
          <w:tab w:val="clear" w:pos="1134"/>
        </w:tabs>
        <w:ind w:left="0" w:firstLine="0"/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 xml:space="preserve">Доклад об исполнении бюджета на </w:t>
      </w:r>
      <w:proofErr w:type="gramStart"/>
      <w:r w:rsidRPr="00E05DB3">
        <w:rPr>
          <w:rFonts w:ascii="Arial" w:hAnsi="Arial" w:cs="Arial"/>
          <w:b/>
          <w:bCs/>
          <w:sz w:val="22"/>
          <w:szCs w:val="22"/>
          <w:lang w:val="ru-RU"/>
        </w:rPr>
        <w:t>2022-2023</w:t>
      </w:r>
      <w:proofErr w:type="gramEnd"/>
      <w:r w:rsidRPr="00E05DB3">
        <w:rPr>
          <w:rFonts w:ascii="Arial" w:hAnsi="Arial" w:cs="Arial"/>
          <w:b/>
          <w:bCs/>
          <w:sz w:val="22"/>
          <w:szCs w:val="22"/>
          <w:lang w:val="ru-RU"/>
        </w:rPr>
        <w:t xml:space="preserve"> гг. (документ 41 С/5) по состоянию на 31 декабря 2023 г. и финансовое положение специального счета МОК по состоянию на конец 2023 г. и прогноз на 2024-2025 гг.</w:t>
      </w:r>
    </w:p>
    <w:p w14:paraId="6FB71B20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подтверждает</w:t>
      </w:r>
      <w:r w:rsidRPr="00E05DB3">
        <w:rPr>
          <w:rFonts w:ascii="Arial" w:hAnsi="Arial" w:cs="Arial"/>
          <w:sz w:val="22"/>
          <w:szCs w:val="22"/>
          <w:lang w:val="ru-RU"/>
        </w:rPr>
        <w:t>, что, согласно представленному в документе IOC/EC-57/3.1.Doc(2) докладу, бюджет МОК на 2022-2023 гг. был исполнен в соответствии с утвержденными программой и бюджетом ЮНЕСКО на 2022-2023 гг. (документ 41 C/5), включая скорректированную сумму бюджетных ассигнований для специального счета МОК, утвержденных Ассамблеей МОК на ее 31-й сессии в резолюции A-31/2 и затем пересмотренных Исполнительным советом МОК на его 55-й сессии в резолюции ЕС-55/2;</w:t>
      </w:r>
    </w:p>
    <w:p w14:paraId="5E9889D1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отмечает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, что, хотя общие плановые показатели привлечения внебюджетных средств, установленные на двухлетний период 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2022-2023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 xml:space="preserve"> гг., были достигнуты, по состоянию на конец 2023 г. сохранялись некоторые пробелы в финансировании функций D и F; </w:t>
      </w:r>
    </w:p>
    <w:p w14:paraId="1CEC060C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 xml:space="preserve">благодарит 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государства-члены, предоставившие внебюджетные средства и взносы в натуральной форме на осуществление программы в 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2022-2023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 xml:space="preserve"> гг.;</w:t>
      </w:r>
    </w:p>
    <w:p w14:paraId="25B0BC26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принимает к сведению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 информацию о финансовом положении специального счета МОК по состоянию на конец 2023 г. и прогноз на 2024-2025 гг., представленные в документе IOC/EC 57/3.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1.Doc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>(3);</w:t>
      </w:r>
    </w:p>
    <w:p w14:paraId="082EC3B7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 xml:space="preserve">утверждает </w:t>
      </w:r>
      <w:r w:rsidRPr="00E05DB3">
        <w:rPr>
          <w:rFonts w:ascii="Arial" w:hAnsi="Arial" w:cs="Arial"/>
          <w:sz w:val="22"/>
          <w:szCs w:val="22"/>
          <w:lang w:val="ru-RU"/>
        </w:rPr>
        <w:t>пересмотренную сумму бюджетных ассигнований на 2024-2025 гг., предложенную в таблице 1 документа IOC/EC 57/3.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1.Doc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>(3);</w:t>
      </w:r>
    </w:p>
    <w:p w14:paraId="05170905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призывает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 государства-члены предоставлять добровольные взносы, с тем чтобы обеспечить достижение в полном объеме коллективно согласованных целевых показателей по привлечению внебюджетных средств для всех функций МОК в 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2024-2025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 xml:space="preserve"> гг., предпочтительно на специальный счет МОК;</w:t>
      </w:r>
    </w:p>
    <w:p w14:paraId="5FC1A782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 xml:space="preserve">просит 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Исполнительного секретаря МОК активизировать принятие инициативных мер в целях получения дальнейших добровольных взносов, в том числе от доноров из частного сектора и прочих партнеров, и полного выполнения программных целевых показателей Комиссии на 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2024-2025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 xml:space="preserve"> гг.;</w:t>
      </w:r>
    </w:p>
    <w:p w14:paraId="234403E4" w14:textId="77777777" w:rsidR="00E157FA" w:rsidRPr="00E05DB3" w:rsidRDefault="00E157FA" w:rsidP="00E157FA">
      <w:pPr>
        <w:pStyle w:val="ListParagraph"/>
        <w:spacing w:after="120"/>
        <w:ind w:left="0"/>
        <w:contextualSpacing w:val="0"/>
        <w:jc w:val="center"/>
        <w:rPr>
          <w:rFonts w:cs="Arial"/>
          <w:szCs w:val="22"/>
          <w:lang w:val="ru-RU"/>
        </w:rPr>
      </w:pPr>
      <w:r w:rsidRPr="00E05DB3">
        <w:rPr>
          <w:rFonts w:cs="Arial"/>
          <w:b/>
          <w:bCs/>
          <w:szCs w:val="22"/>
          <w:lang w:val="ru-RU"/>
        </w:rPr>
        <w:t>Часть II.</w:t>
      </w:r>
      <w:r w:rsidRPr="00E05DB3">
        <w:rPr>
          <w:rFonts w:cs="Arial"/>
          <w:szCs w:val="22"/>
          <w:lang w:val="ru-RU"/>
        </w:rPr>
        <w:t xml:space="preserve"> </w:t>
      </w:r>
    </w:p>
    <w:p w14:paraId="0355F742" w14:textId="77777777" w:rsidR="00E157FA" w:rsidRPr="00E05DB3" w:rsidRDefault="00E157FA" w:rsidP="00E157FA">
      <w:pPr>
        <w:pStyle w:val="ListParagraph"/>
        <w:spacing w:after="240"/>
        <w:ind w:left="0"/>
        <w:contextualSpacing w:val="0"/>
        <w:jc w:val="center"/>
        <w:rPr>
          <w:rFonts w:eastAsia="Calibri" w:cs="Arial"/>
          <w:b/>
          <w:bCs/>
          <w:szCs w:val="22"/>
          <w:lang w:val="ru-RU"/>
        </w:rPr>
      </w:pPr>
      <w:r w:rsidRPr="00E05DB3">
        <w:rPr>
          <w:rFonts w:cs="Arial"/>
          <w:b/>
          <w:bCs/>
          <w:szCs w:val="22"/>
          <w:lang w:val="ru-RU"/>
        </w:rPr>
        <w:t xml:space="preserve">Пересмотренные программа и бюджет на </w:t>
      </w:r>
      <w:proofErr w:type="gramStart"/>
      <w:r w:rsidRPr="00E05DB3">
        <w:rPr>
          <w:rFonts w:cs="Arial"/>
          <w:b/>
          <w:bCs/>
          <w:szCs w:val="22"/>
          <w:lang w:val="ru-RU"/>
        </w:rPr>
        <w:t>2024-2025</w:t>
      </w:r>
      <w:proofErr w:type="gramEnd"/>
      <w:r w:rsidRPr="00E05DB3">
        <w:rPr>
          <w:rFonts w:cs="Arial"/>
          <w:b/>
          <w:bCs/>
          <w:szCs w:val="22"/>
          <w:lang w:val="ru-RU"/>
        </w:rPr>
        <w:t xml:space="preserve"> гг. (документ 42 С/5) и </w:t>
      </w:r>
      <w:r w:rsidRPr="00E05DB3">
        <w:rPr>
          <w:rFonts w:cs="Arial"/>
          <w:b/>
          <w:bCs/>
          <w:szCs w:val="22"/>
          <w:lang w:val="ru-RU"/>
        </w:rPr>
        <w:br/>
        <w:t>предварительные предложения на 2026-2029 гг. (проект документа 43 С/5)</w:t>
      </w:r>
    </w:p>
    <w:p w14:paraId="13FB3FA6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hAnsi="Arial" w:cs="Arial"/>
          <w:bCs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 xml:space="preserve">напоминает </w:t>
      </w:r>
      <w:r w:rsidRPr="00E05DB3">
        <w:rPr>
          <w:rFonts w:ascii="Arial" w:hAnsi="Arial" w:cs="Arial"/>
          <w:sz w:val="22"/>
          <w:szCs w:val="22"/>
          <w:lang w:val="ru-RU"/>
        </w:rPr>
        <w:t>о принятом Исполнительным советом ЮНЕСКО на его 216-й сессии решении, в котором Генеральной конференции ЮНЕСКО на ее 42-й сессии было рекомендовано согласовать увеличение выделяемой МОК доли в бюджете обычной программы ЮНЕСКО на [1%], причем эта доля не должна сокращаться в результате переноса средств в другие части бюджета, и «определить и согласовать исходное значение доли выделяемых МОК ЮНЕСКО средств бюджета обычной программы ЮНЕСКО в рамках документа 42 С/5 и будущих документов С/5, которое не может быть снижено в будущем, если иное не согласовано Генеральной конференцией»;</w:t>
      </w:r>
    </w:p>
    <w:p w14:paraId="28C57E46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bCs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 xml:space="preserve">благодарит </w:t>
      </w:r>
      <w:r w:rsidRPr="00E05DB3">
        <w:rPr>
          <w:rFonts w:ascii="Arial" w:hAnsi="Arial" w:cs="Arial"/>
          <w:sz w:val="22"/>
          <w:szCs w:val="22"/>
          <w:lang w:val="ru-RU"/>
        </w:rPr>
        <w:t>государства-члены за включение в повестку дня 216-й сессии Исполнительного совета ЮНЕСКО пункта 44 «Срочная необходимость увеличения объема и обеспечения большей стабильности финансирования Межправительственной океанографической комиссии (МОК)», по итогам рассмотрения которого было принято вышеупомянутое решение;</w:t>
      </w:r>
    </w:p>
    <w:p w14:paraId="3B8A1B65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принимает к сведению с удовлетворением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 информацию об одобренном Генеральной конференцией ЮНЕСКО на ее 42-й сессии в соответствии с приоритетами государств-членов увеличении ассигнований для МОК в рамках пересмотренного в связи с повторным вступлением в Организацию Соединенных Штатов Америки в июле 2023 г. общего верхнего предельного уровня бюджета ЮНЕСКО в документе 42 С/5, что позволит МОК продолжать осуществлять свои основные программы и выполнять свою роль в проведении Десятилетия Организации Объединенных Наций, посвященного науке об океане в интересах устойчивого развития (2021-2030 гг.);</w:t>
      </w:r>
    </w:p>
    <w:p w14:paraId="3C49D4F9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принимает к сведению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 представленные в документе IOC/EC-57/5.1.Doc(1) пересмотренные программу и бюджет на 2024-2025 гг. (42 С/5), подготовленные в качестве неотъемлемой части проекта программы и бюджета ЮНЕСКО на 2024-2025 гг. (42 С/5), представленных Генеральным директором ЮНЕСКО Исполнительному совету ЮНЕСКО на его 216-й сессии и затем утвержденных Генеральной конференцией ЮНЕСКО на ее 42-й сессии;</w:t>
      </w:r>
    </w:p>
    <w:p w14:paraId="777C21C8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принимает к сведению также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 дополнительную информацию, представленную Секретариатом МОК по просьбе межсессионной финансовой консультативной группы МОК (МФКГ) и отраженную в докладе председателя МФКГ (IOC/EC-57/5.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2.Doc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 xml:space="preserve">(2)); </w:t>
      </w:r>
    </w:p>
    <w:p w14:paraId="7028E0E0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полагает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, что программные решения Секретариата МОК, принятые им при разработке пересмотренных программы и бюджета на 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2024-2025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 xml:space="preserve"> гг. (документ 42 С/5), соответствуют стратегическим указаниям государств-членов, содержащимся в резолюции МОК А-32/4; </w:t>
      </w:r>
    </w:p>
    <w:p w14:paraId="6B47EEE1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приветствует</w:t>
      </w:r>
      <w:r w:rsidRPr="00E05DB3">
        <w:rPr>
          <w:rFonts w:ascii="Arial" w:hAnsi="Arial" w:cs="Arial"/>
          <w:sz w:val="22"/>
          <w:szCs w:val="22"/>
          <w:lang w:val="ru-RU"/>
        </w:rPr>
        <w:t>, в частности:</w:t>
      </w:r>
    </w:p>
    <w:p w14:paraId="41A4112B" w14:textId="77777777" w:rsidR="00E157FA" w:rsidRPr="00E05DB3" w:rsidRDefault="00E157FA" w:rsidP="00E157FA">
      <w:pPr>
        <w:pStyle w:val="b"/>
        <w:numPr>
          <w:ilvl w:val="0"/>
          <w:numId w:val="25"/>
        </w:numPr>
        <w:tabs>
          <w:tab w:val="clear" w:pos="1134"/>
        </w:tabs>
        <w:ind w:left="1134" w:hanging="567"/>
        <w:rPr>
          <w:rFonts w:ascii="Arial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sz w:val="22"/>
          <w:szCs w:val="22"/>
          <w:lang w:val="ru-RU"/>
        </w:rPr>
        <w:t>стабилизацию финансирования всех функций МОК в сочетании с целевыми дополнительными инвестициями в МООД, ГСНО, развитие потенциала и функционирование региональных вспомогательных органов, которые Ассамблея МОК определила как «критически уязвимые области»;</w:t>
      </w:r>
    </w:p>
    <w:p w14:paraId="4E3379F5" w14:textId="77777777" w:rsidR="00E157FA" w:rsidRPr="00E05DB3" w:rsidRDefault="00E157FA" w:rsidP="00E157FA">
      <w:pPr>
        <w:pStyle w:val="b"/>
        <w:numPr>
          <w:ilvl w:val="0"/>
          <w:numId w:val="25"/>
        </w:numPr>
        <w:tabs>
          <w:tab w:val="clear" w:pos="1134"/>
        </w:tabs>
        <w:ind w:left="1134" w:hanging="567"/>
        <w:rPr>
          <w:rFonts w:ascii="Arial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sz w:val="22"/>
          <w:szCs w:val="22"/>
          <w:lang w:val="ru-RU"/>
        </w:rPr>
        <w:t>кадровые решения Исполнительного секретаря МОК, направленные на укрепление вышеупомянутых критически уязвимых областей в приоритетном порядке;</w:t>
      </w:r>
    </w:p>
    <w:p w14:paraId="27DA95F4" w14:textId="77777777" w:rsidR="00E157FA" w:rsidRPr="00E05DB3" w:rsidRDefault="00E157FA" w:rsidP="00E157FA">
      <w:pPr>
        <w:pStyle w:val="b"/>
        <w:numPr>
          <w:ilvl w:val="0"/>
          <w:numId w:val="25"/>
        </w:numPr>
        <w:tabs>
          <w:tab w:val="clear" w:pos="1134"/>
        </w:tabs>
        <w:ind w:left="1134" w:hanging="567"/>
        <w:rPr>
          <w:rFonts w:ascii="Arial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sz w:val="22"/>
          <w:szCs w:val="22"/>
          <w:lang w:val="ru-RU"/>
        </w:rPr>
        <w:t xml:space="preserve">значительное улучшение соотношения расходов на персонал и других расходов, финансируемых из обычного бюджета; </w:t>
      </w:r>
    </w:p>
    <w:p w14:paraId="07B78557" w14:textId="77777777" w:rsidR="00E157FA" w:rsidRPr="00E05DB3" w:rsidRDefault="00E157FA" w:rsidP="00E157FA">
      <w:pPr>
        <w:pStyle w:val="b"/>
        <w:numPr>
          <w:ilvl w:val="0"/>
          <w:numId w:val="25"/>
        </w:numPr>
        <w:tabs>
          <w:tab w:val="clear" w:pos="1134"/>
        </w:tabs>
        <w:ind w:left="1134" w:hanging="567"/>
        <w:rPr>
          <w:rFonts w:ascii="Arial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sz w:val="22"/>
          <w:szCs w:val="22"/>
          <w:lang w:val="ru-RU"/>
        </w:rPr>
        <w:t xml:space="preserve">значительное увеличение ассигнований из обычного бюджета на мероприятия МОКАФРИКА в соответствии с глобальным приоритетом ЮНЕСКО «Африка» и с учетом необходимости наличия соответствующих ресурсов для осуществления программы; </w:t>
      </w:r>
    </w:p>
    <w:p w14:paraId="268309F6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принимает к сведению далее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 информацию о проведении на постоянной основе в рамках соответствующих программ и вспомогательных органов консультаций по приоритетным направлениям деятельности с целью совместной разработки приоритетных мероприятий и оптимизации работы по ним в 2024-2025 гг., а также  формирования основы для проекта документа 43 С/5 в соответствии с приоритетными направлениями деятельности, определенными в документе 42 С/5, и с расчетом на сохранение результатов, связанных с изложенными в резолюции МОК А-32/4 принципами высокого уровня;</w:t>
      </w:r>
    </w:p>
    <w:p w14:paraId="0C21F46B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 xml:space="preserve">отмечает 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с большой обеспокоенностью, что некоторые из вышеупомянутых критически уязвимых областей МОК все еще не укомплектованы кадрами, и в ходе следующих бюджетных циклов нужно будет рассмотреть вопрос об их укреплении; </w:t>
      </w:r>
    </w:p>
    <w:p w14:paraId="0DAA5C61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 xml:space="preserve">просит 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Исполнительного секретаря МОК в консультации с должностными лицами Комиссии приступить к проведению внешней оценки процессов руководства и управления в МОК с целью упорядочения ее функционирования и оптимизации использования ресурсов, с тем чтобы они действительно соответствовали поставленным целям в условиях быстро изменяющейся программы работы в сфере океана и с учетом растущих требований государств-членов и расширения многосторонних процессов; </w:t>
      </w:r>
    </w:p>
    <w:p w14:paraId="5BA6AEDB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 xml:space="preserve">одобряет </w:t>
      </w:r>
      <w:r w:rsidRPr="00E05DB3">
        <w:rPr>
          <w:rFonts w:ascii="Arial" w:hAnsi="Arial" w:cs="Arial"/>
          <w:sz w:val="22"/>
          <w:szCs w:val="22"/>
          <w:lang w:val="ru-RU"/>
        </w:rPr>
        <w:t>представленную в части III документа IOC/EC-57/5.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1.Doc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>(1) методику подготовки предварительных предложений по программе и бюджету на 2026-2029 гг. (проект документа 43 С/5), в том числе формулировку промежуточного результата 1 МОК;</w:t>
      </w:r>
    </w:p>
    <w:p w14:paraId="248EFB8D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 xml:space="preserve">подчеркивает </w:t>
      </w:r>
      <w:r w:rsidRPr="00E05DB3">
        <w:rPr>
          <w:rFonts w:ascii="Arial" w:hAnsi="Arial" w:cs="Arial"/>
          <w:sz w:val="22"/>
          <w:szCs w:val="22"/>
          <w:lang w:val="ru-RU"/>
        </w:rPr>
        <w:t>решающее значение четкого и всеобъемлющего процесса консультаций с го</w:t>
      </w:r>
      <w:r w:rsidRPr="00E05DB3">
        <w:rPr>
          <w:rFonts w:ascii="Arial" w:hAnsi="Arial" w:cs="Arial"/>
          <w:sz w:val="22"/>
          <w:szCs w:val="22"/>
          <w:lang w:val="ru-RU"/>
        </w:rPr>
        <w:softHyphen/>
        <w:t>сударствами – членами МОК по вопросам управления, программирования и подготовки бюджета Комиссии;</w:t>
      </w:r>
    </w:p>
    <w:p w14:paraId="1C550A98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 xml:space="preserve">просит также 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Исполнительного секретаря МОК разработать предложение по программе и бюджету на 2026-2029 гг. (проекту документа 43 С/5) для утверждения Ассамблеей МОК на ее 33-й сессии, продолжая информировать государства-члены обо всех связанных с этим событиях в межсессионный период, в том числе посредством регулярных и своевременных онлайновых совещаний МФКГ; </w:t>
      </w:r>
    </w:p>
    <w:p w14:paraId="05842FCE" w14:textId="77777777" w:rsidR="00E157FA" w:rsidRPr="00E05DB3" w:rsidRDefault="00E157FA" w:rsidP="00E157FA">
      <w:pPr>
        <w:pStyle w:val="ListParagraph"/>
        <w:spacing w:after="120"/>
        <w:ind w:left="0"/>
        <w:contextualSpacing w:val="0"/>
        <w:jc w:val="center"/>
        <w:rPr>
          <w:rFonts w:cs="Arial"/>
          <w:b/>
          <w:bCs/>
          <w:szCs w:val="22"/>
          <w:lang w:val="ru-RU"/>
        </w:rPr>
      </w:pPr>
      <w:r w:rsidRPr="00E05DB3">
        <w:rPr>
          <w:rFonts w:cs="Arial"/>
          <w:b/>
          <w:bCs/>
          <w:szCs w:val="22"/>
          <w:lang w:val="ru-RU"/>
        </w:rPr>
        <w:t>Часть III.</w:t>
      </w:r>
    </w:p>
    <w:p w14:paraId="3B2AA95C" w14:textId="77777777" w:rsidR="00E157FA" w:rsidRPr="00E05DB3" w:rsidRDefault="00E157FA" w:rsidP="00E157FA">
      <w:pPr>
        <w:pStyle w:val="ListParagraph"/>
        <w:spacing w:after="240"/>
        <w:ind w:left="0"/>
        <w:contextualSpacing w:val="0"/>
        <w:jc w:val="center"/>
        <w:rPr>
          <w:rFonts w:eastAsia="Calibri" w:cs="Arial"/>
          <w:b/>
          <w:bCs/>
          <w:szCs w:val="22"/>
          <w:lang w:val="ru-RU"/>
        </w:rPr>
      </w:pPr>
      <w:r w:rsidRPr="00E05DB3">
        <w:rPr>
          <w:rFonts w:cs="Arial"/>
          <w:b/>
          <w:bCs/>
          <w:szCs w:val="22"/>
          <w:lang w:val="ru-RU"/>
        </w:rPr>
        <w:t xml:space="preserve">Проект плана действий по результатам проведенной IOS оценки стратегического </w:t>
      </w:r>
      <w:r w:rsidRPr="00E05DB3">
        <w:rPr>
          <w:rFonts w:cs="Arial"/>
          <w:b/>
          <w:bCs/>
          <w:szCs w:val="22"/>
          <w:lang w:val="ru-RU"/>
        </w:rPr>
        <w:br/>
        <w:t>позиционирования МОК:</w:t>
      </w:r>
      <w:r>
        <w:rPr>
          <w:rFonts w:cs="Arial"/>
          <w:b/>
          <w:bCs/>
          <w:szCs w:val="22"/>
          <w:lang w:val="ru-RU"/>
        </w:rPr>
        <w:t xml:space="preserve"> </w:t>
      </w:r>
      <w:r w:rsidRPr="00E05DB3">
        <w:rPr>
          <w:rFonts w:cs="Arial"/>
          <w:b/>
          <w:bCs/>
          <w:szCs w:val="22"/>
          <w:lang w:val="ru-RU"/>
        </w:rPr>
        <w:t>обновленная информация о ходе выполнения</w:t>
      </w:r>
    </w:p>
    <w:p w14:paraId="6EAFF8C0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напоминает</w:t>
      </w:r>
      <w:r w:rsidRPr="00E05DB3">
        <w:rPr>
          <w:rFonts w:ascii="Arial" w:hAnsi="Arial" w:cs="Arial"/>
          <w:sz w:val="22"/>
          <w:szCs w:val="22"/>
          <w:lang w:val="ru-RU"/>
        </w:rPr>
        <w:t>, что план действий по итогам проведенной IOS оценки стратегического позиционирования МОК, представленный в документе IOC/A-32/6.3.Doc(1), был одобрен Ассамблеей МОК на ее 32-й сессии и воспроизводится для сведения Исполнительного совета МОК  в документе IOC/EC-57/5.2.Doc(1) с обновленной информацией о его осуществлении, которая приводится в таблице под названием «Краткий обзор предлагаемых мер и обновленная информация о ходе работы»;</w:t>
      </w:r>
    </w:p>
    <w:p w14:paraId="6FE6BEC8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напоминает также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, что Ассамблея МОК на ее 32-й сессии 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просила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 xml:space="preserve"> Секретариат МОК продолжать осуществление плана действий «с учетом меняющейся ситуации в МОК, в том числе имеющихся в наличии средств, предлагая соответствующие корректировки и отчитываясь о ходе работы перед руководящими органами МОК и ЮНЕСКО»;</w:t>
      </w:r>
    </w:p>
    <w:p w14:paraId="0231E131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 xml:space="preserve">приветствует 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обновленную информацию о ходе осуществления плана, содержащуюся в вышеупомянутой таблице под названием «Краткий обзор предлагаемых мер и обновленная информация о ходе работы»; </w:t>
      </w:r>
    </w:p>
    <w:p w14:paraId="4E98C2E2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выражает согласие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 с мнением Исполнительного секретаря МОК относительно того, что, хотя некоторые меры уже приняты, а другие находятся в процессе реализации, целый ряд стратегических мер потребует дальнейшего анализа и обсуждения с государствами-членами в рамках нового этапа консультаций по теме «МОК и будущее Мирового океана»;</w:t>
      </w:r>
    </w:p>
    <w:p w14:paraId="557926C7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 xml:space="preserve">просит </w:t>
      </w:r>
      <w:r w:rsidRPr="00E05DB3">
        <w:rPr>
          <w:rFonts w:ascii="Arial" w:hAnsi="Arial" w:cs="Arial"/>
          <w:sz w:val="22"/>
          <w:szCs w:val="22"/>
          <w:lang w:val="ru-RU"/>
        </w:rPr>
        <w:t>Исполнительного секретаря МОК провести соответствующую работу и представить подготовленное на ее основе предложение Ассамблее МОК для рассмотрения на ее 33-й сессии;</w:t>
      </w:r>
    </w:p>
    <w:p w14:paraId="23D1867F" w14:textId="77777777" w:rsidR="00E157FA" w:rsidRPr="00E05DB3" w:rsidRDefault="00E157FA" w:rsidP="00E157FA">
      <w:pPr>
        <w:pStyle w:val="ListParagraph"/>
        <w:spacing w:after="120"/>
        <w:ind w:left="0"/>
        <w:contextualSpacing w:val="0"/>
        <w:jc w:val="center"/>
        <w:rPr>
          <w:rFonts w:cs="Arial"/>
          <w:b/>
          <w:bCs/>
          <w:szCs w:val="22"/>
          <w:lang w:val="ru-RU"/>
        </w:rPr>
      </w:pPr>
      <w:r w:rsidRPr="00E05DB3">
        <w:rPr>
          <w:rFonts w:cs="Arial"/>
          <w:b/>
          <w:bCs/>
          <w:szCs w:val="22"/>
          <w:lang w:val="ru-RU"/>
        </w:rPr>
        <w:t>Часть IV.</w:t>
      </w:r>
    </w:p>
    <w:p w14:paraId="382186AF" w14:textId="77777777" w:rsidR="00E157FA" w:rsidRPr="00E05DB3" w:rsidRDefault="00E157FA" w:rsidP="00E157FA">
      <w:pPr>
        <w:pStyle w:val="ListParagraph"/>
        <w:keepNext/>
        <w:spacing w:after="240"/>
        <w:ind w:left="0"/>
        <w:contextualSpacing w:val="0"/>
        <w:jc w:val="center"/>
        <w:rPr>
          <w:rFonts w:cs="Arial"/>
          <w:b/>
          <w:bCs/>
          <w:iCs/>
          <w:color w:val="000000"/>
          <w:szCs w:val="22"/>
          <w:lang w:val="ru-RU"/>
        </w:rPr>
      </w:pPr>
      <w:r w:rsidRPr="00E05DB3">
        <w:rPr>
          <w:rFonts w:cs="Arial"/>
          <w:b/>
          <w:bCs/>
          <w:szCs w:val="22"/>
          <w:lang w:val="ru-RU"/>
        </w:rPr>
        <w:t>Консультативный процесс «МОК и будущее Мирового океана»</w:t>
      </w:r>
    </w:p>
    <w:p w14:paraId="7938CB87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напоминает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 о решении МОК А-32/5, памятуя о статусе МОК как органа, обладающего функциональной автономией в рамках ЮНЕСКО;</w:t>
      </w:r>
    </w:p>
    <w:p w14:paraId="12E4DFB9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принимает к сведению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 содержащееся в документе IOC/EC-57/3.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1.Doc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>(4) предложение о том, чтобы консультации по теме «МОК и будущее Мирового океана» проводились в рамках трехлетнего процесса, скоординированного с расписанием сессий руководящих органов МОК;</w:t>
      </w:r>
    </w:p>
    <w:p w14:paraId="7167826A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постановляет</w:t>
      </w:r>
      <w:r w:rsidRPr="00E05DB3">
        <w:rPr>
          <w:rFonts w:ascii="Arial" w:hAnsi="Arial" w:cs="Arial"/>
          <w:sz w:val="22"/>
          <w:szCs w:val="22"/>
          <w:lang w:val="ru-RU"/>
        </w:rPr>
        <w:t>, что консультации будут сосредоточены в первую очередь на общем обзоре мероприятий, касающихся роли МОК в оказании помощи государствам-членам и другим заинтересованным сторонам, в том числе на выявлении пробелов и потребностей в рамках программ МОК, с тем чтобы обеспечить оптимальную организацию текущих и новых мероприятий в области научно обоснованного устойчивого планирования в сфере океана, океанографической поддержки в работе по соответствующим конвенциям и рамочным документам ООН, а также развития устойчивой экономики океана;</w:t>
      </w:r>
    </w:p>
    <w:p w14:paraId="2B02FDEB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постановляет также</w:t>
      </w:r>
      <w:r w:rsidRPr="00E05DB3">
        <w:rPr>
          <w:rFonts w:ascii="Arial" w:hAnsi="Arial" w:cs="Arial"/>
          <w:sz w:val="22"/>
          <w:szCs w:val="22"/>
          <w:lang w:val="ru-RU"/>
        </w:rPr>
        <w:t>, что обзор будет проводиться Секретариатом МОК в консультации с программами МОК, региональными вспомогательными органами МОК, государствами – членами МОК, в том числе через МФКГ и соответствующие межсессионные рабочие группы МОК, в частности рабочую группу МОК по устойчивому планированию и управлению в сфере океана, а также, по мере необходимости, с другими соответствующими заинтересованными сторонами;</w:t>
      </w:r>
    </w:p>
    <w:p w14:paraId="2CD3D8F2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постановляет далее</w:t>
      </w:r>
      <w:r w:rsidRPr="00E05DB3">
        <w:rPr>
          <w:rFonts w:ascii="Arial" w:hAnsi="Arial" w:cs="Arial"/>
          <w:sz w:val="22"/>
          <w:szCs w:val="22"/>
          <w:lang w:val="ru-RU"/>
        </w:rPr>
        <w:t>, что обзор будет проводиться с опорой на план действий в связи с проведенной IOS оценкой стратегического позиционирования МОК, среднесрочную стратегию МОК (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2022-2029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 xml:space="preserve"> гг.) и, по мере необходимости, на другие соответствующие ресурсы;</w:t>
      </w:r>
    </w:p>
    <w:p w14:paraId="563674B5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просит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 Исполнительного секретаря МОК начать процесс консультаций, в том числе работу с МФКГ по параметрам проведения обзора, и регулярно представлять МФКГ обновленную информацию о ходе работы для получения информации и рекомендаций;</w:t>
      </w:r>
    </w:p>
    <w:p w14:paraId="022837D2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 xml:space="preserve">просит также </w:t>
      </w:r>
      <w:r w:rsidRPr="00E05DB3">
        <w:rPr>
          <w:rFonts w:ascii="Arial" w:hAnsi="Arial" w:cs="Arial"/>
          <w:sz w:val="22"/>
          <w:szCs w:val="22"/>
          <w:lang w:val="ru-RU"/>
        </w:rPr>
        <w:t>Исполнительного секретаря МОК представить результаты и рекомендации по итогам обзора Ассамблее МОК на ее 33-й сессии для выработки указаний относительно проведения второго этапа консультаций;</w:t>
      </w:r>
    </w:p>
    <w:p w14:paraId="5BF234A0" w14:textId="77777777" w:rsidR="00E157FA" w:rsidRPr="00E05DB3" w:rsidRDefault="00E157FA" w:rsidP="00E157FA">
      <w:pPr>
        <w:pStyle w:val="ListParagraph"/>
        <w:spacing w:after="120"/>
        <w:ind w:left="0"/>
        <w:contextualSpacing w:val="0"/>
        <w:jc w:val="center"/>
        <w:rPr>
          <w:rFonts w:cs="Arial"/>
          <w:szCs w:val="22"/>
          <w:lang w:val="ru-RU"/>
        </w:rPr>
      </w:pPr>
      <w:r w:rsidRPr="00E05DB3">
        <w:rPr>
          <w:rFonts w:cs="Arial"/>
          <w:b/>
          <w:bCs/>
          <w:szCs w:val="22"/>
          <w:lang w:val="ru-RU"/>
        </w:rPr>
        <w:t>Часть V.</w:t>
      </w:r>
      <w:r w:rsidRPr="00E05DB3">
        <w:rPr>
          <w:rFonts w:cs="Arial"/>
          <w:szCs w:val="22"/>
          <w:lang w:val="ru-RU"/>
        </w:rPr>
        <w:t xml:space="preserve"> </w:t>
      </w:r>
    </w:p>
    <w:p w14:paraId="75D9C6F3" w14:textId="77777777" w:rsidR="00E157FA" w:rsidRDefault="00E157FA" w:rsidP="00E157FA">
      <w:pPr>
        <w:pStyle w:val="ListParagraph"/>
        <w:spacing w:after="240"/>
        <w:ind w:left="0"/>
        <w:contextualSpacing w:val="0"/>
        <w:jc w:val="center"/>
        <w:rPr>
          <w:rFonts w:cs="Arial"/>
          <w:b/>
          <w:bCs/>
          <w:szCs w:val="22"/>
          <w:lang w:val="ru-RU"/>
        </w:rPr>
      </w:pPr>
      <w:r w:rsidRPr="00E05DB3">
        <w:rPr>
          <w:rFonts w:cs="Arial"/>
          <w:b/>
          <w:bCs/>
          <w:szCs w:val="22"/>
          <w:lang w:val="ru-RU"/>
        </w:rPr>
        <w:t xml:space="preserve">Выполнение резолюции A-32/4 </w:t>
      </w:r>
      <w:proofErr w:type="spellStart"/>
      <w:r w:rsidRPr="00E05DB3">
        <w:rPr>
          <w:rFonts w:cs="Arial"/>
          <w:b/>
          <w:bCs/>
          <w:szCs w:val="22"/>
          <w:lang w:val="ru-RU"/>
        </w:rPr>
        <w:t>Part</w:t>
      </w:r>
      <w:proofErr w:type="spellEnd"/>
      <w:r w:rsidRPr="00E05DB3">
        <w:rPr>
          <w:rFonts w:cs="Arial"/>
          <w:b/>
          <w:bCs/>
          <w:szCs w:val="22"/>
          <w:lang w:val="ru-RU"/>
        </w:rPr>
        <w:t xml:space="preserve"> III – Управление и методы работы</w:t>
      </w:r>
    </w:p>
    <w:p w14:paraId="3EB24D8A" w14:textId="77777777" w:rsidR="00E157FA" w:rsidRPr="00E05DB3" w:rsidRDefault="00E157FA" w:rsidP="00E157FA">
      <w:pPr>
        <w:pStyle w:val="ListParagraph"/>
        <w:spacing w:after="240"/>
        <w:ind w:left="0"/>
        <w:contextualSpacing w:val="0"/>
        <w:jc w:val="center"/>
        <w:rPr>
          <w:rFonts w:eastAsia="Calibri" w:cs="Arial"/>
          <w:b/>
          <w:bCs/>
          <w:szCs w:val="22"/>
          <w:lang w:val="ru-RU"/>
        </w:rPr>
      </w:pPr>
      <w:r w:rsidRPr="00E05DB3">
        <w:rPr>
          <w:rFonts w:cs="Arial"/>
          <w:b/>
          <w:bCs/>
          <w:szCs w:val="22"/>
          <w:lang w:val="ru-RU"/>
        </w:rPr>
        <w:t xml:space="preserve">Проект руководящих принципов подготовки и участия государств-членов в </w:t>
      </w:r>
      <w:r w:rsidRPr="00E05DB3">
        <w:rPr>
          <w:rFonts w:cs="Arial"/>
          <w:b/>
          <w:bCs/>
          <w:szCs w:val="22"/>
          <w:lang w:val="ru-RU"/>
        </w:rPr>
        <w:br/>
        <w:t>проводимых раз в два года выборах Председателя и заместителей Председателя МОК (должностных лиц Комиссии) и государств – членов Исполнительного совета</w:t>
      </w:r>
    </w:p>
    <w:p w14:paraId="59558B50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>напоминает</w:t>
      </w:r>
      <w:r w:rsidRPr="00E05DB3">
        <w:rPr>
          <w:rFonts w:ascii="Arial" w:hAnsi="Arial" w:cs="Arial"/>
          <w:sz w:val="22"/>
          <w:szCs w:val="22"/>
          <w:lang w:val="ru-RU"/>
        </w:rPr>
        <w:t xml:space="preserve">, что Ассамблея МОК на своей 32-й сессии в резолюции А-32/4 одобрила обновленные Правила процедуры МОК, уже опубликованные в документе IOC/INF-1166 </w:t>
      </w:r>
      <w:proofErr w:type="spellStart"/>
      <w:r w:rsidRPr="00E05DB3">
        <w:rPr>
          <w:rFonts w:ascii="Arial" w:hAnsi="Arial" w:cs="Arial"/>
          <w:sz w:val="22"/>
          <w:szCs w:val="22"/>
          <w:lang w:val="ru-RU"/>
        </w:rPr>
        <w:t>Rev</w:t>
      </w:r>
      <w:proofErr w:type="spellEnd"/>
      <w:r w:rsidRPr="00E05DB3">
        <w:rPr>
          <w:rFonts w:ascii="Arial" w:hAnsi="Arial" w:cs="Arial"/>
          <w:sz w:val="22"/>
          <w:szCs w:val="22"/>
          <w:lang w:val="ru-RU"/>
        </w:rPr>
        <w:t xml:space="preserve">., и предложила Исполнительному секретарю МОК «подготовить в соответствии с Уставом и Правилами процедуры МОК рекомендации в поддержку подготовки государств-членов к выборам и участия в них, а также рассмотреть возможность проведения информационного совещания накануне голосования»; </w:t>
      </w:r>
    </w:p>
    <w:p w14:paraId="41CE5048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 xml:space="preserve">принимает к сведению, </w:t>
      </w:r>
      <w:r w:rsidRPr="00E05DB3">
        <w:rPr>
          <w:rFonts w:ascii="Arial" w:hAnsi="Arial" w:cs="Arial"/>
          <w:sz w:val="22"/>
          <w:szCs w:val="22"/>
          <w:lang w:val="ru-RU"/>
        </w:rPr>
        <w:t>что содержащаяся в документе IOC/EC-57/5.</w:t>
      </w:r>
      <w:proofErr w:type="gramStart"/>
      <w:r w:rsidRPr="00E05DB3">
        <w:rPr>
          <w:rFonts w:ascii="Arial" w:hAnsi="Arial" w:cs="Arial"/>
          <w:sz w:val="22"/>
          <w:szCs w:val="22"/>
          <w:lang w:val="ru-RU"/>
        </w:rPr>
        <w:t>3.Doc</w:t>
      </w:r>
      <w:proofErr w:type="gramEnd"/>
      <w:r w:rsidRPr="00E05DB3">
        <w:rPr>
          <w:rFonts w:ascii="Arial" w:hAnsi="Arial" w:cs="Arial"/>
          <w:sz w:val="22"/>
          <w:szCs w:val="22"/>
          <w:lang w:val="ru-RU"/>
        </w:rPr>
        <w:t xml:space="preserve">(1) информация была подготовлена для удобства государств-членов с целью осветить особенности выборов в МОК, в то время как полная информация содержится в Уставе и Правилах процедуры МОК, составляющих нормативную базу Комиссии; </w:t>
      </w:r>
    </w:p>
    <w:p w14:paraId="22EABA4B" w14:textId="77777777" w:rsidR="00E157FA" w:rsidRPr="00E05DB3" w:rsidRDefault="00E157FA" w:rsidP="00E157FA">
      <w:pPr>
        <w:tabs>
          <w:tab w:val="clear" w:pos="709"/>
          <w:tab w:val="left" w:pos="567"/>
        </w:tabs>
        <w:snapToGrid w:val="0"/>
        <w:spacing w:after="240"/>
        <w:rPr>
          <w:rFonts w:ascii="Arial" w:eastAsia="Calibri" w:hAnsi="Arial" w:cs="Arial"/>
          <w:sz w:val="22"/>
          <w:szCs w:val="22"/>
          <w:lang w:val="ru-RU"/>
        </w:rPr>
      </w:pPr>
      <w:r w:rsidRPr="00E05DB3">
        <w:rPr>
          <w:rFonts w:ascii="Arial" w:hAnsi="Arial" w:cs="Arial"/>
          <w:b/>
          <w:bCs/>
          <w:sz w:val="22"/>
          <w:szCs w:val="22"/>
          <w:lang w:val="ru-RU"/>
        </w:rPr>
        <w:t xml:space="preserve">приветствует </w:t>
      </w:r>
      <w:r w:rsidRPr="00E05DB3">
        <w:rPr>
          <w:rFonts w:ascii="Arial" w:hAnsi="Arial" w:cs="Arial"/>
          <w:sz w:val="22"/>
          <w:szCs w:val="22"/>
          <w:lang w:val="ru-RU"/>
        </w:rPr>
        <w:t>подтверждение Исполнительного секретаря МОК относительно организации накануне 33-й сессии Ассамблеи МОК информационной сессии для содействия подготовке государств-членов.</w:t>
      </w:r>
    </w:p>
    <w:p w14:paraId="03383221" w14:textId="77777777" w:rsidR="0042289F" w:rsidRPr="00E157FA" w:rsidRDefault="0042289F" w:rsidP="0042289F">
      <w:pPr>
        <w:tabs>
          <w:tab w:val="center" w:pos="4153"/>
          <w:tab w:val="right" w:pos="8306"/>
        </w:tabs>
        <w:snapToGrid w:val="0"/>
        <w:spacing w:after="240"/>
        <w:rPr>
          <w:rFonts w:ascii="Arial" w:hAnsi="Arial" w:cs="Arial"/>
          <w:bCs/>
          <w:color w:val="000000"/>
          <w:sz w:val="22"/>
          <w:szCs w:val="22"/>
          <w:lang w:val="ru-RU"/>
        </w:rPr>
      </w:pPr>
    </w:p>
    <w:p w14:paraId="5B6850D4" w14:textId="0E7EF4D9" w:rsidR="00284F88" w:rsidRPr="00E157FA" w:rsidRDefault="00284F88" w:rsidP="0042289F">
      <w:pPr>
        <w:pStyle w:val="Default"/>
        <w:spacing w:after="240"/>
        <w:rPr>
          <w:rFonts w:ascii="Arial" w:eastAsia="Calibri" w:hAnsi="Arial" w:cs="Arial"/>
          <w:snapToGrid w:val="0"/>
          <w:sz w:val="22"/>
          <w:szCs w:val="22"/>
          <w:lang w:val="ru-RU"/>
        </w:rPr>
      </w:pPr>
    </w:p>
    <w:sectPr w:rsidR="00284F88" w:rsidRPr="00E157FA" w:rsidSect="0042289F">
      <w:headerReference w:type="even" r:id="rId7"/>
      <w:headerReference w:type="default" r:id="rId8"/>
      <w:headerReference w:type="first" r:id="rId9"/>
      <w:pgSz w:w="11906" w:h="16838" w:code="9"/>
      <w:pgMar w:top="1401" w:right="1304" w:bottom="1134" w:left="1304" w:header="99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ED1BB" w14:textId="77777777" w:rsidR="00282E71" w:rsidRDefault="00282E71">
      <w:r>
        <w:separator/>
      </w:r>
    </w:p>
  </w:endnote>
  <w:endnote w:type="continuationSeparator" w:id="0">
    <w:p w14:paraId="67E6E002" w14:textId="77777777" w:rsidR="00282E71" w:rsidRDefault="0028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7E2C6" w14:textId="77777777" w:rsidR="00282E71" w:rsidRDefault="00282E71">
      <w:r>
        <w:separator/>
      </w:r>
    </w:p>
  </w:footnote>
  <w:footnote w:type="continuationSeparator" w:id="0">
    <w:p w14:paraId="3039F7EE" w14:textId="77777777" w:rsidR="00282E71" w:rsidRDefault="0028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DF40" w14:textId="70AC5FA1" w:rsidR="00282E71" w:rsidRPr="00796CB5" w:rsidRDefault="0042289F">
    <w:pPr>
      <w:pStyle w:val="Header"/>
      <w:rPr>
        <w:rFonts w:ascii="Arial" w:hAnsi="Arial" w:cs="Arial"/>
        <w:sz w:val="20"/>
        <w:lang w:val="fr-FR"/>
      </w:rPr>
    </w:pPr>
    <w:r>
      <w:rPr>
        <w:rFonts w:ascii="Arial" w:hAnsi="Arial" w:cs="Arial"/>
        <w:sz w:val="20"/>
      </w:rPr>
      <w:t xml:space="preserve">IOC </w:t>
    </w:r>
    <w:r w:rsidRPr="009172D6">
      <w:rPr>
        <w:rFonts w:ascii="Arial" w:hAnsi="Arial" w:cs="Arial"/>
        <w:sz w:val="20"/>
      </w:rPr>
      <w:t xml:space="preserve">Resolution </w:t>
    </w:r>
    <w:r w:rsidRPr="0044178C">
      <w:rPr>
        <w:rFonts w:ascii="Arial" w:hAnsi="Arial" w:cs="Arial"/>
        <w:sz w:val="20"/>
      </w:rPr>
      <w:t>EC-57/2</w:t>
    </w:r>
  </w:p>
  <w:p w14:paraId="460549C1" w14:textId="77777777" w:rsidR="00282E71" w:rsidRPr="00796CB5" w:rsidRDefault="00282E71">
    <w:pPr>
      <w:pStyle w:val="Header"/>
      <w:rPr>
        <w:rStyle w:val="PageNumber"/>
        <w:rFonts w:ascii="Arial" w:hAnsi="Arial" w:cs="Arial"/>
        <w:sz w:val="20"/>
        <w:lang w:val="fr-FR"/>
      </w:rPr>
    </w:pPr>
    <w:proofErr w:type="gramStart"/>
    <w:r w:rsidRPr="00796CB5">
      <w:rPr>
        <w:rFonts w:ascii="Arial" w:hAnsi="Arial" w:cs="Arial"/>
        <w:sz w:val="20"/>
        <w:lang w:val="fr-FR"/>
      </w:rPr>
      <w:t>page</w:t>
    </w:r>
    <w:proofErr w:type="gramEnd"/>
    <w:r w:rsidRPr="00796CB5">
      <w:rPr>
        <w:rFonts w:ascii="Arial" w:hAnsi="Arial" w:cs="Arial"/>
        <w:sz w:val="20"/>
        <w:lang w:val="fr-FR"/>
      </w:rPr>
      <w:t xml:space="preserve"> </w:t>
    </w:r>
    <w:r w:rsidRPr="00796CB5">
      <w:rPr>
        <w:rStyle w:val="PageNumber"/>
        <w:rFonts w:ascii="Arial" w:hAnsi="Arial" w:cs="Arial"/>
        <w:sz w:val="20"/>
      </w:rPr>
      <w:fldChar w:fldCharType="begin"/>
    </w:r>
    <w:r w:rsidRPr="00796CB5">
      <w:rPr>
        <w:rStyle w:val="PageNumber"/>
        <w:rFonts w:ascii="Arial" w:hAnsi="Arial" w:cs="Arial"/>
        <w:sz w:val="20"/>
        <w:lang w:val="fr-FR"/>
      </w:rPr>
      <w:instrText xml:space="preserve"> PAGE </w:instrText>
    </w:r>
    <w:r w:rsidRPr="00796CB5">
      <w:rPr>
        <w:rStyle w:val="PageNumber"/>
        <w:rFonts w:ascii="Arial" w:hAnsi="Arial" w:cs="Arial"/>
        <w:sz w:val="20"/>
      </w:rPr>
      <w:fldChar w:fldCharType="separate"/>
    </w:r>
    <w:r w:rsidR="00796CB5">
      <w:rPr>
        <w:rStyle w:val="PageNumber"/>
        <w:rFonts w:ascii="Arial" w:hAnsi="Arial" w:cs="Arial"/>
        <w:noProof/>
        <w:sz w:val="20"/>
        <w:lang w:val="fr-FR"/>
      </w:rPr>
      <w:t>18</w:t>
    </w:r>
    <w:r w:rsidRPr="00796CB5">
      <w:rPr>
        <w:rStyle w:val="PageNumber"/>
        <w:rFonts w:ascii="Arial" w:hAnsi="Arial" w:cs="Arial"/>
        <w:sz w:val="20"/>
      </w:rPr>
      <w:fldChar w:fldCharType="end"/>
    </w:r>
  </w:p>
  <w:p w14:paraId="53EB5118" w14:textId="77777777" w:rsidR="00282E71" w:rsidRPr="00046D9D" w:rsidRDefault="00282E71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9348F" w14:textId="77777777" w:rsidR="0042289F" w:rsidRPr="0042289F" w:rsidRDefault="0042289F" w:rsidP="0042289F">
    <w:pPr>
      <w:pStyle w:val="Header"/>
      <w:tabs>
        <w:tab w:val="clear" w:pos="4153"/>
        <w:tab w:val="clear" w:pos="8306"/>
      </w:tabs>
      <w:ind w:left="-3711" w:right="-2" w:firstLine="10799"/>
      <w:jc w:val="left"/>
      <w:rPr>
        <w:rFonts w:ascii="Arial" w:hAnsi="Arial" w:cs="Arial"/>
        <w:sz w:val="20"/>
        <w:lang w:val="fr-FR"/>
      </w:rPr>
    </w:pPr>
    <w:r w:rsidRPr="0042289F">
      <w:rPr>
        <w:rFonts w:ascii="Arial" w:hAnsi="Arial" w:cs="Arial"/>
        <w:sz w:val="20"/>
        <w:lang w:val="fr-FR"/>
      </w:rPr>
      <w:t>I</w:t>
    </w:r>
    <w:r w:rsidRPr="0042289F">
      <w:rPr>
        <w:rFonts w:ascii="Arial" w:hAnsi="Arial" w:cs="Arial"/>
        <w:sz w:val="20"/>
        <w:lang w:val="fr-FR"/>
      </w:rPr>
      <w:t xml:space="preserve">OC </w:t>
    </w:r>
    <w:proofErr w:type="spellStart"/>
    <w:r w:rsidRPr="0042289F">
      <w:rPr>
        <w:rFonts w:ascii="Arial" w:hAnsi="Arial" w:cs="Arial"/>
        <w:sz w:val="20"/>
        <w:lang w:val="fr-FR"/>
      </w:rPr>
      <w:t>Resolution</w:t>
    </w:r>
    <w:proofErr w:type="spellEnd"/>
    <w:r w:rsidRPr="0042289F">
      <w:rPr>
        <w:rFonts w:ascii="Arial" w:hAnsi="Arial" w:cs="Arial"/>
        <w:sz w:val="20"/>
        <w:lang w:val="fr-FR"/>
      </w:rPr>
      <w:t xml:space="preserve"> EC-57/2</w:t>
    </w:r>
  </w:p>
  <w:p w14:paraId="11E202FF" w14:textId="36B6E54F" w:rsidR="00282E71" w:rsidRPr="0042289F" w:rsidRDefault="0042289F" w:rsidP="0042289F">
    <w:pPr>
      <w:pStyle w:val="Header"/>
      <w:tabs>
        <w:tab w:val="clear" w:pos="4153"/>
        <w:tab w:val="clear" w:pos="8306"/>
      </w:tabs>
      <w:ind w:left="-3711" w:right="-2" w:firstLine="10799"/>
      <w:jc w:val="left"/>
      <w:rPr>
        <w:rStyle w:val="PageNumber"/>
        <w:rFonts w:ascii="Arial" w:hAnsi="Arial" w:cs="Arial"/>
        <w:sz w:val="20"/>
        <w:lang w:val="fr-FR"/>
      </w:rPr>
    </w:pPr>
    <w:proofErr w:type="gramStart"/>
    <w:r>
      <w:rPr>
        <w:rFonts w:ascii="Arial" w:hAnsi="Arial" w:cs="Arial"/>
        <w:sz w:val="20"/>
        <w:lang w:val="fr-FR"/>
      </w:rPr>
      <w:t>p</w:t>
    </w:r>
    <w:r w:rsidRPr="0042289F">
      <w:rPr>
        <w:rFonts w:ascii="Arial" w:hAnsi="Arial" w:cs="Arial"/>
        <w:sz w:val="20"/>
        <w:lang w:val="fr-FR"/>
      </w:rPr>
      <w:t>a</w:t>
    </w:r>
    <w:r>
      <w:rPr>
        <w:rFonts w:ascii="Arial" w:hAnsi="Arial" w:cs="Arial"/>
        <w:sz w:val="20"/>
        <w:lang w:val="fr-FR"/>
      </w:rPr>
      <w:t>ge</w:t>
    </w:r>
    <w:proofErr w:type="gramEnd"/>
    <w:r>
      <w:rPr>
        <w:rFonts w:ascii="Arial" w:hAnsi="Arial" w:cs="Arial"/>
        <w:sz w:val="20"/>
        <w:lang w:val="fr-FR"/>
      </w:rPr>
      <w:t xml:space="preserve"> </w:t>
    </w:r>
    <w:r w:rsidRPr="0042289F">
      <w:rPr>
        <w:rFonts w:ascii="Arial" w:hAnsi="Arial" w:cs="Arial"/>
        <w:sz w:val="20"/>
        <w:lang w:val="fr-FR"/>
      </w:rPr>
      <w:fldChar w:fldCharType="begin"/>
    </w:r>
    <w:r w:rsidRPr="0042289F">
      <w:rPr>
        <w:rFonts w:ascii="Arial" w:hAnsi="Arial" w:cs="Arial"/>
        <w:sz w:val="20"/>
        <w:lang w:val="fr-FR"/>
      </w:rPr>
      <w:instrText xml:space="preserve"> PAGE   \* MERGEFORMAT </w:instrText>
    </w:r>
    <w:r w:rsidRPr="0042289F">
      <w:rPr>
        <w:rFonts w:ascii="Arial" w:hAnsi="Arial" w:cs="Arial"/>
        <w:sz w:val="20"/>
        <w:lang w:val="fr-FR"/>
      </w:rPr>
      <w:fldChar w:fldCharType="separate"/>
    </w:r>
    <w:r w:rsidRPr="0042289F">
      <w:rPr>
        <w:rFonts w:ascii="Arial" w:hAnsi="Arial" w:cs="Arial"/>
        <w:noProof/>
        <w:sz w:val="20"/>
        <w:lang w:val="fr-FR"/>
      </w:rPr>
      <w:t>1</w:t>
    </w:r>
    <w:r w:rsidRPr="0042289F">
      <w:rPr>
        <w:rFonts w:ascii="Arial" w:hAnsi="Arial" w:cs="Arial"/>
        <w:noProof/>
        <w:sz w:val="20"/>
        <w:lang w:val="fr-FR"/>
      </w:rPr>
      <w:fldChar w:fldCharType="end"/>
    </w:r>
    <w:r w:rsidRPr="0042289F">
      <w:rPr>
        <w:rFonts w:ascii="Arial" w:hAnsi="Arial" w:cs="Arial"/>
        <w:sz w:val="20"/>
        <w:lang w:val="fr-FR"/>
      </w:rPr>
      <w:br/>
      <w:t>page</w:t>
    </w:r>
    <w:r w:rsidR="00282E71" w:rsidRPr="00796CB5">
      <w:rPr>
        <w:rFonts w:ascii="Arial" w:hAnsi="Arial" w:cs="Arial"/>
        <w:sz w:val="20"/>
        <w:lang w:val="fr-FR"/>
      </w:rPr>
      <w:t xml:space="preserve"> </w:t>
    </w:r>
    <w:r w:rsidR="00282E71" w:rsidRPr="00796CB5">
      <w:rPr>
        <w:rStyle w:val="PageNumber"/>
        <w:rFonts w:ascii="Arial" w:hAnsi="Arial" w:cs="Arial"/>
        <w:sz w:val="20"/>
      </w:rPr>
      <w:fldChar w:fldCharType="begin"/>
    </w:r>
    <w:r w:rsidR="00282E71" w:rsidRPr="00796CB5">
      <w:rPr>
        <w:rStyle w:val="PageNumber"/>
        <w:rFonts w:ascii="Arial" w:hAnsi="Arial" w:cs="Arial"/>
        <w:sz w:val="20"/>
        <w:lang w:val="fr-FR"/>
      </w:rPr>
      <w:instrText xml:space="preserve"> PAGE </w:instrText>
    </w:r>
    <w:r w:rsidR="00282E71" w:rsidRPr="00796CB5">
      <w:rPr>
        <w:rStyle w:val="PageNumber"/>
        <w:rFonts w:ascii="Arial" w:hAnsi="Arial" w:cs="Arial"/>
        <w:sz w:val="20"/>
      </w:rPr>
      <w:fldChar w:fldCharType="separate"/>
    </w:r>
    <w:r w:rsidR="00796CB5">
      <w:rPr>
        <w:rStyle w:val="PageNumber"/>
        <w:rFonts w:ascii="Arial" w:hAnsi="Arial" w:cs="Arial"/>
        <w:noProof/>
        <w:sz w:val="20"/>
        <w:lang w:val="fr-FR"/>
      </w:rPr>
      <w:t>19</w:t>
    </w:r>
    <w:r w:rsidR="00282E71" w:rsidRPr="00796CB5">
      <w:rPr>
        <w:rStyle w:val="PageNumber"/>
        <w:rFonts w:ascii="Arial" w:hAnsi="Arial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4F108" w14:textId="2E62B446" w:rsidR="0042289F" w:rsidRPr="00E157FA" w:rsidRDefault="00E157FA" w:rsidP="006E7070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214"/>
      </w:tabs>
      <w:jc w:val="left"/>
      <w:rPr>
        <w:rFonts w:ascii="Arial" w:hAnsi="Arial" w:cs="Arial"/>
        <w:sz w:val="20"/>
        <w:lang w:val="ru-RU"/>
      </w:rPr>
    </w:pPr>
    <w:r w:rsidRPr="00E157FA">
      <w:rPr>
        <w:rFonts w:ascii="Arial" w:hAnsi="Arial" w:cs="Arial"/>
        <w:sz w:val="20"/>
        <w:lang w:val="ru-RU"/>
      </w:rPr>
      <w:t>Межправительственная океанографическая комиссия</w:t>
    </w:r>
    <w:r w:rsidR="0042289F" w:rsidRPr="00E157FA">
      <w:rPr>
        <w:rFonts w:ascii="Arial" w:hAnsi="Arial" w:cs="Arial"/>
        <w:sz w:val="20"/>
        <w:lang w:val="ru-RU"/>
      </w:rPr>
      <w:tab/>
    </w:r>
    <w:bookmarkStart w:id="2" w:name="_Hlk173750896"/>
    <w:r w:rsidR="0042289F" w:rsidRPr="000065F9">
      <w:rPr>
        <w:rFonts w:ascii="Arial" w:hAnsi="Arial" w:cs="Arial"/>
        <w:sz w:val="20"/>
        <w:lang w:val="fr-FR"/>
      </w:rPr>
      <w:t>IOC</w:t>
    </w:r>
    <w:r w:rsidR="0042289F" w:rsidRPr="00E157FA">
      <w:rPr>
        <w:rFonts w:ascii="Arial" w:hAnsi="Arial" w:cs="Arial"/>
        <w:sz w:val="20"/>
        <w:lang w:val="ru-RU"/>
      </w:rPr>
      <w:t xml:space="preserve"> </w:t>
    </w:r>
    <w:proofErr w:type="spellStart"/>
    <w:r w:rsidR="0042289F" w:rsidRPr="000065F9">
      <w:rPr>
        <w:rFonts w:ascii="Arial" w:hAnsi="Arial" w:cs="Arial"/>
        <w:sz w:val="20"/>
        <w:lang w:val="fr-FR"/>
      </w:rPr>
      <w:t>Resolution</w:t>
    </w:r>
    <w:proofErr w:type="spellEnd"/>
    <w:r w:rsidR="0042289F" w:rsidRPr="00E157FA">
      <w:rPr>
        <w:rFonts w:ascii="Arial" w:hAnsi="Arial" w:cs="Arial"/>
        <w:sz w:val="20"/>
        <w:lang w:val="ru-RU"/>
      </w:rPr>
      <w:t xml:space="preserve"> </w:t>
    </w:r>
    <w:r w:rsidR="0042289F" w:rsidRPr="000065F9">
      <w:rPr>
        <w:rFonts w:ascii="Arial" w:hAnsi="Arial" w:cs="Arial"/>
        <w:sz w:val="20"/>
        <w:lang w:val="fr-FR"/>
      </w:rPr>
      <w:t>EC</w:t>
    </w:r>
    <w:r w:rsidR="0042289F" w:rsidRPr="00E157FA">
      <w:rPr>
        <w:rFonts w:ascii="Arial" w:hAnsi="Arial" w:cs="Arial"/>
        <w:sz w:val="20"/>
        <w:lang w:val="ru-RU"/>
      </w:rPr>
      <w:t>-57/2</w:t>
    </w:r>
    <w:bookmarkEnd w:id="2"/>
  </w:p>
  <w:p w14:paraId="3E1F83B8" w14:textId="77A6877F" w:rsidR="0042289F" w:rsidRPr="000065F9" w:rsidRDefault="0042289F" w:rsidP="006E7070">
    <w:pPr>
      <w:pStyle w:val="Header"/>
      <w:ind w:firstLine="7088"/>
      <w:rPr>
        <w:rFonts w:ascii="Arial" w:hAnsi="Arial" w:cs="Arial"/>
        <w:sz w:val="22"/>
        <w:lang w:val="fr-FR"/>
      </w:rPr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A0CEC14" wp14:editId="3CC9AAFC">
          <wp:simplePos x="0" y="0"/>
          <wp:positionH relativeFrom="column">
            <wp:posOffset>-109959</wp:posOffset>
          </wp:positionH>
          <wp:positionV relativeFrom="paragraph">
            <wp:posOffset>161290</wp:posOffset>
          </wp:positionV>
          <wp:extent cx="1578610" cy="1047115"/>
          <wp:effectExtent l="0" t="0" r="2540" b="635"/>
          <wp:wrapSquare wrapText="bothSides"/>
          <wp:docPr id="694754289" name="Picture 69475428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157FA" w:rsidRPr="000E738D">
      <w:rPr>
        <w:rFonts w:ascii="Arial" w:hAnsi="Arial" w:cs="Arial"/>
        <w:sz w:val="20"/>
      </w:rPr>
      <w:t>Оригинал</w:t>
    </w:r>
    <w:proofErr w:type="spellEnd"/>
    <w:r w:rsidR="00E157FA" w:rsidRPr="000E738D">
      <w:rPr>
        <w:rFonts w:ascii="Arial" w:hAnsi="Arial" w:cs="Arial"/>
        <w:sz w:val="20"/>
      </w:rPr>
      <w:t xml:space="preserve">: </w:t>
    </w:r>
    <w:proofErr w:type="spellStart"/>
    <w:r w:rsidR="00E157FA" w:rsidRPr="000E738D">
      <w:rPr>
        <w:rFonts w:ascii="Arial" w:hAnsi="Arial" w:cs="Arial"/>
        <w:sz w:val="20"/>
      </w:rPr>
      <w:t>английский</w:t>
    </w:r>
    <w:proofErr w:type="spellEnd"/>
  </w:p>
  <w:p w14:paraId="321CF1E9" w14:textId="5F0D5757" w:rsidR="00282E71" w:rsidRPr="000065F9" w:rsidRDefault="00282E71" w:rsidP="0042289F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0E9"/>
    <w:multiLevelType w:val="hybridMultilevel"/>
    <w:tmpl w:val="56BAA24A"/>
    <w:lvl w:ilvl="0" w:tplc="C030883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5668"/>
    <w:multiLevelType w:val="hybridMultilevel"/>
    <w:tmpl w:val="CBD89556"/>
    <w:lvl w:ilvl="0" w:tplc="FFFFFFFF">
      <w:start w:val="1"/>
      <w:numFmt w:val="decimal"/>
      <w:lvlText w:val="%1."/>
      <w:lvlJc w:val="left"/>
      <w:pPr>
        <w:ind w:left="563" w:hanging="443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FFFFFFFF">
      <w:start w:val="1"/>
      <w:numFmt w:val="lowerLetter"/>
      <w:lvlText w:val="(%2)"/>
      <w:lvlJc w:val="left"/>
      <w:pPr>
        <w:ind w:left="1017" w:hanging="454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1760" w:hanging="454"/>
      </w:pPr>
      <w:rPr>
        <w:rFonts w:hint="default"/>
      </w:rPr>
    </w:lvl>
    <w:lvl w:ilvl="3" w:tplc="FFFFFFFF">
      <w:numFmt w:val="bullet"/>
      <w:lvlText w:val="•"/>
      <w:lvlJc w:val="left"/>
      <w:pPr>
        <w:ind w:left="2500" w:hanging="454"/>
      </w:pPr>
      <w:rPr>
        <w:rFonts w:hint="default"/>
      </w:rPr>
    </w:lvl>
    <w:lvl w:ilvl="4" w:tplc="FFFFFFFF">
      <w:numFmt w:val="bullet"/>
      <w:lvlText w:val="•"/>
      <w:lvlJc w:val="left"/>
      <w:pPr>
        <w:ind w:left="3240" w:hanging="454"/>
      </w:pPr>
      <w:rPr>
        <w:rFonts w:hint="default"/>
      </w:rPr>
    </w:lvl>
    <w:lvl w:ilvl="5" w:tplc="FFFFFFFF">
      <w:numFmt w:val="bullet"/>
      <w:lvlText w:val="•"/>
      <w:lvlJc w:val="left"/>
      <w:pPr>
        <w:ind w:left="3980" w:hanging="454"/>
      </w:pPr>
      <w:rPr>
        <w:rFonts w:hint="default"/>
      </w:rPr>
    </w:lvl>
    <w:lvl w:ilvl="6" w:tplc="FFFFFFFF">
      <w:numFmt w:val="bullet"/>
      <w:lvlText w:val="•"/>
      <w:lvlJc w:val="left"/>
      <w:pPr>
        <w:ind w:left="4720" w:hanging="454"/>
      </w:pPr>
      <w:rPr>
        <w:rFonts w:hint="default"/>
      </w:rPr>
    </w:lvl>
    <w:lvl w:ilvl="7" w:tplc="FFFFFFFF">
      <w:numFmt w:val="bullet"/>
      <w:lvlText w:val="•"/>
      <w:lvlJc w:val="left"/>
      <w:pPr>
        <w:ind w:left="5460" w:hanging="454"/>
      </w:pPr>
      <w:rPr>
        <w:rFonts w:hint="default"/>
      </w:rPr>
    </w:lvl>
    <w:lvl w:ilvl="8" w:tplc="FFFFFFFF">
      <w:numFmt w:val="bullet"/>
      <w:lvlText w:val="•"/>
      <w:lvlJc w:val="left"/>
      <w:pPr>
        <w:ind w:left="6200" w:hanging="454"/>
      </w:pPr>
      <w:rPr>
        <w:rFonts w:hint="default"/>
      </w:rPr>
    </w:lvl>
  </w:abstractNum>
  <w:abstractNum w:abstractNumId="2" w15:restartNumberingAfterBreak="0">
    <w:nsid w:val="0DFE72AA"/>
    <w:multiLevelType w:val="hybridMultilevel"/>
    <w:tmpl w:val="1C74F5D4"/>
    <w:lvl w:ilvl="0" w:tplc="FFFFFFFF">
      <w:start w:val="1"/>
      <w:numFmt w:val="decimal"/>
      <w:lvlText w:val="%1."/>
      <w:lvlJc w:val="left"/>
      <w:pPr>
        <w:ind w:left="563" w:hanging="443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</w:rPr>
    </w:lvl>
    <w:lvl w:ilvl="1" w:tplc="FFFFFFFF">
      <w:start w:val="1"/>
      <w:numFmt w:val="lowerLetter"/>
      <w:lvlText w:val="(%2)"/>
      <w:lvlJc w:val="left"/>
      <w:pPr>
        <w:ind w:left="1017" w:hanging="454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</w:rPr>
    </w:lvl>
    <w:lvl w:ilvl="2" w:tplc="FFFFFFFF">
      <w:numFmt w:val="bullet"/>
      <w:lvlText w:val="•"/>
      <w:lvlJc w:val="left"/>
      <w:pPr>
        <w:ind w:left="1760" w:hanging="454"/>
      </w:pPr>
      <w:rPr>
        <w:rFonts w:hint="default"/>
      </w:rPr>
    </w:lvl>
    <w:lvl w:ilvl="3" w:tplc="FFFFFFFF">
      <w:numFmt w:val="bullet"/>
      <w:lvlText w:val="•"/>
      <w:lvlJc w:val="left"/>
      <w:pPr>
        <w:ind w:left="2500" w:hanging="454"/>
      </w:pPr>
      <w:rPr>
        <w:rFonts w:hint="default"/>
      </w:rPr>
    </w:lvl>
    <w:lvl w:ilvl="4" w:tplc="FFFFFFFF">
      <w:numFmt w:val="bullet"/>
      <w:lvlText w:val="•"/>
      <w:lvlJc w:val="left"/>
      <w:pPr>
        <w:ind w:left="3240" w:hanging="454"/>
      </w:pPr>
      <w:rPr>
        <w:rFonts w:hint="default"/>
      </w:rPr>
    </w:lvl>
    <w:lvl w:ilvl="5" w:tplc="FFFFFFFF">
      <w:numFmt w:val="bullet"/>
      <w:lvlText w:val="•"/>
      <w:lvlJc w:val="left"/>
      <w:pPr>
        <w:ind w:left="3980" w:hanging="454"/>
      </w:pPr>
      <w:rPr>
        <w:rFonts w:hint="default"/>
      </w:rPr>
    </w:lvl>
    <w:lvl w:ilvl="6" w:tplc="FFFFFFFF">
      <w:numFmt w:val="bullet"/>
      <w:lvlText w:val="•"/>
      <w:lvlJc w:val="left"/>
      <w:pPr>
        <w:ind w:left="4720" w:hanging="454"/>
      </w:pPr>
      <w:rPr>
        <w:rFonts w:hint="default"/>
      </w:rPr>
    </w:lvl>
    <w:lvl w:ilvl="7" w:tplc="FFFFFFFF">
      <w:numFmt w:val="bullet"/>
      <w:lvlText w:val="•"/>
      <w:lvlJc w:val="left"/>
      <w:pPr>
        <w:ind w:left="5460" w:hanging="454"/>
      </w:pPr>
      <w:rPr>
        <w:rFonts w:hint="default"/>
      </w:rPr>
    </w:lvl>
    <w:lvl w:ilvl="8" w:tplc="FFFFFFFF">
      <w:numFmt w:val="bullet"/>
      <w:lvlText w:val="•"/>
      <w:lvlJc w:val="left"/>
      <w:pPr>
        <w:ind w:left="6200" w:hanging="454"/>
      </w:pPr>
      <w:rPr>
        <w:rFonts w:hint="default"/>
      </w:rPr>
    </w:lvl>
  </w:abstractNum>
  <w:abstractNum w:abstractNumId="3" w15:restartNumberingAfterBreak="0">
    <w:nsid w:val="1A902DD7"/>
    <w:multiLevelType w:val="hybridMultilevel"/>
    <w:tmpl w:val="FE78E686"/>
    <w:lvl w:ilvl="0" w:tplc="040C0017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4513"/>
    <w:multiLevelType w:val="hybridMultilevel"/>
    <w:tmpl w:val="3F168D6C"/>
    <w:lvl w:ilvl="0" w:tplc="B4163634">
      <w:start w:val="1"/>
      <w:numFmt w:val="bullet"/>
      <w:lvlText w:val="-"/>
      <w:lvlJc w:val="left"/>
      <w:pPr>
        <w:ind w:left="1211" w:hanging="360"/>
      </w:pPr>
      <w:rPr>
        <w:rFonts w:ascii="Walbaum Display Light" w:hAnsi="Walbaum Display Light" w:hint="default"/>
        <w:i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C785394"/>
    <w:multiLevelType w:val="hybridMultilevel"/>
    <w:tmpl w:val="83EA1F7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/>
        <w:dstrike w:val="0"/>
        <w:color w:val="231F20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61500"/>
    <w:multiLevelType w:val="hybridMultilevel"/>
    <w:tmpl w:val="452ABF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·"/>
      <w:lvlJc w:val="left"/>
      <w:pPr>
        <w:ind w:left="1644" w:hanging="564"/>
      </w:pPr>
      <w:rPr>
        <w:rFonts w:ascii="Arial" w:eastAsia="Arial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F4419"/>
    <w:multiLevelType w:val="hybridMultilevel"/>
    <w:tmpl w:val="BD82BC00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1ED68020">
      <w:start w:val="1"/>
      <w:numFmt w:val="lowerRoman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A57C1"/>
    <w:multiLevelType w:val="hybridMultilevel"/>
    <w:tmpl w:val="C2026D46"/>
    <w:lvl w:ilvl="0" w:tplc="13FE71C0">
      <w:start w:val="1"/>
      <w:numFmt w:val="decimal"/>
      <w:pStyle w:val="num-paragraph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333F4"/>
    <w:multiLevelType w:val="hybridMultilevel"/>
    <w:tmpl w:val="7C64A3B6"/>
    <w:lvl w:ilvl="0" w:tplc="06DEC8A4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10" w15:restartNumberingAfterBreak="0">
    <w:nsid w:val="32E12811"/>
    <w:multiLevelType w:val="hybridMultilevel"/>
    <w:tmpl w:val="EBFE059E"/>
    <w:lvl w:ilvl="0" w:tplc="E6E8E3E4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11" w15:restartNumberingAfterBreak="0">
    <w:nsid w:val="3BC53C78"/>
    <w:multiLevelType w:val="hybridMultilevel"/>
    <w:tmpl w:val="9552FFF6"/>
    <w:lvl w:ilvl="0" w:tplc="99B4303A">
      <w:start w:val="1"/>
      <w:numFmt w:val="lowerRoman"/>
      <w:lvlText w:val="(%1)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A522A"/>
    <w:multiLevelType w:val="hybridMultilevel"/>
    <w:tmpl w:val="A7EA4CB8"/>
    <w:lvl w:ilvl="0" w:tplc="FFFFFFFF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FFFFFFFF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FFFFFFFF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FFFFFFFF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FFFFFFFF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FFFFFFFF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FFFFFFFF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FFFFFFFF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13" w15:restartNumberingAfterBreak="0">
    <w:nsid w:val="47926C3D"/>
    <w:multiLevelType w:val="hybridMultilevel"/>
    <w:tmpl w:val="5C22E932"/>
    <w:lvl w:ilvl="0" w:tplc="1940084C">
      <w:start w:val="1"/>
      <w:numFmt w:val="decimal"/>
      <w:lvlText w:val="%1."/>
      <w:lvlJc w:val="left"/>
      <w:pPr>
        <w:ind w:left="1004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E43EF"/>
    <w:multiLevelType w:val="hybridMultilevel"/>
    <w:tmpl w:val="FB22D9F2"/>
    <w:lvl w:ilvl="0" w:tplc="9DF8C1A8">
      <w:start w:val="1"/>
      <w:numFmt w:val="lowerRoman"/>
      <w:lvlText w:val="(%1)"/>
      <w:lvlJc w:val="left"/>
      <w:pPr>
        <w:ind w:left="1789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BD036A5"/>
    <w:multiLevelType w:val="hybridMultilevel"/>
    <w:tmpl w:val="256E4C88"/>
    <w:lvl w:ilvl="0" w:tplc="728A86C0">
      <w:start w:val="1"/>
      <w:numFmt w:val="lowerRoman"/>
      <w:lvlText w:val="(%1)"/>
      <w:lvlJc w:val="left"/>
      <w:pPr>
        <w:ind w:left="870" w:hanging="51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5563D"/>
    <w:multiLevelType w:val="hybridMultilevel"/>
    <w:tmpl w:val="43DA671E"/>
    <w:lvl w:ilvl="0" w:tplc="C53ABE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A56DD"/>
    <w:multiLevelType w:val="hybridMultilevel"/>
    <w:tmpl w:val="3010404C"/>
    <w:lvl w:ilvl="0" w:tplc="E258EE3E">
      <w:start w:val="4"/>
      <w:numFmt w:val="decimal"/>
      <w:lvlText w:val="%1."/>
      <w:lvlJc w:val="left"/>
      <w:pPr>
        <w:ind w:left="557" w:hanging="443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777F5"/>
    <w:multiLevelType w:val="hybridMultilevel"/>
    <w:tmpl w:val="42A42252"/>
    <w:lvl w:ilvl="0" w:tplc="EC40FBD8">
      <w:start w:val="1"/>
      <w:numFmt w:val="lowerRoman"/>
      <w:lvlText w:val="(%1)"/>
      <w:lvlJc w:val="left"/>
      <w:pPr>
        <w:ind w:left="1440" w:hanging="720"/>
      </w:pPr>
      <w:rPr>
        <w:rFonts w:asciiTheme="minorBidi" w:eastAsia="Times New Roman" w:hAnsiTheme="minorBidi" w:cstheme="minorBidi" w:hint="default"/>
        <w:b w:val="0"/>
        <w:bCs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BF310F"/>
    <w:multiLevelType w:val="hybridMultilevel"/>
    <w:tmpl w:val="2E40D9DA"/>
    <w:lvl w:ilvl="0" w:tplc="0E40006E">
      <w:start w:val="1"/>
      <w:numFmt w:val="lowerRoman"/>
      <w:lvlText w:val="(%1)"/>
      <w:lvlJc w:val="left"/>
      <w:pPr>
        <w:ind w:left="870" w:hanging="510"/>
      </w:pPr>
      <w:rPr>
        <w:rFonts w:asciiTheme="minorBidi" w:eastAsia="Times New Roman" w:hAnsiTheme="minorBid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02BB6"/>
    <w:multiLevelType w:val="hybridMultilevel"/>
    <w:tmpl w:val="3CD64D14"/>
    <w:lvl w:ilvl="0" w:tplc="43E63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0EF0A0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22F0E"/>
    <w:multiLevelType w:val="hybridMultilevel"/>
    <w:tmpl w:val="60808838"/>
    <w:lvl w:ilvl="0" w:tplc="58DEBA08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C755613"/>
    <w:multiLevelType w:val="hybridMultilevel"/>
    <w:tmpl w:val="DC02E1F4"/>
    <w:lvl w:ilvl="0" w:tplc="88F488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695DCC"/>
    <w:multiLevelType w:val="hybridMultilevel"/>
    <w:tmpl w:val="40C8B202"/>
    <w:lvl w:ilvl="0" w:tplc="541E8CA0">
      <w:start w:val="1"/>
      <w:numFmt w:val="upperLetter"/>
      <w:lvlText w:val="%1."/>
      <w:lvlJc w:val="left"/>
      <w:pPr>
        <w:ind w:left="16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7F400273"/>
    <w:multiLevelType w:val="hybridMultilevel"/>
    <w:tmpl w:val="3C387F88"/>
    <w:lvl w:ilvl="0" w:tplc="C53ABE7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2119166">
    <w:abstractNumId w:val="8"/>
  </w:num>
  <w:num w:numId="2" w16cid:durableId="116720678">
    <w:abstractNumId w:val="22"/>
  </w:num>
  <w:num w:numId="3" w16cid:durableId="967392370">
    <w:abstractNumId w:val="23"/>
  </w:num>
  <w:num w:numId="4" w16cid:durableId="1433893519">
    <w:abstractNumId w:val="14"/>
  </w:num>
  <w:num w:numId="5" w16cid:durableId="486897565">
    <w:abstractNumId w:val="18"/>
  </w:num>
  <w:num w:numId="6" w16cid:durableId="574628637">
    <w:abstractNumId w:val="21"/>
  </w:num>
  <w:num w:numId="7" w16cid:durableId="1190025939">
    <w:abstractNumId w:val="15"/>
  </w:num>
  <w:num w:numId="8" w16cid:durableId="397672789">
    <w:abstractNumId w:val="19"/>
  </w:num>
  <w:num w:numId="9" w16cid:durableId="934099398">
    <w:abstractNumId w:val="6"/>
  </w:num>
  <w:num w:numId="10" w16cid:durableId="829759316">
    <w:abstractNumId w:val="3"/>
  </w:num>
  <w:num w:numId="11" w16cid:durableId="244918971">
    <w:abstractNumId w:val="20"/>
  </w:num>
  <w:num w:numId="12" w16cid:durableId="1982297343">
    <w:abstractNumId w:val="7"/>
  </w:num>
  <w:num w:numId="13" w16cid:durableId="1760176266">
    <w:abstractNumId w:val="4"/>
  </w:num>
  <w:num w:numId="14" w16cid:durableId="1753972007">
    <w:abstractNumId w:val="9"/>
  </w:num>
  <w:num w:numId="15" w16cid:durableId="464203888">
    <w:abstractNumId w:val="10"/>
  </w:num>
  <w:num w:numId="16" w16cid:durableId="1999652725">
    <w:abstractNumId w:val="0"/>
  </w:num>
  <w:num w:numId="17" w16cid:durableId="641926385">
    <w:abstractNumId w:val="2"/>
  </w:num>
  <w:num w:numId="18" w16cid:durableId="847405037">
    <w:abstractNumId w:val="1"/>
  </w:num>
  <w:num w:numId="19" w16cid:durableId="1206138937">
    <w:abstractNumId w:val="5"/>
  </w:num>
  <w:num w:numId="20" w16cid:durableId="300885632">
    <w:abstractNumId w:val="12"/>
  </w:num>
  <w:num w:numId="21" w16cid:durableId="1189218110">
    <w:abstractNumId w:val="17"/>
  </w:num>
  <w:num w:numId="22" w16cid:durableId="406466642">
    <w:abstractNumId w:val="13"/>
  </w:num>
  <w:num w:numId="23" w16cid:durableId="1219129233">
    <w:abstractNumId w:val="11"/>
  </w:num>
  <w:num w:numId="24" w16cid:durableId="531498257">
    <w:abstractNumId w:val="24"/>
  </w:num>
  <w:num w:numId="25" w16cid:durableId="853803815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90"/>
    <w:rsid w:val="000065F9"/>
    <w:rsid w:val="00046D9D"/>
    <w:rsid w:val="000619EB"/>
    <w:rsid w:val="00062525"/>
    <w:rsid w:val="000708E2"/>
    <w:rsid w:val="00075EDD"/>
    <w:rsid w:val="000D46FF"/>
    <w:rsid w:val="00114C0C"/>
    <w:rsid w:val="0014042B"/>
    <w:rsid w:val="0014407E"/>
    <w:rsid w:val="001B7AB1"/>
    <w:rsid w:val="001F123F"/>
    <w:rsid w:val="001F48BF"/>
    <w:rsid w:val="002257ED"/>
    <w:rsid w:val="00255C7B"/>
    <w:rsid w:val="00267F90"/>
    <w:rsid w:val="002714A5"/>
    <w:rsid w:val="00282E71"/>
    <w:rsid w:val="00284F88"/>
    <w:rsid w:val="00291DFF"/>
    <w:rsid w:val="002C2B19"/>
    <w:rsid w:val="002D69AD"/>
    <w:rsid w:val="003340C4"/>
    <w:rsid w:val="00336E82"/>
    <w:rsid w:val="003417D0"/>
    <w:rsid w:val="00375B17"/>
    <w:rsid w:val="003B60C2"/>
    <w:rsid w:val="0042289F"/>
    <w:rsid w:val="0044178C"/>
    <w:rsid w:val="00450B29"/>
    <w:rsid w:val="00485839"/>
    <w:rsid w:val="005B6417"/>
    <w:rsid w:val="005C2EEA"/>
    <w:rsid w:val="005D418D"/>
    <w:rsid w:val="005E3530"/>
    <w:rsid w:val="00600098"/>
    <w:rsid w:val="0063107B"/>
    <w:rsid w:val="00634861"/>
    <w:rsid w:val="00635C11"/>
    <w:rsid w:val="0067463A"/>
    <w:rsid w:val="006B1A94"/>
    <w:rsid w:val="006D5690"/>
    <w:rsid w:val="006E7070"/>
    <w:rsid w:val="00736531"/>
    <w:rsid w:val="00737494"/>
    <w:rsid w:val="00772C1B"/>
    <w:rsid w:val="00790B86"/>
    <w:rsid w:val="00792037"/>
    <w:rsid w:val="00796CB5"/>
    <w:rsid w:val="007A195F"/>
    <w:rsid w:val="007B747B"/>
    <w:rsid w:val="007E75AB"/>
    <w:rsid w:val="00824CD4"/>
    <w:rsid w:val="00830E3E"/>
    <w:rsid w:val="008924EE"/>
    <w:rsid w:val="008A62D6"/>
    <w:rsid w:val="008C072B"/>
    <w:rsid w:val="008D29E6"/>
    <w:rsid w:val="008F6AC8"/>
    <w:rsid w:val="00912E21"/>
    <w:rsid w:val="009172D6"/>
    <w:rsid w:val="009175ED"/>
    <w:rsid w:val="00932FD6"/>
    <w:rsid w:val="00961F7C"/>
    <w:rsid w:val="0099704B"/>
    <w:rsid w:val="009C3EFB"/>
    <w:rsid w:val="009D418D"/>
    <w:rsid w:val="009D7991"/>
    <w:rsid w:val="00A1468E"/>
    <w:rsid w:val="00A20A13"/>
    <w:rsid w:val="00A97E69"/>
    <w:rsid w:val="00AC0BEA"/>
    <w:rsid w:val="00AD4EB7"/>
    <w:rsid w:val="00AD5D09"/>
    <w:rsid w:val="00B03124"/>
    <w:rsid w:val="00B14CB7"/>
    <w:rsid w:val="00B4765F"/>
    <w:rsid w:val="00B56A13"/>
    <w:rsid w:val="00B736A8"/>
    <w:rsid w:val="00B80A73"/>
    <w:rsid w:val="00BE32D8"/>
    <w:rsid w:val="00BE489A"/>
    <w:rsid w:val="00C560BA"/>
    <w:rsid w:val="00CA44B2"/>
    <w:rsid w:val="00CB4D60"/>
    <w:rsid w:val="00CC693F"/>
    <w:rsid w:val="00CD4F4E"/>
    <w:rsid w:val="00CD643F"/>
    <w:rsid w:val="00CF7C92"/>
    <w:rsid w:val="00D3744A"/>
    <w:rsid w:val="00D94CFF"/>
    <w:rsid w:val="00D97EBF"/>
    <w:rsid w:val="00DB5851"/>
    <w:rsid w:val="00E02542"/>
    <w:rsid w:val="00E157FA"/>
    <w:rsid w:val="00E52C18"/>
    <w:rsid w:val="00E54CF1"/>
    <w:rsid w:val="00E55538"/>
    <w:rsid w:val="00E72708"/>
    <w:rsid w:val="00E85A59"/>
    <w:rsid w:val="00EB0A3E"/>
    <w:rsid w:val="00ED5823"/>
    <w:rsid w:val="00EE5582"/>
    <w:rsid w:val="00EF7FE9"/>
    <w:rsid w:val="00F77E3E"/>
    <w:rsid w:val="00F81566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A686E2F"/>
  <w15:chartTrackingRefBased/>
  <w15:docId w15:val="{83FC2602-EC98-425C-B655-8172AF05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09"/>
      </w:tabs>
      <w:jc w:val="both"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714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Marge"/>
    <w:link w:val="Heading3Char"/>
    <w:autoRedefine/>
    <w:qFormat/>
    <w:rsid w:val="00600098"/>
    <w:pPr>
      <w:keepNext/>
      <w:keepLines/>
      <w:widowControl w:val="0"/>
      <w:tabs>
        <w:tab w:val="clear" w:pos="709"/>
        <w:tab w:val="left" w:pos="567"/>
      </w:tabs>
      <w:adjustRightInd w:val="0"/>
      <w:snapToGrid w:val="0"/>
      <w:spacing w:after="240"/>
      <w:textAlignment w:val="baseline"/>
      <w:outlineLvl w:val="2"/>
    </w:pPr>
    <w:rPr>
      <w:rFonts w:ascii="Arial" w:eastAsia="Arial Unicode MS" w:hAnsi="Arial" w:cs="Arial"/>
      <w:b/>
      <w:bCs/>
      <w:noProof/>
      <w:color w:val="000000" w:themeColor="text1"/>
      <w:sz w:val="22"/>
      <w:szCs w:val="22"/>
      <w:lang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">
    <w:name w:val="(b)"/>
    <w:basedOn w:val="Normal"/>
    <w:rsid w:val="00A20A13"/>
    <w:pPr>
      <w:tabs>
        <w:tab w:val="clear" w:pos="709"/>
        <w:tab w:val="left" w:pos="-737"/>
        <w:tab w:val="left" w:pos="1134"/>
      </w:tabs>
      <w:snapToGrid w:val="0"/>
      <w:spacing w:after="240"/>
      <w:ind w:left="1134" w:hanging="567"/>
    </w:pPr>
    <w:rPr>
      <w:snapToGrid w:val="0"/>
      <w:szCs w:val="24"/>
    </w:rPr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,List Paragraph (numbered (a))"/>
    <w:basedOn w:val="Normal"/>
    <w:link w:val="ListParagraphChar"/>
    <w:uiPriority w:val="1"/>
    <w:qFormat/>
    <w:rsid w:val="00A20A13"/>
    <w:pPr>
      <w:tabs>
        <w:tab w:val="clear" w:pos="709"/>
        <w:tab w:val="left" w:pos="567"/>
      </w:tabs>
      <w:snapToGrid w:val="0"/>
      <w:ind w:left="720"/>
      <w:contextualSpacing/>
      <w:jc w:val="left"/>
    </w:pPr>
    <w:rPr>
      <w:rFonts w:ascii="Arial" w:hAnsi="Arial"/>
      <w:snapToGrid w:val="0"/>
      <w:sz w:val="22"/>
      <w:szCs w:val="24"/>
    </w:rPr>
  </w:style>
  <w:style w:type="paragraph" w:styleId="BalloonText">
    <w:name w:val="Balloon Text"/>
    <w:basedOn w:val="Normal"/>
    <w:link w:val="BalloonTextChar"/>
    <w:rsid w:val="00AC0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0BEA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rsid w:val="0063107B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63107B"/>
    <w:pPr>
      <w:tabs>
        <w:tab w:val="clear" w:pos="709"/>
      </w:tabs>
      <w:spacing w:before="100" w:beforeAutospacing="1" w:after="100" w:afterAutospacing="1"/>
      <w:jc w:val="left"/>
    </w:pPr>
    <w:rPr>
      <w:rFonts w:eastAsia="MS Mincho"/>
      <w:szCs w:val="24"/>
      <w:lang w:val="en-US" w:eastAsia="ja-JP"/>
    </w:rPr>
  </w:style>
  <w:style w:type="paragraph" w:customStyle="1" w:styleId="a">
    <w:name w:val="(a)"/>
    <w:basedOn w:val="Normal"/>
    <w:rsid w:val="009D7991"/>
    <w:pPr>
      <w:tabs>
        <w:tab w:val="clear" w:pos="709"/>
        <w:tab w:val="left" w:pos="-737"/>
        <w:tab w:val="left" w:pos="567"/>
      </w:tabs>
      <w:snapToGrid w:val="0"/>
      <w:spacing w:after="240"/>
      <w:ind w:left="567" w:hanging="567"/>
    </w:pPr>
    <w:rPr>
      <w:snapToGrid w:val="0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rsid w:val="00600098"/>
    <w:rPr>
      <w:rFonts w:ascii="Arial" w:eastAsia="Arial Unicode MS" w:hAnsi="Arial" w:cs="Arial"/>
      <w:b/>
      <w:bCs/>
      <w:noProof/>
      <w:color w:val="000000" w:themeColor="text1"/>
      <w:sz w:val="22"/>
      <w:szCs w:val="22"/>
      <w:lang w:val="en-GB" w:eastAsia="fr-FR"/>
    </w:rPr>
  </w:style>
  <w:style w:type="paragraph" w:customStyle="1" w:styleId="Marge">
    <w:name w:val="Marge"/>
    <w:basedOn w:val="Normal"/>
    <w:link w:val="MargeChar"/>
    <w:uiPriority w:val="99"/>
    <w:qFormat/>
    <w:rsid w:val="00600098"/>
    <w:pPr>
      <w:widowControl w:val="0"/>
      <w:tabs>
        <w:tab w:val="clear" w:pos="709"/>
        <w:tab w:val="left" w:pos="567"/>
      </w:tabs>
      <w:adjustRightInd w:val="0"/>
      <w:snapToGrid w:val="0"/>
      <w:spacing w:after="240" w:line="360" w:lineRule="atLeast"/>
      <w:textAlignment w:val="baseline"/>
    </w:pPr>
    <w:rPr>
      <w:rFonts w:ascii="Arial" w:hAnsi="Arial"/>
      <w:snapToGrid w:val="0"/>
      <w:sz w:val="22"/>
      <w:szCs w:val="24"/>
    </w:rPr>
  </w:style>
  <w:style w:type="character" w:styleId="FootnoteReference">
    <w:name w:val="footnote reference"/>
    <w:rsid w:val="006000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00098"/>
    <w:pPr>
      <w:widowControl w:val="0"/>
      <w:tabs>
        <w:tab w:val="clear" w:pos="709"/>
        <w:tab w:val="left" w:pos="567"/>
      </w:tabs>
      <w:adjustRightInd w:val="0"/>
      <w:snapToGrid w:val="0"/>
      <w:spacing w:line="360" w:lineRule="atLeast"/>
      <w:ind w:left="567" w:hanging="567"/>
      <w:textAlignment w:val="baseline"/>
    </w:pPr>
    <w:rPr>
      <w:rFonts w:ascii="Arial" w:hAnsi="Arial"/>
      <w:snapToGrid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0098"/>
    <w:rPr>
      <w:rFonts w:ascii="Arial" w:hAnsi="Arial"/>
      <w:snapToGrid w:val="0"/>
      <w:lang w:val="en-GB"/>
    </w:rPr>
  </w:style>
  <w:style w:type="character" w:customStyle="1" w:styleId="MargeChar">
    <w:name w:val="Marge Char"/>
    <w:link w:val="Marge"/>
    <w:rsid w:val="00600098"/>
    <w:rPr>
      <w:rFonts w:ascii="Arial" w:hAnsi="Arial"/>
      <w:snapToGrid w:val="0"/>
      <w:sz w:val="22"/>
      <w:szCs w:val="24"/>
      <w:lang w:val="en-GB"/>
    </w:rPr>
  </w:style>
  <w:style w:type="character" w:customStyle="1" w:styleId="HeaderChar">
    <w:name w:val="Header Char"/>
    <w:link w:val="Header"/>
    <w:uiPriority w:val="99"/>
    <w:rsid w:val="00600098"/>
    <w:rPr>
      <w:sz w:val="24"/>
      <w:lang w:val="en-GB"/>
    </w:rPr>
  </w:style>
  <w:style w:type="table" w:styleId="TableGrid">
    <w:name w:val="Table Grid"/>
    <w:basedOn w:val="TableNormal"/>
    <w:rsid w:val="006000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-paragraph">
    <w:name w:val="num-paragraph"/>
    <w:basedOn w:val="NormalWeb"/>
    <w:link w:val="num-paragraphChar"/>
    <w:qFormat/>
    <w:rsid w:val="00600098"/>
    <w:pPr>
      <w:numPr>
        <w:numId w:val="1"/>
      </w:numPr>
      <w:adjustRightInd w:val="0"/>
      <w:spacing w:before="0" w:beforeAutospacing="0" w:after="240" w:afterAutospacing="0"/>
      <w:jc w:val="both"/>
      <w:textAlignment w:val="baseline"/>
    </w:pPr>
    <w:rPr>
      <w:rFonts w:ascii="Arial" w:hAnsi="Arial" w:cs="Arial"/>
      <w:sz w:val="22"/>
      <w:szCs w:val="22"/>
      <w:lang w:val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600098"/>
    <w:rPr>
      <w:rFonts w:eastAsia="MS Mincho"/>
      <w:sz w:val="24"/>
      <w:szCs w:val="24"/>
      <w:lang w:eastAsia="ja-JP"/>
    </w:rPr>
  </w:style>
  <w:style w:type="character" w:customStyle="1" w:styleId="num-paragraphChar">
    <w:name w:val="num-paragraph Char"/>
    <w:basedOn w:val="NormalWebChar"/>
    <w:link w:val="num-paragraph"/>
    <w:rsid w:val="00600098"/>
    <w:rPr>
      <w:rFonts w:ascii="Arial" w:eastAsia="MS Mincho" w:hAnsi="Arial" w:cs="Arial"/>
      <w:sz w:val="22"/>
      <w:szCs w:val="22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2714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36E82"/>
    <w:rPr>
      <w:sz w:val="24"/>
      <w:lang w:val="en-GB"/>
    </w:rPr>
  </w:style>
  <w:style w:type="paragraph" w:customStyle="1" w:styleId="Default">
    <w:name w:val="Default"/>
    <w:rsid w:val="001F48BF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34"/>
    <w:qFormat/>
    <w:locked/>
    <w:rsid w:val="001F48BF"/>
    <w:rPr>
      <w:rFonts w:ascii="Arial" w:hAnsi="Arial"/>
      <w:snapToGrid w:val="0"/>
      <w:sz w:val="22"/>
      <w:szCs w:val="24"/>
      <w:lang w:val="en-GB"/>
    </w:rPr>
  </w:style>
  <w:style w:type="paragraph" w:styleId="BodyText">
    <w:name w:val="Body Text"/>
    <w:basedOn w:val="Normal"/>
    <w:link w:val="BodyTextChar"/>
    <w:rsid w:val="001F48BF"/>
    <w:pPr>
      <w:tabs>
        <w:tab w:val="clear" w:pos="709"/>
        <w:tab w:val="left" w:pos="567"/>
      </w:tabs>
      <w:snapToGrid w:val="0"/>
      <w:jc w:val="left"/>
    </w:pPr>
    <w:rPr>
      <w:i/>
      <w:iCs/>
      <w:snapToGrid w:val="0"/>
      <w:szCs w:val="24"/>
    </w:rPr>
  </w:style>
  <w:style w:type="character" w:customStyle="1" w:styleId="BodyTextChar">
    <w:name w:val="Body Text Char"/>
    <w:basedOn w:val="DefaultParagraphFont"/>
    <w:link w:val="BodyText"/>
    <w:rsid w:val="001F48BF"/>
    <w:rPr>
      <w:i/>
      <w:iCs/>
      <w:snapToGrid w:val="0"/>
      <w:sz w:val="24"/>
      <w:szCs w:val="24"/>
      <w:lang w:val="en-GB"/>
    </w:rPr>
  </w:style>
  <w:style w:type="character" w:styleId="Emphasis">
    <w:name w:val="Emphasis"/>
    <w:basedOn w:val="DefaultParagraphFont"/>
    <w:qFormat/>
    <w:rsid w:val="001F4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1724</Words>
  <Characters>11860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ioc_temp</dc:creator>
  <cp:keywords/>
  <dc:description/>
  <cp:lastModifiedBy>Boned, Patrice</cp:lastModifiedBy>
  <cp:revision>2</cp:revision>
  <cp:lastPrinted>2024-08-05T10:29:00Z</cp:lastPrinted>
  <dcterms:created xsi:type="dcterms:W3CDTF">2024-08-05T10:39:00Z</dcterms:created>
  <dcterms:modified xsi:type="dcterms:W3CDTF">2024-08-05T10:39:00Z</dcterms:modified>
</cp:coreProperties>
</file>