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4190" w14:textId="06D3AA4D" w:rsidR="00EE3DE2" w:rsidRPr="00ED1717" w:rsidRDefault="00EE3DE2" w:rsidP="00ED1717">
      <w:pPr>
        <w:tabs>
          <w:tab w:val="left" w:pos="2694"/>
        </w:tabs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>Рассылается по списку</w:t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b/>
          <w:bCs/>
          <w:sz w:val="22"/>
          <w:szCs w:val="22"/>
          <w:lang w:val="ru-RU"/>
        </w:rPr>
        <w:t>EC-57/</w:t>
      </w:r>
      <w:proofErr w:type="gramStart"/>
      <w:r w:rsidRPr="00ED1717">
        <w:rPr>
          <w:rFonts w:ascii="Arial" w:hAnsi="Arial" w:cs="Arial"/>
          <w:b/>
          <w:bCs/>
          <w:sz w:val="22"/>
          <w:szCs w:val="22"/>
          <w:lang w:val="ru-RU"/>
        </w:rPr>
        <w:t>DR.[</w:t>
      </w:r>
      <w:proofErr w:type="gramEnd"/>
      <w:r w:rsidRPr="00ED1717">
        <w:rPr>
          <w:rFonts w:ascii="Arial" w:hAnsi="Arial" w:cs="Arial"/>
          <w:b/>
          <w:bCs/>
          <w:sz w:val="22"/>
          <w:szCs w:val="22"/>
          <w:lang w:val="ru-RU"/>
        </w:rPr>
        <w:t>5.4]</w:t>
      </w:r>
    </w:p>
    <w:p w14:paraId="10F01799" w14:textId="48407F07" w:rsidR="00EE3DE2" w:rsidRPr="00ED1717" w:rsidRDefault="00EE3DE2" w:rsidP="00ED1717">
      <w:pPr>
        <w:tabs>
          <w:tab w:val="left" w:pos="2694"/>
        </w:tabs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  <w:t xml:space="preserve">Париж, </w:t>
      </w:r>
      <w:r w:rsidR="005912C7">
        <w:rPr>
          <w:rFonts w:ascii="Arial" w:hAnsi="Arial" w:cs="Arial"/>
          <w:sz w:val="22"/>
          <w:szCs w:val="22"/>
          <w:lang w:val="fr-FR"/>
        </w:rPr>
        <w:t>28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июня 2024 г.</w:t>
      </w:r>
    </w:p>
    <w:p w14:paraId="09241AFD" w14:textId="012E61A7" w:rsidR="00EE3DE2" w:rsidRPr="00ED1717" w:rsidRDefault="00EE3DE2" w:rsidP="00ED1717">
      <w:pPr>
        <w:tabs>
          <w:tab w:val="left" w:pos="2694"/>
        </w:tabs>
        <w:spacing w:after="240"/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</w:r>
      <w:r w:rsidRPr="00ED1717">
        <w:rPr>
          <w:rFonts w:ascii="Arial" w:hAnsi="Arial" w:cs="Arial"/>
          <w:sz w:val="22"/>
          <w:szCs w:val="22"/>
          <w:lang w:val="ru-RU"/>
        </w:rPr>
        <w:tab/>
        <w:t>Оригинал: английский</w:t>
      </w:r>
    </w:p>
    <w:p w14:paraId="34A3508E" w14:textId="6F520858" w:rsidR="00EE3DE2" w:rsidRPr="00ED1717" w:rsidRDefault="00EE3DE2" w:rsidP="00ED1717">
      <w:pPr>
        <w:tabs>
          <w:tab w:val="left" w:pos="2694"/>
        </w:tabs>
        <w:spacing w:after="240"/>
        <w:jc w:val="left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ПРОЕКТ РЕЗОЛЮЦИИ EC-57/DR.[5.4],</w:t>
      </w:r>
    </w:p>
    <w:p w14:paraId="287F5021" w14:textId="113F76F3" w:rsidR="00D218EB" w:rsidRPr="00334777" w:rsidRDefault="00EE3DE2" w:rsidP="002F751B">
      <w:pPr>
        <w:tabs>
          <w:tab w:val="left" w:pos="2694"/>
        </w:tabs>
        <w:spacing w:after="240"/>
        <w:jc w:val="left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>представленный Австралией, Бангладеш, Бразилией, Германией, Индией, Испанией, Италией, Канадой, Китаем, Колумбией, Пакистаном, Португалией, Таиландом, Соединенным Королевством Великобритании и Северной Ирландии, Соединенными Штатами Америки, Францией, Южной Африкой</w:t>
      </w:r>
      <w:r w:rsidR="002F751B" w:rsidRPr="00591637">
        <w:rPr>
          <w:rFonts w:ascii="Arial" w:hAnsi="Arial" w:cs="Arial"/>
          <w:sz w:val="22"/>
          <w:szCs w:val="22"/>
          <w:lang w:val="ru-RU"/>
        </w:rPr>
        <w:t xml:space="preserve"> </w:t>
      </w:r>
      <w:r w:rsidR="002F751B">
        <w:rPr>
          <w:rFonts w:ascii="Arial" w:hAnsi="Arial" w:cs="Arial"/>
          <w:sz w:val="22"/>
          <w:szCs w:val="22"/>
          <w:lang w:val="ru-RU"/>
        </w:rPr>
        <w:t>и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Японией</w:t>
      </w:r>
    </w:p>
    <w:p w14:paraId="4E9F9FEC" w14:textId="08ABD61C" w:rsidR="00EE3DE2" w:rsidRPr="00ED1717" w:rsidRDefault="00CF5319" w:rsidP="00ED1717">
      <w:pPr>
        <w:tabs>
          <w:tab w:val="left" w:pos="2694"/>
        </w:tabs>
        <w:spacing w:after="240"/>
        <w:jc w:val="left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Аспекты деятельности Комиссии, касающиеся управления и подготовки программы и бюджета</w:t>
      </w:r>
    </w:p>
    <w:p w14:paraId="5CC6F15B" w14:textId="385B2711" w:rsidR="00EE3DE2" w:rsidRPr="00ED1717" w:rsidRDefault="00EE3DE2" w:rsidP="00ED1717">
      <w:pPr>
        <w:tabs>
          <w:tab w:val="center" w:pos="4153"/>
          <w:tab w:val="right" w:pos="8306"/>
        </w:tabs>
        <w:snapToGrid w:val="0"/>
        <w:spacing w:after="240"/>
        <w:rPr>
          <w:rFonts w:ascii="Arial" w:hAnsi="Arial" w:cs="Arial"/>
          <w:bCs/>
          <w:color w:val="000000"/>
          <w:sz w:val="22"/>
          <w:szCs w:val="22"/>
        </w:rPr>
      </w:pPr>
      <w:r w:rsidRPr="00ED1717">
        <w:rPr>
          <w:rFonts w:ascii="Arial" w:hAnsi="Arial" w:cs="Arial"/>
          <w:sz w:val="22"/>
          <w:szCs w:val="22"/>
          <w:lang w:val="ru-RU"/>
        </w:rPr>
        <w:t>Исполнительный совет,</w:t>
      </w:r>
    </w:p>
    <w:p w14:paraId="57261AFB" w14:textId="15B1795B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рассмотрев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документы:</w:t>
      </w:r>
    </w:p>
    <w:p w14:paraId="6BE5F0BD" w14:textId="0355F897" w:rsidR="00EE3DE2" w:rsidRPr="00ED1717" w:rsidRDefault="00EE3DE2" w:rsidP="00666F61">
      <w:pPr>
        <w:pStyle w:val="b"/>
        <w:numPr>
          <w:ilvl w:val="0"/>
          <w:numId w:val="16"/>
        </w:numPr>
        <w:tabs>
          <w:tab w:val="clear" w:pos="1134"/>
        </w:tabs>
        <w:ind w:left="567" w:hanging="567"/>
        <w:rPr>
          <w:rFonts w:ascii="Arial" w:eastAsia="Calibri" w:hAnsi="Arial" w:cs="Arial"/>
          <w:sz w:val="22"/>
          <w:szCs w:val="22"/>
        </w:rPr>
      </w:pPr>
      <w:r w:rsidRPr="00ED1717">
        <w:rPr>
          <w:rFonts w:ascii="Arial" w:hAnsi="Arial" w:cs="Arial"/>
          <w:sz w:val="22"/>
          <w:szCs w:val="22"/>
          <w:lang w:val="ru-RU"/>
        </w:rPr>
        <w:t>IOC/EC-57/3.1.Doc(2) – Доклад об исполнении бюджета на 2022-2023 гг. (документ 41</w:t>
      </w:r>
      <w:r w:rsidR="00A13D72">
        <w:rPr>
          <w:rFonts w:ascii="Arial" w:hAnsi="Arial" w:cs="Arial"/>
          <w:sz w:val="22"/>
          <w:szCs w:val="22"/>
          <w:lang w:val="ru-RU"/>
        </w:rPr>
        <w:t> </w:t>
      </w:r>
      <w:r w:rsidRPr="00ED1717">
        <w:rPr>
          <w:rFonts w:ascii="Arial" w:hAnsi="Arial" w:cs="Arial"/>
          <w:sz w:val="22"/>
          <w:szCs w:val="22"/>
          <w:lang w:val="ru-RU"/>
        </w:rPr>
        <w:t>С/5) по состоянию на 31 декабря 2023 г.,</w:t>
      </w:r>
    </w:p>
    <w:p w14:paraId="6F516F87" w14:textId="4AA66F03" w:rsidR="00EE3DE2" w:rsidRPr="00ED1717" w:rsidRDefault="00EE3DE2" w:rsidP="00666F61">
      <w:pPr>
        <w:pStyle w:val="b"/>
        <w:numPr>
          <w:ilvl w:val="0"/>
          <w:numId w:val="16"/>
        </w:numPr>
        <w:tabs>
          <w:tab w:val="clear" w:pos="1134"/>
        </w:tabs>
        <w:ind w:left="567" w:hanging="567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>IOC/EC-57/3.1.Doc(3) – Финансовое положение специального счета МОК по состоянию на конец 2023 г. и прогноз на 2024-2025 гг.,</w:t>
      </w:r>
    </w:p>
    <w:p w14:paraId="45A42D30" w14:textId="4A8BB9F9" w:rsidR="00D820D7" w:rsidRPr="00ED1717" w:rsidRDefault="00D820D7" w:rsidP="00666F61">
      <w:pPr>
        <w:pStyle w:val="b"/>
        <w:numPr>
          <w:ilvl w:val="0"/>
          <w:numId w:val="16"/>
        </w:numPr>
        <w:tabs>
          <w:tab w:val="clear" w:pos="1134"/>
        </w:tabs>
        <w:ind w:left="567" w:hanging="567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 xml:space="preserve">IOC/EC-57/3.1.Doc(4) </w:t>
      </w:r>
      <w:r w:rsidR="00666F61" w:rsidRPr="00ED1717">
        <w:rPr>
          <w:rFonts w:ascii="Arial" w:hAnsi="Arial" w:cs="Arial"/>
          <w:sz w:val="22"/>
          <w:szCs w:val="22"/>
          <w:lang w:val="ru-RU"/>
        </w:rPr>
        <w:t>–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Процесс консультаций по теме </w:t>
      </w:r>
      <w:r w:rsidR="00334777" w:rsidRPr="00334777">
        <w:rPr>
          <w:rFonts w:ascii="Arial" w:hAnsi="Arial" w:cs="Arial"/>
          <w:sz w:val="22"/>
          <w:szCs w:val="22"/>
          <w:lang w:val="ru-RU"/>
        </w:rPr>
        <w:t>«</w:t>
      </w:r>
      <w:r w:rsidRPr="00ED1717">
        <w:rPr>
          <w:rFonts w:ascii="Arial" w:hAnsi="Arial" w:cs="Arial"/>
          <w:sz w:val="22"/>
          <w:szCs w:val="22"/>
          <w:lang w:val="ru-RU"/>
        </w:rPr>
        <w:t>МОК и будущее Мирового океана: устойчивое осуществление и расширение деятельности МОК</w:t>
      </w:r>
      <w:r w:rsidR="00334777" w:rsidRPr="00334777">
        <w:rPr>
          <w:rFonts w:ascii="Arial" w:hAnsi="Arial" w:cs="Arial"/>
          <w:sz w:val="22"/>
          <w:szCs w:val="22"/>
          <w:lang w:val="ru-RU"/>
        </w:rPr>
        <w:t>»,</w:t>
      </w:r>
    </w:p>
    <w:p w14:paraId="22308B66" w14:textId="6D6A6896" w:rsidR="00EE3DE2" w:rsidRPr="00ED1717" w:rsidRDefault="00EE3DE2" w:rsidP="00666F61">
      <w:pPr>
        <w:pStyle w:val="b"/>
        <w:numPr>
          <w:ilvl w:val="0"/>
          <w:numId w:val="16"/>
        </w:numPr>
        <w:tabs>
          <w:tab w:val="clear" w:pos="1134"/>
        </w:tabs>
        <w:ind w:left="567" w:hanging="567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 xml:space="preserve">IOC/EC-57/5.1.Doc(1) </w:t>
      </w:r>
      <w:r w:rsidR="00666F61" w:rsidRPr="00ED1717">
        <w:rPr>
          <w:rFonts w:ascii="Arial" w:hAnsi="Arial" w:cs="Arial"/>
          <w:sz w:val="22"/>
          <w:szCs w:val="22"/>
          <w:lang w:val="ru-RU"/>
        </w:rPr>
        <w:t>–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Пересмотренные программа и бюджет на 2024-2025 гг. (документ 42 С/5) и предварительные предложения на 2026-2029 гг. (проект документа 43 С/5)</w:t>
      </w:r>
      <w:bookmarkStart w:id="0" w:name="_Hlk137637641"/>
      <w:bookmarkEnd w:id="0"/>
      <w:r w:rsidR="00334777" w:rsidRPr="00D073EA">
        <w:rPr>
          <w:rFonts w:ascii="Arial" w:hAnsi="Arial" w:cs="Arial"/>
          <w:sz w:val="22"/>
          <w:szCs w:val="22"/>
          <w:lang w:val="ru-RU"/>
        </w:rPr>
        <w:t>,</w:t>
      </w:r>
    </w:p>
    <w:p w14:paraId="3B609D8C" w14:textId="263B33B6" w:rsidR="00EE3DE2" w:rsidRPr="00ED1717" w:rsidRDefault="00EE3DE2" w:rsidP="00666F61">
      <w:pPr>
        <w:pStyle w:val="b"/>
        <w:numPr>
          <w:ilvl w:val="0"/>
          <w:numId w:val="16"/>
        </w:numPr>
        <w:tabs>
          <w:tab w:val="clear" w:pos="1134"/>
        </w:tabs>
        <w:ind w:left="567" w:hanging="567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 xml:space="preserve">IOC/EC-57/5.2.Doc(1) </w:t>
      </w:r>
      <w:r w:rsidR="00666F61" w:rsidRPr="00ED1717">
        <w:rPr>
          <w:rFonts w:ascii="Arial" w:hAnsi="Arial" w:cs="Arial"/>
          <w:sz w:val="22"/>
          <w:szCs w:val="22"/>
          <w:lang w:val="ru-RU"/>
        </w:rPr>
        <w:t>–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План действий в связи с проведенной IOS оценкой стратегического позиционирования МОК: обновленная информация об осуществлении</w:t>
      </w:r>
      <w:r w:rsidR="00334777" w:rsidRPr="00334777">
        <w:rPr>
          <w:rFonts w:ascii="Arial" w:hAnsi="Arial" w:cs="Arial"/>
          <w:sz w:val="22"/>
          <w:szCs w:val="22"/>
          <w:lang w:val="ru-RU"/>
        </w:rPr>
        <w:t>,</w:t>
      </w:r>
    </w:p>
    <w:p w14:paraId="0488E75E" w14:textId="5C7FB80E" w:rsidR="00EE3DE2" w:rsidRPr="00ED1717" w:rsidRDefault="00EE3DE2" w:rsidP="00666F61">
      <w:pPr>
        <w:pStyle w:val="b"/>
        <w:numPr>
          <w:ilvl w:val="0"/>
          <w:numId w:val="16"/>
        </w:numPr>
        <w:tabs>
          <w:tab w:val="clear" w:pos="1134"/>
        </w:tabs>
        <w:ind w:left="567" w:hanging="567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 xml:space="preserve">IOC/ЕС-57/5.2.Doc(2) </w:t>
      </w:r>
      <w:r w:rsidR="00666F61" w:rsidRPr="00ED1717">
        <w:rPr>
          <w:rFonts w:ascii="Arial" w:hAnsi="Arial" w:cs="Arial"/>
          <w:sz w:val="22"/>
          <w:szCs w:val="22"/>
          <w:lang w:val="ru-RU"/>
        </w:rPr>
        <w:t>–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Доклад председателя межсессионной финансовой консультативной группы (межсессионный период с января по июнь 2024 г.),</w:t>
      </w:r>
    </w:p>
    <w:p w14:paraId="1320BD05" w14:textId="26AEDF2B" w:rsidR="00EE3DE2" w:rsidRPr="00ED1717" w:rsidRDefault="00EE3DE2" w:rsidP="00666F61">
      <w:pPr>
        <w:pStyle w:val="b"/>
        <w:numPr>
          <w:ilvl w:val="0"/>
          <w:numId w:val="16"/>
        </w:numPr>
        <w:tabs>
          <w:tab w:val="clear" w:pos="1134"/>
        </w:tabs>
        <w:ind w:left="567" w:hanging="567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 xml:space="preserve">IOC/EC-57/5.3.Doc(1) </w:t>
      </w:r>
      <w:r w:rsidR="00666F61" w:rsidRPr="00ED1717">
        <w:rPr>
          <w:rFonts w:ascii="Arial" w:hAnsi="Arial" w:cs="Arial"/>
          <w:sz w:val="22"/>
          <w:szCs w:val="22"/>
          <w:lang w:val="ru-RU"/>
        </w:rPr>
        <w:t>–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Проект руководящих принципов подготовки и участия государств-членов в проводимых раз в два года выборах Председателя и заместителей Председателя МОК (должностных лиц Комиссии) и государств</w:t>
      </w:r>
      <w:r w:rsidR="00334777" w:rsidRPr="00334777">
        <w:rPr>
          <w:rFonts w:ascii="Arial" w:hAnsi="Arial" w:cs="Arial"/>
          <w:sz w:val="22"/>
          <w:szCs w:val="22"/>
          <w:lang w:val="ru-RU"/>
        </w:rPr>
        <w:t xml:space="preserve"> </w:t>
      </w:r>
      <w:r w:rsidR="00334777">
        <w:rPr>
          <w:rFonts w:ascii="Arial" w:hAnsi="Arial" w:cs="Arial"/>
          <w:sz w:val="22"/>
          <w:szCs w:val="22"/>
          <w:lang w:val="ru-RU"/>
        </w:rPr>
        <w:t>–</w:t>
      </w:r>
      <w:r w:rsidR="00334777" w:rsidRPr="00334777">
        <w:rPr>
          <w:rFonts w:ascii="Arial" w:hAnsi="Arial" w:cs="Arial"/>
          <w:sz w:val="22"/>
          <w:szCs w:val="22"/>
          <w:lang w:val="ru-RU"/>
        </w:rPr>
        <w:t xml:space="preserve"> </w:t>
      </w:r>
      <w:r w:rsidRPr="00ED1717">
        <w:rPr>
          <w:rFonts w:ascii="Arial" w:hAnsi="Arial" w:cs="Arial"/>
          <w:sz w:val="22"/>
          <w:szCs w:val="22"/>
          <w:lang w:val="ru-RU"/>
        </w:rPr>
        <w:t>членов Исполнительного совета</w:t>
      </w:r>
      <w:r w:rsidR="00666F61">
        <w:rPr>
          <w:rFonts w:ascii="Arial" w:hAnsi="Arial" w:cs="Arial"/>
          <w:sz w:val="22"/>
          <w:szCs w:val="22"/>
          <w:lang w:val="ru-RU"/>
        </w:rPr>
        <w:t>,</w:t>
      </w:r>
    </w:p>
    <w:p w14:paraId="1B927BA8" w14:textId="77777777" w:rsidR="002F751B" w:rsidRDefault="002F751B" w:rsidP="00ED1717">
      <w:pPr>
        <w:pStyle w:val="b"/>
        <w:tabs>
          <w:tab w:val="clear" w:pos="1134"/>
        </w:tabs>
        <w:ind w:left="0" w:firstLine="0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Часть </w:t>
      </w:r>
      <w:r w:rsidR="00EE3DE2" w:rsidRPr="00ED1717">
        <w:rPr>
          <w:rFonts w:ascii="Arial" w:hAnsi="Arial" w:cs="Arial"/>
          <w:b/>
          <w:bCs/>
          <w:sz w:val="22"/>
          <w:szCs w:val="22"/>
          <w:lang w:val="ru-RU"/>
        </w:rPr>
        <w:t>I.</w:t>
      </w:r>
      <w:r w:rsidR="00EE3DE2" w:rsidRPr="00ED1717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6A00214F" w14:textId="1B619958" w:rsidR="00EE3DE2" w:rsidRPr="00ED1717" w:rsidRDefault="00EE3DE2" w:rsidP="00ED1717">
      <w:pPr>
        <w:pStyle w:val="b"/>
        <w:tabs>
          <w:tab w:val="clear" w:pos="1134"/>
        </w:tabs>
        <w:ind w:left="0" w:firstLine="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Доклад об исполнении бюджета на 2022-2023 гг. (документ 41 С/5) по состоянию на 31</w:t>
      </w:r>
      <w:r w:rsidR="008C6F50">
        <w:rPr>
          <w:rFonts w:ascii="Arial" w:hAnsi="Arial" w:cs="Arial"/>
          <w:b/>
          <w:bCs/>
          <w:sz w:val="22"/>
          <w:szCs w:val="22"/>
          <w:lang w:val="ru-RU"/>
        </w:rPr>
        <w:t> </w:t>
      </w: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декабря 2023 г. и финансовое положение специального счета МОК по состоянию на конец 2023 г. и прогноз на 2024-2025 гг.</w:t>
      </w:r>
    </w:p>
    <w:p w14:paraId="220AD241" w14:textId="3CC238B7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подтверждает</w:t>
      </w:r>
      <w:r w:rsidRPr="00ED1717">
        <w:rPr>
          <w:rFonts w:ascii="Arial" w:hAnsi="Arial" w:cs="Arial"/>
          <w:sz w:val="22"/>
          <w:szCs w:val="22"/>
          <w:lang w:val="ru-RU"/>
        </w:rPr>
        <w:t>, что, согласно представленному в документе IOC/EC-57/3.1.Doc(2) докладу, бюджет МОК на 2022</w:t>
      </w:r>
      <w:r w:rsidR="00334777" w:rsidRPr="00334777">
        <w:rPr>
          <w:rFonts w:ascii="Arial" w:hAnsi="Arial" w:cs="Arial"/>
          <w:sz w:val="22"/>
          <w:szCs w:val="22"/>
          <w:lang w:val="ru-RU"/>
        </w:rPr>
        <w:t>-</w:t>
      </w:r>
      <w:r w:rsidRPr="00ED1717">
        <w:rPr>
          <w:rFonts w:ascii="Arial" w:hAnsi="Arial" w:cs="Arial"/>
          <w:sz w:val="22"/>
          <w:szCs w:val="22"/>
          <w:lang w:val="ru-RU"/>
        </w:rPr>
        <w:t>2023 гг. был исполнен в соответствии с утвержденными программой и бюджетом ЮНЕСКО на 2022</w:t>
      </w:r>
      <w:r w:rsidR="00334777" w:rsidRPr="00334777">
        <w:rPr>
          <w:rFonts w:ascii="Arial" w:hAnsi="Arial" w:cs="Arial"/>
          <w:sz w:val="22"/>
          <w:szCs w:val="22"/>
          <w:lang w:val="ru-RU"/>
        </w:rPr>
        <w:t>-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2023 гг. (документ 41 C/5), включая скорректированную сумму бюджетных ассигнований для специального счета МОК, утвержденных Ассамблеей МОК на </w:t>
      </w:r>
      <w:r w:rsidRPr="00ED1717">
        <w:rPr>
          <w:rFonts w:ascii="Arial" w:hAnsi="Arial" w:cs="Arial"/>
          <w:sz w:val="22"/>
          <w:szCs w:val="22"/>
          <w:lang w:val="ru-RU"/>
        </w:rPr>
        <w:lastRenderedPageBreak/>
        <w:t>ее 31-й сессии в резолюции A-31/2 и затем пересмотренных Исполнительным советом МОК на его 55-й сессии в резолюции ЕС-55/2;</w:t>
      </w:r>
    </w:p>
    <w:p w14:paraId="1430D970" w14:textId="01707356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отмечает</w:t>
      </w:r>
      <w:r w:rsidRPr="00ED1717">
        <w:rPr>
          <w:rFonts w:ascii="Arial" w:hAnsi="Arial" w:cs="Arial"/>
          <w:sz w:val="22"/>
          <w:szCs w:val="22"/>
          <w:lang w:val="ru-RU"/>
        </w:rPr>
        <w:t>, что, хотя общие плановые показатели привлечения внебюджетных средств, установленные на двухлетний период 2022-2023 гг., были достигнуты, по состоянию на конец 2023</w:t>
      </w:r>
      <w:r w:rsidR="00666F61">
        <w:rPr>
          <w:rFonts w:ascii="Arial" w:hAnsi="Arial" w:cs="Arial"/>
          <w:sz w:val="22"/>
          <w:szCs w:val="22"/>
          <w:lang w:val="ru-RU"/>
        </w:rPr>
        <w:t> 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г. сохранялись некоторые пробелы в финансировании функций D и F; </w:t>
      </w:r>
    </w:p>
    <w:p w14:paraId="31125EA7" w14:textId="77777777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благодарит </w:t>
      </w:r>
      <w:r w:rsidRPr="00ED1717">
        <w:rPr>
          <w:rFonts w:ascii="Arial" w:hAnsi="Arial" w:cs="Arial"/>
          <w:sz w:val="22"/>
          <w:szCs w:val="22"/>
          <w:lang w:val="ru-RU"/>
        </w:rPr>
        <w:t>государства-члены, предоставившие внебюджетные средства и взносы в натуральной форме на осуществление программы в 2022-2023 гг.;</w:t>
      </w:r>
    </w:p>
    <w:p w14:paraId="28C5F2A7" w14:textId="5405952D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информацию о финансовом положении специального счета МОК по состоянию на конец 2023 г. и прогноз на 2024</w:t>
      </w:r>
      <w:r w:rsidR="00334777" w:rsidRPr="00334777">
        <w:rPr>
          <w:rFonts w:ascii="Arial" w:hAnsi="Arial" w:cs="Arial"/>
          <w:sz w:val="22"/>
          <w:szCs w:val="22"/>
          <w:lang w:val="ru-RU"/>
        </w:rPr>
        <w:t>-</w:t>
      </w:r>
      <w:r w:rsidRPr="00ED1717">
        <w:rPr>
          <w:rFonts w:ascii="Arial" w:hAnsi="Arial" w:cs="Arial"/>
          <w:sz w:val="22"/>
          <w:szCs w:val="22"/>
          <w:lang w:val="ru-RU"/>
        </w:rPr>
        <w:t>2025 гг., представленные в документе IOC/EC</w:t>
      </w:r>
      <w:r w:rsidR="00666F61">
        <w:rPr>
          <w:rFonts w:ascii="Arial" w:hAnsi="Arial" w:cs="Arial"/>
          <w:sz w:val="22"/>
          <w:szCs w:val="22"/>
          <w:lang w:val="ru-RU"/>
        </w:rPr>
        <w:t> </w:t>
      </w:r>
      <w:r w:rsidRPr="00ED1717">
        <w:rPr>
          <w:rFonts w:ascii="Arial" w:hAnsi="Arial" w:cs="Arial"/>
          <w:sz w:val="22"/>
          <w:szCs w:val="22"/>
          <w:lang w:val="ru-RU"/>
        </w:rPr>
        <w:t>57/3.1.Doc(3);</w:t>
      </w:r>
    </w:p>
    <w:p w14:paraId="4CFABD2B" w14:textId="1AE63D78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утверждает </w:t>
      </w:r>
      <w:r w:rsidRPr="00ED1717">
        <w:rPr>
          <w:rFonts w:ascii="Arial" w:hAnsi="Arial" w:cs="Arial"/>
          <w:sz w:val="22"/>
          <w:szCs w:val="22"/>
          <w:lang w:val="ru-RU"/>
        </w:rPr>
        <w:t>пересмотренную сумму бюджетных ассигнований на 2024</w:t>
      </w:r>
      <w:r w:rsidR="00334777" w:rsidRPr="00334777">
        <w:rPr>
          <w:rFonts w:ascii="Arial" w:hAnsi="Arial" w:cs="Arial"/>
          <w:sz w:val="22"/>
          <w:szCs w:val="22"/>
          <w:lang w:val="ru-RU"/>
        </w:rPr>
        <w:t>-</w:t>
      </w:r>
      <w:r w:rsidRPr="00ED1717">
        <w:rPr>
          <w:rFonts w:ascii="Arial" w:hAnsi="Arial" w:cs="Arial"/>
          <w:sz w:val="22"/>
          <w:szCs w:val="22"/>
          <w:lang w:val="ru-RU"/>
        </w:rPr>
        <w:t>2025 гг., предложенную в таблице 1 документа IOC/EC 57/3.1.Doc(3);</w:t>
      </w:r>
    </w:p>
    <w:p w14:paraId="4A3805EB" w14:textId="4C472752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призывает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государства-члены предоставлять добровольные взносы, с тем чтобы обеспечить достижение в полном объеме коллективно согласованных целевых показателей по привлечению внебюджетных средств для всех функций МОК в 2024</w:t>
      </w:r>
      <w:r w:rsidR="00334777" w:rsidRPr="00334777">
        <w:rPr>
          <w:rFonts w:ascii="Arial" w:hAnsi="Arial" w:cs="Arial"/>
          <w:sz w:val="22"/>
          <w:szCs w:val="22"/>
          <w:lang w:val="ru-RU"/>
        </w:rPr>
        <w:t>-</w:t>
      </w:r>
      <w:r w:rsidRPr="00ED1717">
        <w:rPr>
          <w:rFonts w:ascii="Arial" w:hAnsi="Arial" w:cs="Arial"/>
          <w:sz w:val="22"/>
          <w:szCs w:val="22"/>
          <w:lang w:val="ru-RU"/>
        </w:rPr>
        <w:t>2025 гг., предпочтительно на специальный счет МОК;</w:t>
      </w:r>
    </w:p>
    <w:p w14:paraId="6247E668" w14:textId="67E57B4E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</w:t>
      </w:r>
      <w:r w:rsidRPr="00ED1717">
        <w:rPr>
          <w:rFonts w:ascii="Arial" w:hAnsi="Arial" w:cs="Arial"/>
          <w:sz w:val="22"/>
          <w:szCs w:val="22"/>
          <w:lang w:val="ru-RU"/>
        </w:rPr>
        <w:t>Исполнительного секретаря МОК активизировать принятие инициативных мер в целях получения дальнейших добровольных взносов, в том числе от доноров из частного сектора и прочих партнеров, и полного выполнения программных целевых показателей Комиссии на 2024-2025 гг.;</w:t>
      </w:r>
    </w:p>
    <w:p w14:paraId="608FEDB8" w14:textId="77777777" w:rsidR="002F751B" w:rsidRDefault="002F751B" w:rsidP="00666F61">
      <w:pPr>
        <w:pStyle w:val="ListParagraph"/>
        <w:spacing w:after="240"/>
        <w:ind w:left="0"/>
        <w:contextualSpacing w:val="0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Часть </w:t>
      </w:r>
      <w:r w:rsidR="00EE3DE2" w:rsidRPr="00ED1717">
        <w:rPr>
          <w:rFonts w:ascii="Arial" w:hAnsi="Arial" w:cs="Arial"/>
          <w:b/>
          <w:bCs/>
          <w:sz w:val="22"/>
          <w:szCs w:val="22"/>
          <w:lang w:val="ru-RU"/>
        </w:rPr>
        <w:t>II.</w:t>
      </w:r>
      <w:r w:rsidR="00EE3DE2" w:rsidRPr="00ED1717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7B5EFC0B" w14:textId="0C442A42" w:rsidR="00EE3DE2" w:rsidRPr="00ED1717" w:rsidRDefault="00EE3DE2" w:rsidP="00666F61">
      <w:pPr>
        <w:pStyle w:val="ListParagraph"/>
        <w:spacing w:after="24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Пересмотренные программа и бюджет на 2024-2025 гг. (документ 42 С/5) и </w:t>
      </w:r>
      <w:r w:rsidR="00666F61">
        <w:rPr>
          <w:rFonts w:ascii="Arial" w:hAnsi="Arial" w:cs="Arial"/>
          <w:b/>
          <w:bCs/>
          <w:sz w:val="22"/>
          <w:szCs w:val="22"/>
          <w:lang w:val="ru-RU"/>
        </w:rPr>
        <w:br/>
      </w: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предварительные предложения на 2026-2029 гг. (проект документа 43 С/5)</w:t>
      </w:r>
    </w:p>
    <w:p w14:paraId="2C85852D" w14:textId="1C0CD36A" w:rsidR="00BA73A5" w:rsidRPr="00ED1717" w:rsidRDefault="00BA73A5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bCs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напоминает 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о принятом Исполнительным советом ЮНЕСКО на его 216-й сессии решении, в котором Генеральной конференции ЮНЕСКО на ее 42-й сессии было рекомендовано согласовать увеличение выделяемой МОК доли в бюджете обычной программы ЮНЕСКО на [1%], причем эта доля не должна сокращаться в результате переноса средств в другие части бюджета, и </w:t>
      </w:r>
      <w:r w:rsidR="002F751B">
        <w:rPr>
          <w:rFonts w:ascii="Arial" w:hAnsi="Arial" w:cs="Arial"/>
          <w:sz w:val="22"/>
          <w:szCs w:val="22"/>
          <w:lang w:val="ru-RU"/>
        </w:rPr>
        <w:t>«</w:t>
      </w:r>
      <w:r w:rsidRPr="00ED1717">
        <w:rPr>
          <w:rFonts w:ascii="Arial" w:hAnsi="Arial" w:cs="Arial"/>
          <w:sz w:val="22"/>
          <w:szCs w:val="22"/>
          <w:lang w:val="ru-RU"/>
        </w:rPr>
        <w:t>определить и согласовать исходное значение доли выделяемых МОК ЮНЕСКО средств бюджета обычной программы ЮНЕСКО в рамках документа 42 С/5 и будущих документов С/5, которое не может быть снижено в будущем, если иное не согласовано Генеральной конференцией</w:t>
      </w:r>
      <w:r w:rsidR="002F751B">
        <w:rPr>
          <w:rFonts w:ascii="Arial" w:hAnsi="Arial" w:cs="Arial"/>
          <w:sz w:val="22"/>
          <w:szCs w:val="22"/>
          <w:lang w:val="ru-RU"/>
        </w:rPr>
        <w:t>»</w:t>
      </w:r>
      <w:r w:rsidRPr="00ED1717">
        <w:rPr>
          <w:rFonts w:ascii="Arial" w:hAnsi="Arial" w:cs="Arial"/>
          <w:sz w:val="22"/>
          <w:szCs w:val="22"/>
          <w:lang w:val="ru-RU"/>
        </w:rPr>
        <w:t>;</w:t>
      </w:r>
    </w:p>
    <w:p w14:paraId="240F2699" w14:textId="2AAD9FA6" w:rsidR="00BA73A5" w:rsidRPr="00ED1717" w:rsidRDefault="00BA73A5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bCs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благодарит </w:t>
      </w:r>
      <w:r w:rsidRPr="00ED1717">
        <w:rPr>
          <w:rFonts w:ascii="Arial" w:hAnsi="Arial" w:cs="Arial"/>
          <w:sz w:val="22"/>
          <w:szCs w:val="22"/>
          <w:lang w:val="ru-RU"/>
        </w:rPr>
        <w:t>государства-члены за включение в повестку дня 216-й сессии Исполнительного совета ЮНЕСКО пункта 44 «Срочная необходимость увеличения объема и обеспечения большей стабильности финансирования Межправительственной океанографической комиссии (МОК)», по итогам рассмотрения которого было принято вышеупомянутое решение;</w:t>
      </w:r>
    </w:p>
    <w:p w14:paraId="380A56D3" w14:textId="4FF436AC" w:rsidR="00BA73A5" w:rsidRPr="00ED1717" w:rsidRDefault="00BA73A5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 с удовлетворением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информацию об одобренном Генеральной конференцией ЮНЕСКО на ее 42-й сессии в соответствии с приоритетами государств-членов увеличении ассигнований для МОК в рамках пересмотренного в связи с повторным вступлением в Организацию Соединенных Штатов Америки в июле 2023 г. общего верхнего предельного уровня бюджета ЮНЕСКО в документе 42 С/5, что позволит МОК продолжать </w:t>
      </w:r>
      <w:r w:rsidRPr="00ED1717">
        <w:rPr>
          <w:rFonts w:ascii="Arial" w:hAnsi="Arial" w:cs="Arial"/>
          <w:sz w:val="22"/>
          <w:szCs w:val="22"/>
          <w:lang w:val="ru-RU"/>
        </w:rPr>
        <w:lastRenderedPageBreak/>
        <w:t>осуществлять свои основные программы и выполнять свою роль в проведении Десятилетия Организации Объединенных Наций, посвященного науке об океане в интересах устойчивого развития (2021-2030 гг.);</w:t>
      </w:r>
    </w:p>
    <w:p w14:paraId="05F83127" w14:textId="60157A26" w:rsidR="00EE3DE2" w:rsidRPr="00ED1717" w:rsidRDefault="00EE3DE2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представленные в документе IOC/EC-57/5.1.Doc(1) пересмотренные программу и бюджет на 2024-2025 гг. (42 С/5), подготовленные в качестве неотъемлемой части проекта программы и бюджета ЮНЕСКО на 2024-2025 гг. (42 С/5), представленных Генеральным директором ЮНЕСКО Исполнительному совету ЮНЕСКО на его 216-й сессии и затем утвержденных Генеральной конференцией ЮНЕСКО на ее 42-й сессии;</w:t>
      </w:r>
    </w:p>
    <w:p w14:paraId="032939AA" w14:textId="202B2BF0" w:rsidR="00426CAF" w:rsidRPr="00ED1717" w:rsidRDefault="00426CAF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 также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дополнительную информацию, представленную Секретариатом </w:t>
      </w:r>
      <w:r w:rsidR="002F751B">
        <w:rPr>
          <w:rFonts w:ascii="Arial" w:hAnsi="Arial" w:cs="Arial"/>
          <w:sz w:val="22"/>
          <w:szCs w:val="22"/>
          <w:lang w:val="ru-RU"/>
        </w:rPr>
        <w:t xml:space="preserve">МОК </w:t>
      </w:r>
      <w:r w:rsidRPr="00ED1717">
        <w:rPr>
          <w:rFonts w:ascii="Arial" w:hAnsi="Arial" w:cs="Arial"/>
          <w:sz w:val="22"/>
          <w:szCs w:val="22"/>
          <w:lang w:val="ru-RU"/>
        </w:rPr>
        <w:t>по просьбе межсессионной финансовой консультативной группы МОК (МФКГ) и отраженную в докладе председателя МФКГ (IOC/EC-57/5.</w:t>
      </w:r>
      <w:proofErr w:type="gramStart"/>
      <w:r w:rsidRPr="00ED1717">
        <w:rPr>
          <w:rFonts w:ascii="Arial" w:hAnsi="Arial" w:cs="Arial"/>
          <w:sz w:val="22"/>
          <w:szCs w:val="22"/>
          <w:lang w:val="ru-RU"/>
        </w:rPr>
        <w:t>2.Doc</w:t>
      </w:r>
      <w:proofErr w:type="gramEnd"/>
      <w:r w:rsidRPr="00ED1717">
        <w:rPr>
          <w:rFonts w:ascii="Arial" w:hAnsi="Arial" w:cs="Arial"/>
          <w:sz w:val="22"/>
          <w:szCs w:val="22"/>
          <w:lang w:val="ru-RU"/>
        </w:rPr>
        <w:t xml:space="preserve">(2)); </w:t>
      </w:r>
    </w:p>
    <w:p w14:paraId="2A88585F" w14:textId="099CC7BF" w:rsidR="00EE3DE2" w:rsidRPr="00ED1717" w:rsidRDefault="00FD25BA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полагает</w:t>
      </w:r>
      <w:r w:rsidRPr="00ED1717">
        <w:rPr>
          <w:rFonts w:ascii="Arial" w:hAnsi="Arial" w:cs="Arial"/>
          <w:sz w:val="22"/>
          <w:szCs w:val="22"/>
          <w:lang w:val="ru-RU"/>
        </w:rPr>
        <w:t>, что программные решения Секретариата</w:t>
      </w:r>
      <w:r w:rsidR="002F751B">
        <w:rPr>
          <w:rFonts w:ascii="Arial" w:hAnsi="Arial" w:cs="Arial"/>
          <w:sz w:val="22"/>
          <w:szCs w:val="22"/>
          <w:lang w:val="ru-RU"/>
        </w:rPr>
        <w:t xml:space="preserve"> МОК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, принятые им при разработке пересмотренных программы и бюджета на </w:t>
      </w:r>
      <w:proofErr w:type="gramStart"/>
      <w:r w:rsidRPr="00ED1717">
        <w:rPr>
          <w:rFonts w:ascii="Arial" w:hAnsi="Arial" w:cs="Arial"/>
          <w:sz w:val="22"/>
          <w:szCs w:val="22"/>
          <w:lang w:val="ru-RU"/>
        </w:rPr>
        <w:t>2024-2025</w:t>
      </w:r>
      <w:proofErr w:type="gramEnd"/>
      <w:r w:rsidRPr="00ED1717">
        <w:rPr>
          <w:rFonts w:ascii="Arial" w:hAnsi="Arial" w:cs="Arial"/>
          <w:sz w:val="22"/>
          <w:szCs w:val="22"/>
          <w:lang w:val="ru-RU"/>
        </w:rPr>
        <w:t xml:space="preserve"> гг. (документ 42 С/5)</w:t>
      </w:r>
      <w:r w:rsidR="00512264" w:rsidRPr="00512264">
        <w:rPr>
          <w:rFonts w:ascii="Arial" w:hAnsi="Arial" w:cs="Arial"/>
          <w:sz w:val="22"/>
          <w:szCs w:val="22"/>
          <w:lang w:val="ru-RU"/>
        </w:rPr>
        <w:t>,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соответствуют стратегическим указаниям государств-членов, содержащимся в резолюции МОК А-32/4; </w:t>
      </w:r>
    </w:p>
    <w:p w14:paraId="5E8F7BB7" w14:textId="77777777" w:rsidR="00FD25BA" w:rsidRPr="00ED1717" w:rsidRDefault="00FD25BA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приветствует</w:t>
      </w:r>
      <w:r w:rsidRPr="00ED1717">
        <w:rPr>
          <w:rFonts w:ascii="Arial" w:hAnsi="Arial" w:cs="Arial"/>
          <w:sz w:val="22"/>
          <w:szCs w:val="22"/>
          <w:lang w:val="ru-RU"/>
        </w:rPr>
        <w:t>, в частности:</w:t>
      </w:r>
    </w:p>
    <w:p w14:paraId="37A3FB33" w14:textId="3B25D9A1" w:rsidR="00FD25BA" w:rsidRPr="00ED1717" w:rsidRDefault="00FD25BA" w:rsidP="00666F61">
      <w:pPr>
        <w:pStyle w:val="b"/>
        <w:numPr>
          <w:ilvl w:val="0"/>
          <w:numId w:val="17"/>
        </w:numPr>
        <w:tabs>
          <w:tab w:val="clear" w:pos="1134"/>
        </w:tabs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 xml:space="preserve">стабилизацию финансирования всех функций МОК в сочетании с целевыми дополнительными инвестициями в МООД, ГСНО, развитие потенциала и функционирование региональных вспомогательных органов, которые Ассамблея МОК определила как </w:t>
      </w:r>
      <w:r w:rsidR="00666F61">
        <w:rPr>
          <w:rFonts w:ascii="Arial" w:hAnsi="Arial" w:cs="Arial"/>
          <w:sz w:val="22"/>
          <w:szCs w:val="22"/>
          <w:lang w:val="ru-RU"/>
        </w:rPr>
        <w:t>«</w:t>
      </w:r>
      <w:r w:rsidRPr="00ED1717">
        <w:rPr>
          <w:rFonts w:ascii="Arial" w:hAnsi="Arial" w:cs="Arial"/>
          <w:sz w:val="22"/>
          <w:szCs w:val="22"/>
          <w:lang w:val="ru-RU"/>
        </w:rPr>
        <w:t>критически уязвимые области</w:t>
      </w:r>
      <w:r w:rsidR="00666F61">
        <w:rPr>
          <w:rFonts w:ascii="Arial" w:hAnsi="Arial" w:cs="Arial"/>
          <w:sz w:val="22"/>
          <w:szCs w:val="22"/>
          <w:lang w:val="ru-RU"/>
        </w:rPr>
        <w:t>»</w:t>
      </w:r>
      <w:r w:rsidRPr="00ED1717">
        <w:rPr>
          <w:rFonts w:ascii="Arial" w:hAnsi="Arial" w:cs="Arial"/>
          <w:sz w:val="22"/>
          <w:szCs w:val="22"/>
          <w:lang w:val="ru-RU"/>
        </w:rPr>
        <w:t>;</w:t>
      </w:r>
    </w:p>
    <w:p w14:paraId="7E09D6EA" w14:textId="4C516FF8" w:rsidR="00FD25BA" w:rsidRPr="00ED1717" w:rsidRDefault="00FD25BA" w:rsidP="00666F61">
      <w:pPr>
        <w:pStyle w:val="b"/>
        <w:numPr>
          <w:ilvl w:val="0"/>
          <w:numId w:val="17"/>
        </w:numPr>
        <w:tabs>
          <w:tab w:val="clear" w:pos="1134"/>
        </w:tabs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>кадровые решения Исполнительного секретаря</w:t>
      </w:r>
      <w:r w:rsidR="002F751B">
        <w:rPr>
          <w:rFonts w:ascii="Arial" w:hAnsi="Arial" w:cs="Arial"/>
          <w:sz w:val="22"/>
          <w:szCs w:val="22"/>
          <w:lang w:val="ru-RU"/>
        </w:rPr>
        <w:t xml:space="preserve"> МОК</w:t>
      </w:r>
      <w:r w:rsidRPr="00ED1717">
        <w:rPr>
          <w:rFonts w:ascii="Arial" w:hAnsi="Arial" w:cs="Arial"/>
          <w:sz w:val="22"/>
          <w:szCs w:val="22"/>
          <w:lang w:val="ru-RU"/>
        </w:rPr>
        <w:t>, направленные на укрепление вышеупомянутых критически уязвимых областей в приоритетном порядке;</w:t>
      </w:r>
    </w:p>
    <w:p w14:paraId="7FF5C509" w14:textId="1378232C" w:rsidR="00BA2175" w:rsidRPr="00ED1717" w:rsidRDefault="009C19B0" w:rsidP="00666F61">
      <w:pPr>
        <w:pStyle w:val="b"/>
        <w:numPr>
          <w:ilvl w:val="0"/>
          <w:numId w:val="17"/>
        </w:numPr>
        <w:tabs>
          <w:tab w:val="clear" w:pos="1134"/>
        </w:tabs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 xml:space="preserve">значительное улучшение соотношения расходов на персонал и других расходов, финансируемых из обычного бюджета; </w:t>
      </w:r>
    </w:p>
    <w:p w14:paraId="4398B143" w14:textId="6B55C358" w:rsidR="00FD25BA" w:rsidRPr="00ED1717" w:rsidRDefault="00FD25BA" w:rsidP="00666F61">
      <w:pPr>
        <w:pStyle w:val="b"/>
        <w:numPr>
          <w:ilvl w:val="0"/>
          <w:numId w:val="17"/>
        </w:numPr>
        <w:tabs>
          <w:tab w:val="clear" w:pos="1134"/>
        </w:tabs>
        <w:ind w:left="567" w:hanging="567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sz w:val="22"/>
          <w:szCs w:val="22"/>
          <w:lang w:val="ru-RU"/>
        </w:rPr>
        <w:t xml:space="preserve">значительное увеличение ассигнований из обычного бюджета на мероприятия МОКАФРИКА в соответствии с глобальным приоритетом ЮНЕСКО «Африка» и с учетом необходимости наличия соответствующих ресурсов для осуществления программы; </w:t>
      </w:r>
    </w:p>
    <w:p w14:paraId="424304FE" w14:textId="06E94456" w:rsidR="007A02FF" w:rsidRPr="00ED1717" w:rsidRDefault="00EB4C0F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 далее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информацию о проведении на постоянной основе в рамках соответствующих программ и вспомогательных органов консультаций по приоритетным направлениям деятельности с целью совместной разработки приоритетных мероприятий и оптимизации работы по ним в 2024-2025 гг., а также  формирования основы для проекта документа 43 С/5 в соответствии с приоритетными направлениями деятельности, определенными в документе 42 С/5, и с расчетом на сохранение результатов, связанных с изложенными в резолюции МОК А-32/4 принципами высокого уровня;</w:t>
      </w:r>
    </w:p>
    <w:p w14:paraId="03F9A469" w14:textId="630AE457" w:rsidR="00106412" w:rsidRPr="00ED1717" w:rsidRDefault="0002172A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отмечает 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с большой обеспокоенностью, что некоторые из вышеупомянутых критически уязвимых областей МОК все еще не укомплектованы кадрами, и в ходе следующих бюджетных циклов нужно будет рассмотреть вопрос об их укреплении; </w:t>
      </w:r>
    </w:p>
    <w:p w14:paraId="2FFEDD75" w14:textId="2F981388" w:rsidR="00445F6D" w:rsidRPr="00ED1717" w:rsidRDefault="00BA638E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Исполнительного секретаря МОК в консультации с должностными лицами Комиссии приступить к проведению внешней оценки процессов руководства и управления в МОК с целью упорядочения ее функционирования и оптимизации использования ресурсов, с тем чтобы они действительно соответствовали поставленным целям в условиях быстро </w:t>
      </w:r>
      <w:r w:rsidRPr="00ED1717">
        <w:rPr>
          <w:rFonts w:ascii="Arial" w:hAnsi="Arial" w:cs="Arial"/>
          <w:sz w:val="22"/>
          <w:szCs w:val="22"/>
          <w:lang w:val="ru-RU"/>
        </w:rPr>
        <w:lastRenderedPageBreak/>
        <w:t xml:space="preserve">изменяющейся программы работы в сфере океана и с учетом растущих требований государств-членов и расширения многосторонних процессов; </w:t>
      </w:r>
    </w:p>
    <w:p w14:paraId="517E8803" w14:textId="783215F4" w:rsidR="002F1CD6" w:rsidRPr="00ED1717" w:rsidRDefault="002F1CD6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одобряет </w:t>
      </w:r>
      <w:r w:rsidRPr="00ED1717">
        <w:rPr>
          <w:rFonts w:ascii="Arial" w:hAnsi="Arial" w:cs="Arial"/>
          <w:sz w:val="22"/>
          <w:szCs w:val="22"/>
          <w:lang w:val="ru-RU"/>
        </w:rPr>
        <w:t>представленную в части III документа IOC/EC-57/5.</w:t>
      </w:r>
      <w:proofErr w:type="gramStart"/>
      <w:r w:rsidRPr="00ED1717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D1717">
        <w:rPr>
          <w:rFonts w:ascii="Arial" w:hAnsi="Arial" w:cs="Arial"/>
          <w:sz w:val="22"/>
          <w:szCs w:val="22"/>
          <w:lang w:val="ru-RU"/>
        </w:rPr>
        <w:t>(1) методику подготовки предварительных предложений по программе и бюджету на 2026-2029 гг. (проект документа 43 С/5), в том числе формулировку промежуточного результата 1 МОК;</w:t>
      </w:r>
    </w:p>
    <w:p w14:paraId="44136920" w14:textId="495E3ACA" w:rsidR="002F1CD6" w:rsidRPr="00ED1717" w:rsidRDefault="002F1CD6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подчеркивает 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решающее значение четкого и всеобъемлющего процесса консультаций </w:t>
      </w:r>
      <w:r w:rsidR="00F24E7D" w:rsidRPr="00ED1717">
        <w:rPr>
          <w:rFonts w:ascii="Arial" w:hAnsi="Arial" w:cs="Arial"/>
          <w:sz w:val="22"/>
          <w:szCs w:val="22"/>
          <w:lang w:val="ru-RU"/>
        </w:rPr>
        <w:t>с го</w:t>
      </w:r>
      <w:r w:rsidR="00666F61">
        <w:rPr>
          <w:rFonts w:ascii="Arial" w:hAnsi="Arial" w:cs="Arial"/>
          <w:sz w:val="22"/>
          <w:szCs w:val="22"/>
          <w:lang w:val="ru-RU"/>
        </w:rPr>
        <w:softHyphen/>
      </w:r>
      <w:r w:rsidR="00F24E7D" w:rsidRPr="00ED1717">
        <w:rPr>
          <w:rFonts w:ascii="Arial" w:hAnsi="Arial" w:cs="Arial"/>
          <w:sz w:val="22"/>
          <w:szCs w:val="22"/>
          <w:lang w:val="ru-RU"/>
        </w:rPr>
        <w:t>сударствами</w:t>
      </w:r>
      <w:r w:rsidR="00666F61">
        <w:rPr>
          <w:rFonts w:ascii="Arial" w:hAnsi="Arial" w:cs="Arial"/>
          <w:sz w:val="22"/>
          <w:szCs w:val="22"/>
          <w:lang w:val="ru-RU"/>
        </w:rPr>
        <w:t xml:space="preserve"> – </w:t>
      </w:r>
      <w:r w:rsidR="00F24E7D" w:rsidRPr="00ED1717">
        <w:rPr>
          <w:rFonts w:ascii="Arial" w:hAnsi="Arial" w:cs="Arial"/>
          <w:sz w:val="22"/>
          <w:szCs w:val="22"/>
          <w:lang w:val="ru-RU"/>
        </w:rPr>
        <w:t>членами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МОК по вопросам управления, программирования и подготовки бюджета Комиссии;</w:t>
      </w:r>
    </w:p>
    <w:p w14:paraId="010E7F21" w14:textId="72874733" w:rsidR="00172AD7" w:rsidRPr="00ED1717" w:rsidRDefault="002F1CD6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просит</w:t>
      </w:r>
      <w:r w:rsidR="00F24E7D"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 также</w:t>
      </w: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ED1717">
        <w:rPr>
          <w:rFonts w:ascii="Arial" w:hAnsi="Arial" w:cs="Arial"/>
          <w:sz w:val="22"/>
          <w:szCs w:val="22"/>
          <w:lang w:val="ru-RU"/>
        </w:rPr>
        <w:t>Исполнительного секретаря МОК разработать предложение по программе и бюджету на 2026-2029 гг. (проекту документа 43 С/5) для утверждения Ассамблеей МОК на ее 33-й сессии, продолжая информировать государства-члены обо всех связанных с этим событиях в межсессионный период, в том числе посредством регулярных и своевременных онлайновых совещаний</w:t>
      </w:r>
      <w:r w:rsidR="002F751B">
        <w:rPr>
          <w:rFonts w:ascii="Arial" w:hAnsi="Arial" w:cs="Arial"/>
          <w:sz w:val="22"/>
          <w:szCs w:val="22"/>
          <w:lang w:val="ru-RU"/>
        </w:rPr>
        <w:t xml:space="preserve"> МФКГ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; </w:t>
      </w:r>
    </w:p>
    <w:p w14:paraId="7C1427E5" w14:textId="77777777" w:rsidR="002F751B" w:rsidRDefault="002F751B" w:rsidP="00666F61">
      <w:pPr>
        <w:pStyle w:val="ListParagraph"/>
        <w:tabs>
          <w:tab w:val="clear" w:pos="709"/>
          <w:tab w:val="left" w:pos="567"/>
        </w:tabs>
        <w:snapToGrid w:val="0"/>
        <w:spacing w:after="240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Часть </w:t>
      </w:r>
      <w:r w:rsidR="004B5314" w:rsidRPr="00ED1717">
        <w:rPr>
          <w:rFonts w:ascii="Arial" w:hAnsi="Arial" w:cs="Arial"/>
          <w:b/>
          <w:bCs/>
          <w:sz w:val="22"/>
          <w:szCs w:val="22"/>
          <w:lang w:val="ru-RU"/>
        </w:rPr>
        <w:t>III.</w:t>
      </w:r>
    </w:p>
    <w:p w14:paraId="07228CD6" w14:textId="4AC35E7F" w:rsidR="00172AD7" w:rsidRPr="00666F61" w:rsidRDefault="00172AD7" w:rsidP="00666F61">
      <w:pPr>
        <w:pStyle w:val="ListParagraph"/>
        <w:tabs>
          <w:tab w:val="clear" w:pos="709"/>
          <w:tab w:val="left" w:pos="567"/>
        </w:tabs>
        <w:snapToGrid w:val="0"/>
        <w:spacing w:after="24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Проект плана действий по результатам проведенной IOS оценки стратегического </w:t>
      </w:r>
      <w:r w:rsidR="00512264" w:rsidRPr="00D073EA">
        <w:rPr>
          <w:rFonts w:ascii="Arial" w:hAnsi="Arial" w:cs="Arial"/>
          <w:b/>
          <w:bCs/>
          <w:sz w:val="22"/>
          <w:szCs w:val="22"/>
          <w:lang w:val="ru-RU"/>
        </w:rPr>
        <w:br/>
      </w: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позиционирования МОК:</w:t>
      </w:r>
      <w:r w:rsidR="00666F61">
        <w:rPr>
          <w:rFonts w:ascii="Arial" w:eastAsia="Calibri" w:hAnsi="Arial" w:cs="Arial"/>
          <w:b/>
          <w:bCs/>
          <w:sz w:val="22"/>
          <w:szCs w:val="22"/>
          <w:lang w:val="ru-RU"/>
        </w:rPr>
        <w:br/>
      </w: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обновленная информация о ходе выполнения</w:t>
      </w:r>
    </w:p>
    <w:p w14:paraId="024C669B" w14:textId="3100FEEA" w:rsidR="00172AD7" w:rsidRPr="00ED1717" w:rsidRDefault="00172AD7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напоминает</w:t>
      </w:r>
      <w:r w:rsidRPr="00ED1717">
        <w:rPr>
          <w:rFonts w:ascii="Arial" w:hAnsi="Arial" w:cs="Arial"/>
          <w:sz w:val="22"/>
          <w:szCs w:val="22"/>
          <w:lang w:val="ru-RU"/>
        </w:rPr>
        <w:t>, что план действий по итогам проведенной IOS оценки стратегического позиционирования МОК, представленный в документе IOC/A-32/6.3.Doc(1), был одобрен Ассамблеей МОК на ее 32-й сессии и воспроизводится для сведения Исполнительного совета</w:t>
      </w:r>
      <w:r w:rsidR="002F751B">
        <w:rPr>
          <w:rFonts w:ascii="Arial" w:hAnsi="Arial" w:cs="Arial"/>
          <w:sz w:val="22"/>
          <w:szCs w:val="22"/>
          <w:lang w:val="ru-RU"/>
        </w:rPr>
        <w:t xml:space="preserve"> МОК 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в документе IOC/EC-57/5.2.Doc(1) с обновленной информацией о его осуществлении, которая приводится в таблице под названием </w:t>
      </w:r>
      <w:r w:rsidR="00666F61">
        <w:rPr>
          <w:rFonts w:ascii="Arial" w:hAnsi="Arial" w:cs="Arial"/>
          <w:sz w:val="22"/>
          <w:szCs w:val="22"/>
          <w:lang w:val="ru-RU"/>
        </w:rPr>
        <w:t>«</w:t>
      </w:r>
      <w:r w:rsidRPr="00ED1717">
        <w:rPr>
          <w:rFonts w:ascii="Arial" w:hAnsi="Arial" w:cs="Arial"/>
          <w:sz w:val="22"/>
          <w:szCs w:val="22"/>
          <w:lang w:val="ru-RU"/>
        </w:rPr>
        <w:t>Краткий обзор предлагаемых мер и обновленная информация о ходе работы</w:t>
      </w:r>
      <w:r w:rsidR="00666F61">
        <w:rPr>
          <w:rFonts w:ascii="Arial" w:hAnsi="Arial" w:cs="Arial"/>
          <w:sz w:val="22"/>
          <w:szCs w:val="22"/>
          <w:lang w:val="ru-RU"/>
        </w:rPr>
        <w:t>»</w:t>
      </w:r>
      <w:r w:rsidRPr="00ED1717">
        <w:rPr>
          <w:rFonts w:ascii="Arial" w:hAnsi="Arial" w:cs="Arial"/>
          <w:sz w:val="22"/>
          <w:szCs w:val="22"/>
          <w:lang w:val="ru-RU"/>
        </w:rPr>
        <w:t>;</w:t>
      </w:r>
    </w:p>
    <w:p w14:paraId="2082C31F" w14:textId="0FAF2494" w:rsidR="00172AD7" w:rsidRPr="00ED1717" w:rsidRDefault="008B03CA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напоминает также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, что Ассамблея МОК на ее 32-й сессии </w:t>
      </w:r>
      <w:proofErr w:type="gramStart"/>
      <w:r w:rsidRPr="00ED1717">
        <w:rPr>
          <w:rFonts w:ascii="Arial" w:hAnsi="Arial" w:cs="Arial"/>
          <w:sz w:val="22"/>
          <w:szCs w:val="22"/>
          <w:lang w:val="ru-RU"/>
        </w:rPr>
        <w:t>просила</w:t>
      </w:r>
      <w:proofErr w:type="gramEnd"/>
      <w:r w:rsidRPr="00ED1717">
        <w:rPr>
          <w:rFonts w:ascii="Arial" w:hAnsi="Arial" w:cs="Arial"/>
          <w:sz w:val="22"/>
          <w:szCs w:val="22"/>
          <w:lang w:val="ru-RU"/>
        </w:rPr>
        <w:t xml:space="preserve"> Секретариат </w:t>
      </w:r>
      <w:r w:rsidR="002F751B">
        <w:rPr>
          <w:rFonts w:ascii="Arial" w:hAnsi="Arial" w:cs="Arial"/>
          <w:sz w:val="22"/>
          <w:szCs w:val="22"/>
          <w:lang w:val="ru-RU"/>
        </w:rPr>
        <w:t xml:space="preserve">МОК 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продолжать осуществление плана действий </w:t>
      </w:r>
      <w:r w:rsidR="00666F61">
        <w:rPr>
          <w:rFonts w:ascii="Arial" w:hAnsi="Arial" w:cs="Arial"/>
          <w:sz w:val="22"/>
          <w:szCs w:val="22"/>
          <w:lang w:val="ru-RU"/>
        </w:rPr>
        <w:t>«</w:t>
      </w:r>
      <w:r w:rsidRPr="00ED1717">
        <w:rPr>
          <w:rFonts w:ascii="Arial" w:hAnsi="Arial" w:cs="Arial"/>
          <w:sz w:val="22"/>
          <w:szCs w:val="22"/>
          <w:lang w:val="ru-RU"/>
        </w:rPr>
        <w:t>с учетом меняющейся ситуации в МОК, в том числе имеющихся в наличии средств, предлагая соответствующие корректировки и отчитываясь о ходе работы перед руководящими органами МОК и ЮНЕСКО</w:t>
      </w:r>
      <w:r w:rsidR="00666F61">
        <w:rPr>
          <w:rFonts w:ascii="Arial" w:hAnsi="Arial" w:cs="Arial"/>
          <w:sz w:val="22"/>
          <w:szCs w:val="22"/>
          <w:lang w:val="ru-RU"/>
        </w:rPr>
        <w:t>»</w:t>
      </w:r>
      <w:r w:rsidRPr="00ED1717">
        <w:rPr>
          <w:rFonts w:ascii="Arial" w:hAnsi="Arial" w:cs="Arial"/>
          <w:sz w:val="22"/>
          <w:szCs w:val="22"/>
          <w:lang w:val="ru-RU"/>
        </w:rPr>
        <w:t>;</w:t>
      </w:r>
    </w:p>
    <w:p w14:paraId="7FE9203A" w14:textId="10BDB78C" w:rsidR="002A7ED5" w:rsidRPr="00ED1717" w:rsidRDefault="002A7ED5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приветствует 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обновленную информацию о ходе осуществления плана, содержащуюся в вышеупомянутой таблице под названием </w:t>
      </w:r>
      <w:r w:rsidR="00666F61">
        <w:rPr>
          <w:rFonts w:ascii="Arial" w:hAnsi="Arial" w:cs="Arial"/>
          <w:sz w:val="22"/>
          <w:szCs w:val="22"/>
          <w:lang w:val="ru-RU"/>
        </w:rPr>
        <w:t>«</w:t>
      </w:r>
      <w:r w:rsidRPr="00ED1717">
        <w:rPr>
          <w:rFonts w:ascii="Arial" w:hAnsi="Arial" w:cs="Arial"/>
          <w:sz w:val="22"/>
          <w:szCs w:val="22"/>
          <w:lang w:val="ru-RU"/>
        </w:rPr>
        <w:t>Краткий обзор предлагаемых мер и обновленная информация о ходе работы</w:t>
      </w:r>
      <w:r w:rsidR="00666F61">
        <w:rPr>
          <w:rFonts w:ascii="Arial" w:hAnsi="Arial" w:cs="Arial"/>
          <w:sz w:val="22"/>
          <w:szCs w:val="22"/>
          <w:lang w:val="ru-RU"/>
        </w:rPr>
        <w:t>»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; </w:t>
      </w:r>
    </w:p>
    <w:p w14:paraId="276EB365" w14:textId="50D6F7EB" w:rsidR="00172AD7" w:rsidRPr="00ED1717" w:rsidRDefault="00172AD7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выражает согласие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с мнением Исполнительного секретаря МОК относительно того</w:t>
      </w:r>
      <w:r w:rsidR="00F24E7D" w:rsidRPr="00ED1717">
        <w:rPr>
          <w:rFonts w:ascii="Arial" w:hAnsi="Arial" w:cs="Arial"/>
          <w:sz w:val="22"/>
          <w:szCs w:val="22"/>
          <w:lang w:val="ru-RU"/>
        </w:rPr>
        <w:t>,</w:t>
      </w:r>
      <w:r w:rsidRPr="00ED1717">
        <w:rPr>
          <w:rFonts w:ascii="Arial" w:hAnsi="Arial" w:cs="Arial"/>
          <w:sz w:val="22"/>
          <w:szCs w:val="22"/>
          <w:lang w:val="ru-RU"/>
        </w:rPr>
        <w:t xml:space="preserve"> что, хотя некоторые меры уже приняты, а другие находятся в процессе реализации, целый ряд стратегических мер потребует дальнейшего анализа и обсуждения с государствами-членами в рамках нового этапа консультаций по теме </w:t>
      </w:r>
      <w:r w:rsidR="00512264" w:rsidRPr="00512264">
        <w:rPr>
          <w:rFonts w:ascii="Arial" w:hAnsi="Arial" w:cs="Arial"/>
          <w:sz w:val="22"/>
          <w:szCs w:val="22"/>
          <w:lang w:val="ru-RU"/>
        </w:rPr>
        <w:t>«</w:t>
      </w:r>
      <w:r w:rsidRPr="00ED1717">
        <w:rPr>
          <w:rFonts w:ascii="Arial" w:hAnsi="Arial" w:cs="Arial"/>
          <w:sz w:val="22"/>
          <w:szCs w:val="22"/>
          <w:lang w:val="ru-RU"/>
        </w:rPr>
        <w:t>МОК и будущее Мирового океана</w:t>
      </w:r>
      <w:r w:rsidR="00512264" w:rsidRPr="00512264">
        <w:rPr>
          <w:rFonts w:ascii="Arial" w:hAnsi="Arial" w:cs="Arial"/>
          <w:sz w:val="22"/>
          <w:szCs w:val="22"/>
          <w:lang w:val="ru-RU"/>
        </w:rPr>
        <w:t>»</w:t>
      </w:r>
      <w:r w:rsidRPr="00ED1717">
        <w:rPr>
          <w:rFonts w:ascii="Arial" w:hAnsi="Arial" w:cs="Arial"/>
          <w:sz w:val="22"/>
          <w:szCs w:val="22"/>
          <w:lang w:val="ru-RU"/>
        </w:rPr>
        <w:t>;</w:t>
      </w:r>
    </w:p>
    <w:p w14:paraId="60AC511E" w14:textId="340B9BFC" w:rsidR="002A7ED5" w:rsidRPr="00ED1717" w:rsidRDefault="002A7ED5" w:rsidP="00ED1717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</w:t>
      </w:r>
      <w:r w:rsidRPr="00ED1717">
        <w:rPr>
          <w:rFonts w:ascii="Arial" w:hAnsi="Arial" w:cs="Arial"/>
          <w:sz w:val="22"/>
          <w:szCs w:val="22"/>
          <w:lang w:val="ru-RU"/>
        </w:rPr>
        <w:t>Исполнительного секретаря МОК провести соответствующую работу и представить подготовленное на ее основе предложение Ассамблее МОК для рассмотрения на ее 33-й</w:t>
      </w:r>
      <w:r w:rsidR="00666F61">
        <w:rPr>
          <w:rFonts w:ascii="Arial" w:hAnsi="Arial" w:cs="Arial"/>
          <w:sz w:val="22"/>
          <w:szCs w:val="22"/>
          <w:lang w:val="ru-RU"/>
        </w:rPr>
        <w:t> </w:t>
      </w:r>
      <w:r w:rsidRPr="00ED1717">
        <w:rPr>
          <w:rFonts w:ascii="Arial" w:hAnsi="Arial" w:cs="Arial"/>
          <w:sz w:val="22"/>
          <w:szCs w:val="22"/>
          <w:lang w:val="ru-RU"/>
        </w:rPr>
        <w:t>сессии;</w:t>
      </w:r>
    </w:p>
    <w:p w14:paraId="7753AAEB" w14:textId="77777777" w:rsidR="002F751B" w:rsidRDefault="002F751B" w:rsidP="00666F61">
      <w:pPr>
        <w:pStyle w:val="ListParagraph"/>
        <w:keepNext/>
        <w:tabs>
          <w:tab w:val="clear" w:pos="709"/>
          <w:tab w:val="left" w:pos="567"/>
        </w:tabs>
        <w:snapToGrid w:val="0"/>
        <w:spacing w:after="240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lastRenderedPageBreak/>
        <w:t xml:space="preserve">Часть </w:t>
      </w:r>
      <w:r w:rsidR="008F2F05" w:rsidRPr="00ED1717">
        <w:rPr>
          <w:rFonts w:ascii="Arial" w:hAnsi="Arial" w:cs="Arial"/>
          <w:b/>
          <w:bCs/>
          <w:sz w:val="22"/>
          <w:szCs w:val="22"/>
          <w:lang w:val="ru-RU"/>
        </w:rPr>
        <w:t>IV.</w:t>
      </w:r>
    </w:p>
    <w:p w14:paraId="72851A3A" w14:textId="64C06DFB" w:rsidR="008F2F05" w:rsidRPr="00512264" w:rsidRDefault="008F2F05" w:rsidP="00666F61">
      <w:pPr>
        <w:pStyle w:val="ListParagraph"/>
        <w:keepNext/>
        <w:tabs>
          <w:tab w:val="clear" w:pos="709"/>
          <w:tab w:val="left" w:pos="567"/>
        </w:tabs>
        <w:snapToGrid w:val="0"/>
        <w:spacing w:after="240"/>
        <w:ind w:left="0"/>
        <w:contextualSpacing w:val="0"/>
        <w:jc w:val="center"/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  <w:lang w:val="ru-RU"/>
        </w:rPr>
      </w:pPr>
      <w:r w:rsidRPr="00ED1717">
        <w:rPr>
          <w:rFonts w:ascii="Arial" w:hAnsi="Arial" w:cs="Arial"/>
          <w:b/>
          <w:bCs/>
          <w:sz w:val="22"/>
          <w:szCs w:val="22"/>
          <w:lang w:val="ru-RU"/>
        </w:rPr>
        <w:t>Консультативный процесс «МОК и будущее Мирового океана</w:t>
      </w:r>
      <w:r w:rsidR="00512264" w:rsidRPr="00512264">
        <w:rPr>
          <w:rFonts w:ascii="Arial" w:hAnsi="Arial" w:cs="Arial"/>
          <w:b/>
          <w:bCs/>
          <w:sz w:val="22"/>
          <w:szCs w:val="22"/>
          <w:lang w:val="ru-RU"/>
        </w:rPr>
        <w:t>»</w:t>
      </w:r>
    </w:p>
    <w:p w14:paraId="2EEFB85E" w14:textId="77777777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напоминает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 о решении МОК А-32/5, памятуя о статусе МОК как органа, обладающего функциональной автономией в рамках ЮНЕСКО;</w:t>
      </w:r>
    </w:p>
    <w:p w14:paraId="3D80AA3E" w14:textId="3295D2A6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 содержащееся в документе IOC/EC-57/3.</w:t>
      </w:r>
      <w:proofErr w:type="gramStart"/>
      <w:r w:rsidRPr="00666F61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666F61">
        <w:rPr>
          <w:rFonts w:ascii="Arial" w:hAnsi="Arial" w:cs="Arial"/>
          <w:sz w:val="22"/>
          <w:szCs w:val="22"/>
          <w:lang w:val="ru-RU"/>
        </w:rPr>
        <w:t xml:space="preserve">(4) предложение о том, чтобы консультации по теме </w:t>
      </w:r>
      <w:r w:rsidR="00666F61">
        <w:rPr>
          <w:rFonts w:ascii="Arial" w:hAnsi="Arial" w:cs="Arial"/>
          <w:sz w:val="22"/>
          <w:szCs w:val="22"/>
          <w:lang w:val="ru-RU"/>
        </w:rPr>
        <w:t>«</w:t>
      </w:r>
      <w:r w:rsidRPr="00666F61">
        <w:rPr>
          <w:rFonts w:ascii="Arial" w:hAnsi="Arial" w:cs="Arial"/>
          <w:sz w:val="22"/>
          <w:szCs w:val="22"/>
          <w:lang w:val="ru-RU"/>
        </w:rPr>
        <w:t>МОК и будущее Мирового океана</w:t>
      </w:r>
      <w:r w:rsidR="00666F61">
        <w:rPr>
          <w:rFonts w:ascii="Arial" w:hAnsi="Arial" w:cs="Arial"/>
          <w:sz w:val="22"/>
          <w:szCs w:val="22"/>
          <w:lang w:val="ru-RU"/>
        </w:rPr>
        <w:t>»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 проводились в рамках трехлетнего процесса, скоординированного с расписанием сессий руководящих органов МОК;</w:t>
      </w:r>
    </w:p>
    <w:p w14:paraId="0C0FD9EE" w14:textId="4B66EBED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постановляет</w:t>
      </w:r>
      <w:r w:rsidRPr="00666F61">
        <w:rPr>
          <w:rFonts w:ascii="Arial" w:hAnsi="Arial" w:cs="Arial"/>
          <w:sz w:val="22"/>
          <w:szCs w:val="22"/>
          <w:lang w:val="ru-RU"/>
        </w:rPr>
        <w:t>, что консультации будут сосредоточены в первую очередь на общем обзоре мероприятий, касающихся роли МОК в оказании помощи государствам-членам и другим заинтересованным сторонам, в том числе на выявлении пробелов и потребностей в рамках программ МОК, с тем чтобы обеспечить оптимальную организацию текущих и новых мероприятий в области научно обоснованного устойчивого планирования в сфере океана, океанографической поддержки в работе по соответствующим конвенциям и рамочным документам ООН, а также развития устойчивой экономики океана;</w:t>
      </w:r>
    </w:p>
    <w:p w14:paraId="572824ED" w14:textId="1202C528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постановляет также</w:t>
      </w:r>
      <w:r w:rsidRPr="00666F61">
        <w:rPr>
          <w:rFonts w:ascii="Arial" w:hAnsi="Arial" w:cs="Arial"/>
          <w:sz w:val="22"/>
          <w:szCs w:val="22"/>
          <w:lang w:val="ru-RU"/>
        </w:rPr>
        <w:t>, что обзор будет проводиться Секретариатом МОК в консультации с программами МОК, региональными вспомогательными органами МОК, государствами</w:t>
      </w:r>
      <w:r w:rsidR="00512264" w:rsidRPr="00512264">
        <w:rPr>
          <w:rFonts w:ascii="Arial" w:hAnsi="Arial" w:cs="Arial"/>
          <w:sz w:val="22"/>
          <w:szCs w:val="22"/>
          <w:lang w:val="ru-RU"/>
        </w:rPr>
        <w:t xml:space="preserve"> </w:t>
      </w:r>
      <w:r w:rsidR="00512264">
        <w:rPr>
          <w:rFonts w:ascii="Arial" w:hAnsi="Arial" w:cs="Arial"/>
          <w:sz w:val="22"/>
          <w:szCs w:val="22"/>
          <w:lang w:val="ru-RU"/>
        </w:rPr>
        <w:t>–</w:t>
      </w:r>
      <w:r w:rsidR="00512264" w:rsidRPr="00512264">
        <w:rPr>
          <w:rFonts w:ascii="Arial" w:hAnsi="Arial" w:cs="Arial"/>
          <w:sz w:val="22"/>
          <w:szCs w:val="22"/>
          <w:lang w:val="ru-RU"/>
        </w:rPr>
        <w:t xml:space="preserve"> </w:t>
      </w:r>
      <w:r w:rsidRPr="00666F61">
        <w:rPr>
          <w:rFonts w:ascii="Arial" w:hAnsi="Arial" w:cs="Arial"/>
          <w:sz w:val="22"/>
          <w:szCs w:val="22"/>
          <w:lang w:val="ru-RU"/>
        </w:rPr>
        <w:t>членами МОК, в том числе через МФКГ и соответствующие межсессионные рабочие группы МОК, в частности рабочую группу МОК по устойчивому планированию и управлению в сфере океана, а также, по мере необходимости, с другими соответствующими заинтересованными сторонами;</w:t>
      </w:r>
    </w:p>
    <w:p w14:paraId="3A1D6B0B" w14:textId="77777777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постановляет далее</w:t>
      </w:r>
      <w:r w:rsidRPr="00666F61">
        <w:rPr>
          <w:rFonts w:ascii="Arial" w:hAnsi="Arial" w:cs="Arial"/>
          <w:sz w:val="22"/>
          <w:szCs w:val="22"/>
          <w:lang w:val="ru-RU"/>
        </w:rPr>
        <w:t>, что обзор будет проводиться с опорой на план действий в связи с проведенной IOS оценкой стратегического позиционирования МОК, среднесрочную стратегию МОК (</w:t>
      </w:r>
      <w:proofErr w:type="gramStart"/>
      <w:r w:rsidRPr="00666F61">
        <w:rPr>
          <w:rFonts w:ascii="Arial" w:hAnsi="Arial" w:cs="Arial"/>
          <w:sz w:val="22"/>
          <w:szCs w:val="22"/>
          <w:lang w:val="ru-RU"/>
        </w:rPr>
        <w:t>2022-2029</w:t>
      </w:r>
      <w:proofErr w:type="gramEnd"/>
      <w:r w:rsidRPr="00666F61">
        <w:rPr>
          <w:rFonts w:ascii="Arial" w:hAnsi="Arial" w:cs="Arial"/>
          <w:sz w:val="22"/>
          <w:szCs w:val="22"/>
          <w:lang w:val="ru-RU"/>
        </w:rPr>
        <w:t xml:space="preserve"> гг.) и, по мере необходимости, на другие соответствующие ресурсы;</w:t>
      </w:r>
    </w:p>
    <w:p w14:paraId="15A061C3" w14:textId="63049679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пр</w:t>
      </w:r>
      <w:r w:rsidR="002F751B">
        <w:rPr>
          <w:rFonts w:ascii="Arial" w:hAnsi="Arial" w:cs="Arial"/>
          <w:b/>
          <w:bCs/>
          <w:sz w:val="22"/>
          <w:szCs w:val="22"/>
          <w:lang w:val="ru-RU"/>
        </w:rPr>
        <w:t>оси</w:t>
      </w:r>
      <w:r w:rsidRPr="00666F61">
        <w:rPr>
          <w:rFonts w:ascii="Arial" w:hAnsi="Arial" w:cs="Arial"/>
          <w:b/>
          <w:bCs/>
          <w:sz w:val="22"/>
          <w:szCs w:val="22"/>
          <w:lang w:val="ru-RU"/>
        </w:rPr>
        <w:t>т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 Исполнительно</w:t>
      </w:r>
      <w:r w:rsidR="002F751B">
        <w:rPr>
          <w:rFonts w:ascii="Arial" w:hAnsi="Arial" w:cs="Arial"/>
          <w:sz w:val="22"/>
          <w:szCs w:val="22"/>
          <w:lang w:val="ru-RU"/>
        </w:rPr>
        <w:t>го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 секретар</w:t>
      </w:r>
      <w:r w:rsidR="002F751B">
        <w:rPr>
          <w:rFonts w:ascii="Arial" w:hAnsi="Arial" w:cs="Arial"/>
          <w:sz w:val="22"/>
          <w:szCs w:val="22"/>
          <w:lang w:val="ru-RU"/>
        </w:rPr>
        <w:t>я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 МОК начать процесс консультаций, в том числе работу с МФКГ по параметрам проведения обзора, и регулярно представлять МФКГ обновленную информацию о ходе работы для получения информации и рекомендаций;</w:t>
      </w:r>
    </w:p>
    <w:p w14:paraId="44D3245F" w14:textId="54B5BE50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hAnsi="Arial" w:cs="Arial"/>
          <w:color w:val="000000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просит</w:t>
      </w:r>
      <w:r w:rsidR="002F751B">
        <w:rPr>
          <w:rFonts w:ascii="Arial" w:hAnsi="Arial" w:cs="Arial"/>
          <w:b/>
          <w:bCs/>
          <w:sz w:val="22"/>
          <w:szCs w:val="22"/>
          <w:lang w:val="ru-RU"/>
        </w:rPr>
        <w:t xml:space="preserve"> также</w:t>
      </w:r>
      <w:r w:rsidRPr="00666F6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666F61">
        <w:rPr>
          <w:rFonts w:ascii="Arial" w:hAnsi="Arial" w:cs="Arial"/>
          <w:sz w:val="22"/>
          <w:szCs w:val="22"/>
          <w:lang w:val="ru-RU"/>
        </w:rPr>
        <w:t>Исполнительного секретаря МОК представить результаты и рекомендации по итогам обзора Ассамблее МОК на ее 33-й сессии для выработки указаний относительно проведения второго этапа консультаций;</w:t>
      </w:r>
    </w:p>
    <w:p w14:paraId="4161A676" w14:textId="77777777" w:rsidR="002F751B" w:rsidRDefault="002F751B" w:rsidP="00666F61">
      <w:pPr>
        <w:pStyle w:val="ListParagraph"/>
        <w:spacing w:after="240"/>
        <w:ind w:left="0"/>
        <w:contextualSpacing w:val="0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Часть </w:t>
      </w:r>
      <w:r w:rsidR="008C6F50" w:rsidRPr="00666F61">
        <w:rPr>
          <w:rFonts w:ascii="Arial" w:hAnsi="Arial" w:cs="Arial"/>
          <w:b/>
          <w:bCs/>
          <w:sz w:val="22"/>
          <w:szCs w:val="22"/>
          <w:lang w:val="ru-RU"/>
        </w:rPr>
        <w:t>V.</w:t>
      </w:r>
      <w:r w:rsidR="008C6F50" w:rsidRPr="00666F61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6AAA4E0" w14:textId="3BE24CF2" w:rsidR="008C6F50" w:rsidRPr="00666F61" w:rsidRDefault="008C6F50" w:rsidP="00666F61">
      <w:pPr>
        <w:pStyle w:val="ListParagraph"/>
        <w:spacing w:after="24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Выполнение резолюции A-32/4 Part III</w:t>
      </w:r>
      <w:r w:rsidR="00512264" w:rsidRPr="00512264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512264">
        <w:rPr>
          <w:rFonts w:ascii="Arial" w:hAnsi="Arial" w:cs="Arial"/>
          <w:b/>
          <w:bCs/>
          <w:sz w:val="22"/>
          <w:szCs w:val="22"/>
          <w:lang w:val="ru-RU"/>
        </w:rPr>
        <w:t>–</w:t>
      </w:r>
      <w:r w:rsidR="00512264" w:rsidRPr="00512264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666F61">
        <w:rPr>
          <w:rFonts w:ascii="Arial" w:hAnsi="Arial" w:cs="Arial"/>
          <w:b/>
          <w:bCs/>
          <w:sz w:val="22"/>
          <w:szCs w:val="22"/>
          <w:lang w:val="ru-RU"/>
        </w:rPr>
        <w:t>Управление и методы работы</w:t>
      </w:r>
      <w:r w:rsidR="00666F61">
        <w:rPr>
          <w:rFonts w:ascii="Arial" w:hAnsi="Arial" w:cs="Arial"/>
          <w:b/>
          <w:bCs/>
          <w:sz w:val="22"/>
          <w:szCs w:val="22"/>
          <w:lang w:val="ru-RU"/>
        </w:rPr>
        <w:br/>
      </w:r>
      <w:r w:rsidRPr="00666F61">
        <w:rPr>
          <w:rFonts w:ascii="Arial" w:hAnsi="Arial" w:cs="Arial"/>
          <w:b/>
          <w:bCs/>
          <w:sz w:val="22"/>
          <w:szCs w:val="22"/>
          <w:lang w:val="ru-RU"/>
        </w:rPr>
        <w:t xml:space="preserve">Проект руководящих принципов подготовки и участия государств-членов в </w:t>
      </w:r>
      <w:r w:rsidR="006F546F" w:rsidRPr="006F546F">
        <w:rPr>
          <w:rFonts w:ascii="Arial" w:hAnsi="Arial" w:cs="Arial"/>
          <w:b/>
          <w:bCs/>
          <w:sz w:val="22"/>
          <w:szCs w:val="22"/>
          <w:lang w:val="ru-RU"/>
        </w:rPr>
        <w:br/>
      </w: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проводимых раз в два года выборах Председателя и заместителей Председателя МОК (должностных лиц Комиссии) и государств</w:t>
      </w:r>
      <w:r w:rsidR="006F546F" w:rsidRPr="006F546F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6F546F">
        <w:rPr>
          <w:rFonts w:ascii="Arial" w:hAnsi="Arial" w:cs="Arial"/>
          <w:b/>
          <w:bCs/>
          <w:sz w:val="22"/>
          <w:szCs w:val="22"/>
          <w:lang w:val="ru-RU"/>
        </w:rPr>
        <w:t>–</w:t>
      </w:r>
      <w:r w:rsidR="006F546F" w:rsidRPr="006F546F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666F61">
        <w:rPr>
          <w:rFonts w:ascii="Arial" w:hAnsi="Arial" w:cs="Arial"/>
          <w:b/>
          <w:bCs/>
          <w:sz w:val="22"/>
          <w:szCs w:val="22"/>
          <w:lang w:val="ru-RU"/>
        </w:rPr>
        <w:t>членов Исполнительного совета</w:t>
      </w:r>
    </w:p>
    <w:p w14:paraId="7B83FA57" w14:textId="52504635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>напоминает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, что Ассамблея МОК на своей 32-й сессии в резолюции А-32/4 одобрила обновленные Правила процедуры МОК, уже опубликованные в документе IOC/INF-1166 </w:t>
      </w:r>
      <w:proofErr w:type="spellStart"/>
      <w:r w:rsidRPr="00666F61">
        <w:rPr>
          <w:rFonts w:ascii="Arial" w:hAnsi="Arial" w:cs="Arial"/>
          <w:sz w:val="22"/>
          <w:szCs w:val="22"/>
          <w:lang w:val="ru-RU"/>
        </w:rPr>
        <w:t>Rev</w:t>
      </w:r>
      <w:proofErr w:type="spellEnd"/>
      <w:r w:rsidRPr="00666F61">
        <w:rPr>
          <w:rFonts w:ascii="Arial" w:hAnsi="Arial" w:cs="Arial"/>
          <w:sz w:val="22"/>
          <w:szCs w:val="22"/>
          <w:lang w:val="ru-RU"/>
        </w:rPr>
        <w:t xml:space="preserve">., и предложила Исполнительному секретарю МОК </w:t>
      </w:r>
      <w:r w:rsidR="0048291C" w:rsidRPr="0048291C">
        <w:rPr>
          <w:rFonts w:ascii="Arial" w:hAnsi="Arial" w:cs="Arial"/>
          <w:sz w:val="22"/>
          <w:szCs w:val="22"/>
          <w:lang w:val="ru-RU"/>
        </w:rPr>
        <w:t>«</w:t>
      </w:r>
      <w:r w:rsidRPr="00666F61">
        <w:rPr>
          <w:rFonts w:ascii="Arial" w:hAnsi="Arial" w:cs="Arial"/>
          <w:sz w:val="22"/>
          <w:szCs w:val="22"/>
          <w:lang w:val="ru-RU"/>
        </w:rPr>
        <w:t>подготовить в соответствии с Уставом и Правилами процедуры МОК рекомендации в поддержку подготовки государств-членов к выборам и участия в них, а также рассмотреть возможность проведения информационного совещания накануне голосования</w:t>
      </w:r>
      <w:r w:rsidR="0048291C" w:rsidRPr="0048291C">
        <w:rPr>
          <w:rFonts w:ascii="Arial" w:hAnsi="Arial" w:cs="Arial"/>
          <w:sz w:val="22"/>
          <w:szCs w:val="22"/>
          <w:lang w:val="ru-RU"/>
        </w:rPr>
        <w:t>»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; </w:t>
      </w:r>
    </w:p>
    <w:p w14:paraId="1127DB10" w14:textId="77777777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 xml:space="preserve">принимает к сведению, </w:t>
      </w:r>
      <w:r w:rsidRPr="00666F61">
        <w:rPr>
          <w:rFonts w:ascii="Arial" w:hAnsi="Arial" w:cs="Arial"/>
          <w:sz w:val="22"/>
          <w:szCs w:val="22"/>
          <w:lang w:val="ru-RU"/>
        </w:rPr>
        <w:t>что содержащаяся в документе IOC/EC-57/5.</w:t>
      </w:r>
      <w:proofErr w:type="gramStart"/>
      <w:r w:rsidRPr="00666F61">
        <w:rPr>
          <w:rFonts w:ascii="Arial" w:hAnsi="Arial" w:cs="Arial"/>
          <w:sz w:val="22"/>
          <w:szCs w:val="22"/>
          <w:lang w:val="ru-RU"/>
        </w:rPr>
        <w:t>3.Doc</w:t>
      </w:r>
      <w:proofErr w:type="gramEnd"/>
      <w:r w:rsidRPr="00666F61">
        <w:rPr>
          <w:rFonts w:ascii="Arial" w:hAnsi="Arial" w:cs="Arial"/>
          <w:sz w:val="22"/>
          <w:szCs w:val="22"/>
          <w:lang w:val="ru-RU"/>
        </w:rPr>
        <w:t xml:space="preserve">(1) информация была подготовлена для удобства государств-членов с целью осветить особенности выборов в МОК, в то время как полная информация содержится в Уставе и Правилах процедуры МОК, составляющих нормативную базу Комиссии; </w:t>
      </w:r>
    </w:p>
    <w:p w14:paraId="410BA73D" w14:textId="40F6396F" w:rsidR="008C6F50" w:rsidRPr="00666F61" w:rsidRDefault="008C6F50" w:rsidP="00666F61">
      <w:pPr>
        <w:pStyle w:val="ListParagraph"/>
        <w:numPr>
          <w:ilvl w:val="0"/>
          <w:numId w:val="11"/>
        </w:numPr>
        <w:tabs>
          <w:tab w:val="clear" w:pos="709"/>
          <w:tab w:val="left" w:pos="567"/>
        </w:tabs>
        <w:snapToGrid w:val="0"/>
        <w:spacing w:after="240"/>
        <w:ind w:left="0" w:hanging="709"/>
        <w:contextualSpacing w:val="0"/>
        <w:rPr>
          <w:rFonts w:ascii="Arial" w:eastAsia="Calibri" w:hAnsi="Arial" w:cs="Arial"/>
          <w:sz w:val="22"/>
          <w:szCs w:val="22"/>
          <w:lang w:val="ru-RU"/>
        </w:rPr>
      </w:pPr>
      <w:r w:rsidRPr="00666F61">
        <w:rPr>
          <w:rFonts w:ascii="Arial" w:hAnsi="Arial" w:cs="Arial"/>
          <w:b/>
          <w:bCs/>
          <w:sz w:val="22"/>
          <w:szCs w:val="22"/>
          <w:lang w:val="ru-RU"/>
        </w:rPr>
        <w:t xml:space="preserve">приветствует </w:t>
      </w:r>
      <w:r w:rsidRPr="00666F61">
        <w:rPr>
          <w:rFonts w:ascii="Arial" w:hAnsi="Arial" w:cs="Arial"/>
          <w:sz w:val="22"/>
          <w:szCs w:val="22"/>
          <w:lang w:val="ru-RU"/>
        </w:rPr>
        <w:t>подтверждение Исполнительного секретаря МОК относительно организации накануне 33-й сесси</w:t>
      </w:r>
      <w:r w:rsidR="0048291C" w:rsidRPr="0048291C">
        <w:rPr>
          <w:rFonts w:ascii="Arial" w:hAnsi="Arial" w:cs="Arial"/>
          <w:sz w:val="22"/>
          <w:szCs w:val="22"/>
          <w:lang w:val="ru-RU"/>
        </w:rPr>
        <w:t>и</w:t>
      </w:r>
      <w:r w:rsidRPr="00666F61">
        <w:rPr>
          <w:rFonts w:ascii="Arial" w:hAnsi="Arial" w:cs="Arial"/>
          <w:sz w:val="22"/>
          <w:szCs w:val="22"/>
          <w:lang w:val="ru-RU"/>
        </w:rPr>
        <w:t xml:space="preserve"> Ассамблеи МОК информационной сессии для содействия подготовке государств-членов.</w:t>
      </w:r>
    </w:p>
    <w:p w14:paraId="05C3F51D" w14:textId="77777777" w:rsidR="008C6F50" w:rsidRPr="00666F61" w:rsidRDefault="008C6F50" w:rsidP="00666F61">
      <w:pPr>
        <w:pStyle w:val="ListParagraph"/>
        <w:spacing w:after="24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</w:p>
    <w:sectPr w:rsidR="008C6F50" w:rsidRPr="00666F61" w:rsidSect="00ED1717">
      <w:headerReference w:type="even" r:id="rId7"/>
      <w:headerReference w:type="default" r:id="rId8"/>
      <w:pgSz w:w="12240" w:h="15840"/>
      <w:pgMar w:top="1440" w:right="1183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C8533" w14:textId="77777777" w:rsidR="00C14730" w:rsidRDefault="00C14730" w:rsidP="00CF5319">
      <w:r>
        <w:separator/>
      </w:r>
    </w:p>
  </w:endnote>
  <w:endnote w:type="continuationSeparator" w:id="0">
    <w:p w14:paraId="491F30BC" w14:textId="77777777" w:rsidR="00C14730" w:rsidRDefault="00C14730" w:rsidP="00CF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BE08" w14:textId="77777777" w:rsidR="00C14730" w:rsidRDefault="00C14730" w:rsidP="00CF5319">
      <w:r>
        <w:separator/>
      </w:r>
    </w:p>
  </w:footnote>
  <w:footnote w:type="continuationSeparator" w:id="0">
    <w:p w14:paraId="3D0BAE63" w14:textId="77777777" w:rsidR="00C14730" w:rsidRDefault="00C14730" w:rsidP="00CF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B43B" w14:textId="2C9AFC5C" w:rsidR="00B95D28" w:rsidRPr="008C6F50" w:rsidRDefault="00B95D28" w:rsidP="00B95D28">
    <w:pPr>
      <w:pStyle w:val="Header"/>
      <w:rPr>
        <w:rFonts w:ascii="Arial" w:hAnsi="Arial" w:cs="Arial"/>
        <w:sz w:val="22"/>
        <w:szCs w:val="22"/>
        <w:lang w:val="fr-FR"/>
      </w:rPr>
    </w:pPr>
    <w:r w:rsidRPr="008C6F50">
      <w:rPr>
        <w:rFonts w:ascii="Arial" w:hAnsi="Arial" w:cs="Arial"/>
        <w:sz w:val="22"/>
        <w:szCs w:val="22"/>
        <w:lang w:val="ru-RU"/>
      </w:rPr>
      <w:t>EC-57/</w:t>
    </w:r>
    <w:proofErr w:type="gramStart"/>
    <w:r w:rsidRPr="008C6F50">
      <w:rPr>
        <w:rFonts w:ascii="Arial" w:hAnsi="Arial" w:cs="Arial"/>
        <w:sz w:val="22"/>
        <w:szCs w:val="22"/>
        <w:lang w:val="ru-RU"/>
      </w:rPr>
      <w:t>DR.[</w:t>
    </w:r>
    <w:proofErr w:type="gramEnd"/>
    <w:r w:rsidRPr="008C6F50">
      <w:rPr>
        <w:rFonts w:ascii="Arial" w:hAnsi="Arial" w:cs="Arial"/>
        <w:sz w:val="22"/>
        <w:szCs w:val="22"/>
        <w:lang w:val="ru-RU"/>
      </w:rPr>
      <w:t>5.4]</w:t>
    </w:r>
    <w:r w:rsidR="008C6F50" w:rsidRPr="008C6F50">
      <w:rPr>
        <w:rFonts w:ascii="Arial" w:hAnsi="Arial" w:cs="Arial"/>
        <w:sz w:val="22"/>
        <w:szCs w:val="22"/>
        <w:lang w:val="ru-RU"/>
      </w:rPr>
      <w:t xml:space="preserve"> – </w:t>
    </w:r>
    <w:r w:rsidRPr="008C6F50">
      <w:rPr>
        <w:rFonts w:ascii="Arial" w:hAnsi="Arial" w:cs="Arial"/>
        <w:sz w:val="22"/>
        <w:szCs w:val="22"/>
        <w:lang w:val="fr-FR"/>
      </w:rPr>
      <w:t xml:space="preserve">page </w:t>
    </w:r>
    <w:r w:rsidRPr="008C6F50">
      <w:rPr>
        <w:rFonts w:ascii="Arial" w:hAnsi="Arial" w:cs="Arial"/>
        <w:sz w:val="22"/>
        <w:szCs w:val="22"/>
        <w:lang w:val="fr-FR"/>
      </w:rPr>
      <w:fldChar w:fldCharType="begin"/>
    </w:r>
    <w:r w:rsidRPr="008C6F50">
      <w:rPr>
        <w:rFonts w:ascii="Arial" w:hAnsi="Arial" w:cs="Arial"/>
        <w:sz w:val="22"/>
        <w:szCs w:val="22"/>
        <w:lang w:val="fr-FR"/>
      </w:rPr>
      <w:instrText xml:space="preserve"> PAGE   \* MERGEFORMAT </w:instrText>
    </w:r>
    <w:r w:rsidRPr="008C6F50">
      <w:rPr>
        <w:rFonts w:ascii="Arial" w:hAnsi="Arial" w:cs="Arial"/>
        <w:sz w:val="22"/>
        <w:szCs w:val="22"/>
        <w:lang w:val="fr-FR"/>
      </w:rPr>
      <w:fldChar w:fldCharType="separate"/>
    </w:r>
    <w:r w:rsidRPr="008C6F50">
      <w:rPr>
        <w:rFonts w:ascii="Arial" w:hAnsi="Arial" w:cs="Arial"/>
        <w:sz w:val="22"/>
        <w:szCs w:val="22"/>
        <w:lang w:val="fr-FR"/>
      </w:rPr>
      <w:t>2</w:t>
    </w:r>
    <w:r w:rsidRPr="008C6F50">
      <w:rPr>
        <w:rFonts w:ascii="Arial" w:hAnsi="Arial" w:cs="Arial"/>
        <w:noProof/>
        <w:sz w:val="22"/>
        <w:szCs w:val="22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620" w14:textId="339400EC" w:rsidR="00B95D28" w:rsidRPr="008C6F50" w:rsidRDefault="008C6F50" w:rsidP="008C6F50">
    <w:pPr>
      <w:pStyle w:val="Header"/>
      <w:jc w:val="right"/>
      <w:rPr>
        <w:rFonts w:ascii="Arial" w:hAnsi="Arial" w:cs="Arial"/>
        <w:sz w:val="22"/>
        <w:szCs w:val="22"/>
        <w:lang w:val="ru-RU"/>
      </w:rPr>
    </w:pPr>
    <w:r w:rsidRPr="008C6F50">
      <w:rPr>
        <w:rFonts w:ascii="Arial" w:hAnsi="Arial" w:cs="Arial"/>
        <w:sz w:val="22"/>
        <w:szCs w:val="22"/>
        <w:lang w:val="ru-RU"/>
      </w:rPr>
      <w:t>EC-57/</w:t>
    </w:r>
    <w:proofErr w:type="gramStart"/>
    <w:r w:rsidRPr="008C6F50">
      <w:rPr>
        <w:rFonts w:ascii="Arial" w:hAnsi="Arial" w:cs="Arial"/>
        <w:sz w:val="22"/>
        <w:szCs w:val="22"/>
        <w:lang w:val="ru-RU"/>
      </w:rPr>
      <w:t>DR.[</w:t>
    </w:r>
    <w:proofErr w:type="gramEnd"/>
    <w:r w:rsidRPr="008C6F50">
      <w:rPr>
        <w:rFonts w:ascii="Arial" w:hAnsi="Arial" w:cs="Arial"/>
        <w:sz w:val="22"/>
        <w:szCs w:val="22"/>
        <w:lang w:val="ru-RU"/>
      </w:rPr>
      <w:t xml:space="preserve">5.4] – </w:t>
    </w:r>
    <w:r w:rsidRPr="008C6F50">
      <w:rPr>
        <w:rFonts w:ascii="Arial" w:hAnsi="Arial" w:cs="Arial"/>
        <w:sz w:val="22"/>
        <w:szCs w:val="22"/>
        <w:lang w:val="fr-FR"/>
      </w:rPr>
      <w:t xml:space="preserve">page </w:t>
    </w:r>
    <w:r w:rsidRPr="008C6F50">
      <w:rPr>
        <w:rFonts w:ascii="Arial" w:hAnsi="Arial" w:cs="Arial"/>
        <w:sz w:val="22"/>
        <w:szCs w:val="22"/>
        <w:lang w:val="fr-FR"/>
      </w:rPr>
      <w:fldChar w:fldCharType="begin"/>
    </w:r>
    <w:r w:rsidRPr="008C6F50">
      <w:rPr>
        <w:rFonts w:ascii="Arial" w:hAnsi="Arial" w:cs="Arial"/>
        <w:sz w:val="22"/>
        <w:szCs w:val="22"/>
        <w:lang w:val="fr-FR"/>
      </w:rPr>
      <w:instrText xml:space="preserve"> PAGE   \* MERGEFORMAT </w:instrText>
    </w:r>
    <w:r w:rsidRPr="008C6F50">
      <w:rPr>
        <w:rFonts w:ascii="Arial" w:hAnsi="Arial" w:cs="Arial"/>
        <w:sz w:val="22"/>
        <w:szCs w:val="22"/>
        <w:lang w:val="fr-FR"/>
      </w:rPr>
      <w:fldChar w:fldCharType="separate"/>
    </w:r>
    <w:r>
      <w:rPr>
        <w:rFonts w:ascii="Arial" w:hAnsi="Arial" w:cs="Arial"/>
        <w:sz w:val="22"/>
        <w:szCs w:val="22"/>
        <w:lang w:val="fr-FR"/>
      </w:rPr>
      <w:t>2</w:t>
    </w:r>
    <w:r w:rsidRPr="008C6F50">
      <w:rPr>
        <w:rFonts w:ascii="Arial" w:hAnsi="Arial" w:cs="Arial"/>
        <w:noProof/>
        <w:sz w:val="22"/>
        <w:szCs w:val="22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3688"/>
    <w:multiLevelType w:val="hybridMultilevel"/>
    <w:tmpl w:val="9552FFF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2DD7"/>
    <w:multiLevelType w:val="hybridMultilevel"/>
    <w:tmpl w:val="FE78E686"/>
    <w:lvl w:ilvl="0" w:tplc="040C0017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1500"/>
    <w:multiLevelType w:val="hybridMultilevel"/>
    <w:tmpl w:val="452ABF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·"/>
      <w:lvlJc w:val="left"/>
      <w:pPr>
        <w:ind w:left="1644" w:hanging="564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5D18"/>
    <w:multiLevelType w:val="hybridMultilevel"/>
    <w:tmpl w:val="D0329826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A9BC0BD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1017"/>
    <w:multiLevelType w:val="hybridMultilevel"/>
    <w:tmpl w:val="EEFA7952"/>
    <w:lvl w:ilvl="0" w:tplc="665E9F4E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  <w:bCs/>
        <w:i/>
        <w:color w:val="000000"/>
      </w:rPr>
    </w:lvl>
    <w:lvl w:ilvl="1" w:tplc="A9BC0BD8">
      <w:start w:val="1"/>
      <w:numFmt w:val="lowerRoman"/>
      <w:lvlText w:val="%2)"/>
      <w:lvlJc w:val="left"/>
      <w:pPr>
        <w:ind w:left="1188" w:hanging="103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C53C78"/>
    <w:multiLevelType w:val="hybridMultilevel"/>
    <w:tmpl w:val="9552FFF6"/>
    <w:lvl w:ilvl="0" w:tplc="99B4303A">
      <w:start w:val="1"/>
      <w:numFmt w:val="lowerRoman"/>
      <w:lvlText w:val="%1)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43EF"/>
    <w:multiLevelType w:val="hybridMultilevel"/>
    <w:tmpl w:val="FB22D9F2"/>
    <w:lvl w:ilvl="0" w:tplc="9DF8C1A8">
      <w:start w:val="1"/>
      <w:numFmt w:val="lowerRoman"/>
      <w:lvlText w:val="%1)"/>
      <w:lvlJc w:val="left"/>
      <w:pPr>
        <w:ind w:left="1789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D036A5"/>
    <w:multiLevelType w:val="hybridMultilevel"/>
    <w:tmpl w:val="256E4C88"/>
    <w:lvl w:ilvl="0" w:tplc="728A86C0">
      <w:start w:val="1"/>
      <w:numFmt w:val="lowerRoman"/>
      <w:lvlText w:val="%1)"/>
      <w:lvlJc w:val="left"/>
      <w:pPr>
        <w:ind w:left="870" w:hanging="51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5563D"/>
    <w:multiLevelType w:val="hybridMultilevel"/>
    <w:tmpl w:val="43DA671E"/>
    <w:lvl w:ilvl="0" w:tplc="C53AB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77F5"/>
    <w:multiLevelType w:val="hybridMultilevel"/>
    <w:tmpl w:val="42A42252"/>
    <w:lvl w:ilvl="0" w:tplc="EC40FBD8">
      <w:start w:val="1"/>
      <w:numFmt w:val="lowerRoman"/>
      <w:lvlText w:val="%1)"/>
      <w:lvlJc w:val="left"/>
      <w:pPr>
        <w:ind w:left="1440" w:hanging="720"/>
      </w:pPr>
      <w:rPr>
        <w:rFonts w:asciiTheme="minorBidi" w:eastAsia="Times New Roman" w:hAnsiTheme="minorBidi" w:cstheme="minorBidi" w:hint="default"/>
        <w:b w:val="0"/>
        <w:bCs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BF310F"/>
    <w:multiLevelType w:val="hybridMultilevel"/>
    <w:tmpl w:val="2E40D9DA"/>
    <w:lvl w:ilvl="0" w:tplc="0E40006E">
      <w:start w:val="1"/>
      <w:numFmt w:val="lowerRoman"/>
      <w:lvlText w:val="%1)"/>
      <w:lvlJc w:val="left"/>
      <w:pPr>
        <w:ind w:left="870" w:hanging="510"/>
      </w:pPr>
      <w:rPr>
        <w:rFonts w:asciiTheme="minorBidi" w:eastAsia="Times New Roman" w:hAnsiTheme="minorBid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53688"/>
    <w:multiLevelType w:val="hybridMultilevel"/>
    <w:tmpl w:val="8DA461F4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8F488E2">
      <w:start w:val="1"/>
      <w:numFmt w:val="lowerRoman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22F0E"/>
    <w:multiLevelType w:val="hybridMultilevel"/>
    <w:tmpl w:val="60808838"/>
    <w:lvl w:ilvl="0" w:tplc="58DEBA0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BB525F8"/>
    <w:multiLevelType w:val="hybridMultilevel"/>
    <w:tmpl w:val="AF2840C4"/>
    <w:lvl w:ilvl="0" w:tplc="88F488E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55613"/>
    <w:multiLevelType w:val="hybridMultilevel"/>
    <w:tmpl w:val="DC02E1F4"/>
    <w:lvl w:ilvl="0" w:tplc="88F488E2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695DCC"/>
    <w:multiLevelType w:val="hybridMultilevel"/>
    <w:tmpl w:val="40C8B202"/>
    <w:lvl w:ilvl="0" w:tplc="541E8CA0">
      <w:start w:val="1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F400273"/>
    <w:multiLevelType w:val="hybridMultilevel"/>
    <w:tmpl w:val="3C387F88"/>
    <w:lvl w:ilvl="0" w:tplc="C53ABE7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9032969">
    <w:abstractNumId w:val="14"/>
  </w:num>
  <w:num w:numId="2" w16cid:durableId="1084686854">
    <w:abstractNumId w:val="15"/>
  </w:num>
  <w:num w:numId="3" w16cid:durableId="1433893519">
    <w:abstractNumId w:val="6"/>
  </w:num>
  <w:num w:numId="4" w16cid:durableId="486897565">
    <w:abstractNumId w:val="9"/>
  </w:num>
  <w:num w:numId="5" w16cid:durableId="574628637">
    <w:abstractNumId w:val="12"/>
  </w:num>
  <w:num w:numId="6" w16cid:durableId="1190025939">
    <w:abstractNumId w:val="7"/>
  </w:num>
  <w:num w:numId="7" w16cid:durableId="397672789">
    <w:abstractNumId w:val="10"/>
  </w:num>
  <w:num w:numId="8" w16cid:durableId="934099398">
    <w:abstractNumId w:val="2"/>
  </w:num>
  <w:num w:numId="9" w16cid:durableId="829759316">
    <w:abstractNumId w:val="1"/>
  </w:num>
  <w:num w:numId="10" w16cid:durableId="1219129233">
    <w:abstractNumId w:val="5"/>
  </w:num>
  <w:num w:numId="11" w16cid:durableId="933979956">
    <w:abstractNumId w:val="4"/>
  </w:num>
  <w:num w:numId="12" w16cid:durableId="161241800">
    <w:abstractNumId w:val="13"/>
  </w:num>
  <w:num w:numId="13" w16cid:durableId="560946474">
    <w:abstractNumId w:val="3"/>
  </w:num>
  <w:num w:numId="14" w16cid:durableId="1161964731">
    <w:abstractNumId w:val="11"/>
  </w:num>
  <w:num w:numId="15" w16cid:durableId="866911339">
    <w:abstractNumId w:val="0"/>
  </w:num>
  <w:num w:numId="16" w16cid:durableId="531498257">
    <w:abstractNumId w:val="16"/>
  </w:num>
  <w:num w:numId="17" w16cid:durableId="853803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E2"/>
    <w:rsid w:val="000071A0"/>
    <w:rsid w:val="00015E4B"/>
    <w:rsid w:val="0002172A"/>
    <w:rsid w:val="00027405"/>
    <w:rsid w:val="00027819"/>
    <w:rsid w:val="00097110"/>
    <w:rsid w:val="000A6A06"/>
    <w:rsid w:val="000C4334"/>
    <w:rsid w:val="000C520D"/>
    <w:rsid w:val="000E725F"/>
    <w:rsid w:val="000F6486"/>
    <w:rsid w:val="00106412"/>
    <w:rsid w:val="001123FB"/>
    <w:rsid w:val="00134C2E"/>
    <w:rsid w:val="00170E46"/>
    <w:rsid w:val="00172AD7"/>
    <w:rsid w:val="00177AFB"/>
    <w:rsid w:val="00191633"/>
    <w:rsid w:val="001C3F03"/>
    <w:rsid w:val="002755A2"/>
    <w:rsid w:val="00276ED3"/>
    <w:rsid w:val="002935BB"/>
    <w:rsid w:val="00296B5D"/>
    <w:rsid w:val="002A7ED5"/>
    <w:rsid w:val="002F1CD6"/>
    <w:rsid w:val="002F751B"/>
    <w:rsid w:val="00311C11"/>
    <w:rsid w:val="00314932"/>
    <w:rsid w:val="00334777"/>
    <w:rsid w:val="0035070B"/>
    <w:rsid w:val="00357C97"/>
    <w:rsid w:val="00396CC8"/>
    <w:rsid w:val="003C52E6"/>
    <w:rsid w:val="003E5498"/>
    <w:rsid w:val="003F1C25"/>
    <w:rsid w:val="00420422"/>
    <w:rsid w:val="00421575"/>
    <w:rsid w:val="004215FB"/>
    <w:rsid w:val="00426CAF"/>
    <w:rsid w:val="00445F6D"/>
    <w:rsid w:val="00450D2C"/>
    <w:rsid w:val="00475489"/>
    <w:rsid w:val="0048122E"/>
    <w:rsid w:val="0048291C"/>
    <w:rsid w:val="004961BE"/>
    <w:rsid w:val="004B5314"/>
    <w:rsid w:val="004C7461"/>
    <w:rsid w:val="004D3B28"/>
    <w:rsid w:val="004E3BD7"/>
    <w:rsid w:val="004F2008"/>
    <w:rsid w:val="00512264"/>
    <w:rsid w:val="00526D62"/>
    <w:rsid w:val="005912C7"/>
    <w:rsid w:val="00591637"/>
    <w:rsid w:val="005C3C64"/>
    <w:rsid w:val="005F756A"/>
    <w:rsid w:val="00632B65"/>
    <w:rsid w:val="00652E6B"/>
    <w:rsid w:val="00661614"/>
    <w:rsid w:val="00666F61"/>
    <w:rsid w:val="00674D63"/>
    <w:rsid w:val="00693578"/>
    <w:rsid w:val="0069711B"/>
    <w:rsid w:val="006C20E0"/>
    <w:rsid w:val="006C6238"/>
    <w:rsid w:val="006F127D"/>
    <w:rsid w:val="006F546F"/>
    <w:rsid w:val="0075046D"/>
    <w:rsid w:val="0075709F"/>
    <w:rsid w:val="00760914"/>
    <w:rsid w:val="0078106F"/>
    <w:rsid w:val="00791289"/>
    <w:rsid w:val="007A02FF"/>
    <w:rsid w:val="007E7C31"/>
    <w:rsid w:val="0081295C"/>
    <w:rsid w:val="00845BF0"/>
    <w:rsid w:val="00847590"/>
    <w:rsid w:val="00876D23"/>
    <w:rsid w:val="00885241"/>
    <w:rsid w:val="008929A9"/>
    <w:rsid w:val="008B03CA"/>
    <w:rsid w:val="008B7509"/>
    <w:rsid w:val="008B7C09"/>
    <w:rsid w:val="008C1B50"/>
    <w:rsid w:val="008C6F50"/>
    <w:rsid w:val="008D328A"/>
    <w:rsid w:val="008E17C2"/>
    <w:rsid w:val="008E2430"/>
    <w:rsid w:val="008E39A1"/>
    <w:rsid w:val="008F2F05"/>
    <w:rsid w:val="00933BDF"/>
    <w:rsid w:val="00935EA2"/>
    <w:rsid w:val="00955B51"/>
    <w:rsid w:val="009A2AA7"/>
    <w:rsid w:val="009C19B0"/>
    <w:rsid w:val="009C4896"/>
    <w:rsid w:val="009E3D9C"/>
    <w:rsid w:val="009E4B99"/>
    <w:rsid w:val="009F6AB5"/>
    <w:rsid w:val="00A13D72"/>
    <w:rsid w:val="00A27396"/>
    <w:rsid w:val="00A31CB9"/>
    <w:rsid w:val="00A374D9"/>
    <w:rsid w:val="00A40E6D"/>
    <w:rsid w:val="00A745FB"/>
    <w:rsid w:val="00A9783E"/>
    <w:rsid w:val="00AF4ABE"/>
    <w:rsid w:val="00B03752"/>
    <w:rsid w:val="00B06A6B"/>
    <w:rsid w:val="00B07BFF"/>
    <w:rsid w:val="00B12944"/>
    <w:rsid w:val="00B15F6D"/>
    <w:rsid w:val="00B46C50"/>
    <w:rsid w:val="00B837EF"/>
    <w:rsid w:val="00B85E5F"/>
    <w:rsid w:val="00B93F92"/>
    <w:rsid w:val="00B95D28"/>
    <w:rsid w:val="00BA2175"/>
    <w:rsid w:val="00BA6030"/>
    <w:rsid w:val="00BA638E"/>
    <w:rsid w:val="00BA73A5"/>
    <w:rsid w:val="00BE4E58"/>
    <w:rsid w:val="00BE6117"/>
    <w:rsid w:val="00BE62DD"/>
    <w:rsid w:val="00BF2FF1"/>
    <w:rsid w:val="00C14730"/>
    <w:rsid w:val="00C87E5E"/>
    <w:rsid w:val="00CA3D01"/>
    <w:rsid w:val="00CB783F"/>
    <w:rsid w:val="00CC67B5"/>
    <w:rsid w:val="00CF5319"/>
    <w:rsid w:val="00CF5E8F"/>
    <w:rsid w:val="00D073EA"/>
    <w:rsid w:val="00D218EB"/>
    <w:rsid w:val="00D33B67"/>
    <w:rsid w:val="00D820D7"/>
    <w:rsid w:val="00DA64AB"/>
    <w:rsid w:val="00DC33BB"/>
    <w:rsid w:val="00DC62B7"/>
    <w:rsid w:val="00DC6652"/>
    <w:rsid w:val="00DE00B2"/>
    <w:rsid w:val="00DF3445"/>
    <w:rsid w:val="00E30158"/>
    <w:rsid w:val="00E50DE1"/>
    <w:rsid w:val="00E57C6C"/>
    <w:rsid w:val="00E62FC3"/>
    <w:rsid w:val="00E643AE"/>
    <w:rsid w:val="00E65B7E"/>
    <w:rsid w:val="00E7271E"/>
    <w:rsid w:val="00E747F3"/>
    <w:rsid w:val="00E87FEF"/>
    <w:rsid w:val="00EB4868"/>
    <w:rsid w:val="00EB4C0F"/>
    <w:rsid w:val="00EC75B3"/>
    <w:rsid w:val="00ED1717"/>
    <w:rsid w:val="00EE3DE2"/>
    <w:rsid w:val="00EF7F0A"/>
    <w:rsid w:val="00F00231"/>
    <w:rsid w:val="00F24E7D"/>
    <w:rsid w:val="00F31487"/>
    <w:rsid w:val="00F37E20"/>
    <w:rsid w:val="00F573B3"/>
    <w:rsid w:val="00F97C80"/>
    <w:rsid w:val="00FA6345"/>
    <w:rsid w:val="00FB541B"/>
    <w:rsid w:val="00FC5CC5"/>
    <w:rsid w:val="00FD25BA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96C0"/>
  <w15:chartTrackingRefBased/>
  <w15:docId w15:val="{61F3E1C0-DF80-4920-8CA4-6FA1C14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E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E3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D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D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D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D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3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D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DE2"/>
    <w:rPr>
      <w:i/>
      <w:iCs/>
      <w:color w:val="404040" w:themeColor="text1" w:themeTint="BF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"/>
    <w:basedOn w:val="Normal"/>
    <w:link w:val="ListParagraphChar"/>
    <w:uiPriority w:val="34"/>
    <w:qFormat/>
    <w:rsid w:val="00EE3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DE2"/>
    <w:rPr>
      <w:b/>
      <w:bCs/>
      <w:smallCaps/>
      <w:color w:val="0F4761" w:themeColor="accent1" w:themeShade="BF"/>
      <w:spacing w:val="5"/>
    </w:rPr>
  </w:style>
  <w:style w:type="paragraph" w:customStyle="1" w:styleId="b">
    <w:name w:val="(b)"/>
    <w:basedOn w:val="Normal"/>
    <w:rsid w:val="00EE3DE2"/>
    <w:pPr>
      <w:tabs>
        <w:tab w:val="clear" w:pos="709"/>
        <w:tab w:val="left" w:pos="-737"/>
        <w:tab w:val="left" w:pos="1134"/>
      </w:tabs>
      <w:snapToGrid w:val="0"/>
      <w:spacing w:after="240"/>
      <w:ind w:left="1134" w:hanging="567"/>
    </w:pPr>
    <w:rPr>
      <w:snapToGrid w:val="0"/>
      <w:szCs w:val="24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1"/>
    <w:qFormat/>
    <w:locked/>
    <w:rsid w:val="00EE3DE2"/>
  </w:style>
  <w:style w:type="paragraph" w:styleId="Header">
    <w:name w:val="header"/>
    <w:basedOn w:val="Normal"/>
    <w:link w:val="HeaderChar"/>
    <w:uiPriority w:val="99"/>
    <w:unhideWhenUsed/>
    <w:rsid w:val="00CF5319"/>
    <w:pPr>
      <w:tabs>
        <w:tab w:val="clear" w:pos="70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319"/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319"/>
    <w:pPr>
      <w:tabs>
        <w:tab w:val="clear" w:pos="709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319"/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paragraph" w:styleId="Revision">
    <w:name w:val="Revision"/>
    <w:hidden/>
    <w:uiPriority w:val="99"/>
    <w:semiHidden/>
    <w:rsid w:val="00CF531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 w:eastAsia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B5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Аспекты деятельности Комиссии, касающиеся управления и подготовки программы и бюджета</vt:lpstr>
      <vt:lpstr/>
    </vt:vector>
  </TitlesOfParts>
  <Company>UNESCO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Аспекты деятельности Комиссии, касающиеся управления и подготовки программы и бюджета</dc:title>
  <dc:subject>EC-57/DR.[5.4]</dc:subject>
  <dc:creator>Yvinec, Ksenia</dc:creator>
  <cp:keywords/>
  <dc:description/>
  <cp:lastModifiedBy>Boned, Patrice</cp:lastModifiedBy>
  <cp:revision>2</cp:revision>
  <dcterms:created xsi:type="dcterms:W3CDTF">2024-06-28T08:20:00Z</dcterms:created>
  <dcterms:modified xsi:type="dcterms:W3CDTF">2024-06-28T08:20:00Z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n_bogdanova</vt:lpwstr>
  </property>
  <property fmtid="{D5CDD505-2E9C-101B-9397-08002B2CF9AE}" pid="4" name="GeneratedDate">
    <vt:lpwstr>06/27/2024 14:59:49</vt:lpwstr>
  </property>
  <property fmtid="{D5CDD505-2E9C-101B-9397-08002B2CF9AE}" pid="5" name="OriginalDocID">
    <vt:lpwstr>36055821-f89f-4e54-afb0-be436bed853a</vt:lpwstr>
  </property>
  <property fmtid="{D5CDD505-2E9C-101B-9397-08002B2CF9AE}" pid="6" name="JobDCPMS">
    <vt:lpwstr>2402907</vt:lpwstr>
  </property>
  <property fmtid="{D5CDD505-2E9C-101B-9397-08002B2CF9AE}" pid="7" name="Language">
    <vt:lpwstr>R</vt:lpwstr>
  </property>
</Properties>
</file>